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p w:rsidR="00953062" w:rsidRDefault="00953062" w:rsidP="0095306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53062" w:rsidTr="0094185F">
        <w:tc>
          <w:tcPr>
            <w:tcW w:w="10089" w:type="dxa"/>
          </w:tcPr>
          <w:p w:rsidR="00953062" w:rsidRPr="001511A6" w:rsidRDefault="00953062" w:rsidP="009418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53062" w:rsidRPr="001511A6" w:rsidRDefault="00953062" w:rsidP="009418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1270</w:t>
            </w:r>
            <w:r w:rsidR="00A8232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953062" w:rsidRPr="001511A6" w:rsidRDefault="00953062" w:rsidP="0094185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07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1997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953062" w:rsidRPr="001511A6" w:rsidTr="0094185F">
        <w:tc>
          <w:tcPr>
            <w:tcW w:w="10089" w:type="dxa"/>
          </w:tcPr>
          <w:p w:rsidR="00953062" w:rsidRPr="001511A6" w:rsidRDefault="00953062" w:rsidP="009418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953062" w:rsidRPr="001511A6" w:rsidRDefault="00953062" w:rsidP="00283CA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Additional information for monitoring p</w:t>
            </w:r>
            <w:r w:rsidR="00283C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poses related to classification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and designation of emission</w:t>
            </w:r>
          </w:p>
          <w:p w:rsidR="00953062" w:rsidRPr="001511A6" w:rsidRDefault="00953062" w:rsidP="009418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953062" w:rsidTr="0094185F">
        <w:tc>
          <w:tcPr>
            <w:tcW w:w="10089" w:type="dxa"/>
          </w:tcPr>
          <w:p w:rsidR="00953062" w:rsidRPr="0026666F" w:rsidRDefault="00953062" w:rsidP="009418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53062" w:rsidRPr="0026666F" w:rsidRDefault="00953062" w:rsidP="009418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53062" w:rsidRPr="0026666F" w:rsidRDefault="00953062" w:rsidP="0094185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953062" w:rsidRPr="001511A6" w:rsidRDefault="00953062" w:rsidP="009418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953062" w:rsidRPr="001511A6" w:rsidRDefault="00953062" w:rsidP="009418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953062" w:rsidRPr="001511A6" w:rsidRDefault="00953062" w:rsidP="0094185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953062" w:rsidRPr="001511A6" w:rsidRDefault="00953062" w:rsidP="0094185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spacing w:before="80"/>
        <w:rPr>
          <w:i/>
          <w:sz w:val="22"/>
          <w:lang w:val="en-US"/>
        </w:rPr>
      </w:pPr>
    </w:p>
    <w:p w:rsidR="00953062" w:rsidRDefault="00953062" w:rsidP="00953062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953062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53062" w:rsidRPr="00586EF8" w:rsidRDefault="00953062" w:rsidP="0095306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953062" w:rsidRDefault="00953062" w:rsidP="00953062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953062" w:rsidRDefault="00953062" w:rsidP="00953062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953062" w:rsidRPr="00B714F3" w:rsidRDefault="00953062" w:rsidP="00953062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953062" w:rsidRPr="00B714F3" w:rsidRDefault="00953062" w:rsidP="00953062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953062" w:rsidRDefault="00953062" w:rsidP="00953062">
      <w:pPr>
        <w:jc w:val="center"/>
        <w:rPr>
          <w:sz w:val="22"/>
          <w:lang w:val="en-US"/>
        </w:rPr>
      </w:pPr>
    </w:p>
    <w:p w:rsidR="00953062" w:rsidRDefault="00953062" w:rsidP="00953062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953062" w:rsidTr="0094185F">
        <w:tc>
          <w:tcPr>
            <w:tcW w:w="9360" w:type="dxa"/>
            <w:gridSpan w:val="2"/>
          </w:tcPr>
          <w:p w:rsidR="00953062" w:rsidRPr="00036EE3" w:rsidRDefault="00953062" w:rsidP="0094185F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953062" w:rsidRPr="00036EE3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953062" w:rsidRPr="00ED2695" w:rsidTr="0094185F">
        <w:tc>
          <w:tcPr>
            <w:tcW w:w="1140" w:type="dxa"/>
            <w:shd w:val="clear" w:color="auto" w:fill="auto"/>
          </w:tcPr>
          <w:p w:rsidR="00953062" w:rsidRPr="00ED2695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953062" w:rsidRPr="00ED2695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953062" w:rsidRPr="00036EE3" w:rsidTr="0094185F">
        <w:tc>
          <w:tcPr>
            <w:tcW w:w="1140" w:type="dxa"/>
            <w:shd w:val="clear" w:color="auto" w:fill="auto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953062" w:rsidRPr="00036EE3" w:rsidRDefault="00953062" w:rsidP="0094185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953062" w:rsidRPr="00036EE3" w:rsidTr="0094185F">
        <w:tc>
          <w:tcPr>
            <w:tcW w:w="1140" w:type="dxa"/>
            <w:shd w:val="clear" w:color="auto" w:fill="auto"/>
          </w:tcPr>
          <w:p w:rsidR="00953062" w:rsidRPr="00906589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953062" w:rsidRPr="00906589" w:rsidRDefault="00953062" w:rsidP="0094185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953062" w:rsidRPr="00036EE3" w:rsidTr="0094185F">
        <w:tc>
          <w:tcPr>
            <w:tcW w:w="1140" w:type="dxa"/>
            <w:shd w:val="clear" w:color="auto" w:fill="F3F3F3"/>
          </w:tcPr>
          <w:p w:rsidR="00953062" w:rsidRPr="00906589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953062" w:rsidRPr="00906589" w:rsidRDefault="00953062" w:rsidP="0094185F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953062" w:rsidRPr="00036EE3" w:rsidTr="0094185F">
        <w:tc>
          <w:tcPr>
            <w:tcW w:w="1140" w:type="dxa"/>
          </w:tcPr>
          <w:p w:rsidR="00953062" w:rsidRPr="00036EE3" w:rsidRDefault="00953062" w:rsidP="0094185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953062" w:rsidRPr="00036EE3" w:rsidRDefault="00953062" w:rsidP="0094185F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953062" w:rsidRPr="00036EE3" w:rsidRDefault="00953062" w:rsidP="00953062">
      <w:pPr>
        <w:spacing w:before="30" w:after="30"/>
        <w:jc w:val="center"/>
        <w:rPr>
          <w:lang w:val="en-US"/>
        </w:rPr>
      </w:pPr>
    </w:p>
    <w:p w:rsidR="00953062" w:rsidRPr="00036EE3" w:rsidRDefault="00953062" w:rsidP="00953062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953062" w:rsidTr="0094185F">
        <w:tc>
          <w:tcPr>
            <w:tcW w:w="9360" w:type="dxa"/>
          </w:tcPr>
          <w:p w:rsidR="00953062" w:rsidRPr="002F5199" w:rsidRDefault="00953062" w:rsidP="00C23ED1">
            <w:pPr>
              <w:spacing w:after="120"/>
              <w:ind w:left="-57" w:right="-57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953062" w:rsidRDefault="00953062" w:rsidP="00953062">
      <w:pPr>
        <w:spacing w:before="0"/>
        <w:jc w:val="center"/>
        <w:rPr>
          <w:sz w:val="22"/>
          <w:lang w:val="en-US"/>
        </w:rPr>
      </w:pPr>
    </w:p>
    <w:p w:rsidR="00953062" w:rsidRDefault="00953062" w:rsidP="00953062">
      <w:pPr>
        <w:spacing w:before="0"/>
        <w:jc w:val="center"/>
        <w:rPr>
          <w:sz w:val="22"/>
          <w:lang w:val="en-US"/>
        </w:rPr>
      </w:pPr>
    </w:p>
    <w:p w:rsidR="00953062" w:rsidRPr="002F5199" w:rsidRDefault="00953062" w:rsidP="00953062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953062" w:rsidRPr="002F5199" w:rsidRDefault="00953062" w:rsidP="00953062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>
        <w:rPr>
          <w:lang w:val="en-US"/>
        </w:rPr>
        <w:t>10</w:t>
      </w:r>
    </w:p>
    <w:p w:rsidR="00953062" w:rsidRPr="00470E28" w:rsidRDefault="00953062" w:rsidP="00953062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>
        <w:rPr>
          <w:lang w:val="en-US"/>
        </w:rPr>
        <w:t>10</w:t>
      </w:r>
    </w:p>
    <w:p w:rsidR="00953062" w:rsidRPr="00470E28" w:rsidRDefault="00953062" w:rsidP="00953062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953062" w:rsidRDefault="00953062" w:rsidP="00953062">
      <w:pPr>
        <w:spacing w:before="160"/>
        <w:rPr>
          <w:i/>
          <w:lang w:val="en-US"/>
        </w:rPr>
        <w:sectPr w:rsidR="00953062" w:rsidSect="0094185F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644B2" w:rsidRDefault="008644B2" w:rsidP="00C23ED1">
      <w:pPr>
        <w:pStyle w:val="Rec"/>
        <w:spacing w:before="0"/>
      </w:pPr>
      <w:r>
        <w:lastRenderedPageBreak/>
        <w:t>RECOMMENDATION  ITU-R  SM.1270</w:t>
      </w:r>
      <w:r w:rsidR="00A82320">
        <w:t>-0</w:t>
      </w:r>
      <w:r w:rsidR="00C23ED1">
        <w:rPr>
          <w:rStyle w:val="FootnoteReference"/>
        </w:rPr>
        <w:footnoteReference w:customMarkFollows="1" w:id="1"/>
        <w:t>*</w:t>
      </w:r>
    </w:p>
    <w:p w:rsidR="008644B2" w:rsidRDefault="008644B2" w:rsidP="00A82320">
      <w:pPr>
        <w:pStyle w:val="RecTitle"/>
        <w:spacing w:before="120"/>
      </w:pPr>
      <w:r>
        <w:t xml:space="preserve">ADDITIONAL  INFORMATION  FOR  MONITORING  PURPOSES  RELATED  TO  </w:t>
      </w:r>
      <w:r>
        <w:br/>
        <w:t>CLASSIFICATION  AND  DESIGNATION  OF  EMISSION</w:t>
      </w:r>
    </w:p>
    <w:p w:rsidR="008644B2" w:rsidRDefault="0018625B" w:rsidP="00A82320">
      <w:pPr>
        <w:pStyle w:val="RecTitleDate"/>
        <w:spacing w:before="0"/>
      </w:pPr>
      <w:r w:rsidDel="0018625B">
        <w:t xml:space="preserve"> </w:t>
      </w:r>
      <w:r w:rsidR="008644B2">
        <w:rPr>
          <w:lang w:val="fr-FR"/>
        </w:rPr>
        <w:t>(</w:t>
      </w:r>
      <w:r w:rsidR="008644B2">
        <w:t>1997</w:t>
      </w:r>
      <w:r w:rsidR="008644B2">
        <w:rPr>
          <w:lang w:val="fr-FR"/>
        </w:rPr>
        <w:t>)</w:t>
      </w:r>
    </w:p>
    <w:p w:rsidR="008644B2" w:rsidRDefault="008644B2">
      <w:pPr>
        <w:pStyle w:val="headfoot"/>
      </w:pPr>
      <w:r>
        <w:rPr>
          <w:color w:val="FFFFFF"/>
        </w:rPr>
        <w:t>Rec. ITU-R SM.1270</w:t>
      </w:r>
    </w:p>
    <w:p w:rsidR="00A82320" w:rsidRPr="00A82320" w:rsidRDefault="00A82320" w:rsidP="00A82320">
      <w:pPr>
        <w:pStyle w:val="HeadingSum"/>
      </w:pPr>
      <w:r w:rsidRPr="00A82320">
        <w:t>Scope</w:t>
      </w:r>
    </w:p>
    <w:p w:rsidR="00A82320" w:rsidRPr="00A82320" w:rsidRDefault="00A82320" w:rsidP="00A82320">
      <w:pPr>
        <w:pStyle w:val="Summary"/>
      </w:pPr>
      <w:r w:rsidRPr="00A82320">
        <w:t xml:space="preserve">This Recommendation emphasizes the collection of the information about different types of emissions which are mentioned in RR Appendix </w:t>
      </w:r>
      <w:r w:rsidRPr="00A82320">
        <w:rPr>
          <w:b/>
          <w:bCs/>
        </w:rPr>
        <w:t>1</w:t>
      </w:r>
      <w:r w:rsidRPr="00A82320">
        <w:t xml:space="preserve"> and Recommendation ITU-R SM.1138, and provides the structure of the database.</w:t>
      </w:r>
    </w:p>
    <w:p w:rsidR="00A82320" w:rsidRPr="00A82320" w:rsidRDefault="00A82320" w:rsidP="00A82320">
      <w:pPr>
        <w:pStyle w:val="Headingb"/>
        <w:spacing w:before="120"/>
        <w:rPr>
          <w:sz w:val="20"/>
          <w:lang w:val="en-US"/>
        </w:rPr>
      </w:pPr>
      <w:r w:rsidRPr="00A82320">
        <w:rPr>
          <w:sz w:val="20"/>
          <w:lang w:val="en-US"/>
        </w:rPr>
        <w:t>Keywords</w:t>
      </w:r>
    </w:p>
    <w:p w:rsidR="00A82320" w:rsidRPr="00A82320" w:rsidRDefault="00A82320" w:rsidP="00A82320">
      <w:r w:rsidRPr="00A82320">
        <w:t>Classification of emission, structure of database, monitoring services</w:t>
      </w:r>
    </w:p>
    <w:p w:rsidR="008644B2" w:rsidRDefault="008644B2" w:rsidP="00A82320">
      <w:pPr>
        <w:pStyle w:val="Normalaftertitle"/>
        <w:spacing w:before="240"/>
      </w:pPr>
      <w:r>
        <w:t>The ITU Radiocommunication Assembly,</w:t>
      </w:r>
    </w:p>
    <w:p w:rsidR="008644B2" w:rsidRDefault="008644B2">
      <w:pPr>
        <w:pStyle w:val="call"/>
      </w:pPr>
      <w:r>
        <w:t>considering</w:t>
      </w:r>
    </w:p>
    <w:p w:rsidR="008644B2" w:rsidRDefault="008644B2">
      <w:r>
        <w:t>a)</w:t>
      </w:r>
      <w:r>
        <w:tab/>
        <w:t>that due to new techniques and technical capabilities the number of teletype and other methods of communication is increasing;</w:t>
      </w:r>
    </w:p>
    <w:p w:rsidR="008644B2" w:rsidRDefault="008644B2" w:rsidP="00C23ED1">
      <w:r>
        <w:t>b)</w:t>
      </w:r>
      <w:r>
        <w:tab/>
      </w:r>
      <w:r w:rsidR="0018625B">
        <w:t>N</w:t>
      </w:r>
      <w:r w:rsidR="00C23ED1">
        <w:t>o</w:t>
      </w:r>
      <w:r w:rsidR="0018625B">
        <w:t xml:space="preserve">. 19.1 of </w:t>
      </w:r>
      <w:r>
        <w:t xml:space="preserve"> Article </w:t>
      </w:r>
      <w:r w:rsidR="0018625B">
        <w:t xml:space="preserve"> 19</w:t>
      </w:r>
      <w:r>
        <w:t xml:space="preserve"> of the Radio Regulations (RR);</w:t>
      </w:r>
    </w:p>
    <w:p w:rsidR="008644B2" w:rsidRDefault="008644B2" w:rsidP="000E3438">
      <w:r>
        <w:t>c)</w:t>
      </w:r>
      <w:r>
        <w:tab/>
        <w:t>that the designation of emission in five characters mentioned in RR</w:t>
      </w:r>
      <w:r w:rsidR="0018625B">
        <w:t xml:space="preserve"> Appendix 1 </w:t>
      </w:r>
      <w:r>
        <w:t xml:space="preserve"> and in Recommendation ITU</w:t>
      </w:r>
      <w:r w:rsidR="000E3438">
        <w:noBreakHyphen/>
      </w:r>
      <w:r>
        <w:t>R SM.1138  is sufficient for frequency management purposes;</w:t>
      </w:r>
    </w:p>
    <w:p w:rsidR="008644B2" w:rsidRPr="0018625B" w:rsidRDefault="008644B2">
      <w:pPr>
        <w:rPr>
          <w:lang w:val="en-US"/>
        </w:rPr>
      </w:pPr>
      <w:r>
        <w:t>d)</w:t>
      </w:r>
      <w:r>
        <w:tab/>
        <w:t>that for monitoring purposes these five symbols for the classification of emission are inadequate for unambiguous and complete characterization of emissions,</w:t>
      </w:r>
    </w:p>
    <w:p w:rsidR="008644B2" w:rsidRDefault="008644B2">
      <w:pPr>
        <w:pStyle w:val="call"/>
      </w:pPr>
      <w:r>
        <w:t>recommends</w:t>
      </w:r>
    </w:p>
    <w:p w:rsidR="008644B2" w:rsidRDefault="008644B2">
      <w:pPr>
        <w:tabs>
          <w:tab w:val="left" w:pos="-1440"/>
          <w:tab w:val="left" w:pos="-720"/>
        </w:tabs>
        <w:rPr>
          <w:spacing w:val="-3"/>
        </w:rPr>
      </w:pPr>
      <w:r>
        <w:rPr>
          <w:b/>
          <w:spacing w:val="-3"/>
        </w:rPr>
        <w:t>1</w:t>
      </w:r>
      <w:r>
        <w:rPr>
          <w:spacing w:val="-3"/>
        </w:rPr>
        <w:tab/>
        <w:t>that specified additional information should be collected by administrations on the different types of emissions;</w:t>
      </w:r>
    </w:p>
    <w:p w:rsidR="008644B2" w:rsidRDefault="008644B2">
      <w:pPr>
        <w:tabs>
          <w:tab w:val="left" w:pos="-1440"/>
          <w:tab w:val="left" w:pos="-720"/>
        </w:tabs>
        <w:rPr>
          <w:spacing w:val="-3"/>
        </w:rPr>
      </w:pPr>
      <w:r>
        <w:rPr>
          <w:b/>
          <w:spacing w:val="-3"/>
        </w:rPr>
        <w:t>2</w:t>
      </w:r>
      <w:r>
        <w:rPr>
          <w:spacing w:val="-3"/>
        </w:rPr>
        <w:tab/>
        <w:t>that a common database should be created at a place accessible to all monitoring services;</w:t>
      </w:r>
    </w:p>
    <w:p w:rsidR="008644B2" w:rsidRPr="0018625B" w:rsidRDefault="008644B2">
      <w:pPr>
        <w:rPr>
          <w:lang w:val="en-US"/>
        </w:rPr>
      </w:pPr>
      <w:r>
        <w:rPr>
          <w:b/>
          <w:spacing w:val="-3"/>
        </w:rPr>
        <w:t>3</w:t>
      </w:r>
      <w:r>
        <w:rPr>
          <w:spacing w:val="-3"/>
        </w:rPr>
        <w:tab/>
        <w:t>that the structure of the database should be in accordance with Annex 1.</w:t>
      </w:r>
    </w:p>
    <w:p w:rsidR="008644B2" w:rsidRDefault="008644B2" w:rsidP="00A82320">
      <w:pPr>
        <w:pStyle w:val="Annex"/>
        <w:spacing w:before="480" w:after="0"/>
      </w:pPr>
      <w:r>
        <w:t>ANNEX  1</w:t>
      </w:r>
    </w:p>
    <w:p w:rsidR="008644B2" w:rsidRDefault="008644B2" w:rsidP="00A82320">
      <w:pPr>
        <w:pStyle w:val="AnnexTitle"/>
        <w:spacing w:after="0"/>
      </w:pPr>
      <w:r>
        <w:t>Structure of the database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964"/>
        <w:gridCol w:w="1418"/>
        <w:gridCol w:w="5443"/>
      </w:tblGrid>
      <w:tr w:rsidR="008644B2">
        <w:tc>
          <w:tcPr>
            <w:tcW w:w="1871" w:type="dxa"/>
          </w:tcPr>
          <w:p w:rsidR="008644B2" w:rsidRDefault="008644B2">
            <w:pPr>
              <w:spacing w:before="180" w:line="0" w:lineRule="atLeast"/>
              <w:jc w:val="left"/>
              <w:rPr>
                <w:i/>
              </w:rPr>
            </w:pPr>
            <w:r>
              <w:rPr>
                <w:i/>
                <w:spacing w:val="-3"/>
              </w:rPr>
              <w:t>Field name</w:t>
            </w:r>
          </w:p>
        </w:tc>
        <w:tc>
          <w:tcPr>
            <w:tcW w:w="964" w:type="dxa"/>
          </w:tcPr>
          <w:p w:rsidR="008644B2" w:rsidRDefault="008644B2">
            <w:pPr>
              <w:spacing w:before="120" w:line="0" w:lineRule="atLeast"/>
              <w:jc w:val="center"/>
              <w:rPr>
                <w:i/>
              </w:rPr>
            </w:pPr>
            <w:r>
              <w:rPr>
                <w:i/>
              </w:rPr>
              <w:t>Type</w:t>
            </w:r>
            <w:r>
              <w:br/>
              <w:t>(Note 1)</w:t>
            </w:r>
          </w:p>
        </w:tc>
        <w:tc>
          <w:tcPr>
            <w:tcW w:w="1418" w:type="dxa"/>
          </w:tcPr>
          <w:p w:rsidR="008644B2" w:rsidRDefault="008644B2">
            <w:pPr>
              <w:spacing w:before="180" w:line="0" w:lineRule="atLeast"/>
              <w:jc w:val="center"/>
              <w:rPr>
                <w:i/>
              </w:rPr>
            </w:pPr>
            <w:r>
              <w:rPr>
                <w:i/>
                <w:spacing w:val="-3"/>
              </w:rPr>
              <w:t>Length</w:t>
            </w:r>
          </w:p>
        </w:tc>
        <w:tc>
          <w:tcPr>
            <w:tcW w:w="5443" w:type="dxa"/>
          </w:tcPr>
          <w:p w:rsidR="008644B2" w:rsidRDefault="008644B2">
            <w:pPr>
              <w:spacing w:before="180" w:line="0" w:lineRule="atLeast"/>
              <w:jc w:val="center"/>
              <w:rPr>
                <w:i/>
              </w:rPr>
            </w:pPr>
            <w:r>
              <w:rPr>
                <w:i/>
              </w:rPr>
              <w:t>Description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SYSTNUM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 </w:t>
            </w: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</w:pPr>
            <w:r>
              <w:rPr>
                <w:spacing w:val="-3"/>
              </w:rPr>
              <w:t>System number starting with 0001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SYSNAME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20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common used system name like</w:t>
            </w:r>
            <w:r>
              <w:t>: SITOR, ROU-FEC, PACKET, TOR-342, etc.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TYPE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20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System type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0" w:line="0" w:lineRule="atLeast"/>
            </w:pPr>
          </w:p>
        </w:tc>
        <w:tc>
          <w:tcPr>
            <w:tcW w:w="964" w:type="dxa"/>
          </w:tcPr>
          <w:p w:rsidR="008644B2" w:rsidRDefault="008644B2">
            <w:pPr>
              <w:spacing w:before="0" w:line="0" w:lineRule="atLeast"/>
              <w:jc w:val="center"/>
            </w:pPr>
          </w:p>
        </w:tc>
        <w:tc>
          <w:tcPr>
            <w:tcW w:w="1418" w:type="dxa"/>
          </w:tcPr>
          <w:p w:rsidR="008644B2" w:rsidRDefault="008644B2">
            <w:pPr>
              <w:spacing w:before="0" w:line="0" w:lineRule="atLeast"/>
              <w:jc w:val="center"/>
            </w:pPr>
          </w:p>
        </w:tc>
        <w:tc>
          <w:tcPr>
            <w:tcW w:w="5443" w:type="dxa"/>
          </w:tcPr>
          <w:p w:rsidR="008644B2" w:rsidRDefault="008644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</w:tabs>
              <w:spacing w:before="0" w:line="0" w:lineRule="atLeast"/>
              <w:ind w:left="1134" w:hanging="1134"/>
              <w:jc w:val="left"/>
            </w:pPr>
            <w:r>
              <w:t>P</w:t>
            </w:r>
            <w:r>
              <w:rPr>
                <w:spacing w:val="-3"/>
              </w:rPr>
              <w:t>ossibilities</w:t>
            </w:r>
            <w:r>
              <w:t>:</w:t>
            </w:r>
            <w:r>
              <w:tab/>
            </w:r>
            <w:r>
              <w:rPr>
                <w:spacing w:val="-3"/>
              </w:rPr>
              <w:t>start/stop</w:t>
            </w:r>
            <w:r>
              <w:rPr>
                <w:spacing w:val="-3"/>
              </w:rPr>
              <w:br/>
              <w:t>burst type</w:t>
            </w:r>
            <w:r>
              <w:rPr>
                <w:spacing w:val="-3"/>
              </w:rPr>
              <w:br/>
              <w:t>ARQ pulse train</w:t>
            </w:r>
            <w:r>
              <w:rPr>
                <w:spacing w:val="-3"/>
              </w:rPr>
              <w:br/>
              <w:t>FEC</w:t>
            </w:r>
            <w:r>
              <w:rPr>
                <w:spacing w:val="-3"/>
              </w:rPr>
              <w:br/>
              <w:t>twinplex SITOR</w:t>
            </w:r>
            <w:r>
              <w:rPr>
                <w:spacing w:val="-3"/>
              </w:rPr>
              <w:br/>
              <w:t>multitone</w:t>
            </w:r>
            <w:r>
              <w:rPr>
                <w:spacing w:val="-3"/>
              </w:rPr>
              <w:br/>
              <w:t>navigation/location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ALPHABET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 </w:t>
            </w:r>
            <w:r>
              <w:t>8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ind w:left="1474" w:hanging="1474"/>
              <w:jc w:val="left"/>
            </w:pPr>
            <w:r>
              <w:rPr>
                <w:spacing w:val="-3"/>
              </w:rPr>
              <w:t>Used alphabet like ITA-2, SITOR, ITA-5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BITS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 </w:t>
            </w:r>
            <w:r>
              <w:t>5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t>N</w:t>
            </w:r>
            <w:r>
              <w:rPr>
                <w:spacing w:val="-3"/>
              </w:rPr>
              <w:t>umber of bits per character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DET_COR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20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Detection/correction system parity, mark/space ratio 3:4, etc.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MARK_CY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10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Mark cycle every 4, 5 or 8 characters can be inverted to enable the receiver to synchronize.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REP_CY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10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Repetition cycle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If the receivers detects one or more corrupted characters it asks for repetition of a number of characters.</w:t>
            </w:r>
          </w:p>
        </w:tc>
      </w:tr>
    </w:tbl>
    <w:p w:rsidR="008644B2" w:rsidRDefault="008644B2" w:rsidP="0018625B">
      <w:pPr>
        <w:pStyle w:val="FootnoteText"/>
        <w:ind w:left="284" w:hanging="284"/>
      </w:pPr>
      <w:r>
        <w:rPr>
          <w:spacing w:val="-3"/>
        </w:rPr>
        <w:t>The following three fields can be used in case of multitone systems and twinplex si_tor.</w:t>
      </w:r>
    </w:p>
    <w:p w:rsidR="008644B2" w:rsidRDefault="008644B2">
      <w:pPr>
        <w:pStyle w:val="Blanc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964"/>
        <w:gridCol w:w="1418"/>
        <w:gridCol w:w="5443"/>
      </w:tblGrid>
      <w:tr w:rsidR="008644B2">
        <w:tc>
          <w:tcPr>
            <w:tcW w:w="1871" w:type="dxa"/>
          </w:tcPr>
          <w:p w:rsidR="008644B2" w:rsidRDefault="008644B2">
            <w:pPr>
              <w:spacing w:before="120" w:line="0" w:lineRule="atLeast"/>
            </w:pPr>
            <w:r>
              <w:t>PULSE</w:t>
            </w:r>
          </w:p>
        </w:tc>
        <w:tc>
          <w:tcPr>
            <w:tcW w:w="964" w:type="dxa"/>
          </w:tcPr>
          <w:p w:rsidR="008644B2" w:rsidRDefault="008644B2">
            <w:pPr>
              <w:spacing w:before="12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120" w:line="0" w:lineRule="atLeast"/>
              <w:jc w:val="center"/>
            </w:pPr>
            <w:r>
              <w:t> </w:t>
            </w:r>
            <w:r>
              <w:t>3</w:t>
            </w:r>
          </w:p>
        </w:tc>
        <w:tc>
          <w:tcPr>
            <w:tcW w:w="5443" w:type="dxa"/>
          </w:tcPr>
          <w:p w:rsidR="008644B2" w:rsidRDefault="008644B2">
            <w:pPr>
              <w:spacing w:before="120" w:line="0" w:lineRule="atLeast"/>
              <w:jc w:val="left"/>
            </w:pPr>
            <w:r>
              <w:rPr>
                <w:spacing w:val="-3"/>
              </w:rPr>
              <w:t>For multitone systems these fields can be 100/200/008 which means PULSE duration</w:t>
            </w:r>
            <w:r>
              <w:t xml:space="preserve"> 100 ms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SEP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 </w:t>
            </w:r>
            <w:r>
              <w:t>3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SEParation between tones 200 Hz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NUMB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 </w:t>
            </w:r>
            <w:r>
              <w:t>3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NUMBer of tones</w:t>
            </w:r>
            <w:r>
              <w:t>: 8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 xml:space="preserve">For twinplex si_tor systems these fields can be 200/280/510 which means that the separation between </w:t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1</w:t>
            </w:r>
            <w:r>
              <w:t xml:space="preserve"> and </w:t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sym w:font="Symbol" w:char="F03D"/>
            </w:r>
            <w:r>
              <w:t xml:space="preserve"> 200 Hz</w:t>
            </w:r>
            <w:r>
              <w:rPr>
                <w:spacing w:val="-3"/>
              </w:rPr>
              <w:t xml:space="preserve">, between </w:t>
            </w:r>
            <w:r>
              <w:rPr>
                <w:spacing w:val="-3"/>
              </w:rPr>
              <w:br/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2</w:t>
            </w:r>
            <w:r>
              <w:t xml:space="preserve"> and </w:t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3</w:t>
            </w:r>
            <w:r>
              <w:t xml:space="preserve"> </w:t>
            </w:r>
            <w:r>
              <w:rPr>
                <w:rFonts w:ascii="Symbol" w:hAnsi="Symbol"/>
              </w:rPr>
              <w:sym w:font="Symbol" w:char="F03D"/>
            </w:r>
            <w:r>
              <w:t xml:space="preserve"> 280 Hz</w:t>
            </w:r>
            <w:r>
              <w:rPr>
                <w:spacing w:val="-3"/>
              </w:rPr>
              <w:t xml:space="preserve"> and between </w:t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3</w:t>
            </w:r>
            <w:r>
              <w:t xml:space="preserve"> and </w:t>
            </w:r>
            <w:r>
              <w:rPr>
                <w:i/>
              </w:rPr>
              <w:t>f</w:t>
            </w:r>
            <w:r>
              <w:rPr>
                <w:position w:val="-4"/>
                <w:sz w:val="16"/>
              </w:rPr>
              <w:t>4</w:t>
            </w:r>
            <w:r>
              <w:t xml:space="preserve"> </w:t>
            </w:r>
            <w:r>
              <w:rPr>
                <w:rFonts w:ascii="Symbol" w:hAnsi="Symbol"/>
              </w:rPr>
              <w:sym w:font="Symbol" w:char="F03D"/>
            </w:r>
            <w:r>
              <w:t xml:space="preserve"> 510 Hz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In both cases this information can often be enough to identify the country using this system without knowing the text of the messages.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BETWEEN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10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 xml:space="preserve">In case of multitone systems the limits of the used tones </w:t>
            </w:r>
            <w:r>
              <w:rPr>
                <w:spacing w:val="-3"/>
              </w:rPr>
              <w:br/>
              <w:t>e.g.</w:t>
            </w:r>
            <w:r>
              <w:t xml:space="preserve"> 1</w:t>
            </w:r>
            <w:r>
              <w:rPr>
                <w:sz w:val="12"/>
              </w:rPr>
              <w:t> </w:t>
            </w:r>
            <w:r>
              <w:t>220-1</w:t>
            </w:r>
            <w:r>
              <w:rPr>
                <w:sz w:val="12"/>
              </w:rPr>
              <w:t> </w:t>
            </w:r>
            <w:r>
              <w:t>860 Hz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IDLE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A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10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In case of multitone systems the tones in use during an idling period.</w:t>
            </w:r>
          </w:p>
        </w:tc>
      </w:tr>
    </w:tbl>
    <w:p w:rsidR="008644B2" w:rsidRDefault="008644B2">
      <w:pPr>
        <w:spacing w:before="0"/>
      </w:pPr>
    </w:p>
    <w:p w:rsidR="008644B2" w:rsidRDefault="008644B2">
      <w:r>
        <w:t>For many systems there are a number of parameters depending on the baudspeed. If a system has the possibility to use different baudspeeds it is still the same system.</w:t>
      </w:r>
    </w:p>
    <w:p w:rsidR="008644B2" w:rsidRDefault="008644B2">
      <w:pPr>
        <w:spacing w:line="0" w:lineRule="atLeast"/>
      </w:pPr>
      <w:r>
        <w:t xml:space="preserve">Baudspeed dependent parameters must be stored in a second database with a relation in a field of the first database. In this case that must be the field </w:t>
      </w:r>
      <w:r>
        <w:rPr>
          <w:u w:val="single"/>
        </w:rPr>
        <w:t>SYSTNUM</w:t>
      </w:r>
      <w:r>
        <w:t>.</w:t>
      </w:r>
    </w:p>
    <w:p w:rsidR="008644B2" w:rsidRDefault="008644B2">
      <w:r>
        <w:t>For every possible baudspeed of a particular system there must be a record in this second database.</w:t>
      </w:r>
    </w:p>
    <w:p w:rsidR="008644B2" w:rsidRDefault="008644B2">
      <w:pPr>
        <w:spacing w:line="0" w:lineRule="atLeast"/>
      </w:pPr>
      <w:r>
        <w:t>This database contains the following fields:</w:t>
      </w:r>
    </w:p>
    <w:p w:rsidR="008644B2" w:rsidRDefault="008644B2">
      <w:pPr>
        <w:pStyle w:val="Blanc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964"/>
        <w:gridCol w:w="1418"/>
        <w:gridCol w:w="5443"/>
      </w:tblGrid>
      <w:tr w:rsidR="008644B2">
        <w:tc>
          <w:tcPr>
            <w:tcW w:w="1871" w:type="dxa"/>
          </w:tcPr>
          <w:p w:rsidR="008644B2" w:rsidRDefault="008644B2">
            <w:pPr>
              <w:spacing w:before="180" w:line="0" w:lineRule="atLeast"/>
              <w:jc w:val="left"/>
              <w:rPr>
                <w:i/>
              </w:rPr>
            </w:pPr>
            <w:r>
              <w:rPr>
                <w:i/>
                <w:spacing w:val="-3"/>
              </w:rPr>
              <w:t>Field name</w:t>
            </w:r>
          </w:p>
        </w:tc>
        <w:tc>
          <w:tcPr>
            <w:tcW w:w="964" w:type="dxa"/>
          </w:tcPr>
          <w:p w:rsidR="008644B2" w:rsidRDefault="008644B2">
            <w:pPr>
              <w:spacing w:before="120" w:line="0" w:lineRule="atLeast"/>
              <w:jc w:val="center"/>
              <w:rPr>
                <w:i/>
              </w:rPr>
            </w:pPr>
            <w:r>
              <w:rPr>
                <w:i/>
              </w:rPr>
              <w:t>Type</w:t>
            </w:r>
            <w:r>
              <w:br/>
              <w:t>(Note 1)</w:t>
            </w:r>
          </w:p>
        </w:tc>
        <w:tc>
          <w:tcPr>
            <w:tcW w:w="1418" w:type="dxa"/>
          </w:tcPr>
          <w:p w:rsidR="008644B2" w:rsidRDefault="008644B2">
            <w:pPr>
              <w:spacing w:before="180" w:line="0" w:lineRule="atLeast"/>
              <w:jc w:val="center"/>
              <w:rPr>
                <w:i/>
              </w:rPr>
            </w:pPr>
            <w:r>
              <w:rPr>
                <w:i/>
                <w:spacing w:val="-3"/>
              </w:rPr>
              <w:t>Length</w:t>
            </w:r>
          </w:p>
        </w:tc>
        <w:tc>
          <w:tcPr>
            <w:tcW w:w="5443" w:type="dxa"/>
          </w:tcPr>
          <w:p w:rsidR="008644B2" w:rsidRDefault="008644B2">
            <w:pPr>
              <w:spacing w:before="180" w:line="0" w:lineRule="atLeast"/>
              <w:jc w:val="center"/>
              <w:rPr>
                <w:i/>
              </w:rPr>
            </w:pPr>
            <w:r>
              <w:rPr>
                <w:i/>
              </w:rPr>
              <w:t>Description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120" w:line="0" w:lineRule="atLeast"/>
            </w:pPr>
            <w:r>
              <w:t>SYSTNUM</w:t>
            </w:r>
          </w:p>
        </w:tc>
        <w:tc>
          <w:tcPr>
            <w:tcW w:w="964" w:type="dxa"/>
          </w:tcPr>
          <w:p w:rsidR="008644B2" w:rsidRDefault="008644B2">
            <w:pPr>
              <w:spacing w:before="12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120" w:line="0" w:lineRule="atLeast"/>
              <w:jc w:val="center"/>
            </w:pP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120" w:line="0" w:lineRule="atLeast"/>
              <w:jc w:val="left"/>
            </w:pPr>
            <w:r>
              <w:rPr>
                <w:spacing w:val="-3"/>
              </w:rPr>
              <w:t>System number for relation with the first database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BAUDSPEED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D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8,2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Baud speed of system, e.g. 164.35</w:t>
            </w:r>
            <w:r>
              <w:t> Bd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AUTO_CORR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Peak of the auto correlation function, the number of bits in a character frame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BIT_DUR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D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5,2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Duration of the bits, e.g.</w:t>
            </w:r>
            <w:r>
              <w:t xml:space="preserve"> 10,30 ms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CYCLE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Cycle time of the system, time needed to transmit one character frame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INFO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Time which CYCLE time contains information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PAUSE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4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>Time of CYCLE time without transmission</w:t>
            </w:r>
          </w:p>
        </w:tc>
      </w:tr>
      <w:tr w:rsidR="008644B2">
        <w:tc>
          <w:tcPr>
            <w:tcW w:w="1871" w:type="dxa"/>
          </w:tcPr>
          <w:p w:rsidR="008644B2" w:rsidRDefault="008644B2">
            <w:pPr>
              <w:spacing w:before="70" w:line="0" w:lineRule="atLeast"/>
            </w:pPr>
            <w:r>
              <w:t>CHAR</w:t>
            </w:r>
          </w:p>
        </w:tc>
        <w:tc>
          <w:tcPr>
            <w:tcW w:w="964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I</w:t>
            </w:r>
          </w:p>
        </w:tc>
        <w:tc>
          <w:tcPr>
            <w:tcW w:w="1418" w:type="dxa"/>
          </w:tcPr>
          <w:p w:rsidR="008644B2" w:rsidRDefault="008644B2">
            <w:pPr>
              <w:spacing w:before="70" w:line="0" w:lineRule="atLeast"/>
              <w:jc w:val="center"/>
            </w:pPr>
            <w:r>
              <w:t>3</w:t>
            </w:r>
          </w:p>
        </w:tc>
        <w:tc>
          <w:tcPr>
            <w:tcW w:w="5443" w:type="dxa"/>
          </w:tcPr>
          <w:p w:rsidR="008644B2" w:rsidRDefault="008644B2">
            <w:pPr>
              <w:spacing w:before="70" w:line="0" w:lineRule="atLeast"/>
              <w:jc w:val="left"/>
            </w:pPr>
            <w:r>
              <w:rPr>
                <w:spacing w:val="-3"/>
              </w:rPr>
              <w:t xml:space="preserve">Number of characters in one burst </w:t>
            </w:r>
            <w:r>
              <w:rPr>
                <w:spacing w:val="-3"/>
              </w:rPr>
              <w:br/>
              <w:t>example: For a si_tor transmission</w:t>
            </w:r>
          </w:p>
          <w:p w:rsidR="008644B2" w:rsidRDefault="008644B2">
            <w:pPr>
              <w:tabs>
                <w:tab w:val="clear" w:pos="794"/>
                <w:tab w:val="clear" w:pos="1588"/>
                <w:tab w:val="clear" w:pos="1985"/>
                <w:tab w:val="left" w:pos="1474"/>
              </w:tabs>
              <w:spacing w:before="70" w:line="0" w:lineRule="atLeast"/>
              <w:jc w:val="left"/>
            </w:pPr>
            <w:r>
              <w:t>CYCLE time</w:t>
            </w:r>
            <w:r>
              <w:tab/>
            </w:r>
            <w:r>
              <w:rPr>
                <w:rFonts w:ascii="Symbol" w:hAnsi="Symbol"/>
              </w:rPr>
              <w:sym w:font="Symbol" w:char="F03D"/>
            </w:r>
            <w:r>
              <w:tab/>
              <w:t>450 ms</w:t>
            </w:r>
            <w:r>
              <w:br/>
              <w:t>INFO</w:t>
            </w:r>
            <w:r>
              <w:tab/>
            </w:r>
            <w:r>
              <w:rPr>
                <w:rFonts w:ascii="Symbol" w:hAnsi="Symbol"/>
              </w:rPr>
              <w:sym w:font="Symbol" w:char="F03D"/>
            </w:r>
            <w:r>
              <w:tab/>
              <w:t>210 ms</w:t>
            </w:r>
            <w:r>
              <w:br/>
              <w:t>PAUSE</w:t>
            </w:r>
            <w:r>
              <w:tab/>
            </w:r>
            <w:r>
              <w:rPr>
                <w:rFonts w:ascii="Symbol" w:hAnsi="Symbol"/>
              </w:rPr>
              <w:sym w:font="Symbol" w:char="F03D"/>
            </w:r>
            <w:r>
              <w:tab/>
              <w:t>240 ms</w:t>
            </w:r>
            <w:r>
              <w:br/>
              <w:t>CHAR</w:t>
            </w:r>
            <w:r>
              <w:tab/>
            </w:r>
            <w:r>
              <w:rPr>
                <w:rFonts w:ascii="Symbol" w:hAnsi="Symbol"/>
              </w:rPr>
              <w:sym w:font="Symbol" w:char="F03D"/>
            </w:r>
            <w:r>
              <w:tab/>
            </w:r>
            <w:r>
              <w:t> </w:t>
            </w:r>
            <w:r>
              <w:t>3</w:t>
            </w:r>
          </w:p>
        </w:tc>
      </w:tr>
    </w:tbl>
    <w:p w:rsidR="008644B2" w:rsidRDefault="008644B2">
      <w:pPr>
        <w:spacing w:before="0" w:line="0" w:lineRule="atLeast"/>
      </w:pPr>
    </w:p>
    <w:p w:rsidR="008644B2" w:rsidRDefault="008644B2">
      <w:pPr>
        <w:spacing w:line="0" w:lineRule="atLeast"/>
      </w:pPr>
      <w:r>
        <w:rPr>
          <w:spacing w:val="-3"/>
        </w:rPr>
        <w:t>These databases will not cover all the possibilities. To create such a database is almost impossible, would be too complicated and does not meet the requirements of the monitoring engineer to have an easy to use and flexible tool.</w:t>
      </w:r>
    </w:p>
    <w:p w:rsidR="008644B2" w:rsidRDefault="008644B2">
      <w:pPr>
        <w:pStyle w:val="Note"/>
        <w:tabs>
          <w:tab w:val="left" w:pos="1049"/>
        </w:tabs>
        <w:ind w:left="1049" w:hanging="1049"/>
        <w:jc w:val="left"/>
      </w:pPr>
      <w:r>
        <w:t>NOTE 1 –</w:t>
      </w:r>
      <w:r>
        <w:tab/>
        <w:t>A:</w:t>
      </w:r>
      <w:r>
        <w:tab/>
        <w:t>alphanumeric RR</w:t>
      </w:r>
      <w:r>
        <w:br/>
        <w:t>I:</w:t>
      </w:r>
      <w:r>
        <w:tab/>
        <w:t>numeric (integer)</w:t>
      </w:r>
      <w:r>
        <w:br/>
        <w:t>D:</w:t>
      </w:r>
      <w:r>
        <w:tab/>
        <w:t>numeric (decimal)</w:t>
      </w:r>
    </w:p>
    <w:p w:rsidR="008644B2" w:rsidRDefault="008644B2">
      <w:pPr>
        <w:spacing w:before="0" w:line="0" w:lineRule="atLeast"/>
      </w:pPr>
    </w:p>
    <w:p w:rsidR="008644B2" w:rsidRDefault="008644B2">
      <w:pPr>
        <w:pStyle w:val="Line"/>
      </w:pPr>
    </w:p>
    <w:p w:rsidR="008644B2" w:rsidRDefault="008644B2"/>
    <w:sectPr w:rsidR="008644B2" w:rsidSect="00C23ED1">
      <w:headerReference w:type="even" r:id="rId13"/>
      <w:headerReference w:type="default" r:id="rId14"/>
      <w:pgSz w:w="11913" w:h="16834"/>
      <w:pgMar w:top="1089" w:right="1089" w:bottom="1089" w:left="1089" w:header="482" w:footer="482" w:gutter="0"/>
      <w:pgNumType w:start="1"/>
      <w:cols w:space="720"/>
      <w:vAlign w:val="both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EF4" w:rsidRDefault="00644EF4">
      <w:r>
        <w:separator/>
      </w:r>
    </w:p>
  </w:endnote>
  <w:endnote w:type="continuationSeparator" w:id="0">
    <w:p w:rsidR="00644EF4" w:rsidRDefault="00644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39T36Lfz">
    <w:charset w:val="00"/>
    <w:family w:val="auto"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EF4" w:rsidRDefault="00644EF4">
      <w:r>
        <w:rPr>
          <w:b/>
        </w:rPr>
        <w:t>_______________</w:t>
      </w:r>
    </w:p>
  </w:footnote>
  <w:footnote w:type="continuationSeparator" w:id="0">
    <w:p w:rsidR="00644EF4" w:rsidRDefault="00644EF4">
      <w:r>
        <w:continuationSeparator/>
      </w:r>
    </w:p>
  </w:footnote>
  <w:footnote w:id="1">
    <w:p w:rsidR="00C23ED1" w:rsidRPr="00C23ED1" w:rsidRDefault="00C23ED1" w:rsidP="00A82320">
      <w:pPr>
        <w:pStyle w:val="FootnoteText"/>
        <w:spacing w:before="120"/>
        <w:ind w:left="313" w:hanging="313"/>
        <w:rPr>
          <w:lang w:val="en-US"/>
        </w:rPr>
      </w:pPr>
      <w:r>
        <w:rPr>
          <w:rStyle w:val="FootnoteReference"/>
        </w:rPr>
        <w:t>*</w:t>
      </w:r>
      <w:r>
        <w:tab/>
        <w:t xml:space="preserve">Radiocommunication Study Group 1 made editorial amendments to this Recommendation in </w:t>
      </w:r>
      <w:r w:rsidR="00A82320">
        <w:t xml:space="preserve">the years </w:t>
      </w:r>
      <w:r>
        <w:t xml:space="preserve">2010 </w:t>
      </w:r>
      <w:r w:rsidR="00A82320">
        <w:t xml:space="preserve">and 2019 </w:t>
      </w:r>
      <w:r>
        <w:t>in acco</w:t>
      </w:r>
      <w:r w:rsidR="00A82320">
        <w:t>rdance with Resolution ITU-R 1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062" w:rsidRDefault="0095306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062" w:rsidRDefault="00E624E8" w:rsidP="0094185F">
    <w:pPr>
      <w:pStyle w:val="Header"/>
      <w:ind w:right="360" w:firstLine="360"/>
    </w:pPr>
    <w:r>
      <w:rPr>
        <w:b w:val="0"/>
        <w:bCs w:val="0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49" type="#_x0000_t75" alt="rec_maquette-2009-2" style="position:absolute;left:0;text-align:left;margin-left:0;margin-top:0;width:596.75pt;height:844.45pt;z-index:-251658752;visibility:visible;mso-position-horizontal-relative:page;mso-position-vertical-relative:page">
          <v:imagedata r:id="rId1" o:title="rec_maquette-2009-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062" w:rsidRDefault="00953062" w:rsidP="00C23ED1">
    <w:pPr>
      <w:pStyle w:val="Header"/>
      <w:jc w:val="left"/>
      <w:rPr>
        <w:lang w:val="en-US"/>
      </w:rPr>
    </w:pPr>
    <w:r>
      <w:rPr>
        <w:rStyle w:val="PageNumber"/>
        <w:b w:val="0"/>
        <w:bCs w:val="0"/>
      </w:rPr>
      <w:fldChar w:fldCharType="begin"/>
    </w:r>
    <w:r>
      <w:rPr>
        <w:rStyle w:val="PageNumber"/>
        <w:lang w:val="en-US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 w:rsidR="00E624E8">
      <w:rPr>
        <w:rStyle w:val="PageNumber"/>
        <w:noProof/>
        <w:lang w:val="en-US"/>
      </w:rPr>
      <w:t>ii</w:t>
    </w:r>
    <w:r>
      <w:rPr>
        <w:rStyle w:val="PageNumber"/>
        <w:b w:val="0"/>
        <w:bCs w:val="0"/>
      </w:rPr>
      <w:fldChar w:fldCharType="end"/>
    </w:r>
    <w:r>
      <w:rPr>
        <w:lang w:val="en-US"/>
      </w:rPr>
      <w:tab/>
    </w:r>
    <w:r w:rsidR="00C23ED1">
      <w:fldChar w:fldCharType="begin"/>
    </w:r>
    <w:r w:rsidR="00C23ED1">
      <w:instrText>styleref head_foot</w:instrText>
    </w:r>
    <w:r w:rsidR="00C23ED1">
      <w:fldChar w:fldCharType="separate"/>
    </w:r>
    <w:r w:rsidR="00E624E8">
      <w:rPr>
        <w:noProof/>
      </w:rPr>
      <w:t>Rec. ITU-R SM.1270</w:t>
    </w:r>
    <w:r w:rsidR="00C23ED1">
      <w:fldChar w:fldCharType="end"/>
    </w:r>
    <w:r w:rsidR="00A82320"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062" w:rsidRDefault="00953062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E628BA">
      <w:rPr>
        <w:b w:val="0"/>
        <w:bCs w:val="0"/>
        <w:lang w:val="en-US"/>
      </w:rPr>
      <w:t>Error! Unknown document property name.</w:t>
    </w:r>
    <w:r>
      <w:fldChar w:fldCharType="end"/>
    </w:r>
    <w:r>
      <w:t xml:space="preserve"> </w:t>
    </w:r>
    <w:r>
      <w:rPr>
        <w:b w:val="0"/>
        <w:bCs w:val="0"/>
      </w:rPr>
      <w:fldChar w:fldCharType="begin"/>
    </w:r>
    <w:r>
      <w:instrText>styleref href</w:instrText>
    </w:r>
    <w:r>
      <w:rPr>
        <w:b w:val="0"/>
        <w:bCs w:val="0"/>
      </w:rPr>
      <w:fldChar w:fldCharType="separate"/>
    </w:r>
    <w:r w:rsidR="00E628BA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 w:rsidR="00C23ED1">
      <w:rPr>
        <w:rStyle w:val="PageNumber"/>
        <w:noProof/>
      </w:rPr>
      <w:t>iii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4B2" w:rsidRDefault="008644B2">
    <w:pPr>
      <w:pStyle w:val="Header"/>
    </w:pPr>
    <w:r>
      <w:fldChar w:fldCharType="begin"/>
    </w:r>
    <w:r>
      <w:instrText>PAGE</w:instrText>
    </w:r>
    <w:r>
      <w:fldChar w:fldCharType="separate"/>
    </w:r>
    <w:r w:rsidR="00E624E8">
      <w:rPr>
        <w:noProof/>
      </w:rPr>
      <w:t>2</w:t>
    </w:r>
    <w:r>
      <w:fldChar w:fldCharType="end"/>
    </w:r>
    <w:r>
      <w:tab/>
    </w:r>
    <w:r>
      <w:fldChar w:fldCharType="begin"/>
    </w:r>
    <w:r>
      <w:instrText>styleref head_foot</w:instrText>
    </w:r>
    <w:r>
      <w:fldChar w:fldCharType="separate"/>
    </w:r>
    <w:r w:rsidR="00E624E8">
      <w:rPr>
        <w:noProof/>
      </w:rPr>
      <w:t>Rec. ITU-R SM.1270</w:t>
    </w:r>
    <w:r>
      <w:fldChar w:fldCharType="end"/>
    </w:r>
    <w:r w:rsidR="00A82320">
      <w:t>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4B2" w:rsidRDefault="008644B2">
    <w:pPr>
      <w:pStyle w:val="Header"/>
    </w:pPr>
    <w:r>
      <w:tab/>
    </w:r>
    <w:r>
      <w:fldChar w:fldCharType="begin"/>
    </w:r>
    <w:r>
      <w:instrText>styleref head_foot</w:instrText>
    </w:r>
    <w:r>
      <w:fldChar w:fldCharType="separate"/>
    </w:r>
    <w:r w:rsidR="00E624E8">
      <w:rPr>
        <w:noProof/>
      </w:rPr>
      <w:t>Rec. ITU-R SM.1270</w:t>
    </w:r>
    <w:r>
      <w:fldChar w:fldCharType="end"/>
    </w:r>
    <w:r w:rsidR="00A82320">
      <w:t>-0</w:t>
    </w:r>
    <w:r>
      <w:tab/>
    </w:r>
    <w:r>
      <w:fldChar w:fldCharType="begin"/>
    </w:r>
    <w:r>
      <w:instrText>PAGE</w:instrText>
    </w:r>
    <w:r>
      <w:fldChar w:fldCharType="separate"/>
    </w:r>
    <w:r w:rsidR="00E624E8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hideSpellingErrors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printColBlack/>
    <w:showBreaksInFrames/>
    <w:suppressTopSpacing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autoSpaceLikeWord95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4B2"/>
    <w:rsid w:val="00040698"/>
    <w:rsid w:val="000E3438"/>
    <w:rsid w:val="0018625B"/>
    <w:rsid w:val="00252C63"/>
    <w:rsid w:val="00283CAC"/>
    <w:rsid w:val="00451300"/>
    <w:rsid w:val="00584DFF"/>
    <w:rsid w:val="00644EF4"/>
    <w:rsid w:val="00753596"/>
    <w:rsid w:val="008644B2"/>
    <w:rsid w:val="0094185F"/>
    <w:rsid w:val="00953062"/>
    <w:rsid w:val="00A82320"/>
    <w:rsid w:val="00C23ED1"/>
    <w:rsid w:val="00C42349"/>
    <w:rsid w:val="00E624E8"/>
    <w:rsid w:val="00E628BA"/>
    <w:rsid w:val="00FF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C8B8972-CAC9-420C-8334-009A5994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eastAsia="zh-CN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aliases w:val="Appel note de bas de p,Footnote Reference/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"/>
    <w:basedOn w:val="Normal"/>
    <w:link w:val="FootnoteTextChar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pPr>
      <w:ind w:left="600"/>
    </w:p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TableText">
    <w:name w:val="Table_Text"/>
    <w:basedOn w:val="TableLegend"/>
    <w:pPr>
      <w:spacing w:before="100" w:after="100" w:line="190" w:lineRule="exact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794" w:hanging="794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</w:r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69" w:right="3969"/>
      <w:jc w:val="center"/>
    </w:p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Ref">
    <w:name w:val="Rep_Title/Ref"/>
    <w:basedOn w:val="RecTitleRef"/>
    <w:next w:val="RepTitleDate"/>
  </w:style>
  <w:style w:type="paragraph" w:customStyle="1" w:styleId="RepTitleDate">
    <w:name w:val="Rep_Title/Date"/>
    <w:basedOn w:val="RecTitleDate"/>
    <w:next w:val="headfoot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QuestionTitleDate">
    <w:name w:val="Question_Title/Date"/>
    <w:basedOn w:val="RecTitleDate"/>
    <w:next w:val="headfoot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Ref">
    <w:name w:val="Res_Title/Ref"/>
    <w:basedOn w:val="RecTitleRef"/>
    <w:next w:val="ResTitleDate"/>
  </w:style>
  <w:style w:type="paragraph" w:customStyle="1" w:styleId="ResTitleDate">
    <w:name w:val="Res_Title/Date"/>
    <w:basedOn w:val="RecTitleDate"/>
    <w:next w:val="headfoot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TitreSerie">
    <w:name w:val="Titre Seri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1200" w:after="240"/>
      <w:ind w:left="1418"/>
      <w:jc w:val="left"/>
    </w:pPr>
    <w:rPr>
      <w:rFonts w:ascii="Arial" w:hAnsi="Arial" w:cs="Arial"/>
      <w:sz w:val="32"/>
      <w:szCs w:val="32"/>
      <w:lang w:val="en-US"/>
    </w:rPr>
  </w:style>
  <w:style w:type="paragraph" w:customStyle="1" w:styleId="Sujet">
    <w:name w:val="Sujet"/>
    <w:basedOn w:val="Normal"/>
    <w:pPr>
      <w:tabs>
        <w:tab w:val="clear" w:pos="794"/>
        <w:tab w:val="clear" w:pos="1191"/>
        <w:tab w:val="clear" w:pos="1588"/>
        <w:tab w:val="clear" w:pos="1985"/>
      </w:tabs>
      <w:ind w:left="1418"/>
      <w:jc w:val="left"/>
    </w:pPr>
    <w:rPr>
      <w:rFonts w:ascii="Arial" w:hAnsi="Arial" w:cs="Arial"/>
      <w:sz w:val="32"/>
      <w:szCs w:val="32"/>
      <w:lang w:val="en-US"/>
    </w:rPr>
  </w:style>
  <w:style w:type="paragraph" w:customStyle="1" w:styleId="RecRef">
    <w:name w:val="Rec Ref"/>
    <w:basedOn w:val="Normal"/>
    <w:next w:val="Heading1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i/>
      <w:iCs/>
      <w:lang w:val="en-US"/>
    </w:rPr>
  </w:style>
  <w:style w:type="paragraph" w:customStyle="1" w:styleId="TableFin0">
    <w:name w:val="Table_Fin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84"/>
    </w:pPr>
    <w:rPr>
      <w:lang w:val="en-US"/>
    </w:rPr>
  </w:style>
  <w:style w:type="paragraph" w:customStyle="1" w:styleId="SectionTitle0">
    <w:name w:val="Section_Title"/>
    <w:basedOn w:val="Normal"/>
    <w:pPr>
      <w:tabs>
        <w:tab w:val="clear" w:pos="794"/>
        <w:tab w:val="clear" w:pos="1191"/>
        <w:tab w:val="clear" w:pos="1588"/>
        <w:tab w:val="clear" w:pos="1985"/>
      </w:tabs>
      <w:ind w:left="1418"/>
      <w:jc w:val="left"/>
    </w:pPr>
    <w:rPr>
      <w:rFonts w:ascii="Arial" w:hAnsi="Arial" w:cs="Arial"/>
      <w:sz w:val="32"/>
      <w:szCs w:val="32"/>
      <w:lang w:val="en-US"/>
    </w:rPr>
  </w:style>
  <w:style w:type="paragraph" w:customStyle="1" w:styleId="Rec0">
    <w:name w:val="Rec #"/>
    <w:basedOn w:val="Normal"/>
    <w:next w:val="headfoo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/>
      <w:jc w:val="left"/>
    </w:pPr>
    <w:rPr>
      <w:b/>
      <w:bCs/>
      <w:lang w:val="en-US"/>
    </w:rPr>
  </w:style>
  <w:style w:type="paragraph" w:customStyle="1" w:styleId="RecTitle0">
    <w:name w:val="Rec Title"/>
    <w:basedOn w:val="Rec0"/>
    <w:next w:val="RecRef"/>
    <w:pPr>
      <w:spacing w:before="240"/>
      <w:jc w:val="center"/>
    </w:pPr>
    <w:rPr>
      <w:caps/>
      <w:sz w:val="24"/>
      <w:szCs w:val="24"/>
    </w:rPr>
  </w:style>
  <w:style w:type="paragraph" w:customStyle="1" w:styleId="CouvRecTitle">
    <w:name w:val="Couv Rec Title"/>
    <w:basedOn w:val="RecTitle0"/>
    <w:pPr>
      <w:ind w:left="1418"/>
      <w:jc w:val="left"/>
    </w:pPr>
    <w:rPr>
      <w:rFonts w:ascii="Arial" w:hAnsi="Arial" w:cs="Arial"/>
      <w:caps w:val="0"/>
      <w:sz w:val="36"/>
      <w:szCs w:val="36"/>
    </w:rPr>
  </w:style>
  <w:style w:type="paragraph" w:customStyle="1" w:styleId="CouvRec">
    <w:name w:val="Couv Rec #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6"/>
      <w:ind w:left="1418"/>
    </w:pPr>
    <w:rPr>
      <w:rFonts w:ascii="Arial" w:hAnsi="Arial" w:cs="Arial"/>
      <w:sz w:val="32"/>
      <w:szCs w:val="32"/>
      <w:lang w:val="en-US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40"/>
      <w:jc w:val="left"/>
    </w:pPr>
    <w:rPr>
      <w:noProof/>
    </w:rPr>
  </w:style>
  <w:style w:type="paragraph" w:customStyle="1" w:styleId="ASN1Cont">
    <w:name w:val="ASN.1 Cont."/>
    <w:basedOn w:val="ASN1"/>
    <w:pPr>
      <w:spacing w:before="0"/>
    </w:pPr>
  </w:style>
  <w:style w:type="paragraph" w:customStyle="1" w:styleId="ASN1ital">
    <w:name w:val="ASN.1 ital"/>
    <w:basedOn w:val="Normal"/>
    <w:next w:val="ASN1Cont"/>
    <w:pPr>
      <w:spacing w:before="0"/>
    </w:pPr>
    <w:rPr>
      <w:i/>
      <w:iCs/>
      <w:lang w:val="en-US"/>
    </w:rPr>
  </w:style>
  <w:style w:type="paragraph" w:customStyle="1" w:styleId="CouvNote">
    <w:name w:val="Couv Note"/>
    <w:basedOn w:val="Normal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418"/>
      </w:tabs>
      <w:spacing w:before="200"/>
    </w:pPr>
    <w:rPr>
      <w:rFonts w:ascii="Arial" w:hAnsi="Arial" w:cs="Arial"/>
      <w:lang w:val="en-US"/>
    </w:rPr>
  </w:style>
  <w:style w:type="paragraph" w:customStyle="1" w:styleId="SAP">
    <w:name w:val="SAP"/>
    <w:basedOn w:val="Normal"/>
    <w:pPr>
      <w:spacing w:before="960" w:after="240"/>
      <w:jc w:val="right"/>
    </w:pPr>
    <w:rPr>
      <w:rFonts w:ascii="C39T36Lfz" w:hAnsi="C39T36Lfz"/>
      <w:sz w:val="104"/>
      <w:szCs w:val="104"/>
      <w:lang w:val="en-US"/>
    </w:rPr>
  </w:style>
  <w:style w:type="paragraph" w:customStyle="1" w:styleId="IndexTitle">
    <w:name w:val="Index_Title"/>
    <w:basedOn w:val="AnnexTitle"/>
    <w:pPr>
      <w:tabs>
        <w:tab w:val="clear" w:pos="4849"/>
        <w:tab w:val="clear" w:pos="9696"/>
        <w:tab w:val="left" w:pos="794"/>
        <w:tab w:val="left" w:pos="1191"/>
        <w:tab w:val="left" w:pos="1588"/>
        <w:tab w:val="left" w:pos="1985"/>
      </w:tabs>
      <w:spacing w:before="80" w:after="20"/>
    </w:pPr>
    <w:rPr>
      <w:lang w:val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 Char"/>
    <w:basedOn w:val="DefaultParagraphFont"/>
    <w:link w:val="FootnoteText"/>
    <w:locked/>
    <w:rsid w:val="0018625B"/>
    <w:rPr>
      <w:sz w:val="18"/>
      <w:szCs w:val="18"/>
      <w:lang w:val="en-GB" w:eastAsia="zh-CN" w:bidi="ar-SA"/>
    </w:rPr>
  </w:style>
  <w:style w:type="character" w:styleId="PageNumber">
    <w:name w:val="page number"/>
    <w:basedOn w:val="DefaultParagraphFont"/>
    <w:rsid w:val="00953062"/>
  </w:style>
  <w:style w:type="paragraph" w:customStyle="1" w:styleId="Tablehead">
    <w:name w:val="Table_head"/>
    <w:basedOn w:val="Normal"/>
    <w:next w:val="Normal"/>
    <w:rsid w:val="009530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text0">
    <w:name w:val="Table_text"/>
    <w:basedOn w:val="Normal"/>
    <w:rsid w:val="009530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953062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953062"/>
    <w:rPr>
      <w:color w:val="0000FF"/>
      <w:u w:val="single"/>
    </w:rPr>
  </w:style>
  <w:style w:type="paragraph" w:customStyle="1" w:styleId="Headingb">
    <w:name w:val="Heading_b"/>
    <w:basedOn w:val="Normal"/>
    <w:next w:val="Normal"/>
    <w:link w:val="HeadingbChar"/>
    <w:qFormat/>
    <w:rsid w:val="00A8232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60"/>
      <w:jc w:val="left"/>
    </w:pPr>
    <w:rPr>
      <w:rFonts w:ascii="Times New Roman Bold" w:hAnsi="Times New Roman Bold" w:cs="Times New Roman Bold"/>
      <w:b/>
      <w:sz w:val="24"/>
      <w:lang w:val="fr-CH" w:eastAsia="en-US"/>
    </w:rPr>
  </w:style>
  <w:style w:type="paragraph" w:customStyle="1" w:styleId="HeadingSum">
    <w:name w:val="Heading_Sum"/>
    <w:basedOn w:val="Headingb"/>
    <w:next w:val="Normal"/>
    <w:autoRedefine/>
    <w:rsid w:val="00A82320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Times New Roman" w:hAnsi="Times New Roman" w:cs="Times New Roman"/>
      <w:sz w:val="20"/>
      <w:lang w:val="en-US"/>
    </w:rPr>
  </w:style>
  <w:style w:type="paragraph" w:customStyle="1" w:styleId="Summary">
    <w:name w:val="Summary"/>
    <w:basedOn w:val="Normal"/>
    <w:next w:val="Normal"/>
    <w:autoRedefine/>
    <w:rsid w:val="00A82320"/>
    <w:pPr>
      <w:spacing w:before="120" w:after="120"/>
      <w:jc w:val="left"/>
    </w:pPr>
    <w:rPr>
      <w:lang w:eastAsia="en-US"/>
    </w:rPr>
  </w:style>
  <w:style w:type="character" w:customStyle="1" w:styleId="HeadingbChar">
    <w:name w:val="Heading_b Char"/>
    <w:link w:val="Headingb"/>
    <w:locked/>
    <w:rsid w:val="00A82320"/>
    <w:rPr>
      <w:rFonts w:ascii="Times New Roman Bold" w:hAnsi="Times New Roman Bold" w:cs="Times New Roman Bold"/>
      <w:b/>
      <w:sz w:val="24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6B5A-477D-404A-BAE2-79A5FD36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4</TotalTime>
  <Pages>4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SM.1270 - Additional information for monitoring purposes related to classification and designation of emission</vt:lpstr>
    </vt:vector>
  </TitlesOfParts>
  <Manager>PV..1677</Manager>
  <Company>ITU</Company>
  <LinksUpToDate>false</LinksUpToDate>
  <CharactersWithSpaces>6579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SM.1270 - Additional information for monitoring purposes related to classification and designation of emission</dc:title>
  <dc:subject>SM Series = Spectrum management</dc:subject>
  <dc:creator>ITU Radiocommunication Bureau (BR)</dc:creator>
  <cp:keywords>SM, 1270</cp:keywords>
  <dc:description>Saisie +  Figs  +  MEP      27.06.97   /    PV_x000d_
BAT                                 04.07.97   /    PV</dc:description>
  <cp:lastModifiedBy>Gachet, Christelle</cp:lastModifiedBy>
  <cp:revision>6</cp:revision>
  <cp:lastPrinted>2019-09-13T05:43:00Z</cp:lastPrinted>
  <dcterms:created xsi:type="dcterms:W3CDTF">2019-09-13T05:40:00Z</dcterms:created>
  <dcterms:modified xsi:type="dcterms:W3CDTF">2019-09-16T08:04:00Z</dcterms:modified>
  <cp:category>\\  WW7  //    Folios:     1   à   2</cp:category>
</cp:coreProperties>
</file>