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20CF" w:rsidRPr="00575CB8" w:rsidRDefault="000220CF" w:rsidP="000220CF">
      <w:pPr>
        <w:rPr>
          <w:lang w:val="en-US"/>
        </w:rPr>
      </w:pPr>
      <w:bookmarkStart w:id="0" w:name="dbreak"/>
      <w:bookmarkEnd w:id="0"/>
    </w:p>
    <w:p w:rsidR="000220CF" w:rsidRDefault="000220CF" w:rsidP="000220CF"/>
    <w:p w:rsidR="000220CF" w:rsidRDefault="000220CF" w:rsidP="000220CF"/>
    <w:p w:rsidR="000220CF" w:rsidRDefault="000220CF" w:rsidP="000220CF"/>
    <w:p w:rsidR="000220CF" w:rsidRDefault="000220CF" w:rsidP="000220CF"/>
    <w:p w:rsidR="000220CF" w:rsidRDefault="000220CF" w:rsidP="000220CF"/>
    <w:p w:rsidR="000220CF" w:rsidRDefault="000220CF" w:rsidP="000220CF"/>
    <w:p w:rsidR="000220CF" w:rsidRDefault="000220CF" w:rsidP="000220CF"/>
    <w:p w:rsidR="000220CF" w:rsidRDefault="000220CF" w:rsidP="000220CF"/>
    <w:p w:rsidR="000220CF" w:rsidRDefault="000220CF" w:rsidP="000220CF"/>
    <w:p w:rsidR="000220CF" w:rsidRDefault="000220CF" w:rsidP="000220CF"/>
    <w:p w:rsidR="000220CF" w:rsidRDefault="000220CF" w:rsidP="000220CF"/>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0220CF" w:rsidRPr="000220CF" w:rsidTr="00606CEE">
        <w:tc>
          <w:tcPr>
            <w:tcW w:w="10089" w:type="dxa"/>
          </w:tcPr>
          <w:p w:rsidR="000220CF" w:rsidRPr="0010336F" w:rsidRDefault="000220CF" w:rsidP="00606CEE">
            <w:pPr>
              <w:spacing w:before="380" w:line="280" w:lineRule="exact"/>
              <w:jc w:val="right"/>
              <w:rPr>
                <w:rFonts w:ascii="Tahoma" w:hAnsi="Tahoma" w:cs="Tahoma"/>
                <w:b/>
                <w:bCs/>
                <w:iCs/>
                <w:color w:val="243285"/>
                <w:sz w:val="32"/>
                <w:szCs w:val="32"/>
                <w:lang w:val="en-US"/>
              </w:rPr>
            </w:pPr>
          </w:p>
          <w:p w:rsidR="000220CF" w:rsidRPr="0010336F" w:rsidRDefault="000220CF" w:rsidP="005025AC">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SM</w:t>
            </w:r>
            <w:r w:rsidRPr="0010336F">
              <w:rPr>
                <w:rFonts w:ascii="Tahoma" w:hAnsi="Tahoma" w:cs="Tahoma"/>
                <w:b/>
                <w:bCs/>
                <w:iCs/>
                <w:color w:val="243285"/>
                <w:sz w:val="36"/>
                <w:szCs w:val="36"/>
                <w:lang w:val="es-ES_tradnl"/>
              </w:rPr>
              <w:t>.</w:t>
            </w:r>
            <w:r w:rsidR="005025AC">
              <w:rPr>
                <w:rFonts w:ascii="Tahoma" w:hAnsi="Tahoma" w:cs="Tahoma"/>
                <w:b/>
                <w:bCs/>
                <w:iCs/>
                <w:color w:val="243285"/>
                <w:sz w:val="36"/>
                <w:szCs w:val="36"/>
                <w:lang w:val="es-ES_tradnl"/>
              </w:rPr>
              <w:t>1268-3</w:t>
            </w:r>
          </w:p>
          <w:p w:rsidR="000220CF" w:rsidRPr="0010336F" w:rsidRDefault="000220CF" w:rsidP="005025AC">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5025AC">
              <w:rPr>
                <w:rFonts w:ascii="Tahoma" w:hAnsi="Tahoma" w:cs="Tahoma"/>
                <w:b/>
                <w:bCs/>
                <w:iCs/>
                <w:color w:val="243285"/>
                <w:szCs w:val="24"/>
                <w:lang w:val="es-ES_tradnl"/>
              </w:rPr>
              <w:t>08</w:t>
            </w:r>
            <w:r w:rsidRPr="0010336F">
              <w:rPr>
                <w:rFonts w:ascii="Tahoma" w:hAnsi="Tahoma" w:cs="Tahoma"/>
                <w:b/>
                <w:bCs/>
                <w:iCs/>
                <w:color w:val="243285"/>
                <w:szCs w:val="24"/>
                <w:lang w:val="es-ES_tradnl"/>
              </w:rPr>
              <w:t>/</w:t>
            </w:r>
            <w:r w:rsidR="005025AC">
              <w:rPr>
                <w:rFonts w:ascii="Tahoma" w:hAnsi="Tahoma" w:cs="Tahoma"/>
                <w:b/>
                <w:bCs/>
                <w:iCs/>
                <w:color w:val="243285"/>
                <w:szCs w:val="24"/>
                <w:lang w:val="es-ES_tradnl"/>
              </w:rPr>
              <w:t>2014</w:t>
            </w:r>
            <w:r w:rsidRPr="0010336F">
              <w:rPr>
                <w:rFonts w:ascii="Tahoma" w:hAnsi="Tahoma" w:cs="Tahoma"/>
                <w:b/>
                <w:bCs/>
                <w:iCs/>
                <w:color w:val="243285"/>
                <w:szCs w:val="24"/>
                <w:lang w:val="es-ES_tradnl"/>
              </w:rPr>
              <w:t>)</w:t>
            </w:r>
          </w:p>
        </w:tc>
      </w:tr>
      <w:tr w:rsidR="000220CF" w:rsidRPr="005025AC" w:rsidTr="00606CEE">
        <w:tc>
          <w:tcPr>
            <w:tcW w:w="10089" w:type="dxa"/>
          </w:tcPr>
          <w:p w:rsidR="000220CF" w:rsidRPr="0010336F" w:rsidRDefault="000220CF" w:rsidP="00606CEE">
            <w:pPr>
              <w:spacing w:before="80" w:line="500" w:lineRule="exact"/>
              <w:jc w:val="right"/>
              <w:rPr>
                <w:rFonts w:ascii="Tahoma" w:hAnsi="Tahoma" w:cs="Tahoma"/>
                <w:b/>
                <w:bCs/>
                <w:iCs/>
                <w:color w:val="243285"/>
                <w:sz w:val="44"/>
                <w:szCs w:val="44"/>
                <w:lang w:val="es-ES_tradnl"/>
              </w:rPr>
            </w:pPr>
          </w:p>
          <w:p w:rsidR="000220CF" w:rsidRDefault="005025AC" w:rsidP="005025AC">
            <w:pPr>
              <w:spacing w:before="80" w:line="500" w:lineRule="exact"/>
              <w:jc w:val="right"/>
              <w:rPr>
                <w:rFonts w:ascii="Tahoma" w:hAnsi="Tahoma" w:cs="Tahoma"/>
                <w:b/>
                <w:bCs/>
                <w:color w:val="243285"/>
                <w:sz w:val="44"/>
                <w:szCs w:val="44"/>
                <w:lang w:val="es-ES_tradnl"/>
              </w:rPr>
            </w:pPr>
            <w:r w:rsidRPr="005025AC">
              <w:rPr>
                <w:rFonts w:ascii="Tahoma" w:hAnsi="Tahoma" w:cs="Tahoma"/>
                <w:b/>
                <w:bCs/>
                <w:color w:val="243285"/>
                <w:sz w:val="44"/>
                <w:szCs w:val="44"/>
                <w:lang w:val="es-ES_tradnl"/>
              </w:rPr>
              <w:t>Método para medir la máxima desviación de frecuencia de</w:t>
            </w:r>
            <w:r>
              <w:rPr>
                <w:rFonts w:ascii="Tahoma" w:hAnsi="Tahoma" w:cs="Tahoma"/>
                <w:b/>
                <w:bCs/>
                <w:color w:val="243285"/>
                <w:sz w:val="44"/>
                <w:szCs w:val="44"/>
                <w:lang w:val="es-ES_tradnl"/>
              </w:rPr>
              <w:t xml:space="preserve"> </w:t>
            </w:r>
            <w:r w:rsidRPr="005025AC">
              <w:rPr>
                <w:rFonts w:ascii="Tahoma" w:hAnsi="Tahoma" w:cs="Tahoma"/>
                <w:b/>
                <w:bCs/>
                <w:color w:val="243285"/>
                <w:sz w:val="44"/>
                <w:szCs w:val="44"/>
                <w:lang w:val="es-ES_tradnl"/>
              </w:rPr>
              <w:t>las emisiones de</w:t>
            </w:r>
            <w:r>
              <w:rPr>
                <w:rFonts w:ascii="Tahoma" w:hAnsi="Tahoma" w:cs="Tahoma"/>
                <w:b/>
                <w:bCs/>
                <w:color w:val="243285"/>
                <w:sz w:val="44"/>
                <w:szCs w:val="44"/>
                <w:lang w:val="es-ES_tradnl"/>
              </w:rPr>
              <w:br/>
            </w:r>
            <w:r w:rsidRPr="005025AC">
              <w:rPr>
                <w:rFonts w:ascii="Tahoma" w:hAnsi="Tahoma" w:cs="Tahoma"/>
                <w:b/>
                <w:bCs/>
                <w:color w:val="243285"/>
                <w:sz w:val="44"/>
                <w:szCs w:val="44"/>
                <w:lang w:val="es-ES_tradnl"/>
              </w:rPr>
              <w:t>radiodifusión en frecuencia</w:t>
            </w:r>
            <w:r>
              <w:rPr>
                <w:rFonts w:ascii="Tahoma" w:hAnsi="Tahoma" w:cs="Tahoma"/>
                <w:b/>
                <w:bCs/>
                <w:color w:val="243285"/>
                <w:sz w:val="44"/>
                <w:szCs w:val="44"/>
                <w:lang w:val="es-ES_tradnl"/>
              </w:rPr>
              <w:t xml:space="preserve"> </w:t>
            </w:r>
            <w:r w:rsidRPr="005025AC">
              <w:rPr>
                <w:rFonts w:ascii="Tahoma" w:hAnsi="Tahoma" w:cs="Tahoma"/>
                <w:b/>
                <w:bCs/>
                <w:color w:val="243285"/>
                <w:sz w:val="44"/>
                <w:szCs w:val="44"/>
                <w:lang w:val="es-ES_tradnl"/>
              </w:rPr>
              <w:t>modulada (FM)</w:t>
            </w:r>
            <w:r w:rsidRPr="005025AC">
              <w:rPr>
                <w:rFonts w:ascii="Tahoma" w:hAnsi="Tahoma" w:cs="Tahoma"/>
                <w:b/>
                <w:bCs/>
                <w:color w:val="243285"/>
                <w:sz w:val="44"/>
                <w:szCs w:val="44"/>
                <w:lang w:val="es-ES_tradnl"/>
              </w:rPr>
              <w:br/>
              <w:t xml:space="preserve">en las estaciones de </w:t>
            </w:r>
            <w:r>
              <w:rPr>
                <w:rFonts w:ascii="Tahoma" w:hAnsi="Tahoma" w:cs="Tahoma"/>
                <w:b/>
                <w:bCs/>
                <w:color w:val="243285"/>
                <w:sz w:val="44"/>
                <w:szCs w:val="44"/>
                <w:lang w:val="es-ES_tradnl"/>
              </w:rPr>
              <w:br/>
            </w:r>
            <w:r w:rsidRPr="005025AC">
              <w:rPr>
                <w:rFonts w:ascii="Tahoma" w:hAnsi="Tahoma" w:cs="Tahoma"/>
                <w:b/>
                <w:bCs/>
                <w:color w:val="243285"/>
                <w:sz w:val="44"/>
                <w:szCs w:val="44"/>
                <w:lang w:val="es-ES_tradnl"/>
              </w:rPr>
              <w:t>comprobación técnica</w:t>
            </w:r>
            <w:r>
              <w:rPr>
                <w:rFonts w:ascii="Tahoma" w:hAnsi="Tahoma" w:cs="Tahoma"/>
                <w:b/>
                <w:bCs/>
                <w:color w:val="243285"/>
                <w:sz w:val="44"/>
                <w:szCs w:val="44"/>
                <w:lang w:val="es-ES_tradnl"/>
              </w:rPr>
              <w:t xml:space="preserve"> </w:t>
            </w:r>
          </w:p>
          <w:p w:rsidR="000220CF" w:rsidRDefault="000220CF" w:rsidP="00606CEE">
            <w:pPr>
              <w:spacing w:before="80" w:line="500" w:lineRule="exact"/>
              <w:jc w:val="right"/>
              <w:rPr>
                <w:rFonts w:ascii="Tahoma" w:hAnsi="Tahoma" w:cs="Tahoma"/>
                <w:b/>
                <w:bCs/>
                <w:color w:val="243285"/>
                <w:sz w:val="44"/>
                <w:szCs w:val="44"/>
                <w:lang w:val="es-ES_tradnl"/>
              </w:rPr>
            </w:pPr>
          </w:p>
          <w:p w:rsidR="000220CF" w:rsidRPr="0010336F" w:rsidRDefault="000220CF" w:rsidP="00606CEE">
            <w:pPr>
              <w:spacing w:before="80" w:line="500" w:lineRule="exact"/>
              <w:jc w:val="right"/>
              <w:rPr>
                <w:rFonts w:ascii="Tahoma" w:hAnsi="Tahoma" w:cs="Tahoma"/>
                <w:b/>
                <w:bCs/>
                <w:iCs/>
                <w:color w:val="243285"/>
                <w:sz w:val="44"/>
                <w:szCs w:val="44"/>
                <w:lang w:val="es-ES_tradnl"/>
              </w:rPr>
            </w:pPr>
          </w:p>
        </w:tc>
      </w:tr>
      <w:tr w:rsidR="000220CF" w:rsidRPr="000220CF" w:rsidTr="00606CEE">
        <w:tc>
          <w:tcPr>
            <w:tcW w:w="10089" w:type="dxa"/>
          </w:tcPr>
          <w:p w:rsidR="000220CF" w:rsidRPr="0010336F" w:rsidRDefault="000220CF" w:rsidP="00606CEE">
            <w:pPr>
              <w:spacing w:before="80" w:line="280" w:lineRule="exact"/>
              <w:ind w:right="640"/>
              <w:rPr>
                <w:rFonts w:ascii="Tahoma" w:hAnsi="Tahoma" w:cs="Tahoma"/>
                <w:b/>
                <w:bCs/>
                <w:iCs/>
                <w:color w:val="243285"/>
                <w:sz w:val="32"/>
                <w:szCs w:val="32"/>
                <w:lang w:val="es-ES_tradnl"/>
              </w:rPr>
            </w:pPr>
          </w:p>
          <w:p w:rsidR="000220CF" w:rsidRPr="0010336F" w:rsidRDefault="000220CF" w:rsidP="00606CEE">
            <w:pPr>
              <w:spacing w:before="80" w:line="280" w:lineRule="exact"/>
              <w:ind w:right="640"/>
              <w:rPr>
                <w:rFonts w:ascii="Tahoma" w:hAnsi="Tahoma" w:cs="Tahoma"/>
                <w:b/>
                <w:bCs/>
                <w:iCs/>
                <w:color w:val="243285"/>
                <w:sz w:val="32"/>
                <w:szCs w:val="32"/>
                <w:lang w:val="es-ES_tradnl"/>
              </w:rPr>
            </w:pPr>
          </w:p>
          <w:p w:rsidR="000220CF" w:rsidRPr="0010336F" w:rsidRDefault="000220CF" w:rsidP="00606CEE">
            <w:pPr>
              <w:spacing w:before="80" w:after="180" w:line="360" w:lineRule="exact"/>
              <w:ind w:right="720"/>
              <w:rPr>
                <w:rFonts w:ascii="Tahoma" w:hAnsi="Tahoma" w:cs="Tahoma"/>
                <w:b/>
                <w:bCs/>
                <w:iCs/>
                <w:color w:val="243285"/>
                <w:sz w:val="36"/>
                <w:szCs w:val="36"/>
                <w:lang w:val="es-ES_tradnl"/>
              </w:rPr>
            </w:pPr>
          </w:p>
          <w:p w:rsidR="000220CF" w:rsidRPr="0010336F" w:rsidRDefault="000220CF" w:rsidP="0060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SM</w:t>
            </w:r>
          </w:p>
          <w:p w:rsidR="000220CF" w:rsidRPr="0010336F" w:rsidRDefault="000220CF" w:rsidP="00606CEE">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Gestión del espectro</w:t>
            </w:r>
          </w:p>
        </w:tc>
      </w:tr>
    </w:tbl>
    <w:p w:rsidR="000220CF" w:rsidRPr="0026666F" w:rsidRDefault="000220CF" w:rsidP="000220CF">
      <w:pPr>
        <w:spacing w:before="80"/>
        <w:rPr>
          <w:i/>
          <w:sz w:val="22"/>
          <w:lang w:val="es-ES_tradnl"/>
        </w:rPr>
      </w:pPr>
    </w:p>
    <w:p w:rsidR="000220CF" w:rsidRPr="0026666F" w:rsidRDefault="000220CF" w:rsidP="000220CF">
      <w:pPr>
        <w:spacing w:before="80"/>
        <w:rPr>
          <w:i/>
          <w:sz w:val="22"/>
          <w:lang w:val="es-ES_tradnl"/>
        </w:rPr>
      </w:pPr>
    </w:p>
    <w:p w:rsidR="000220CF" w:rsidRPr="0026666F" w:rsidRDefault="000220CF" w:rsidP="000220CF">
      <w:pPr>
        <w:spacing w:before="80"/>
        <w:rPr>
          <w:i/>
          <w:sz w:val="22"/>
          <w:lang w:val="es-ES_tradnl"/>
        </w:rPr>
      </w:pPr>
    </w:p>
    <w:p w:rsidR="000220CF" w:rsidRPr="0026666F" w:rsidRDefault="000220CF" w:rsidP="000220CF">
      <w:pPr>
        <w:spacing w:before="80"/>
        <w:rPr>
          <w:i/>
          <w:sz w:val="22"/>
          <w:lang w:val="es-ES_tradnl"/>
        </w:rPr>
      </w:pPr>
    </w:p>
    <w:p w:rsidR="000220CF" w:rsidRPr="0026666F" w:rsidRDefault="000220CF" w:rsidP="000220CF">
      <w:pPr>
        <w:spacing w:before="80"/>
        <w:rPr>
          <w:i/>
          <w:sz w:val="22"/>
          <w:lang w:val="es-ES_tradnl"/>
        </w:rPr>
      </w:pPr>
    </w:p>
    <w:p w:rsidR="000220CF" w:rsidRPr="0026666F" w:rsidRDefault="000220CF" w:rsidP="000220CF">
      <w:pPr>
        <w:spacing w:before="80"/>
        <w:rPr>
          <w:i/>
          <w:sz w:val="22"/>
          <w:lang w:val="es-ES_tradnl"/>
        </w:rPr>
      </w:pPr>
    </w:p>
    <w:p w:rsidR="000220CF" w:rsidRPr="0026666F" w:rsidRDefault="000220CF" w:rsidP="000220CF">
      <w:pPr>
        <w:pStyle w:val="Equation"/>
        <w:tabs>
          <w:tab w:val="clear" w:pos="4820"/>
          <w:tab w:val="clear" w:pos="9639"/>
          <w:tab w:val="left" w:pos="1191"/>
          <w:tab w:val="left" w:pos="1588"/>
          <w:tab w:val="left" w:pos="1985"/>
        </w:tabs>
        <w:rPr>
          <w:rFonts w:ascii="Palatino Linotype" w:hAnsi="Palatino Linotype"/>
          <w:lang w:val="es-ES_tradnl"/>
        </w:rPr>
        <w:sectPr w:rsidR="000220CF" w:rsidRPr="0026666F">
          <w:headerReference w:type="even" r:id="rId6"/>
          <w:headerReference w:type="default" r:id="rId7"/>
          <w:headerReference w:type="first" r:id="rId8"/>
          <w:pgSz w:w="11907" w:h="16840" w:code="9"/>
          <w:pgMar w:top="1089" w:right="1089" w:bottom="284" w:left="1089" w:header="567" w:footer="284" w:gutter="0"/>
          <w:pgNumType w:start="1"/>
          <w:cols w:space="720"/>
        </w:sectPr>
      </w:pPr>
    </w:p>
    <w:p w:rsidR="000220CF" w:rsidRPr="006C718C" w:rsidRDefault="000220CF" w:rsidP="000220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0220CF" w:rsidRPr="006C718C" w:rsidRDefault="000220CF" w:rsidP="000220CF">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220CF" w:rsidRPr="006C718C" w:rsidRDefault="000220CF" w:rsidP="000220CF">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220CF" w:rsidRPr="00021E8A" w:rsidRDefault="000220CF" w:rsidP="000220CF">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220CF" w:rsidRPr="00021E8A" w:rsidRDefault="000220CF" w:rsidP="000220CF">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220CF" w:rsidRPr="007C36CA" w:rsidRDefault="000220CF" w:rsidP="000220CF">
      <w:pPr>
        <w:spacing w:before="0"/>
        <w:jc w:val="center"/>
        <w:rPr>
          <w:sz w:val="22"/>
          <w:lang w:val="es-ES_tradnl"/>
        </w:rPr>
      </w:pPr>
    </w:p>
    <w:p w:rsidR="000220CF" w:rsidRPr="007C36CA" w:rsidRDefault="000220CF" w:rsidP="000220CF">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220CF" w:rsidRPr="000220CF" w:rsidTr="00606CEE">
        <w:tc>
          <w:tcPr>
            <w:tcW w:w="9360" w:type="dxa"/>
            <w:gridSpan w:val="2"/>
          </w:tcPr>
          <w:p w:rsidR="000220CF" w:rsidRPr="00021E8A" w:rsidRDefault="000220CF" w:rsidP="00606CEE">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220CF" w:rsidRPr="00763D08" w:rsidRDefault="000220CF" w:rsidP="00606C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0220CF" w:rsidRPr="00036EE3" w:rsidTr="00606CEE">
        <w:tc>
          <w:tcPr>
            <w:tcW w:w="1140" w:type="dxa"/>
            <w:tcBorders>
              <w:bottom w:val="nil"/>
            </w:tcBorders>
          </w:tcPr>
          <w:p w:rsidR="000220CF" w:rsidRPr="00036EE3" w:rsidRDefault="000220CF" w:rsidP="00606CEE">
            <w:pPr>
              <w:spacing w:before="180" w:after="100"/>
              <w:ind w:left="57"/>
              <w:rPr>
                <w:b/>
                <w:bCs/>
                <w:sz w:val="20"/>
                <w:lang w:val="en-US"/>
              </w:rPr>
            </w:pPr>
            <w:r w:rsidRPr="00036EE3">
              <w:rPr>
                <w:b/>
                <w:bCs/>
                <w:sz w:val="20"/>
                <w:lang w:val="en-US"/>
              </w:rPr>
              <w:t>Series</w:t>
            </w:r>
          </w:p>
        </w:tc>
        <w:tc>
          <w:tcPr>
            <w:tcW w:w="8220" w:type="dxa"/>
            <w:tcBorders>
              <w:bottom w:val="nil"/>
            </w:tcBorders>
          </w:tcPr>
          <w:p w:rsidR="000220CF" w:rsidRPr="00036EE3" w:rsidRDefault="000220CF" w:rsidP="00606C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0220CF" w:rsidRPr="004532F7" w:rsidTr="00606CEE">
        <w:tc>
          <w:tcPr>
            <w:tcW w:w="1140" w:type="dxa"/>
            <w:tcBorders>
              <w:top w:val="nil"/>
              <w:bottom w:val="nil"/>
            </w:tcBorders>
            <w:shd w:val="clear" w:color="auto" w:fill="auto"/>
          </w:tcPr>
          <w:p w:rsidR="000220CF" w:rsidRPr="004532F7" w:rsidRDefault="000220CF" w:rsidP="00606CEE">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0220CF" w:rsidRPr="004532F7" w:rsidRDefault="000220CF" w:rsidP="00606C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0220CF" w:rsidRPr="000220CF" w:rsidTr="00606CEE">
        <w:tc>
          <w:tcPr>
            <w:tcW w:w="1140" w:type="dxa"/>
            <w:tcBorders>
              <w:top w:val="nil"/>
              <w:bottom w:val="nil"/>
            </w:tcBorders>
            <w:shd w:val="clear" w:color="auto" w:fill="auto"/>
          </w:tcPr>
          <w:p w:rsidR="000220CF" w:rsidRPr="006B22C3" w:rsidRDefault="000220CF" w:rsidP="00606CEE">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0220CF" w:rsidRPr="006B22C3" w:rsidRDefault="000220CF" w:rsidP="00606C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0220CF" w:rsidRPr="00847DD5" w:rsidTr="00606CEE">
        <w:tc>
          <w:tcPr>
            <w:tcW w:w="1140" w:type="dxa"/>
            <w:tcBorders>
              <w:top w:val="nil"/>
              <w:bottom w:val="nil"/>
            </w:tcBorders>
            <w:shd w:val="clear" w:color="auto" w:fill="auto"/>
          </w:tcPr>
          <w:p w:rsidR="000220CF" w:rsidRPr="00847DD5" w:rsidRDefault="000220CF" w:rsidP="00606CEE">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0220CF" w:rsidRPr="00847DD5" w:rsidRDefault="000220CF" w:rsidP="00606C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0220CF" w:rsidRPr="00ED2695" w:rsidTr="00606CEE">
        <w:tc>
          <w:tcPr>
            <w:tcW w:w="1140" w:type="dxa"/>
            <w:tcBorders>
              <w:top w:val="nil"/>
              <w:bottom w:val="nil"/>
            </w:tcBorders>
            <w:shd w:val="clear" w:color="auto" w:fill="auto"/>
          </w:tcPr>
          <w:p w:rsidR="000220CF" w:rsidRPr="00ED2695" w:rsidRDefault="000220CF" w:rsidP="00606CEE">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0220CF" w:rsidRPr="00021E8A" w:rsidRDefault="000220CF" w:rsidP="00606C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0220CF" w:rsidRPr="00366CEE" w:rsidTr="00606CEE">
        <w:tc>
          <w:tcPr>
            <w:tcW w:w="1140" w:type="dxa"/>
            <w:tcBorders>
              <w:top w:val="nil"/>
              <w:bottom w:val="nil"/>
            </w:tcBorders>
            <w:shd w:val="clear" w:color="auto" w:fill="auto"/>
          </w:tcPr>
          <w:p w:rsidR="000220CF" w:rsidRPr="00366CEE" w:rsidRDefault="000220CF" w:rsidP="00606CEE">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0220CF" w:rsidRPr="00366CEE" w:rsidRDefault="000220CF" w:rsidP="00606CE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366CEE">
              <w:rPr>
                <w:sz w:val="20"/>
              </w:rPr>
              <w:t>Servicio</w:t>
            </w:r>
            <w:proofErr w:type="spellEnd"/>
            <w:r w:rsidRPr="00366CEE">
              <w:rPr>
                <w:sz w:val="20"/>
              </w:rPr>
              <w:t xml:space="preserve"> </w:t>
            </w:r>
            <w:proofErr w:type="spellStart"/>
            <w:r w:rsidRPr="00366CEE">
              <w:rPr>
                <w:sz w:val="20"/>
              </w:rPr>
              <w:t>fijo</w:t>
            </w:r>
            <w:proofErr w:type="spellEnd"/>
          </w:p>
        </w:tc>
      </w:tr>
      <w:tr w:rsidR="000220CF" w:rsidRPr="000220CF" w:rsidTr="00606CEE">
        <w:tc>
          <w:tcPr>
            <w:tcW w:w="1140" w:type="dxa"/>
            <w:tcBorders>
              <w:top w:val="nil"/>
              <w:bottom w:val="nil"/>
            </w:tcBorders>
            <w:shd w:val="clear" w:color="auto" w:fill="auto"/>
          </w:tcPr>
          <w:p w:rsidR="000220CF" w:rsidRPr="0010336F" w:rsidRDefault="000220CF" w:rsidP="00606CEE">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0220CF" w:rsidRPr="0010336F" w:rsidRDefault="000220CF" w:rsidP="00606C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0220CF" w:rsidRPr="000220CF" w:rsidTr="00606CEE">
        <w:tc>
          <w:tcPr>
            <w:tcW w:w="1140" w:type="dxa"/>
            <w:tcBorders>
              <w:top w:val="nil"/>
              <w:bottom w:val="nil"/>
            </w:tcBorders>
            <w:shd w:val="clear" w:color="auto" w:fill="auto"/>
          </w:tcPr>
          <w:p w:rsidR="000220CF" w:rsidRPr="00F95576" w:rsidRDefault="000220CF" w:rsidP="00606CEE">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0220CF" w:rsidRPr="00F95576" w:rsidRDefault="000220CF" w:rsidP="00606CEE">
            <w:pPr>
              <w:spacing w:before="30" w:after="30"/>
              <w:jc w:val="left"/>
              <w:rPr>
                <w:sz w:val="20"/>
                <w:lang w:val="es-ES_tradnl"/>
              </w:rPr>
            </w:pPr>
            <w:r w:rsidRPr="00F95576">
              <w:rPr>
                <w:sz w:val="20"/>
                <w:lang w:val="es-ES_tradnl"/>
              </w:rPr>
              <w:t>Propagación de las ondas radioeléctricas</w:t>
            </w:r>
          </w:p>
        </w:tc>
      </w:tr>
      <w:tr w:rsidR="000220CF" w:rsidRPr="00DE71F7" w:rsidTr="00606CEE">
        <w:tc>
          <w:tcPr>
            <w:tcW w:w="1140" w:type="dxa"/>
            <w:tcBorders>
              <w:top w:val="nil"/>
              <w:bottom w:val="nil"/>
            </w:tcBorders>
            <w:shd w:val="clear" w:color="auto" w:fill="auto"/>
          </w:tcPr>
          <w:p w:rsidR="000220CF" w:rsidRPr="00DE71F7" w:rsidRDefault="000220CF" w:rsidP="00606CEE">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0220CF" w:rsidRPr="00DE71F7" w:rsidRDefault="000220CF" w:rsidP="00606CE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proofErr w:type="spellStart"/>
            <w:r>
              <w:rPr>
                <w:sz w:val="20"/>
              </w:rPr>
              <w:t>Radio</w:t>
            </w:r>
            <w:r w:rsidRPr="00DE71F7">
              <w:rPr>
                <w:sz w:val="20"/>
              </w:rPr>
              <w:t>astronomía</w:t>
            </w:r>
            <w:proofErr w:type="spellEnd"/>
          </w:p>
        </w:tc>
      </w:tr>
      <w:tr w:rsidR="000220CF" w:rsidRPr="000220CF" w:rsidTr="00606CEE">
        <w:tc>
          <w:tcPr>
            <w:tcW w:w="1140" w:type="dxa"/>
            <w:tcBorders>
              <w:top w:val="nil"/>
              <w:bottom w:val="nil"/>
            </w:tcBorders>
            <w:shd w:val="clear" w:color="auto" w:fill="auto"/>
          </w:tcPr>
          <w:p w:rsidR="000220CF" w:rsidRPr="00D12388" w:rsidRDefault="000220CF" w:rsidP="00606CEE">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0220CF" w:rsidRPr="00D12388" w:rsidRDefault="000220CF" w:rsidP="00606CE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0220CF" w:rsidRPr="00025336" w:rsidTr="00606CEE">
        <w:tc>
          <w:tcPr>
            <w:tcW w:w="1140" w:type="dxa"/>
            <w:tcBorders>
              <w:top w:val="nil"/>
              <w:bottom w:val="nil"/>
            </w:tcBorders>
            <w:shd w:val="clear" w:color="auto" w:fill="auto"/>
          </w:tcPr>
          <w:p w:rsidR="000220CF" w:rsidRPr="00025336" w:rsidRDefault="000220CF" w:rsidP="00606CEE">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0220CF" w:rsidRPr="00025336" w:rsidRDefault="000220CF" w:rsidP="00606CEE">
            <w:pPr>
              <w:spacing w:before="30" w:after="30"/>
              <w:jc w:val="left"/>
              <w:rPr>
                <w:sz w:val="20"/>
                <w:lang w:val="en-US"/>
              </w:rPr>
            </w:pPr>
            <w:proofErr w:type="spellStart"/>
            <w:r w:rsidRPr="00025336">
              <w:rPr>
                <w:sz w:val="20"/>
              </w:rPr>
              <w:t>Servicio</w:t>
            </w:r>
            <w:proofErr w:type="spellEnd"/>
            <w:r w:rsidRPr="00025336">
              <w:rPr>
                <w:sz w:val="20"/>
              </w:rPr>
              <w:t xml:space="preserve"> </w:t>
            </w:r>
            <w:proofErr w:type="spellStart"/>
            <w:r w:rsidRPr="00025336">
              <w:rPr>
                <w:sz w:val="20"/>
              </w:rPr>
              <w:t>fijo</w:t>
            </w:r>
            <w:proofErr w:type="spellEnd"/>
            <w:r w:rsidRPr="00025336">
              <w:rPr>
                <w:sz w:val="20"/>
              </w:rPr>
              <w:t xml:space="preserve"> </w:t>
            </w:r>
            <w:proofErr w:type="spellStart"/>
            <w:r w:rsidRPr="00025336">
              <w:rPr>
                <w:sz w:val="20"/>
              </w:rPr>
              <w:t>por</w:t>
            </w:r>
            <w:proofErr w:type="spellEnd"/>
            <w:r w:rsidRPr="00025336">
              <w:rPr>
                <w:sz w:val="20"/>
              </w:rPr>
              <w:t xml:space="preserve"> </w:t>
            </w:r>
            <w:proofErr w:type="spellStart"/>
            <w:r w:rsidRPr="00025336">
              <w:rPr>
                <w:sz w:val="20"/>
              </w:rPr>
              <w:t>satélite</w:t>
            </w:r>
            <w:proofErr w:type="spellEnd"/>
          </w:p>
        </w:tc>
      </w:tr>
      <w:tr w:rsidR="000220CF" w:rsidRPr="00975AEB" w:rsidTr="00606CEE">
        <w:tc>
          <w:tcPr>
            <w:tcW w:w="1140" w:type="dxa"/>
            <w:tcBorders>
              <w:top w:val="nil"/>
              <w:bottom w:val="nil"/>
            </w:tcBorders>
            <w:shd w:val="clear" w:color="auto" w:fill="auto"/>
          </w:tcPr>
          <w:p w:rsidR="000220CF" w:rsidRPr="00975AEB" w:rsidRDefault="000220CF" w:rsidP="00606CEE">
            <w:pPr>
              <w:spacing w:before="30" w:after="30"/>
              <w:ind w:left="57"/>
              <w:jc w:val="left"/>
              <w:rPr>
                <w:b/>
                <w:bCs/>
                <w:sz w:val="20"/>
                <w:lang w:val="en-US"/>
              </w:rPr>
            </w:pPr>
            <w:r w:rsidRPr="00975AEB">
              <w:rPr>
                <w:b/>
                <w:bCs/>
                <w:sz w:val="20"/>
                <w:lang w:val="en-US"/>
              </w:rPr>
              <w:t>SA</w:t>
            </w:r>
          </w:p>
        </w:tc>
        <w:tc>
          <w:tcPr>
            <w:tcW w:w="8220" w:type="dxa"/>
            <w:tcBorders>
              <w:top w:val="nil"/>
              <w:bottom w:val="nil"/>
            </w:tcBorders>
            <w:shd w:val="clear" w:color="auto" w:fill="auto"/>
          </w:tcPr>
          <w:p w:rsidR="000220CF" w:rsidRPr="00975AEB" w:rsidRDefault="000220CF" w:rsidP="00606CEE">
            <w:pPr>
              <w:spacing w:before="30" w:after="30"/>
              <w:jc w:val="left"/>
              <w:rPr>
                <w:sz w:val="20"/>
                <w:lang w:val="en-US"/>
              </w:rPr>
            </w:pPr>
            <w:proofErr w:type="spellStart"/>
            <w:r w:rsidRPr="00975AEB">
              <w:rPr>
                <w:sz w:val="20"/>
              </w:rPr>
              <w:t>Aplicaciones</w:t>
            </w:r>
            <w:proofErr w:type="spellEnd"/>
            <w:r w:rsidRPr="00975AEB">
              <w:rPr>
                <w:sz w:val="20"/>
              </w:rPr>
              <w:t xml:space="preserve"> </w:t>
            </w:r>
            <w:proofErr w:type="spellStart"/>
            <w:r w:rsidRPr="00975AEB">
              <w:rPr>
                <w:sz w:val="20"/>
              </w:rPr>
              <w:t>espaciales</w:t>
            </w:r>
            <w:proofErr w:type="spellEnd"/>
            <w:r w:rsidRPr="00975AEB">
              <w:rPr>
                <w:sz w:val="20"/>
              </w:rPr>
              <w:t xml:space="preserve"> y </w:t>
            </w:r>
            <w:proofErr w:type="spellStart"/>
            <w:r w:rsidRPr="00975AEB">
              <w:rPr>
                <w:sz w:val="20"/>
              </w:rPr>
              <w:t>meteorología</w:t>
            </w:r>
            <w:proofErr w:type="spellEnd"/>
          </w:p>
        </w:tc>
      </w:tr>
      <w:tr w:rsidR="000220CF" w:rsidRPr="000220CF" w:rsidTr="00606CEE">
        <w:tc>
          <w:tcPr>
            <w:tcW w:w="1140" w:type="dxa"/>
            <w:tcBorders>
              <w:top w:val="nil"/>
              <w:bottom w:val="nil"/>
            </w:tcBorders>
            <w:shd w:val="clear" w:color="auto" w:fill="auto"/>
          </w:tcPr>
          <w:p w:rsidR="000220CF" w:rsidRPr="00746AC6" w:rsidRDefault="000220CF" w:rsidP="00606CEE">
            <w:pPr>
              <w:spacing w:before="30" w:after="30"/>
              <w:ind w:left="57"/>
              <w:jc w:val="left"/>
              <w:rPr>
                <w:b/>
                <w:bCs/>
                <w:sz w:val="20"/>
                <w:lang w:val="en-US"/>
              </w:rPr>
            </w:pPr>
            <w:r w:rsidRPr="00746AC6">
              <w:rPr>
                <w:b/>
                <w:bCs/>
                <w:sz w:val="20"/>
                <w:lang w:val="en-US"/>
              </w:rPr>
              <w:t>SF</w:t>
            </w:r>
          </w:p>
        </w:tc>
        <w:tc>
          <w:tcPr>
            <w:tcW w:w="8220" w:type="dxa"/>
            <w:tcBorders>
              <w:top w:val="nil"/>
              <w:bottom w:val="nil"/>
            </w:tcBorders>
            <w:shd w:val="clear" w:color="auto" w:fill="auto"/>
          </w:tcPr>
          <w:p w:rsidR="000220CF" w:rsidRPr="00746AC6" w:rsidRDefault="000220CF" w:rsidP="00606CEE">
            <w:pPr>
              <w:spacing w:before="30" w:after="30"/>
              <w:jc w:val="left"/>
              <w:rPr>
                <w:sz w:val="20"/>
                <w:lang w:val="es-ES_tradnl"/>
              </w:rPr>
            </w:pPr>
            <w:r w:rsidRPr="00746AC6">
              <w:rPr>
                <w:sz w:val="20"/>
                <w:lang w:val="es-ES_tradnl"/>
              </w:rPr>
              <w:t>Compartición de frecuencias y coordinación entre los sistemas del servicio fijo por satélite y del servicio fijo</w:t>
            </w:r>
          </w:p>
        </w:tc>
      </w:tr>
      <w:tr w:rsidR="000220CF" w:rsidRPr="00746AC6" w:rsidTr="00606CEE">
        <w:tc>
          <w:tcPr>
            <w:tcW w:w="1140" w:type="dxa"/>
            <w:tcBorders>
              <w:top w:val="nil"/>
              <w:bottom w:val="nil"/>
            </w:tcBorders>
            <w:shd w:val="clear" w:color="auto" w:fill="F3F3F3"/>
          </w:tcPr>
          <w:p w:rsidR="000220CF" w:rsidRPr="00746AC6" w:rsidRDefault="000220CF" w:rsidP="00606CEE">
            <w:pPr>
              <w:spacing w:before="30" w:after="30"/>
              <w:ind w:left="57"/>
              <w:jc w:val="left"/>
              <w:rPr>
                <w:b/>
                <w:bCs/>
                <w:color w:val="000080"/>
                <w:sz w:val="20"/>
                <w:lang w:val="en-US"/>
              </w:rPr>
            </w:pPr>
            <w:r w:rsidRPr="00746AC6">
              <w:rPr>
                <w:b/>
                <w:bCs/>
                <w:color w:val="000080"/>
                <w:sz w:val="20"/>
                <w:lang w:val="en-US"/>
              </w:rPr>
              <w:t>SM</w:t>
            </w:r>
          </w:p>
        </w:tc>
        <w:tc>
          <w:tcPr>
            <w:tcW w:w="8220" w:type="dxa"/>
            <w:tcBorders>
              <w:top w:val="nil"/>
              <w:bottom w:val="nil"/>
            </w:tcBorders>
            <w:shd w:val="clear" w:color="auto" w:fill="F3F3F3"/>
          </w:tcPr>
          <w:p w:rsidR="000220CF" w:rsidRPr="00746AC6" w:rsidRDefault="000220CF" w:rsidP="00606CEE">
            <w:pPr>
              <w:spacing w:before="30" w:after="30"/>
              <w:jc w:val="left"/>
              <w:rPr>
                <w:b/>
                <w:bCs/>
                <w:color w:val="000080"/>
                <w:sz w:val="20"/>
                <w:lang w:val="en-US"/>
              </w:rPr>
            </w:pPr>
            <w:proofErr w:type="spellStart"/>
            <w:r w:rsidRPr="00746AC6">
              <w:rPr>
                <w:b/>
                <w:bCs/>
                <w:color w:val="000080"/>
                <w:sz w:val="20"/>
              </w:rPr>
              <w:t>Gestión</w:t>
            </w:r>
            <w:proofErr w:type="spellEnd"/>
            <w:r w:rsidRPr="00746AC6">
              <w:rPr>
                <w:b/>
                <w:bCs/>
                <w:color w:val="000080"/>
                <w:sz w:val="20"/>
              </w:rPr>
              <w:t xml:space="preserve"> </w:t>
            </w:r>
            <w:proofErr w:type="spellStart"/>
            <w:r w:rsidRPr="00746AC6">
              <w:rPr>
                <w:b/>
                <w:bCs/>
                <w:color w:val="000080"/>
                <w:sz w:val="20"/>
              </w:rPr>
              <w:t>del</w:t>
            </w:r>
            <w:proofErr w:type="spellEnd"/>
            <w:r w:rsidRPr="00746AC6">
              <w:rPr>
                <w:b/>
                <w:bCs/>
                <w:color w:val="000080"/>
                <w:sz w:val="20"/>
              </w:rPr>
              <w:t xml:space="preserve"> </w:t>
            </w:r>
            <w:proofErr w:type="spellStart"/>
            <w:r w:rsidRPr="00746AC6">
              <w:rPr>
                <w:b/>
                <w:bCs/>
                <w:color w:val="000080"/>
                <w:sz w:val="20"/>
              </w:rPr>
              <w:t>espectro</w:t>
            </w:r>
            <w:proofErr w:type="spellEnd"/>
          </w:p>
        </w:tc>
      </w:tr>
      <w:tr w:rsidR="000220CF" w:rsidRPr="00036EE3" w:rsidTr="00606CEE">
        <w:tc>
          <w:tcPr>
            <w:tcW w:w="1140" w:type="dxa"/>
            <w:tcBorders>
              <w:top w:val="nil"/>
            </w:tcBorders>
          </w:tcPr>
          <w:p w:rsidR="000220CF" w:rsidRPr="00036EE3" w:rsidRDefault="000220CF" w:rsidP="00606CEE">
            <w:pPr>
              <w:spacing w:before="30" w:after="30"/>
              <w:ind w:left="57"/>
              <w:jc w:val="left"/>
              <w:rPr>
                <w:b/>
                <w:bCs/>
                <w:sz w:val="20"/>
                <w:lang w:val="en-US"/>
              </w:rPr>
            </w:pPr>
            <w:r w:rsidRPr="00036EE3">
              <w:rPr>
                <w:b/>
                <w:bCs/>
                <w:sz w:val="20"/>
                <w:lang w:val="en-US"/>
              </w:rPr>
              <w:t>SNG</w:t>
            </w:r>
          </w:p>
        </w:tc>
        <w:tc>
          <w:tcPr>
            <w:tcW w:w="8220" w:type="dxa"/>
            <w:tcBorders>
              <w:top w:val="nil"/>
            </w:tcBorders>
          </w:tcPr>
          <w:p w:rsidR="000220CF" w:rsidRPr="00021E8A" w:rsidRDefault="000220CF" w:rsidP="00606CEE">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0220CF" w:rsidRPr="000220CF" w:rsidTr="00606CEE">
        <w:tc>
          <w:tcPr>
            <w:tcW w:w="1140" w:type="dxa"/>
          </w:tcPr>
          <w:p w:rsidR="000220CF" w:rsidRPr="00036EE3" w:rsidRDefault="000220CF" w:rsidP="00606CEE">
            <w:pPr>
              <w:spacing w:before="30" w:after="30"/>
              <w:ind w:left="57"/>
              <w:jc w:val="left"/>
              <w:rPr>
                <w:b/>
                <w:bCs/>
                <w:sz w:val="20"/>
                <w:lang w:val="en-US"/>
              </w:rPr>
            </w:pPr>
            <w:r w:rsidRPr="00036EE3">
              <w:rPr>
                <w:b/>
                <w:bCs/>
                <w:sz w:val="20"/>
                <w:lang w:val="en-US"/>
              </w:rPr>
              <w:t>TF</w:t>
            </w:r>
          </w:p>
        </w:tc>
        <w:tc>
          <w:tcPr>
            <w:tcW w:w="8220" w:type="dxa"/>
          </w:tcPr>
          <w:p w:rsidR="000220CF" w:rsidRPr="00021E8A" w:rsidRDefault="000220CF" w:rsidP="00606CEE">
            <w:pPr>
              <w:spacing w:before="30" w:after="30"/>
              <w:jc w:val="left"/>
              <w:rPr>
                <w:bCs/>
                <w:sz w:val="20"/>
                <w:lang w:val="es-ES_tradnl"/>
              </w:rPr>
            </w:pPr>
            <w:r w:rsidRPr="00021E8A">
              <w:rPr>
                <w:bCs/>
                <w:sz w:val="20"/>
                <w:lang w:val="es-ES_tradnl"/>
              </w:rPr>
              <w:t>Emisiones de frecuencias patrón y señales horarias</w:t>
            </w:r>
          </w:p>
        </w:tc>
      </w:tr>
      <w:tr w:rsidR="000220CF" w:rsidRPr="00036EE3" w:rsidTr="00606CEE">
        <w:tc>
          <w:tcPr>
            <w:tcW w:w="1140" w:type="dxa"/>
          </w:tcPr>
          <w:p w:rsidR="000220CF" w:rsidRPr="00036EE3" w:rsidRDefault="000220CF" w:rsidP="00606CEE">
            <w:pPr>
              <w:spacing w:before="30" w:after="30"/>
              <w:ind w:left="57"/>
              <w:jc w:val="left"/>
              <w:rPr>
                <w:b/>
                <w:bCs/>
                <w:sz w:val="20"/>
                <w:lang w:val="en-US"/>
              </w:rPr>
            </w:pPr>
            <w:r w:rsidRPr="00036EE3">
              <w:rPr>
                <w:b/>
                <w:bCs/>
                <w:sz w:val="20"/>
                <w:lang w:val="en-US"/>
              </w:rPr>
              <w:t>V</w:t>
            </w:r>
          </w:p>
        </w:tc>
        <w:tc>
          <w:tcPr>
            <w:tcW w:w="8220" w:type="dxa"/>
          </w:tcPr>
          <w:p w:rsidR="000220CF" w:rsidRPr="00021E8A" w:rsidRDefault="000220CF" w:rsidP="00606CEE">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0220CF" w:rsidRPr="00036EE3" w:rsidRDefault="000220CF" w:rsidP="000220CF">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220CF" w:rsidTr="00606CEE">
        <w:tc>
          <w:tcPr>
            <w:tcW w:w="720" w:type="dxa"/>
          </w:tcPr>
          <w:p w:rsidR="000220CF" w:rsidRDefault="000220CF" w:rsidP="00606CEE">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0220CF" w:rsidRPr="000220CF" w:rsidTr="00606CEE">
        <w:tc>
          <w:tcPr>
            <w:tcW w:w="9360" w:type="dxa"/>
          </w:tcPr>
          <w:p w:rsidR="000220CF" w:rsidRPr="00763D08" w:rsidRDefault="000220CF" w:rsidP="00606CEE">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0220CF" w:rsidRPr="00763D08" w:rsidRDefault="000220CF" w:rsidP="000220CF">
      <w:pPr>
        <w:spacing w:before="0"/>
        <w:jc w:val="center"/>
        <w:rPr>
          <w:sz w:val="22"/>
          <w:lang w:val="es-ES_tradnl"/>
        </w:rPr>
      </w:pPr>
    </w:p>
    <w:p w:rsidR="000220CF" w:rsidRPr="00763D08" w:rsidRDefault="000220CF" w:rsidP="000220CF">
      <w:pPr>
        <w:spacing w:before="60"/>
        <w:jc w:val="right"/>
        <w:rPr>
          <w:i/>
          <w:iCs/>
          <w:sz w:val="20"/>
          <w:lang w:val="es-ES_tradnl"/>
        </w:rPr>
      </w:pPr>
      <w:r w:rsidRPr="00763D08">
        <w:rPr>
          <w:i/>
          <w:iCs/>
          <w:sz w:val="20"/>
          <w:lang w:val="es-ES_tradnl"/>
        </w:rPr>
        <w:t>Publicación electrónica</w:t>
      </w:r>
    </w:p>
    <w:p w:rsidR="000220CF" w:rsidRPr="00763D08" w:rsidRDefault="000220CF" w:rsidP="000220CF">
      <w:pPr>
        <w:spacing w:before="0" w:after="40"/>
        <w:jc w:val="right"/>
        <w:rPr>
          <w:sz w:val="20"/>
          <w:lang w:val="es-ES_tradnl"/>
        </w:rPr>
      </w:pPr>
      <w:r w:rsidRPr="00763D08">
        <w:rPr>
          <w:sz w:val="20"/>
          <w:lang w:val="es-ES_tradnl"/>
        </w:rPr>
        <w:t>Ginebra, 20</w:t>
      </w:r>
      <w:r>
        <w:rPr>
          <w:sz w:val="20"/>
          <w:lang w:val="es-ES_tradnl"/>
        </w:rPr>
        <w:t>15</w:t>
      </w:r>
    </w:p>
    <w:p w:rsidR="000220CF" w:rsidRPr="00763D08" w:rsidRDefault="000220CF" w:rsidP="000220CF">
      <w:pPr>
        <w:spacing w:before="0"/>
        <w:jc w:val="center"/>
        <w:rPr>
          <w:sz w:val="22"/>
          <w:lang w:val="es-ES_tradnl"/>
        </w:rPr>
      </w:pPr>
    </w:p>
    <w:p w:rsidR="000220CF" w:rsidRPr="00763D08" w:rsidRDefault="000220CF" w:rsidP="000220CF">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15</w:t>
      </w:r>
    </w:p>
    <w:p w:rsidR="000220CF" w:rsidRPr="006C718C" w:rsidRDefault="000220CF" w:rsidP="000220CF">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220CF" w:rsidRPr="006C718C" w:rsidRDefault="000220CF" w:rsidP="000220CF">
      <w:pPr>
        <w:spacing w:before="160"/>
        <w:rPr>
          <w:i/>
          <w:sz w:val="20"/>
          <w:highlight w:val="yellow"/>
          <w:lang w:val="es-ES_tradnl"/>
        </w:rPr>
        <w:sectPr w:rsidR="000220CF"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0220CF" w:rsidRPr="00DE5A70" w:rsidRDefault="000220CF" w:rsidP="00636B60">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SM</w:t>
      </w:r>
      <w:r w:rsidRPr="0010336F">
        <w:rPr>
          <w:rStyle w:val="href"/>
          <w:lang w:val="es-ES_tradnl"/>
        </w:rPr>
        <w:t>.</w:t>
      </w:r>
      <w:r w:rsidR="00636B60">
        <w:rPr>
          <w:rStyle w:val="href"/>
          <w:lang w:val="es-ES_tradnl"/>
        </w:rPr>
        <w:t>1268-3</w:t>
      </w:r>
    </w:p>
    <w:p w:rsidR="005025AC" w:rsidRDefault="005025AC" w:rsidP="005025AC">
      <w:pPr>
        <w:pStyle w:val="Rectitle"/>
        <w:rPr>
          <w:lang w:val="es-ES_tradnl"/>
        </w:rPr>
      </w:pPr>
      <w:bookmarkStart w:id="4" w:name="Revision_history"/>
      <w:r>
        <w:rPr>
          <w:lang w:val="es-ES_tradnl"/>
        </w:rPr>
        <w:t xml:space="preserve">Método para medir la </w:t>
      </w:r>
      <w:r w:rsidRPr="0024016D">
        <w:rPr>
          <w:lang w:val="es-ES_tradnl"/>
        </w:rPr>
        <w:t>máxima desviación de frecuencia</w:t>
      </w:r>
      <w:r>
        <w:rPr>
          <w:lang w:val="es-ES_tradnl"/>
        </w:rPr>
        <w:t xml:space="preserve"> </w:t>
      </w:r>
      <w:r w:rsidRPr="0024016D">
        <w:rPr>
          <w:lang w:val="es-ES_tradnl"/>
        </w:rPr>
        <w:t>de</w:t>
      </w:r>
      <w:r>
        <w:rPr>
          <w:lang w:val="es-ES_tradnl"/>
        </w:rPr>
        <w:br/>
      </w:r>
      <w:r w:rsidRPr="0024016D">
        <w:rPr>
          <w:lang w:val="es-ES_tradnl"/>
        </w:rPr>
        <w:t>las emisiones</w:t>
      </w:r>
      <w:r>
        <w:rPr>
          <w:lang w:val="es-ES_tradnl"/>
        </w:rPr>
        <w:t xml:space="preserve"> </w:t>
      </w:r>
      <w:r w:rsidRPr="0024016D">
        <w:rPr>
          <w:lang w:val="es-ES_tradnl"/>
        </w:rPr>
        <w:t xml:space="preserve">de radiodifusión </w:t>
      </w:r>
      <w:r>
        <w:rPr>
          <w:lang w:val="es-ES_tradnl"/>
        </w:rPr>
        <w:t>en frecuencia modulada (FM)</w:t>
      </w:r>
      <w:r>
        <w:rPr>
          <w:lang w:val="es-ES_tradnl"/>
        </w:rPr>
        <w:br/>
      </w:r>
      <w:r w:rsidRPr="0024016D">
        <w:rPr>
          <w:lang w:val="es-ES_tradnl"/>
        </w:rPr>
        <w:t>en las</w:t>
      </w:r>
      <w:r>
        <w:rPr>
          <w:lang w:val="es-ES_tradnl"/>
        </w:rPr>
        <w:t xml:space="preserve"> </w:t>
      </w:r>
      <w:r w:rsidRPr="0024016D">
        <w:rPr>
          <w:lang w:val="es-ES_tradnl"/>
        </w:rPr>
        <w:t>estaciones de comprobación técnica</w:t>
      </w:r>
    </w:p>
    <w:p w:rsidR="005025AC" w:rsidRPr="007B749C" w:rsidRDefault="005025AC" w:rsidP="005025AC">
      <w:pPr>
        <w:pStyle w:val="Recdate"/>
        <w:rPr>
          <w:lang w:val="es-ES_tradnl"/>
        </w:rPr>
      </w:pPr>
      <w:r w:rsidRPr="0024016D">
        <w:rPr>
          <w:lang w:val="es-ES_tradnl"/>
        </w:rPr>
        <w:t>(1997-1999</w:t>
      </w:r>
      <w:r>
        <w:rPr>
          <w:lang w:val="es-ES_tradnl"/>
        </w:rPr>
        <w:t>-2011-2014</w:t>
      </w:r>
      <w:r w:rsidRPr="0024016D">
        <w:rPr>
          <w:lang w:val="es-ES_tradnl"/>
        </w:rPr>
        <w:t>)</w:t>
      </w:r>
    </w:p>
    <w:bookmarkEnd w:id="4"/>
    <w:p w:rsidR="005025AC" w:rsidRPr="00AE0D07" w:rsidRDefault="005025AC" w:rsidP="005025AC">
      <w:pPr>
        <w:pStyle w:val="HeadingSum"/>
      </w:pPr>
      <w:r w:rsidRPr="00AE0D07">
        <w:t>Cometido</w:t>
      </w:r>
    </w:p>
    <w:p w:rsidR="005025AC" w:rsidRPr="00AE0D07" w:rsidRDefault="005025AC" w:rsidP="005025AC">
      <w:pPr>
        <w:pStyle w:val="Summary"/>
      </w:pPr>
      <w:r w:rsidRPr="00AE0D07">
        <w:t>Esta Recomendación describe métodos para medir la desviación y la potencia múltiplex de las estaciones de radiodifusión en frecuencia modulada (FM) durante la emisión normal del programa y para verificar que se cumplen las condiciones supuestas por los procedimientos de planificación de la red de radiodifusión.</w:t>
      </w:r>
    </w:p>
    <w:p w:rsidR="005025AC" w:rsidRPr="00AE0D07" w:rsidRDefault="005025AC" w:rsidP="00FA6C64">
      <w:pPr>
        <w:pStyle w:val="Headingb"/>
      </w:pPr>
      <w:r>
        <w:t>Término</w:t>
      </w:r>
    </w:p>
    <w:p w:rsidR="005025AC" w:rsidRPr="00AE0D07" w:rsidRDefault="005025AC" w:rsidP="00FA6C64">
      <w:proofErr w:type="spellStart"/>
      <w:r>
        <w:t>Radidifusion</w:t>
      </w:r>
      <w:proofErr w:type="spellEnd"/>
      <w:r>
        <w:t xml:space="preserve"> FM, desviación de frecuencia, potencia de modulación, medición, comprobación técnica</w:t>
      </w:r>
      <w:r w:rsidRPr="00AE0D07">
        <w:t>.</w:t>
      </w:r>
    </w:p>
    <w:p w:rsidR="005025AC" w:rsidRPr="00AE0D07" w:rsidRDefault="005025AC" w:rsidP="00FA6C64">
      <w:pPr>
        <w:pStyle w:val="Headingb"/>
      </w:pPr>
      <w:r>
        <w:t>Recomendaciones e Informes de la UIT conexas</w:t>
      </w:r>
    </w:p>
    <w:p w:rsidR="005025AC" w:rsidRDefault="005025AC" w:rsidP="00FA6C64">
      <w:r>
        <w:t>Recomendación UIT-R BS.412</w:t>
      </w:r>
      <w:r w:rsidRPr="00AE0D07">
        <w:t>.</w:t>
      </w:r>
    </w:p>
    <w:p w:rsidR="005025AC" w:rsidRPr="00005965" w:rsidRDefault="005025AC" w:rsidP="00CD4C0D">
      <w:pPr>
        <w:pStyle w:val="Note"/>
      </w:pPr>
      <w:r w:rsidRPr="00005965">
        <w:t xml:space="preserve">NOTA </w:t>
      </w:r>
      <w:r>
        <w:t>–</w:t>
      </w:r>
      <w:r w:rsidRPr="00005965">
        <w:t xml:space="preserve"> En todos los casos debe utilizarse la última edición de</w:t>
      </w:r>
      <w:r>
        <w:t xml:space="preserve"> </w:t>
      </w:r>
      <w:r w:rsidRPr="00005965">
        <w:t>l</w:t>
      </w:r>
      <w:r>
        <w:t>a</w:t>
      </w:r>
      <w:r w:rsidRPr="00005965">
        <w:t xml:space="preserve"> </w:t>
      </w:r>
      <w:r>
        <w:t>Recomendación/</w:t>
      </w:r>
      <w:r w:rsidRPr="00005965">
        <w:t xml:space="preserve">Informe </w:t>
      </w:r>
      <w:r>
        <w:t>en vigor.</w:t>
      </w:r>
    </w:p>
    <w:p w:rsidR="005025AC" w:rsidRPr="00970878" w:rsidRDefault="005025AC" w:rsidP="005025AC">
      <w:pPr>
        <w:pStyle w:val="Normalaftertitle"/>
        <w:rPr>
          <w:lang w:val="es-ES_tradnl"/>
        </w:rPr>
      </w:pPr>
      <w:r w:rsidRPr="00970878">
        <w:rPr>
          <w:lang w:val="es-ES_tradnl"/>
        </w:rPr>
        <w:t>La Asamblea de Radiocomunicaciones de la UIT,</w:t>
      </w:r>
    </w:p>
    <w:p w:rsidR="005025AC" w:rsidRPr="00970878" w:rsidRDefault="005025AC" w:rsidP="005025AC">
      <w:pPr>
        <w:pStyle w:val="Call"/>
        <w:rPr>
          <w:lang w:val="es-ES_tradnl"/>
        </w:rPr>
      </w:pPr>
      <w:r w:rsidRPr="00970878">
        <w:rPr>
          <w:szCs w:val="24"/>
          <w:lang w:val="es-ES_tradnl"/>
        </w:rPr>
        <w:t>considerando</w:t>
      </w:r>
    </w:p>
    <w:p w:rsidR="005025AC" w:rsidRPr="0024016D" w:rsidRDefault="005025AC" w:rsidP="005025AC">
      <w:pPr>
        <w:rPr>
          <w:lang w:val="es-ES_tradnl"/>
        </w:rPr>
      </w:pPr>
      <w:r w:rsidRPr="00CD4C0D">
        <w:rPr>
          <w:i/>
          <w:iCs/>
          <w:lang w:val="es-ES_tradnl"/>
        </w:rPr>
        <w:t>a)</w:t>
      </w:r>
      <w:r w:rsidRPr="0024016D">
        <w:rPr>
          <w:lang w:val="es-ES_tradnl"/>
        </w:rPr>
        <w:tab/>
      </w:r>
      <w:r>
        <w:rPr>
          <w:lang w:val="es-ES_tradnl"/>
        </w:rPr>
        <w:t>que los parámetros de planificación de las redes de radiodifusión FM figuran en la Recomendación UIT-R BS.412</w:t>
      </w:r>
      <w:r w:rsidRPr="0024016D">
        <w:rPr>
          <w:lang w:val="es-ES_tradnl"/>
        </w:rPr>
        <w:t>;</w:t>
      </w:r>
    </w:p>
    <w:p w:rsidR="005025AC" w:rsidRPr="0024016D" w:rsidRDefault="005025AC" w:rsidP="005025AC">
      <w:pPr>
        <w:rPr>
          <w:lang w:val="es-ES_tradnl"/>
        </w:rPr>
      </w:pPr>
      <w:r w:rsidRPr="00CD4C0D">
        <w:rPr>
          <w:i/>
          <w:iCs/>
          <w:lang w:val="es-ES_tradnl"/>
        </w:rPr>
        <w:t>b)</w:t>
      </w:r>
      <w:r w:rsidRPr="0024016D">
        <w:rPr>
          <w:lang w:val="es-ES_tradnl"/>
        </w:rPr>
        <w:tab/>
        <w:t>que las relaciones de protección para la planificación de las frecuencias de los transmisores de radiodifusión se basan en un valor máximo de la desviación de frecuencia de </w:t>
      </w:r>
      <w:r>
        <w:sym w:font="Symbol" w:char="F0B1"/>
      </w:r>
      <w:r w:rsidRPr="0024016D">
        <w:rPr>
          <w:lang w:val="es-ES_tradnl"/>
        </w:rPr>
        <w:t>75 kHz (o de </w:t>
      </w:r>
      <w:r>
        <w:rPr>
          <w:lang w:val="es-ES_tradnl"/>
        </w:rPr>
        <w:sym w:font="Symbol" w:char="F0B1"/>
      </w:r>
      <w:r w:rsidRPr="0024016D">
        <w:rPr>
          <w:lang w:val="es-ES_tradnl"/>
        </w:rPr>
        <w:t xml:space="preserve">50 kHz) y una potencia máxima de la señal de modulación que no rebase la potencia de un tono sinusoidal que provoca una desviación de frecuencia de </w:t>
      </w:r>
      <w:r>
        <w:sym w:font="Symbol" w:char="F0B1"/>
      </w:r>
      <w:r w:rsidRPr="0024016D">
        <w:rPr>
          <w:lang w:val="es-ES_tradnl"/>
        </w:rPr>
        <w:t>19 kHz;</w:t>
      </w:r>
    </w:p>
    <w:p w:rsidR="005025AC" w:rsidRPr="0024016D" w:rsidRDefault="005025AC" w:rsidP="005025AC">
      <w:pPr>
        <w:rPr>
          <w:lang w:val="es-ES_tradnl"/>
        </w:rPr>
      </w:pPr>
      <w:r w:rsidRPr="00CD4C0D">
        <w:rPr>
          <w:i/>
          <w:iCs/>
          <w:lang w:val="es-ES_tradnl"/>
        </w:rPr>
        <w:t>c)</w:t>
      </w:r>
      <w:r w:rsidRPr="0024016D">
        <w:rPr>
          <w:lang w:val="es-ES_tradnl"/>
        </w:rPr>
        <w:tab/>
        <w:t xml:space="preserve">que algunas transmisiones de radiodifusión rebasan la máxima desviación de frecuencia </w:t>
      </w:r>
      <w:r>
        <w:rPr>
          <w:lang w:val="es-ES_tradnl"/>
        </w:rPr>
        <w:t xml:space="preserve">y/o la potencia de modulación </w:t>
      </w:r>
      <w:r w:rsidRPr="0024016D">
        <w:rPr>
          <w:lang w:val="es-ES_tradnl"/>
        </w:rPr>
        <w:t>debido a los distintos tipos de programas</w:t>
      </w:r>
      <w:r>
        <w:rPr>
          <w:lang w:val="es-ES_tradnl"/>
        </w:rPr>
        <w:t>,</w:t>
      </w:r>
      <w:r w:rsidRPr="0024016D">
        <w:rPr>
          <w:lang w:val="es-ES_tradnl"/>
        </w:rPr>
        <w:t xml:space="preserve"> a las componentes adicionales de la señal compuesta (por ejemplo, sistema de transmisión radioeléctrica de datos (RDS, </w:t>
      </w:r>
      <w:r w:rsidRPr="0024016D">
        <w:rPr>
          <w:i/>
          <w:lang w:val="es-ES_tradnl"/>
        </w:rPr>
        <w:t xml:space="preserve">radio data </w:t>
      </w:r>
      <w:proofErr w:type="spellStart"/>
      <w:r w:rsidRPr="0024016D">
        <w:rPr>
          <w:i/>
          <w:lang w:val="es-ES_tradnl"/>
        </w:rPr>
        <w:t>system</w:t>
      </w:r>
      <w:proofErr w:type="spellEnd"/>
      <w:r w:rsidRPr="0024016D">
        <w:rPr>
          <w:lang w:val="es-ES_tradnl"/>
        </w:rPr>
        <w:t>)</w:t>
      </w:r>
      <w:r>
        <w:rPr>
          <w:lang w:val="es-ES_tradnl"/>
        </w:rPr>
        <w:t xml:space="preserve"> y a la compresión del audio</w:t>
      </w:r>
      <w:r w:rsidRPr="0024016D">
        <w:rPr>
          <w:lang w:val="es-ES_tradnl"/>
        </w:rPr>
        <w:t>;</w:t>
      </w:r>
    </w:p>
    <w:p w:rsidR="005025AC" w:rsidRPr="0024016D" w:rsidRDefault="005025AC" w:rsidP="005025AC">
      <w:pPr>
        <w:rPr>
          <w:lang w:val="es-ES_tradnl"/>
        </w:rPr>
      </w:pPr>
      <w:r w:rsidRPr="00CD4C0D">
        <w:rPr>
          <w:i/>
          <w:iCs/>
          <w:lang w:val="es-ES_tradnl"/>
        </w:rPr>
        <w:t>d)</w:t>
      </w:r>
      <w:r w:rsidRPr="0024016D">
        <w:rPr>
          <w:lang w:val="es-ES_tradnl"/>
        </w:rPr>
        <w:tab/>
        <w:t>que es necesario limitar la desviación de cresta de la frecuencia</w:t>
      </w:r>
      <w:r>
        <w:rPr>
          <w:lang w:val="es-ES_tradnl"/>
        </w:rPr>
        <w:t xml:space="preserve"> y la potencia de modulación</w:t>
      </w:r>
      <w:r w:rsidRPr="0024016D">
        <w:rPr>
          <w:lang w:val="es-ES_tradnl"/>
        </w:rPr>
        <w:t xml:space="preserve"> para la protección mutua de la planificación de radiodifusión</w:t>
      </w:r>
      <w:r>
        <w:rPr>
          <w:lang w:val="es-ES_tradnl"/>
        </w:rPr>
        <w:t xml:space="preserve"> y el servicio de radionavegación aeronáutica en las bandas de frecuencias por encima de 108 MHz</w:t>
      </w:r>
      <w:r w:rsidRPr="0024016D">
        <w:rPr>
          <w:lang w:val="es-ES_tradnl"/>
        </w:rPr>
        <w:t>;</w:t>
      </w:r>
    </w:p>
    <w:p w:rsidR="005025AC" w:rsidRPr="0024016D" w:rsidRDefault="005025AC" w:rsidP="005025AC">
      <w:pPr>
        <w:rPr>
          <w:lang w:val="es-ES_tradnl"/>
        </w:rPr>
      </w:pPr>
      <w:r w:rsidRPr="00CD4C0D">
        <w:rPr>
          <w:i/>
          <w:iCs/>
          <w:lang w:val="es-ES_tradnl"/>
        </w:rPr>
        <w:t>e)</w:t>
      </w:r>
      <w:r w:rsidRPr="0024016D">
        <w:rPr>
          <w:lang w:val="es-ES_tradnl"/>
        </w:rPr>
        <w:tab/>
        <w:t xml:space="preserve">que es necesario realizar comprobaciones técnicas de las emisiones difundidas para evitar que las transmisiones de radiodifusión rebasen la </w:t>
      </w:r>
      <w:r>
        <w:rPr>
          <w:lang w:val="es-ES_tradnl"/>
        </w:rPr>
        <w:t>máxima desviación de frecuencia y la máxima potencia de modulación;</w:t>
      </w:r>
    </w:p>
    <w:p w:rsidR="005025AC" w:rsidRPr="0024016D" w:rsidRDefault="005025AC" w:rsidP="005025AC">
      <w:pPr>
        <w:rPr>
          <w:lang w:val="es-ES_tradnl"/>
        </w:rPr>
      </w:pPr>
      <w:r w:rsidRPr="00CD4C0D">
        <w:rPr>
          <w:i/>
          <w:iCs/>
          <w:lang w:val="es-ES_tradnl"/>
        </w:rPr>
        <w:t>f)</w:t>
      </w:r>
      <w:r w:rsidRPr="0024016D">
        <w:rPr>
          <w:lang w:val="es-ES_tradnl"/>
        </w:rPr>
        <w:tab/>
        <w:t>que es necesario utilizar procedimientos de medición comunes para lograr una aceptación mutua de los resultados de las medidas por las partes interesadas; por ejemplo, organismos gestores de las frecuencias, servicios de comprobación técnica y entidades de radiodifusión;</w:t>
      </w:r>
    </w:p>
    <w:p w:rsidR="005025AC" w:rsidRPr="0024016D" w:rsidRDefault="005025AC" w:rsidP="005025AC">
      <w:pPr>
        <w:rPr>
          <w:lang w:val="es-ES_tradnl"/>
        </w:rPr>
      </w:pPr>
      <w:r w:rsidRPr="00CD4C0D">
        <w:rPr>
          <w:i/>
          <w:iCs/>
          <w:lang w:val="es-ES_tradnl"/>
        </w:rPr>
        <w:t>g)</w:t>
      </w:r>
      <w:r w:rsidRPr="0024016D">
        <w:rPr>
          <w:lang w:val="es-ES_tradnl"/>
        </w:rPr>
        <w:tab/>
        <w:t>que está aumentando el número de estaciones de radiodifusión que utilizan señales adicionales, tales como las del RDS, y señales de datos de alta velocidad y estos sistemas son muy sensibles a la interferencia procedente de los canales adyacentes,</w:t>
      </w:r>
    </w:p>
    <w:p w:rsidR="005025AC" w:rsidRPr="00970878" w:rsidRDefault="005025AC" w:rsidP="005025AC">
      <w:pPr>
        <w:pStyle w:val="Call"/>
        <w:rPr>
          <w:lang w:val="es-ES_tradnl"/>
        </w:rPr>
      </w:pPr>
      <w:r w:rsidRPr="00970878">
        <w:rPr>
          <w:szCs w:val="24"/>
          <w:lang w:val="es-ES_tradnl"/>
        </w:rPr>
        <w:lastRenderedPageBreak/>
        <w:t>reconociendo</w:t>
      </w:r>
    </w:p>
    <w:p w:rsidR="005025AC" w:rsidRPr="0024016D" w:rsidRDefault="005025AC" w:rsidP="005025AC">
      <w:pPr>
        <w:rPr>
          <w:lang w:val="es-ES_tradnl"/>
        </w:rPr>
      </w:pPr>
      <w:r w:rsidRPr="00CD4C0D">
        <w:rPr>
          <w:i/>
          <w:iCs/>
          <w:lang w:val="es-ES_tradnl"/>
        </w:rPr>
        <w:t>a)</w:t>
      </w:r>
      <w:r w:rsidRPr="0024016D">
        <w:rPr>
          <w:lang w:val="es-ES_tradnl"/>
        </w:rPr>
        <w:tab/>
        <w:t>que el método descrito en el Anexo 1 es una sencilla prueba de «</w:t>
      </w:r>
      <w:proofErr w:type="spellStart"/>
      <w:r w:rsidRPr="0024016D">
        <w:rPr>
          <w:lang w:val="es-ES_tradnl"/>
        </w:rPr>
        <w:t>si</w:t>
      </w:r>
      <w:proofErr w:type="spellEnd"/>
      <w:r w:rsidRPr="0024016D">
        <w:rPr>
          <w:lang w:val="es-ES_tradnl"/>
        </w:rPr>
        <w:t xml:space="preserve"> o no» basada en una máscara de espectro, que no puede sustituir a la realización de mediciones precisas de la desviación de frecuencia;</w:t>
      </w:r>
    </w:p>
    <w:p w:rsidR="005025AC" w:rsidRPr="0024016D" w:rsidRDefault="005025AC" w:rsidP="005025AC">
      <w:pPr>
        <w:rPr>
          <w:lang w:val="es-ES_tradnl"/>
        </w:rPr>
      </w:pPr>
      <w:r w:rsidRPr="00CD4C0D">
        <w:rPr>
          <w:i/>
          <w:iCs/>
          <w:lang w:val="es-ES_tradnl"/>
        </w:rPr>
        <w:t>b)</w:t>
      </w:r>
      <w:r w:rsidRPr="0024016D">
        <w:rPr>
          <w:lang w:val="es-ES_tradnl"/>
        </w:rPr>
        <w:tab/>
        <w:t>que el método descrito en el Anexo 1 no puede aplicarse a transmisiones con desviaciones de cresta de 50 kHz, debido a que no se dispone de una máscara de espectro adecuada;</w:t>
      </w:r>
    </w:p>
    <w:p w:rsidR="005025AC" w:rsidRPr="0024016D" w:rsidRDefault="005025AC" w:rsidP="005025AC">
      <w:pPr>
        <w:rPr>
          <w:lang w:val="es-ES_tradnl"/>
        </w:rPr>
      </w:pPr>
      <w:r w:rsidRPr="00CD4C0D">
        <w:rPr>
          <w:i/>
          <w:iCs/>
          <w:lang w:val="es-ES_tradnl"/>
        </w:rPr>
        <w:t>c)</w:t>
      </w:r>
      <w:r w:rsidRPr="0024016D">
        <w:rPr>
          <w:lang w:val="es-ES_tradnl"/>
        </w:rPr>
        <w:tab/>
        <w:t>que el método descrito en el Anexo 2 sólo es aplicable a transmisiones con desviaciones de cresta de 50 kHz,</w:t>
      </w:r>
    </w:p>
    <w:p w:rsidR="005025AC" w:rsidRPr="00F12F4A" w:rsidRDefault="005025AC" w:rsidP="005025AC">
      <w:pPr>
        <w:pStyle w:val="Call"/>
        <w:rPr>
          <w:lang w:val="es-ES_tradnl"/>
        </w:rPr>
      </w:pPr>
      <w:r w:rsidRPr="00F12F4A">
        <w:rPr>
          <w:szCs w:val="24"/>
          <w:lang w:val="es-ES_tradnl"/>
        </w:rPr>
        <w:t>recomienda</w:t>
      </w:r>
    </w:p>
    <w:p w:rsidR="005025AC" w:rsidRPr="0024016D" w:rsidRDefault="005025AC" w:rsidP="005025AC">
      <w:pPr>
        <w:rPr>
          <w:lang w:val="es-ES_tradnl"/>
        </w:rPr>
      </w:pPr>
      <w:r w:rsidRPr="0024016D">
        <w:rPr>
          <w:b/>
          <w:lang w:val="es-ES_tradnl"/>
        </w:rPr>
        <w:t>1</w:t>
      </w:r>
      <w:r w:rsidRPr="0024016D">
        <w:rPr>
          <w:b/>
          <w:lang w:val="es-ES_tradnl"/>
        </w:rPr>
        <w:tab/>
      </w:r>
      <w:r w:rsidRPr="0024016D">
        <w:rPr>
          <w:lang w:val="es-ES_tradnl"/>
        </w:rPr>
        <w:t>que el método descrito en el Anexo 1 se utilice como una verificación para determinar si la desviación de frecuencia de una estación de radiodifusión MF rebasa los límites establecidos;</w:t>
      </w:r>
    </w:p>
    <w:p w:rsidR="005025AC" w:rsidRPr="0024016D" w:rsidRDefault="005025AC" w:rsidP="005025AC">
      <w:pPr>
        <w:rPr>
          <w:lang w:val="es-ES_tradnl"/>
        </w:rPr>
      </w:pPr>
      <w:r w:rsidRPr="0024016D">
        <w:rPr>
          <w:b/>
          <w:lang w:val="es-ES_tradnl"/>
        </w:rPr>
        <w:t>2</w:t>
      </w:r>
      <w:r w:rsidRPr="0024016D">
        <w:rPr>
          <w:b/>
          <w:lang w:val="es-ES_tradnl"/>
        </w:rPr>
        <w:tab/>
      </w:r>
      <w:r w:rsidRPr="0024016D">
        <w:rPr>
          <w:lang w:val="es-ES_tradnl"/>
        </w:rPr>
        <w:t>que se emplee el método descrito en el Anexo 2 cuando sea necesario conocer los valores de la desviación de frecuencia y la potencia de modulación.</w:t>
      </w:r>
    </w:p>
    <w:p w:rsidR="00EF45F7" w:rsidRDefault="00EF45F7" w:rsidP="005025AC">
      <w:pPr>
        <w:pStyle w:val="AnnexNoTitle"/>
        <w:rPr>
          <w:lang w:val="es-ES_tradnl"/>
        </w:rPr>
      </w:pPr>
    </w:p>
    <w:p w:rsidR="005025AC" w:rsidRPr="0024016D" w:rsidRDefault="005025AC" w:rsidP="005025AC">
      <w:pPr>
        <w:pStyle w:val="AnnexNoTitle"/>
        <w:rPr>
          <w:lang w:val="es-ES_tradnl"/>
        </w:rPr>
      </w:pPr>
      <w:r>
        <w:rPr>
          <w:lang w:val="es-ES_tradnl"/>
        </w:rPr>
        <w:t xml:space="preserve">Anexo </w:t>
      </w:r>
      <w:r w:rsidRPr="0024016D">
        <w:rPr>
          <w:lang w:val="es-ES_tradnl"/>
        </w:rPr>
        <w:t>1</w:t>
      </w:r>
      <w:r>
        <w:rPr>
          <w:lang w:val="es-ES_tradnl"/>
        </w:rPr>
        <w:br/>
      </w:r>
      <w:r>
        <w:rPr>
          <w:lang w:val="es-ES_tradnl"/>
        </w:rPr>
        <w:br/>
      </w:r>
      <w:r w:rsidRPr="0024016D">
        <w:rPr>
          <w:lang w:val="es-ES_tradnl"/>
        </w:rPr>
        <w:t>Método basado en una máscara de espectro sencilla</w:t>
      </w:r>
      <w:r>
        <w:rPr>
          <w:lang w:val="es-ES_tradnl"/>
        </w:rPr>
        <w:br/>
      </w:r>
      <w:r w:rsidRPr="0024016D">
        <w:rPr>
          <w:lang w:val="es-ES_tradnl"/>
        </w:rPr>
        <w:t>para determinar</w:t>
      </w:r>
      <w:r>
        <w:rPr>
          <w:lang w:val="es-ES_tradnl"/>
        </w:rPr>
        <w:t xml:space="preserve"> </w:t>
      </w:r>
      <w:r w:rsidRPr="0024016D">
        <w:rPr>
          <w:lang w:val="es-ES_tradnl"/>
        </w:rPr>
        <w:t>si se rebasan los límites</w:t>
      </w:r>
      <w:r>
        <w:rPr>
          <w:lang w:val="es-ES_tradnl"/>
        </w:rPr>
        <w:br/>
      </w:r>
      <w:r w:rsidRPr="0024016D">
        <w:rPr>
          <w:lang w:val="es-ES_tradnl"/>
        </w:rPr>
        <w:t>de la desviación de frecuencia</w:t>
      </w:r>
    </w:p>
    <w:p w:rsidR="005025AC" w:rsidRPr="0024016D" w:rsidRDefault="005025AC" w:rsidP="005025AC">
      <w:pPr>
        <w:pStyle w:val="Heading1"/>
        <w:rPr>
          <w:lang w:val="es-ES_tradnl"/>
        </w:rPr>
      </w:pPr>
      <w:r w:rsidRPr="0024016D">
        <w:rPr>
          <w:lang w:val="es-ES_tradnl"/>
        </w:rPr>
        <w:t>1</w:t>
      </w:r>
      <w:r w:rsidRPr="0024016D">
        <w:rPr>
          <w:lang w:val="es-ES_tradnl"/>
        </w:rPr>
        <w:tab/>
        <w:t>Requisitos</w:t>
      </w:r>
    </w:p>
    <w:p w:rsidR="005025AC" w:rsidRPr="0024016D" w:rsidRDefault="005025AC" w:rsidP="005025AC">
      <w:pPr>
        <w:rPr>
          <w:lang w:val="es-ES_tradnl"/>
        </w:rPr>
      </w:pPr>
      <w:r w:rsidRPr="0024016D">
        <w:rPr>
          <w:lang w:val="es-ES_tradnl"/>
        </w:rPr>
        <w:t>Para esta medida puede utilizarse cualquier analizador de espectro y receptor de prueba con capacidades de analizador.</w:t>
      </w:r>
    </w:p>
    <w:p w:rsidR="005025AC" w:rsidRPr="0021029C" w:rsidRDefault="005025AC" w:rsidP="005025AC">
      <w:pPr>
        <w:pStyle w:val="Heading1"/>
        <w:rPr>
          <w:lang w:val="es-ES_tradnl"/>
        </w:rPr>
      </w:pPr>
      <w:r w:rsidRPr="0021029C">
        <w:rPr>
          <w:lang w:val="es-ES_tradnl"/>
        </w:rPr>
        <w:t>2</w:t>
      </w:r>
      <w:r w:rsidRPr="0021029C">
        <w:rPr>
          <w:lang w:val="es-ES_tradnl"/>
        </w:rPr>
        <w:tab/>
        <w:t>Conexión del transmisor y el analizador de espectro</w:t>
      </w:r>
    </w:p>
    <w:p w:rsidR="005025AC" w:rsidRPr="0024016D" w:rsidRDefault="005025AC" w:rsidP="005025AC">
      <w:pPr>
        <w:rPr>
          <w:lang w:val="es-ES_tradnl"/>
        </w:rPr>
      </w:pPr>
      <w:r w:rsidRPr="0024016D">
        <w:rPr>
          <w:lang w:val="es-ES_tradnl"/>
        </w:rPr>
        <w:t>Con la ayuda de una antena de medición.</w:t>
      </w:r>
    </w:p>
    <w:p w:rsidR="005025AC" w:rsidRPr="0021029C" w:rsidRDefault="005025AC" w:rsidP="005025AC">
      <w:pPr>
        <w:pStyle w:val="Heading1"/>
        <w:rPr>
          <w:lang w:val="es-ES_tradnl"/>
        </w:rPr>
      </w:pPr>
      <w:r w:rsidRPr="0021029C">
        <w:rPr>
          <w:lang w:val="es-ES_tradnl"/>
        </w:rPr>
        <w:t>3</w:t>
      </w:r>
      <w:r w:rsidRPr="0021029C">
        <w:rPr>
          <w:lang w:val="es-ES_tradnl"/>
        </w:rPr>
        <w:tab/>
        <w:t>Condiciones de medición</w:t>
      </w:r>
    </w:p>
    <w:p w:rsidR="005025AC" w:rsidRPr="0021029C" w:rsidRDefault="005025AC" w:rsidP="005025AC">
      <w:pPr>
        <w:pStyle w:val="enumlev1"/>
        <w:rPr>
          <w:lang w:val="es-ES_tradnl"/>
        </w:rPr>
      </w:pPr>
      <w:r w:rsidRPr="0021029C">
        <w:rPr>
          <w:lang w:val="es-ES_tradnl"/>
        </w:rPr>
        <w:t>–</w:t>
      </w:r>
      <w:r w:rsidRPr="0021029C">
        <w:rPr>
          <w:lang w:val="es-ES_tradnl"/>
        </w:rPr>
        <w:tab/>
        <w:t>Durante 3 mediciones de 5 min cada una, el transmisor sometido a prueba debe modularse con un material de programa representativo para ese transmisor en particular. Se pueden llevar a cabo mediciones adicionales para asegurar que el material del programa es verdaderamente representativo.</w:t>
      </w:r>
    </w:p>
    <w:p w:rsidR="005025AC" w:rsidRPr="00D55D79" w:rsidRDefault="005025AC" w:rsidP="005025AC">
      <w:pPr>
        <w:pStyle w:val="enumlev1"/>
        <w:rPr>
          <w:lang w:val="es-ES_tradnl"/>
        </w:rPr>
      </w:pPr>
      <w:r w:rsidRPr="00D55D79">
        <w:rPr>
          <w:lang w:val="es-ES_tradnl"/>
        </w:rPr>
        <w:t>–</w:t>
      </w:r>
      <w:r w:rsidRPr="00D55D79">
        <w:rPr>
          <w:lang w:val="es-ES_tradnl"/>
        </w:rPr>
        <w:tab/>
        <w:t>No deben aparecer interferencias impulsivas (por ejemplo, interferencia procedente de una fuente de ignición).</w:t>
      </w:r>
    </w:p>
    <w:p w:rsidR="005025AC" w:rsidRPr="0021029C" w:rsidRDefault="005025AC" w:rsidP="005025AC">
      <w:pPr>
        <w:pStyle w:val="enumlev1"/>
        <w:rPr>
          <w:lang w:val="es-ES_tradnl"/>
        </w:rPr>
      </w:pPr>
      <w:r w:rsidRPr="0021029C">
        <w:rPr>
          <w:lang w:val="es-ES_tradnl"/>
        </w:rPr>
        <w:t>–</w:t>
      </w:r>
      <w:r w:rsidRPr="0021029C">
        <w:rPr>
          <w:lang w:val="es-ES_tradnl"/>
        </w:rPr>
        <w:tab/>
        <w:t xml:space="preserve">La relación señal/interferencia </w:t>
      </w:r>
      <w:r w:rsidRPr="004159E0">
        <w:rPr>
          <w:lang w:val="es-ES_tradnl"/>
        </w:rPr>
        <w:t>+</w:t>
      </w:r>
      <w:r w:rsidRPr="0021029C">
        <w:rPr>
          <w:lang w:val="es-ES_tradnl"/>
        </w:rPr>
        <w:t xml:space="preserve"> ruido debe ser </w:t>
      </w:r>
      <w:r w:rsidRPr="00E14498">
        <w:sym w:font="Symbol" w:char="F0B3"/>
      </w:r>
      <w:r w:rsidRPr="0021029C">
        <w:rPr>
          <w:lang w:val="es-ES_tradnl"/>
        </w:rPr>
        <w:t>50 dB.</w:t>
      </w:r>
    </w:p>
    <w:p w:rsidR="005025AC" w:rsidRPr="0024016D" w:rsidRDefault="005025AC" w:rsidP="005025AC">
      <w:pPr>
        <w:pStyle w:val="Heading1"/>
        <w:rPr>
          <w:lang w:val="es-ES_tradnl"/>
        </w:rPr>
      </w:pPr>
      <w:r w:rsidRPr="0024016D">
        <w:rPr>
          <w:lang w:val="es-ES_tradnl"/>
        </w:rPr>
        <w:lastRenderedPageBreak/>
        <w:t>4</w:t>
      </w:r>
      <w:r w:rsidRPr="0024016D">
        <w:rPr>
          <w:lang w:val="es-ES_tradnl"/>
        </w:rPr>
        <w:tab/>
        <w:t>Ajustes del analizador de espectro</w:t>
      </w:r>
    </w:p>
    <w:p w:rsidR="005025AC" w:rsidRPr="0024016D" w:rsidRDefault="005025AC" w:rsidP="005025AC">
      <w:pPr>
        <w:keepNext/>
        <w:keepLines/>
        <w:rPr>
          <w:lang w:val="es-ES_tradnl"/>
        </w:rPr>
      </w:pPr>
      <w:r w:rsidRPr="0024016D">
        <w:rPr>
          <w:lang w:val="es-ES_tradnl"/>
        </w:rPr>
        <w:t>El analizador de espectro debe ajustarse de la forma siguiente:</w:t>
      </w:r>
    </w:p>
    <w:p w:rsidR="005025AC" w:rsidRPr="00E6474D" w:rsidRDefault="005025AC" w:rsidP="005025AC">
      <w:pPr>
        <w:pStyle w:val="enumlev1"/>
        <w:rPr>
          <w:lang w:val="es-ES_tradnl"/>
        </w:rPr>
      </w:pPr>
      <w:r w:rsidRPr="00E6474D">
        <w:rPr>
          <w:lang w:val="es-ES_tradnl"/>
        </w:rPr>
        <w:t>–</w:t>
      </w:r>
      <w:r w:rsidRPr="00E6474D">
        <w:rPr>
          <w:lang w:val="es-ES_tradnl"/>
        </w:rPr>
        <w:tab/>
        <w:t>frecuencia central (CF) </w:t>
      </w:r>
      <w:r>
        <w:sym w:font="Symbol" w:char="F03D"/>
      </w:r>
      <w:r w:rsidRPr="00E6474D">
        <w:rPr>
          <w:lang w:val="es-ES_tradnl"/>
        </w:rPr>
        <w:t> </w:t>
      </w:r>
      <w:r w:rsidRPr="00E6474D">
        <w:rPr>
          <w:i/>
          <w:lang w:val="es-ES_tradnl"/>
        </w:rPr>
        <w:t>f</w:t>
      </w:r>
      <w:r w:rsidRPr="00E6474D">
        <w:rPr>
          <w:position w:val="-4"/>
          <w:sz w:val="16"/>
          <w:lang w:val="es-ES_tradnl"/>
        </w:rPr>
        <w:t>0</w:t>
      </w:r>
      <w:r w:rsidRPr="00E6474D">
        <w:rPr>
          <w:lang w:val="es-ES_tradnl"/>
        </w:rPr>
        <w:t xml:space="preserve"> (frecuencia portadora del transmisor);</w:t>
      </w:r>
    </w:p>
    <w:p w:rsidR="005025AC" w:rsidRPr="0021029C" w:rsidRDefault="005025AC" w:rsidP="005025AC">
      <w:pPr>
        <w:pStyle w:val="enumlev1"/>
        <w:rPr>
          <w:lang w:val="es-ES_tradnl"/>
        </w:rPr>
      </w:pPr>
      <w:r w:rsidRPr="0021029C">
        <w:rPr>
          <w:lang w:val="es-ES_tradnl"/>
        </w:rPr>
        <w:t>–</w:t>
      </w:r>
      <w:r w:rsidRPr="0021029C">
        <w:rPr>
          <w:lang w:val="es-ES_tradnl"/>
        </w:rPr>
        <w:tab/>
        <w:t>RBW 10 kHz (filtro de FI);</w:t>
      </w:r>
    </w:p>
    <w:p w:rsidR="005025AC" w:rsidRPr="0021029C" w:rsidRDefault="005025AC" w:rsidP="005025AC">
      <w:pPr>
        <w:pStyle w:val="enumlev1"/>
        <w:rPr>
          <w:lang w:val="es-ES_tradnl"/>
        </w:rPr>
      </w:pPr>
      <w:r w:rsidRPr="0021029C">
        <w:rPr>
          <w:lang w:val="es-ES_tradnl"/>
        </w:rPr>
        <w:t>–</w:t>
      </w:r>
      <w:r w:rsidRPr="0021029C">
        <w:rPr>
          <w:lang w:val="es-ES_tradnl"/>
        </w:rPr>
        <w:tab/>
        <w:t>VBW 10 kHz (filtro de vídeo);</w:t>
      </w:r>
    </w:p>
    <w:p w:rsidR="005025AC" w:rsidRPr="0021029C" w:rsidRDefault="005025AC" w:rsidP="005025AC">
      <w:pPr>
        <w:pStyle w:val="enumlev1"/>
        <w:rPr>
          <w:lang w:val="es-ES_tradnl"/>
        </w:rPr>
      </w:pPr>
      <w:r w:rsidRPr="0021029C">
        <w:rPr>
          <w:lang w:val="es-ES_tradnl"/>
        </w:rPr>
        <w:t>–</w:t>
      </w:r>
      <w:r w:rsidRPr="0021029C">
        <w:rPr>
          <w:lang w:val="es-ES_tradnl"/>
        </w:rPr>
        <w:tab/>
        <w:t>intervalo: 340 kHz;</w:t>
      </w:r>
    </w:p>
    <w:p w:rsidR="005025AC" w:rsidRPr="0021029C" w:rsidRDefault="005025AC" w:rsidP="005025AC">
      <w:pPr>
        <w:pStyle w:val="enumlev1"/>
        <w:rPr>
          <w:lang w:val="es-ES_tradnl"/>
        </w:rPr>
      </w:pPr>
      <w:r w:rsidRPr="0021029C">
        <w:rPr>
          <w:lang w:val="es-ES_tradnl"/>
        </w:rPr>
        <w:t>–</w:t>
      </w:r>
      <w:r w:rsidRPr="0021029C">
        <w:rPr>
          <w:lang w:val="es-ES_tradnl"/>
        </w:rPr>
        <w:tab/>
        <w:t>tiempo de barrido: 340 ms (1 ms/kHz);</w:t>
      </w:r>
    </w:p>
    <w:p w:rsidR="005025AC" w:rsidRPr="002A2ADE" w:rsidRDefault="005025AC" w:rsidP="005025AC">
      <w:pPr>
        <w:pStyle w:val="enumlev1"/>
        <w:rPr>
          <w:lang w:val="es-ES_tradnl"/>
        </w:rPr>
      </w:pPr>
      <w:bookmarkStart w:id="5" w:name="dsgno"/>
      <w:bookmarkEnd w:id="5"/>
      <w:r w:rsidRPr="002A2ADE">
        <w:rPr>
          <w:lang w:val="es-ES_tradnl"/>
        </w:rPr>
        <w:t>–</w:t>
      </w:r>
      <w:r w:rsidRPr="002A2ADE">
        <w:rPr>
          <w:lang w:val="es-ES_tradnl"/>
        </w:rPr>
        <w:tab/>
        <w:t>modo máxima retención</w:t>
      </w:r>
      <w:r>
        <w:rPr>
          <w:lang w:val="es-ES_tradnl"/>
        </w:rPr>
        <w:t>;</w:t>
      </w:r>
    </w:p>
    <w:p w:rsidR="005025AC" w:rsidRPr="00D55D79" w:rsidRDefault="005025AC" w:rsidP="005025AC">
      <w:pPr>
        <w:pStyle w:val="enumlev1"/>
        <w:rPr>
          <w:lang w:val="es-ES_tradnl"/>
        </w:rPr>
      </w:pPr>
      <w:r w:rsidRPr="00D55D79">
        <w:rPr>
          <w:lang w:val="es-ES_tradnl"/>
        </w:rPr>
        <w:t>–</w:t>
      </w:r>
      <w:r w:rsidRPr="00D55D79">
        <w:rPr>
          <w:lang w:val="es-ES_tradnl"/>
        </w:rPr>
        <w:tab/>
        <w:t>la atenuación de entrada depende del nivel de entrada.</w:t>
      </w:r>
    </w:p>
    <w:p w:rsidR="005025AC" w:rsidRPr="0024016D" w:rsidRDefault="005025AC" w:rsidP="005025AC">
      <w:pPr>
        <w:rPr>
          <w:lang w:val="es-ES_tradnl"/>
        </w:rPr>
      </w:pPr>
      <w:r w:rsidRPr="0024016D">
        <w:rPr>
          <w:lang w:val="es-ES_tradnl"/>
        </w:rPr>
        <w:t xml:space="preserve">Los ajustes para analizadores con procesamiento digital de la señal (DSP, </w:t>
      </w:r>
      <w:r w:rsidRPr="0024016D">
        <w:rPr>
          <w:i/>
          <w:lang w:val="es-ES_tradnl"/>
        </w:rPr>
        <w:t xml:space="preserve">digital </w:t>
      </w:r>
      <w:proofErr w:type="spellStart"/>
      <w:r w:rsidRPr="0024016D">
        <w:rPr>
          <w:i/>
          <w:lang w:val="es-ES_tradnl"/>
        </w:rPr>
        <w:t>signal</w:t>
      </w:r>
      <w:proofErr w:type="spellEnd"/>
      <w:r w:rsidRPr="0024016D">
        <w:rPr>
          <w:i/>
          <w:lang w:val="es-ES_tradnl"/>
        </w:rPr>
        <w:t xml:space="preserve"> </w:t>
      </w:r>
      <w:proofErr w:type="spellStart"/>
      <w:r w:rsidRPr="0024016D">
        <w:rPr>
          <w:i/>
          <w:lang w:val="es-ES_tradnl"/>
        </w:rPr>
        <w:t>processor</w:t>
      </w:r>
      <w:proofErr w:type="spellEnd"/>
      <w:r w:rsidRPr="0024016D">
        <w:rPr>
          <w:lang w:val="es-ES_tradnl"/>
        </w:rPr>
        <w:t>) serán distintos pero deben proporcionar resultados equivalentes.</w:t>
      </w:r>
    </w:p>
    <w:p w:rsidR="005025AC" w:rsidRPr="0024016D" w:rsidRDefault="005025AC" w:rsidP="00EF45F7">
      <w:pPr>
        <w:pStyle w:val="Heading1"/>
        <w:rPr>
          <w:lang w:val="es-ES_tradnl"/>
        </w:rPr>
      </w:pPr>
      <w:r w:rsidRPr="0024016D">
        <w:rPr>
          <w:lang w:val="es-ES_tradnl"/>
        </w:rPr>
        <w:t>5</w:t>
      </w:r>
      <w:r w:rsidRPr="0024016D">
        <w:rPr>
          <w:lang w:val="es-ES_tradnl"/>
        </w:rPr>
        <w:tab/>
      </w:r>
      <w:r w:rsidRPr="00535156">
        <w:rPr>
          <w:lang w:val="es-ES_tradnl"/>
        </w:rPr>
        <w:t>Instrucciones</w:t>
      </w:r>
      <w:r w:rsidRPr="0024016D">
        <w:rPr>
          <w:lang w:val="es-ES_tradnl"/>
        </w:rPr>
        <w:t xml:space="preserve"> </w:t>
      </w:r>
      <w:r w:rsidRPr="00EF45F7">
        <w:t>para</w:t>
      </w:r>
      <w:r w:rsidRPr="0024016D">
        <w:rPr>
          <w:lang w:val="es-ES_tradnl"/>
        </w:rPr>
        <w:t xml:space="preserve"> la medición</w:t>
      </w:r>
    </w:p>
    <w:p w:rsidR="005025AC" w:rsidRPr="0021029C" w:rsidRDefault="005025AC" w:rsidP="005025AC">
      <w:pPr>
        <w:pStyle w:val="enumlev1"/>
        <w:rPr>
          <w:lang w:val="es-ES_tradnl"/>
        </w:rPr>
      </w:pPr>
      <w:r w:rsidRPr="0021029C">
        <w:rPr>
          <w:lang w:val="es-ES_tradnl"/>
        </w:rPr>
        <w:t>a)</w:t>
      </w:r>
      <w:r w:rsidRPr="0021029C">
        <w:rPr>
          <w:lang w:val="es-ES_tradnl"/>
        </w:rPr>
        <w:tab/>
        <w:t>Se registra la señal de transmisor durante un periodo de 5 min.</w:t>
      </w:r>
    </w:p>
    <w:p w:rsidR="005025AC" w:rsidRPr="0021029C" w:rsidRDefault="005025AC" w:rsidP="005025AC">
      <w:pPr>
        <w:pStyle w:val="enumlev1"/>
        <w:rPr>
          <w:lang w:val="es-ES_tradnl"/>
        </w:rPr>
      </w:pPr>
      <w:r w:rsidRPr="0021029C">
        <w:rPr>
          <w:lang w:val="es-ES_tradnl"/>
        </w:rPr>
        <w:t>b)</w:t>
      </w:r>
      <w:r w:rsidRPr="0021029C">
        <w:rPr>
          <w:lang w:val="es-ES_tradnl"/>
        </w:rPr>
        <w:tab/>
        <w:t>Debe utilizarse la observación del analizador y de los controles acústicos del receptor para asegurar que no se evalúan resultados de mediciones distorsionados por interferencia impulsiva. Por esta misma razón, se repiten dos veces las mediciones.</w:t>
      </w:r>
    </w:p>
    <w:p w:rsidR="005025AC" w:rsidRPr="0021029C" w:rsidRDefault="005025AC" w:rsidP="005025AC">
      <w:pPr>
        <w:pStyle w:val="enumlev1"/>
        <w:rPr>
          <w:lang w:val="es-ES_tradnl"/>
        </w:rPr>
      </w:pPr>
      <w:r w:rsidRPr="0021029C">
        <w:rPr>
          <w:lang w:val="es-ES_tradnl"/>
        </w:rPr>
        <w:t>c)</w:t>
      </w:r>
      <w:r w:rsidRPr="0021029C">
        <w:rPr>
          <w:lang w:val="es-ES_tradnl"/>
        </w:rPr>
        <w:tab/>
        <w:t>Se superpone la medición gráfica a la máscara descrita en el § 7.</w:t>
      </w:r>
    </w:p>
    <w:p w:rsidR="005025AC" w:rsidRPr="0021029C" w:rsidRDefault="005025AC" w:rsidP="005025AC">
      <w:pPr>
        <w:pStyle w:val="enumlev1"/>
        <w:rPr>
          <w:lang w:val="es-ES_tradnl"/>
        </w:rPr>
      </w:pPr>
      <w:r w:rsidRPr="0021029C">
        <w:rPr>
          <w:lang w:val="es-ES_tradnl"/>
        </w:rPr>
        <w:t>d)</w:t>
      </w:r>
      <w:r w:rsidRPr="0021029C">
        <w:rPr>
          <w:lang w:val="es-ES_tradnl"/>
        </w:rPr>
        <w:tab/>
        <w:t>El centro del eje x de la máscara deberá corresponder con la frecuencia central (</w:t>
      </w:r>
      <w:r w:rsidRPr="00C326A1">
        <w:rPr>
          <w:i/>
          <w:iCs/>
          <w:lang w:val="es-ES_tradnl"/>
        </w:rPr>
        <w:t>f</w:t>
      </w:r>
      <w:r w:rsidRPr="000277A2">
        <w:rPr>
          <w:vertAlign w:val="subscript"/>
          <w:lang w:val="es-ES_tradnl"/>
        </w:rPr>
        <w:t>0</w:t>
      </w:r>
      <w:r w:rsidRPr="0021029C">
        <w:rPr>
          <w:lang w:val="es-ES_tradnl"/>
        </w:rPr>
        <w:t>).</w:t>
      </w:r>
    </w:p>
    <w:p w:rsidR="005025AC" w:rsidRPr="0021029C" w:rsidRDefault="005025AC" w:rsidP="005025AC">
      <w:pPr>
        <w:pStyle w:val="enumlev1"/>
        <w:rPr>
          <w:lang w:val="es-ES_tradnl"/>
        </w:rPr>
      </w:pPr>
      <w:r w:rsidRPr="0021029C">
        <w:rPr>
          <w:lang w:val="es-ES_tradnl"/>
        </w:rPr>
        <w:t>e)</w:t>
      </w:r>
      <w:r w:rsidRPr="0021029C">
        <w:rPr>
          <w:lang w:val="es-ES_tradnl"/>
        </w:rPr>
        <w:tab/>
        <w:t>Se ajusta el nivel de referencia de manera que la máxima amplitud de la medición corresponda a</w:t>
      </w:r>
      <w:r>
        <w:rPr>
          <w:lang w:val="es-ES_tradnl"/>
        </w:rPr>
        <w:t xml:space="preserve"> </w:t>
      </w:r>
      <w:r w:rsidRPr="0021029C">
        <w:rPr>
          <w:lang w:val="es-ES_tradnl"/>
        </w:rPr>
        <w:t>0 dB.</w:t>
      </w:r>
    </w:p>
    <w:p w:rsidR="005025AC" w:rsidRPr="0021029C" w:rsidRDefault="005025AC" w:rsidP="005025AC">
      <w:pPr>
        <w:pStyle w:val="enumlev1"/>
        <w:rPr>
          <w:lang w:val="es-ES_tradnl"/>
        </w:rPr>
      </w:pPr>
      <w:r w:rsidRPr="0021029C">
        <w:rPr>
          <w:lang w:val="es-ES_tradnl"/>
        </w:rPr>
        <w:t>f)</w:t>
      </w:r>
      <w:r w:rsidRPr="0021029C">
        <w:rPr>
          <w:lang w:val="es-ES_tradnl"/>
        </w:rPr>
        <w:tab/>
        <w:t>Se determina si la medición se encuentra dentro de los límites de la máscara.</w:t>
      </w:r>
    </w:p>
    <w:p w:rsidR="005025AC" w:rsidRPr="0024016D" w:rsidRDefault="005025AC" w:rsidP="005025AC">
      <w:pPr>
        <w:pStyle w:val="Heading1"/>
        <w:rPr>
          <w:lang w:val="es-ES_tradnl"/>
        </w:rPr>
      </w:pPr>
      <w:r w:rsidRPr="0024016D">
        <w:rPr>
          <w:lang w:val="es-ES_tradnl"/>
        </w:rPr>
        <w:t>6</w:t>
      </w:r>
      <w:r w:rsidRPr="0024016D">
        <w:rPr>
          <w:lang w:val="es-ES_tradnl"/>
        </w:rPr>
        <w:tab/>
        <w:t>Límites</w:t>
      </w:r>
    </w:p>
    <w:p w:rsidR="005025AC" w:rsidRPr="0024016D" w:rsidRDefault="005025AC" w:rsidP="005025AC">
      <w:pPr>
        <w:rPr>
          <w:lang w:val="es-ES_tradnl"/>
        </w:rPr>
      </w:pPr>
      <w:r w:rsidRPr="0024016D">
        <w:rPr>
          <w:lang w:val="es-ES_tradnl"/>
        </w:rPr>
        <w:t>Si alguno de los espectros medidos rebasa los valores de la máscara, se considera que la desviación del transmisor no satisface los requisitos.</w:t>
      </w:r>
    </w:p>
    <w:p w:rsidR="005025AC" w:rsidRPr="0024016D" w:rsidRDefault="005025AC" w:rsidP="005025AC">
      <w:pPr>
        <w:pStyle w:val="Heading1"/>
        <w:rPr>
          <w:lang w:val="es-ES_tradnl"/>
        </w:rPr>
      </w:pPr>
      <w:r w:rsidRPr="0024016D">
        <w:rPr>
          <w:lang w:val="es-ES_tradnl"/>
        </w:rPr>
        <w:t>7</w:t>
      </w:r>
      <w:r w:rsidRPr="0024016D">
        <w:rPr>
          <w:lang w:val="es-ES_tradnl"/>
        </w:rPr>
        <w:tab/>
        <w:t>Construcción de la máscara</w:t>
      </w:r>
    </w:p>
    <w:p w:rsidR="005025AC" w:rsidRPr="0024016D" w:rsidRDefault="005025AC" w:rsidP="005025AC">
      <w:pPr>
        <w:pStyle w:val="enumlev1"/>
        <w:rPr>
          <w:lang w:val="es-ES_tradnl"/>
        </w:rPr>
      </w:pPr>
      <w:r w:rsidRPr="0024016D">
        <w:rPr>
          <w:lang w:val="es-ES_tradnl"/>
        </w:rPr>
        <w:t>a)</w:t>
      </w:r>
      <w:r w:rsidRPr="0024016D">
        <w:rPr>
          <w:lang w:val="es-ES_tradnl"/>
        </w:rPr>
        <w:tab/>
        <w:t>La calibración de la máscara debe ser coherente con los ajustes del analizador.</w:t>
      </w:r>
    </w:p>
    <w:p w:rsidR="005025AC" w:rsidRPr="0024016D" w:rsidRDefault="005025AC" w:rsidP="005025AC">
      <w:pPr>
        <w:pStyle w:val="enumlev1"/>
        <w:rPr>
          <w:lang w:val="es-ES_tradnl"/>
        </w:rPr>
      </w:pPr>
      <w:r w:rsidRPr="0024016D">
        <w:rPr>
          <w:lang w:val="es-ES_tradnl"/>
        </w:rPr>
        <w:t>b)</w:t>
      </w:r>
      <w:r w:rsidRPr="0024016D">
        <w:rPr>
          <w:lang w:val="es-ES_tradnl"/>
        </w:rPr>
        <w:tab/>
        <w:t xml:space="preserve">El centro del eje x se ajusta a </w:t>
      </w:r>
      <w:r w:rsidRPr="0024016D">
        <w:rPr>
          <w:i/>
          <w:lang w:val="es-ES_tradnl"/>
        </w:rPr>
        <w:t>f</w:t>
      </w:r>
      <w:r w:rsidRPr="0024016D">
        <w:rPr>
          <w:position w:val="-4"/>
          <w:sz w:val="16"/>
          <w:lang w:val="es-ES_tradnl"/>
        </w:rPr>
        <w:t>0</w:t>
      </w:r>
      <w:r w:rsidRPr="0024016D">
        <w:rPr>
          <w:lang w:val="es-ES_tradnl"/>
        </w:rPr>
        <w:t>.</w:t>
      </w:r>
    </w:p>
    <w:p w:rsidR="005025AC" w:rsidRPr="0024016D" w:rsidRDefault="005025AC" w:rsidP="005025AC">
      <w:pPr>
        <w:pStyle w:val="enumlev1"/>
        <w:rPr>
          <w:lang w:val="es-ES_tradnl"/>
        </w:rPr>
      </w:pPr>
      <w:r w:rsidRPr="0024016D">
        <w:rPr>
          <w:lang w:val="es-ES_tradnl"/>
        </w:rPr>
        <w:t>c)</w:t>
      </w:r>
      <w:r w:rsidRPr="0024016D">
        <w:rPr>
          <w:lang w:val="es-ES_tradnl"/>
        </w:rPr>
        <w:tab/>
        <w:t>La cima del eje y corresponde al nivel de referencia 0 dB.</w:t>
      </w:r>
    </w:p>
    <w:p w:rsidR="005025AC" w:rsidRPr="0024016D" w:rsidRDefault="005025AC" w:rsidP="005025AC">
      <w:pPr>
        <w:pStyle w:val="enumlev1"/>
        <w:rPr>
          <w:lang w:val="es-ES_tradnl"/>
        </w:rPr>
      </w:pPr>
      <w:r w:rsidRPr="0024016D">
        <w:rPr>
          <w:lang w:val="es-ES_tradnl"/>
        </w:rPr>
        <w:t>d)</w:t>
      </w:r>
      <w:r w:rsidRPr="0024016D">
        <w:rPr>
          <w:lang w:val="es-ES_tradnl"/>
        </w:rPr>
        <w:tab/>
        <w:t>Las siguientes coordenadas deben estar unidas por líneas rectas:</w:t>
      </w:r>
    </w:p>
    <w:p w:rsidR="005025AC" w:rsidRDefault="005025AC" w:rsidP="005025AC">
      <w:pPr>
        <w:rPr>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1701"/>
        <w:gridCol w:w="1134"/>
        <w:gridCol w:w="1701"/>
        <w:gridCol w:w="1701"/>
      </w:tblGrid>
      <w:tr w:rsidR="005025AC" w:rsidTr="00606CEE">
        <w:trPr>
          <w:jc w:val="center"/>
        </w:trPr>
        <w:tc>
          <w:tcPr>
            <w:tcW w:w="1701" w:type="dxa"/>
          </w:tcPr>
          <w:p w:rsidR="005025AC" w:rsidRDefault="005025AC" w:rsidP="00CE4BE2">
            <w:pPr>
              <w:pStyle w:val="Tablehead"/>
            </w:pPr>
            <w:proofErr w:type="spellStart"/>
            <w:r>
              <w:t>Eje</w:t>
            </w:r>
            <w:proofErr w:type="spellEnd"/>
            <w:r>
              <w:t xml:space="preserve"> x</w:t>
            </w:r>
            <w:r>
              <w:br/>
              <w:t>(kHz)</w:t>
            </w:r>
          </w:p>
        </w:tc>
        <w:tc>
          <w:tcPr>
            <w:tcW w:w="1701" w:type="dxa"/>
          </w:tcPr>
          <w:p w:rsidR="005025AC" w:rsidRDefault="005025AC" w:rsidP="00CE4BE2">
            <w:pPr>
              <w:pStyle w:val="Tablehead"/>
            </w:pPr>
            <w:proofErr w:type="spellStart"/>
            <w:r>
              <w:t>Eje</w:t>
            </w:r>
            <w:proofErr w:type="spellEnd"/>
            <w:r>
              <w:t xml:space="preserve"> y</w:t>
            </w:r>
            <w:r>
              <w:br/>
              <w:t>(dB)</w:t>
            </w:r>
          </w:p>
        </w:tc>
        <w:tc>
          <w:tcPr>
            <w:tcW w:w="1134" w:type="dxa"/>
            <w:tcBorders>
              <w:top w:val="nil"/>
              <w:bottom w:val="nil"/>
            </w:tcBorders>
          </w:tcPr>
          <w:p w:rsidR="005025AC" w:rsidRDefault="005025AC" w:rsidP="00CE4BE2">
            <w:pPr>
              <w:pStyle w:val="Tablehead"/>
            </w:pPr>
          </w:p>
        </w:tc>
        <w:tc>
          <w:tcPr>
            <w:tcW w:w="1701" w:type="dxa"/>
          </w:tcPr>
          <w:p w:rsidR="005025AC" w:rsidRDefault="005025AC" w:rsidP="00CE4BE2">
            <w:pPr>
              <w:pStyle w:val="Tablehead"/>
            </w:pPr>
            <w:proofErr w:type="spellStart"/>
            <w:r>
              <w:t>Eje</w:t>
            </w:r>
            <w:proofErr w:type="spellEnd"/>
            <w:r>
              <w:t xml:space="preserve"> x</w:t>
            </w:r>
            <w:r>
              <w:br/>
              <w:t>(kHz)</w:t>
            </w:r>
          </w:p>
        </w:tc>
        <w:tc>
          <w:tcPr>
            <w:tcW w:w="1701" w:type="dxa"/>
          </w:tcPr>
          <w:p w:rsidR="005025AC" w:rsidRDefault="005025AC" w:rsidP="00CE4BE2">
            <w:pPr>
              <w:pStyle w:val="Tablehead"/>
            </w:pPr>
            <w:proofErr w:type="spellStart"/>
            <w:r>
              <w:t>Eje</w:t>
            </w:r>
            <w:proofErr w:type="spellEnd"/>
            <w:r>
              <w:t xml:space="preserve"> y</w:t>
            </w:r>
            <w:r>
              <w:br/>
              <w:t>(dB)</w:t>
            </w:r>
          </w:p>
        </w:tc>
      </w:tr>
      <w:tr w:rsidR="005025AC" w:rsidTr="00606CEE">
        <w:trPr>
          <w:jc w:val="center"/>
        </w:trPr>
        <w:tc>
          <w:tcPr>
            <w:tcW w:w="1701" w:type="dxa"/>
          </w:tcPr>
          <w:p w:rsidR="005025AC" w:rsidRDefault="005025AC" w:rsidP="00606CEE">
            <w:pPr>
              <w:pStyle w:val="Tabletext"/>
              <w:jc w:val="center"/>
            </w:pPr>
            <w:r>
              <w:rPr>
                <w:i/>
              </w:rPr>
              <w:t>f</w:t>
            </w:r>
            <w:r>
              <w:rPr>
                <w:position w:val="-4"/>
                <w:sz w:val="14"/>
              </w:rPr>
              <w:t>0</w:t>
            </w:r>
            <w:r>
              <w:t xml:space="preserve"> – 74</w:t>
            </w:r>
          </w:p>
        </w:tc>
        <w:tc>
          <w:tcPr>
            <w:tcW w:w="1701" w:type="dxa"/>
          </w:tcPr>
          <w:p w:rsidR="005025AC" w:rsidRDefault="005025AC" w:rsidP="00606CEE">
            <w:pPr>
              <w:pStyle w:val="Tabletext"/>
              <w:jc w:val="center"/>
            </w:pPr>
            <w:r>
              <w:t>0</w:t>
            </w:r>
          </w:p>
        </w:tc>
        <w:tc>
          <w:tcPr>
            <w:tcW w:w="1134" w:type="dxa"/>
            <w:tcBorders>
              <w:top w:val="nil"/>
              <w:bottom w:val="nil"/>
            </w:tcBorders>
          </w:tcPr>
          <w:p w:rsidR="005025AC" w:rsidRDefault="005025AC" w:rsidP="00606CEE">
            <w:pPr>
              <w:jc w:val="center"/>
            </w:pPr>
          </w:p>
        </w:tc>
        <w:tc>
          <w:tcPr>
            <w:tcW w:w="1701" w:type="dxa"/>
          </w:tcPr>
          <w:p w:rsidR="005025AC" w:rsidRDefault="005025AC" w:rsidP="00606CEE">
            <w:pPr>
              <w:pStyle w:val="Tabletext"/>
              <w:jc w:val="center"/>
            </w:pPr>
            <w:r>
              <w:rPr>
                <w:i/>
              </w:rPr>
              <w:t>f</w:t>
            </w:r>
            <w:r>
              <w:rPr>
                <w:position w:val="-4"/>
                <w:sz w:val="14"/>
              </w:rPr>
              <w:t>0</w:t>
            </w:r>
            <w:r>
              <w:t xml:space="preserve"> </w:t>
            </w:r>
            <w:r>
              <w:sym w:font="Symbol" w:char="F02B"/>
            </w:r>
            <w:r>
              <w:t xml:space="preserve"> 74</w:t>
            </w:r>
          </w:p>
        </w:tc>
        <w:tc>
          <w:tcPr>
            <w:tcW w:w="1701" w:type="dxa"/>
          </w:tcPr>
          <w:p w:rsidR="005025AC" w:rsidRDefault="005025AC" w:rsidP="00606CEE">
            <w:pPr>
              <w:pStyle w:val="Tabletext"/>
              <w:jc w:val="center"/>
            </w:pPr>
            <w:r>
              <w:t>0</w:t>
            </w:r>
          </w:p>
        </w:tc>
      </w:tr>
      <w:tr w:rsidR="005025AC" w:rsidTr="00606CEE">
        <w:trPr>
          <w:jc w:val="center"/>
        </w:trPr>
        <w:tc>
          <w:tcPr>
            <w:tcW w:w="1701" w:type="dxa"/>
          </w:tcPr>
          <w:p w:rsidR="005025AC" w:rsidRDefault="005025AC" w:rsidP="00606CEE">
            <w:pPr>
              <w:pStyle w:val="Tabletext"/>
              <w:jc w:val="center"/>
            </w:pPr>
            <w:r>
              <w:rPr>
                <w:i/>
              </w:rPr>
              <w:t>f</w:t>
            </w:r>
            <w:r>
              <w:rPr>
                <w:position w:val="-4"/>
                <w:sz w:val="14"/>
              </w:rPr>
              <w:t>0</w:t>
            </w:r>
            <w:r>
              <w:t xml:space="preserve"> – 107,5</w:t>
            </w:r>
          </w:p>
        </w:tc>
        <w:tc>
          <w:tcPr>
            <w:tcW w:w="1701" w:type="dxa"/>
          </w:tcPr>
          <w:p w:rsidR="005025AC" w:rsidRDefault="005025AC" w:rsidP="00606CEE">
            <w:pPr>
              <w:pStyle w:val="Tabletext"/>
              <w:jc w:val="center"/>
            </w:pPr>
            <w:r>
              <w:t>–15</w:t>
            </w:r>
          </w:p>
        </w:tc>
        <w:tc>
          <w:tcPr>
            <w:tcW w:w="1134" w:type="dxa"/>
            <w:tcBorders>
              <w:top w:val="nil"/>
              <w:bottom w:val="nil"/>
            </w:tcBorders>
          </w:tcPr>
          <w:p w:rsidR="005025AC" w:rsidRDefault="005025AC" w:rsidP="00606CEE">
            <w:pPr>
              <w:jc w:val="center"/>
            </w:pPr>
          </w:p>
        </w:tc>
        <w:tc>
          <w:tcPr>
            <w:tcW w:w="1701" w:type="dxa"/>
          </w:tcPr>
          <w:p w:rsidR="005025AC" w:rsidRDefault="005025AC" w:rsidP="00606CEE">
            <w:pPr>
              <w:pStyle w:val="Tabletext"/>
              <w:jc w:val="center"/>
            </w:pPr>
            <w:r>
              <w:rPr>
                <w:i/>
              </w:rPr>
              <w:t>f</w:t>
            </w:r>
            <w:r>
              <w:rPr>
                <w:position w:val="-4"/>
                <w:sz w:val="14"/>
              </w:rPr>
              <w:t>0</w:t>
            </w:r>
            <w:r>
              <w:t xml:space="preserve"> </w:t>
            </w:r>
            <w:r>
              <w:sym w:font="Symbol" w:char="F02B"/>
            </w:r>
            <w:r>
              <w:t xml:space="preserve"> 107,5</w:t>
            </w:r>
          </w:p>
        </w:tc>
        <w:tc>
          <w:tcPr>
            <w:tcW w:w="1701" w:type="dxa"/>
          </w:tcPr>
          <w:p w:rsidR="005025AC" w:rsidRDefault="005025AC" w:rsidP="00606CEE">
            <w:pPr>
              <w:pStyle w:val="Tabletext"/>
              <w:jc w:val="center"/>
            </w:pPr>
            <w:r>
              <w:t>–15</w:t>
            </w:r>
          </w:p>
        </w:tc>
      </w:tr>
      <w:tr w:rsidR="005025AC" w:rsidTr="00606CEE">
        <w:trPr>
          <w:jc w:val="center"/>
        </w:trPr>
        <w:tc>
          <w:tcPr>
            <w:tcW w:w="1701" w:type="dxa"/>
          </w:tcPr>
          <w:p w:rsidR="005025AC" w:rsidRDefault="005025AC" w:rsidP="00606CEE">
            <w:pPr>
              <w:pStyle w:val="Tabletext"/>
              <w:jc w:val="center"/>
            </w:pPr>
            <w:r>
              <w:rPr>
                <w:i/>
              </w:rPr>
              <w:t>f</w:t>
            </w:r>
            <w:r>
              <w:rPr>
                <w:position w:val="-4"/>
                <w:sz w:val="14"/>
              </w:rPr>
              <w:t>0</w:t>
            </w:r>
            <w:r>
              <w:t xml:space="preserve"> – 124</w:t>
            </w:r>
          </w:p>
        </w:tc>
        <w:tc>
          <w:tcPr>
            <w:tcW w:w="1701" w:type="dxa"/>
          </w:tcPr>
          <w:p w:rsidR="005025AC" w:rsidRDefault="005025AC" w:rsidP="00606CEE">
            <w:pPr>
              <w:pStyle w:val="Tabletext"/>
              <w:jc w:val="center"/>
            </w:pPr>
            <w:r>
              <w:t>–30</w:t>
            </w:r>
          </w:p>
        </w:tc>
        <w:tc>
          <w:tcPr>
            <w:tcW w:w="1134" w:type="dxa"/>
            <w:tcBorders>
              <w:top w:val="nil"/>
              <w:bottom w:val="nil"/>
            </w:tcBorders>
          </w:tcPr>
          <w:p w:rsidR="005025AC" w:rsidRDefault="005025AC" w:rsidP="00606CEE">
            <w:pPr>
              <w:jc w:val="center"/>
            </w:pPr>
          </w:p>
        </w:tc>
        <w:tc>
          <w:tcPr>
            <w:tcW w:w="1701" w:type="dxa"/>
          </w:tcPr>
          <w:p w:rsidR="005025AC" w:rsidRDefault="005025AC" w:rsidP="00606CEE">
            <w:pPr>
              <w:pStyle w:val="Tabletext"/>
              <w:jc w:val="center"/>
            </w:pPr>
            <w:r>
              <w:rPr>
                <w:i/>
              </w:rPr>
              <w:t>f</w:t>
            </w:r>
            <w:r>
              <w:rPr>
                <w:position w:val="-4"/>
                <w:sz w:val="14"/>
              </w:rPr>
              <w:t>0</w:t>
            </w:r>
            <w:r>
              <w:t xml:space="preserve"> </w:t>
            </w:r>
            <w:r>
              <w:sym w:font="Symbol" w:char="F02B"/>
            </w:r>
            <w:r>
              <w:t xml:space="preserve"> 124</w:t>
            </w:r>
          </w:p>
        </w:tc>
        <w:tc>
          <w:tcPr>
            <w:tcW w:w="1701" w:type="dxa"/>
          </w:tcPr>
          <w:p w:rsidR="005025AC" w:rsidRDefault="005025AC" w:rsidP="00606CEE">
            <w:pPr>
              <w:pStyle w:val="Tabletext"/>
              <w:jc w:val="center"/>
            </w:pPr>
            <w:r>
              <w:t>–30</w:t>
            </w:r>
          </w:p>
        </w:tc>
      </w:tr>
      <w:tr w:rsidR="005025AC" w:rsidTr="00606CEE">
        <w:trPr>
          <w:jc w:val="center"/>
        </w:trPr>
        <w:tc>
          <w:tcPr>
            <w:tcW w:w="1701" w:type="dxa"/>
          </w:tcPr>
          <w:p w:rsidR="005025AC" w:rsidRDefault="005025AC" w:rsidP="00606CEE">
            <w:pPr>
              <w:pStyle w:val="Tabletext"/>
              <w:jc w:val="center"/>
            </w:pPr>
            <w:r>
              <w:rPr>
                <w:i/>
              </w:rPr>
              <w:t>f</w:t>
            </w:r>
            <w:r>
              <w:rPr>
                <w:position w:val="-4"/>
                <w:sz w:val="14"/>
              </w:rPr>
              <w:t>0</w:t>
            </w:r>
            <w:r>
              <w:t xml:space="preserve"> – 152,5</w:t>
            </w:r>
          </w:p>
        </w:tc>
        <w:tc>
          <w:tcPr>
            <w:tcW w:w="1701" w:type="dxa"/>
          </w:tcPr>
          <w:p w:rsidR="005025AC" w:rsidRDefault="005025AC" w:rsidP="00606CEE">
            <w:pPr>
              <w:pStyle w:val="Tabletext"/>
              <w:jc w:val="center"/>
            </w:pPr>
            <w:r>
              <w:t>–</w:t>
            </w:r>
            <w:r>
              <w:rPr>
                <w:rFonts w:ascii="Tms Rmn" w:hAnsi="Tms Rmn"/>
                <w:sz w:val="12"/>
              </w:rPr>
              <w:t> </w:t>
            </w:r>
            <w:r>
              <w:t>40</w:t>
            </w:r>
          </w:p>
        </w:tc>
        <w:tc>
          <w:tcPr>
            <w:tcW w:w="1134" w:type="dxa"/>
            <w:tcBorders>
              <w:top w:val="nil"/>
              <w:bottom w:val="nil"/>
            </w:tcBorders>
          </w:tcPr>
          <w:p w:rsidR="005025AC" w:rsidRDefault="005025AC" w:rsidP="00606CEE">
            <w:pPr>
              <w:jc w:val="center"/>
            </w:pPr>
          </w:p>
        </w:tc>
        <w:tc>
          <w:tcPr>
            <w:tcW w:w="1701" w:type="dxa"/>
          </w:tcPr>
          <w:p w:rsidR="005025AC" w:rsidRDefault="005025AC" w:rsidP="00606CEE">
            <w:pPr>
              <w:pStyle w:val="Tabletext"/>
              <w:jc w:val="center"/>
            </w:pPr>
            <w:r>
              <w:rPr>
                <w:i/>
              </w:rPr>
              <w:t>f</w:t>
            </w:r>
            <w:r>
              <w:rPr>
                <w:position w:val="-4"/>
                <w:sz w:val="14"/>
              </w:rPr>
              <w:t>0</w:t>
            </w:r>
            <w:r>
              <w:t xml:space="preserve"> </w:t>
            </w:r>
            <w:r>
              <w:sym w:font="Symbol" w:char="F02B"/>
            </w:r>
            <w:r>
              <w:t xml:space="preserve"> 152,5</w:t>
            </w:r>
          </w:p>
        </w:tc>
        <w:tc>
          <w:tcPr>
            <w:tcW w:w="1701" w:type="dxa"/>
          </w:tcPr>
          <w:p w:rsidR="005025AC" w:rsidRDefault="005025AC" w:rsidP="00606CEE">
            <w:pPr>
              <w:pStyle w:val="Tabletext"/>
              <w:jc w:val="center"/>
            </w:pPr>
            <w:r>
              <w:t>–</w:t>
            </w:r>
            <w:r>
              <w:rPr>
                <w:rFonts w:ascii="Tms Rmn" w:hAnsi="Tms Rmn"/>
                <w:sz w:val="12"/>
              </w:rPr>
              <w:t> </w:t>
            </w:r>
            <w:r>
              <w:t>40</w:t>
            </w:r>
          </w:p>
        </w:tc>
      </w:tr>
    </w:tbl>
    <w:p w:rsidR="005025AC" w:rsidRDefault="005025AC" w:rsidP="005025AC">
      <w:pPr>
        <w:pStyle w:val="Tablefin"/>
      </w:pPr>
    </w:p>
    <w:p w:rsidR="005025AC" w:rsidRPr="0024016D" w:rsidRDefault="005025AC" w:rsidP="005025AC">
      <w:pPr>
        <w:rPr>
          <w:lang w:val="es-ES_tradnl"/>
        </w:rPr>
      </w:pPr>
      <w:r w:rsidRPr="0024016D">
        <w:rPr>
          <w:lang w:val="es-ES_tradnl"/>
        </w:rPr>
        <w:lastRenderedPageBreak/>
        <w:t>La representación gráfica de la máscara se muestra en la Fig. 1.</w:t>
      </w:r>
    </w:p>
    <w:p w:rsidR="005025AC" w:rsidRPr="00016673" w:rsidRDefault="005025AC" w:rsidP="005025AC">
      <w:pPr>
        <w:pStyle w:val="FigureNo"/>
        <w:rPr>
          <w:lang w:val="es-ES_tradnl"/>
        </w:rPr>
      </w:pPr>
      <w:r w:rsidRPr="00016673">
        <w:rPr>
          <w:lang w:val="es-ES_tradnl"/>
        </w:rPr>
        <w:t>FIGURA 1</w:t>
      </w:r>
    </w:p>
    <w:p w:rsidR="005025AC" w:rsidRPr="00016673" w:rsidRDefault="005025AC" w:rsidP="005025AC">
      <w:pPr>
        <w:pStyle w:val="Figuretitle"/>
        <w:rPr>
          <w:lang w:val="es-ES_tradnl"/>
        </w:rPr>
      </w:pPr>
      <w:r w:rsidRPr="00016673">
        <w:rPr>
          <w:lang w:val="es-ES_tradnl"/>
        </w:rPr>
        <w:t>Forma de la máscara</w:t>
      </w:r>
    </w:p>
    <w:p w:rsidR="005025AC" w:rsidRDefault="005025AC" w:rsidP="005025AC">
      <w:pPr>
        <w:pStyle w:val="Figure"/>
      </w:pPr>
      <w:r>
        <w:object w:dxaOrig="6977" w:dyaOrig="4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5pt;height:246.75pt" o:ole="">
            <v:imagedata r:id="rId13" o:title=""/>
          </v:shape>
          <o:OLEObject Type="Embed" ProgID="CorelDRAW.Graphic.14" ShapeID="_x0000_i1025" DrawAspect="Content" ObjectID="_1496843374" r:id="rId14"/>
        </w:object>
      </w:r>
    </w:p>
    <w:p w:rsidR="005025AC" w:rsidRDefault="005025AC" w:rsidP="005025AC">
      <w:pPr>
        <w:rPr>
          <w:lang w:val="es-ES_tradnl"/>
        </w:rPr>
      </w:pPr>
    </w:p>
    <w:p w:rsidR="005025AC" w:rsidRDefault="005025AC" w:rsidP="005025AC">
      <w:pPr>
        <w:rPr>
          <w:lang w:val="es-ES_tradnl"/>
        </w:rPr>
      </w:pPr>
    </w:p>
    <w:p w:rsidR="005025AC" w:rsidRDefault="005025AC" w:rsidP="005025AC">
      <w:pPr>
        <w:rPr>
          <w:lang w:val="es-ES_tradnl"/>
        </w:rPr>
      </w:pPr>
    </w:p>
    <w:p w:rsidR="005025AC" w:rsidRPr="0024016D" w:rsidRDefault="005025AC" w:rsidP="005025AC">
      <w:pPr>
        <w:pStyle w:val="AnnexNoTitle"/>
        <w:rPr>
          <w:lang w:val="es-ES_tradnl"/>
        </w:rPr>
      </w:pPr>
      <w:r>
        <w:rPr>
          <w:lang w:val="es-ES_tradnl"/>
        </w:rPr>
        <w:t xml:space="preserve">Anexo </w:t>
      </w:r>
      <w:r w:rsidRPr="0024016D">
        <w:rPr>
          <w:lang w:val="es-ES_tradnl"/>
        </w:rPr>
        <w:t>2</w:t>
      </w:r>
      <w:r>
        <w:rPr>
          <w:lang w:val="es-ES_tradnl"/>
        </w:rPr>
        <w:br/>
      </w:r>
      <w:r>
        <w:rPr>
          <w:lang w:val="es-ES_tradnl"/>
        </w:rPr>
        <w:br/>
      </w:r>
      <w:r w:rsidRPr="0024016D">
        <w:rPr>
          <w:lang w:val="es-ES_tradnl"/>
        </w:rPr>
        <w:t>Método de medición de la máxima desviación de frecuencia</w:t>
      </w:r>
      <w:r>
        <w:rPr>
          <w:lang w:val="es-ES_tradnl"/>
        </w:rPr>
        <w:br/>
      </w:r>
      <w:r w:rsidRPr="0024016D">
        <w:rPr>
          <w:lang w:val="es-ES_tradnl"/>
        </w:rPr>
        <w:t>de las emisiones</w:t>
      </w:r>
      <w:r>
        <w:rPr>
          <w:lang w:val="es-ES_tradnl"/>
        </w:rPr>
        <w:t xml:space="preserve"> </w:t>
      </w:r>
      <w:r w:rsidRPr="0024016D">
        <w:rPr>
          <w:lang w:val="es-ES_tradnl"/>
        </w:rPr>
        <w:t>de</w:t>
      </w:r>
      <w:r>
        <w:rPr>
          <w:lang w:val="es-ES_tradnl"/>
        </w:rPr>
        <w:t xml:space="preserve"> </w:t>
      </w:r>
      <w:r w:rsidRPr="0024016D">
        <w:rPr>
          <w:lang w:val="es-ES_tradnl"/>
        </w:rPr>
        <w:t>radiodifusión MF a utilizar</w:t>
      </w:r>
      <w:r>
        <w:rPr>
          <w:lang w:val="es-ES_tradnl"/>
        </w:rPr>
        <w:br/>
      </w:r>
      <w:r w:rsidRPr="0024016D">
        <w:rPr>
          <w:lang w:val="es-ES_tradnl"/>
        </w:rPr>
        <w:t>en las estaciones de comprobación técnica</w:t>
      </w:r>
    </w:p>
    <w:p w:rsidR="005025AC" w:rsidRPr="0024016D" w:rsidRDefault="005025AC" w:rsidP="005025AC">
      <w:pPr>
        <w:pStyle w:val="Heading1"/>
        <w:rPr>
          <w:lang w:val="es-ES_tradnl"/>
        </w:rPr>
      </w:pPr>
      <w:r w:rsidRPr="0024016D">
        <w:rPr>
          <w:lang w:val="es-ES_tradnl"/>
        </w:rPr>
        <w:t>1</w:t>
      </w:r>
      <w:r w:rsidRPr="0024016D">
        <w:rPr>
          <w:lang w:val="es-ES_tradnl"/>
        </w:rPr>
        <w:tab/>
        <w:t>Consideraciones generales</w:t>
      </w:r>
    </w:p>
    <w:p w:rsidR="005025AC" w:rsidRPr="0021029C" w:rsidRDefault="005025AC" w:rsidP="005025AC">
      <w:pPr>
        <w:pStyle w:val="Heading2"/>
        <w:rPr>
          <w:lang w:val="es-ES_tradnl"/>
        </w:rPr>
      </w:pPr>
      <w:r w:rsidRPr="0024016D">
        <w:rPr>
          <w:lang w:val="es-ES_tradnl"/>
        </w:rPr>
        <w:t>1.1</w:t>
      </w:r>
      <w:r w:rsidRPr="0024016D">
        <w:rPr>
          <w:lang w:val="es-ES_tradnl"/>
        </w:rPr>
        <w:tab/>
        <w:t>Definiciones</w:t>
      </w:r>
    </w:p>
    <w:p w:rsidR="005025AC" w:rsidRDefault="005025AC" w:rsidP="005025AC">
      <w:pPr>
        <w:pStyle w:val="Headingi"/>
        <w:rPr>
          <w:lang w:val="es-ES_tradnl"/>
        </w:rPr>
      </w:pPr>
      <w:r>
        <w:rPr>
          <w:lang w:val="es-ES_tradnl"/>
        </w:rPr>
        <w:t>Desviación de frecuencia:</w:t>
      </w:r>
    </w:p>
    <w:p w:rsidR="005025AC" w:rsidRPr="0024016D" w:rsidRDefault="005025AC" w:rsidP="005025AC">
      <w:pPr>
        <w:pStyle w:val="enumlev1"/>
        <w:ind w:left="0" w:firstLine="0"/>
        <w:rPr>
          <w:lang w:val="es-ES_tradnl"/>
        </w:rPr>
      </w:pPr>
      <w:r w:rsidRPr="0024016D">
        <w:rPr>
          <w:lang w:val="es-ES_tradnl"/>
        </w:rPr>
        <w:t xml:space="preserve">En el caso de modulación de frecuencia se trata de la desviación de la frecuencia con respecto a la frecuencia de la portadora sin modular </w:t>
      </w:r>
      <w:r w:rsidRPr="0024016D">
        <w:rPr>
          <w:i/>
          <w:lang w:val="es-ES_tradnl"/>
        </w:rPr>
        <w:t>f</w:t>
      </w:r>
      <w:r w:rsidRPr="00507B33">
        <w:rPr>
          <w:vertAlign w:val="subscript"/>
          <w:lang w:val="es-ES_tradnl"/>
        </w:rPr>
        <w:t>0</w:t>
      </w:r>
      <w:r w:rsidRPr="0024016D">
        <w:rPr>
          <w:lang w:val="es-ES_tradnl"/>
        </w:rPr>
        <w:t>.</w:t>
      </w:r>
    </w:p>
    <w:p w:rsidR="005025AC" w:rsidRDefault="005025AC" w:rsidP="005025AC">
      <w:pPr>
        <w:pStyle w:val="Headingi"/>
        <w:rPr>
          <w:lang w:val="es-ES_tradnl"/>
        </w:rPr>
      </w:pPr>
      <w:r>
        <w:rPr>
          <w:lang w:val="es-ES_tradnl"/>
        </w:rPr>
        <w:t>Desviación instantánea:</w:t>
      </w:r>
    </w:p>
    <w:p w:rsidR="005025AC" w:rsidRPr="0024016D" w:rsidRDefault="005025AC" w:rsidP="005025AC">
      <w:pPr>
        <w:rPr>
          <w:lang w:val="es-ES_tradnl"/>
        </w:rPr>
      </w:pPr>
      <w:r w:rsidRPr="0024016D">
        <w:rPr>
          <w:lang w:val="es-ES_tradnl"/>
        </w:rPr>
        <w:t xml:space="preserve">En el caso de modulación de frecuencia, la desviación instantánea </w:t>
      </w:r>
      <w:r>
        <w:rPr>
          <w:lang w:val="es-ES_tradnl"/>
        </w:rPr>
        <w:sym w:font="Symbol" w:char="F044"/>
      </w:r>
      <w:r w:rsidRPr="0024016D">
        <w:rPr>
          <w:sz w:val="12"/>
          <w:lang w:val="es-ES_tradnl"/>
        </w:rPr>
        <w:t> </w:t>
      </w:r>
      <w:r w:rsidRPr="0024016D">
        <w:rPr>
          <w:i/>
          <w:lang w:val="es-ES_tradnl"/>
        </w:rPr>
        <w:t>f</w:t>
      </w:r>
      <w:r w:rsidRPr="0024016D">
        <w:rPr>
          <w:sz w:val="12"/>
          <w:lang w:val="es-ES_tradnl"/>
        </w:rPr>
        <w:t> </w:t>
      </w:r>
      <w:r w:rsidRPr="0024016D">
        <w:rPr>
          <w:lang w:val="es-ES_tradnl"/>
        </w:rPr>
        <w:t>(</w:t>
      </w:r>
      <w:r w:rsidRPr="0024016D">
        <w:rPr>
          <w:i/>
          <w:lang w:val="es-ES_tradnl"/>
        </w:rPr>
        <w:t>t</w:t>
      </w:r>
      <w:r w:rsidRPr="0024016D">
        <w:rPr>
          <w:lang w:val="es-ES_tradnl"/>
        </w:rPr>
        <w:t xml:space="preserve">) es la diferencia entre la frecuencia </w:t>
      </w:r>
      <w:r>
        <w:rPr>
          <w:lang w:val="es-ES_tradnl"/>
        </w:rPr>
        <w:t>instantánea en un instante determinado (</w:t>
      </w:r>
      <w:r w:rsidRPr="002B00E0">
        <w:rPr>
          <w:i/>
          <w:iCs/>
          <w:lang w:val="es-ES_tradnl"/>
        </w:rPr>
        <w:t>t</w:t>
      </w:r>
      <w:r>
        <w:rPr>
          <w:lang w:val="es-ES_tradnl"/>
        </w:rPr>
        <w:t xml:space="preserve">) y la frecuencia </w:t>
      </w:r>
      <w:r w:rsidRPr="002B00E0">
        <w:rPr>
          <w:lang w:val="es-ES_tradnl"/>
        </w:rPr>
        <w:t>portadora</w:t>
      </w:r>
      <w:r w:rsidRPr="0024016D">
        <w:rPr>
          <w:lang w:val="es-ES_tradnl"/>
        </w:rPr>
        <w:t xml:space="preserve"> sin modular (</w:t>
      </w:r>
      <w:r w:rsidRPr="0024016D">
        <w:rPr>
          <w:i/>
          <w:lang w:val="es-ES_tradnl"/>
        </w:rPr>
        <w:t>f</w:t>
      </w:r>
      <w:r w:rsidRPr="00507B33">
        <w:rPr>
          <w:vertAlign w:val="subscript"/>
          <w:lang w:val="es-ES_tradnl"/>
        </w:rPr>
        <w:t>0</w:t>
      </w:r>
      <w:r>
        <w:rPr>
          <w:lang w:val="es-ES_tradnl"/>
        </w:rPr>
        <w:t>)</w:t>
      </w:r>
      <w:r w:rsidRPr="0024016D">
        <w:rPr>
          <w:lang w:val="es-ES_tradnl"/>
        </w:rPr>
        <w:t>. La frecuencia instantánea es:</w:t>
      </w:r>
    </w:p>
    <w:p w:rsidR="005025AC" w:rsidRPr="0024016D" w:rsidRDefault="005025AC" w:rsidP="005025AC">
      <w:pPr>
        <w:pStyle w:val="Equation"/>
        <w:rPr>
          <w:lang w:val="es-ES_tradnl"/>
        </w:rPr>
      </w:pPr>
      <w:r>
        <w:rPr>
          <w:i/>
          <w:lang w:val="es-ES_tradnl"/>
        </w:rPr>
        <w:tab/>
      </w:r>
      <w:r>
        <w:rPr>
          <w:i/>
          <w:lang w:val="es-ES_tradnl"/>
        </w:rPr>
        <w:tab/>
      </w:r>
      <w:r w:rsidRPr="0024016D">
        <w:rPr>
          <w:i/>
          <w:lang w:val="es-ES_tradnl"/>
        </w:rPr>
        <w:t>f</w:t>
      </w:r>
      <w:r w:rsidRPr="0024016D">
        <w:rPr>
          <w:sz w:val="12"/>
          <w:lang w:val="es-ES_tradnl"/>
        </w:rPr>
        <w:t> </w:t>
      </w:r>
      <w:r w:rsidRPr="0024016D">
        <w:rPr>
          <w:lang w:val="es-ES_tradnl"/>
        </w:rPr>
        <w:t>(</w:t>
      </w:r>
      <w:r w:rsidRPr="0024016D">
        <w:rPr>
          <w:i/>
          <w:lang w:val="es-ES_tradnl"/>
        </w:rPr>
        <w:t>t</w:t>
      </w:r>
      <w:r w:rsidRPr="0024016D">
        <w:rPr>
          <w:lang w:val="es-ES_tradnl"/>
        </w:rPr>
        <w:t xml:space="preserve">)  </w:t>
      </w:r>
      <w:r>
        <w:rPr>
          <w:lang w:val="es-ES_tradnl"/>
        </w:rPr>
        <w:sym w:font="Symbol" w:char="F03D"/>
      </w:r>
      <w:r w:rsidRPr="0024016D">
        <w:rPr>
          <w:lang w:val="es-ES_tradnl"/>
        </w:rPr>
        <w:t xml:space="preserve">  </w:t>
      </w:r>
      <w:r w:rsidRPr="0024016D">
        <w:rPr>
          <w:i/>
          <w:lang w:val="es-ES_tradnl"/>
        </w:rPr>
        <w:t>f</w:t>
      </w:r>
      <w:r w:rsidRPr="00507B33">
        <w:rPr>
          <w:vertAlign w:val="subscript"/>
          <w:lang w:val="es-ES_tradnl"/>
        </w:rPr>
        <w:t>0</w:t>
      </w:r>
      <w:r w:rsidRPr="0024016D">
        <w:rPr>
          <w:lang w:val="es-ES_tradnl"/>
        </w:rPr>
        <w:t xml:space="preserve">  </w:t>
      </w:r>
      <w:r>
        <w:rPr>
          <w:lang w:val="es-ES_tradnl"/>
        </w:rPr>
        <w:sym w:font="Symbol" w:char="F02B"/>
      </w:r>
      <w:r w:rsidRPr="0024016D">
        <w:rPr>
          <w:lang w:val="es-ES_tradnl"/>
        </w:rPr>
        <w:t xml:space="preserve">  </w:t>
      </w:r>
      <w:r>
        <w:rPr>
          <w:lang w:val="es-ES_tradnl"/>
        </w:rPr>
        <w:sym w:font="Symbol" w:char="F044"/>
      </w:r>
      <w:r w:rsidRPr="0024016D">
        <w:rPr>
          <w:sz w:val="12"/>
          <w:lang w:val="es-ES_tradnl"/>
        </w:rPr>
        <w:t> </w:t>
      </w:r>
      <w:r w:rsidRPr="0024016D">
        <w:rPr>
          <w:i/>
          <w:lang w:val="es-ES_tradnl"/>
        </w:rPr>
        <w:t>f</w:t>
      </w:r>
      <w:r w:rsidRPr="0024016D">
        <w:rPr>
          <w:sz w:val="12"/>
          <w:lang w:val="es-ES_tradnl"/>
        </w:rPr>
        <w:t> </w:t>
      </w:r>
      <w:r w:rsidRPr="0024016D">
        <w:rPr>
          <w:lang w:val="es-ES_tradnl"/>
        </w:rPr>
        <w:t>(</w:t>
      </w:r>
      <w:r w:rsidRPr="0024016D">
        <w:rPr>
          <w:i/>
          <w:lang w:val="es-ES_tradnl"/>
        </w:rPr>
        <w:t>t</w:t>
      </w:r>
      <w:r w:rsidRPr="0024016D">
        <w:rPr>
          <w:lang w:val="es-ES_tradnl"/>
        </w:rPr>
        <w:t>)</w:t>
      </w:r>
    </w:p>
    <w:p w:rsidR="005025AC" w:rsidRDefault="005025AC" w:rsidP="005025AC">
      <w:pPr>
        <w:pStyle w:val="Headingi"/>
        <w:rPr>
          <w:lang w:val="es-ES_tradnl"/>
        </w:rPr>
      </w:pPr>
      <w:r w:rsidRPr="0024016D">
        <w:rPr>
          <w:lang w:val="es-ES_tradnl"/>
        </w:rPr>
        <w:lastRenderedPageBreak/>
        <w:t>Desviación de cresta:</w:t>
      </w:r>
      <w:r>
        <w:rPr>
          <w:lang w:val="es-ES_tradnl"/>
        </w:rPr>
        <w:t xml:space="preserve"> </w:t>
      </w:r>
    </w:p>
    <w:p w:rsidR="005025AC" w:rsidRDefault="005025AC" w:rsidP="005025AC">
      <w:pPr>
        <w:rPr>
          <w:lang w:val="es-ES_tradnl"/>
        </w:rPr>
      </w:pPr>
      <w:r w:rsidRPr="0024016D">
        <w:rPr>
          <w:lang w:val="es-ES_tradnl"/>
        </w:rPr>
        <w:t xml:space="preserve">En el caso de modulación de frecuencia, la desviación de cresta </w:t>
      </w:r>
      <w:r>
        <w:sym w:font="Symbol" w:char="F044"/>
      </w:r>
      <w:r w:rsidRPr="0024016D">
        <w:rPr>
          <w:sz w:val="12"/>
          <w:lang w:val="es-ES_tradnl"/>
        </w:rPr>
        <w:t> </w:t>
      </w:r>
      <w:r w:rsidRPr="0024016D">
        <w:rPr>
          <w:i/>
          <w:lang w:val="es-ES_tradnl"/>
        </w:rPr>
        <w:t>f</w:t>
      </w:r>
      <w:r w:rsidRPr="0024016D">
        <w:rPr>
          <w:sz w:val="12"/>
          <w:lang w:val="es-ES_tradnl"/>
        </w:rPr>
        <w:t> </w:t>
      </w:r>
      <w:r w:rsidRPr="0024016D">
        <w:rPr>
          <w:lang w:val="es-ES_tradnl"/>
        </w:rPr>
        <w:t xml:space="preserve"> es el máximo absoluto de la diferencia entre la frecuencia portadora sin modular (</w:t>
      </w:r>
      <w:r w:rsidRPr="0024016D">
        <w:rPr>
          <w:i/>
          <w:lang w:val="es-ES_tradnl"/>
        </w:rPr>
        <w:t>f</w:t>
      </w:r>
      <w:r w:rsidRPr="00507B33">
        <w:rPr>
          <w:vertAlign w:val="subscript"/>
          <w:lang w:val="es-ES_tradnl"/>
        </w:rPr>
        <w:t>0</w:t>
      </w:r>
      <w:r w:rsidRPr="0024016D">
        <w:rPr>
          <w:lang w:val="es-ES_tradnl"/>
        </w:rPr>
        <w:t>)</w:t>
      </w:r>
      <w:r>
        <w:rPr>
          <w:lang w:val="es-ES_tradnl"/>
        </w:rPr>
        <w:t xml:space="preserve"> y la frecuencia instantánea </w:t>
      </w:r>
      <w:r w:rsidRPr="0024016D">
        <w:rPr>
          <w:i/>
          <w:lang w:val="es-ES_tradnl"/>
        </w:rPr>
        <w:t>f</w:t>
      </w:r>
      <w:r w:rsidRPr="0024016D">
        <w:rPr>
          <w:sz w:val="12"/>
          <w:lang w:val="es-ES_tradnl"/>
        </w:rPr>
        <w:t> </w:t>
      </w:r>
      <w:r w:rsidRPr="0024016D">
        <w:rPr>
          <w:lang w:val="es-ES_tradnl"/>
        </w:rPr>
        <w:t>(</w:t>
      </w:r>
      <w:r w:rsidRPr="0024016D">
        <w:rPr>
          <w:i/>
          <w:lang w:val="es-ES_tradnl"/>
        </w:rPr>
        <w:t>t</w:t>
      </w:r>
      <w:r w:rsidRPr="0024016D">
        <w:rPr>
          <w:lang w:val="es-ES_tradnl"/>
        </w:rPr>
        <w:t>)</w:t>
      </w:r>
      <w:r>
        <w:rPr>
          <w:lang w:val="es-ES_tradnl"/>
        </w:rPr>
        <w:t>.</w:t>
      </w:r>
    </w:p>
    <w:p w:rsidR="005025AC" w:rsidRDefault="005025AC" w:rsidP="005025AC">
      <w:pPr>
        <w:pStyle w:val="Headingi"/>
        <w:rPr>
          <w:lang w:val="es-ES_tradnl"/>
        </w:rPr>
      </w:pPr>
      <w:r>
        <w:rPr>
          <w:lang w:val="es-ES_tradnl"/>
        </w:rPr>
        <w:t>Señal compuesta:</w:t>
      </w:r>
    </w:p>
    <w:p w:rsidR="005025AC" w:rsidRPr="0024016D" w:rsidRDefault="005025AC" w:rsidP="005025AC">
      <w:pPr>
        <w:rPr>
          <w:lang w:val="es-ES_tradnl"/>
        </w:rPr>
      </w:pPr>
      <w:r w:rsidRPr="0024016D">
        <w:rPr>
          <w:lang w:val="es-ES_tradnl"/>
        </w:rPr>
        <w:t>Esta señal incluye toda la información de estereofonía (comprendido el tono piloto) y puede incorporar también la radioseñal de tráfico, la señal RDS y otras señales adicionales.</w:t>
      </w:r>
    </w:p>
    <w:p w:rsidR="005025AC" w:rsidRPr="003A7E71" w:rsidRDefault="005025AC" w:rsidP="005025AC">
      <w:pPr>
        <w:pStyle w:val="enumlev1"/>
        <w:rPr>
          <w:i/>
          <w:iCs/>
          <w:lang w:val="es-ES_tradnl"/>
        </w:rPr>
      </w:pPr>
      <w:r w:rsidRPr="003A7E71">
        <w:rPr>
          <w:i/>
          <w:iCs/>
          <w:lang w:val="es-ES_tradnl"/>
        </w:rPr>
        <w:t>Potencia de modulación</w:t>
      </w:r>
      <w:r>
        <w:rPr>
          <w:i/>
          <w:iCs/>
          <w:lang w:val="es-ES_tradnl"/>
        </w:rPr>
        <w:t xml:space="preserve"> (también denominada potencia multiplex)</w:t>
      </w:r>
      <w:r w:rsidRPr="003A7E71">
        <w:rPr>
          <w:i/>
          <w:iCs/>
          <w:lang w:val="es-ES_tradnl"/>
        </w:rPr>
        <w:t>:</w:t>
      </w:r>
    </w:p>
    <w:p w:rsidR="005025AC" w:rsidRPr="0024016D" w:rsidRDefault="005025AC" w:rsidP="005025AC">
      <w:pPr>
        <w:rPr>
          <w:lang w:val="es-ES_tradnl"/>
        </w:rPr>
      </w:pPr>
      <w:r w:rsidRPr="0024016D">
        <w:rPr>
          <w:lang w:val="es-ES_tradnl"/>
        </w:rPr>
        <w:t xml:space="preserve">Se trata de la potencia relativa promediada </w:t>
      </w:r>
      <w:proofErr w:type="spellStart"/>
      <w:r w:rsidRPr="0024016D">
        <w:rPr>
          <w:i/>
          <w:iCs/>
          <w:lang w:val="es-ES_tradnl"/>
        </w:rPr>
        <w:t>P</w:t>
      </w:r>
      <w:r w:rsidRPr="00507B33">
        <w:rPr>
          <w:i/>
          <w:iCs/>
          <w:vertAlign w:val="subscript"/>
          <w:lang w:val="es-ES_tradnl"/>
        </w:rPr>
        <w:t>mod</w:t>
      </w:r>
      <w:proofErr w:type="spellEnd"/>
      <w:r w:rsidRPr="0024016D">
        <w:rPr>
          <w:lang w:val="es-ES_tradnl"/>
        </w:rPr>
        <w:t xml:space="preserve"> a lo largo de 60 s de la señal de modulación, de acuerdo con la fórmula:</w:t>
      </w:r>
    </w:p>
    <w:p w:rsidR="005025AC" w:rsidRPr="0021029C" w:rsidRDefault="005025AC" w:rsidP="005025AC">
      <w:pPr>
        <w:pStyle w:val="Equation"/>
        <w:rPr>
          <w:b/>
          <w:bCs/>
          <w:lang w:val="es-ES_tradnl"/>
        </w:rPr>
      </w:pPr>
      <w:r>
        <w:rPr>
          <w:lang w:val="es-ES_tradnl"/>
        </w:rPr>
        <w:tab/>
      </w:r>
      <w:r w:rsidRPr="002A2ADE">
        <w:rPr>
          <w:lang w:val="es-ES_tradnl"/>
        </w:rPr>
        <w:tab/>
      </w:r>
      <w:r w:rsidRPr="0021029C">
        <w:rPr>
          <w:lang w:val="es-ES_tradnl"/>
        </w:rPr>
        <w:t xml:space="preserve">Potencia de modulación = 10 log {(2/60 s) </w:t>
      </w:r>
      <w:r>
        <w:sym w:font="Symbol" w:char="F0F2"/>
      </w:r>
      <w:r w:rsidRPr="0021029C">
        <w:rPr>
          <w:lang w:val="es-ES_tradnl"/>
        </w:rPr>
        <w:t>(</w:t>
      </w:r>
      <w:r>
        <w:sym w:font="Symbol" w:char="F044"/>
      </w:r>
      <w:r w:rsidRPr="0021029C">
        <w:rPr>
          <w:i/>
          <w:iCs/>
          <w:lang w:val="es-ES_tradnl"/>
        </w:rPr>
        <w:t>f</w:t>
      </w:r>
      <w:r w:rsidRPr="0021029C">
        <w:rPr>
          <w:lang w:val="es-ES_tradnl"/>
        </w:rPr>
        <w:t>(</w:t>
      </w:r>
      <w:r w:rsidRPr="0021029C">
        <w:rPr>
          <w:i/>
          <w:iCs/>
          <w:lang w:val="es-ES_tradnl"/>
        </w:rPr>
        <w:t>t</w:t>
      </w:r>
      <w:r w:rsidRPr="0021029C">
        <w:rPr>
          <w:lang w:val="es-ES_tradnl"/>
        </w:rPr>
        <w:t>)/19 kHz)</w:t>
      </w:r>
      <w:r w:rsidRPr="0021029C">
        <w:rPr>
          <w:vertAlign w:val="superscript"/>
          <w:lang w:val="es-ES_tradnl"/>
        </w:rPr>
        <w:t>2</w:t>
      </w:r>
      <w:r w:rsidRPr="0021029C">
        <w:rPr>
          <w:lang w:val="es-ES_tradnl"/>
        </w:rPr>
        <w:t xml:space="preserve"> </w:t>
      </w:r>
      <w:proofErr w:type="spellStart"/>
      <w:r w:rsidRPr="0021029C">
        <w:rPr>
          <w:lang w:val="es-ES_tradnl"/>
        </w:rPr>
        <w:t>d</w:t>
      </w:r>
      <w:r w:rsidRPr="0021029C">
        <w:rPr>
          <w:i/>
          <w:iCs/>
          <w:lang w:val="es-ES_tradnl"/>
        </w:rPr>
        <w:t>t</w:t>
      </w:r>
      <w:proofErr w:type="spellEnd"/>
      <w:r w:rsidRPr="0021029C">
        <w:rPr>
          <w:lang w:val="es-ES_tradnl"/>
        </w:rPr>
        <w:t>}                </w:t>
      </w:r>
      <w:proofErr w:type="spellStart"/>
      <w:r w:rsidRPr="0021029C">
        <w:rPr>
          <w:lang w:val="es-ES_tradnl"/>
        </w:rPr>
        <w:t>dBr</w:t>
      </w:r>
      <w:proofErr w:type="spellEnd"/>
    </w:p>
    <w:p w:rsidR="005025AC" w:rsidRPr="007E11DD" w:rsidRDefault="005025AC" w:rsidP="005025AC">
      <w:pPr>
        <w:pStyle w:val="enumlev1"/>
        <w:rPr>
          <w:i/>
          <w:iCs/>
          <w:lang w:val="es-ES_tradnl"/>
        </w:rPr>
      </w:pPr>
      <w:r w:rsidRPr="007E11DD">
        <w:rPr>
          <w:i/>
          <w:iCs/>
          <w:lang w:val="es-ES_tradnl"/>
        </w:rPr>
        <w:t>0 </w:t>
      </w:r>
      <w:proofErr w:type="spellStart"/>
      <w:r w:rsidRPr="007E11DD">
        <w:rPr>
          <w:i/>
          <w:iCs/>
          <w:lang w:val="es-ES_tradnl"/>
        </w:rPr>
        <w:t>dBr</w:t>
      </w:r>
      <w:proofErr w:type="spellEnd"/>
      <w:r w:rsidRPr="007E11DD">
        <w:rPr>
          <w:i/>
          <w:iCs/>
          <w:lang w:val="es-ES_tradnl"/>
        </w:rPr>
        <w:t>:</w:t>
      </w:r>
    </w:p>
    <w:p w:rsidR="005025AC" w:rsidRPr="0024016D" w:rsidRDefault="005025AC" w:rsidP="005025AC">
      <w:pPr>
        <w:rPr>
          <w:lang w:val="es-ES_tradnl"/>
        </w:rPr>
      </w:pPr>
      <w:r w:rsidRPr="0024016D">
        <w:rPr>
          <w:lang w:val="es-ES_tradnl"/>
        </w:rPr>
        <w:t xml:space="preserve">Es la potencia media de una señal equivalente a la potencia de un tono sinusoidal que provoca una desviación de cresta de </w:t>
      </w:r>
      <w:r>
        <w:sym w:font="Symbol" w:char="F0B1"/>
      </w:r>
      <w:r w:rsidRPr="0024016D">
        <w:rPr>
          <w:lang w:val="es-ES_tradnl"/>
        </w:rPr>
        <w:t>19 kHz.</w:t>
      </w:r>
    </w:p>
    <w:p w:rsidR="005025AC" w:rsidRPr="0024016D" w:rsidRDefault="005025AC" w:rsidP="005025AC">
      <w:pPr>
        <w:pStyle w:val="Heading2"/>
        <w:rPr>
          <w:lang w:val="es-ES_tradnl"/>
        </w:rPr>
      </w:pPr>
      <w:r w:rsidRPr="0024016D">
        <w:rPr>
          <w:lang w:val="es-ES_tradnl"/>
        </w:rPr>
        <w:t>1.2</w:t>
      </w:r>
      <w:r w:rsidRPr="0024016D">
        <w:rPr>
          <w:lang w:val="es-ES_tradnl"/>
        </w:rPr>
        <w:tab/>
        <w:t>Introducción</w:t>
      </w:r>
    </w:p>
    <w:p w:rsidR="005025AC" w:rsidRPr="0024016D" w:rsidRDefault="005025AC" w:rsidP="005025AC">
      <w:pPr>
        <w:rPr>
          <w:lang w:val="es-ES_tradnl"/>
        </w:rPr>
      </w:pPr>
      <w:r w:rsidRPr="0024016D">
        <w:rPr>
          <w:lang w:val="es-ES_tradnl"/>
        </w:rPr>
        <w:t>Existen varias razones, tales como una reducción del tiempo necesario para realizar las mediciones, que hacen conveniente llevar a cabo las mediciones de desviación de frecuencia en el propio trayecto y no directamente a la salida del transmisor. Para evitar incertidumbres en las mediciones es necesario que la señal que va a medirse se adapte a las características indicadas a continuación y que el equipo de medida cumpla los requisitos descritos en el § 3.</w:t>
      </w:r>
    </w:p>
    <w:p w:rsidR="005025AC" w:rsidRPr="0024016D" w:rsidRDefault="005025AC" w:rsidP="005025AC">
      <w:pPr>
        <w:pStyle w:val="Heading2"/>
        <w:rPr>
          <w:lang w:val="es-ES_tradnl"/>
        </w:rPr>
      </w:pPr>
      <w:r w:rsidRPr="0024016D">
        <w:rPr>
          <w:lang w:val="es-ES_tradnl"/>
        </w:rPr>
        <w:t>1.3</w:t>
      </w:r>
      <w:r w:rsidRPr="0024016D">
        <w:rPr>
          <w:lang w:val="es-ES_tradnl"/>
        </w:rPr>
        <w:tab/>
        <w:t>Límites</w:t>
      </w:r>
    </w:p>
    <w:p w:rsidR="005025AC" w:rsidRPr="0024016D" w:rsidRDefault="005025AC" w:rsidP="005025AC">
      <w:pPr>
        <w:rPr>
          <w:lang w:val="es-ES_tradnl"/>
        </w:rPr>
      </w:pPr>
      <w:r w:rsidRPr="0024016D">
        <w:rPr>
          <w:lang w:val="es-ES_tradnl"/>
        </w:rPr>
        <w:t xml:space="preserve">Se aplican las relaciones de protección especificadas en la Recomendación UIT-R BS.412 para la planificación de los transmisores de radiodifusión sonora MF con la condición de que no se rebase el valor de desviación de cresta de </w:t>
      </w:r>
      <w:r>
        <w:rPr>
          <w:lang w:val="es-ES_tradnl"/>
        </w:rPr>
        <w:sym w:font="Symbol" w:char="F0B1"/>
      </w:r>
      <w:r w:rsidRPr="0024016D">
        <w:rPr>
          <w:lang w:val="es-ES_tradnl"/>
        </w:rPr>
        <w:t xml:space="preserve">75 kHz y que la potencia de modulación promediada a lo largo de cualquier intervalo de 60 s no supere la de un solo tono sinusoidal que provoque una desviación de cresta de </w:t>
      </w:r>
      <w:r>
        <w:rPr>
          <w:lang w:val="es-ES_tradnl"/>
        </w:rPr>
        <w:sym w:font="Symbol" w:char="F0B1"/>
      </w:r>
      <w:r w:rsidRPr="0024016D">
        <w:rPr>
          <w:lang w:val="es-ES_tradnl"/>
        </w:rPr>
        <w:t>19 kHz.</w:t>
      </w:r>
    </w:p>
    <w:p w:rsidR="005025AC" w:rsidRPr="0024016D" w:rsidRDefault="005025AC" w:rsidP="005025AC">
      <w:pPr>
        <w:pStyle w:val="Heading2"/>
        <w:rPr>
          <w:lang w:val="es-ES_tradnl"/>
        </w:rPr>
      </w:pPr>
      <w:r w:rsidRPr="0024016D">
        <w:rPr>
          <w:lang w:val="es-ES_tradnl"/>
        </w:rPr>
        <w:t>1.4</w:t>
      </w:r>
      <w:r w:rsidRPr="0024016D">
        <w:rPr>
          <w:lang w:val="es-ES_tradnl"/>
        </w:rPr>
        <w:tab/>
        <w:t>Tiempo de observación</w:t>
      </w:r>
    </w:p>
    <w:p w:rsidR="005025AC" w:rsidRPr="0024016D" w:rsidRDefault="005025AC" w:rsidP="005025AC">
      <w:pPr>
        <w:rPr>
          <w:lang w:val="es-ES_tradnl"/>
        </w:rPr>
      </w:pPr>
      <w:r w:rsidRPr="0024016D">
        <w:rPr>
          <w:lang w:val="es-ES_tradnl"/>
        </w:rPr>
        <w:t>El tiempo de observación debe ser al menos de 15</w:t>
      </w:r>
      <w:r>
        <w:rPr>
          <w:lang w:val="es-ES_tradnl"/>
        </w:rPr>
        <w:t> </w:t>
      </w:r>
      <w:r w:rsidRPr="0024016D">
        <w:rPr>
          <w:lang w:val="es-ES_tradnl"/>
        </w:rPr>
        <w:t>min</w:t>
      </w:r>
      <w:r>
        <w:rPr>
          <w:lang w:val="es-ES_tradnl"/>
        </w:rPr>
        <w:t>. R</w:t>
      </w:r>
      <w:r w:rsidRPr="0024016D">
        <w:rPr>
          <w:lang w:val="es-ES_tradnl"/>
        </w:rPr>
        <w:t>n algunos casos puede que sea necesaria 1</w:t>
      </w:r>
      <w:r>
        <w:rPr>
          <w:lang w:val="es-ES_tradnl"/>
        </w:rPr>
        <w:t> </w:t>
      </w:r>
      <w:r w:rsidRPr="0024016D">
        <w:rPr>
          <w:lang w:val="es-ES_tradnl"/>
        </w:rPr>
        <w:t xml:space="preserve">h </w:t>
      </w:r>
      <w:r>
        <w:rPr>
          <w:lang w:val="es-ES_tradnl"/>
        </w:rPr>
        <w:t xml:space="preserve">o más </w:t>
      </w:r>
      <w:r w:rsidRPr="0024016D">
        <w:rPr>
          <w:lang w:val="es-ES_tradnl"/>
        </w:rPr>
        <w:t>para asegurar</w:t>
      </w:r>
      <w:r>
        <w:rPr>
          <w:lang w:val="es-ES_tradnl"/>
        </w:rPr>
        <w:t>se de</w:t>
      </w:r>
      <w:r w:rsidRPr="0024016D">
        <w:rPr>
          <w:lang w:val="es-ES_tradnl"/>
        </w:rPr>
        <w:t xml:space="preserve"> que se mide material de programa representativo</w:t>
      </w:r>
      <w:r>
        <w:rPr>
          <w:lang w:val="es-ES_tradnl"/>
        </w:rPr>
        <w:t xml:space="preserve"> que da lugar a los valores máximos de desviación de frecuencia y potencia de modulación</w:t>
      </w:r>
      <w:r w:rsidRPr="0024016D">
        <w:rPr>
          <w:lang w:val="es-ES_tradnl"/>
        </w:rPr>
        <w:t>.</w:t>
      </w:r>
    </w:p>
    <w:p w:rsidR="005025AC" w:rsidRPr="0024016D" w:rsidRDefault="005025AC" w:rsidP="005025AC">
      <w:pPr>
        <w:pStyle w:val="Heading1"/>
        <w:rPr>
          <w:lang w:val="es-ES_tradnl"/>
        </w:rPr>
      </w:pPr>
      <w:r w:rsidRPr="0024016D">
        <w:rPr>
          <w:lang w:val="es-ES_tradnl"/>
        </w:rPr>
        <w:t>2</w:t>
      </w:r>
      <w:r w:rsidRPr="0024016D">
        <w:rPr>
          <w:lang w:val="es-ES_tradnl"/>
        </w:rPr>
        <w:tab/>
        <w:t xml:space="preserve">Condiciones </w:t>
      </w:r>
      <w:r w:rsidRPr="002A2ADE">
        <w:rPr>
          <w:lang w:val="es-ES_tradnl"/>
        </w:rPr>
        <w:t>necesarias</w:t>
      </w:r>
      <w:r w:rsidRPr="0024016D">
        <w:rPr>
          <w:lang w:val="es-ES_tradnl"/>
        </w:rPr>
        <w:t xml:space="preserve"> para las mediciones</w:t>
      </w:r>
    </w:p>
    <w:p w:rsidR="005025AC" w:rsidRPr="0024016D" w:rsidRDefault="005025AC" w:rsidP="005025AC">
      <w:pPr>
        <w:pStyle w:val="Heading2"/>
        <w:rPr>
          <w:lang w:val="es-ES_tradnl"/>
        </w:rPr>
      </w:pPr>
      <w:r w:rsidRPr="0024016D">
        <w:rPr>
          <w:lang w:val="es-ES_tradnl"/>
        </w:rPr>
        <w:t>2.1</w:t>
      </w:r>
      <w:r w:rsidRPr="0024016D">
        <w:rPr>
          <w:lang w:val="es-ES_tradnl"/>
        </w:rPr>
        <w:tab/>
      </w:r>
      <w:r w:rsidRPr="002A2ADE">
        <w:rPr>
          <w:lang w:val="es-ES_tradnl"/>
        </w:rPr>
        <w:t>Valor</w:t>
      </w:r>
      <w:r w:rsidRPr="0024016D">
        <w:rPr>
          <w:lang w:val="es-ES_tradnl"/>
        </w:rPr>
        <w:t xml:space="preserve"> necesario de la relación de niveles de las señales de RF deseada/no deseada, </w:t>
      </w:r>
      <w:r w:rsidRPr="0024016D">
        <w:rPr>
          <w:i/>
          <w:lang w:val="es-ES_tradnl"/>
        </w:rPr>
        <w:t>E</w:t>
      </w:r>
      <w:r w:rsidRPr="00507B33">
        <w:rPr>
          <w:i/>
          <w:iCs/>
          <w:vertAlign w:val="subscript"/>
          <w:lang w:val="es-ES_tradnl"/>
        </w:rPr>
        <w:t>n</w:t>
      </w:r>
      <w:r w:rsidRPr="0024016D">
        <w:rPr>
          <w:lang w:val="es-ES_tradnl"/>
        </w:rPr>
        <w:t>/</w:t>
      </w:r>
      <w:r w:rsidRPr="0024016D">
        <w:rPr>
          <w:i/>
          <w:lang w:val="es-ES_tradnl"/>
        </w:rPr>
        <w:t>E</w:t>
      </w:r>
      <w:r w:rsidRPr="00507B33">
        <w:rPr>
          <w:i/>
          <w:iCs/>
          <w:vertAlign w:val="subscript"/>
          <w:lang w:val="es-ES_tradnl"/>
        </w:rPr>
        <w:t>s</w:t>
      </w:r>
      <w:r w:rsidRPr="00507B33">
        <w:rPr>
          <w:lang w:val="es-ES_tradnl"/>
        </w:rPr>
        <w:t>,</w:t>
      </w:r>
      <w:r w:rsidRPr="0024016D">
        <w:rPr>
          <w:lang w:val="es-ES_tradnl"/>
        </w:rPr>
        <w:t xml:space="preserve"> en el equipo de medida</w:t>
      </w:r>
    </w:p>
    <w:p w:rsidR="005025AC" w:rsidRDefault="005025AC" w:rsidP="005025AC">
      <w:pPr>
        <w:rPr>
          <w:lang w:val="es-ES_tradnl"/>
        </w:rPr>
      </w:pPr>
      <w:r w:rsidRPr="0024016D">
        <w:rPr>
          <w:lang w:val="es-ES_tradnl"/>
        </w:rPr>
        <w:t xml:space="preserve">Esta relación depende de las características del equipo utilizado para las mediciones y de la precisión requerida. </w:t>
      </w:r>
      <w:r>
        <w:rPr>
          <w:lang w:val="es-ES_tradnl"/>
        </w:rPr>
        <w:t>Para obtener la precisión requerida definida en los § 3.1 y 3.2, el nivel de las emisiones no deseadas debe encontrarse por debajo de los valores indicados en los Cuadros 1 y 2.</w:t>
      </w:r>
    </w:p>
    <w:p w:rsidR="005025AC" w:rsidRDefault="005025AC" w:rsidP="005025AC">
      <w:pPr>
        <w:rPr>
          <w:lang w:val="es-ES_tradnl"/>
        </w:rPr>
      </w:pPr>
      <w:r>
        <w:rPr>
          <w:lang w:val="es-ES_tradnl"/>
        </w:rPr>
        <w:t>Los receptores de medición normalmente cuentan con filtros gaussianos o de canal. En entornos reales, puede que los filtros gaussianos sean menos adecuados que los filtros de canal para efectuar las mediciones de desviación de cresta.</w:t>
      </w:r>
    </w:p>
    <w:p w:rsidR="005025AC" w:rsidRPr="00E85889" w:rsidRDefault="005025AC" w:rsidP="005025AC">
      <w:pPr>
        <w:pStyle w:val="Headingb"/>
        <w:rPr>
          <w:lang w:val="es-ES_tradnl"/>
        </w:rPr>
      </w:pPr>
      <w:r w:rsidRPr="00E85889">
        <w:rPr>
          <w:lang w:val="es-ES_tradnl"/>
        </w:rPr>
        <w:lastRenderedPageBreak/>
        <w:t>a)</w:t>
      </w:r>
      <w:r w:rsidRPr="00E85889">
        <w:rPr>
          <w:lang w:val="es-ES_tradnl"/>
        </w:rPr>
        <w:tab/>
        <w:t>Receptores de medición con filtros de FI gaussianos</w:t>
      </w:r>
    </w:p>
    <w:p w:rsidR="005025AC" w:rsidRDefault="005025AC" w:rsidP="005025AC">
      <w:pPr>
        <w:pStyle w:val="TableNo"/>
      </w:pPr>
      <w:r>
        <w:t xml:space="preserve">CUADRO </w:t>
      </w:r>
      <w:r w:rsidRPr="000651A5">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3969"/>
      </w:tblGrid>
      <w:tr w:rsidR="005025AC" w:rsidRPr="005025AC" w:rsidTr="00606CEE">
        <w:trPr>
          <w:jc w:val="center"/>
        </w:trPr>
        <w:tc>
          <w:tcPr>
            <w:tcW w:w="3969" w:type="dxa"/>
          </w:tcPr>
          <w:p w:rsidR="005025AC" w:rsidRPr="00E85889" w:rsidRDefault="005025AC" w:rsidP="00606CEE">
            <w:pPr>
              <w:pStyle w:val="Tablehead"/>
              <w:rPr>
                <w:lang w:val="es-ES_tradnl"/>
              </w:rPr>
            </w:pPr>
            <w:r w:rsidRPr="00E85889">
              <w:rPr>
                <w:lang w:val="es-ES_tradnl"/>
              </w:rPr>
              <w:t xml:space="preserve">Diferencia de frecuencia ± </w:t>
            </w:r>
            <w:r>
              <w:sym w:font="Symbol" w:char="F044"/>
            </w:r>
            <w:r w:rsidRPr="00E85889">
              <w:rPr>
                <w:i/>
                <w:iCs/>
                <w:lang w:val="es-ES_tradnl"/>
              </w:rPr>
              <w:t>f</w:t>
            </w:r>
            <w:r w:rsidRPr="00E85889">
              <w:rPr>
                <w:lang w:val="es-ES_tradnl"/>
              </w:rPr>
              <w:br/>
              <w:t>(kHz)</w:t>
            </w:r>
          </w:p>
        </w:tc>
        <w:tc>
          <w:tcPr>
            <w:tcW w:w="3969" w:type="dxa"/>
          </w:tcPr>
          <w:p w:rsidR="005025AC" w:rsidRPr="00E85889" w:rsidRDefault="005025AC" w:rsidP="00606CEE">
            <w:pPr>
              <w:pStyle w:val="Tablehead"/>
              <w:rPr>
                <w:lang w:val="es-ES_tradnl"/>
              </w:rPr>
            </w:pPr>
            <w:r w:rsidRPr="00E85889">
              <w:rPr>
                <w:lang w:val="es-ES_tradnl"/>
              </w:rPr>
              <w:t>Relación de protección necesaria</w:t>
            </w:r>
            <w:r w:rsidRPr="00E85889">
              <w:rPr>
                <w:lang w:val="es-ES_tradnl"/>
              </w:rPr>
              <w:br/>
              <w:t>(dB)</w:t>
            </w:r>
          </w:p>
        </w:tc>
      </w:tr>
      <w:tr w:rsidR="005025AC" w:rsidRPr="000651A5" w:rsidTr="00606CEE">
        <w:trPr>
          <w:jc w:val="center"/>
        </w:trPr>
        <w:tc>
          <w:tcPr>
            <w:tcW w:w="3969" w:type="dxa"/>
            <w:vAlign w:val="center"/>
          </w:tcPr>
          <w:p w:rsidR="005025AC" w:rsidRDefault="005025AC" w:rsidP="00606CEE">
            <w:pPr>
              <w:pStyle w:val="Tabletext"/>
              <w:jc w:val="center"/>
            </w:pPr>
            <w:r w:rsidRPr="000651A5">
              <w:t>0</w:t>
            </w:r>
          </w:p>
        </w:tc>
        <w:tc>
          <w:tcPr>
            <w:tcW w:w="3969" w:type="dxa"/>
            <w:vAlign w:val="center"/>
          </w:tcPr>
          <w:p w:rsidR="005025AC" w:rsidRDefault="005025AC" w:rsidP="00606CEE">
            <w:pPr>
              <w:pStyle w:val="Tabletext"/>
              <w:jc w:val="center"/>
            </w:pPr>
            <w:r w:rsidRPr="000651A5">
              <w:t>40</w:t>
            </w:r>
          </w:p>
        </w:tc>
      </w:tr>
      <w:tr w:rsidR="005025AC" w:rsidRPr="000651A5" w:rsidTr="00606CEE">
        <w:trPr>
          <w:jc w:val="center"/>
        </w:trPr>
        <w:tc>
          <w:tcPr>
            <w:tcW w:w="3969" w:type="dxa"/>
            <w:vAlign w:val="center"/>
          </w:tcPr>
          <w:p w:rsidR="005025AC" w:rsidRPr="00D47711" w:rsidRDefault="005025AC" w:rsidP="00606CEE">
            <w:pPr>
              <w:pStyle w:val="Tabletext"/>
              <w:jc w:val="center"/>
              <w:rPr>
                <w:i/>
                <w:iCs/>
              </w:rPr>
            </w:pPr>
            <w:r w:rsidRPr="00D47711">
              <w:rPr>
                <w:i/>
                <w:iCs/>
              </w:rPr>
              <w:t>X</w:t>
            </w:r>
          </w:p>
        </w:tc>
        <w:tc>
          <w:tcPr>
            <w:tcW w:w="3969" w:type="dxa"/>
            <w:vAlign w:val="center"/>
          </w:tcPr>
          <w:p w:rsidR="005025AC" w:rsidRDefault="005025AC" w:rsidP="00606CEE">
            <w:pPr>
              <w:pStyle w:val="Tabletext"/>
              <w:jc w:val="center"/>
            </w:pPr>
            <w:r w:rsidRPr="008A55FB">
              <w:rPr>
                <w:position w:val="-40"/>
              </w:rPr>
              <w:object w:dxaOrig="2600" w:dyaOrig="920">
                <v:shape id="_x0000_i1026" type="#_x0000_t75" style="width:129pt;height:45.75pt" o:ole="">
                  <v:imagedata r:id="rId15" o:title=""/>
                </v:shape>
                <o:OLEObject Type="Embed" ProgID="Equation.3" ShapeID="_x0000_i1026" DrawAspect="Content" ObjectID="_1496843375" r:id="rId16"/>
              </w:object>
            </w:r>
          </w:p>
        </w:tc>
      </w:tr>
    </w:tbl>
    <w:p w:rsidR="005025AC" w:rsidRDefault="005025AC" w:rsidP="005025AC">
      <w:pPr>
        <w:pStyle w:val="Tablefin"/>
      </w:pPr>
    </w:p>
    <w:p w:rsidR="005025AC" w:rsidRPr="00E85889" w:rsidRDefault="005025AC" w:rsidP="005025AC">
      <w:pPr>
        <w:rPr>
          <w:lang w:val="es-ES_tradnl"/>
        </w:rPr>
      </w:pPr>
      <w:r w:rsidRPr="00E85889">
        <w:rPr>
          <w:lang w:val="es-ES_tradnl"/>
        </w:rPr>
        <w:t>En el Cuadro 1, «</w:t>
      </w:r>
      <w:r w:rsidRPr="00E85889">
        <w:rPr>
          <w:i/>
          <w:iCs/>
          <w:lang w:val="es-ES_tradnl"/>
        </w:rPr>
        <w:t>B</w:t>
      </w:r>
      <w:r w:rsidRPr="005E413C">
        <w:rPr>
          <w:lang w:val="es-ES_tradnl"/>
        </w:rPr>
        <w:t>»</w:t>
      </w:r>
      <w:r w:rsidRPr="00E85889">
        <w:rPr>
          <w:lang w:val="es-ES_tradnl"/>
        </w:rPr>
        <w:t xml:space="preserve"> es la anchura de banda a 3 dB nominal del filtro de medici</w:t>
      </w:r>
      <w:r>
        <w:rPr>
          <w:lang w:val="es-ES_tradnl"/>
        </w:rPr>
        <w:t xml:space="preserve">ón, en </w:t>
      </w:r>
      <w:r w:rsidRPr="00E85889">
        <w:rPr>
          <w:lang w:val="es-ES_tradnl"/>
        </w:rPr>
        <w:t>kHz.</w:t>
      </w:r>
    </w:p>
    <w:p w:rsidR="005025AC" w:rsidRDefault="005025AC" w:rsidP="005025AC">
      <w:pPr>
        <w:rPr>
          <w:lang w:val="es-ES_tradnl"/>
        </w:rPr>
      </w:pPr>
      <w:r w:rsidRPr="00E85889">
        <w:rPr>
          <w:lang w:val="es-ES_tradnl"/>
        </w:rPr>
        <w:t>El siguiente diagrama ilustra las relaciones de protección necesarias con tres ejemplos de anchura de banda de medici</w:t>
      </w:r>
      <w:r>
        <w:rPr>
          <w:lang w:val="es-ES_tradnl"/>
        </w:rPr>
        <w:t>ón</w:t>
      </w:r>
      <w:r w:rsidRPr="00E85889">
        <w:rPr>
          <w:lang w:val="es-ES_tradnl"/>
        </w:rPr>
        <w:t>.</w:t>
      </w:r>
    </w:p>
    <w:p w:rsidR="005025AC" w:rsidRPr="00016673" w:rsidRDefault="005025AC" w:rsidP="005025AC">
      <w:pPr>
        <w:pStyle w:val="FigureNo"/>
        <w:rPr>
          <w:lang w:val="es-ES_tradnl"/>
        </w:rPr>
      </w:pPr>
      <w:r>
        <w:rPr>
          <w:lang w:val="es-ES_tradnl"/>
        </w:rPr>
        <w:t>FIGURA 2</w:t>
      </w:r>
    </w:p>
    <w:p w:rsidR="005025AC" w:rsidRPr="00E85889" w:rsidRDefault="005025AC" w:rsidP="005025AC">
      <w:pPr>
        <w:pStyle w:val="Figuretitle"/>
        <w:rPr>
          <w:lang w:val="es-ES_tradnl"/>
        </w:rPr>
      </w:pPr>
      <w:r>
        <w:rPr>
          <w:lang w:val="es-ES_tradnl"/>
        </w:rPr>
        <w:t>Relaciones de protección necesarias para receptores con filtros gaussianos</w:t>
      </w:r>
    </w:p>
    <w:p w:rsidR="005025AC" w:rsidRPr="00E85889" w:rsidRDefault="005025AC" w:rsidP="005025AC">
      <w:pPr>
        <w:pStyle w:val="Figure"/>
        <w:rPr>
          <w:lang w:val="es-ES_tradnl"/>
        </w:rPr>
      </w:pPr>
      <w:r>
        <w:rPr>
          <w:lang w:val="es-ES_tradnl"/>
        </w:rPr>
        <w:object w:dxaOrig="7602" w:dyaOrig="5349">
          <v:shape id="_x0000_i1027" type="#_x0000_t75" style="width:380.25pt;height:267.75pt" o:ole="">
            <v:imagedata r:id="rId17" o:title=""/>
          </v:shape>
          <o:OLEObject Type="Embed" ProgID="CorelDRAW.Graphic.14" ShapeID="_x0000_i1027" DrawAspect="Content" ObjectID="_1496843376" r:id="rId18"/>
        </w:object>
      </w:r>
    </w:p>
    <w:p w:rsidR="005025AC" w:rsidRDefault="005025AC" w:rsidP="005025AC">
      <w:pPr>
        <w:rPr>
          <w:lang w:val="es-ES_tradnl"/>
        </w:rPr>
      </w:pPr>
    </w:p>
    <w:p w:rsidR="005025AC" w:rsidRPr="00E85889" w:rsidRDefault="005025AC" w:rsidP="005025AC">
      <w:pPr>
        <w:pStyle w:val="Headingb"/>
        <w:rPr>
          <w:lang w:val="es-ES_tradnl"/>
        </w:rPr>
      </w:pPr>
      <w:r>
        <w:rPr>
          <w:lang w:val="es-ES_tradnl"/>
        </w:rPr>
        <w:t>b</w:t>
      </w:r>
      <w:r w:rsidRPr="00E85889">
        <w:rPr>
          <w:lang w:val="es-ES_tradnl"/>
        </w:rPr>
        <w:t>)</w:t>
      </w:r>
      <w:r w:rsidRPr="00E85889">
        <w:rPr>
          <w:lang w:val="es-ES_tradnl"/>
        </w:rPr>
        <w:tab/>
        <w:t xml:space="preserve">Receptores de medición con filtros de </w:t>
      </w:r>
      <w:r>
        <w:rPr>
          <w:lang w:val="es-ES_tradnl"/>
        </w:rPr>
        <w:t>canal</w:t>
      </w:r>
    </w:p>
    <w:p w:rsidR="005025AC" w:rsidRPr="000651A5" w:rsidRDefault="005025AC" w:rsidP="005025AC">
      <w:pPr>
        <w:pStyle w:val="TableNo"/>
      </w:pPr>
      <w:r>
        <w:t xml:space="preserve">CUADRO </w:t>
      </w:r>
      <w:r w:rsidRPr="000651A5">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3969"/>
      </w:tblGrid>
      <w:tr w:rsidR="005025AC" w:rsidRPr="005025AC" w:rsidTr="00606CEE">
        <w:trPr>
          <w:jc w:val="center"/>
        </w:trPr>
        <w:tc>
          <w:tcPr>
            <w:tcW w:w="3969" w:type="dxa"/>
            <w:vAlign w:val="center"/>
          </w:tcPr>
          <w:p w:rsidR="005025AC" w:rsidRPr="00FE3870" w:rsidRDefault="005025AC" w:rsidP="00606CEE">
            <w:pPr>
              <w:pStyle w:val="Tablehead"/>
              <w:rPr>
                <w:lang w:val="es-ES_tradnl"/>
              </w:rPr>
            </w:pPr>
            <w:r w:rsidRPr="00FE3870">
              <w:rPr>
                <w:lang w:val="es-ES_tradnl"/>
              </w:rPr>
              <w:t xml:space="preserve">Diferencia de frecuencia ± </w:t>
            </w:r>
            <w:r>
              <w:sym w:font="Symbol" w:char="F044"/>
            </w:r>
            <w:r w:rsidRPr="00FE3870">
              <w:rPr>
                <w:i/>
                <w:iCs/>
                <w:lang w:val="es-ES_tradnl"/>
              </w:rPr>
              <w:t>f</w:t>
            </w:r>
            <w:r w:rsidRPr="00FE3870">
              <w:rPr>
                <w:lang w:val="es-ES_tradnl"/>
              </w:rPr>
              <w:br/>
              <w:t>(kHz)</w:t>
            </w:r>
          </w:p>
        </w:tc>
        <w:tc>
          <w:tcPr>
            <w:tcW w:w="3969" w:type="dxa"/>
            <w:vAlign w:val="center"/>
          </w:tcPr>
          <w:p w:rsidR="005025AC" w:rsidRPr="00FE3870" w:rsidRDefault="005025AC" w:rsidP="00606CEE">
            <w:pPr>
              <w:pStyle w:val="Tablehead"/>
              <w:rPr>
                <w:lang w:val="es-ES_tradnl"/>
              </w:rPr>
            </w:pPr>
            <w:r w:rsidRPr="00FE3870">
              <w:rPr>
                <w:lang w:val="es-ES_tradnl"/>
              </w:rPr>
              <w:t>Relación de protección necesaria</w:t>
            </w:r>
            <w:r w:rsidRPr="00FE3870">
              <w:rPr>
                <w:lang w:val="es-ES_tradnl"/>
              </w:rPr>
              <w:br/>
              <w:t>(dB)</w:t>
            </w:r>
          </w:p>
        </w:tc>
      </w:tr>
      <w:tr w:rsidR="005025AC" w:rsidRPr="000651A5" w:rsidTr="00606CEE">
        <w:trPr>
          <w:jc w:val="center"/>
        </w:trPr>
        <w:tc>
          <w:tcPr>
            <w:tcW w:w="3969" w:type="dxa"/>
            <w:vAlign w:val="center"/>
          </w:tcPr>
          <w:p w:rsidR="005025AC" w:rsidRPr="000651A5" w:rsidRDefault="005025AC" w:rsidP="00606CEE">
            <w:pPr>
              <w:pStyle w:val="Tabletext"/>
              <w:jc w:val="center"/>
            </w:pPr>
            <w:r w:rsidRPr="000651A5">
              <w:t>0</w:t>
            </w:r>
          </w:p>
        </w:tc>
        <w:tc>
          <w:tcPr>
            <w:tcW w:w="3969" w:type="dxa"/>
            <w:vAlign w:val="center"/>
          </w:tcPr>
          <w:p w:rsidR="005025AC" w:rsidRPr="000651A5" w:rsidRDefault="005025AC" w:rsidP="00606CEE">
            <w:pPr>
              <w:pStyle w:val="Tabletext"/>
              <w:jc w:val="center"/>
            </w:pPr>
            <w:r w:rsidRPr="000651A5">
              <w:t>40</w:t>
            </w:r>
          </w:p>
        </w:tc>
      </w:tr>
      <w:tr w:rsidR="005025AC" w:rsidRPr="000651A5" w:rsidTr="00606CEE">
        <w:trPr>
          <w:jc w:val="center"/>
        </w:trPr>
        <w:tc>
          <w:tcPr>
            <w:tcW w:w="3969" w:type="dxa"/>
            <w:vAlign w:val="center"/>
          </w:tcPr>
          <w:p w:rsidR="005025AC" w:rsidRPr="000651A5" w:rsidRDefault="005025AC" w:rsidP="00606CEE">
            <w:pPr>
              <w:pStyle w:val="Tabletext"/>
              <w:jc w:val="center"/>
            </w:pPr>
            <w:r w:rsidRPr="00D47711">
              <w:rPr>
                <w:i/>
                <w:iCs/>
              </w:rPr>
              <w:t>B</w:t>
            </w:r>
            <w:r w:rsidRPr="000651A5">
              <w:t>/2</w:t>
            </w:r>
          </w:p>
        </w:tc>
        <w:tc>
          <w:tcPr>
            <w:tcW w:w="3969" w:type="dxa"/>
            <w:vAlign w:val="center"/>
          </w:tcPr>
          <w:p w:rsidR="005025AC" w:rsidRPr="000651A5" w:rsidRDefault="005025AC" w:rsidP="00606CEE">
            <w:pPr>
              <w:pStyle w:val="Tabletext"/>
              <w:jc w:val="center"/>
            </w:pPr>
            <w:r w:rsidRPr="000651A5">
              <w:t>35</w:t>
            </w:r>
          </w:p>
        </w:tc>
      </w:tr>
      <w:tr w:rsidR="005025AC" w:rsidRPr="000651A5" w:rsidTr="00606CEE">
        <w:trPr>
          <w:jc w:val="center"/>
        </w:trPr>
        <w:tc>
          <w:tcPr>
            <w:tcW w:w="3969" w:type="dxa"/>
            <w:vAlign w:val="center"/>
          </w:tcPr>
          <w:p w:rsidR="005025AC" w:rsidRPr="000651A5" w:rsidRDefault="005025AC" w:rsidP="00606CEE">
            <w:pPr>
              <w:pStyle w:val="Tabletext"/>
              <w:jc w:val="center"/>
            </w:pPr>
            <w:r w:rsidRPr="00D47711">
              <w:rPr>
                <w:i/>
                <w:iCs/>
              </w:rPr>
              <w:t>X</w:t>
            </w:r>
            <w:r>
              <w:t xml:space="preserve"> (para</w:t>
            </w:r>
            <w:r w:rsidRPr="000651A5">
              <w:t xml:space="preserve"> </w:t>
            </w:r>
            <w:r w:rsidRPr="00D47711">
              <w:rPr>
                <w:i/>
                <w:iCs/>
              </w:rPr>
              <w:t>X</w:t>
            </w:r>
            <w:r w:rsidRPr="000651A5">
              <w:t xml:space="preserve"> &gt; </w:t>
            </w:r>
            <w:r w:rsidRPr="00017D42">
              <w:rPr>
                <w:i/>
                <w:iCs/>
              </w:rPr>
              <w:t>B</w:t>
            </w:r>
            <w:r w:rsidRPr="000651A5">
              <w:t>/2)</w:t>
            </w:r>
          </w:p>
        </w:tc>
        <w:tc>
          <w:tcPr>
            <w:tcW w:w="3969" w:type="dxa"/>
            <w:vAlign w:val="center"/>
          </w:tcPr>
          <w:p w:rsidR="005025AC" w:rsidRPr="000651A5" w:rsidRDefault="005025AC" w:rsidP="00606CEE">
            <w:pPr>
              <w:pStyle w:val="Tabletext"/>
              <w:jc w:val="center"/>
            </w:pPr>
            <w:r w:rsidRPr="000651A5">
              <w:t>35 – 0</w:t>
            </w:r>
            <w:r>
              <w:t>,</w:t>
            </w:r>
            <w:r w:rsidRPr="000651A5">
              <w:t>2</w:t>
            </w:r>
            <w:r w:rsidRPr="002A05E9">
              <w:rPr>
                <w:sz w:val="12"/>
              </w:rPr>
              <w:t xml:space="preserve"> </w:t>
            </w:r>
            <w:r w:rsidRPr="000651A5">
              <w:t>*</w:t>
            </w:r>
            <w:r w:rsidRPr="002A05E9">
              <w:rPr>
                <w:sz w:val="12"/>
              </w:rPr>
              <w:t xml:space="preserve"> </w:t>
            </w:r>
            <w:r w:rsidRPr="000651A5">
              <w:t>(</w:t>
            </w:r>
            <w:r w:rsidRPr="00D47711">
              <w:rPr>
                <w:i/>
                <w:iCs/>
              </w:rPr>
              <w:t>X</w:t>
            </w:r>
            <w:r w:rsidRPr="000651A5">
              <w:t xml:space="preserve"> – </w:t>
            </w:r>
            <w:r w:rsidRPr="00017D42">
              <w:rPr>
                <w:i/>
                <w:iCs/>
              </w:rPr>
              <w:t>B</w:t>
            </w:r>
            <w:r w:rsidRPr="000651A5">
              <w:t>/2)</w:t>
            </w:r>
          </w:p>
        </w:tc>
      </w:tr>
    </w:tbl>
    <w:p w:rsidR="005025AC" w:rsidRPr="005E413C" w:rsidRDefault="005025AC" w:rsidP="005025AC">
      <w:pPr>
        <w:pStyle w:val="Tablefin"/>
        <w:rPr>
          <w:sz w:val="2"/>
        </w:rPr>
      </w:pPr>
    </w:p>
    <w:p w:rsidR="005025AC" w:rsidRDefault="005025AC" w:rsidP="005025AC">
      <w:pPr>
        <w:rPr>
          <w:lang w:val="es-ES_tradnl"/>
        </w:rPr>
      </w:pPr>
      <w:r w:rsidRPr="00FE3870">
        <w:rPr>
          <w:lang w:val="es-ES_tradnl"/>
        </w:rPr>
        <w:t>En el Cuadro 2, «</w:t>
      </w:r>
      <w:r w:rsidRPr="00FE3870">
        <w:rPr>
          <w:i/>
          <w:iCs/>
          <w:lang w:val="es-ES_tradnl"/>
        </w:rPr>
        <w:t>B»</w:t>
      </w:r>
      <w:r w:rsidRPr="00FE3870">
        <w:rPr>
          <w:lang w:val="es-ES_tradnl"/>
        </w:rPr>
        <w:t xml:space="preserve"> es la anchura de banda a 3</w:t>
      </w:r>
      <w:r>
        <w:rPr>
          <w:lang w:val="es-ES_tradnl"/>
        </w:rPr>
        <w:t> </w:t>
      </w:r>
      <w:r w:rsidRPr="00FE3870">
        <w:rPr>
          <w:lang w:val="es-ES_tradnl"/>
        </w:rPr>
        <w:t>dB nominal del filtro de medici</w:t>
      </w:r>
      <w:r>
        <w:rPr>
          <w:lang w:val="es-ES_tradnl"/>
        </w:rPr>
        <w:t xml:space="preserve">ón, en </w:t>
      </w:r>
      <w:r w:rsidRPr="00FE3870">
        <w:rPr>
          <w:lang w:val="es-ES_tradnl"/>
        </w:rPr>
        <w:t>kHz. Se utiliza interpolación lineal entre valores discretos. El siguiente diagrama ilustra las relaciones de protecci</w:t>
      </w:r>
      <w:r>
        <w:rPr>
          <w:lang w:val="es-ES_tradnl"/>
        </w:rPr>
        <w:t>ón necesarias con tres ejemplos de anchura de banda de medición.</w:t>
      </w:r>
    </w:p>
    <w:p w:rsidR="005025AC" w:rsidRPr="00016673" w:rsidRDefault="005025AC" w:rsidP="005025AC">
      <w:pPr>
        <w:pStyle w:val="FigureNo"/>
        <w:rPr>
          <w:lang w:val="es-ES_tradnl"/>
        </w:rPr>
      </w:pPr>
      <w:r>
        <w:rPr>
          <w:lang w:val="es-ES_tradnl"/>
        </w:rPr>
        <w:t>FIGURA 3</w:t>
      </w:r>
    </w:p>
    <w:p w:rsidR="005025AC" w:rsidRDefault="005025AC" w:rsidP="005025AC">
      <w:pPr>
        <w:pStyle w:val="Figuretitle"/>
        <w:rPr>
          <w:lang w:val="es-ES_tradnl"/>
        </w:rPr>
      </w:pPr>
      <w:r>
        <w:rPr>
          <w:lang w:val="es-ES_tradnl"/>
        </w:rPr>
        <w:t>Relaciones de protección necesarias para receptores con filtros de canal</w:t>
      </w:r>
    </w:p>
    <w:p w:rsidR="005025AC" w:rsidRPr="00507B33" w:rsidRDefault="005025AC" w:rsidP="005025AC">
      <w:pPr>
        <w:pStyle w:val="Blanc"/>
        <w:rPr>
          <w:lang w:val="es-ES_tradnl"/>
        </w:rPr>
      </w:pPr>
    </w:p>
    <w:p w:rsidR="005025AC" w:rsidRPr="00FE3870" w:rsidRDefault="005025AC" w:rsidP="005025AC">
      <w:pPr>
        <w:pStyle w:val="Figure"/>
        <w:rPr>
          <w:lang w:val="es-ES_tradnl"/>
        </w:rPr>
      </w:pPr>
      <w:r>
        <w:rPr>
          <w:lang w:val="es-ES_tradnl"/>
        </w:rPr>
        <w:object w:dxaOrig="7602" w:dyaOrig="5348">
          <v:shape id="_x0000_i1028" type="#_x0000_t75" style="width:380.25pt;height:267.75pt" o:ole="">
            <v:imagedata r:id="rId19" o:title=""/>
          </v:shape>
          <o:OLEObject Type="Embed" ProgID="CorelDRAW.Graphic.14" ShapeID="_x0000_i1028" DrawAspect="Content" ObjectID="_1496843377" r:id="rId20"/>
        </w:object>
      </w:r>
    </w:p>
    <w:p w:rsidR="005025AC" w:rsidRPr="007444B7" w:rsidRDefault="005025AC" w:rsidP="005025AC">
      <w:pPr>
        <w:pStyle w:val="Blanc"/>
      </w:pPr>
    </w:p>
    <w:p w:rsidR="005025AC" w:rsidRDefault="005025AC" w:rsidP="005025AC">
      <w:pPr>
        <w:rPr>
          <w:lang w:val="es-ES_tradnl"/>
        </w:rPr>
      </w:pPr>
      <w:r>
        <w:rPr>
          <w:lang w:val="es-ES_tradnl"/>
        </w:rPr>
        <w:t>Es fundamental respetar las relaciones de protección aplicables antes indicadas porque incluso un pequeño incremento en los niveles de la señal deseada dará lugar a importantes errores de medición.</w:t>
      </w:r>
    </w:p>
    <w:p w:rsidR="005025AC" w:rsidRPr="00D972F5" w:rsidRDefault="005025AC" w:rsidP="005025AC">
      <w:pPr>
        <w:pStyle w:val="Heading2"/>
        <w:rPr>
          <w:lang w:val="es-ES_tradnl"/>
        </w:rPr>
      </w:pPr>
      <w:r w:rsidRPr="0024016D">
        <w:rPr>
          <w:lang w:val="es-ES_tradnl"/>
        </w:rPr>
        <w:t>2.2</w:t>
      </w:r>
      <w:r w:rsidRPr="0024016D">
        <w:rPr>
          <w:lang w:val="es-ES_tradnl"/>
        </w:rPr>
        <w:tab/>
        <w:t xml:space="preserve">Propagación </w:t>
      </w:r>
      <w:proofErr w:type="spellStart"/>
      <w:r w:rsidRPr="0024016D">
        <w:rPr>
          <w:lang w:val="es-ES_tradnl"/>
        </w:rPr>
        <w:t>multitrayecto</w:t>
      </w:r>
      <w:proofErr w:type="spellEnd"/>
      <w:r>
        <w:rPr>
          <w:lang w:val="es-ES_tradnl"/>
        </w:rPr>
        <w:t xml:space="preserve"> y distorsión</w:t>
      </w:r>
    </w:p>
    <w:p w:rsidR="005025AC" w:rsidRPr="0024016D" w:rsidRDefault="005025AC" w:rsidP="005025AC">
      <w:pPr>
        <w:rPr>
          <w:lang w:val="es-ES_tradnl"/>
        </w:rPr>
      </w:pPr>
      <w:r w:rsidRPr="0024016D">
        <w:rPr>
          <w:lang w:val="es-ES_tradnl"/>
        </w:rPr>
        <w:t xml:space="preserve">Las señales retardadas </w:t>
      </w:r>
      <w:r>
        <w:rPr>
          <w:lang w:val="es-ES_tradnl"/>
        </w:rPr>
        <w:t xml:space="preserve">procedentes del transmisor deseado así como las señales procedentes de otros transmisores </w:t>
      </w:r>
      <w:proofErr w:type="spellStart"/>
      <w:r>
        <w:rPr>
          <w:lang w:val="es-ES_tradnl"/>
        </w:rPr>
        <w:t>cocanal</w:t>
      </w:r>
      <w:proofErr w:type="spellEnd"/>
      <w:r>
        <w:rPr>
          <w:lang w:val="es-ES_tradnl"/>
        </w:rPr>
        <w:t xml:space="preserve"> o de canal adyacente </w:t>
      </w:r>
      <w:r w:rsidRPr="0024016D">
        <w:rPr>
          <w:lang w:val="es-ES_tradnl"/>
        </w:rPr>
        <w:t xml:space="preserve">deberán ser lo suficientemente pequeñas para asegurar que los resultados de la medición no resultan influenciados por los efectos de la propagación </w:t>
      </w:r>
      <w:proofErr w:type="spellStart"/>
      <w:r w:rsidRPr="0024016D">
        <w:rPr>
          <w:lang w:val="es-ES_tradnl"/>
        </w:rPr>
        <w:t>multitrayecto</w:t>
      </w:r>
      <w:proofErr w:type="spellEnd"/>
      <w:r w:rsidRPr="0024016D">
        <w:rPr>
          <w:lang w:val="es-ES_tradnl"/>
        </w:rPr>
        <w:t xml:space="preserve">. </w:t>
      </w:r>
      <w:r>
        <w:rPr>
          <w:lang w:val="es-ES_tradnl"/>
        </w:rPr>
        <w:t xml:space="preserve">En caso de recepción </w:t>
      </w:r>
      <w:proofErr w:type="spellStart"/>
      <w:r>
        <w:rPr>
          <w:lang w:val="es-ES_tradnl"/>
        </w:rPr>
        <w:t>multitrayecto</w:t>
      </w:r>
      <w:proofErr w:type="spellEnd"/>
      <w:r>
        <w:rPr>
          <w:lang w:val="es-ES_tradnl"/>
        </w:rPr>
        <w:t xml:space="preserve"> únicamente, se </w:t>
      </w:r>
      <w:r w:rsidRPr="0024016D">
        <w:rPr>
          <w:lang w:val="es-ES_tradnl"/>
        </w:rPr>
        <w:t xml:space="preserve">considera suficiente que el producto del tiempo de retardo por la relación de amplitudes </w:t>
      </w:r>
      <w:r>
        <w:rPr>
          <w:lang w:val="es-ES_tradnl"/>
        </w:rPr>
        <w:t>en porcentaje sea</w:t>
      </w:r>
      <w:r w:rsidRPr="0024016D">
        <w:rPr>
          <w:lang w:val="es-ES_tradnl"/>
        </w:rPr>
        <w:t>:</w:t>
      </w:r>
    </w:p>
    <w:p w:rsidR="005025AC" w:rsidRPr="00507B33" w:rsidRDefault="005025AC" w:rsidP="005025AC">
      <w:pPr>
        <w:pStyle w:val="Blanc"/>
        <w:rPr>
          <w:lang w:val="es-ES_tradnl"/>
        </w:rPr>
      </w:pPr>
    </w:p>
    <w:p w:rsidR="005025AC" w:rsidRPr="002A2ADE" w:rsidRDefault="005025AC" w:rsidP="005025AC">
      <w:pPr>
        <w:pStyle w:val="Equation"/>
        <w:rPr>
          <w:lang w:val="es-ES_tradnl"/>
        </w:rPr>
      </w:pPr>
      <w:r w:rsidRPr="002A2ADE">
        <w:rPr>
          <w:lang w:val="es-ES_tradnl"/>
        </w:rPr>
        <w:tab/>
      </w:r>
      <w:r w:rsidRPr="002A2ADE">
        <w:rPr>
          <w:lang w:val="es-ES_tradnl"/>
        </w:rPr>
        <w:tab/>
        <w:t>(</w:t>
      </w:r>
      <w:proofErr w:type="spellStart"/>
      <w:r w:rsidRPr="002A2ADE">
        <w:rPr>
          <w:i/>
          <w:iCs/>
          <w:lang w:val="es-ES_tradnl"/>
        </w:rPr>
        <w:t>U</w:t>
      </w:r>
      <w:r w:rsidRPr="002A2ADE">
        <w:rPr>
          <w:i/>
          <w:iCs/>
          <w:vertAlign w:val="subscript"/>
          <w:lang w:val="es-ES_tradnl"/>
        </w:rPr>
        <w:t>r</w:t>
      </w:r>
      <w:proofErr w:type="spellEnd"/>
      <w:r w:rsidRPr="002A2ADE">
        <w:rPr>
          <w:lang w:val="es-ES_tradnl"/>
        </w:rPr>
        <w:t>/</w:t>
      </w:r>
      <w:proofErr w:type="spellStart"/>
      <w:r w:rsidRPr="002A2ADE">
        <w:rPr>
          <w:i/>
          <w:iCs/>
          <w:lang w:val="es-ES_tradnl"/>
        </w:rPr>
        <w:t>U</w:t>
      </w:r>
      <w:r w:rsidRPr="002A2ADE">
        <w:rPr>
          <w:i/>
          <w:iCs/>
          <w:vertAlign w:val="subscript"/>
          <w:lang w:val="es-ES_tradnl"/>
        </w:rPr>
        <w:t>d</w:t>
      </w:r>
      <w:proofErr w:type="spellEnd"/>
      <w:r w:rsidRPr="002A2ADE">
        <w:rPr>
          <w:lang w:val="es-ES_tradnl"/>
        </w:rPr>
        <w:t xml:space="preserve">) </w:t>
      </w:r>
      <w:r>
        <w:sym w:font="Symbol" w:char="F0D7"/>
      </w:r>
      <w:r w:rsidRPr="002A2ADE">
        <w:rPr>
          <w:lang w:val="es-ES_tradnl"/>
        </w:rPr>
        <w:t xml:space="preserve"> </w:t>
      </w:r>
      <w:r>
        <w:sym w:font="Symbol" w:char="F074"/>
      </w:r>
      <w:r w:rsidRPr="002A2ADE">
        <w:rPr>
          <w:lang w:val="es-ES_tradnl"/>
        </w:rPr>
        <w:t xml:space="preserve"> &lt; 64% </w:t>
      </w:r>
      <w:r>
        <w:sym w:font="Symbol" w:char="F0D7"/>
      </w:r>
      <w:r w:rsidRPr="002A2ADE">
        <w:rPr>
          <w:lang w:val="es-ES_tradnl"/>
        </w:rPr>
        <w:t xml:space="preserve"> </w:t>
      </w:r>
      <w:r>
        <w:sym w:font="Symbol" w:char="F06D"/>
      </w:r>
      <w:r w:rsidRPr="002A2ADE">
        <w:rPr>
          <w:lang w:val="es-ES_tradnl"/>
        </w:rPr>
        <w:t>s</w:t>
      </w:r>
      <w:r w:rsidRPr="002A2ADE">
        <w:rPr>
          <w:lang w:val="es-ES_tradnl"/>
        </w:rPr>
        <w:tab/>
        <w:t>(1)</w:t>
      </w:r>
    </w:p>
    <w:p w:rsidR="005025AC" w:rsidRPr="0024016D" w:rsidRDefault="005025AC" w:rsidP="005025AC">
      <w:pPr>
        <w:rPr>
          <w:lang w:val="es-ES_tradnl"/>
        </w:rPr>
      </w:pPr>
      <w:r w:rsidRPr="0024016D">
        <w:rPr>
          <w:lang w:val="es-ES_tradnl"/>
        </w:rPr>
        <w:t>donde:</w:t>
      </w:r>
    </w:p>
    <w:p w:rsidR="005025AC" w:rsidRPr="005E413C" w:rsidRDefault="005025AC" w:rsidP="005025AC">
      <w:pPr>
        <w:pStyle w:val="Equationlegend"/>
        <w:rPr>
          <w:lang w:val="es-ES_tradnl"/>
        </w:rPr>
      </w:pPr>
      <w:r w:rsidRPr="005E413C">
        <w:rPr>
          <w:lang w:val="es-ES_tradnl"/>
        </w:rPr>
        <w:tab/>
      </w:r>
      <w:proofErr w:type="spellStart"/>
      <w:r w:rsidRPr="005E413C">
        <w:rPr>
          <w:i/>
          <w:lang w:val="es-ES_tradnl"/>
        </w:rPr>
        <w:t>U</w:t>
      </w:r>
      <w:r w:rsidRPr="00507B33">
        <w:rPr>
          <w:i/>
          <w:iCs/>
          <w:vertAlign w:val="subscript"/>
          <w:lang w:val="es-ES_tradnl"/>
        </w:rPr>
        <w:t>r</w:t>
      </w:r>
      <w:proofErr w:type="spellEnd"/>
      <w:r>
        <w:rPr>
          <w:i/>
          <w:iCs/>
          <w:vertAlign w:val="subscript"/>
          <w:lang w:val="es-ES_tradnl"/>
        </w:rPr>
        <w:t xml:space="preserve"> </w:t>
      </w:r>
      <w:r w:rsidRPr="005E413C">
        <w:rPr>
          <w:lang w:val="es-ES_tradnl"/>
        </w:rPr>
        <w:t>:</w:t>
      </w:r>
      <w:r w:rsidRPr="005E413C">
        <w:rPr>
          <w:lang w:val="es-ES_tradnl"/>
        </w:rPr>
        <w:tab/>
        <w:t>amplitud de la señal reflejada</w:t>
      </w:r>
    </w:p>
    <w:p w:rsidR="005025AC" w:rsidRPr="005E413C" w:rsidRDefault="005025AC" w:rsidP="005025AC">
      <w:pPr>
        <w:pStyle w:val="Equationlegend"/>
        <w:rPr>
          <w:lang w:val="es-ES_tradnl"/>
        </w:rPr>
      </w:pPr>
      <w:r w:rsidRPr="005E413C">
        <w:rPr>
          <w:lang w:val="es-ES_tradnl"/>
        </w:rPr>
        <w:tab/>
      </w:r>
      <w:proofErr w:type="spellStart"/>
      <w:r w:rsidRPr="005E413C">
        <w:rPr>
          <w:i/>
          <w:lang w:val="es-ES_tradnl"/>
        </w:rPr>
        <w:t>U</w:t>
      </w:r>
      <w:r w:rsidRPr="00507B33">
        <w:rPr>
          <w:i/>
          <w:iCs/>
          <w:vertAlign w:val="subscript"/>
          <w:lang w:val="es-ES_tradnl"/>
        </w:rPr>
        <w:t>d</w:t>
      </w:r>
      <w:proofErr w:type="spellEnd"/>
      <w:r>
        <w:rPr>
          <w:i/>
          <w:iCs/>
          <w:vertAlign w:val="subscript"/>
          <w:lang w:val="es-ES_tradnl"/>
        </w:rPr>
        <w:t xml:space="preserve"> </w:t>
      </w:r>
      <w:r w:rsidRPr="005E413C">
        <w:rPr>
          <w:lang w:val="es-ES_tradnl"/>
        </w:rPr>
        <w:t>:</w:t>
      </w:r>
      <w:r w:rsidRPr="005E413C">
        <w:rPr>
          <w:lang w:val="es-ES_tradnl"/>
        </w:rPr>
        <w:tab/>
        <w:t>amplitud de la señal directa</w:t>
      </w:r>
    </w:p>
    <w:p w:rsidR="005025AC" w:rsidRPr="005E413C" w:rsidRDefault="005025AC" w:rsidP="005025AC">
      <w:pPr>
        <w:pStyle w:val="Equationlegend"/>
        <w:rPr>
          <w:lang w:val="es-ES_tradnl"/>
        </w:rPr>
      </w:pPr>
      <w:r w:rsidRPr="005E413C">
        <w:rPr>
          <w:lang w:val="es-ES_tradnl"/>
        </w:rPr>
        <w:tab/>
      </w:r>
      <w:r>
        <w:sym w:font="Symbol" w:char="F074"/>
      </w:r>
      <w:r w:rsidRPr="007E11DD">
        <w:rPr>
          <w:lang w:val="es-ES_tradnl"/>
        </w:rPr>
        <w:t xml:space="preserve"> </w:t>
      </w:r>
      <w:r w:rsidRPr="005E413C">
        <w:rPr>
          <w:lang w:val="es-ES_tradnl"/>
        </w:rPr>
        <w:t>:</w:t>
      </w:r>
      <w:r w:rsidRPr="005E413C">
        <w:rPr>
          <w:lang w:val="es-ES_tradnl"/>
        </w:rPr>
        <w:tab/>
        <w:t>tiempo de retardo.</w:t>
      </w:r>
    </w:p>
    <w:p w:rsidR="005025AC" w:rsidRPr="0024016D" w:rsidRDefault="005025AC" w:rsidP="005025AC">
      <w:pPr>
        <w:rPr>
          <w:lang w:val="es-ES_tradnl"/>
        </w:rPr>
      </w:pPr>
      <w:r>
        <w:rPr>
          <w:lang w:val="es-ES_tradnl"/>
        </w:rPr>
        <w:t xml:space="preserve">Una forma más general de expresar la distorsión creada por la recepción </w:t>
      </w:r>
      <w:proofErr w:type="spellStart"/>
      <w:r>
        <w:rPr>
          <w:lang w:val="es-ES_tradnl"/>
        </w:rPr>
        <w:t>multitrayecto</w:t>
      </w:r>
      <w:proofErr w:type="spellEnd"/>
      <w:r>
        <w:rPr>
          <w:lang w:val="es-ES_tradnl"/>
        </w:rPr>
        <w:t xml:space="preserve"> y las señales procedentes de otros transmisores se basa en el hecho de que todas estas componentes dan lugar a una cierta modulación de amplitud de la señal recibida. Esta modulación de amplitud resultante se define mejor por el máximo gradiente de la dependencia de la amplitud de RF sobre la RF y se </w:t>
      </w:r>
      <w:r>
        <w:rPr>
          <w:lang w:val="es-ES_tradnl"/>
        </w:rPr>
        <w:lastRenderedPageBreak/>
        <w:t>denomina grado de distorsión. Su valor puede medirse fácilmente con medidores de reflexión. El máximo gradiente admisible correspondiente para la recepción estereofónica es</w:t>
      </w:r>
      <w:r w:rsidRPr="0024016D">
        <w:rPr>
          <w:lang w:val="es-ES_tradnl"/>
        </w:rPr>
        <w:t>:</w:t>
      </w:r>
    </w:p>
    <w:p w:rsidR="005025AC" w:rsidRPr="00507B33" w:rsidRDefault="005025AC" w:rsidP="005025AC">
      <w:pPr>
        <w:pStyle w:val="Blanc"/>
        <w:rPr>
          <w:lang w:val="es-ES_tradnl"/>
        </w:rPr>
      </w:pPr>
    </w:p>
    <w:p w:rsidR="005025AC" w:rsidRDefault="005025AC" w:rsidP="005025AC">
      <w:pPr>
        <w:pStyle w:val="Equation"/>
        <w:rPr>
          <w:lang w:val="es-ES_tradnl"/>
        </w:rPr>
      </w:pPr>
      <w:r w:rsidRPr="002A2ADE">
        <w:rPr>
          <w:lang w:val="es-ES_tradnl"/>
        </w:rPr>
        <w:tab/>
      </w:r>
      <w:r w:rsidRPr="002A2ADE">
        <w:rPr>
          <w:lang w:val="es-ES_tradnl"/>
        </w:rPr>
        <w:tab/>
      </w:r>
      <w:r w:rsidRPr="00F36755">
        <w:rPr>
          <w:lang w:val="es-ES_tradnl"/>
        </w:rPr>
        <w:t>d(</w:t>
      </w:r>
      <w:r w:rsidRPr="00017D42">
        <w:rPr>
          <w:i/>
          <w:iCs/>
          <w:lang w:val="es-ES_tradnl"/>
        </w:rPr>
        <w:t>U</w:t>
      </w:r>
      <w:r w:rsidRPr="00F36755">
        <w:rPr>
          <w:lang w:val="es-ES_tradnl"/>
        </w:rPr>
        <w:t>/</w:t>
      </w:r>
      <w:proofErr w:type="spellStart"/>
      <w:r w:rsidRPr="00017D42">
        <w:rPr>
          <w:i/>
          <w:iCs/>
          <w:lang w:val="es-ES_tradnl"/>
        </w:rPr>
        <w:t>U</w:t>
      </w:r>
      <w:r w:rsidRPr="00507B33">
        <w:rPr>
          <w:i/>
          <w:iCs/>
          <w:vertAlign w:val="subscript"/>
          <w:lang w:val="es-ES_tradnl"/>
        </w:rPr>
        <w:t>d</w:t>
      </w:r>
      <w:proofErr w:type="spellEnd"/>
      <w:r w:rsidRPr="00F36755">
        <w:rPr>
          <w:lang w:val="es-ES_tradnl"/>
        </w:rPr>
        <w:t>)/</w:t>
      </w:r>
      <w:proofErr w:type="spellStart"/>
      <w:r w:rsidRPr="00F36755">
        <w:rPr>
          <w:lang w:val="es-ES_tradnl"/>
        </w:rPr>
        <w:t>df</w:t>
      </w:r>
      <w:proofErr w:type="spellEnd"/>
      <w:r w:rsidRPr="00F36755">
        <w:rPr>
          <w:lang w:val="es-ES_tradnl"/>
        </w:rPr>
        <w:t xml:space="preserve"> &lt; 0</w:t>
      </w:r>
      <w:r>
        <w:rPr>
          <w:lang w:val="es-ES_tradnl"/>
        </w:rPr>
        <w:t>,</w:t>
      </w:r>
      <w:r w:rsidRPr="00F36755">
        <w:rPr>
          <w:lang w:val="es-ES_tradnl"/>
        </w:rPr>
        <w:t>4%/kHz</w:t>
      </w:r>
      <w:r w:rsidRPr="00F36755">
        <w:rPr>
          <w:lang w:val="es-ES_tradnl"/>
        </w:rPr>
        <w:tab/>
        <w:t>(2)</w:t>
      </w:r>
    </w:p>
    <w:p w:rsidR="005025AC" w:rsidRPr="002368C4" w:rsidRDefault="005025AC" w:rsidP="005025AC">
      <w:pPr>
        <w:rPr>
          <w:lang w:val="es-ES_tradnl"/>
        </w:rPr>
      </w:pPr>
      <w:r w:rsidRPr="002368C4">
        <w:rPr>
          <w:lang w:val="es-ES_tradnl"/>
        </w:rPr>
        <w:t>donde:</w:t>
      </w:r>
    </w:p>
    <w:p w:rsidR="005025AC" w:rsidRPr="002368C4" w:rsidRDefault="005025AC" w:rsidP="005025AC">
      <w:pPr>
        <w:pStyle w:val="Equationlegend"/>
        <w:rPr>
          <w:lang w:val="es-ES_tradnl"/>
        </w:rPr>
      </w:pPr>
      <w:r w:rsidRPr="002368C4">
        <w:rPr>
          <w:lang w:val="es-ES_tradnl"/>
        </w:rPr>
        <w:tab/>
      </w:r>
      <w:r w:rsidRPr="002368C4">
        <w:rPr>
          <w:i/>
          <w:iCs/>
          <w:lang w:val="es-ES_tradnl"/>
        </w:rPr>
        <w:t>U</w:t>
      </w:r>
      <w:r>
        <w:rPr>
          <w:i/>
          <w:iCs/>
          <w:lang w:val="es-ES_tradnl"/>
        </w:rPr>
        <w:t xml:space="preserve"> </w:t>
      </w:r>
      <w:r w:rsidRPr="002368C4">
        <w:rPr>
          <w:lang w:val="es-ES_tradnl"/>
        </w:rPr>
        <w:t>:</w:t>
      </w:r>
      <w:r w:rsidRPr="002368C4">
        <w:rPr>
          <w:lang w:val="es-ES_tradnl"/>
        </w:rPr>
        <w:tab/>
        <w:t>amplitud total de la señal recibida.</w:t>
      </w:r>
    </w:p>
    <w:p w:rsidR="005025AC" w:rsidRPr="002368C4" w:rsidRDefault="005025AC" w:rsidP="005025AC">
      <w:pPr>
        <w:rPr>
          <w:lang w:val="es-ES_tradnl"/>
        </w:rPr>
      </w:pPr>
      <w:r w:rsidRPr="002368C4">
        <w:rPr>
          <w:lang w:val="es-ES_tradnl"/>
        </w:rPr>
        <w:t>Es fundamental que el grado de distorsión no rebase los límites anteriores porque incluso un pequeño incremento dar</w:t>
      </w:r>
      <w:r>
        <w:rPr>
          <w:lang w:val="es-ES_tradnl"/>
        </w:rPr>
        <w:t>á lugar a importantes errores de medición</w:t>
      </w:r>
      <w:r w:rsidRPr="002368C4">
        <w:rPr>
          <w:lang w:val="es-ES_tradnl"/>
        </w:rPr>
        <w:t>.</w:t>
      </w:r>
    </w:p>
    <w:p w:rsidR="005025AC" w:rsidRPr="0024016D" w:rsidRDefault="005025AC" w:rsidP="005025AC">
      <w:pPr>
        <w:pStyle w:val="Heading2"/>
        <w:rPr>
          <w:lang w:val="es-ES_tradnl"/>
        </w:rPr>
      </w:pPr>
      <w:r w:rsidRPr="0024016D">
        <w:rPr>
          <w:lang w:val="es-ES_tradnl"/>
        </w:rPr>
        <w:t>2.3</w:t>
      </w:r>
      <w:r w:rsidRPr="0024016D">
        <w:rPr>
          <w:lang w:val="es-ES_tradnl"/>
        </w:rPr>
        <w:tab/>
        <w:t>Nivel de la señal deseada a la entrada del receptor</w:t>
      </w:r>
    </w:p>
    <w:p w:rsidR="005025AC" w:rsidRPr="0024016D" w:rsidRDefault="005025AC" w:rsidP="005025AC">
      <w:pPr>
        <w:rPr>
          <w:lang w:val="es-ES_tradnl"/>
        </w:rPr>
      </w:pPr>
      <w:r w:rsidRPr="0024016D">
        <w:rPr>
          <w:lang w:val="es-ES_tradnl"/>
        </w:rPr>
        <w:t xml:space="preserve">Para asegurar un valor suficiente de la relación señal/ruido en audiofrecuencia, el nivel de entrada de la señal deseada en el receptor debe ser al menos </w:t>
      </w:r>
      <w:r w:rsidRPr="00CD0973">
        <w:rPr>
          <w:lang w:val="es-ES_tradnl"/>
        </w:rPr>
        <w:t xml:space="preserve">–47 </w:t>
      </w:r>
      <w:proofErr w:type="spellStart"/>
      <w:r w:rsidRPr="00CD0973">
        <w:rPr>
          <w:lang w:val="es-ES_tradnl"/>
        </w:rPr>
        <w:t>dBm</w:t>
      </w:r>
      <w:proofErr w:type="spellEnd"/>
      <w:r>
        <w:rPr>
          <w:rStyle w:val="FootnoteReference"/>
        </w:rPr>
        <w:footnoteReference w:id="1"/>
      </w:r>
      <w:r>
        <w:rPr>
          <w:lang w:val="es-ES_tradnl"/>
        </w:rPr>
        <w:t>.</w:t>
      </w:r>
    </w:p>
    <w:p w:rsidR="005025AC" w:rsidRPr="0024016D" w:rsidRDefault="005025AC" w:rsidP="005025AC">
      <w:pPr>
        <w:pStyle w:val="Heading1"/>
        <w:rPr>
          <w:lang w:val="es-ES_tradnl"/>
        </w:rPr>
      </w:pPr>
      <w:r w:rsidRPr="0024016D">
        <w:rPr>
          <w:lang w:val="es-ES_tradnl"/>
        </w:rPr>
        <w:t>3</w:t>
      </w:r>
      <w:r w:rsidRPr="0024016D">
        <w:rPr>
          <w:lang w:val="es-ES_tradnl"/>
        </w:rPr>
        <w:tab/>
        <w:t>Características de un equipo de medida adecuado</w:t>
      </w:r>
    </w:p>
    <w:p w:rsidR="005025AC" w:rsidRDefault="005025AC" w:rsidP="005025AC">
      <w:pPr>
        <w:rPr>
          <w:lang w:val="es-ES_tradnl"/>
        </w:rPr>
      </w:pPr>
      <w:r w:rsidRPr="0024016D">
        <w:rPr>
          <w:lang w:val="es-ES_tradnl"/>
        </w:rPr>
        <w:t xml:space="preserve">Para asegurar que se observan todos los valores de cresta de las desviaciones de frecuencia, el equipo tiene que ser capaz de detectar la desviación producida por la componente mayor de la señal en banda base o de la señal compuesta. </w:t>
      </w:r>
    </w:p>
    <w:p w:rsidR="005025AC" w:rsidRDefault="005025AC" w:rsidP="005025AC">
      <w:pPr>
        <w:rPr>
          <w:lang w:val="es-ES_tradnl"/>
        </w:rPr>
      </w:pPr>
      <w:r w:rsidRPr="0024016D">
        <w:rPr>
          <w:lang w:val="es-ES_tradnl"/>
        </w:rPr>
        <w:t>Por ello, si se utiliza un equipo de medición digital, tiene que tener una velocidad de muestreo de</w:t>
      </w:r>
      <w:r>
        <w:rPr>
          <w:lang w:val="es-ES_tradnl"/>
        </w:rPr>
        <w:t xml:space="preserve"> </w:t>
      </w:r>
      <w:r w:rsidRPr="0024016D">
        <w:rPr>
          <w:lang w:val="es-ES_tradnl"/>
        </w:rPr>
        <w:t>200 kHz o superior en función de la frecuencia máxima de la señal compuesta.</w:t>
      </w:r>
    </w:p>
    <w:p w:rsidR="005025AC" w:rsidRDefault="005025AC" w:rsidP="005025AC">
      <w:pPr>
        <w:pStyle w:val="Heading2"/>
        <w:rPr>
          <w:lang w:val="es-ES_tradnl"/>
        </w:rPr>
      </w:pPr>
      <w:r>
        <w:rPr>
          <w:lang w:val="es-ES_tradnl"/>
        </w:rPr>
        <w:t>3.1</w:t>
      </w:r>
      <w:r>
        <w:rPr>
          <w:lang w:val="es-ES_tradnl"/>
        </w:rPr>
        <w:tab/>
        <w:t>Mediciones de la reflexión</w:t>
      </w:r>
    </w:p>
    <w:p w:rsidR="005025AC" w:rsidRDefault="005025AC" w:rsidP="005025AC">
      <w:pPr>
        <w:rPr>
          <w:lang w:val="es-ES_tradnl"/>
        </w:rPr>
      </w:pPr>
      <w:r>
        <w:rPr>
          <w:lang w:val="es-ES_tradnl"/>
        </w:rPr>
        <w:t xml:space="preserve">Debido a la falta de </w:t>
      </w:r>
      <w:proofErr w:type="spellStart"/>
      <w:r>
        <w:rPr>
          <w:lang w:val="es-ES_tradnl"/>
        </w:rPr>
        <w:t>directividad</w:t>
      </w:r>
      <w:proofErr w:type="spellEnd"/>
      <w:r>
        <w:rPr>
          <w:lang w:val="es-ES_tradnl"/>
        </w:rPr>
        <w:t xml:space="preserve"> de las antenas de medición, en la mayoría de los casos no será posible medir las intensidades de campo de las emisiones deseada y no deseada por separado y utilizar la fórmula (1) para calcular el grado de distorsión y la propagación </w:t>
      </w:r>
      <w:proofErr w:type="spellStart"/>
      <w:r>
        <w:rPr>
          <w:lang w:val="es-ES_tradnl"/>
        </w:rPr>
        <w:t>multitrayecto</w:t>
      </w:r>
      <w:proofErr w:type="spellEnd"/>
      <w:r>
        <w:rPr>
          <w:lang w:val="es-ES_tradnl"/>
        </w:rPr>
        <w:t xml:space="preserve">. Una forma más práctica de medir este parámetro es el empleo de medidores de reflexión que miden realmente la cantidad de modulación de amplitud en la señal recibida y calculan el grado de propagación </w:t>
      </w:r>
      <w:proofErr w:type="spellStart"/>
      <w:r>
        <w:rPr>
          <w:lang w:val="es-ES_tradnl"/>
        </w:rPr>
        <w:t>multitrayecto</w:t>
      </w:r>
      <w:proofErr w:type="spellEnd"/>
      <w:r>
        <w:rPr>
          <w:lang w:val="es-ES_tradnl"/>
        </w:rPr>
        <w:t xml:space="preserve"> mediante la fórmula (2).</w:t>
      </w:r>
    </w:p>
    <w:p w:rsidR="005025AC" w:rsidRPr="00B86D9E" w:rsidRDefault="005025AC" w:rsidP="005025AC">
      <w:pPr>
        <w:rPr>
          <w:lang w:val="es-ES_tradnl"/>
        </w:rPr>
      </w:pPr>
      <w:r>
        <w:rPr>
          <w:lang w:val="es-ES_tradnl"/>
        </w:rPr>
        <w:t xml:space="preserve">Idealmente, el medidor de reflexión deberá tener una anchura de banda de medición de 150 kHz. Sin embargo, la mayor parte de estos medidores disponibles cuentan con una anchura de banda considerablemente inferior. En este caso, el máximo grado admisible de propagación </w:t>
      </w:r>
      <w:proofErr w:type="spellStart"/>
      <w:r>
        <w:rPr>
          <w:lang w:val="es-ES_tradnl"/>
        </w:rPr>
        <w:t>multitrayecto</w:t>
      </w:r>
      <w:proofErr w:type="spellEnd"/>
      <w:r>
        <w:rPr>
          <w:lang w:val="es-ES_tradnl"/>
        </w:rPr>
        <w:t xml:space="preserve"> es inferior al 0,4%/kHz indicado en el § 2.2. La Fig. 4 muestra los valores corregidos del máximo grado de distorsión indicado, dependiendo de la anchura de banda de medición del medidor de reflexión.</w:t>
      </w:r>
    </w:p>
    <w:p w:rsidR="005025AC" w:rsidRPr="0024016D" w:rsidRDefault="005025AC" w:rsidP="005025AC">
      <w:pPr>
        <w:pStyle w:val="Heading2"/>
        <w:rPr>
          <w:lang w:val="es-ES_tradnl"/>
        </w:rPr>
      </w:pPr>
      <w:r>
        <w:rPr>
          <w:lang w:val="es-ES_tradnl"/>
        </w:rPr>
        <w:t>3.2</w:t>
      </w:r>
      <w:r w:rsidRPr="0024016D">
        <w:rPr>
          <w:lang w:val="es-ES_tradnl"/>
        </w:rPr>
        <w:tab/>
      </w:r>
      <w:r w:rsidRPr="00B86D9E">
        <w:rPr>
          <w:lang w:val="es-ES_tradnl"/>
        </w:rPr>
        <w:t>Mediciones</w:t>
      </w:r>
      <w:r w:rsidRPr="0024016D">
        <w:rPr>
          <w:lang w:val="es-ES_tradnl"/>
        </w:rPr>
        <w:t xml:space="preserve"> de la desviación de frecuencia</w:t>
      </w:r>
    </w:p>
    <w:p w:rsidR="005025AC" w:rsidRDefault="005025AC" w:rsidP="005025AC">
      <w:pPr>
        <w:rPr>
          <w:lang w:val="es-ES_tradnl"/>
        </w:rPr>
      </w:pPr>
      <w:r w:rsidRPr="0024016D">
        <w:rPr>
          <w:lang w:val="es-ES_tradnl"/>
        </w:rPr>
        <w:t>El equipo de medida utilizado debe poder realizar mediciones de una desviación instantánea de</w:t>
      </w:r>
      <w:r>
        <w:rPr>
          <w:lang w:val="es-ES_tradnl"/>
        </w:rPr>
        <w:t xml:space="preserve"> </w:t>
      </w:r>
      <w:r w:rsidRPr="0024016D">
        <w:rPr>
          <w:lang w:val="es-ES_tradnl"/>
        </w:rPr>
        <w:t>100</w:t>
      </w:r>
      <w:r>
        <w:rPr>
          <w:lang w:val="es-ES_tradnl"/>
        </w:rPr>
        <w:t> </w:t>
      </w:r>
      <w:r w:rsidRPr="0024016D">
        <w:rPr>
          <w:lang w:val="es-ES_tradnl"/>
        </w:rPr>
        <w:t xml:space="preserve">kHz o superior. Además, el equipo debe poseer unas características en las que se tengan en cuenta </w:t>
      </w:r>
      <w:r>
        <w:rPr>
          <w:lang w:val="es-ES_tradnl"/>
        </w:rPr>
        <w:t xml:space="preserve">la </w:t>
      </w:r>
      <w:r w:rsidRPr="0024016D">
        <w:rPr>
          <w:lang w:val="es-ES_tradnl"/>
        </w:rPr>
        <w:t xml:space="preserve">anchura de banda de medición requerida, el factor de conformación del filtro, etc. a fin de asegurar que la no linealidad y la distorsión no provocan una imprecisión mayor que la especificada en el Cuadro </w:t>
      </w:r>
      <w:r>
        <w:rPr>
          <w:lang w:val="es-ES_tradnl"/>
        </w:rPr>
        <w:t>3</w:t>
      </w:r>
      <w:r w:rsidRPr="0024016D">
        <w:rPr>
          <w:lang w:val="es-ES_tradnl"/>
        </w:rPr>
        <w:t>.</w:t>
      </w:r>
    </w:p>
    <w:p w:rsidR="005025AC" w:rsidRDefault="005025AC" w:rsidP="005025AC">
      <w:pPr>
        <w:pStyle w:val="FigureNo"/>
        <w:rPr>
          <w:lang w:val="es-ES_tradnl"/>
        </w:rPr>
      </w:pPr>
      <w:r>
        <w:rPr>
          <w:lang w:val="es-ES_tradnl"/>
        </w:rPr>
        <w:lastRenderedPageBreak/>
        <w:t>FIGURA 4</w:t>
      </w:r>
    </w:p>
    <w:p w:rsidR="005025AC" w:rsidRPr="007444B7" w:rsidRDefault="005025AC" w:rsidP="005025AC">
      <w:pPr>
        <w:pStyle w:val="Blanc"/>
      </w:pPr>
    </w:p>
    <w:p w:rsidR="005025AC" w:rsidRPr="0024016D" w:rsidRDefault="005025AC" w:rsidP="005025AC">
      <w:pPr>
        <w:pStyle w:val="Figure"/>
        <w:rPr>
          <w:lang w:val="es-ES_tradnl"/>
        </w:rPr>
      </w:pPr>
      <w:r>
        <w:rPr>
          <w:lang w:val="es-ES_tradnl"/>
        </w:rPr>
        <w:object w:dxaOrig="7554" w:dyaOrig="5407">
          <v:shape id="_x0000_i1029" type="#_x0000_t75" style="width:378pt;height:270.75pt" o:ole="">
            <v:imagedata r:id="rId21" o:title=""/>
          </v:shape>
          <o:OLEObject Type="Embed" ProgID="CorelDRAW.Graphic.14" ShapeID="_x0000_i1029" DrawAspect="Content" ObjectID="_1496843378" r:id="rId22"/>
        </w:object>
      </w:r>
    </w:p>
    <w:p w:rsidR="005025AC" w:rsidRDefault="005025AC" w:rsidP="005025AC">
      <w:pPr>
        <w:rPr>
          <w:lang w:val="es-ES_tradnl"/>
        </w:rPr>
      </w:pPr>
    </w:p>
    <w:p w:rsidR="005025AC" w:rsidRPr="0024016D" w:rsidRDefault="005025AC" w:rsidP="005025AC">
      <w:pPr>
        <w:pStyle w:val="TableNo"/>
        <w:rPr>
          <w:smallCaps/>
          <w:lang w:val="es-ES_tradnl"/>
        </w:rPr>
      </w:pPr>
      <w:r w:rsidRPr="0024016D">
        <w:rPr>
          <w:lang w:val="es-ES_tradnl"/>
        </w:rPr>
        <w:t>CUADRO</w:t>
      </w:r>
      <w:r>
        <w:rPr>
          <w:lang w:val="es-ES_tradnl"/>
        </w:rPr>
        <w:t xml:space="preserve"> 3</w:t>
      </w:r>
    </w:p>
    <w:p w:rsidR="005025AC" w:rsidRPr="0024016D" w:rsidRDefault="005025AC" w:rsidP="005025AC">
      <w:pPr>
        <w:pStyle w:val="Tabletitle"/>
        <w:rPr>
          <w:lang w:val="es-ES_tradnl"/>
        </w:rPr>
      </w:pPr>
      <w:r>
        <w:rPr>
          <w:lang w:val="es-ES_tradnl"/>
        </w:rPr>
        <w:t xml:space="preserve">Precisión </w:t>
      </w:r>
      <w:r w:rsidRPr="0024016D">
        <w:rPr>
          <w:lang w:val="es-ES_tradnl"/>
        </w:rPr>
        <w:t>del i</w:t>
      </w:r>
      <w:bookmarkStart w:id="6" w:name="_GoBack"/>
      <w:bookmarkEnd w:id="6"/>
      <w:r w:rsidRPr="0024016D">
        <w:rPr>
          <w:lang w:val="es-ES_tradnl"/>
        </w:rPr>
        <w:t>nstrumento para mediciones de desviación</w:t>
      </w:r>
    </w:p>
    <w:tbl>
      <w:tblPr>
        <w:tblW w:w="0" w:type="auto"/>
        <w:jc w:val="center"/>
        <w:tblLayout w:type="fixed"/>
        <w:tblCellMar>
          <w:left w:w="107" w:type="dxa"/>
          <w:right w:w="107" w:type="dxa"/>
        </w:tblCellMar>
        <w:tblLook w:val="0000" w:firstRow="0" w:lastRow="0" w:firstColumn="0" w:lastColumn="0" w:noHBand="0" w:noVBand="0"/>
      </w:tblPr>
      <w:tblGrid>
        <w:gridCol w:w="3969"/>
        <w:gridCol w:w="3969"/>
      </w:tblGrid>
      <w:tr w:rsidR="005025AC" w:rsidTr="00606CEE">
        <w:trPr>
          <w:jc w:val="center"/>
        </w:trPr>
        <w:tc>
          <w:tcPr>
            <w:tcW w:w="3969" w:type="dxa"/>
            <w:tcBorders>
              <w:top w:val="single" w:sz="6" w:space="0" w:color="auto"/>
              <w:left w:val="single" w:sz="6" w:space="0" w:color="auto"/>
            </w:tcBorders>
          </w:tcPr>
          <w:p w:rsidR="005025AC" w:rsidRPr="000651A5" w:rsidRDefault="005025AC" w:rsidP="00606CEE">
            <w:pPr>
              <w:pStyle w:val="Tablehead"/>
            </w:pPr>
            <w:proofErr w:type="spellStart"/>
            <w:r>
              <w:t>Desviación</w:t>
            </w:r>
            <w:proofErr w:type="spellEnd"/>
            <w:r>
              <w:t xml:space="preserve"> </w:t>
            </w:r>
            <w:proofErr w:type="spellStart"/>
            <w:r>
              <w:t>instantánea</w:t>
            </w:r>
            <w:proofErr w:type="spellEnd"/>
          </w:p>
        </w:tc>
        <w:tc>
          <w:tcPr>
            <w:tcW w:w="3969" w:type="dxa"/>
            <w:tcBorders>
              <w:top w:val="single" w:sz="6" w:space="0" w:color="auto"/>
              <w:left w:val="single" w:sz="6" w:space="0" w:color="auto"/>
              <w:right w:val="single" w:sz="6" w:space="0" w:color="auto"/>
            </w:tcBorders>
          </w:tcPr>
          <w:p w:rsidR="005025AC" w:rsidRPr="000651A5" w:rsidRDefault="005025AC" w:rsidP="00606CEE">
            <w:pPr>
              <w:pStyle w:val="Tablehead"/>
            </w:pPr>
            <w:proofErr w:type="spellStart"/>
            <w:r>
              <w:t>Precisión</w:t>
            </w:r>
            <w:proofErr w:type="spellEnd"/>
            <w:r>
              <w:t xml:space="preserve"> </w:t>
            </w:r>
            <w:proofErr w:type="spellStart"/>
            <w:r>
              <w:t>requerida</w:t>
            </w:r>
            <w:proofErr w:type="spellEnd"/>
          </w:p>
        </w:tc>
      </w:tr>
      <w:tr w:rsidR="005025AC" w:rsidTr="00606CEE">
        <w:trPr>
          <w:jc w:val="center"/>
        </w:trPr>
        <w:tc>
          <w:tcPr>
            <w:tcW w:w="3969" w:type="dxa"/>
            <w:tcBorders>
              <w:top w:val="single" w:sz="6" w:space="0" w:color="auto"/>
              <w:left w:val="single" w:sz="6" w:space="0" w:color="auto"/>
            </w:tcBorders>
          </w:tcPr>
          <w:p w:rsidR="005025AC" w:rsidRPr="000651A5" w:rsidRDefault="005025AC" w:rsidP="00606CEE">
            <w:pPr>
              <w:pStyle w:val="Tabletext"/>
              <w:jc w:val="center"/>
            </w:pPr>
            <w:r w:rsidRPr="000651A5">
              <w:t>≤</w:t>
            </w:r>
            <w:r>
              <w:t xml:space="preserve"> </w:t>
            </w:r>
            <w:r w:rsidRPr="000651A5">
              <w:t>80 kHz</w:t>
            </w:r>
          </w:p>
        </w:tc>
        <w:tc>
          <w:tcPr>
            <w:tcW w:w="3969" w:type="dxa"/>
            <w:tcBorders>
              <w:top w:val="single" w:sz="6" w:space="0" w:color="auto"/>
              <w:left w:val="single" w:sz="6" w:space="0" w:color="auto"/>
              <w:right w:val="single" w:sz="6" w:space="0" w:color="auto"/>
            </w:tcBorders>
          </w:tcPr>
          <w:p w:rsidR="005025AC" w:rsidRPr="000651A5" w:rsidRDefault="005025AC" w:rsidP="00606CEE">
            <w:pPr>
              <w:pStyle w:val="Tabletext"/>
              <w:jc w:val="center"/>
            </w:pPr>
            <w:r w:rsidRPr="000651A5">
              <w:t>±</w:t>
            </w:r>
            <w:r>
              <w:t xml:space="preserve"> </w:t>
            </w:r>
            <w:r w:rsidRPr="000651A5">
              <w:t>2 kHz</w:t>
            </w:r>
          </w:p>
        </w:tc>
      </w:tr>
      <w:tr w:rsidR="005025AC" w:rsidTr="00606CEE">
        <w:trPr>
          <w:jc w:val="center"/>
        </w:trPr>
        <w:tc>
          <w:tcPr>
            <w:tcW w:w="3969" w:type="dxa"/>
            <w:tcBorders>
              <w:top w:val="single" w:sz="6" w:space="0" w:color="auto"/>
              <w:left w:val="single" w:sz="6" w:space="0" w:color="auto"/>
              <w:bottom w:val="single" w:sz="6" w:space="0" w:color="auto"/>
            </w:tcBorders>
          </w:tcPr>
          <w:p w:rsidR="005025AC" w:rsidRPr="000651A5" w:rsidRDefault="005025AC" w:rsidP="00606CEE">
            <w:pPr>
              <w:pStyle w:val="Tabletext"/>
              <w:jc w:val="center"/>
            </w:pPr>
            <w:r w:rsidRPr="000651A5">
              <w:t>&gt;</w:t>
            </w:r>
            <w:r>
              <w:t xml:space="preserve"> </w:t>
            </w:r>
            <w:r w:rsidRPr="000651A5">
              <w:t>80 kHz</w:t>
            </w:r>
          </w:p>
        </w:tc>
        <w:tc>
          <w:tcPr>
            <w:tcW w:w="3969" w:type="dxa"/>
            <w:tcBorders>
              <w:top w:val="single" w:sz="6" w:space="0" w:color="auto"/>
              <w:left w:val="single" w:sz="6" w:space="0" w:color="auto"/>
              <w:bottom w:val="single" w:sz="6" w:space="0" w:color="auto"/>
              <w:right w:val="single" w:sz="6" w:space="0" w:color="auto"/>
            </w:tcBorders>
          </w:tcPr>
          <w:p w:rsidR="005025AC" w:rsidRPr="000651A5" w:rsidRDefault="005025AC" w:rsidP="00606CEE">
            <w:pPr>
              <w:pStyle w:val="Tabletext"/>
              <w:jc w:val="center"/>
            </w:pPr>
            <w:r w:rsidRPr="000651A5">
              <w:t>±</w:t>
            </w:r>
            <w:r>
              <w:t xml:space="preserve"> </w:t>
            </w:r>
            <w:r w:rsidRPr="000651A5">
              <w:t>5%</w:t>
            </w:r>
          </w:p>
        </w:tc>
      </w:tr>
    </w:tbl>
    <w:p w:rsidR="005025AC" w:rsidRDefault="005025AC" w:rsidP="005025AC">
      <w:pPr>
        <w:pStyle w:val="Tablefin"/>
      </w:pPr>
    </w:p>
    <w:p w:rsidR="005025AC" w:rsidRPr="0024016D" w:rsidRDefault="005025AC" w:rsidP="005025AC">
      <w:pPr>
        <w:pStyle w:val="Heading2"/>
        <w:rPr>
          <w:b w:val="0"/>
          <w:lang w:val="es-ES_tradnl"/>
        </w:rPr>
      </w:pPr>
      <w:r w:rsidRPr="0024016D">
        <w:rPr>
          <w:lang w:val="es-ES_tradnl"/>
        </w:rPr>
        <w:t>3.</w:t>
      </w:r>
      <w:r>
        <w:rPr>
          <w:lang w:val="es-ES_tradnl"/>
        </w:rPr>
        <w:t>3</w:t>
      </w:r>
      <w:r w:rsidRPr="0024016D">
        <w:rPr>
          <w:lang w:val="es-ES_tradnl"/>
        </w:rPr>
        <w:tab/>
        <w:t>Mediciones de la potencia de modulación</w:t>
      </w:r>
    </w:p>
    <w:p w:rsidR="005025AC" w:rsidRPr="0024016D" w:rsidRDefault="005025AC" w:rsidP="005025AC">
      <w:pPr>
        <w:rPr>
          <w:lang w:val="es-ES_tradnl"/>
        </w:rPr>
      </w:pPr>
      <w:r w:rsidRPr="0024016D">
        <w:rPr>
          <w:lang w:val="es-ES_tradnl"/>
        </w:rPr>
        <w:t xml:space="preserve">La potencia de modulación se especifica en </w:t>
      </w:r>
      <w:proofErr w:type="spellStart"/>
      <w:r w:rsidRPr="0024016D">
        <w:rPr>
          <w:lang w:val="es-ES_tradnl"/>
        </w:rPr>
        <w:t>dBr</w:t>
      </w:r>
      <w:proofErr w:type="spellEnd"/>
      <w:r w:rsidRPr="0024016D">
        <w:rPr>
          <w:lang w:val="es-ES_tradnl"/>
        </w:rPr>
        <w:t xml:space="preserve"> de acuerdo con el §</w:t>
      </w:r>
      <w:r>
        <w:rPr>
          <w:lang w:val="es-ES_tradnl"/>
        </w:rPr>
        <w:t> </w:t>
      </w:r>
      <w:r w:rsidRPr="0024016D">
        <w:rPr>
          <w:lang w:val="es-ES_tradnl"/>
        </w:rPr>
        <w:t>1.1. El equipo de medida deberá poder medir potencias de modulación en la gama de –6</w:t>
      </w:r>
      <w:r>
        <w:rPr>
          <w:lang w:val="es-ES_tradnl"/>
        </w:rPr>
        <w:t> </w:t>
      </w:r>
      <w:proofErr w:type="spellStart"/>
      <w:r w:rsidRPr="0024016D">
        <w:rPr>
          <w:lang w:val="es-ES_tradnl"/>
        </w:rPr>
        <w:t>dBr</w:t>
      </w:r>
      <w:proofErr w:type="spellEnd"/>
      <w:r w:rsidRPr="0024016D">
        <w:rPr>
          <w:lang w:val="es-ES_tradnl"/>
        </w:rPr>
        <w:t xml:space="preserve"> a </w:t>
      </w:r>
      <w:r>
        <w:rPr>
          <w:lang w:val="es-ES_tradnl"/>
        </w:rPr>
        <w:sym w:font="Symbol" w:char="F02B"/>
      </w:r>
      <w:r w:rsidRPr="0024016D">
        <w:rPr>
          <w:lang w:val="es-ES_tradnl"/>
        </w:rPr>
        <w:t>6</w:t>
      </w:r>
      <w:r>
        <w:rPr>
          <w:lang w:val="es-ES_tradnl"/>
        </w:rPr>
        <w:t> </w:t>
      </w:r>
      <w:proofErr w:type="spellStart"/>
      <w:r w:rsidRPr="0024016D">
        <w:rPr>
          <w:lang w:val="es-ES_tradnl"/>
        </w:rPr>
        <w:t>dBr</w:t>
      </w:r>
      <w:proofErr w:type="spellEnd"/>
      <w:r w:rsidRPr="0024016D">
        <w:rPr>
          <w:lang w:val="es-ES_tradnl"/>
        </w:rPr>
        <w:t xml:space="preserve">. La precisión del instrumento deberá satisfacer al menos los valores especificados en el Cuadro </w:t>
      </w:r>
      <w:r>
        <w:rPr>
          <w:lang w:val="es-ES_tradnl"/>
        </w:rPr>
        <w:t>4</w:t>
      </w:r>
      <w:r w:rsidRPr="0024016D">
        <w:rPr>
          <w:lang w:val="es-ES_tradnl"/>
        </w:rPr>
        <w:t>.</w:t>
      </w:r>
    </w:p>
    <w:p w:rsidR="005025AC" w:rsidRPr="0024016D" w:rsidRDefault="005025AC" w:rsidP="005025AC">
      <w:pPr>
        <w:pStyle w:val="TableNo"/>
        <w:rPr>
          <w:smallCaps/>
          <w:lang w:val="es-ES_tradnl"/>
        </w:rPr>
      </w:pPr>
      <w:r>
        <w:rPr>
          <w:lang w:val="es-ES_tradnl"/>
        </w:rPr>
        <w:t>CUADRO 4</w:t>
      </w:r>
    </w:p>
    <w:p w:rsidR="005025AC" w:rsidRPr="0024016D" w:rsidRDefault="005025AC" w:rsidP="005025AC">
      <w:pPr>
        <w:pStyle w:val="Tabletitle"/>
        <w:rPr>
          <w:lang w:val="es-ES_tradnl"/>
        </w:rPr>
      </w:pPr>
      <w:r w:rsidRPr="0024016D">
        <w:rPr>
          <w:lang w:val="es-ES_tradnl"/>
        </w:rPr>
        <w:t>Precisión del instrumento para realizar mediciones</w:t>
      </w:r>
      <w:r>
        <w:rPr>
          <w:lang w:val="es-ES_tradnl"/>
        </w:rPr>
        <w:br/>
      </w:r>
      <w:r w:rsidRPr="0024016D">
        <w:rPr>
          <w:lang w:val="es-ES_tradnl"/>
        </w:rPr>
        <w:t>de la potencia de modulación</w:t>
      </w:r>
    </w:p>
    <w:tbl>
      <w:tblPr>
        <w:tblW w:w="0" w:type="auto"/>
        <w:jc w:val="center"/>
        <w:tblLayout w:type="fixed"/>
        <w:tblCellMar>
          <w:left w:w="107" w:type="dxa"/>
          <w:right w:w="107" w:type="dxa"/>
        </w:tblCellMar>
        <w:tblLook w:val="0000" w:firstRow="0" w:lastRow="0" w:firstColumn="0" w:lastColumn="0" w:noHBand="0" w:noVBand="0"/>
      </w:tblPr>
      <w:tblGrid>
        <w:gridCol w:w="3969"/>
        <w:gridCol w:w="3969"/>
      </w:tblGrid>
      <w:tr w:rsidR="005025AC" w:rsidTr="00606CEE">
        <w:trPr>
          <w:jc w:val="center"/>
        </w:trPr>
        <w:tc>
          <w:tcPr>
            <w:tcW w:w="3969" w:type="dxa"/>
            <w:tcBorders>
              <w:top w:val="single" w:sz="6" w:space="0" w:color="auto"/>
              <w:left w:val="single" w:sz="6" w:space="0" w:color="auto"/>
            </w:tcBorders>
          </w:tcPr>
          <w:p w:rsidR="005025AC" w:rsidRPr="000651A5" w:rsidRDefault="005025AC" w:rsidP="00606CEE">
            <w:pPr>
              <w:pStyle w:val="Tablehead"/>
            </w:pPr>
            <w:proofErr w:type="spellStart"/>
            <w:r>
              <w:t>Potencia</w:t>
            </w:r>
            <w:proofErr w:type="spellEnd"/>
            <w:r>
              <w:t xml:space="preserve"> de </w:t>
            </w:r>
            <w:proofErr w:type="spellStart"/>
            <w:r>
              <w:t>modulación</w:t>
            </w:r>
            <w:proofErr w:type="spellEnd"/>
            <w:r>
              <w:br/>
              <w:t>(</w:t>
            </w:r>
            <w:proofErr w:type="spellStart"/>
            <w:r>
              <w:t>dBr</w:t>
            </w:r>
            <w:proofErr w:type="spellEnd"/>
            <w:r>
              <w:t>)</w:t>
            </w:r>
          </w:p>
        </w:tc>
        <w:tc>
          <w:tcPr>
            <w:tcW w:w="3969" w:type="dxa"/>
            <w:tcBorders>
              <w:top w:val="single" w:sz="6" w:space="0" w:color="auto"/>
              <w:left w:val="single" w:sz="6" w:space="0" w:color="auto"/>
              <w:right w:val="single" w:sz="6" w:space="0" w:color="auto"/>
            </w:tcBorders>
          </w:tcPr>
          <w:p w:rsidR="005025AC" w:rsidRPr="000651A5" w:rsidRDefault="005025AC" w:rsidP="00606CEE">
            <w:pPr>
              <w:pStyle w:val="Tablehead"/>
            </w:pPr>
            <w:proofErr w:type="spellStart"/>
            <w:r>
              <w:t>Precisión</w:t>
            </w:r>
            <w:proofErr w:type="spellEnd"/>
            <w:r>
              <w:t xml:space="preserve"> </w:t>
            </w:r>
            <w:proofErr w:type="spellStart"/>
            <w:r>
              <w:t>requerida</w:t>
            </w:r>
            <w:proofErr w:type="spellEnd"/>
            <w:r>
              <w:br/>
              <w:t>(dB)</w:t>
            </w:r>
          </w:p>
        </w:tc>
      </w:tr>
      <w:tr w:rsidR="005025AC" w:rsidTr="00606CEE">
        <w:trPr>
          <w:jc w:val="center"/>
        </w:trPr>
        <w:tc>
          <w:tcPr>
            <w:tcW w:w="3969" w:type="dxa"/>
            <w:tcBorders>
              <w:top w:val="single" w:sz="6" w:space="0" w:color="auto"/>
              <w:left w:val="single" w:sz="6" w:space="0" w:color="auto"/>
            </w:tcBorders>
          </w:tcPr>
          <w:p w:rsidR="005025AC" w:rsidRPr="000651A5" w:rsidRDefault="005025AC" w:rsidP="00606CEE">
            <w:pPr>
              <w:pStyle w:val="Tabletext"/>
              <w:jc w:val="center"/>
            </w:pPr>
            <w:r w:rsidRPr="000651A5">
              <w:t>&lt;</w:t>
            </w:r>
            <w:r>
              <w:t xml:space="preserve"> –</w:t>
            </w:r>
            <w:r w:rsidRPr="000651A5">
              <w:t>2</w:t>
            </w:r>
          </w:p>
        </w:tc>
        <w:tc>
          <w:tcPr>
            <w:tcW w:w="3969" w:type="dxa"/>
            <w:tcBorders>
              <w:top w:val="single" w:sz="6" w:space="0" w:color="auto"/>
              <w:left w:val="single" w:sz="6" w:space="0" w:color="auto"/>
              <w:right w:val="single" w:sz="6" w:space="0" w:color="auto"/>
            </w:tcBorders>
          </w:tcPr>
          <w:p w:rsidR="005025AC" w:rsidRPr="000651A5" w:rsidRDefault="005025AC" w:rsidP="00606CEE">
            <w:pPr>
              <w:pStyle w:val="Tabletext"/>
              <w:jc w:val="center"/>
            </w:pPr>
            <w:r w:rsidRPr="000651A5">
              <w:t>±</w:t>
            </w:r>
            <w:r>
              <w:t xml:space="preserve"> 0,</w:t>
            </w:r>
            <w:r w:rsidRPr="000651A5">
              <w:t>4</w:t>
            </w:r>
          </w:p>
        </w:tc>
      </w:tr>
      <w:tr w:rsidR="005025AC" w:rsidTr="00606CEE">
        <w:trPr>
          <w:jc w:val="center"/>
        </w:trPr>
        <w:tc>
          <w:tcPr>
            <w:tcW w:w="3969" w:type="dxa"/>
            <w:tcBorders>
              <w:top w:val="single" w:sz="6" w:space="0" w:color="auto"/>
              <w:left w:val="single" w:sz="6" w:space="0" w:color="auto"/>
            </w:tcBorders>
          </w:tcPr>
          <w:p w:rsidR="005025AC" w:rsidRPr="000651A5" w:rsidRDefault="005025AC" w:rsidP="00606CEE">
            <w:pPr>
              <w:pStyle w:val="Tabletext"/>
              <w:jc w:val="center"/>
            </w:pPr>
            <w:r>
              <w:t>–</w:t>
            </w:r>
            <w:r w:rsidRPr="000651A5">
              <w:t xml:space="preserve">2 </w:t>
            </w:r>
            <w:r>
              <w:t>a</w:t>
            </w:r>
            <w:r w:rsidRPr="000651A5">
              <w:t xml:space="preserve"> + 2</w:t>
            </w:r>
          </w:p>
        </w:tc>
        <w:tc>
          <w:tcPr>
            <w:tcW w:w="3969" w:type="dxa"/>
            <w:tcBorders>
              <w:top w:val="single" w:sz="6" w:space="0" w:color="auto"/>
              <w:left w:val="single" w:sz="6" w:space="0" w:color="auto"/>
              <w:right w:val="single" w:sz="6" w:space="0" w:color="auto"/>
            </w:tcBorders>
          </w:tcPr>
          <w:p w:rsidR="005025AC" w:rsidRPr="000651A5" w:rsidRDefault="005025AC" w:rsidP="00606CEE">
            <w:pPr>
              <w:pStyle w:val="Tabletext"/>
              <w:jc w:val="center"/>
            </w:pPr>
            <w:r w:rsidRPr="000651A5">
              <w:t>±</w:t>
            </w:r>
            <w:r>
              <w:t xml:space="preserve"> 0,</w:t>
            </w:r>
            <w:r w:rsidRPr="000651A5">
              <w:t>2</w:t>
            </w:r>
          </w:p>
        </w:tc>
      </w:tr>
      <w:tr w:rsidR="005025AC" w:rsidTr="00606CEE">
        <w:trPr>
          <w:jc w:val="center"/>
        </w:trPr>
        <w:tc>
          <w:tcPr>
            <w:tcW w:w="3969" w:type="dxa"/>
            <w:tcBorders>
              <w:top w:val="single" w:sz="6" w:space="0" w:color="auto"/>
              <w:left w:val="single" w:sz="6" w:space="0" w:color="auto"/>
              <w:bottom w:val="single" w:sz="6" w:space="0" w:color="auto"/>
            </w:tcBorders>
          </w:tcPr>
          <w:p w:rsidR="005025AC" w:rsidRPr="000651A5" w:rsidRDefault="005025AC" w:rsidP="00606CEE">
            <w:pPr>
              <w:pStyle w:val="Tabletext"/>
              <w:jc w:val="center"/>
            </w:pPr>
            <w:r w:rsidRPr="000651A5">
              <w:t>&gt;</w:t>
            </w:r>
            <w:r>
              <w:t xml:space="preserve"> </w:t>
            </w:r>
            <w:r w:rsidRPr="000651A5">
              <w:t>2</w:t>
            </w:r>
          </w:p>
        </w:tc>
        <w:tc>
          <w:tcPr>
            <w:tcW w:w="3969" w:type="dxa"/>
            <w:tcBorders>
              <w:top w:val="single" w:sz="6" w:space="0" w:color="auto"/>
              <w:left w:val="single" w:sz="6" w:space="0" w:color="auto"/>
              <w:bottom w:val="single" w:sz="6" w:space="0" w:color="auto"/>
              <w:right w:val="single" w:sz="6" w:space="0" w:color="auto"/>
            </w:tcBorders>
          </w:tcPr>
          <w:p w:rsidR="005025AC" w:rsidRPr="000651A5" w:rsidRDefault="005025AC" w:rsidP="00606CEE">
            <w:pPr>
              <w:pStyle w:val="Tabletext"/>
              <w:jc w:val="center"/>
            </w:pPr>
            <w:r w:rsidRPr="000651A5">
              <w:t>±</w:t>
            </w:r>
            <w:r>
              <w:t xml:space="preserve"> 0,</w:t>
            </w:r>
            <w:r w:rsidRPr="000651A5">
              <w:t>4</w:t>
            </w:r>
          </w:p>
        </w:tc>
      </w:tr>
    </w:tbl>
    <w:p w:rsidR="005025AC" w:rsidRDefault="005025AC" w:rsidP="005025AC">
      <w:pPr>
        <w:pStyle w:val="Tablefin"/>
      </w:pPr>
    </w:p>
    <w:p w:rsidR="005025AC" w:rsidRDefault="005025AC" w:rsidP="005025AC">
      <w:pPr>
        <w:pStyle w:val="Heading1"/>
        <w:rPr>
          <w:lang w:val="es-ES_tradnl"/>
        </w:rPr>
      </w:pPr>
      <w:r>
        <w:rPr>
          <w:lang w:val="es-ES_tradnl"/>
        </w:rPr>
        <w:lastRenderedPageBreak/>
        <w:t>4</w:t>
      </w:r>
      <w:r>
        <w:rPr>
          <w:lang w:val="es-ES_tradnl"/>
        </w:rPr>
        <w:tab/>
        <w:t>Evaluación de los resultados</w:t>
      </w:r>
    </w:p>
    <w:p w:rsidR="005025AC" w:rsidRPr="007B0526" w:rsidRDefault="005025AC" w:rsidP="005025AC">
      <w:pPr>
        <w:rPr>
          <w:lang w:val="es-ES_tradnl"/>
        </w:rPr>
      </w:pPr>
      <w:r>
        <w:rPr>
          <w:lang w:val="es-ES_tradnl"/>
        </w:rPr>
        <w:t>Se considera inapropiado considerar la aparición de muestras de medición individuales por encima de 75 kHz como una violación del límite de desviación porque:</w:t>
      </w:r>
    </w:p>
    <w:p w:rsidR="005025AC" w:rsidRDefault="005025AC" w:rsidP="005025AC">
      <w:pPr>
        <w:pStyle w:val="enumlev1"/>
        <w:rPr>
          <w:lang w:val="es-ES_tradnl"/>
        </w:rPr>
      </w:pPr>
      <w:r>
        <w:rPr>
          <w:lang w:val="es-ES_tradnl"/>
        </w:rPr>
        <w:t>a)</w:t>
      </w:r>
      <w:r>
        <w:rPr>
          <w:lang w:val="es-ES_tradnl"/>
        </w:rPr>
        <w:tab/>
        <w:t>la modulación dinámica de un transmisor de radiodifusión en FM con un contenido de programa normal puede incluir crestas de modulación que aparecen muy raramente y pueden no ser reproducibles en una segunda medición;</w:t>
      </w:r>
    </w:p>
    <w:p w:rsidR="005025AC" w:rsidRDefault="005025AC" w:rsidP="005025AC">
      <w:pPr>
        <w:pStyle w:val="enumlev1"/>
        <w:rPr>
          <w:lang w:val="es-ES_tradnl"/>
        </w:rPr>
      </w:pPr>
      <w:r>
        <w:rPr>
          <w:lang w:val="es-ES_tradnl"/>
        </w:rPr>
        <w:t>b)</w:t>
      </w:r>
      <w:r>
        <w:rPr>
          <w:lang w:val="es-ES_tradnl"/>
        </w:rPr>
        <w:tab/>
        <w:t>incluso cuando se satisfacen las condiciones de medición indicadas en el § 2, la interferencia externa no puede evitarse completamente en todo instante.</w:t>
      </w:r>
    </w:p>
    <w:p w:rsidR="005025AC" w:rsidRDefault="005025AC" w:rsidP="005025AC">
      <w:pPr>
        <w:rPr>
          <w:lang w:val="es-ES_tradnl"/>
        </w:rPr>
      </w:pPr>
      <w:r>
        <w:rPr>
          <w:lang w:val="es-ES_tradnl"/>
        </w:rPr>
        <w:t>Por estas razones, y considerando la incertidumbre de medición con un nivel de confianza pretendido del 95%, puede considerarse que un transmisor de radiodifusión en FM viola el límite de desviación si un cierto número de muestras de medición rebasan el ±</w:t>
      </w:r>
      <w:r w:rsidRPr="00BB1452">
        <w:rPr>
          <w:sz w:val="12"/>
          <w:lang w:val="es-ES_tradnl"/>
        </w:rPr>
        <w:t> </w:t>
      </w:r>
      <w:r>
        <w:rPr>
          <w:lang w:val="es-ES_tradnl"/>
        </w:rPr>
        <w:t xml:space="preserve">75% (más la incertidumbre de medición). El </w:t>
      </w:r>
      <w:r w:rsidRPr="00CD3D3F">
        <w:rPr>
          <w:lang w:val="es-ES_tradnl"/>
        </w:rPr>
        <w:t>10</w:t>
      </w:r>
      <w:r w:rsidRPr="00CD3D3F">
        <w:rPr>
          <w:vertAlign w:val="superscript"/>
          <w:lang w:val="es-ES_tradnl"/>
        </w:rPr>
        <w:t>–4</w:t>
      </w:r>
      <w:r w:rsidRPr="00CD3D3F">
        <w:rPr>
          <w:lang w:val="es-ES_tradnl"/>
        </w:rPr>
        <w:t>% de las muestras de medición que rebasan la desviaci</w:t>
      </w:r>
      <w:r>
        <w:rPr>
          <w:lang w:val="es-ES_tradnl"/>
        </w:rPr>
        <w:t>ón de 77 </w:t>
      </w:r>
      <w:r w:rsidRPr="00CD3D3F">
        <w:rPr>
          <w:lang w:val="es-ES_tradnl"/>
        </w:rPr>
        <w:t>kHz</w:t>
      </w:r>
      <w:r>
        <w:rPr>
          <w:lang w:val="es-ES_tradnl"/>
        </w:rPr>
        <w:t xml:space="preserve"> puede considerarse un valor práctico.</w:t>
      </w:r>
    </w:p>
    <w:p w:rsidR="005025AC" w:rsidRPr="00CD3D3F" w:rsidRDefault="005025AC" w:rsidP="005025AC">
      <w:pPr>
        <w:rPr>
          <w:lang w:val="es-ES_tradnl"/>
        </w:rPr>
      </w:pPr>
      <w:r>
        <w:rPr>
          <w:lang w:val="es-ES_tradnl"/>
        </w:rPr>
        <w:t>Como la potencia de modulación se promedia a lo largo de un periodo de 60 s, las crestas de corta duración incluidas en el contenido del programa o causadas por interferencia externa ya quedan en gran medida canceladas. Por tanto, puede considerarse que un transmisor de radiodifusión en FM viola el límite de potencia de modulación si el valor más elevado de potencia múltiplex medido rebasa los 0,2 </w:t>
      </w:r>
      <w:proofErr w:type="spellStart"/>
      <w:r>
        <w:rPr>
          <w:lang w:val="es-ES_tradnl"/>
        </w:rPr>
        <w:t>dBr</w:t>
      </w:r>
      <w:proofErr w:type="spellEnd"/>
      <w:r>
        <w:rPr>
          <w:lang w:val="es-ES_tradnl"/>
        </w:rPr>
        <w:t>.</w:t>
      </w:r>
    </w:p>
    <w:p w:rsidR="005025AC" w:rsidRPr="0024016D" w:rsidRDefault="005025AC" w:rsidP="005025AC">
      <w:pPr>
        <w:pStyle w:val="Heading1"/>
        <w:rPr>
          <w:lang w:val="es-ES_tradnl"/>
        </w:rPr>
      </w:pPr>
      <w:r>
        <w:rPr>
          <w:lang w:val="es-ES_tradnl"/>
        </w:rPr>
        <w:t>5</w:t>
      </w:r>
      <w:r w:rsidRPr="0024016D">
        <w:rPr>
          <w:lang w:val="es-ES_tradnl"/>
        </w:rPr>
        <w:tab/>
        <w:t>Presentación de los resultados de las mediciones</w:t>
      </w:r>
    </w:p>
    <w:p w:rsidR="005025AC" w:rsidRPr="0024016D" w:rsidRDefault="005025AC" w:rsidP="005025AC">
      <w:pPr>
        <w:pStyle w:val="Heading2"/>
        <w:rPr>
          <w:lang w:val="es-ES_tradnl"/>
        </w:rPr>
      </w:pPr>
      <w:r>
        <w:rPr>
          <w:lang w:val="es-ES_tradnl"/>
        </w:rPr>
        <w:t>5</w:t>
      </w:r>
      <w:r w:rsidRPr="0024016D">
        <w:rPr>
          <w:lang w:val="es-ES_tradnl"/>
        </w:rPr>
        <w:t>.1</w:t>
      </w:r>
      <w:r w:rsidRPr="0024016D">
        <w:rPr>
          <w:lang w:val="es-ES_tradnl"/>
        </w:rPr>
        <w:tab/>
      </w:r>
      <w:r w:rsidRPr="002A2ADE">
        <w:rPr>
          <w:lang w:val="es-ES_tradnl"/>
        </w:rPr>
        <w:t>Potencia</w:t>
      </w:r>
      <w:r w:rsidRPr="0024016D">
        <w:rPr>
          <w:lang w:val="es-ES_tradnl"/>
        </w:rPr>
        <w:t xml:space="preserve"> de modulación</w:t>
      </w:r>
    </w:p>
    <w:p w:rsidR="005025AC" w:rsidRPr="0024016D" w:rsidRDefault="005025AC" w:rsidP="005025AC">
      <w:pPr>
        <w:rPr>
          <w:lang w:val="es-ES_tradnl"/>
        </w:rPr>
      </w:pPr>
      <w:r w:rsidRPr="0024016D">
        <w:rPr>
          <w:lang w:val="es-ES_tradnl"/>
        </w:rPr>
        <w:t>La potencia de modulación debe</w:t>
      </w:r>
      <w:r>
        <w:rPr>
          <w:lang w:val="es-ES_tradnl"/>
        </w:rPr>
        <w:t>rá</w:t>
      </w:r>
      <w:r w:rsidRPr="0024016D">
        <w:rPr>
          <w:lang w:val="es-ES_tradnl"/>
        </w:rPr>
        <w:t xml:space="preserve"> presentarse en función del tiempo durante el intervalo de medición.</w:t>
      </w:r>
      <w:r>
        <w:rPr>
          <w:lang w:val="es-ES_tradnl"/>
        </w:rPr>
        <w:t xml:space="preserve"> Debe indicarse el máximo valor registrado.</w:t>
      </w:r>
    </w:p>
    <w:p w:rsidR="005025AC" w:rsidRPr="0024016D" w:rsidRDefault="005025AC" w:rsidP="005025AC">
      <w:pPr>
        <w:pStyle w:val="Heading2"/>
        <w:rPr>
          <w:lang w:val="es-ES_tradnl"/>
        </w:rPr>
      </w:pPr>
      <w:r>
        <w:rPr>
          <w:lang w:val="es-ES_tradnl"/>
        </w:rPr>
        <w:t>5</w:t>
      </w:r>
      <w:r w:rsidRPr="0024016D">
        <w:rPr>
          <w:lang w:val="es-ES_tradnl"/>
        </w:rPr>
        <w:t>.2</w:t>
      </w:r>
      <w:r w:rsidRPr="0024016D">
        <w:rPr>
          <w:lang w:val="es-ES_tradnl"/>
        </w:rPr>
        <w:tab/>
        <w:t>Desviación de frecuencia</w:t>
      </w:r>
    </w:p>
    <w:p w:rsidR="005025AC" w:rsidRPr="0024016D" w:rsidRDefault="005025AC" w:rsidP="005025AC">
      <w:pPr>
        <w:rPr>
          <w:lang w:val="es-ES_tradnl"/>
        </w:rPr>
      </w:pPr>
      <w:r w:rsidRPr="0024016D">
        <w:rPr>
          <w:lang w:val="es-ES_tradnl"/>
        </w:rPr>
        <w:t xml:space="preserve">Para obtener más información, es preferible representar la desviación mediante histogramas y como una función del tiempo en lugar de </w:t>
      </w:r>
      <w:r>
        <w:rPr>
          <w:lang w:val="es-ES_tradnl"/>
        </w:rPr>
        <w:t xml:space="preserve">presentar </w:t>
      </w:r>
      <w:r w:rsidRPr="0024016D">
        <w:rPr>
          <w:lang w:val="es-ES_tradnl"/>
        </w:rPr>
        <w:t>simplemente el valor más alto en un modo de «máxima retención» durante un cierto periodo de tiempo. Los histogramas de la desviación de frecuencia se procesan como sigue:</w:t>
      </w:r>
    </w:p>
    <w:p w:rsidR="005025AC" w:rsidRPr="00F90434" w:rsidRDefault="005025AC" w:rsidP="005025AC">
      <w:pPr>
        <w:pStyle w:val="enumlev1"/>
        <w:rPr>
          <w:lang w:val="es-ES_tradnl"/>
        </w:rPr>
      </w:pPr>
      <w:r>
        <w:rPr>
          <w:lang w:val="es-ES_tradnl"/>
        </w:rPr>
        <w:t>a)</w:t>
      </w:r>
      <w:r>
        <w:rPr>
          <w:lang w:val="es-ES_tradnl"/>
        </w:rPr>
        <w:tab/>
        <w:t>s</w:t>
      </w:r>
      <w:r w:rsidRPr="00F90434">
        <w:rPr>
          <w:lang w:val="es-ES_tradnl"/>
        </w:rPr>
        <w:t>e divide la gama de desviaciones de frecuencia de interés (es decir 150</w:t>
      </w:r>
      <w:r>
        <w:rPr>
          <w:lang w:val="es-ES_tradnl"/>
        </w:rPr>
        <w:t> </w:t>
      </w:r>
      <w:r w:rsidRPr="00F90434">
        <w:rPr>
          <w:lang w:val="es-ES_tradnl"/>
        </w:rPr>
        <w:t>kHz) por la resolución deseada (por ejemplo 1</w:t>
      </w:r>
      <w:r>
        <w:rPr>
          <w:lang w:val="es-ES_tradnl"/>
        </w:rPr>
        <w:t> </w:t>
      </w:r>
      <w:r w:rsidRPr="00F90434">
        <w:rPr>
          <w:lang w:val="es-ES_tradnl"/>
        </w:rPr>
        <w:t>kHz) para obtener el número de secto</w:t>
      </w:r>
      <w:r>
        <w:rPr>
          <w:lang w:val="es-ES_tradnl"/>
        </w:rPr>
        <w:t>res (en este caso 150 sectores);</w:t>
      </w:r>
    </w:p>
    <w:p w:rsidR="005025AC" w:rsidRPr="00F90434" w:rsidRDefault="005025AC" w:rsidP="005025AC">
      <w:pPr>
        <w:pStyle w:val="enumlev1"/>
        <w:rPr>
          <w:lang w:val="es-ES_tradnl"/>
        </w:rPr>
      </w:pPr>
      <w:r>
        <w:rPr>
          <w:lang w:val="es-ES_tradnl"/>
        </w:rPr>
        <w:t>b)</w:t>
      </w:r>
      <w:r>
        <w:rPr>
          <w:lang w:val="es-ES_tradnl"/>
        </w:rPr>
        <w:tab/>
        <w:t>p</w:t>
      </w:r>
      <w:r w:rsidRPr="00F90434">
        <w:rPr>
          <w:lang w:val="es-ES_tradnl"/>
        </w:rPr>
        <w:t>ara cada sector se determina el número de muestras que tienen un valor dentro del sector. El resultado es una gráfica de distribución de la desviació</w:t>
      </w:r>
      <w:r>
        <w:rPr>
          <w:lang w:val="es-ES_tradnl"/>
        </w:rPr>
        <w:t>n, como se muestra en la Fig. 5;</w:t>
      </w:r>
    </w:p>
    <w:p w:rsidR="005025AC" w:rsidRPr="00F90434" w:rsidRDefault="005025AC" w:rsidP="005025AC">
      <w:pPr>
        <w:pStyle w:val="enumlev1"/>
        <w:rPr>
          <w:lang w:val="es-ES_tradnl"/>
        </w:rPr>
      </w:pPr>
      <w:r>
        <w:rPr>
          <w:lang w:val="es-ES_tradnl"/>
        </w:rPr>
        <w:t>c</w:t>
      </w:r>
      <w:r w:rsidRPr="00F90434">
        <w:rPr>
          <w:lang w:val="es-ES_tradnl"/>
        </w:rPr>
        <w:t>)</w:t>
      </w:r>
      <w:r w:rsidRPr="00F90434">
        <w:rPr>
          <w:lang w:val="es-ES_tradnl"/>
        </w:rPr>
        <w:tab/>
        <w:t>se suman los cómputos en cada sector de izquierda a derecha y se normaliza por N. El resultado es un gráfic</w:t>
      </w:r>
      <w:r>
        <w:rPr>
          <w:lang w:val="es-ES_tradnl"/>
        </w:rPr>
        <w:t>o</w:t>
      </w:r>
      <w:r w:rsidRPr="00F90434">
        <w:rPr>
          <w:lang w:val="es-ES_tradnl"/>
        </w:rPr>
        <w:t xml:space="preserve"> de la distribución acumulativa, como se muestra en la F</w:t>
      </w:r>
      <w:r>
        <w:rPr>
          <w:lang w:val="es-ES_tradnl"/>
        </w:rPr>
        <w:t xml:space="preserve">ig. 6; otra posibilidad es obtener </w:t>
      </w:r>
      <w:r w:rsidRPr="00F90434">
        <w:rPr>
          <w:lang w:val="es-ES_tradnl"/>
        </w:rPr>
        <w:t>los valores de retención de cresta N de la desviación tomados cada uno durante un tiempo de medición de 50 ms. Los 50 ms aseguran que los valores de cresta de la desviación se observan incluso en frecuencias de modulación tan bajas como 20 Hz</w:t>
      </w:r>
      <w:r>
        <w:rPr>
          <w:lang w:val="es-ES_tradnl"/>
        </w:rPr>
        <w:t>. Un valor del tiempo de integración útil en la práctica es de 1 s;</w:t>
      </w:r>
    </w:p>
    <w:p w:rsidR="005025AC" w:rsidRDefault="005025AC" w:rsidP="005025AC">
      <w:pPr>
        <w:pStyle w:val="enumlev1"/>
        <w:rPr>
          <w:lang w:val="es-ES_tradnl"/>
        </w:rPr>
      </w:pPr>
      <w:r>
        <w:rPr>
          <w:lang w:val="es-ES_tradnl"/>
        </w:rPr>
        <w:t>d</w:t>
      </w:r>
      <w:r w:rsidRPr="00F90434">
        <w:rPr>
          <w:lang w:val="es-ES_tradnl"/>
        </w:rPr>
        <w:t>)</w:t>
      </w:r>
      <w:r w:rsidRPr="00F90434">
        <w:rPr>
          <w:lang w:val="es-ES_tradnl"/>
        </w:rPr>
        <w:tab/>
      </w:r>
      <w:r>
        <w:rPr>
          <w:lang w:val="es-ES_tradnl"/>
        </w:rPr>
        <w:t>a</w:t>
      </w:r>
      <w:r w:rsidRPr="00F90434">
        <w:rPr>
          <w:lang w:val="es-ES_tradnl"/>
        </w:rPr>
        <w:t>demás, los valores de retención de cresta N de la desviación de frecuencia deben presentarse en función del tiempo durante el intervalo de medición.</w:t>
      </w:r>
    </w:p>
    <w:p w:rsidR="005025AC" w:rsidRPr="00016673" w:rsidRDefault="005025AC" w:rsidP="005025AC">
      <w:pPr>
        <w:pStyle w:val="FigureNo"/>
        <w:rPr>
          <w:lang w:val="es-ES_tradnl"/>
        </w:rPr>
      </w:pPr>
      <w:r>
        <w:rPr>
          <w:lang w:val="es-ES_tradnl"/>
        </w:rPr>
        <w:lastRenderedPageBreak/>
        <w:t>FIGURA 5</w:t>
      </w:r>
    </w:p>
    <w:p w:rsidR="005025AC" w:rsidRDefault="005025AC" w:rsidP="005025AC">
      <w:pPr>
        <w:pStyle w:val="Figuretitle"/>
        <w:rPr>
          <w:lang w:val="es-ES_tradnl"/>
        </w:rPr>
      </w:pPr>
      <w:r>
        <w:rPr>
          <w:lang w:val="es-ES_tradnl"/>
        </w:rPr>
        <w:t>Gráfico de distribución de la desviación</w:t>
      </w:r>
    </w:p>
    <w:p w:rsidR="005025AC" w:rsidRPr="00507B33" w:rsidRDefault="005025AC" w:rsidP="005025AC">
      <w:pPr>
        <w:pStyle w:val="Blanc"/>
        <w:rPr>
          <w:lang w:val="es-ES_tradnl"/>
        </w:rPr>
      </w:pPr>
    </w:p>
    <w:p w:rsidR="005025AC" w:rsidRPr="00F90434" w:rsidRDefault="005025AC" w:rsidP="005025AC">
      <w:pPr>
        <w:pStyle w:val="Figure"/>
        <w:rPr>
          <w:lang w:val="es-ES_tradnl"/>
        </w:rPr>
      </w:pPr>
      <w:r>
        <w:rPr>
          <w:lang w:val="es-ES_tradnl"/>
        </w:rPr>
        <w:object w:dxaOrig="7722" w:dyaOrig="4196">
          <v:shape id="_x0000_i1030" type="#_x0000_t75" style="width:385.5pt;height:209.25pt" o:ole="">
            <v:imagedata r:id="rId23" o:title=""/>
          </v:shape>
          <o:OLEObject Type="Embed" ProgID="CorelDRAW.Graphic.14" ShapeID="_x0000_i1030" DrawAspect="Content" ObjectID="_1496843379" r:id="rId24"/>
        </w:object>
      </w:r>
    </w:p>
    <w:p w:rsidR="005025AC" w:rsidRDefault="005025AC" w:rsidP="005025AC">
      <w:pPr>
        <w:rPr>
          <w:lang w:val="es-ES_tradnl"/>
        </w:rPr>
      </w:pPr>
    </w:p>
    <w:p w:rsidR="005025AC" w:rsidRDefault="005025AC" w:rsidP="005025AC">
      <w:pPr>
        <w:rPr>
          <w:lang w:val="es-ES_tradnl"/>
        </w:rPr>
      </w:pPr>
    </w:p>
    <w:p w:rsidR="005025AC" w:rsidRPr="00016673" w:rsidRDefault="005025AC" w:rsidP="005025AC">
      <w:pPr>
        <w:pStyle w:val="FigureNo"/>
        <w:rPr>
          <w:lang w:val="es-ES_tradnl"/>
        </w:rPr>
      </w:pPr>
      <w:r>
        <w:rPr>
          <w:lang w:val="es-ES_tradnl"/>
        </w:rPr>
        <w:t>FIGURA 6</w:t>
      </w:r>
    </w:p>
    <w:p w:rsidR="005025AC" w:rsidRDefault="005025AC" w:rsidP="005025AC">
      <w:pPr>
        <w:pStyle w:val="Figuretitle"/>
        <w:rPr>
          <w:lang w:val="es-ES_tradnl"/>
        </w:rPr>
      </w:pPr>
      <w:r>
        <w:rPr>
          <w:lang w:val="es-ES_tradnl"/>
        </w:rPr>
        <w:t>Gráfico de la distribución acumulada de la desviación</w:t>
      </w:r>
    </w:p>
    <w:p w:rsidR="005025AC" w:rsidRPr="00507B33" w:rsidRDefault="005025AC" w:rsidP="005025AC">
      <w:pPr>
        <w:pStyle w:val="Blanc"/>
        <w:rPr>
          <w:lang w:val="es-ES_tradnl"/>
        </w:rPr>
      </w:pPr>
    </w:p>
    <w:p w:rsidR="005025AC" w:rsidRPr="00C666B4" w:rsidRDefault="005025AC" w:rsidP="005025AC">
      <w:pPr>
        <w:pStyle w:val="Figure"/>
      </w:pPr>
      <w:r>
        <w:object w:dxaOrig="6140" w:dyaOrig="3843">
          <v:shape id="_x0000_i1031" type="#_x0000_t75" style="width:444.75pt;height:278.25pt" o:ole="">
            <v:imagedata r:id="rId25" o:title=""/>
          </v:shape>
          <o:OLEObject Type="Embed" ProgID="CorelDRAW.Graphic.14" ShapeID="_x0000_i1031" DrawAspect="Content" ObjectID="_1496843380" r:id="rId26"/>
        </w:object>
      </w:r>
    </w:p>
    <w:p w:rsidR="005025AC" w:rsidRPr="00507B33" w:rsidRDefault="005025AC" w:rsidP="005025AC">
      <w:pPr>
        <w:pStyle w:val="FigureNo"/>
        <w:rPr>
          <w:lang w:val="es-ES_tradnl"/>
        </w:rPr>
      </w:pPr>
      <w:r w:rsidRPr="00507B33">
        <w:rPr>
          <w:lang w:val="es-ES_tradnl"/>
        </w:rPr>
        <w:lastRenderedPageBreak/>
        <w:t>FIGURA 7</w:t>
      </w:r>
    </w:p>
    <w:p w:rsidR="005025AC" w:rsidRPr="00507B33" w:rsidRDefault="005025AC" w:rsidP="005025AC">
      <w:pPr>
        <w:pStyle w:val="Figuretitle"/>
        <w:rPr>
          <w:lang w:val="es-ES_tradnl"/>
        </w:rPr>
      </w:pPr>
      <w:r w:rsidRPr="00507B33">
        <w:rPr>
          <w:lang w:val="es-ES_tradnl"/>
        </w:rPr>
        <w:t xml:space="preserve">Gráfico de la desviación en función del tiempo </w:t>
      </w:r>
    </w:p>
    <w:p w:rsidR="005025AC" w:rsidRPr="00C666B4" w:rsidRDefault="005025AC" w:rsidP="005025AC">
      <w:pPr>
        <w:pStyle w:val="Figure"/>
      </w:pPr>
      <w:r>
        <w:object w:dxaOrig="7234" w:dyaOrig="2796">
          <v:shape id="_x0000_i1032" type="#_x0000_t75" style="width:430.5pt;height:166.5pt" o:ole="">
            <v:imagedata r:id="rId27" o:title=""/>
          </v:shape>
          <o:OLEObject Type="Embed" ProgID="CorelDRAW.Graphic.14" ShapeID="_x0000_i1032" DrawAspect="Content" ObjectID="_1496843381" r:id="rId28"/>
        </w:object>
      </w:r>
    </w:p>
    <w:p w:rsidR="005025AC" w:rsidRDefault="005025AC" w:rsidP="005025AC">
      <w:pPr>
        <w:rPr>
          <w:lang w:val="es-ES_tradnl"/>
        </w:rPr>
      </w:pPr>
    </w:p>
    <w:p w:rsidR="005025AC" w:rsidRPr="00507B33" w:rsidRDefault="005025AC" w:rsidP="005025AC">
      <w:pPr>
        <w:pStyle w:val="Line"/>
        <w:rPr>
          <w:lang w:val="es-ES_tradnl"/>
        </w:rPr>
      </w:pPr>
    </w:p>
    <w:p w:rsidR="005025AC" w:rsidRPr="00507B33" w:rsidRDefault="005025AC" w:rsidP="005025AC">
      <w:pPr>
        <w:pStyle w:val="Recref"/>
        <w:rPr>
          <w:lang w:val="es-ES_tradnl"/>
        </w:rPr>
      </w:pPr>
    </w:p>
    <w:p w:rsidR="00A6617B" w:rsidRPr="00A6617B" w:rsidRDefault="00A6617B" w:rsidP="00242AEE">
      <w:pPr>
        <w:pStyle w:val="HeadingSum"/>
      </w:pPr>
    </w:p>
    <w:sectPr w:rsidR="00A6617B" w:rsidRPr="00A6617B" w:rsidSect="00FA6C64">
      <w:headerReference w:type="even" r:id="rId29"/>
      <w:headerReference w:type="default" r:id="rId3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20CF" w:rsidRDefault="000220CF">
      <w:r>
        <w:separator/>
      </w:r>
    </w:p>
  </w:endnote>
  <w:endnote w:type="continuationSeparator" w:id="0">
    <w:p w:rsidR="000220CF" w:rsidRDefault="00022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20CF" w:rsidRDefault="000220CF">
      <w:r>
        <w:separator/>
      </w:r>
    </w:p>
  </w:footnote>
  <w:footnote w:type="continuationSeparator" w:id="0">
    <w:p w:rsidR="000220CF" w:rsidRDefault="000220CF">
      <w:r>
        <w:continuationSeparator/>
      </w:r>
    </w:p>
  </w:footnote>
  <w:footnote w:id="1">
    <w:p w:rsidR="005025AC" w:rsidRPr="00CD0973" w:rsidRDefault="005025AC" w:rsidP="005025AC">
      <w:pPr>
        <w:pStyle w:val="FootnoteText"/>
        <w:jc w:val="left"/>
        <w:rPr>
          <w:lang w:val="es-ES_tradnl"/>
        </w:rPr>
      </w:pPr>
      <w:r>
        <w:rPr>
          <w:rStyle w:val="FootnoteReference"/>
        </w:rPr>
        <w:footnoteRef/>
      </w:r>
      <w:r w:rsidRPr="00CD0973">
        <w:rPr>
          <w:lang w:val="es-ES_tradnl"/>
        </w:rPr>
        <w:tab/>
        <w:t xml:space="preserve">Este valor corresponde a una intensidad de campo de más </w:t>
      </w:r>
      <w:r>
        <w:rPr>
          <w:lang w:val="es-ES_tradnl"/>
        </w:rPr>
        <w:t xml:space="preserve">de </w:t>
      </w:r>
      <w:r w:rsidRPr="00CD0973">
        <w:rPr>
          <w:lang w:val="es-ES_tradnl"/>
        </w:rPr>
        <w:t xml:space="preserve">68 dB(µV/m) </w:t>
      </w:r>
      <w:r>
        <w:rPr>
          <w:lang w:val="es-ES_tradnl"/>
        </w:rPr>
        <w:t xml:space="preserve">utilizando una antena como la indicada en la Recomendación </w:t>
      </w:r>
      <w:r w:rsidRPr="00CD0973">
        <w:rPr>
          <w:lang w:val="es-ES_tradnl"/>
        </w:rPr>
        <w:t>U</w:t>
      </w:r>
      <w:r>
        <w:rPr>
          <w:lang w:val="es-ES_tradnl"/>
        </w:rPr>
        <w:t>IT</w:t>
      </w:r>
      <w:r w:rsidRPr="00CD0973">
        <w:rPr>
          <w:lang w:val="es-ES_tradnl"/>
        </w:rPr>
        <w:noBreakHyphen/>
        <w:t>R BS.599, Fig. 1, Curv</w:t>
      </w:r>
      <w:r>
        <w:rPr>
          <w:lang w:val="es-ES_tradnl"/>
        </w:rPr>
        <w:t>a</w:t>
      </w:r>
      <w:r w:rsidRPr="00CD0973">
        <w:rPr>
          <w:lang w:val="es-ES_tradnl"/>
        </w:rPr>
        <w:t xml:space="preserve"> B (12 dB </w:t>
      </w:r>
      <w:r>
        <w:rPr>
          <w:lang w:val="es-ES_tradnl"/>
        </w:rPr>
        <w:t>de relación anterior/posterior</w:t>
      </w:r>
      <w:r w:rsidRPr="00CD0973">
        <w:rPr>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0CF" w:rsidRDefault="000220C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0CF" w:rsidRDefault="000220CF" w:rsidP="00D62884">
    <w:pPr>
      <w:pStyle w:val="Header"/>
      <w:ind w:right="360" w:firstLine="360"/>
    </w:pPr>
    <w:r>
      <w:rPr>
        <w:noProof/>
        <w:lang w:val="en-US" w:eastAsia="zh-CN"/>
      </w:rPr>
      <w:drawing>
        <wp:anchor distT="0" distB="0" distL="114300" distR="114300" simplePos="0" relativeHeight="251660288" behindDoc="0" locked="0" layoutInCell="1" allowOverlap="1" wp14:anchorId="36956EC9" wp14:editId="1DC7EC04">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19B60483" wp14:editId="76D7CBC3">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0CF" w:rsidRDefault="000220CF" w:rsidP="007F3B59">
    <w:pPr>
      <w:pStyle w:val="Header"/>
      <w:jc w:val="both"/>
    </w:pPr>
    <w:r>
      <w:tab/>
    </w:r>
    <w:r>
      <w:fldChar w:fldCharType="begin"/>
    </w:r>
    <w:r>
      <w:instrText xml:space="preserve"> DOCPROPERTY "Header" \* MERGEFORMAT </w:instrText>
    </w:r>
    <w:r>
      <w:fldChar w:fldCharType="separate"/>
    </w:r>
    <w:r w:rsidR="00BE0CE9" w:rsidRPr="00BE0CE9">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E0CE9">
      <w:rPr>
        <w:b/>
        <w:bCs/>
        <w:noProof/>
      </w:rPr>
      <w:t>UIT-R  SM.1268-3</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0CF" w:rsidRDefault="000220CF"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BE0CE9">
      <w:rPr>
        <w:rStyle w:val="PageNumber"/>
        <w:b/>
        <w:bCs/>
        <w:noProof/>
      </w:rPr>
      <w:t>ii</w:t>
    </w:r>
    <w:r>
      <w:rPr>
        <w:rStyle w:val="PageNumber"/>
        <w:b/>
        <w:bCs/>
      </w:rPr>
      <w:fldChar w:fldCharType="end"/>
    </w:r>
    <w:r>
      <w:tab/>
    </w:r>
    <w:r>
      <w:fldChar w:fldCharType="begin"/>
    </w:r>
    <w:r>
      <w:instrText xml:space="preserve"> DOCPROPERTY "Header" \* MERGEFORMAT </w:instrText>
    </w:r>
    <w:r>
      <w:fldChar w:fldCharType="separate"/>
    </w:r>
    <w:r w:rsidR="00BE0CE9" w:rsidRPr="00BE0CE9">
      <w:rPr>
        <w:b/>
        <w:bCs/>
        <w:lang w:val="fr-CH"/>
      </w:rPr>
      <w:t xml:space="preserve">Rec. </w:t>
    </w:r>
    <w:r>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BE0CE9">
      <w:rPr>
        <w:b/>
        <w:bCs/>
        <w:noProof/>
      </w:rPr>
      <w:t>UIT-R  SM.1268-3</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0CF" w:rsidRDefault="000220CF" w:rsidP="007F3B59">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r>
      <w:fldChar w:fldCharType="begin"/>
    </w:r>
    <w:r>
      <w:instrText xml:space="preserve"> DOCPROPERTY "Header" \* MERGEFORMAT </w:instrText>
    </w:r>
    <w:r>
      <w:fldChar w:fldCharType="separate"/>
    </w:r>
    <w:r w:rsidR="00BE0CE9" w:rsidRPr="00BE0CE9">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E0CE9">
      <w:rPr>
        <w:b/>
        <w:bCs/>
        <w:noProof/>
      </w:rPr>
      <w:t>UIT-R  SM.1268-3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E0CE9">
      <w:rPr>
        <w:rStyle w:val="PageNumber"/>
        <w:b/>
        <w:bCs/>
        <w:noProof/>
        <w:lang w:val="en-US"/>
      </w:rPr>
      <w:t>10</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BE0CE9" w:rsidRPr="00BE0CE9">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E0CE9">
      <w:rPr>
        <w:b/>
        <w:bCs/>
        <w:noProof/>
      </w:rPr>
      <w:t>UIT-R  SM.1268-3</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BE0CE9">
      <w:fldChar w:fldCharType="begin"/>
    </w:r>
    <w:r w:rsidR="00BE0CE9">
      <w:instrText xml:space="preserve"> DOCPROPERTY "Header" \* MERGEFORMAT </w:instrText>
    </w:r>
    <w:r w:rsidR="00BE0CE9">
      <w:fldChar w:fldCharType="separate"/>
    </w:r>
    <w:r w:rsidR="00BE0CE9" w:rsidRPr="00BE0CE9">
      <w:rPr>
        <w:b/>
        <w:bCs/>
      </w:rPr>
      <w:t xml:space="preserve">Rec. </w:t>
    </w:r>
    <w:r w:rsidR="00BE0CE9">
      <w:rPr>
        <w:b/>
        <w:bCs/>
      </w:rPr>
      <w:fldChar w:fldCharType="end"/>
    </w:r>
    <w:r>
      <w:rPr>
        <w:b/>
        <w:bCs/>
      </w:rPr>
      <w:t xml:space="preserve"> </w:t>
    </w:r>
    <w:r>
      <w:rPr>
        <w:b/>
        <w:bCs/>
      </w:rPr>
      <w:fldChar w:fldCharType="begin"/>
    </w:r>
    <w:r>
      <w:rPr>
        <w:b/>
        <w:bCs/>
      </w:rPr>
      <w:instrText>styleref href</w:instrText>
    </w:r>
    <w:r>
      <w:rPr>
        <w:b/>
        <w:bCs/>
      </w:rPr>
      <w:fldChar w:fldCharType="separate"/>
    </w:r>
    <w:r w:rsidR="00BE0CE9">
      <w:rPr>
        <w:b/>
        <w:bCs/>
        <w:noProof/>
      </w:rPr>
      <w:t>UIT-R  SM.1268-3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E0CE9">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0CF"/>
    <w:rsid w:val="000220CF"/>
    <w:rsid w:val="00217EBF"/>
    <w:rsid w:val="00242AEE"/>
    <w:rsid w:val="002D76C4"/>
    <w:rsid w:val="005025AC"/>
    <w:rsid w:val="0052529D"/>
    <w:rsid w:val="00607D68"/>
    <w:rsid w:val="00625839"/>
    <w:rsid w:val="00636B60"/>
    <w:rsid w:val="007468DA"/>
    <w:rsid w:val="00964644"/>
    <w:rsid w:val="009E00A8"/>
    <w:rsid w:val="00A6617B"/>
    <w:rsid w:val="00AB0DC8"/>
    <w:rsid w:val="00B44E24"/>
    <w:rsid w:val="00BE0CE9"/>
    <w:rsid w:val="00CD4C0D"/>
    <w:rsid w:val="00CE4BE2"/>
    <w:rsid w:val="00DF4176"/>
    <w:rsid w:val="00EF45F7"/>
    <w:rsid w:val="00F44F88"/>
    <w:rsid w:val="00FA6C6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18C31EC-942B-40D1-8B9C-AD3FBA4C9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20C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220CF"/>
    <w:rPr>
      <w:color w:val="0000FF"/>
      <w:u w:val="single"/>
    </w:rPr>
  </w:style>
  <w:style w:type="table" w:styleId="TableGrid">
    <w:name w:val="Table Grid"/>
    <w:basedOn w:val="TableNormal"/>
    <w:rsid w:val="000220CF"/>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220CF"/>
    <w:rPr>
      <w:b/>
      <w:sz w:val="24"/>
      <w:lang w:val="fr-FR" w:eastAsia="en-US"/>
    </w:rPr>
  </w:style>
  <w:style w:type="character" w:customStyle="1" w:styleId="HeaderChar">
    <w:name w:val="Header Char"/>
    <w:basedOn w:val="DefaultParagraphFont"/>
    <w:link w:val="Header"/>
    <w:rsid w:val="000220CF"/>
    <w:rPr>
      <w:sz w:val="24"/>
      <w:lang w:val="fr-FR" w:eastAsia="en-US"/>
    </w:rPr>
  </w:style>
  <w:style w:type="character" w:customStyle="1" w:styleId="Heading2Char">
    <w:name w:val="Heading 2 Char"/>
    <w:basedOn w:val="DefaultParagraphFont"/>
    <w:link w:val="Heading2"/>
    <w:rsid w:val="005025AC"/>
    <w:rPr>
      <w:b/>
      <w:sz w:val="24"/>
      <w:lang w:val="fr-FR" w:eastAsia="en-US"/>
    </w:rPr>
  </w:style>
  <w:style w:type="character" w:customStyle="1" w:styleId="FootnoteTextChar">
    <w:name w:val="Footnote Text Char"/>
    <w:basedOn w:val="DefaultParagraphFont"/>
    <w:link w:val="FootnoteText"/>
    <w:rsid w:val="005025AC"/>
    <w:rPr>
      <w:sz w:val="22"/>
      <w:lang w:val="fr-FR" w:eastAsia="en-US"/>
    </w:rPr>
  </w:style>
  <w:style w:type="character" w:customStyle="1" w:styleId="TableNo0">
    <w:name w:val="Table_No Знак"/>
    <w:link w:val="TableNo"/>
    <w:locked/>
    <w:rsid w:val="005025AC"/>
    <w:rPr>
      <w:sz w:val="24"/>
      <w:lang w:val="fr-FR" w:eastAsia="en-US"/>
    </w:rPr>
  </w:style>
  <w:style w:type="character" w:customStyle="1" w:styleId="TabletextChar">
    <w:name w:val="Table_text Char"/>
    <w:link w:val="Tabletext"/>
    <w:uiPriority w:val="99"/>
    <w:locked/>
    <w:rsid w:val="005025AC"/>
    <w:rPr>
      <w:sz w:val="22"/>
      <w:lang w:val="fr-FR" w:eastAsia="en-US"/>
    </w:rPr>
  </w:style>
  <w:style w:type="character" w:customStyle="1" w:styleId="EquationChar">
    <w:name w:val="Equation Char"/>
    <w:link w:val="Equation"/>
    <w:locked/>
    <w:rsid w:val="005025AC"/>
    <w:rPr>
      <w:sz w:val="24"/>
      <w:lang w:val="fr-FR" w:eastAsia="en-US"/>
    </w:rPr>
  </w:style>
  <w:style w:type="character" w:customStyle="1" w:styleId="FiguretitleChar">
    <w:name w:val="Figure_title Char"/>
    <w:link w:val="Figuretitle"/>
    <w:locked/>
    <w:rsid w:val="005025AC"/>
    <w:rPr>
      <w:rFonts w:ascii="Times New Roman Bold" w:hAnsi="Times New Roman Bold"/>
      <w:b/>
      <w:sz w:val="18"/>
      <w:lang w:val="fr-FR" w:eastAsia="en-US"/>
    </w:rPr>
  </w:style>
  <w:style w:type="character" w:customStyle="1" w:styleId="FigureNoChar">
    <w:name w:val="Figure_No Char"/>
    <w:link w:val="FigureNo"/>
    <w:locked/>
    <w:rsid w:val="005025AC"/>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webSettings" Target="webSettings.xml"/><Relationship Id="rId21" Type="http://schemas.openxmlformats.org/officeDocument/2006/relationships/image" Target="media/image7.emf"/><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settings" Target="setting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oleObject" Target="embeddings/oleObject6.bin"/><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4.wmf"/><Relationship Id="rId23" Type="http://schemas.openxmlformats.org/officeDocument/2006/relationships/image" Target="media/image8.emf"/><Relationship Id="rId28" Type="http://schemas.openxmlformats.org/officeDocument/2006/relationships/oleObject" Target="embeddings/oleObject8.bin"/><Relationship Id="rId10" Type="http://schemas.openxmlformats.org/officeDocument/2006/relationships/hyperlink" Target="http://www.itu.int/publ/R-REC/es" TargetMode="External"/><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emf"/><Relationship Id="rId30" Type="http://schemas.openxmlformats.org/officeDocument/2006/relationships/header" Target="header7.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22</TotalTime>
  <Pages>14</Pages>
  <Words>3374</Words>
  <Characters>17950</Characters>
  <Application>Microsoft Office Word</Application>
  <DocSecurity>0</DocSecurity>
  <Lines>718</Lines>
  <Paragraphs>236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21088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Catalano Moreira, Rossana</dc:creator>
  <cp:keywords/>
  <dc:description/>
  <cp:lastModifiedBy>Catalano Moreira, Rossana</cp:lastModifiedBy>
  <cp:revision>11</cp:revision>
  <cp:lastPrinted>2015-06-26T14:56:00Z</cp:lastPrinted>
  <dcterms:created xsi:type="dcterms:W3CDTF">2015-06-26T14:31:00Z</dcterms:created>
  <dcterms:modified xsi:type="dcterms:W3CDTF">2015-06-26T15:00:00Z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