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864" w:rsidRDefault="000D5864"/>
    <w:p w:rsidR="000D5864" w:rsidRDefault="000D5864"/>
    <w:p w:rsidR="000D5864" w:rsidRDefault="000D5864"/>
    <w:p w:rsidR="000D5864" w:rsidRDefault="000D5864"/>
    <w:p w:rsidR="000D5864" w:rsidRDefault="000D5864"/>
    <w:p w:rsidR="000D5864" w:rsidRDefault="000D5864"/>
    <w:p w:rsidR="000D5864" w:rsidRDefault="000D5864"/>
    <w:p w:rsidR="000D5864" w:rsidRDefault="000D5864"/>
    <w:p w:rsidR="000D5864" w:rsidRDefault="000D5864"/>
    <w:p w:rsidR="000D5864" w:rsidRDefault="000D5864"/>
    <w:p w:rsidR="000D5864" w:rsidRDefault="000D5864"/>
    <w:p w:rsidR="000D5864" w:rsidRDefault="000D5864"/>
    <w:tbl>
      <w:tblPr>
        <w:tblW w:w="10089" w:type="dxa"/>
        <w:tblLook w:val="01E0" w:firstRow="1" w:lastRow="1" w:firstColumn="1" w:lastColumn="1" w:noHBand="0" w:noVBand="0"/>
      </w:tblPr>
      <w:tblGrid>
        <w:gridCol w:w="10089"/>
      </w:tblGrid>
      <w:tr w:rsidR="000D5864" w:rsidRPr="00A443C2">
        <w:tc>
          <w:tcPr>
            <w:tcW w:w="10089" w:type="dxa"/>
          </w:tcPr>
          <w:p w:rsidR="000D5864" w:rsidRPr="00B033C8" w:rsidRDefault="000D5864" w:rsidP="00013002">
            <w:pPr>
              <w:spacing w:before="380" w:line="280" w:lineRule="exact"/>
              <w:jc w:val="right"/>
              <w:rPr>
                <w:rFonts w:ascii="Tahoma" w:hAnsi="Tahoma" w:cs="Tahoma"/>
                <w:b/>
                <w:bCs/>
                <w:iCs/>
                <w:color w:val="243285"/>
                <w:sz w:val="32"/>
                <w:szCs w:val="32"/>
                <w:lang w:val="en-US"/>
              </w:rPr>
            </w:pPr>
          </w:p>
          <w:p w:rsidR="000D5864" w:rsidRPr="00A443C2" w:rsidRDefault="000D5864" w:rsidP="000D586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1131</w:t>
            </w:r>
          </w:p>
          <w:p w:rsidR="000D5864" w:rsidRPr="00A443C2" w:rsidRDefault="000D5864" w:rsidP="000D586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10</w:t>
            </w:r>
            <w:r w:rsidRPr="00A443C2">
              <w:rPr>
                <w:rFonts w:ascii="Tahoma" w:hAnsi="Tahoma" w:cs="Tahoma"/>
                <w:b/>
                <w:bCs/>
                <w:iCs/>
                <w:color w:val="243285"/>
                <w:szCs w:val="24"/>
              </w:rPr>
              <w:t>/</w:t>
            </w:r>
            <w:r>
              <w:rPr>
                <w:rFonts w:ascii="Tahoma" w:hAnsi="Tahoma" w:cs="Tahoma"/>
                <w:b/>
                <w:bCs/>
                <w:iCs/>
                <w:color w:val="243285"/>
                <w:szCs w:val="24"/>
              </w:rPr>
              <w:t>1995</w:t>
            </w:r>
            <w:r w:rsidRPr="00A443C2">
              <w:rPr>
                <w:rFonts w:ascii="Tahoma" w:hAnsi="Tahoma" w:cs="Tahoma"/>
                <w:b/>
                <w:bCs/>
                <w:iCs/>
                <w:color w:val="243285"/>
                <w:szCs w:val="24"/>
              </w:rPr>
              <w:t>)</w:t>
            </w:r>
          </w:p>
        </w:tc>
      </w:tr>
      <w:tr w:rsidR="000D5864" w:rsidRPr="00F54FBD">
        <w:tc>
          <w:tcPr>
            <w:tcW w:w="10089" w:type="dxa"/>
          </w:tcPr>
          <w:p w:rsidR="000D5864" w:rsidRDefault="000D5864" w:rsidP="00123FD5">
            <w:pPr>
              <w:spacing w:before="80" w:line="500" w:lineRule="exact"/>
              <w:jc w:val="right"/>
              <w:rPr>
                <w:rFonts w:ascii="Tahoma" w:hAnsi="Tahoma" w:cs="Tahoma"/>
                <w:b/>
                <w:bCs/>
                <w:iCs/>
                <w:color w:val="243285"/>
                <w:sz w:val="44"/>
                <w:szCs w:val="44"/>
              </w:rPr>
            </w:pPr>
          </w:p>
          <w:p w:rsidR="000D5864" w:rsidRPr="008A5BBC" w:rsidRDefault="008A5BBC" w:rsidP="008A5BBC">
            <w:pPr>
              <w:spacing w:before="80" w:line="500" w:lineRule="exact"/>
              <w:jc w:val="right"/>
              <w:rPr>
                <w:rFonts w:ascii="Tahoma" w:hAnsi="Tahoma" w:cs="Tahoma"/>
                <w:b/>
                <w:bCs/>
                <w:iCs/>
                <w:color w:val="243285"/>
                <w:sz w:val="44"/>
                <w:szCs w:val="44"/>
              </w:rPr>
            </w:pPr>
            <w:r w:rsidRPr="008A5BBC">
              <w:rPr>
                <w:rFonts w:ascii="Tahoma" w:hAnsi="Tahoma" w:cs="Tahoma"/>
                <w:b/>
                <w:bCs/>
                <w:color w:val="243285"/>
                <w:sz w:val="44"/>
                <w:szCs w:val="44"/>
              </w:rPr>
              <w:t>Facteurs à prendre en compte lors de l'attribution du spectre des fréquences radioélectriques à l'échelle mondiale</w:t>
            </w:r>
          </w:p>
          <w:p w:rsidR="000D5864" w:rsidRPr="00F54FBD" w:rsidRDefault="000D5864" w:rsidP="00FE79FE">
            <w:pPr>
              <w:spacing w:before="80" w:line="500" w:lineRule="exact"/>
              <w:jc w:val="right"/>
              <w:rPr>
                <w:rFonts w:ascii="Tahoma" w:hAnsi="Tahoma" w:cs="Tahoma"/>
                <w:b/>
                <w:bCs/>
                <w:iCs/>
                <w:color w:val="243285"/>
                <w:sz w:val="44"/>
                <w:szCs w:val="44"/>
              </w:rPr>
            </w:pPr>
          </w:p>
        </w:tc>
      </w:tr>
      <w:tr w:rsidR="000D5864" w:rsidRPr="00F54FBD">
        <w:tc>
          <w:tcPr>
            <w:tcW w:w="10089" w:type="dxa"/>
          </w:tcPr>
          <w:p w:rsidR="000D5864" w:rsidRPr="00F54FBD" w:rsidRDefault="000D5864" w:rsidP="00AD267B">
            <w:pPr>
              <w:spacing w:before="80" w:line="280" w:lineRule="exact"/>
              <w:ind w:right="640"/>
              <w:rPr>
                <w:rFonts w:ascii="Tahoma" w:hAnsi="Tahoma" w:cs="Tahoma"/>
                <w:b/>
                <w:bCs/>
                <w:iCs/>
                <w:color w:val="243285"/>
                <w:sz w:val="32"/>
                <w:szCs w:val="32"/>
              </w:rPr>
            </w:pPr>
          </w:p>
          <w:p w:rsidR="000D5864" w:rsidRPr="00F54FBD" w:rsidRDefault="000D5864" w:rsidP="00AD267B">
            <w:pPr>
              <w:spacing w:before="80" w:line="280" w:lineRule="exact"/>
              <w:ind w:right="640"/>
              <w:rPr>
                <w:rFonts w:ascii="Tahoma" w:hAnsi="Tahoma" w:cs="Tahoma"/>
                <w:b/>
                <w:bCs/>
                <w:iCs/>
                <w:color w:val="243285"/>
                <w:sz w:val="32"/>
                <w:szCs w:val="32"/>
              </w:rPr>
            </w:pPr>
          </w:p>
          <w:p w:rsidR="000D5864" w:rsidRPr="00F54FBD" w:rsidRDefault="000D5864" w:rsidP="004A4D65">
            <w:pPr>
              <w:spacing w:before="80" w:after="180" w:line="360" w:lineRule="exact"/>
              <w:ind w:right="720"/>
              <w:rPr>
                <w:rFonts w:ascii="Tahoma" w:hAnsi="Tahoma" w:cs="Tahoma"/>
                <w:b/>
                <w:bCs/>
                <w:iCs/>
                <w:color w:val="243285"/>
                <w:sz w:val="36"/>
                <w:szCs w:val="36"/>
              </w:rPr>
            </w:pPr>
          </w:p>
          <w:p w:rsidR="000D5864" w:rsidRPr="00F54FBD" w:rsidRDefault="000D5864"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0D5864" w:rsidRPr="00F54FBD" w:rsidRDefault="000D58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0D5864" w:rsidRPr="00F54FBD" w:rsidRDefault="000D5864" w:rsidP="00CD659B">
      <w:pPr>
        <w:spacing w:before="80"/>
        <w:rPr>
          <w:i/>
          <w:sz w:val="22"/>
        </w:rPr>
      </w:pPr>
    </w:p>
    <w:p w:rsidR="000D5864" w:rsidRPr="00F54FBD" w:rsidRDefault="000D5864" w:rsidP="00CD659B">
      <w:pPr>
        <w:spacing w:before="80"/>
        <w:rPr>
          <w:i/>
          <w:sz w:val="22"/>
        </w:rPr>
      </w:pPr>
    </w:p>
    <w:p w:rsidR="000D5864" w:rsidRPr="00F54FBD" w:rsidRDefault="000D5864" w:rsidP="00CD659B">
      <w:pPr>
        <w:spacing w:before="80"/>
        <w:rPr>
          <w:i/>
          <w:sz w:val="22"/>
        </w:rPr>
      </w:pPr>
    </w:p>
    <w:p w:rsidR="000D5864" w:rsidRPr="00F54FBD" w:rsidRDefault="000D5864" w:rsidP="00CD659B">
      <w:pPr>
        <w:spacing w:before="80"/>
        <w:rPr>
          <w:i/>
          <w:sz w:val="22"/>
        </w:rPr>
      </w:pPr>
    </w:p>
    <w:p w:rsidR="000D5864" w:rsidRPr="00F54FBD" w:rsidRDefault="000D5864" w:rsidP="00CD659B">
      <w:pPr>
        <w:spacing w:before="80"/>
        <w:rPr>
          <w:i/>
          <w:sz w:val="22"/>
        </w:rPr>
      </w:pPr>
    </w:p>
    <w:p w:rsidR="000D5864" w:rsidRPr="00F54FBD" w:rsidRDefault="000D5864" w:rsidP="00CD659B">
      <w:pPr>
        <w:spacing w:before="80"/>
        <w:rPr>
          <w:i/>
          <w:sz w:val="22"/>
        </w:rPr>
      </w:pPr>
    </w:p>
    <w:p w:rsidR="000D5864" w:rsidRPr="00F54FBD" w:rsidRDefault="000D5864" w:rsidP="00CD659B">
      <w:pPr>
        <w:pStyle w:val="Equation"/>
        <w:tabs>
          <w:tab w:val="clear" w:pos="4820"/>
          <w:tab w:val="clear" w:pos="9639"/>
          <w:tab w:val="left" w:pos="1191"/>
          <w:tab w:val="left" w:pos="1588"/>
          <w:tab w:val="left" w:pos="1985"/>
        </w:tabs>
        <w:rPr>
          <w:rFonts w:ascii="Palatino Linotype" w:hAnsi="Palatino Linotype"/>
        </w:rPr>
        <w:sectPr w:rsidR="000D5864" w:rsidRPr="00F54FBD" w:rsidSect="00F4606B">
          <w:headerReference w:type="even" r:id="rId6"/>
          <w:headerReference w:type="default" r:id="rId7"/>
          <w:pgSz w:w="11907" w:h="16834" w:code="9"/>
          <w:pgMar w:top="1418" w:right="1134" w:bottom="1134" w:left="1134" w:header="720" w:footer="482" w:gutter="0"/>
          <w:paperSrc w:first="15" w:other="15"/>
          <w:cols w:space="720"/>
        </w:sectPr>
      </w:pPr>
    </w:p>
    <w:p w:rsidR="000D5864" w:rsidRPr="00F54FBD" w:rsidRDefault="000D5864"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D5864" w:rsidRPr="00F54FBD" w:rsidRDefault="000D5864"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D5864" w:rsidRPr="00F54FBD" w:rsidRDefault="000D5864"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D5864" w:rsidRPr="00E44CBB" w:rsidRDefault="000D5864"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D5864" w:rsidRPr="00E44CBB" w:rsidRDefault="000D5864"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D5864" w:rsidRPr="00A63080" w:rsidRDefault="000D5864"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D5864" w:rsidRPr="009454F8">
        <w:tc>
          <w:tcPr>
            <w:tcW w:w="9360" w:type="dxa"/>
            <w:gridSpan w:val="2"/>
          </w:tcPr>
          <w:p w:rsidR="000D5864" w:rsidRPr="009454F8" w:rsidRDefault="000D5864"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D5864" w:rsidRPr="009454F8" w:rsidRDefault="000D58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ligne: </w:t>
            </w:r>
            <w:hyperlink r:id="rId9" w:history="1">
              <w:r>
                <w:rPr>
                  <w:rStyle w:val="Hyperlink"/>
                  <w:b w:val="0"/>
                  <w:bCs/>
                  <w:sz w:val="18"/>
                  <w:szCs w:val="18"/>
                </w:rPr>
                <w:t>http://www.itu.int/publ/R-REC/fr</w:t>
              </w:r>
            </w:hyperlink>
            <w:r w:rsidRPr="00BC0651">
              <w:rPr>
                <w:b w:val="0"/>
                <w:bCs/>
                <w:sz w:val="18"/>
                <w:szCs w:val="18"/>
              </w:rPr>
              <w:t>)</w:t>
            </w:r>
          </w:p>
        </w:tc>
      </w:tr>
      <w:tr w:rsidR="000D5864" w:rsidRPr="00036EE3" w:rsidTr="005E427C">
        <w:tc>
          <w:tcPr>
            <w:tcW w:w="1140" w:type="dxa"/>
            <w:tcBorders>
              <w:bottom w:val="nil"/>
            </w:tcBorders>
          </w:tcPr>
          <w:p w:rsidR="000D5864" w:rsidRPr="00614CC6" w:rsidRDefault="000D5864" w:rsidP="00614CC6">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rsidR="000D5864" w:rsidRPr="00614CC6" w:rsidRDefault="000D5864"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0D5864" w:rsidRPr="005E427C" w:rsidTr="005E427C">
        <w:tc>
          <w:tcPr>
            <w:tcW w:w="1140" w:type="dxa"/>
            <w:tcBorders>
              <w:top w:val="nil"/>
              <w:bottom w:val="nil"/>
            </w:tcBorders>
            <w:shd w:val="clear" w:color="auto" w:fill="auto"/>
          </w:tcPr>
          <w:p w:rsidR="000D5864" w:rsidRPr="005E427C" w:rsidRDefault="000D5864"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D5864" w:rsidRPr="005E427C" w:rsidRDefault="000D58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D5864" w:rsidRPr="009454F8" w:rsidTr="00E80F1D">
        <w:tc>
          <w:tcPr>
            <w:tcW w:w="1140" w:type="dxa"/>
            <w:tcBorders>
              <w:top w:val="nil"/>
              <w:bottom w:val="nil"/>
            </w:tcBorders>
          </w:tcPr>
          <w:p w:rsidR="000D5864" w:rsidRPr="00614CC6" w:rsidRDefault="000D5864"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D5864" w:rsidRPr="00614CC6" w:rsidRDefault="000D58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D5864" w:rsidRPr="00E80F1D" w:rsidTr="00E80F1D">
        <w:tc>
          <w:tcPr>
            <w:tcW w:w="1140" w:type="dxa"/>
            <w:tcBorders>
              <w:top w:val="nil"/>
              <w:bottom w:val="nil"/>
            </w:tcBorders>
            <w:shd w:val="clear" w:color="auto" w:fill="auto"/>
          </w:tcPr>
          <w:p w:rsidR="000D5864" w:rsidRPr="00E80F1D" w:rsidRDefault="000D5864"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D5864" w:rsidRPr="00E80F1D" w:rsidRDefault="000D58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D5864" w:rsidRPr="00ED2695" w:rsidTr="00DE5EA2">
        <w:tc>
          <w:tcPr>
            <w:tcW w:w="1140" w:type="dxa"/>
            <w:tcBorders>
              <w:top w:val="nil"/>
              <w:bottom w:val="nil"/>
            </w:tcBorders>
            <w:shd w:val="clear" w:color="auto" w:fill="auto"/>
          </w:tcPr>
          <w:p w:rsidR="000D5864" w:rsidRPr="00614CC6" w:rsidRDefault="000D5864"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D5864" w:rsidRPr="00614CC6" w:rsidRDefault="000D58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D5864" w:rsidRPr="00DE5EA2" w:rsidTr="00DE5EA2">
        <w:tc>
          <w:tcPr>
            <w:tcW w:w="1140" w:type="dxa"/>
            <w:tcBorders>
              <w:top w:val="nil"/>
              <w:bottom w:val="nil"/>
            </w:tcBorders>
            <w:shd w:val="clear" w:color="auto" w:fill="auto"/>
          </w:tcPr>
          <w:p w:rsidR="000D5864" w:rsidRPr="00DE5EA2" w:rsidRDefault="000D5864"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0D5864" w:rsidRPr="00DE5EA2" w:rsidRDefault="000D586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D5864" w:rsidRPr="00B21066" w:rsidTr="00EC361D">
        <w:tc>
          <w:tcPr>
            <w:tcW w:w="1140" w:type="dxa"/>
            <w:tcBorders>
              <w:top w:val="nil"/>
              <w:bottom w:val="nil"/>
            </w:tcBorders>
            <w:shd w:val="clear" w:color="auto" w:fill="auto"/>
          </w:tcPr>
          <w:p w:rsidR="000D5864" w:rsidRPr="00B21066" w:rsidRDefault="000D5864"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D5864" w:rsidRPr="00B21066" w:rsidRDefault="000D58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D5864" w:rsidRPr="00EC361D" w:rsidTr="004822EF">
        <w:tc>
          <w:tcPr>
            <w:tcW w:w="1140" w:type="dxa"/>
            <w:tcBorders>
              <w:top w:val="nil"/>
              <w:bottom w:val="nil"/>
            </w:tcBorders>
            <w:shd w:val="clear" w:color="auto" w:fill="auto"/>
          </w:tcPr>
          <w:p w:rsidR="000D5864" w:rsidRPr="00EC361D" w:rsidRDefault="000D5864"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0D5864" w:rsidRPr="00EC361D" w:rsidRDefault="000D5864" w:rsidP="00F336CC">
            <w:pPr>
              <w:spacing w:before="30" w:after="30"/>
              <w:jc w:val="left"/>
              <w:rPr>
                <w:sz w:val="20"/>
                <w:lang w:val="fr-CH"/>
              </w:rPr>
            </w:pPr>
            <w:r w:rsidRPr="00EC361D">
              <w:rPr>
                <w:sz w:val="20"/>
              </w:rPr>
              <w:t>Propagation des ondes radioélectriques</w:t>
            </w:r>
          </w:p>
        </w:tc>
      </w:tr>
      <w:tr w:rsidR="000D5864" w:rsidRPr="004822EF" w:rsidTr="00326525">
        <w:tc>
          <w:tcPr>
            <w:tcW w:w="1140" w:type="dxa"/>
            <w:tcBorders>
              <w:top w:val="nil"/>
              <w:bottom w:val="nil"/>
            </w:tcBorders>
            <w:shd w:val="clear" w:color="auto" w:fill="auto"/>
          </w:tcPr>
          <w:p w:rsidR="000D5864" w:rsidRPr="004822EF" w:rsidRDefault="000D5864"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0D5864" w:rsidRPr="004822EF" w:rsidRDefault="000D586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0D5864" w:rsidRPr="00326525" w:rsidTr="00C40D3E">
        <w:tc>
          <w:tcPr>
            <w:tcW w:w="1140" w:type="dxa"/>
            <w:tcBorders>
              <w:top w:val="nil"/>
              <w:bottom w:val="nil"/>
            </w:tcBorders>
            <w:shd w:val="clear" w:color="auto" w:fill="auto"/>
          </w:tcPr>
          <w:p w:rsidR="000D5864" w:rsidRPr="00326525" w:rsidRDefault="000D5864"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0D5864" w:rsidRPr="00326525" w:rsidRDefault="000D586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0D5864" w:rsidRPr="00C40D3E" w:rsidTr="00595D3D">
        <w:tc>
          <w:tcPr>
            <w:tcW w:w="1140" w:type="dxa"/>
            <w:tcBorders>
              <w:top w:val="nil"/>
              <w:bottom w:val="nil"/>
            </w:tcBorders>
            <w:shd w:val="clear" w:color="auto" w:fill="auto"/>
          </w:tcPr>
          <w:p w:rsidR="000D5864" w:rsidRPr="00C40D3E" w:rsidRDefault="000D5864"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0D5864" w:rsidRPr="00C40D3E" w:rsidRDefault="000D5864" w:rsidP="00F336CC">
            <w:pPr>
              <w:spacing w:before="30" w:after="30"/>
              <w:jc w:val="left"/>
              <w:rPr>
                <w:sz w:val="20"/>
                <w:lang w:val="en-US"/>
              </w:rPr>
            </w:pPr>
            <w:r w:rsidRPr="00C40D3E">
              <w:rPr>
                <w:sz w:val="20"/>
              </w:rPr>
              <w:t>Service fixe par satellite</w:t>
            </w:r>
          </w:p>
        </w:tc>
      </w:tr>
      <w:tr w:rsidR="000D5864" w:rsidRPr="00595D3D" w:rsidTr="009B5564">
        <w:tc>
          <w:tcPr>
            <w:tcW w:w="1140" w:type="dxa"/>
            <w:tcBorders>
              <w:top w:val="nil"/>
              <w:bottom w:val="nil"/>
            </w:tcBorders>
            <w:shd w:val="clear" w:color="auto" w:fill="auto"/>
          </w:tcPr>
          <w:p w:rsidR="000D5864" w:rsidRPr="00595D3D" w:rsidRDefault="000D5864"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0D5864" w:rsidRPr="00595D3D" w:rsidRDefault="000D5864" w:rsidP="00F336CC">
            <w:pPr>
              <w:spacing w:before="30" w:after="30"/>
              <w:jc w:val="left"/>
              <w:rPr>
                <w:sz w:val="20"/>
                <w:lang w:val="en-US"/>
              </w:rPr>
            </w:pPr>
            <w:r w:rsidRPr="00595D3D">
              <w:rPr>
                <w:sz w:val="20"/>
              </w:rPr>
              <w:t>Applications spatiales et météorologie</w:t>
            </w:r>
          </w:p>
        </w:tc>
      </w:tr>
      <w:tr w:rsidR="000D5864" w:rsidRPr="009B5564" w:rsidTr="009B5564">
        <w:tc>
          <w:tcPr>
            <w:tcW w:w="1140" w:type="dxa"/>
            <w:tcBorders>
              <w:top w:val="nil"/>
              <w:bottom w:val="nil"/>
            </w:tcBorders>
            <w:shd w:val="clear" w:color="auto" w:fill="auto"/>
          </w:tcPr>
          <w:p w:rsidR="000D5864" w:rsidRPr="009B5564" w:rsidRDefault="000D5864"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0D5864" w:rsidRPr="009B5564" w:rsidRDefault="000D5864" w:rsidP="00F336CC">
            <w:pPr>
              <w:spacing w:before="30" w:after="30"/>
              <w:jc w:val="left"/>
              <w:rPr>
                <w:bCs/>
                <w:sz w:val="20"/>
              </w:rPr>
            </w:pPr>
            <w:r w:rsidRPr="009B5564">
              <w:rPr>
                <w:bCs/>
                <w:sz w:val="20"/>
              </w:rPr>
              <w:t>Partage des fréquences et coordination entre les systèmes du service fixe par satellite et du service fixe</w:t>
            </w:r>
          </w:p>
        </w:tc>
      </w:tr>
      <w:tr w:rsidR="000D5864" w:rsidRPr="009B5564" w:rsidTr="009B5564">
        <w:tc>
          <w:tcPr>
            <w:tcW w:w="1140" w:type="dxa"/>
            <w:tcBorders>
              <w:top w:val="nil"/>
              <w:bottom w:val="nil"/>
            </w:tcBorders>
            <w:shd w:val="clear" w:color="auto" w:fill="F3F3F3"/>
          </w:tcPr>
          <w:p w:rsidR="000D5864" w:rsidRPr="009B5564" w:rsidRDefault="000D5864"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0D5864" w:rsidRPr="009B5564" w:rsidRDefault="000D5864" w:rsidP="00F336CC">
            <w:pPr>
              <w:spacing w:before="30" w:after="30"/>
              <w:jc w:val="left"/>
              <w:rPr>
                <w:b/>
                <w:bCs/>
                <w:color w:val="000080"/>
                <w:sz w:val="20"/>
                <w:lang w:val="en-US"/>
              </w:rPr>
            </w:pPr>
            <w:r w:rsidRPr="009B5564">
              <w:rPr>
                <w:b/>
                <w:bCs/>
                <w:color w:val="000080"/>
                <w:sz w:val="20"/>
              </w:rPr>
              <w:t>Gestion du spectre</w:t>
            </w:r>
          </w:p>
        </w:tc>
      </w:tr>
      <w:tr w:rsidR="000D5864" w:rsidRPr="00036EE3" w:rsidTr="009B5564">
        <w:tc>
          <w:tcPr>
            <w:tcW w:w="1140" w:type="dxa"/>
            <w:tcBorders>
              <w:top w:val="nil"/>
            </w:tcBorders>
          </w:tcPr>
          <w:p w:rsidR="000D5864" w:rsidRPr="00614CC6" w:rsidRDefault="000D5864"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rsidR="000D5864" w:rsidRPr="00614CC6" w:rsidRDefault="000D5864" w:rsidP="00F336CC">
            <w:pPr>
              <w:spacing w:before="30" w:after="30"/>
              <w:jc w:val="left"/>
              <w:rPr>
                <w:sz w:val="20"/>
                <w:lang w:val="en-US"/>
              </w:rPr>
            </w:pPr>
            <w:r w:rsidRPr="00614CC6">
              <w:rPr>
                <w:sz w:val="20"/>
              </w:rPr>
              <w:t>Reportage d'actualités par satellite</w:t>
            </w:r>
          </w:p>
        </w:tc>
      </w:tr>
      <w:tr w:rsidR="000D5864" w:rsidRPr="00614CC6">
        <w:tc>
          <w:tcPr>
            <w:tcW w:w="1140" w:type="dxa"/>
          </w:tcPr>
          <w:p w:rsidR="000D5864" w:rsidRPr="00614CC6" w:rsidRDefault="000D5864" w:rsidP="00F336CC">
            <w:pPr>
              <w:spacing w:before="30" w:after="30"/>
              <w:ind w:left="57"/>
              <w:jc w:val="left"/>
              <w:rPr>
                <w:b/>
                <w:bCs/>
                <w:sz w:val="20"/>
                <w:lang w:val="en-US"/>
              </w:rPr>
            </w:pPr>
            <w:r w:rsidRPr="00614CC6">
              <w:rPr>
                <w:b/>
                <w:bCs/>
                <w:sz w:val="20"/>
                <w:lang w:val="en-US"/>
              </w:rPr>
              <w:t>TF</w:t>
            </w:r>
          </w:p>
        </w:tc>
        <w:tc>
          <w:tcPr>
            <w:tcW w:w="8220" w:type="dxa"/>
          </w:tcPr>
          <w:p w:rsidR="000D5864" w:rsidRPr="00614CC6" w:rsidRDefault="000D5864" w:rsidP="00F336CC">
            <w:pPr>
              <w:spacing w:before="30" w:after="30"/>
              <w:jc w:val="left"/>
              <w:rPr>
                <w:sz w:val="20"/>
              </w:rPr>
            </w:pPr>
            <w:proofErr w:type="spellStart"/>
            <w:r w:rsidRPr="00614CC6">
              <w:rPr>
                <w:sz w:val="20"/>
              </w:rPr>
              <w:t>Emissions</w:t>
            </w:r>
            <w:proofErr w:type="spellEnd"/>
            <w:r w:rsidRPr="00614CC6">
              <w:rPr>
                <w:sz w:val="20"/>
              </w:rPr>
              <w:t xml:space="preserve"> de fréquences étalon et de signaux horaires</w:t>
            </w:r>
          </w:p>
        </w:tc>
      </w:tr>
      <w:tr w:rsidR="000D5864" w:rsidRPr="00036EE3">
        <w:tc>
          <w:tcPr>
            <w:tcW w:w="1140" w:type="dxa"/>
          </w:tcPr>
          <w:p w:rsidR="000D5864" w:rsidRPr="00614CC6" w:rsidRDefault="000D5864" w:rsidP="00F336CC">
            <w:pPr>
              <w:spacing w:before="30" w:after="30"/>
              <w:ind w:left="57"/>
              <w:jc w:val="left"/>
              <w:rPr>
                <w:b/>
                <w:bCs/>
                <w:sz w:val="20"/>
                <w:lang w:val="en-US"/>
              </w:rPr>
            </w:pPr>
            <w:r w:rsidRPr="00614CC6">
              <w:rPr>
                <w:b/>
                <w:bCs/>
                <w:sz w:val="20"/>
                <w:lang w:val="en-US"/>
              </w:rPr>
              <w:t>V</w:t>
            </w:r>
          </w:p>
        </w:tc>
        <w:tc>
          <w:tcPr>
            <w:tcW w:w="8220" w:type="dxa"/>
          </w:tcPr>
          <w:p w:rsidR="000D5864" w:rsidRPr="00614CC6" w:rsidRDefault="000D5864" w:rsidP="00614CC6">
            <w:pPr>
              <w:spacing w:before="30" w:after="140"/>
              <w:jc w:val="left"/>
              <w:rPr>
                <w:sz w:val="20"/>
                <w:lang w:val="en-US"/>
              </w:rPr>
            </w:pPr>
            <w:r w:rsidRPr="00614CC6">
              <w:rPr>
                <w:sz w:val="20"/>
              </w:rPr>
              <w:t>Vocabulaire et sujets associés</w:t>
            </w:r>
          </w:p>
        </w:tc>
      </w:tr>
    </w:tbl>
    <w:p w:rsidR="000D5864" w:rsidRPr="00036EE3" w:rsidRDefault="000D5864" w:rsidP="00614CC6">
      <w:pPr>
        <w:spacing w:before="0"/>
        <w:jc w:val="center"/>
        <w:rPr>
          <w:sz w:val="20"/>
          <w:lang w:val="en-US"/>
        </w:rPr>
      </w:pPr>
    </w:p>
    <w:p w:rsidR="000D5864" w:rsidRPr="00036EE3" w:rsidRDefault="000D5864"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D5864" w:rsidRPr="00756B4D">
        <w:tc>
          <w:tcPr>
            <w:tcW w:w="9360" w:type="dxa"/>
          </w:tcPr>
          <w:p w:rsidR="000D5864" w:rsidRPr="00756B4D" w:rsidRDefault="000D5864"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D5864" w:rsidRPr="00756B4D" w:rsidRDefault="000D5864" w:rsidP="00F54FBD">
      <w:pPr>
        <w:spacing w:before="0"/>
        <w:jc w:val="center"/>
        <w:rPr>
          <w:sz w:val="22"/>
        </w:rPr>
      </w:pPr>
    </w:p>
    <w:p w:rsidR="000D5864" w:rsidRPr="00614CC6" w:rsidRDefault="000D5864" w:rsidP="00756B4D">
      <w:pPr>
        <w:spacing w:before="100"/>
        <w:jc w:val="right"/>
        <w:rPr>
          <w:i/>
          <w:iCs/>
          <w:sz w:val="20"/>
        </w:rPr>
      </w:pPr>
      <w:r w:rsidRPr="00614CC6">
        <w:rPr>
          <w:i/>
          <w:iCs/>
          <w:sz w:val="20"/>
        </w:rPr>
        <w:t>Publication électronique</w:t>
      </w:r>
    </w:p>
    <w:p w:rsidR="000D5864" w:rsidRPr="00614CC6" w:rsidRDefault="000D5864" w:rsidP="000D5864">
      <w:pPr>
        <w:spacing w:before="0"/>
        <w:jc w:val="right"/>
        <w:rPr>
          <w:sz w:val="20"/>
        </w:rPr>
      </w:pPr>
      <w:r w:rsidRPr="00614CC6">
        <w:rPr>
          <w:sz w:val="20"/>
        </w:rPr>
        <w:t>Genève, 20</w:t>
      </w:r>
      <w:r>
        <w:rPr>
          <w:sz w:val="20"/>
        </w:rPr>
        <w:t>11</w:t>
      </w:r>
    </w:p>
    <w:p w:rsidR="000D5864" w:rsidRPr="00614CC6" w:rsidRDefault="000D5864" w:rsidP="000A5F5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0D5864" w:rsidRPr="00614CC6" w:rsidRDefault="000D5864"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D5864" w:rsidRPr="00614CC6" w:rsidRDefault="000D5864" w:rsidP="00CD659B">
      <w:pPr>
        <w:spacing w:before="160"/>
        <w:rPr>
          <w:i/>
          <w:sz w:val="20"/>
          <w:highlight w:val="yellow"/>
        </w:rPr>
        <w:sectPr w:rsidR="000D5864"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0D5864" w:rsidRPr="00670217" w:rsidRDefault="000D5864" w:rsidP="00D66975">
      <w:pPr>
        <w:pStyle w:val="RecNoBR"/>
        <w:spacing w:before="0"/>
        <w:rPr>
          <w:sz w:val="20"/>
        </w:rPr>
      </w:pPr>
      <w:bookmarkStart w:id="2" w:name="irecnoe"/>
      <w:bookmarkEnd w:id="2"/>
      <w:r w:rsidRPr="00670217">
        <w:rPr>
          <w:sz w:val="20"/>
        </w:rPr>
        <w:lastRenderedPageBreak/>
        <w:t>RECOMMANDATION</w:t>
      </w:r>
      <w:r w:rsidRPr="00670217">
        <w:rPr>
          <w:rStyle w:val="href"/>
          <w:sz w:val="20"/>
        </w:rPr>
        <w:t xml:space="preserve"> UIT-R SM.1131</w:t>
      </w:r>
      <w:r w:rsidR="00E63D91" w:rsidRPr="00D34400">
        <w:rPr>
          <w:rStyle w:val="FootnoteReference"/>
          <w:sz w:val="16"/>
          <w:szCs w:val="16"/>
        </w:rPr>
        <w:footnoteReference w:customMarkFollows="1" w:id="1"/>
        <w:t>*</w:t>
      </w:r>
      <w:r w:rsidR="00CE07D1" w:rsidRPr="00323032">
        <w:rPr>
          <w:position w:val="8"/>
          <w:sz w:val="16"/>
        </w:rPr>
        <w:t>,</w:t>
      </w:r>
      <w:r w:rsidR="00F56A87">
        <w:rPr>
          <w:sz w:val="16"/>
          <w:szCs w:val="16"/>
          <w:vertAlign w:val="superscript"/>
        </w:rPr>
        <w:t xml:space="preserve"> </w:t>
      </w:r>
      <w:r w:rsidR="00E63D91" w:rsidRPr="00D34400">
        <w:rPr>
          <w:rStyle w:val="FootnoteReference"/>
          <w:sz w:val="16"/>
          <w:szCs w:val="16"/>
        </w:rPr>
        <w:footnoteReference w:customMarkFollows="1" w:id="2"/>
        <w:t>**</w:t>
      </w:r>
    </w:p>
    <w:p w:rsidR="000D5864" w:rsidRPr="00670217" w:rsidRDefault="00D34400" w:rsidP="00D34400">
      <w:pPr>
        <w:pStyle w:val="RecTitle0"/>
        <w:rPr>
          <w:sz w:val="20"/>
        </w:rPr>
      </w:pPr>
      <w:r>
        <w:rPr>
          <w:sz w:val="20"/>
        </w:rPr>
        <w:t>F</w:t>
      </w:r>
      <w:r w:rsidRPr="00670217">
        <w:rPr>
          <w:sz w:val="20"/>
        </w:rPr>
        <w:t>acteurs à prendre en compte lors de l'attribution du spectre</w:t>
      </w:r>
      <w:r>
        <w:rPr>
          <w:sz w:val="20"/>
        </w:rPr>
        <w:t xml:space="preserve"> </w:t>
      </w:r>
      <w:r w:rsidRPr="00670217">
        <w:rPr>
          <w:sz w:val="20"/>
        </w:rPr>
        <w:br/>
        <w:t>des fréquences radioélectriques à l'échelle mondiale</w:t>
      </w:r>
    </w:p>
    <w:p w:rsidR="000D5864" w:rsidRPr="00670217" w:rsidRDefault="000D5864" w:rsidP="000D5864">
      <w:pPr>
        <w:pStyle w:val="RecTitleRef"/>
        <w:rPr>
          <w:sz w:val="20"/>
        </w:rPr>
      </w:pPr>
      <w:r w:rsidRPr="00670217">
        <w:rPr>
          <w:sz w:val="20"/>
        </w:rPr>
        <w:t>(Question UIT-R 205/1)</w:t>
      </w:r>
    </w:p>
    <w:p w:rsidR="000D5864" w:rsidRPr="00670217" w:rsidRDefault="000D5864" w:rsidP="00756C22">
      <w:pPr>
        <w:pStyle w:val="Recdate"/>
        <w:rPr>
          <w:sz w:val="20"/>
        </w:rPr>
      </w:pPr>
      <w:r w:rsidRPr="00670217">
        <w:rPr>
          <w:sz w:val="20"/>
        </w:rPr>
        <w:t>(1995)</w:t>
      </w:r>
    </w:p>
    <w:p w:rsidR="000D5864" w:rsidRPr="00670217" w:rsidRDefault="000D5864" w:rsidP="000D5864">
      <w:pPr>
        <w:pStyle w:val="headfoot"/>
        <w:rPr>
          <w:color w:val="FFFFFF"/>
          <w:sz w:val="20"/>
          <w:szCs w:val="20"/>
        </w:rPr>
      </w:pPr>
      <w:r w:rsidRPr="00670217">
        <w:rPr>
          <w:color w:val="FFFFFF"/>
          <w:sz w:val="20"/>
          <w:szCs w:val="20"/>
        </w:rPr>
        <w:t>Rec. UIT-R SM.1131</w:t>
      </w:r>
    </w:p>
    <w:p w:rsidR="000D5864" w:rsidRPr="00670217" w:rsidRDefault="000D5864" w:rsidP="00E63D91">
      <w:pPr>
        <w:pStyle w:val="Normalaftertitle"/>
        <w:rPr>
          <w:sz w:val="20"/>
        </w:rPr>
      </w:pPr>
      <w:r w:rsidRPr="00670217">
        <w:rPr>
          <w:sz w:val="20"/>
        </w:rPr>
        <w:t>L'Assemblée des radiocommunications de l'UIT,</w:t>
      </w:r>
    </w:p>
    <w:p w:rsidR="000D5864" w:rsidRPr="00670217" w:rsidRDefault="000D5864" w:rsidP="000D5864">
      <w:pPr>
        <w:pStyle w:val="call0"/>
        <w:rPr>
          <w:sz w:val="20"/>
        </w:rPr>
      </w:pPr>
      <w:r w:rsidRPr="00670217">
        <w:rPr>
          <w:sz w:val="20"/>
        </w:rPr>
        <w:t>considérant</w:t>
      </w:r>
    </w:p>
    <w:p w:rsidR="000D5864" w:rsidRPr="00670217" w:rsidRDefault="000D5864" w:rsidP="000D5864">
      <w:pPr>
        <w:rPr>
          <w:sz w:val="20"/>
        </w:rPr>
      </w:pPr>
      <w:r w:rsidRPr="00670217">
        <w:rPr>
          <w:sz w:val="20"/>
        </w:rPr>
        <w:t>a)</w:t>
      </w:r>
      <w:r w:rsidRPr="00670217">
        <w:rPr>
          <w:sz w:val="20"/>
        </w:rPr>
        <w:tab/>
        <w:t>que le Règlement des radiocommunications (RR) définit trois Régions (numéros 392 à 399 du RR);</w:t>
      </w:r>
    </w:p>
    <w:p w:rsidR="000D5864" w:rsidRPr="00670217" w:rsidRDefault="000D5864" w:rsidP="000D5864">
      <w:pPr>
        <w:rPr>
          <w:sz w:val="20"/>
        </w:rPr>
      </w:pPr>
      <w:r w:rsidRPr="00670217">
        <w:rPr>
          <w:sz w:val="20"/>
        </w:rPr>
        <w:t>b)</w:t>
      </w:r>
      <w:r w:rsidRPr="00670217">
        <w:rPr>
          <w:sz w:val="20"/>
        </w:rPr>
        <w:tab/>
        <w:t>qu'il y a entre ces trois Régions de nombreuses différences en ce qui concerne les services allotis et les limites des bandes alloties;</w:t>
      </w:r>
    </w:p>
    <w:p w:rsidR="000D5864" w:rsidRPr="00670217" w:rsidRDefault="000D5864" w:rsidP="000D5864">
      <w:pPr>
        <w:rPr>
          <w:sz w:val="20"/>
        </w:rPr>
      </w:pPr>
      <w:r w:rsidRPr="00670217">
        <w:rPr>
          <w:sz w:val="20"/>
        </w:rPr>
        <w:t>c)</w:t>
      </w:r>
      <w:r w:rsidRPr="00670217">
        <w:rPr>
          <w:sz w:val="20"/>
        </w:rPr>
        <w:tab/>
        <w:t>que des attributions mondiales peuvent:</w:t>
      </w:r>
    </w:p>
    <w:p w:rsidR="000D5864" w:rsidRPr="00670217" w:rsidRDefault="000D5864" w:rsidP="000D5864">
      <w:pPr>
        <w:pStyle w:val="enumlev1"/>
        <w:rPr>
          <w:sz w:val="20"/>
        </w:rPr>
      </w:pPr>
      <w:r w:rsidRPr="00670217">
        <w:rPr>
          <w:sz w:val="20"/>
        </w:rPr>
        <w:t>–</w:t>
      </w:r>
      <w:r w:rsidRPr="00670217">
        <w:rPr>
          <w:sz w:val="20"/>
        </w:rPr>
        <w:tab/>
        <w:t>simplifier le Tableau d'attribution des bandes de fréquences;</w:t>
      </w:r>
    </w:p>
    <w:p w:rsidR="000D5864" w:rsidRPr="00670217" w:rsidRDefault="000D5864" w:rsidP="000D5864">
      <w:pPr>
        <w:pStyle w:val="enumlev1"/>
        <w:rPr>
          <w:sz w:val="20"/>
        </w:rPr>
      </w:pPr>
      <w:r w:rsidRPr="00670217">
        <w:rPr>
          <w:sz w:val="20"/>
        </w:rPr>
        <w:t>–</w:t>
      </w:r>
      <w:r w:rsidRPr="00670217">
        <w:rPr>
          <w:sz w:val="20"/>
        </w:rPr>
        <w:tab/>
        <w:t>faciliter les besoins de coordination;</w:t>
      </w:r>
    </w:p>
    <w:p w:rsidR="000D5864" w:rsidRPr="00670217" w:rsidRDefault="000D5864" w:rsidP="000D5864">
      <w:pPr>
        <w:pStyle w:val="enumlev1"/>
        <w:rPr>
          <w:sz w:val="20"/>
        </w:rPr>
      </w:pPr>
      <w:r w:rsidRPr="00670217">
        <w:rPr>
          <w:sz w:val="20"/>
        </w:rPr>
        <w:t>–</w:t>
      </w:r>
      <w:r w:rsidRPr="00670217">
        <w:rPr>
          <w:sz w:val="20"/>
        </w:rPr>
        <w:tab/>
        <w:t>stimuler l'offre d'équipements sur les marchés internationaux et faire baisser les coûts de production, ce qui, en particulier, aide à satisfaire les besoins des pays en développement;</w:t>
      </w:r>
    </w:p>
    <w:p w:rsidR="000D5864" w:rsidRPr="00670217" w:rsidRDefault="000D5864" w:rsidP="00670217">
      <w:pPr>
        <w:pStyle w:val="enumlev1"/>
        <w:rPr>
          <w:sz w:val="20"/>
        </w:rPr>
      </w:pPr>
      <w:r w:rsidRPr="00670217">
        <w:rPr>
          <w:sz w:val="20"/>
        </w:rPr>
        <w:t>–</w:t>
      </w:r>
      <w:r w:rsidRPr="00670217">
        <w:rPr>
          <w:sz w:val="20"/>
        </w:rPr>
        <w:tab/>
        <w:t>faciliter les activités qui reposent sur l'utilisation d'équipements exploitables au niveau international (c'est</w:t>
      </w:r>
      <w:r w:rsidR="00670217">
        <w:rPr>
          <w:sz w:val="20"/>
        </w:rPr>
        <w:noBreakHyphen/>
      </w:r>
      <w:r w:rsidRPr="00670217">
        <w:rPr>
          <w:sz w:val="20"/>
        </w:rPr>
        <w:t>à</w:t>
      </w:r>
      <w:r w:rsidR="00670217">
        <w:rPr>
          <w:sz w:val="20"/>
        </w:rPr>
        <w:noBreakHyphen/>
      </w:r>
      <w:r w:rsidRPr="00670217">
        <w:rPr>
          <w:sz w:val="20"/>
        </w:rPr>
        <w:t>dire, contrôle du trafic aérien);</w:t>
      </w:r>
    </w:p>
    <w:p w:rsidR="000D5864" w:rsidRPr="00670217" w:rsidRDefault="000D5864" w:rsidP="000D5864">
      <w:pPr>
        <w:rPr>
          <w:sz w:val="20"/>
        </w:rPr>
      </w:pPr>
      <w:r w:rsidRPr="00670217">
        <w:rPr>
          <w:sz w:val="20"/>
        </w:rPr>
        <w:t>d)</w:t>
      </w:r>
      <w:r w:rsidRPr="00670217">
        <w:rPr>
          <w:sz w:val="20"/>
        </w:rPr>
        <w:tab/>
        <w:t>qu'il faut déterminer les facteurs à prendre en considération pour évaluer si une attribution à l'échelle mondiale est préférable à des attributions régionales distinctes dans une g</w:t>
      </w:r>
      <w:r w:rsidR="00D66975">
        <w:rPr>
          <w:sz w:val="20"/>
        </w:rPr>
        <w:t>amme de fréquences particulière,</w:t>
      </w:r>
    </w:p>
    <w:p w:rsidR="000D5864" w:rsidRPr="00670217" w:rsidRDefault="000D5864" w:rsidP="000D5864">
      <w:pPr>
        <w:pStyle w:val="call0"/>
        <w:rPr>
          <w:sz w:val="20"/>
        </w:rPr>
      </w:pPr>
      <w:r w:rsidRPr="00670217">
        <w:rPr>
          <w:sz w:val="20"/>
        </w:rPr>
        <w:t>recommande</w:t>
      </w:r>
    </w:p>
    <w:p w:rsidR="000D5864" w:rsidRPr="00670217" w:rsidRDefault="000D5864" w:rsidP="000D5864">
      <w:pPr>
        <w:rPr>
          <w:sz w:val="20"/>
        </w:rPr>
      </w:pPr>
      <w:r w:rsidRPr="00670217">
        <w:rPr>
          <w:b/>
          <w:sz w:val="20"/>
        </w:rPr>
        <w:t>1</w:t>
      </w:r>
      <w:r w:rsidRPr="00670217">
        <w:rPr>
          <w:sz w:val="20"/>
        </w:rPr>
        <w:tab/>
        <w:t>aux administrations de tenir compte des facteurs indiqués à l'Annexe 1 pour évaluer, dans une gamme de fréquences donnée, s'il est préférable de faire une attribution au niveau mondial ou au niveau régional.</w:t>
      </w:r>
    </w:p>
    <w:p w:rsidR="000D5864" w:rsidRDefault="000D5864" w:rsidP="000D5864">
      <w:pPr>
        <w:rPr>
          <w:sz w:val="20"/>
        </w:rPr>
      </w:pPr>
    </w:p>
    <w:p w:rsidR="00670217" w:rsidRPr="00670217" w:rsidRDefault="00670217" w:rsidP="000D5864">
      <w:pPr>
        <w:rPr>
          <w:sz w:val="20"/>
        </w:rPr>
      </w:pPr>
    </w:p>
    <w:p w:rsidR="000D5864" w:rsidRPr="00670217" w:rsidRDefault="000D5864" w:rsidP="00670217">
      <w:pPr>
        <w:pStyle w:val="Annex"/>
        <w:rPr>
          <w:sz w:val="20"/>
        </w:rPr>
      </w:pPr>
      <w:r w:rsidRPr="00670217">
        <w:rPr>
          <w:sz w:val="20"/>
        </w:rPr>
        <w:t>ANNEXE 1</w:t>
      </w:r>
    </w:p>
    <w:p w:rsidR="000D5864" w:rsidRPr="00670217" w:rsidRDefault="000D5864" w:rsidP="000D5864">
      <w:pPr>
        <w:pStyle w:val="AnnexTitle"/>
        <w:rPr>
          <w:sz w:val="20"/>
          <w:szCs w:val="20"/>
        </w:rPr>
      </w:pPr>
      <w:r w:rsidRPr="00670217">
        <w:rPr>
          <w:sz w:val="20"/>
          <w:szCs w:val="20"/>
        </w:rPr>
        <w:t>Facteurs à prendre en considération lors de l'attribution du spectre</w:t>
      </w:r>
      <w:r w:rsidR="002115A5">
        <w:rPr>
          <w:sz w:val="20"/>
          <w:szCs w:val="20"/>
        </w:rPr>
        <w:t xml:space="preserve"> </w:t>
      </w:r>
      <w:r w:rsidRPr="00670217">
        <w:rPr>
          <w:sz w:val="20"/>
          <w:szCs w:val="20"/>
        </w:rPr>
        <w:br/>
        <w:t>des fréquences radioélectriques à l'échelle mondiale</w:t>
      </w:r>
    </w:p>
    <w:p w:rsidR="000D5864" w:rsidRPr="00670217" w:rsidRDefault="000D5864" w:rsidP="000D5864">
      <w:pPr>
        <w:pStyle w:val="Heading1"/>
        <w:rPr>
          <w:sz w:val="20"/>
        </w:rPr>
      </w:pPr>
      <w:r w:rsidRPr="00670217">
        <w:rPr>
          <w:sz w:val="20"/>
        </w:rPr>
        <w:t>1</w:t>
      </w:r>
      <w:r w:rsidRPr="00670217">
        <w:rPr>
          <w:sz w:val="20"/>
        </w:rPr>
        <w:tab/>
        <w:t>Introduction</w:t>
      </w:r>
    </w:p>
    <w:p w:rsidR="000D5864" w:rsidRPr="00670217" w:rsidRDefault="000D5864" w:rsidP="000D5864">
      <w:pPr>
        <w:rPr>
          <w:sz w:val="20"/>
        </w:rPr>
      </w:pPr>
      <w:r w:rsidRPr="00670217">
        <w:rPr>
          <w:sz w:val="20"/>
        </w:rPr>
        <w:t>Il faut prendre en considération plusieurs paramètres pour déterminer les bandes de fréquences dans lesquelles il faut procéder à des attributions mondiales. L'utilisation des paramètres exposés ci-après est subordonnée au délai dont on dispose pour procéder à une attribution mondiale alors qu'il existe déjà plusieurs attributions régionales. Pour procéder à une attribution mondiale, il faut disposer de beaucoup de temps pour planifier et régler les nombreux problèmes que pose une modification des attributions faites aux services ou des désignations de ces services. La mise en œuvre coordonnée d'une attribution mondiale permettra non seulement de résoudre les problèmes techniques et opérationnels mais aussi de faire face à la diminution du parc des équipements et à l'obsolescence des matériels. Les interruptions ou les dérangements de service seront ainsi limités et l'exploitation de certains services régionaux pourra se poursuivre à condition qu'elle ne retarde pas le programme de mise en œuvre à l'échelle mondiale.</w:t>
      </w:r>
    </w:p>
    <w:p w:rsidR="000D5864" w:rsidRPr="00670217" w:rsidRDefault="000D5864" w:rsidP="000D5864">
      <w:pPr>
        <w:pStyle w:val="Heading1"/>
        <w:spacing w:before="320"/>
        <w:rPr>
          <w:sz w:val="20"/>
        </w:rPr>
      </w:pPr>
      <w:r w:rsidRPr="00670217">
        <w:rPr>
          <w:sz w:val="20"/>
        </w:rPr>
        <w:lastRenderedPageBreak/>
        <w:t>2</w:t>
      </w:r>
      <w:r w:rsidRPr="00670217">
        <w:rPr>
          <w:sz w:val="20"/>
        </w:rPr>
        <w:tab/>
        <w:t>Facteurs techniques</w:t>
      </w:r>
    </w:p>
    <w:p w:rsidR="000D5864" w:rsidRPr="00670217" w:rsidRDefault="000D5864" w:rsidP="000D5864">
      <w:pPr>
        <w:rPr>
          <w:sz w:val="20"/>
        </w:rPr>
      </w:pPr>
      <w:r w:rsidRPr="00670217">
        <w:rPr>
          <w:sz w:val="20"/>
        </w:rPr>
        <w:t xml:space="preserve">Lors de l'attribution du spectre des fréquences radioélectriques, il faut tenir compte de certains facteurs techniques, essentiellement la fréquence, les conditions de propagation et l'emplacement dans l'espace. On ne peut pas considérer que l'acheminement de signaux sur de très longues distances, en raison des conditions de propagation, (le problème se pose essentiellement pour les ondes décamétriques) est un problème de coordination transfrontière. Les systèmes spatiaux desservant des zones très étendues ont souvent besoin d'attributions mondiales; dans certains cas toutefois ils peuvent changer de fréquence en fonction de la direction de la transmission ou de la position du satellite pendant la transmission. </w:t>
      </w:r>
    </w:p>
    <w:p w:rsidR="000D5864" w:rsidRPr="00670217" w:rsidRDefault="000D5864" w:rsidP="00E63D91">
      <w:pPr>
        <w:pStyle w:val="Heading1"/>
        <w:rPr>
          <w:sz w:val="20"/>
        </w:rPr>
      </w:pPr>
      <w:r w:rsidRPr="00670217">
        <w:rPr>
          <w:sz w:val="20"/>
        </w:rPr>
        <w:t>3</w:t>
      </w:r>
      <w:r w:rsidRPr="00670217">
        <w:rPr>
          <w:sz w:val="20"/>
        </w:rPr>
        <w:tab/>
        <w:t>Facteurs opérationnels</w:t>
      </w:r>
    </w:p>
    <w:p w:rsidR="000D5864" w:rsidRPr="00670217" w:rsidRDefault="000D5864" w:rsidP="000D5864">
      <w:pPr>
        <w:rPr>
          <w:sz w:val="20"/>
        </w:rPr>
      </w:pPr>
      <w:r w:rsidRPr="00670217">
        <w:rPr>
          <w:sz w:val="20"/>
        </w:rPr>
        <w:t>Certains services radioélectriques ou types de services radioélectriques ont besoin d'attributions mondiales parce que les fonctions qu'ils assurent supposent une mobilité d'exploitation et/ou une interopérabilité internationales. Les services mobile maritime et mobile aéronautique par exemple, qui assurent des fonctions uniques, ont souvent besoin de plans d'allotissement et de disposition des canaux mondiaux. Parmi les services ou types de services qui ont en général besoin d'attributions mondiales, on peut citer:</w:t>
      </w:r>
    </w:p>
    <w:p w:rsidR="000D5864" w:rsidRPr="00670217" w:rsidRDefault="000D5864" w:rsidP="00E63D91">
      <w:pPr>
        <w:pStyle w:val="enumlev1"/>
        <w:rPr>
          <w:sz w:val="20"/>
        </w:rPr>
      </w:pPr>
      <w:r w:rsidRPr="00670217">
        <w:rPr>
          <w:sz w:val="20"/>
        </w:rPr>
        <w:t>–</w:t>
      </w:r>
      <w:r w:rsidRPr="00670217">
        <w:rPr>
          <w:sz w:val="20"/>
        </w:rPr>
        <w:tab/>
        <w:t>le service mobile aéronautique (R) et (OR),</w:t>
      </w:r>
    </w:p>
    <w:p w:rsidR="000D5864" w:rsidRPr="00670217" w:rsidRDefault="000D5864" w:rsidP="00E63D91">
      <w:pPr>
        <w:pStyle w:val="enumlev1"/>
        <w:rPr>
          <w:sz w:val="20"/>
        </w:rPr>
      </w:pPr>
      <w:r w:rsidRPr="00670217">
        <w:rPr>
          <w:sz w:val="20"/>
        </w:rPr>
        <w:t>–</w:t>
      </w:r>
      <w:r w:rsidRPr="00670217">
        <w:rPr>
          <w:sz w:val="20"/>
        </w:rPr>
        <w:tab/>
        <w:t>le service mobile maritime,</w:t>
      </w:r>
    </w:p>
    <w:p w:rsidR="000D5864" w:rsidRPr="00670217" w:rsidRDefault="000D5864" w:rsidP="00E63D91">
      <w:pPr>
        <w:pStyle w:val="enumlev1"/>
        <w:rPr>
          <w:sz w:val="20"/>
        </w:rPr>
      </w:pPr>
      <w:r w:rsidRPr="00670217">
        <w:rPr>
          <w:sz w:val="20"/>
        </w:rPr>
        <w:t>–</w:t>
      </w:r>
      <w:r w:rsidRPr="00670217">
        <w:rPr>
          <w:sz w:val="20"/>
        </w:rPr>
        <w:tab/>
        <w:t>les services de sécurité (radionavigation et signaux de détresse),</w:t>
      </w:r>
    </w:p>
    <w:p w:rsidR="000D5864" w:rsidRPr="00670217" w:rsidRDefault="000D5864" w:rsidP="00E63D91">
      <w:pPr>
        <w:pStyle w:val="enumlev1"/>
        <w:rPr>
          <w:sz w:val="20"/>
        </w:rPr>
      </w:pPr>
      <w:r w:rsidRPr="00670217">
        <w:rPr>
          <w:sz w:val="20"/>
        </w:rPr>
        <w:t>–</w:t>
      </w:r>
      <w:r w:rsidRPr="00670217">
        <w:rPr>
          <w:sz w:val="20"/>
        </w:rPr>
        <w:tab/>
        <w:t>le service de radioastronomie,</w:t>
      </w:r>
    </w:p>
    <w:p w:rsidR="000D5864" w:rsidRPr="00670217" w:rsidRDefault="000D5864" w:rsidP="00E63D91">
      <w:pPr>
        <w:pStyle w:val="enumlev1"/>
        <w:rPr>
          <w:sz w:val="20"/>
        </w:rPr>
      </w:pPr>
      <w:r w:rsidRPr="00670217">
        <w:rPr>
          <w:sz w:val="20"/>
        </w:rPr>
        <w:t>–</w:t>
      </w:r>
      <w:r w:rsidRPr="00670217">
        <w:rPr>
          <w:sz w:val="20"/>
        </w:rPr>
        <w:tab/>
        <w:t>les services spatiaux,</w:t>
      </w:r>
    </w:p>
    <w:p w:rsidR="000D5864" w:rsidRPr="00670217" w:rsidRDefault="000D5864" w:rsidP="00E63D91">
      <w:pPr>
        <w:pStyle w:val="enumlev1"/>
        <w:rPr>
          <w:sz w:val="20"/>
        </w:rPr>
      </w:pPr>
      <w:r w:rsidRPr="00670217">
        <w:rPr>
          <w:sz w:val="20"/>
        </w:rPr>
        <w:t>–</w:t>
      </w:r>
      <w:r w:rsidRPr="00670217">
        <w:rPr>
          <w:sz w:val="20"/>
        </w:rPr>
        <w:tab/>
        <w:t>les services en dessous de 30 MHz.</w:t>
      </w:r>
    </w:p>
    <w:p w:rsidR="000D5864" w:rsidRPr="00670217" w:rsidRDefault="000D5864" w:rsidP="000D5864">
      <w:pPr>
        <w:rPr>
          <w:sz w:val="20"/>
        </w:rPr>
      </w:pPr>
      <w:r w:rsidRPr="00670217">
        <w:rPr>
          <w:sz w:val="20"/>
        </w:rPr>
        <w:t xml:space="preserve">D'autres systèmes radioélectriques ont besoin d'attributions mondiales parce qu'ils assurent ou peuvent assurer un service mondial à l'intention de toutes les administrations qui le souhaitent. </w:t>
      </w:r>
      <w:proofErr w:type="spellStart"/>
      <w:r w:rsidRPr="00670217">
        <w:rPr>
          <w:sz w:val="20"/>
        </w:rPr>
        <w:t>A</w:t>
      </w:r>
      <w:proofErr w:type="spellEnd"/>
      <w:r w:rsidRPr="00670217">
        <w:rPr>
          <w:sz w:val="20"/>
        </w:rPr>
        <w:t xml:space="preserve"> titre d'exemple, on peut citer:</w:t>
      </w:r>
    </w:p>
    <w:p w:rsidR="000D5864" w:rsidRPr="00670217" w:rsidRDefault="000D5864" w:rsidP="00E63D91">
      <w:pPr>
        <w:pStyle w:val="enumlev1"/>
        <w:rPr>
          <w:sz w:val="20"/>
        </w:rPr>
      </w:pPr>
      <w:r w:rsidRPr="00670217">
        <w:rPr>
          <w:sz w:val="20"/>
        </w:rPr>
        <w:t>–</w:t>
      </w:r>
      <w:r w:rsidRPr="00670217">
        <w:rPr>
          <w:sz w:val="20"/>
        </w:rPr>
        <w:tab/>
        <w:t>le service mobile par satellite assuré par des fournisseurs de services de télécommunication du secteur public ou du secteur privé,</w:t>
      </w:r>
    </w:p>
    <w:p w:rsidR="000D5864" w:rsidRPr="00670217" w:rsidRDefault="000D5864" w:rsidP="00E63D91">
      <w:pPr>
        <w:pStyle w:val="enumlev1"/>
        <w:rPr>
          <w:sz w:val="20"/>
        </w:rPr>
      </w:pPr>
      <w:r w:rsidRPr="00670217">
        <w:rPr>
          <w:sz w:val="20"/>
        </w:rPr>
        <w:t>–</w:t>
      </w:r>
      <w:r w:rsidRPr="00670217">
        <w:rPr>
          <w:sz w:val="20"/>
        </w:rPr>
        <w:tab/>
        <w:t>le service fixe par satellite,</w:t>
      </w:r>
    </w:p>
    <w:p w:rsidR="000D5864" w:rsidRPr="00670217" w:rsidRDefault="000D5864" w:rsidP="00E63D91">
      <w:pPr>
        <w:pStyle w:val="enumlev1"/>
        <w:rPr>
          <w:sz w:val="20"/>
        </w:rPr>
      </w:pPr>
      <w:r w:rsidRPr="00670217">
        <w:rPr>
          <w:sz w:val="20"/>
        </w:rPr>
        <w:t>–</w:t>
      </w:r>
      <w:r w:rsidRPr="00670217">
        <w:rPr>
          <w:sz w:val="20"/>
        </w:rPr>
        <w:tab/>
        <w:t>le service de radionavigation par satellite,</w:t>
      </w:r>
    </w:p>
    <w:p w:rsidR="000D5864" w:rsidRPr="00670217" w:rsidRDefault="000D5864" w:rsidP="008E160F">
      <w:pPr>
        <w:pStyle w:val="enumlev1"/>
        <w:rPr>
          <w:sz w:val="20"/>
        </w:rPr>
      </w:pPr>
      <w:r w:rsidRPr="00670217">
        <w:rPr>
          <w:sz w:val="20"/>
        </w:rPr>
        <w:t>–</w:t>
      </w:r>
      <w:r w:rsidRPr="00670217">
        <w:rPr>
          <w:sz w:val="20"/>
        </w:rPr>
        <w:tab/>
        <w:t xml:space="preserve">le service mobile terrestre assuré par les </w:t>
      </w:r>
      <w:r w:rsidR="008E160F">
        <w:rPr>
          <w:sz w:val="20"/>
        </w:rPr>
        <w:t>IMT</w:t>
      </w:r>
      <w:bookmarkStart w:id="3" w:name="_GoBack"/>
      <w:bookmarkEnd w:id="3"/>
      <w:r w:rsidRPr="00670217">
        <w:rPr>
          <w:sz w:val="20"/>
        </w:rPr>
        <w:t>.</w:t>
      </w:r>
    </w:p>
    <w:p w:rsidR="000D5864" w:rsidRPr="00670217" w:rsidRDefault="000D5864" w:rsidP="000D5864">
      <w:pPr>
        <w:pStyle w:val="Heading1"/>
        <w:rPr>
          <w:sz w:val="20"/>
        </w:rPr>
      </w:pPr>
      <w:r w:rsidRPr="00670217">
        <w:rPr>
          <w:sz w:val="20"/>
        </w:rPr>
        <w:t>4</w:t>
      </w:r>
      <w:r w:rsidRPr="00670217">
        <w:rPr>
          <w:sz w:val="20"/>
        </w:rPr>
        <w:tab/>
        <w:t>Facteurs économiques</w:t>
      </w:r>
    </w:p>
    <w:p w:rsidR="000D5864" w:rsidRPr="00670217" w:rsidRDefault="000D5864" w:rsidP="000D5864">
      <w:pPr>
        <w:rPr>
          <w:sz w:val="20"/>
        </w:rPr>
      </w:pPr>
      <w:r w:rsidRPr="00670217">
        <w:rPr>
          <w:sz w:val="20"/>
        </w:rPr>
        <w:t>Le coût des attributions mondiales doit être examiné au regard des avantages qu'elles apportent. L'existence d'attributions mondiales peut stimuler l'offre d'équipements sur les marchés internationaux, ce qui peut entraîner une baisse du prix des équipements et une simplification de leurs modalités d'achat. Il se peut toutefois qu'il ne soit pas toujours possible d'assigner de nouvelles fréquences aux équipements en service en raison de limitations propres à ces équipements ou bien parce que le service fourni pâtira du changement requis. Par conséquent, les coûts peuvent intégrer plusieurs éléments, par exemple l'élimination d'équipements qui sont exploités dans des attributions régionales non conformes ou bien les pertes que subissent les fabricants qui ont beaucoup investi dans des technologies connexes. Les progrès techniques, par exemple les synthétiseurs de fréquence, font baisser les coûts afférents au changement de fréquences; dans le cas de différentes attributions régionales, ils font aussi baisser les coûts liés par exemple à l'inefficacité au niveau de la production et à l'étroitesse des marchés.</w:t>
      </w:r>
    </w:p>
    <w:p w:rsidR="000D5864" w:rsidRPr="00670217" w:rsidRDefault="000D5864" w:rsidP="000D5864">
      <w:pPr>
        <w:pStyle w:val="Heading1"/>
        <w:rPr>
          <w:sz w:val="20"/>
        </w:rPr>
      </w:pPr>
      <w:r w:rsidRPr="00670217">
        <w:rPr>
          <w:sz w:val="20"/>
        </w:rPr>
        <w:t>5</w:t>
      </w:r>
      <w:r w:rsidRPr="00670217">
        <w:rPr>
          <w:sz w:val="20"/>
        </w:rPr>
        <w:tab/>
        <w:t>Autres facteurs</w:t>
      </w:r>
    </w:p>
    <w:p w:rsidR="000D5864" w:rsidRPr="00670217" w:rsidRDefault="000D5864" w:rsidP="000D5864">
      <w:pPr>
        <w:rPr>
          <w:sz w:val="20"/>
        </w:rPr>
      </w:pPr>
      <w:r w:rsidRPr="00670217">
        <w:rPr>
          <w:sz w:val="20"/>
        </w:rPr>
        <w:t xml:space="preserve">Le RR et le Tableau d'attribution des bandes de fréquences figurant dans ce Règlement accordent des dérogations (dans le cadre de renvois) aux administrations concernant l'utilisation d'une attribution particulière. Ces dérogations prennent la forme d'attributions additionnelles ou de remplacement. L'utilisation de ces attributions peut avoir un effet perturbateur mais elle relève de la souveraineté d'un </w:t>
      </w:r>
      <w:proofErr w:type="spellStart"/>
      <w:r w:rsidRPr="00670217">
        <w:rPr>
          <w:sz w:val="20"/>
        </w:rPr>
        <w:t>Etat</w:t>
      </w:r>
      <w:proofErr w:type="spellEnd"/>
      <w:r w:rsidRPr="00670217">
        <w:rPr>
          <w:sz w:val="20"/>
        </w:rPr>
        <w:t xml:space="preserve"> et suppose une certaine souplesse. L'élimination des différences d'attributions entre régions ne supprimera pas ces dérogations.</w:t>
      </w:r>
    </w:p>
    <w:p w:rsidR="000D5864" w:rsidRDefault="000D5864" w:rsidP="000D5864">
      <w:pPr>
        <w:rPr>
          <w:sz w:val="20"/>
        </w:rPr>
      </w:pPr>
    </w:p>
    <w:p w:rsidR="000D5864" w:rsidRPr="00670217" w:rsidRDefault="000D5864" w:rsidP="000D5864">
      <w:pPr>
        <w:pStyle w:val="Line"/>
        <w:rPr>
          <w:lang w:val="fr-CH"/>
        </w:rPr>
      </w:pPr>
    </w:p>
    <w:sectPr w:rsidR="000D5864" w:rsidRPr="00670217" w:rsidSect="00E63D91">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864" w:rsidRDefault="000D5864">
      <w:r>
        <w:separator/>
      </w:r>
    </w:p>
  </w:endnote>
  <w:endnote w:type="continuationSeparator" w:id="0">
    <w:p w:rsidR="000D5864" w:rsidRDefault="000D5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864" w:rsidRDefault="000D5864">
      <w:r>
        <w:separator/>
      </w:r>
    </w:p>
  </w:footnote>
  <w:footnote w:type="continuationSeparator" w:id="0">
    <w:p w:rsidR="000D5864" w:rsidRDefault="000D5864">
      <w:r>
        <w:continuationSeparator/>
      </w:r>
    </w:p>
  </w:footnote>
  <w:footnote w:id="1">
    <w:p w:rsidR="00E63D91" w:rsidRPr="00670217" w:rsidRDefault="00E63D91" w:rsidP="00670217">
      <w:pPr>
        <w:pStyle w:val="FootnoteText"/>
        <w:rPr>
          <w:sz w:val="18"/>
          <w:szCs w:val="18"/>
        </w:rPr>
      </w:pPr>
      <w:r w:rsidRPr="00670217">
        <w:rPr>
          <w:rStyle w:val="FootnoteReference"/>
          <w:sz w:val="16"/>
          <w:szCs w:val="16"/>
        </w:rPr>
        <w:t>*</w:t>
      </w:r>
      <w:r w:rsidRPr="00670217">
        <w:rPr>
          <w:sz w:val="16"/>
          <w:szCs w:val="16"/>
        </w:rPr>
        <w:t xml:space="preserve"> </w:t>
      </w:r>
      <w:r w:rsidRPr="00670217">
        <w:rPr>
          <w:sz w:val="18"/>
          <w:szCs w:val="18"/>
        </w:rPr>
        <w:tab/>
        <w:t>La présente Recommandation doit être portée à l'attention des Commissions d'études 1 et 2 du développement des télécommunications (UIT-D).</w:t>
      </w:r>
    </w:p>
  </w:footnote>
  <w:footnote w:id="2">
    <w:p w:rsidR="00E63D91" w:rsidRPr="00670217" w:rsidRDefault="00E63D91" w:rsidP="008E160F">
      <w:pPr>
        <w:pStyle w:val="FootnoteText"/>
        <w:rPr>
          <w:sz w:val="18"/>
          <w:szCs w:val="18"/>
        </w:rPr>
      </w:pPr>
      <w:r w:rsidRPr="00670217">
        <w:rPr>
          <w:rStyle w:val="FootnoteReference"/>
          <w:sz w:val="16"/>
          <w:szCs w:val="16"/>
        </w:rPr>
        <w:t>**</w:t>
      </w:r>
      <w:r w:rsidRPr="00670217">
        <w:rPr>
          <w:sz w:val="18"/>
          <w:szCs w:val="18"/>
        </w:rPr>
        <w:t xml:space="preserve"> </w:t>
      </w:r>
      <w:r w:rsidRPr="00670217">
        <w:rPr>
          <w:sz w:val="18"/>
          <w:szCs w:val="18"/>
        </w:rPr>
        <w:tab/>
        <w:t>La Commission d'études 1 des radiocommunications a apporté des modifications rédactionnelles à la présente Recommandation en 2011</w:t>
      </w:r>
      <w:r w:rsidR="008E160F">
        <w:rPr>
          <w:sz w:val="18"/>
          <w:szCs w:val="18"/>
        </w:rPr>
        <w:t>et en 2015</w:t>
      </w:r>
      <w:r w:rsidRPr="00670217">
        <w:rPr>
          <w:sz w:val="18"/>
          <w:szCs w:val="18"/>
        </w:rPr>
        <w:t>, conformément aux dispositions de la Résolution UIT</w:t>
      </w:r>
      <w:r w:rsidRPr="00670217">
        <w:rPr>
          <w:sz w:val="18"/>
          <w:szCs w:val="18"/>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864" w:rsidRDefault="000D586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864" w:rsidRDefault="000D5864" w:rsidP="00C668C8">
    <w:pPr>
      <w:pStyle w:val="Header"/>
      <w:ind w:right="360" w:firstLine="360"/>
    </w:pPr>
    <w:r>
      <w:rPr>
        <w:noProof/>
        <w:lang w:val="en-US" w:eastAsia="zh-CN"/>
      </w:rPr>
      <w:drawing>
        <wp:anchor distT="0" distB="0" distL="114300" distR="114300" simplePos="0" relativeHeight="251659264" behindDoc="1" locked="0" layoutInCell="1" allowOverlap="1" wp14:anchorId="2C50D49A" wp14:editId="33F8E10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864" w:rsidRPr="007D3E64" w:rsidRDefault="000D5864">
    <w:pPr>
      <w:pStyle w:val="Header"/>
      <w:jc w:val="left"/>
      <w:rPr>
        <w:sz w:val="20"/>
        <w:lang w:val="en-US"/>
      </w:rPr>
    </w:pPr>
    <w:r w:rsidRPr="007D3E64">
      <w:rPr>
        <w:rStyle w:val="PageNumber"/>
        <w:b/>
        <w:bCs/>
        <w:sz w:val="20"/>
      </w:rPr>
      <w:fldChar w:fldCharType="begin"/>
    </w:r>
    <w:r w:rsidRPr="007D3E64">
      <w:rPr>
        <w:rStyle w:val="PageNumber"/>
        <w:b/>
        <w:bCs/>
        <w:sz w:val="20"/>
        <w:lang w:val="en-US"/>
      </w:rPr>
      <w:instrText xml:space="preserve"> PAGE </w:instrText>
    </w:r>
    <w:r w:rsidRPr="007D3E64">
      <w:rPr>
        <w:rStyle w:val="PageNumber"/>
        <w:b/>
        <w:bCs/>
        <w:sz w:val="20"/>
      </w:rPr>
      <w:fldChar w:fldCharType="separate"/>
    </w:r>
    <w:r w:rsidR="00E45D86">
      <w:rPr>
        <w:rStyle w:val="PageNumber"/>
        <w:b/>
        <w:bCs/>
        <w:noProof/>
        <w:sz w:val="20"/>
        <w:lang w:val="en-US"/>
      </w:rPr>
      <w:t>ii</w:t>
    </w:r>
    <w:r w:rsidRPr="007D3E64">
      <w:rPr>
        <w:rStyle w:val="PageNumber"/>
        <w:b/>
        <w:bCs/>
        <w:sz w:val="20"/>
      </w:rPr>
      <w:fldChar w:fldCharType="end"/>
    </w:r>
    <w:r w:rsidRPr="007D3E64">
      <w:rPr>
        <w:sz w:val="20"/>
        <w:lang w:val="en-US"/>
      </w:rPr>
      <w:tab/>
    </w:r>
    <w:r w:rsidRPr="007D3E64">
      <w:rPr>
        <w:sz w:val="20"/>
      </w:rPr>
      <w:fldChar w:fldCharType="begin"/>
    </w:r>
    <w:r w:rsidRPr="007D3E64">
      <w:rPr>
        <w:sz w:val="20"/>
        <w:lang w:val="en-US"/>
      </w:rPr>
      <w:instrText xml:space="preserve"> DOCPROPERTY "Header" \* MERGEFORMAT </w:instrText>
    </w:r>
    <w:r w:rsidRPr="007D3E64">
      <w:rPr>
        <w:sz w:val="20"/>
      </w:rPr>
      <w:fldChar w:fldCharType="separate"/>
    </w:r>
    <w:r w:rsidR="00E45D86" w:rsidRPr="00E45D86">
      <w:rPr>
        <w:b/>
        <w:bCs/>
        <w:sz w:val="20"/>
        <w:lang w:val="en-US"/>
      </w:rPr>
      <w:t xml:space="preserve">Rec. </w:t>
    </w:r>
    <w:r w:rsidRPr="007D3E64">
      <w:rPr>
        <w:b/>
        <w:bCs/>
        <w:sz w:val="20"/>
      </w:rPr>
      <w:fldChar w:fldCharType="end"/>
    </w:r>
    <w:r w:rsidRPr="007D3E64">
      <w:rPr>
        <w:b/>
        <w:bCs/>
        <w:sz w:val="20"/>
        <w:lang w:val="en-US"/>
      </w:rPr>
      <w:t xml:space="preserve"> </w:t>
    </w:r>
    <w:r w:rsidRPr="007D3E64">
      <w:rPr>
        <w:b/>
        <w:bCs/>
        <w:sz w:val="20"/>
      </w:rPr>
      <w:fldChar w:fldCharType="begin"/>
    </w:r>
    <w:r w:rsidRPr="007D3E64">
      <w:rPr>
        <w:b/>
        <w:bCs/>
        <w:sz w:val="20"/>
        <w:lang w:val="en-US"/>
      </w:rPr>
      <w:instrText>styleref href</w:instrText>
    </w:r>
    <w:r w:rsidRPr="007D3E64">
      <w:rPr>
        <w:b/>
        <w:bCs/>
        <w:sz w:val="20"/>
      </w:rPr>
      <w:fldChar w:fldCharType="separate"/>
    </w:r>
    <w:r w:rsidR="00E45D86">
      <w:rPr>
        <w:b/>
        <w:bCs/>
        <w:noProof/>
        <w:sz w:val="20"/>
      </w:rPr>
      <w:t>UIT-R SM.1131</w:t>
    </w:r>
    <w:r w:rsidRPr="007D3E64">
      <w:rPr>
        <w:b/>
        <w:bCs/>
        <w:sz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864" w:rsidRDefault="000D5864">
    <w:pPr>
      <w:pStyle w:val="Header"/>
    </w:pPr>
    <w:r>
      <w:tab/>
    </w:r>
    <w:r>
      <w:fldChar w:fldCharType="begin"/>
    </w:r>
    <w:r w:rsidRPr="000D5864">
      <w:rPr>
        <w:lang w:val="en-US"/>
      </w:rPr>
      <w:instrText xml:space="preserve"> DOCPROPERTY "Header" \* MERGEFORMAT </w:instrText>
    </w:r>
    <w:r>
      <w:fldChar w:fldCharType="separate"/>
    </w:r>
    <w:r w:rsidR="00E45D86" w:rsidRPr="00E45D86">
      <w:rPr>
        <w:b/>
        <w:bCs/>
        <w:lang w:val="en-US"/>
      </w:rPr>
      <w:t xml:space="preserve">Rec. </w:t>
    </w:r>
    <w:r>
      <w:rPr>
        <w:b/>
        <w:bCs/>
      </w:rPr>
      <w:fldChar w:fldCharType="end"/>
    </w:r>
    <w:r w:rsidRPr="000D5864">
      <w:rPr>
        <w:b/>
        <w:bCs/>
        <w:lang w:val="en-US"/>
      </w:rPr>
      <w:t xml:space="preserve"> </w:t>
    </w:r>
    <w:r>
      <w:rPr>
        <w:b/>
        <w:bCs/>
      </w:rPr>
      <w:fldChar w:fldCharType="begin"/>
    </w:r>
    <w:r w:rsidRPr="000D5864">
      <w:rPr>
        <w:b/>
        <w:bCs/>
        <w:lang w:val="en-US"/>
      </w:rPr>
      <w:instrText>styleref href</w:instrText>
    </w:r>
    <w:r>
      <w:rPr>
        <w:b/>
        <w:bCs/>
      </w:rPr>
      <w:fldChar w:fldCharType="separate"/>
    </w:r>
    <w:r w:rsidR="00E45D86">
      <w:rPr>
        <w:b/>
        <w:bCs/>
        <w:noProof/>
      </w:rPr>
      <w:t>UIT-R SM.1131</w:t>
    </w:r>
    <w:r>
      <w:rPr>
        <w:b/>
        <w:bCs/>
      </w:rPr>
      <w:fldChar w:fldCharType="end"/>
    </w:r>
    <w:r w:rsidRPr="000D5864">
      <w:rPr>
        <w:lang w:val="en-US"/>
      </w:rPr>
      <w:tab/>
    </w:r>
    <w:r>
      <w:rPr>
        <w:rStyle w:val="PageNumber"/>
        <w:b/>
        <w:bCs/>
      </w:rPr>
      <w:fldChar w:fldCharType="begin"/>
    </w:r>
    <w:r w:rsidRPr="000D5864">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7D3E64" w:rsidRDefault="00607D68">
    <w:pPr>
      <w:pStyle w:val="Header"/>
      <w:jc w:val="left"/>
      <w:rPr>
        <w:sz w:val="20"/>
        <w:lang w:val="en-US"/>
      </w:rPr>
    </w:pPr>
    <w:r w:rsidRPr="007D3E64">
      <w:rPr>
        <w:rStyle w:val="PageNumber"/>
        <w:b/>
        <w:bCs/>
        <w:sz w:val="20"/>
      </w:rPr>
      <w:fldChar w:fldCharType="begin"/>
    </w:r>
    <w:r w:rsidRPr="007D3E64">
      <w:rPr>
        <w:rStyle w:val="PageNumber"/>
        <w:b/>
        <w:bCs/>
        <w:sz w:val="20"/>
        <w:lang w:val="en-US"/>
      </w:rPr>
      <w:instrText xml:space="preserve"> PAGE </w:instrText>
    </w:r>
    <w:r w:rsidRPr="007D3E64">
      <w:rPr>
        <w:rStyle w:val="PageNumber"/>
        <w:b/>
        <w:bCs/>
        <w:sz w:val="20"/>
      </w:rPr>
      <w:fldChar w:fldCharType="separate"/>
    </w:r>
    <w:r w:rsidR="00E45D86">
      <w:rPr>
        <w:rStyle w:val="PageNumber"/>
        <w:b/>
        <w:bCs/>
        <w:noProof/>
        <w:sz w:val="20"/>
        <w:lang w:val="en-US"/>
      </w:rPr>
      <w:t>2</w:t>
    </w:r>
    <w:r w:rsidRPr="007D3E64">
      <w:rPr>
        <w:rStyle w:val="PageNumber"/>
        <w:b/>
        <w:bCs/>
        <w:sz w:val="20"/>
      </w:rPr>
      <w:fldChar w:fldCharType="end"/>
    </w:r>
    <w:r w:rsidRPr="007D3E64">
      <w:rPr>
        <w:sz w:val="20"/>
        <w:lang w:val="en-US"/>
      </w:rPr>
      <w:tab/>
    </w:r>
    <w:r w:rsidR="009E00A8" w:rsidRPr="007D3E64">
      <w:rPr>
        <w:sz w:val="20"/>
      </w:rPr>
      <w:fldChar w:fldCharType="begin"/>
    </w:r>
    <w:r w:rsidR="009E00A8" w:rsidRPr="007D3E64">
      <w:rPr>
        <w:sz w:val="20"/>
        <w:lang w:val="en-US"/>
      </w:rPr>
      <w:instrText xml:space="preserve"> DOCPROPERTY "Header" \* MERGEFORMAT </w:instrText>
    </w:r>
    <w:r w:rsidR="009E00A8" w:rsidRPr="007D3E64">
      <w:rPr>
        <w:sz w:val="20"/>
      </w:rPr>
      <w:fldChar w:fldCharType="separate"/>
    </w:r>
    <w:r w:rsidR="00E45D86" w:rsidRPr="00E45D86">
      <w:rPr>
        <w:b/>
        <w:bCs/>
        <w:sz w:val="20"/>
        <w:lang w:val="en-US"/>
      </w:rPr>
      <w:t xml:space="preserve">Rec. </w:t>
    </w:r>
    <w:r w:rsidR="009E00A8" w:rsidRPr="007D3E64">
      <w:rPr>
        <w:b/>
        <w:bCs/>
        <w:sz w:val="20"/>
        <w:lang w:val="en-US"/>
      </w:rPr>
      <w:fldChar w:fldCharType="end"/>
    </w:r>
    <w:r w:rsidRPr="007D3E64">
      <w:rPr>
        <w:b/>
        <w:bCs/>
        <w:sz w:val="20"/>
        <w:lang w:val="en-US"/>
      </w:rPr>
      <w:t xml:space="preserve"> </w:t>
    </w:r>
    <w:r w:rsidRPr="007D3E64">
      <w:rPr>
        <w:b/>
        <w:bCs/>
        <w:sz w:val="20"/>
      </w:rPr>
      <w:fldChar w:fldCharType="begin"/>
    </w:r>
    <w:r w:rsidRPr="007D3E64">
      <w:rPr>
        <w:b/>
        <w:bCs/>
        <w:sz w:val="20"/>
        <w:lang w:val="en-US"/>
      </w:rPr>
      <w:instrText>styleref href</w:instrText>
    </w:r>
    <w:r w:rsidRPr="007D3E64">
      <w:rPr>
        <w:b/>
        <w:bCs/>
        <w:sz w:val="20"/>
      </w:rPr>
      <w:fldChar w:fldCharType="separate"/>
    </w:r>
    <w:r w:rsidR="00E45D86">
      <w:rPr>
        <w:b/>
        <w:bCs/>
        <w:noProof/>
        <w:sz w:val="20"/>
      </w:rPr>
      <w:t>UIT-R SM.1131</w:t>
    </w:r>
    <w:r w:rsidRPr="007D3E64">
      <w:rPr>
        <w:b/>
        <w:bCs/>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7D3E64" w:rsidRDefault="00607D68">
    <w:pPr>
      <w:pStyle w:val="Header"/>
      <w:rPr>
        <w:sz w:val="20"/>
      </w:rPr>
    </w:pPr>
    <w:r w:rsidRPr="007D3E64">
      <w:rPr>
        <w:sz w:val="20"/>
      </w:rPr>
      <w:tab/>
    </w:r>
    <w:r w:rsidR="00D66975" w:rsidRPr="007D3E64">
      <w:rPr>
        <w:sz w:val="20"/>
      </w:rPr>
      <w:fldChar w:fldCharType="begin"/>
    </w:r>
    <w:r w:rsidR="00D66975" w:rsidRPr="007D3E64">
      <w:rPr>
        <w:sz w:val="20"/>
      </w:rPr>
      <w:instrText xml:space="preserve"> DOCPROPERTY "Header" \* MERGEFORMAT </w:instrText>
    </w:r>
    <w:r w:rsidR="00D66975" w:rsidRPr="007D3E64">
      <w:rPr>
        <w:sz w:val="20"/>
      </w:rPr>
      <w:fldChar w:fldCharType="separate"/>
    </w:r>
    <w:r w:rsidR="00E45D86" w:rsidRPr="00E45D86">
      <w:rPr>
        <w:b/>
        <w:bCs/>
        <w:sz w:val="20"/>
      </w:rPr>
      <w:t xml:space="preserve">Rec. </w:t>
    </w:r>
    <w:r w:rsidR="00D66975" w:rsidRPr="007D3E64">
      <w:rPr>
        <w:b/>
        <w:bCs/>
        <w:sz w:val="20"/>
      </w:rPr>
      <w:fldChar w:fldCharType="end"/>
    </w:r>
    <w:r w:rsidRPr="007D3E64">
      <w:rPr>
        <w:b/>
        <w:bCs/>
        <w:sz w:val="20"/>
      </w:rPr>
      <w:t xml:space="preserve"> </w:t>
    </w:r>
    <w:r w:rsidRPr="007D3E64">
      <w:rPr>
        <w:b/>
        <w:bCs/>
        <w:sz w:val="20"/>
      </w:rPr>
      <w:fldChar w:fldCharType="begin"/>
    </w:r>
    <w:r w:rsidRPr="007D3E64">
      <w:rPr>
        <w:b/>
        <w:bCs/>
        <w:sz w:val="20"/>
      </w:rPr>
      <w:instrText>styleref href</w:instrText>
    </w:r>
    <w:r w:rsidRPr="007D3E64">
      <w:rPr>
        <w:b/>
        <w:bCs/>
        <w:sz w:val="20"/>
      </w:rPr>
      <w:fldChar w:fldCharType="separate"/>
    </w:r>
    <w:r w:rsidR="00E45D86">
      <w:rPr>
        <w:b/>
        <w:bCs/>
        <w:noProof/>
        <w:sz w:val="20"/>
      </w:rPr>
      <w:t>UIT-R SM.1131</w:t>
    </w:r>
    <w:r w:rsidRPr="007D3E64">
      <w:rPr>
        <w:b/>
        <w:bCs/>
        <w:sz w:val="20"/>
      </w:rPr>
      <w:fldChar w:fldCharType="end"/>
    </w:r>
    <w:r w:rsidRPr="007D3E64">
      <w:rPr>
        <w:sz w:val="20"/>
      </w:rPr>
      <w:tab/>
    </w:r>
    <w:r w:rsidRPr="007D3E64">
      <w:rPr>
        <w:rStyle w:val="PageNumber"/>
        <w:b/>
        <w:bCs/>
        <w:sz w:val="20"/>
      </w:rPr>
      <w:fldChar w:fldCharType="begin"/>
    </w:r>
    <w:r w:rsidRPr="007D3E64">
      <w:rPr>
        <w:rStyle w:val="PageNumber"/>
        <w:b/>
        <w:bCs/>
        <w:sz w:val="20"/>
      </w:rPr>
      <w:instrText xml:space="preserve"> PAGE </w:instrText>
    </w:r>
    <w:r w:rsidRPr="007D3E64">
      <w:rPr>
        <w:rStyle w:val="PageNumber"/>
        <w:b/>
        <w:bCs/>
        <w:sz w:val="20"/>
      </w:rPr>
      <w:fldChar w:fldCharType="separate"/>
    </w:r>
    <w:r w:rsidR="00E45D86">
      <w:rPr>
        <w:rStyle w:val="PageNumber"/>
        <w:b/>
        <w:bCs/>
        <w:noProof/>
        <w:sz w:val="20"/>
      </w:rPr>
      <w:t>1</w:t>
    </w:r>
    <w:r w:rsidRPr="007D3E64">
      <w:rPr>
        <w:rStyle w:val="PageNumber"/>
        <w:b/>
        <w:bCs/>
        <w:sz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864"/>
    <w:rsid w:val="000D5864"/>
    <w:rsid w:val="002115A5"/>
    <w:rsid w:val="00217EBF"/>
    <w:rsid w:val="002D76C4"/>
    <w:rsid w:val="00336917"/>
    <w:rsid w:val="00607D68"/>
    <w:rsid w:val="00670217"/>
    <w:rsid w:val="007468DA"/>
    <w:rsid w:val="00756C22"/>
    <w:rsid w:val="007D3E64"/>
    <w:rsid w:val="008A5BBC"/>
    <w:rsid w:val="008E160F"/>
    <w:rsid w:val="009E00A8"/>
    <w:rsid w:val="00A6617B"/>
    <w:rsid w:val="00AB0DC8"/>
    <w:rsid w:val="00B44E24"/>
    <w:rsid w:val="00BD3A6F"/>
    <w:rsid w:val="00CE07D1"/>
    <w:rsid w:val="00D34400"/>
    <w:rsid w:val="00D66975"/>
    <w:rsid w:val="00DF4176"/>
    <w:rsid w:val="00E45D86"/>
    <w:rsid w:val="00E63D91"/>
    <w:rsid w:val="00F56A87"/>
    <w:rsid w:val="00FC4C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560CE68-4D6C-41CE-8595-8D4E502F8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D5864"/>
    <w:rPr>
      <w:color w:val="0000FF"/>
      <w:u w:val="single"/>
    </w:rPr>
  </w:style>
  <w:style w:type="paragraph" w:customStyle="1" w:styleId="RecNoBR">
    <w:name w:val="Rec_No_BR"/>
    <w:basedOn w:val="Normal"/>
    <w:next w:val="Rectitle"/>
    <w:rsid w:val="000D5864"/>
    <w:pPr>
      <w:keepNext/>
      <w:keepLines/>
      <w:spacing w:before="480"/>
      <w:jc w:val="center"/>
    </w:pPr>
    <w:rPr>
      <w:caps/>
      <w:sz w:val="28"/>
    </w:rPr>
  </w:style>
  <w:style w:type="paragraph" w:customStyle="1" w:styleId="Annex">
    <w:name w:val="Annex_#"/>
    <w:basedOn w:val="Normal"/>
    <w:next w:val="Annexref"/>
    <w:rsid w:val="000D5864"/>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0D5864"/>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RecTitleRef"/>
    <w:rsid w:val="000D5864"/>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0D5864"/>
    <w:pPr>
      <w:spacing w:before="480"/>
      <w:jc w:val="left"/>
    </w:pPr>
  </w:style>
  <w:style w:type="paragraph" w:customStyle="1" w:styleId="call0">
    <w:name w:val="call"/>
    <w:basedOn w:val="Normal"/>
    <w:next w:val="Normal"/>
    <w:rsid w:val="000D5864"/>
    <w:pPr>
      <w:keepNext/>
      <w:keepLines/>
      <w:tabs>
        <w:tab w:val="clear" w:pos="1191"/>
        <w:tab w:val="clear" w:pos="1588"/>
        <w:tab w:val="clear" w:pos="1985"/>
      </w:tabs>
      <w:spacing w:before="227"/>
      <w:ind w:left="794"/>
      <w:jc w:val="left"/>
    </w:pPr>
    <w:rPr>
      <w:i/>
      <w:iCs/>
    </w:rPr>
  </w:style>
  <w:style w:type="paragraph" w:customStyle="1" w:styleId="RecTitleRef">
    <w:name w:val="Rec_Title/Ref"/>
    <w:basedOn w:val="RecTitle0"/>
    <w:next w:val="RecTitleDate"/>
    <w:rsid w:val="000D5864"/>
    <w:pPr>
      <w:spacing w:before="136"/>
    </w:pPr>
    <w:rPr>
      <w:b w:val="0"/>
      <w:bCs w:val="0"/>
    </w:rPr>
  </w:style>
  <w:style w:type="paragraph" w:customStyle="1" w:styleId="RecTitleDate">
    <w:name w:val="Rec_Title/Date"/>
    <w:basedOn w:val="RecTitleRef"/>
    <w:next w:val="headfoot"/>
    <w:rsid w:val="000D5864"/>
    <w:pPr>
      <w:tabs>
        <w:tab w:val="clear" w:pos="4849"/>
      </w:tabs>
      <w:jc w:val="right"/>
    </w:pPr>
  </w:style>
  <w:style w:type="paragraph" w:customStyle="1" w:styleId="headfoot">
    <w:name w:val="head_foot"/>
    <w:basedOn w:val="Normal"/>
    <w:next w:val="Normalaftertitle0"/>
    <w:rsid w:val="000D5864"/>
    <w:pPr>
      <w:tabs>
        <w:tab w:val="clear" w:pos="794"/>
        <w:tab w:val="clear" w:pos="1191"/>
        <w:tab w:val="clear" w:pos="1588"/>
        <w:tab w:val="clear" w:pos="1985"/>
      </w:tabs>
      <w:spacing w:before="0"/>
      <w:jc w:val="left"/>
    </w:pPr>
    <w:rPr>
      <w:color w:val="FF0000"/>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4</Pages>
  <Words>1371</Words>
  <Characters>7816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Al-Yammouni, Hala</cp:lastModifiedBy>
  <cp:revision>16</cp:revision>
  <cp:lastPrinted>2015-08-13T15:50:00Z</cp:lastPrinted>
  <dcterms:created xsi:type="dcterms:W3CDTF">2011-09-12T13:28:00Z</dcterms:created>
  <dcterms:modified xsi:type="dcterms:W3CDTF">2015-08-13T15:53:00Z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