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21781" w14:textId="48EFF346" w:rsidR="00000000" w:rsidRPr="007D38CE" w:rsidRDefault="007D38CE">
      <w:pPr>
        <w:pStyle w:val="Rec"/>
        <w:spacing w:before="0"/>
        <w:rPr>
          <w:lang w:val="fr-CH"/>
        </w:rPr>
      </w:pPr>
      <w:bookmarkStart w:id="0" w:name="_GoBack"/>
      <w:bookmarkEnd w:id="0"/>
      <w:proofErr w:type="gramStart"/>
      <w:r w:rsidRPr="007D38CE">
        <w:rPr>
          <w:lang w:val="fr-CH"/>
        </w:rPr>
        <w:t>RECOMMANDATION  UIT</w:t>
      </w:r>
      <w:proofErr w:type="gramEnd"/>
      <w:r w:rsidRPr="007D38CE">
        <w:rPr>
          <w:lang w:val="fr-CH"/>
        </w:rPr>
        <w:t>-R  SM.1049-1</w:t>
      </w:r>
      <w:r>
        <w:rPr>
          <w:rStyle w:val="FootnoteReference"/>
          <w:lang w:val="fr-CH"/>
        </w:rPr>
        <w:footnoteReference w:customMarkFollows="1" w:id="1"/>
        <w:t>*</w:t>
      </w:r>
    </w:p>
    <w:p w14:paraId="5BDC6FC7" w14:textId="77777777" w:rsidR="00000000" w:rsidRPr="007D38CE" w:rsidRDefault="007D38CE">
      <w:pPr>
        <w:pStyle w:val="RecTitle"/>
        <w:rPr>
          <w:lang w:val="fr-CH"/>
        </w:rPr>
      </w:pPr>
      <w:proofErr w:type="gramStart"/>
      <w:r w:rsidRPr="007D38CE">
        <w:rPr>
          <w:lang w:val="fr-CH"/>
        </w:rPr>
        <w:t>MÉTHODE  DE</w:t>
      </w:r>
      <w:proofErr w:type="gramEnd"/>
      <w:r w:rsidRPr="007D38CE">
        <w:rPr>
          <w:lang w:val="fr-CH"/>
        </w:rPr>
        <w:t xml:space="preserve">  GESTION  DU  SPECTRE  À  UTILISER  POUR  FACILITER</w:t>
      </w:r>
      <w:r w:rsidRPr="007D38CE">
        <w:rPr>
          <w:lang w:val="fr-CH"/>
        </w:rPr>
        <w:br/>
        <w:t>LE  PROCESSUS  D'ASSIGNATION  DE  FRÉQUENCE  AUX  SERVICES  DE  TERRE</w:t>
      </w:r>
      <w:r w:rsidRPr="007D38CE">
        <w:rPr>
          <w:lang w:val="fr-CH"/>
        </w:rPr>
        <w:br/>
        <w:t>DANS  LES  ZONES  FRONTALIÈRES</w:t>
      </w:r>
    </w:p>
    <w:p w14:paraId="32B8FCCF" w14:textId="77777777" w:rsidR="00000000" w:rsidRPr="007D38CE" w:rsidRDefault="007D38CE">
      <w:pPr>
        <w:pStyle w:val="RecTitleRef"/>
        <w:rPr>
          <w:lang w:val="fr-CH"/>
        </w:rPr>
      </w:pPr>
      <w:r w:rsidRPr="007D38CE">
        <w:rPr>
          <w:lang w:val="fr-CH"/>
        </w:rPr>
        <w:t>(Question UIT-R 47/1)</w:t>
      </w:r>
    </w:p>
    <w:p w14:paraId="7DC77107" w14:textId="77777777" w:rsidR="00000000" w:rsidRPr="007D38CE" w:rsidRDefault="007D38CE">
      <w:pPr>
        <w:pStyle w:val="RecTitleDate"/>
        <w:rPr>
          <w:lang w:val="fr-CH"/>
        </w:rPr>
      </w:pPr>
      <w:r w:rsidRPr="007D38CE">
        <w:rPr>
          <w:lang w:val="fr-CH"/>
        </w:rPr>
        <w:t>(1994-1995)</w:t>
      </w:r>
    </w:p>
    <w:p w14:paraId="674825F5" w14:textId="77777777" w:rsidR="00000000" w:rsidRPr="007D38CE" w:rsidRDefault="007D38CE">
      <w:pPr>
        <w:pStyle w:val="headfoot"/>
        <w:rPr>
          <w:lang w:val="fr-CH"/>
        </w:rPr>
      </w:pPr>
      <w:r w:rsidRPr="007D38CE">
        <w:rPr>
          <w:color w:val="FFFFFF"/>
          <w:lang w:val="fr-CH"/>
        </w:rPr>
        <w:t>Rec. UIT-R SM.1049-1</w:t>
      </w:r>
    </w:p>
    <w:p w14:paraId="264ABC77" w14:textId="77777777" w:rsidR="007D38CE" w:rsidRPr="007D38CE" w:rsidRDefault="007D38CE" w:rsidP="007D38CE">
      <w:pPr>
        <w:rPr>
          <w:b/>
          <w:bCs/>
          <w:lang w:val="fr-FR"/>
        </w:rPr>
      </w:pPr>
      <w:r w:rsidRPr="007D38CE">
        <w:rPr>
          <w:b/>
          <w:bCs/>
          <w:lang w:val="fr-FR"/>
        </w:rPr>
        <w:t>Domaine d'application</w:t>
      </w:r>
    </w:p>
    <w:p w14:paraId="1C2CF620" w14:textId="77777777" w:rsidR="007D38CE" w:rsidRPr="007D38CE" w:rsidRDefault="007D38CE" w:rsidP="007D38CE">
      <w:pPr>
        <w:rPr>
          <w:lang w:val="fr-FR"/>
        </w:rPr>
      </w:pPr>
      <w:r w:rsidRPr="007D38CE">
        <w:rPr>
          <w:lang w:val="fr-FR"/>
        </w:rPr>
        <w:t>La présente Recommandation décrit les méthodes de coordination mutuelle des fréquences entre pays voisins dans les zones frontalières.</w:t>
      </w:r>
    </w:p>
    <w:p w14:paraId="03EAFBC0" w14:textId="77777777" w:rsidR="007D38CE" w:rsidRPr="007D38CE" w:rsidRDefault="007D38CE" w:rsidP="007D38CE">
      <w:pPr>
        <w:rPr>
          <w:b/>
          <w:lang w:val="fr-FR"/>
        </w:rPr>
      </w:pPr>
      <w:r w:rsidRPr="007D38CE">
        <w:rPr>
          <w:b/>
          <w:lang w:val="fr-FR"/>
        </w:rPr>
        <w:t>Mots clés</w:t>
      </w:r>
    </w:p>
    <w:p w14:paraId="148238FB" w14:textId="68C8AB39" w:rsidR="007D38CE" w:rsidRPr="007D38CE" w:rsidRDefault="007D38CE" w:rsidP="007D38CE">
      <w:pPr>
        <w:rPr>
          <w:lang w:val="fr-CH"/>
        </w:rPr>
      </w:pPr>
      <w:r w:rsidRPr="007D38CE">
        <w:rPr>
          <w:lang w:val="fr-FR"/>
        </w:rPr>
        <w:t>Coordination des fréquences, zone frontalière, service de Terre</w:t>
      </w:r>
    </w:p>
    <w:p w14:paraId="55E51121" w14:textId="019D8EF7" w:rsidR="00000000" w:rsidRPr="007D38CE" w:rsidRDefault="007D38CE">
      <w:pPr>
        <w:pStyle w:val="Normalaftertitle"/>
        <w:rPr>
          <w:lang w:val="fr-CH"/>
        </w:rPr>
      </w:pPr>
      <w:r w:rsidRPr="007D38CE">
        <w:rPr>
          <w:lang w:val="fr-CH"/>
        </w:rPr>
        <w:t>L</w:t>
      </w:r>
      <w:r w:rsidRPr="007D38CE">
        <w:rPr>
          <w:lang w:val="fr-CH"/>
        </w:rPr>
        <w:t>'A</w:t>
      </w:r>
      <w:r w:rsidRPr="007D38CE">
        <w:rPr>
          <w:lang w:val="fr-CH"/>
        </w:rPr>
        <w:t>ssemblée des radiocommunications de l'UIT,</w:t>
      </w:r>
    </w:p>
    <w:p w14:paraId="4FCEF2C2" w14:textId="77777777" w:rsidR="00000000" w:rsidRPr="007D38CE" w:rsidRDefault="007D38CE">
      <w:pPr>
        <w:pStyle w:val="call"/>
        <w:rPr>
          <w:lang w:val="fr-CH"/>
        </w:rPr>
      </w:pPr>
      <w:proofErr w:type="gramStart"/>
      <w:r w:rsidRPr="007D38CE">
        <w:rPr>
          <w:lang w:val="fr-CH"/>
        </w:rPr>
        <w:t>considérant</w:t>
      </w:r>
      <w:proofErr w:type="gramEnd"/>
    </w:p>
    <w:p w14:paraId="5143D92A" w14:textId="77777777" w:rsidR="00000000" w:rsidRPr="007D38CE" w:rsidRDefault="007D38CE">
      <w:pPr>
        <w:rPr>
          <w:lang w:val="fr-CH"/>
        </w:rPr>
      </w:pPr>
      <w:r w:rsidRPr="007D38CE">
        <w:rPr>
          <w:lang w:val="fr-CH"/>
        </w:rPr>
        <w:t>a)</w:t>
      </w:r>
      <w:r w:rsidRPr="007D38CE">
        <w:rPr>
          <w:lang w:val="fr-CH"/>
        </w:rPr>
        <w:tab/>
        <w:t xml:space="preserve">que la coordination des fréquences est nécessaire dans les zones </w:t>
      </w:r>
      <w:proofErr w:type="gramStart"/>
      <w:r w:rsidRPr="007D38CE">
        <w:rPr>
          <w:lang w:val="fr-CH"/>
        </w:rPr>
        <w:t>frontalières;</w:t>
      </w:r>
      <w:proofErr w:type="gramEnd"/>
    </w:p>
    <w:p w14:paraId="32EEEE2F" w14:textId="77777777" w:rsidR="00000000" w:rsidRPr="007D38CE" w:rsidRDefault="007D38CE">
      <w:pPr>
        <w:rPr>
          <w:lang w:val="fr-CH"/>
        </w:rPr>
      </w:pPr>
      <w:r w:rsidRPr="007D38CE">
        <w:rPr>
          <w:lang w:val="fr-CH"/>
        </w:rPr>
        <w:t>b)</w:t>
      </w:r>
      <w:r w:rsidRPr="007D38CE">
        <w:rPr>
          <w:lang w:val="fr-CH"/>
        </w:rPr>
        <w:tab/>
        <w:t xml:space="preserve">qu'il faut fixer des lignes directrices pour le partage des fréquences dans les zones </w:t>
      </w:r>
      <w:proofErr w:type="gramStart"/>
      <w:r w:rsidRPr="007D38CE">
        <w:rPr>
          <w:lang w:val="fr-CH"/>
        </w:rPr>
        <w:t>frontalières;</w:t>
      </w:r>
      <w:proofErr w:type="gramEnd"/>
    </w:p>
    <w:p w14:paraId="13345752" w14:textId="77777777" w:rsidR="00000000" w:rsidRPr="007D38CE" w:rsidRDefault="007D38CE">
      <w:pPr>
        <w:rPr>
          <w:lang w:val="fr-CH"/>
        </w:rPr>
      </w:pPr>
      <w:r w:rsidRPr="007D38CE">
        <w:rPr>
          <w:lang w:val="fr-CH"/>
        </w:rPr>
        <w:t>c)</w:t>
      </w:r>
      <w:r w:rsidRPr="007D38CE">
        <w:rPr>
          <w:lang w:val="fr-CH"/>
        </w:rPr>
        <w:tab/>
        <w:t xml:space="preserve">que l'élaboration, par les administrations, d'accords bilatéraux ou multilatéraux efficaces sur l'utilisation des fréquences dans les zones frontalières facilitera la planification stratégique à long terme, encouragera l'utilisation rationnelle du spectre et permettra </w:t>
      </w:r>
      <w:r w:rsidRPr="007D38CE">
        <w:rPr>
          <w:lang w:val="fr-CH"/>
        </w:rPr>
        <w:t xml:space="preserve">d'éviter les </w:t>
      </w:r>
      <w:proofErr w:type="gramStart"/>
      <w:r w:rsidRPr="007D38CE">
        <w:rPr>
          <w:lang w:val="fr-CH"/>
        </w:rPr>
        <w:t>brouillages;</w:t>
      </w:r>
      <w:proofErr w:type="gramEnd"/>
    </w:p>
    <w:p w14:paraId="5A069AE3" w14:textId="77777777" w:rsidR="00000000" w:rsidRPr="007D38CE" w:rsidRDefault="007D38CE">
      <w:pPr>
        <w:rPr>
          <w:lang w:val="fr-CH"/>
        </w:rPr>
      </w:pPr>
      <w:r w:rsidRPr="007D38CE">
        <w:rPr>
          <w:lang w:val="fr-CH"/>
        </w:rPr>
        <w:t>d)</w:t>
      </w:r>
      <w:r w:rsidRPr="007D38CE">
        <w:rPr>
          <w:lang w:val="fr-CH"/>
        </w:rPr>
        <w:tab/>
        <w:t xml:space="preserve">qu'un mécanisme de mise à jour et d'échange de renseignements appropriés doit être mis en place pour que le processus de coordination soit mené à bonne </w:t>
      </w:r>
      <w:proofErr w:type="gramStart"/>
      <w:r w:rsidRPr="007D38CE">
        <w:rPr>
          <w:lang w:val="fr-CH"/>
        </w:rPr>
        <w:t>fin;</w:t>
      </w:r>
      <w:proofErr w:type="gramEnd"/>
    </w:p>
    <w:p w14:paraId="4A70D5D9" w14:textId="77777777" w:rsidR="00000000" w:rsidRPr="007D38CE" w:rsidRDefault="007D38CE">
      <w:pPr>
        <w:rPr>
          <w:lang w:val="fr-CH"/>
        </w:rPr>
      </w:pPr>
      <w:r w:rsidRPr="007D38CE">
        <w:rPr>
          <w:lang w:val="fr-CH"/>
        </w:rPr>
        <w:t>e)</w:t>
      </w:r>
      <w:r w:rsidRPr="007D38CE">
        <w:rPr>
          <w:lang w:val="fr-CH"/>
        </w:rPr>
        <w:tab/>
        <w:t xml:space="preserve">que les méthodes de coordination peuvent varier selon les services et les bandes de </w:t>
      </w:r>
      <w:proofErr w:type="gramStart"/>
      <w:r w:rsidRPr="007D38CE">
        <w:rPr>
          <w:lang w:val="fr-CH"/>
        </w:rPr>
        <w:t>fréquences concernés</w:t>
      </w:r>
      <w:proofErr w:type="gramEnd"/>
      <w:r w:rsidRPr="007D38CE">
        <w:rPr>
          <w:lang w:val="fr-CH"/>
        </w:rPr>
        <w:t>,</w:t>
      </w:r>
    </w:p>
    <w:p w14:paraId="65C8C870" w14:textId="77777777" w:rsidR="00000000" w:rsidRPr="007D38CE" w:rsidRDefault="007D38CE">
      <w:pPr>
        <w:pStyle w:val="call"/>
        <w:rPr>
          <w:lang w:val="fr-CH"/>
        </w:rPr>
      </w:pPr>
      <w:proofErr w:type="gramStart"/>
      <w:r w:rsidRPr="007D38CE">
        <w:rPr>
          <w:lang w:val="fr-CH"/>
        </w:rPr>
        <w:t>recommande</w:t>
      </w:r>
      <w:proofErr w:type="gramEnd"/>
    </w:p>
    <w:p w14:paraId="62BE4C06" w14:textId="77777777" w:rsidR="00000000" w:rsidRPr="007D38CE" w:rsidRDefault="007D38CE">
      <w:pPr>
        <w:rPr>
          <w:lang w:val="fr-CH"/>
        </w:rPr>
      </w:pPr>
      <w:r w:rsidRPr="007D38CE">
        <w:rPr>
          <w:b/>
          <w:lang w:val="fr-CH"/>
        </w:rPr>
        <w:t>1</w:t>
      </w:r>
      <w:r w:rsidRPr="007D38CE">
        <w:rPr>
          <w:lang w:val="fr-CH"/>
        </w:rPr>
        <w:tab/>
        <w:t xml:space="preserve">aux administrations de pays voisins d'élaborer des accords de coordination </w:t>
      </w:r>
      <w:proofErr w:type="gramStart"/>
      <w:r w:rsidRPr="007D38CE">
        <w:rPr>
          <w:lang w:val="fr-CH"/>
        </w:rPr>
        <w:t>prévoyant:</w:t>
      </w:r>
      <w:proofErr w:type="gramEnd"/>
    </w:p>
    <w:p w14:paraId="39776C21" w14:textId="77777777" w:rsidR="00000000" w:rsidRPr="007D38CE" w:rsidRDefault="007D38CE">
      <w:pPr>
        <w:rPr>
          <w:lang w:val="fr-CH"/>
        </w:rPr>
      </w:pPr>
      <w:r w:rsidRPr="007D38CE">
        <w:rPr>
          <w:b/>
          <w:lang w:val="fr-CH"/>
        </w:rPr>
        <w:t>1.1</w:t>
      </w:r>
      <w:r w:rsidRPr="007D38CE">
        <w:rPr>
          <w:lang w:val="fr-CH"/>
        </w:rPr>
        <w:tab/>
        <w:t xml:space="preserve">l'échange de données appropriées sur la gestion du spectre provenant d'une base de données </w:t>
      </w:r>
      <w:proofErr w:type="gramStart"/>
      <w:r w:rsidRPr="007D38CE">
        <w:rPr>
          <w:lang w:val="fr-CH"/>
        </w:rPr>
        <w:t>nationale;</w:t>
      </w:r>
      <w:proofErr w:type="gramEnd"/>
    </w:p>
    <w:p w14:paraId="357C01AF" w14:textId="77777777" w:rsidR="00000000" w:rsidRPr="007D38CE" w:rsidRDefault="007D38CE">
      <w:pPr>
        <w:rPr>
          <w:lang w:val="fr-CH"/>
        </w:rPr>
      </w:pPr>
      <w:r w:rsidRPr="007D38CE">
        <w:rPr>
          <w:b/>
          <w:lang w:val="fr-CH"/>
        </w:rPr>
        <w:t>1.2</w:t>
      </w:r>
      <w:r w:rsidRPr="007D38CE">
        <w:rPr>
          <w:lang w:val="fr-CH"/>
        </w:rPr>
        <w:tab/>
        <w:t>une méth</w:t>
      </w:r>
      <w:r w:rsidRPr="007D38CE">
        <w:rPr>
          <w:lang w:val="fr-CH"/>
        </w:rPr>
        <w:t xml:space="preserve">ode permettant de résoudre les cas de brouillage préjudiciable </w:t>
      </w:r>
      <w:proofErr w:type="gramStart"/>
      <w:r w:rsidRPr="007D38CE">
        <w:rPr>
          <w:lang w:val="fr-CH"/>
        </w:rPr>
        <w:t>imprévus;</w:t>
      </w:r>
      <w:proofErr w:type="gramEnd"/>
    </w:p>
    <w:p w14:paraId="71596C4A" w14:textId="77777777" w:rsidR="00000000" w:rsidRPr="007D38CE" w:rsidRDefault="007D38CE">
      <w:pPr>
        <w:rPr>
          <w:lang w:val="fr-CH"/>
        </w:rPr>
      </w:pPr>
      <w:r w:rsidRPr="007D38CE">
        <w:rPr>
          <w:b/>
          <w:lang w:val="fr-CH"/>
        </w:rPr>
        <w:t>1.3</w:t>
      </w:r>
      <w:r w:rsidRPr="007D38CE">
        <w:rPr>
          <w:lang w:val="fr-CH"/>
        </w:rPr>
        <w:tab/>
        <w:t xml:space="preserve">des procédures telles que l'établissement d'une </w:t>
      </w:r>
      <w:r w:rsidRPr="007D38CE">
        <w:rPr>
          <w:i/>
          <w:lang w:val="fr-CH"/>
        </w:rPr>
        <w:t>zone de coordination</w:t>
      </w:r>
      <w:r w:rsidRPr="007D38CE">
        <w:rPr>
          <w:lang w:val="fr-CH"/>
        </w:rPr>
        <w:t xml:space="preserve"> à l'intérieur de laquelle l'accord de coordination sera </w:t>
      </w:r>
      <w:proofErr w:type="gramStart"/>
      <w:r w:rsidRPr="007D38CE">
        <w:rPr>
          <w:lang w:val="fr-CH"/>
        </w:rPr>
        <w:t>applicable;</w:t>
      </w:r>
      <w:proofErr w:type="gramEnd"/>
    </w:p>
    <w:p w14:paraId="0E9C4B4C" w14:textId="77777777" w:rsidR="00000000" w:rsidRPr="007D38CE" w:rsidRDefault="007D38CE">
      <w:pPr>
        <w:rPr>
          <w:lang w:val="fr-CH"/>
        </w:rPr>
      </w:pPr>
      <w:r w:rsidRPr="007D38CE">
        <w:rPr>
          <w:b/>
          <w:lang w:val="fr-CH"/>
        </w:rPr>
        <w:t>1.3.1</w:t>
      </w:r>
      <w:r w:rsidRPr="007D38CE">
        <w:rPr>
          <w:lang w:val="fr-CH"/>
        </w:rPr>
        <w:tab/>
        <w:t xml:space="preserve">d'appliquer les définitions </w:t>
      </w:r>
      <w:proofErr w:type="gramStart"/>
      <w:r w:rsidRPr="007D38CE">
        <w:rPr>
          <w:lang w:val="fr-CH"/>
        </w:rPr>
        <w:t>suivantes:</w:t>
      </w:r>
      <w:proofErr w:type="gramEnd"/>
    </w:p>
    <w:p w14:paraId="1D015231" w14:textId="77777777" w:rsidR="00000000" w:rsidRPr="007D38CE" w:rsidRDefault="007D38CE">
      <w:pPr>
        <w:pStyle w:val="enumlev1"/>
        <w:rPr>
          <w:lang w:val="fr-CH"/>
        </w:rPr>
      </w:pPr>
      <w:r w:rsidRPr="007D38CE">
        <w:rPr>
          <w:lang w:val="fr-CH"/>
        </w:rPr>
        <w:t>–</w:t>
      </w:r>
      <w:r w:rsidRPr="007D38CE">
        <w:rPr>
          <w:lang w:val="fr-CH"/>
        </w:rPr>
        <w:tab/>
      </w:r>
      <w:r w:rsidRPr="007D38CE">
        <w:rPr>
          <w:i/>
          <w:lang w:val="fr-CH"/>
        </w:rPr>
        <w:t xml:space="preserve">zone de </w:t>
      </w:r>
      <w:proofErr w:type="gramStart"/>
      <w:r w:rsidRPr="007D38CE">
        <w:rPr>
          <w:i/>
          <w:lang w:val="fr-CH"/>
        </w:rPr>
        <w:t>coordination:</w:t>
      </w:r>
      <w:proofErr w:type="gramEnd"/>
      <w:r w:rsidRPr="007D38CE">
        <w:rPr>
          <w:lang w:val="fr-CH"/>
        </w:rPr>
        <w:t xml:space="preserve"> zone située le long de la frontière dans laquelle un accord de coordination s'applique;</w:t>
      </w:r>
    </w:p>
    <w:p w14:paraId="56BAE263" w14:textId="77777777" w:rsidR="00000000" w:rsidRPr="007D38CE" w:rsidRDefault="007D38CE">
      <w:pPr>
        <w:pStyle w:val="enumlev1"/>
        <w:rPr>
          <w:lang w:val="fr-CH"/>
        </w:rPr>
      </w:pPr>
      <w:r w:rsidRPr="007D38CE">
        <w:rPr>
          <w:lang w:val="fr-CH"/>
        </w:rPr>
        <w:t>–</w:t>
      </w:r>
      <w:r w:rsidRPr="007D38CE">
        <w:rPr>
          <w:lang w:val="fr-CH"/>
        </w:rPr>
        <w:tab/>
      </w:r>
      <w:r w:rsidRPr="007D38CE">
        <w:rPr>
          <w:i/>
          <w:lang w:val="fr-CH"/>
        </w:rPr>
        <w:t xml:space="preserve">périmètre de </w:t>
      </w:r>
      <w:proofErr w:type="gramStart"/>
      <w:r w:rsidRPr="007D38CE">
        <w:rPr>
          <w:i/>
          <w:lang w:val="fr-CH"/>
        </w:rPr>
        <w:t>coordination:</w:t>
      </w:r>
      <w:proofErr w:type="gramEnd"/>
      <w:r w:rsidRPr="007D38CE">
        <w:rPr>
          <w:lang w:val="fr-CH"/>
        </w:rPr>
        <w:t xml:space="preserve"> ligne fixant la limite convenue de la </w:t>
      </w:r>
      <w:r w:rsidRPr="007D38CE">
        <w:rPr>
          <w:i/>
          <w:lang w:val="fr-CH"/>
        </w:rPr>
        <w:t>zone de coordination</w:t>
      </w:r>
      <w:r w:rsidRPr="007D38CE">
        <w:rPr>
          <w:lang w:val="fr-CH"/>
        </w:rPr>
        <w:t>.</w:t>
      </w:r>
    </w:p>
    <w:p w14:paraId="5A8BDFD5" w14:textId="77777777" w:rsidR="00000000" w:rsidRPr="007D38CE" w:rsidRDefault="007D38CE">
      <w:pPr>
        <w:rPr>
          <w:lang w:val="fr-CH"/>
        </w:rPr>
      </w:pPr>
      <w:r w:rsidRPr="007D38CE">
        <w:rPr>
          <w:b/>
          <w:lang w:val="fr-CH"/>
        </w:rPr>
        <w:t>1.3.2</w:t>
      </w:r>
      <w:r w:rsidRPr="007D38CE">
        <w:rPr>
          <w:lang w:val="fr-CH"/>
        </w:rPr>
        <w:tab/>
        <w:t xml:space="preserve">de concevoir les méthodes de détermination du </w:t>
      </w:r>
      <w:r w:rsidRPr="007D38CE">
        <w:rPr>
          <w:i/>
          <w:lang w:val="fr-CH"/>
        </w:rPr>
        <w:t>périmètre de coordination</w:t>
      </w:r>
      <w:r w:rsidRPr="007D38CE">
        <w:rPr>
          <w:lang w:val="fr-CH"/>
        </w:rPr>
        <w:t xml:space="preserve"> sur la base des critères techniques et d'exploitation types applicables au service de radiocommunication </w:t>
      </w:r>
      <w:proofErr w:type="gramStart"/>
      <w:r w:rsidRPr="007D38CE">
        <w:rPr>
          <w:lang w:val="fr-CH"/>
        </w:rPr>
        <w:t>concerné;</w:t>
      </w:r>
      <w:proofErr w:type="gramEnd"/>
    </w:p>
    <w:p w14:paraId="4316CF7C" w14:textId="77777777" w:rsidR="00000000" w:rsidRPr="007D38CE" w:rsidRDefault="007D38CE">
      <w:pPr>
        <w:rPr>
          <w:lang w:val="fr-CH"/>
        </w:rPr>
      </w:pPr>
      <w:r w:rsidRPr="007D38CE">
        <w:rPr>
          <w:b/>
          <w:lang w:val="fr-CH"/>
        </w:rPr>
        <w:t>1.3.3</w:t>
      </w:r>
      <w:r w:rsidRPr="007D38CE">
        <w:rPr>
          <w:lang w:val="fr-CH"/>
        </w:rPr>
        <w:tab/>
        <w:t xml:space="preserve">aux administrations qui veulent conclure des accords bilatéraux ou multilatéraux sur la création d'une </w:t>
      </w:r>
      <w:r w:rsidRPr="007D38CE">
        <w:rPr>
          <w:i/>
          <w:lang w:val="fr-CH"/>
        </w:rPr>
        <w:t>zone de coordination</w:t>
      </w:r>
      <w:r w:rsidRPr="007D38CE">
        <w:rPr>
          <w:lang w:val="fr-CH"/>
        </w:rPr>
        <w:t xml:space="preserve"> de prendre en considération les options indiquées à l'Annexe 1 ainsi que les exemples donnés à l'Annexe 2.</w:t>
      </w:r>
    </w:p>
    <w:p w14:paraId="16FF383D" w14:textId="4CD5EB98" w:rsidR="00000000" w:rsidRPr="007D38CE" w:rsidRDefault="007D38CE">
      <w:pPr>
        <w:pStyle w:val="Annex"/>
        <w:rPr>
          <w:lang w:val="fr-CH"/>
        </w:rPr>
      </w:pPr>
      <w:bookmarkStart w:id="1" w:name="asunto"/>
      <w:bookmarkEnd w:id="1"/>
      <w:r>
        <w:rPr>
          <w:lang w:val="fr-CH"/>
        </w:rPr>
        <w:br w:type="page"/>
      </w:r>
      <w:r w:rsidRPr="007D38CE">
        <w:rPr>
          <w:lang w:val="fr-CH"/>
        </w:rPr>
        <w:t>ANNEXE  1</w:t>
      </w:r>
    </w:p>
    <w:p w14:paraId="581D485C" w14:textId="77777777" w:rsidR="00000000" w:rsidRPr="007D38CE" w:rsidRDefault="007D38CE">
      <w:pPr>
        <w:pStyle w:val="Normalaftertitle"/>
        <w:rPr>
          <w:lang w:val="fr-CH"/>
        </w:rPr>
      </w:pPr>
      <w:r w:rsidRPr="007D38CE">
        <w:rPr>
          <w:lang w:val="fr-CH"/>
        </w:rPr>
        <w:t>Les mesures décrites ci-après donnent des indications aux administrations qui envisagent de conclure un accord bilatéral ou</w:t>
      </w:r>
      <w:r w:rsidRPr="007D38CE">
        <w:rPr>
          <w:lang w:val="fr-CH"/>
        </w:rPr>
        <w:t xml:space="preserve"> multilatéral en vue de l'établissement d'une </w:t>
      </w:r>
      <w:r w:rsidRPr="007D38CE">
        <w:rPr>
          <w:i/>
          <w:lang w:val="fr-CH"/>
        </w:rPr>
        <w:t>zone de coordination</w:t>
      </w:r>
      <w:r w:rsidRPr="007D38CE">
        <w:rPr>
          <w:lang w:val="fr-CH"/>
        </w:rPr>
        <w:t>. Pour élaborer un accord de ce genre, les administrations doivent déterminer la méthode de mise en œuvre appropriée.</w:t>
      </w:r>
    </w:p>
    <w:p w14:paraId="766DE735" w14:textId="77777777" w:rsidR="00000000" w:rsidRPr="007D38CE" w:rsidRDefault="007D38CE">
      <w:pPr>
        <w:pStyle w:val="Note"/>
        <w:rPr>
          <w:lang w:val="fr-CH"/>
        </w:rPr>
      </w:pPr>
      <w:r w:rsidRPr="007D38CE">
        <w:rPr>
          <w:lang w:val="fr-CH"/>
        </w:rPr>
        <w:t>NOTE 1 – Dans la présente Annexe, les termes</w:t>
      </w:r>
      <w:proofErr w:type="gramStart"/>
      <w:r w:rsidRPr="007D38CE">
        <w:rPr>
          <w:lang w:val="fr-CH"/>
        </w:rPr>
        <w:t xml:space="preserve"> «base</w:t>
      </w:r>
      <w:proofErr w:type="gramEnd"/>
      <w:r w:rsidRPr="007D38CE">
        <w:rPr>
          <w:lang w:val="fr-CH"/>
        </w:rPr>
        <w:t xml:space="preserve"> de données» et «modèle» ne désignent pas nécessairement des systèmes informatisés.</w:t>
      </w:r>
    </w:p>
    <w:p w14:paraId="714BCAC5" w14:textId="7C13E012" w:rsidR="00000000" w:rsidRPr="007D38CE" w:rsidRDefault="007D38CE">
      <w:pPr>
        <w:pStyle w:val="Heading1"/>
        <w:rPr>
          <w:lang w:val="fr-CH"/>
        </w:rPr>
      </w:pPr>
      <w:r w:rsidRPr="007D38CE">
        <w:rPr>
          <w:lang w:val="fr-CH"/>
        </w:rPr>
        <w:t>1</w:t>
      </w:r>
      <w:r w:rsidRPr="007D38CE">
        <w:rPr>
          <w:lang w:val="fr-CH"/>
        </w:rPr>
        <w:tab/>
        <w:t xml:space="preserve">Accords relatifs à l'établissement de la </w:t>
      </w:r>
      <w:r w:rsidRPr="007D38CE">
        <w:rPr>
          <w:i/>
          <w:lang w:val="fr-CH"/>
        </w:rPr>
        <w:t>zone de coordination</w:t>
      </w:r>
    </w:p>
    <w:p w14:paraId="03AEE4C7" w14:textId="77777777" w:rsidR="00000000" w:rsidRPr="007D38CE" w:rsidRDefault="007D38CE">
      <w:pPr>
        <w:rPr>
          <w:lang w:val="fr-CH"/>
        </w:rPr>
      </w:pPr>
      <w:r w:rsidRPr="007D38CE">
        <w:rPr>
          <w:b/>
          <w:lang w:val="fr-CH"/>
        </w:rPr>
        <w:t>1.1</w:t>
      </w:r>
      <w:r w:rsidRPr="007D38CE">
        <w:rPr>
          <w:lang w:val="fr-CH"/>
        </w:rPr>
        <w:tab/>
        <w:t xml:space="preserve">Les précisions et les éléments devant figurer dans des accords bilatéraux ou multilatéraux relatifs à l'établissement d'une </w:t>
      </w:r>
      <w:r w:rsidRPr="007D38CE">
        <w:rPr>
          <w:i/>
          <w:lang w:val="fr-CH"/>
        </w:rPr>
        <w:t>z</w:t>
      </w:r>
      <w:r w:rsidRPr="007D38CE">
        <w:rPr>
          <w:i/>
          <w:lang w:val="fr-CH"/>
        </w:rPr>
        <w:t>one de coordination</w:t>
      </w:r>
      <w:r w:rsidRPr="007D38CE">
        <w:rPr>
          <w:lang w:val="fr-CH"/>
        </w:rPr>
        <w:t xml:space="preserve"> dépendront des exigences des différentes administrations. Ces accords doivent cependant prévoir les dispositions administratives et techniques nécessaires et peuvent avoir trait à la normalisation des paramètres techniques et d'exploitation. Ils peuvent comporter des éléments tels </w:t>
      </w:r>
      <w:proofErr w:type="gramStart"/>
      <w:r w:rsidRPr="007D38CE">
        <w:rPr>
          <w:lang w:val="fr-CH"/>
        </w:rPr>
        <w:t>que:</w:t>
      </w:r>
      <w:proofErr w:type="gramEnd"/>
    </w:p>
    <w:p w14:paraId="678B477C" w14:textId="77777777" w:rsidR="00000000" w:rsidRPr="007D38CE" w:rsidRDefault="007D38CE">
      <w:pPr>
        <w:pStyle w:val="enumlev1"/>
        <w:rPr>
          <w:lang w:val="fr-CH"/>
        </w:rPr>
      </w:pPr>
      <w:r w:rsidRPr="007D38CE">
        <w:rPr>
          <w:lang w:val="fr-CH"/>
        </w:rPr>
        <w:t>–</w:t>
      </w:r>
      <w:r w:rsidRPr="007D38CE">
        <w:rPr>
          <w:lang w:val="fr-CH"/>
        </w:rPr>
        <w:tab/>
        <w:t>la ou les gamme(s) de fréquences visée(s) par l'accord,</w:t>
      </w:r>
    </w:p>
    <w:p w14:paraId="65424BCB" w14:textId="77777777" w:rsidR="00000000" w:rsidRPr="007D38CE" w:rsidRDefault="007D38CE">
      <w:pPr>
        <w:pStyle w:val="enumlev1"/>
        <w:rPr>
          <w:lang w:val="fr-CH"/>
        </w:rPr>
      </w:pPr>
      <w:r w:rsidRPr="007D38CE">
        <w:rPr>
          <w:lang w:val="fr-CH"/>
        </w:rPr>
        <w:t>–</w:t>
      </w:r>
      <w:r w:rsidRPr="007D38CE">
        <w:rPr>
          <w:lang w:val="fr-CH"/>
        </w:rPr>
        <w:tab/>
        <w:t>la largeur de bande autorisée du service,</w:t>
      </w:r>
    </w:p>
    <w:p w14:paraId="3B628C3A" w14:textId="77777777" w:rsidR="00000000" w:rsidRPr="007D38CE" w:rsidRDefault="007D38CE">
      <w:pPr>
        <w:pStyle w:val="enumlev1"/>
        <w:rPr>
          <w:lang w:val="fr-CH"/>
        </w:rPr>
      </w:pPr>
      <w:r w:rsidRPr="007D38CE">
        <w:rPr>
          <w:lang w:val="fr-CH"/>
        </w:rPr>
        <w:t>–</w:t>
      </w:r>
      <w:r w:rsidRPr="007D38CE">
        <w:rPr>
          <w:lang w:val="fr-CH"/>
        </w:rPr>
        <w:tab/>
        <w:t>le système de modulation,</w:t>
      </w:r>
    </w:p>
    <w:p w14:paraId="4EAA72F9" w14:textId="77777777" w:rsidR="00000000" w:rsidRPr="007D38CE" w:rsidRDefault="007D38CE">
      <w:pPr>
        <w:pStyle w:val="enumlev1"/>
        <w:rPr>
          <w:lang w:val="fr-CH"/>
        </w:rPr>
      </w:pPr>
      <w:r w:rsidRPr="007D38CE">
        <w:rPr>
          <w:lang w:val="fr-CH"/>
        </w:rPr>
        <w:t>–</w:t>
      </w:r>
      <w:r w:rsidRPr="007D38CE">
        <w:rPr>
          <w:lang w:val="fr-CH"/>
        </w:rPr>
        <w:tab/>
        <w:t>la hauteur équivalente de l'antenne,</w:t>
      </w:r>
    </w:p>
    <w:p w14:paraId="7C09957E" w14:textId="77777777" w:rsidR="00000000" w:rsidRPr="007D38CE" w:rsidRDefault="007D38CE">
      <w:pPr>
        <w:pStyle w:val="enumlev1"/>
        <w:rPr>
          <w:lang w:val="fr-CH"/>
        </w:rPr>
      </w:pPr>
      <w:r w:rsidRPr="007D38CE">
        <w:rPr>
          <w:lang w:val="fr-CH"/>
        </w:rPr>
        <w:t>–</w:t>
      </w:r>
      <w:r w:rsidRPr="007D38CE">
        <w:rPr>
          <w:lang w:val="fr-CH"/>
        </w:rPr>
        <w:tab/>
        <w:t>la limitation de la zone de servic</w:t>
      </w:r>
      <w:r w:rsidRPr="007D38CE">
        <w:rPr>
          <w:lang w:val="fr-CH"/>
        </w:rPr>
        <w:t>e des émetteurs à la zone qui sera visée par l'accord,</w:t>
      </w:r>
    </w:p>
    <w:p w14:paraId="16B8F737" w14:textId="77777777" w:rsidR="00000000" w:rsidRPr="007D38CE" w:rsidRDefault="007D38CE">
      <w:pPr>
        <w:pStyle w:val="enumlev1"/>
        <w:rPr>
          <w:lang w:val="fr-CH"/>
        </w:rPr>
      </w:pPr>
      <w:r w:rsidRPr="007D38CE">
        <w:rPr>
          <w:lang w:val="fr-CH"/>
        </w:rPr>
        <w:t>–</w:t>
      </w:r>
      <w:r w:rsidRPr="007D38CE">
        <w:rPr>
          <w:lang w:val="fr-CH"/>
        </w:rPr>
        <w:tab/>
        <w:t>les renseignements pertinents à échanger, par exemple la zone de service, etc.,</w:t>
      </w:r>
    </w:p>
    <w:p w14:paraId="50F0B6F2" w14:textId="77777777" w:rsidR="00000000" w:rsidRPr="007D38CE" w:rsidRDefault="007D38CE">
      <w:pPr>
        <w:pStyle w:val="enumlev1"/>
        <w:rPr>
          <w:lang w:val="fr-CH"/>
        </w:rPr>
      </w:pPr>
      <w:r w:rsidRPr="007D38CE">
        <w:rPr>
          <w:lang w:val="fr-CH"/>
        </w:rPr>
        <w:t>–</w:t>
      </w:r>
      <w:r w:rsidRPr="007D38CE">
        <w:rPr>
          <w:lang w:val="fr-CH"/>
        </w:rPr>
        <w:tab/>
        <w:t>une méthode de classement, de normalisation et d'échange de renseignements,</w:t>
      </w:r>
    </w:p>
    <w:p w14:paraId="3DA74412" w14:textId="77777777" w:rsidR="00000000" w:rsidRPr="007D38CE" w:rsidRDefault="007D38CE">
      <w:pPr>
        <w:pStyle w:val="enumlev1"/>
        <w:rPr>
          <w:lang w:val="fr-CH"/>
        </w:rPr>
      </w:pPr>
      <w:r w:rsidRPr="007D38CE">
        <w:rPr>
          <w:lang w:val="fr-CH"/>
        </w:rPr>
        <w:t>–</w:t>
      </w:r>
      <w:r w:rsidRPr="007D38CE">
        <w:rPr>
          <w:lang w:val="fr-CH"/>
        </w:rPr>
        <w:tab/>
        <w:t>une méthode d'identification des stations devant faire l'objet d'une coordination,</w:t>
      </w:r>
    </w:p>
    <w:p w14:paraId="54EB3E6E" w14:textId="77777777" w:rsidR="00000000" w:rsidRPr="007D38CE" w:rsidRDefault="007D38CE">
      <w:pPr>
        <w:pStyle w:val="enumlev1"/>
        <w:rPr>
          <w:lang w:val="fr-CH"/>
        </w:rPr>
      </w:pPr>
      <w:r w:rsidRPr="007D38CE">
        <w:rPr>
          <w:lang w:val="fr-CH"/>
        </w:rPr>
        <w:t>–</w:t>
      </w:r>
      <w:r w:rsidRPr="007D38CE">
        <w:rPr>
          <w:lang w:val="fr-CH"/>
        </w:rPr>
        <w:tab/>
        <w:t>la phase du processus au cours de laquelle la coordination est effectuée.</w:t>
      </w:r>
    </w:p>
    <w:p w14:paraId="5FC6DE45" w14:textId="77777777" w:rsidR="00000000" w:rsidRPr="007D38CE" w:rsidRDefault="007D38CE">
      <w:pPr>
        <w:rPr>
          <w:lang w:val="fr-CH"/>
        </w:rPr>
      </w:pPr>
      <w:r w:rsidRPr="007D38CE">
        <w:rPr>
          <w:b/>
          <w:lang w:val="fr-CH"/>
        </w:rPr>
        <w:t>1.2</w:t>
      </w:r>
      <w:r w:rsidRPr="007D38CE">
        <w:rPr>
          <w:lang w:val="fr-CH"/>
        </w:rPr>
        <w:tab/>
        <w:t>Les administrations doivent également tenir compte des spécifications des systèmes existants qui fonctionnent dans la gamme de fréqu</w:t>
      </w:r>
      <w:r w:rsidRPr="007D38CE">
        <w:rPr>
          <w:lang w:val="fr-CH"/>
        </w:rPr>
        <w:t>ences visée par l'accord, mais dont les paramètres techniques et d'exploitation ne sont pas conformes aux paramètres définis dans ledit accord. Les administrations doivent donc envisager de régler les difficultés que peuvent soulever ces systèmes et prévoir à cet effet un mécanisme approprié dans l'accord. Le règlement des difficultés pourrait se faire de manière évolutive ou au cas par cas.</w:t>
      </w:r>
    </w:p>
    <w:p w14:paraId="6B49F4E0" w14:textId="77777777" w:rsidR="00000000" w:rsidRPr="007D38CE" w:rsidRDefault="007D38CE">
      <w:pPr>
        <w:rPr>
          <w:lang w:val="fr-CH"/>
        </w:rPr>
      </w:pPr>
      <w:r w:rsidRPr="007D38CE">
        <w:rPr>
          <w:b/>
          <w:lang w:val="fr-CH"/>
        </w:rPr>
        <w:t>1.3</w:t>
      </w:r>
      <w:r w:rsidRPr="007D38CE">
        <w:rPr>
          <w:lang w:val="fr-CH"/>
        </w:rPr>
        <w:tab/>
        <w:t xml:space="preserve">A l'intérieur de la </w:t>
      </w:r>
      <w:r w:rsidRPr="007D38CE">
        <w:rPr>
          <w:i/>
          <w:lang w:val="fr-CH"/>
        </w:rPr>
        <w:t>zone de coordination</w:t>
      </w:r>
      <w:r w:rsidRPr="007D38CE">
        <w:rPr>
          <w:lang w:val="fr-CH"/>
        </w:rPr>
        <w:t>, les administrations doivent étudier les possibilités de partage des fré</w:t>
      </w:r>
      <w:r w:rsidRPr="007D38CE">
        <w:rPr>
          <w:lang w:val="fr-CH"/>
        </w:rPr>
        <w:t xml:space="preserve">quences </w:t>
      </w:r>
      <w:proofErr w:type="gramStart"/>
      <w:r w:rsidRPr="007D38CE">
        <w:rPr>
          <w:lang w:val="fr-CH"/>
        </w:rPr>
        <w:t>suivantes:</w:t>
      </w:r>
      <w:proofErr w:type="gramEnd"/>
    </w:p>
    <w:p w14:paraId="0F44203A" w14:textId="77777777" w:rsidR="00000000" w:rsidRPr="007D38CE" w:rsidRDefault="007D38CE">
      <w:pPr>
        <w:pStyle w:val="enumlev1"/>
        <w:rPr>
          <w:lang w:val="fr-CH"/>
        </w:rPr>
      </w:pPr>
      <w:r w:rsidRPr="007D38CE">
        <w:rPr>
          <w:i/>
          <w:lang w:val="fr-CH"/>
        </w:rPr>
        <w:t>–</w:t>
      </w:r>
      <w:r w:rsidRPr="007D38CE">
        <w:rPr>
          <w:i/>
          <w:lang w:val="fr-CH"/>
        </w:rPr>
        <w:tab/>
        <w:t xml:space="preserve">Fréquences alloties </w:t>
      </w:r>
      <w:r w:rsidRPr="007D38CE">
        <w:rPr>
          <w:lang w:val="fr-CH"/>
        </w:rPr>
        <w:t>(Note 1</w:t>
      </w:r>
      <w:proofErr w:type="gramStart"/>
      <w:r w:rsidRPr="007D38CE">
        <w:rPr>
          <w:lang w:val="fr-CH"/>
        </w:rPr>
        <w:t>):</w:t>
      </w:r>
      <w:proofErr w:type="gramEnd"/>
      <w:r w:rsidRPr="007D38CE">
        <w:rPr>
          <w:lang w:val="fr-CH"/>
        </w:rPr>
        <w:t xml:space="preserve"> fréquences destinées à une administration à titre exclusif ou préférentiel et pouvant être assignées par cette administration sans coordination préalable, à condition que les caractéristiques techniques définies en vertu d'un accord préalable soient respectées.</w:t>
      </w:r>
    </w:p>
    <w:p w14:paraId="43950572" w14:textId="77777777" w:rsidR="00000000" w:rsidRPr="007D38CE" w:rsidRDefault="007D38CE">
      <w:pPr>
        <w:pStyle w:val="enumlev1"/>
        <w:rPr>
          <w:lang w:val="fr-CH"/>
        </w:rPr>
      </w:pPr>
      <w:r w:rsidRPr="007D38CE">
        <w:rPr>
          <w:i/>
          <w:lang w:val="fr-CH"/>
        </w:rPr>
        <w:t>–</w:t>
      </w:r>
      <w:r w:rsidRPr="007D38CE">
        <w:rPr>
          <w:i/>
          <w:lang w:val="fr-CH"/>
        </w:rPr>
        <w:tab/>
        <w:t xml:space="preserve">Fréquences partagées </w:t>
      </w:r>
      <w:r w:rsidRPr="007D38CE">
        <w:rPr>
          <w:lang w:val="fr-CH"/>
        </w:rPr>
        <w:t>(Note 1</w:t>
      </w:r>
      <w:proofErr w:type="gramStart"/>
      <w:r w:rsidRPr="007D38CE">
        <w:rPr>
          <w:lang w:val="fr-CH"/>
        </w:rPr>
        <w:t>):</w:t>
      </w:r>
      <w:proofErr w:type="gramEnd"/>
      <w:r w:rsidRPr="007D38CE">
        <w:rPr>
          <w:lang w:val="fr-CH"/>
        </w:rPr>
        <w:t xml:space="preserve"> fréquences pouvant être utilisées en partage par les administrations sans coordination préalable, à condition que les caractéristiques définies en vertu d'un accord p</w:t>
      </w:r>
      <w:r w:rsidRPr="007D38CE">
        <w:rPr>
          <w:lang w:val="fr-CH"/>
        </w:rPr>
        <w:t>réalable soient respectées.</w:t>
      </w:r>
    </w:p>
    <w:p w14:paraId="46FEBEFB" w14:textId="77777777" w:rsidR="00000000" w:rsidRPr="007D38CE" w:rsidRDefault="007D38CE">
      <w:pPr>
        <w:pStyle w:val="enumlev1"/>
        <w:rPr>
          <w:lang w:val="fr-CH"/>
        </w:rPr>
      </w:pPr>
      <w:r w:rsidRPr="007D38CE">
        <w:rPr>
          <w:i/>
          <w:lang w:val="fr-CH"/>
        </w:rPr>
        <w:t>–</w:t>
      </w:r>
      <w:r w:rsidRPr="007D38CE">
        <w:rPr>
          <w:i/>
          <w:lang w:val="fr-CH"/>
        </w:rPr>
        <w:tab/>
        <w:t>Fréquences coordonnées</w:t>
      </w:r>
      <w:r w:rsidRPr="007D38CE">
        <w:rPr>
          <w:position w:val="6"/>
          <w:sz w:val="16"/>
          <w:lang w:val="fr-CH"/>
        </w:rPr>
        <w:t xml:space="preserve"> </w:t>
      </w:r>
      <w:r w:rsidRPr="007D38CE">
        <w:rPr>
          <w:lang w:val="fr-CH"/>
        </w:rPr>
        <w:t>(Note 2</w:t>
      </w:r>
      <w:proofErr w:type="gramStart"/>
      <w:r w:rsidRPr="007D38CE">
        <w:rPr>
          <w:lang w:val="fr-CH"/>
        </w:rPr>
        <w:t>):</w:t>
      </w:r>
      <w:proofErr w:type="gramEnd"/>
      <w:r w:rsidRPr="007D38CE">
        <w:rPr>
          <w:lang w:val="fr-CH"/>
        </w:rPr>
        <w:t xml:space="preserve"> fréquences ne pouvant être assignées qu'après application de la procédure de coordination.</w:t>
      </w:r>
    </w:p>
    <w:p w14:paraId="35F1717C" w14:textId="77777777" w:rsidR="00000000" w:rsidRDefault="007D38CE">
      <w:pPr>
        <w:pStyle w:val="enumlev1"/>
        <w:rPr>
          <w:lang w:val="fr-FR"/>
        </w:rPr>
      </w:pPr>
      <w:r>
        <w:rPr>
          <w:lang w:val="fr-FR"/>
        </w:rPr>
        <w:t>–</w:t>
      </w:r>
      <w:r>
        <w:rPr>
          <w:lang w:val="fr-FR"/>
        </w:rPr>
        <w:tab/>
      </w:r>
      <w:r>
        <w:rPr>
          <w:i/>
          <w:lang w:val="fr-FR"/>
        </w:rPr>
        <w:t xml:space="preserve">Fréquences alloties, utilisées en fonction de plans de réseaux </w:t>
      </w:r>
      <w:proofErr w:type="gramStart"/>
      <w:r>
        <w:rPr>
          <w:i/>
          <w:lang w:val="fr-FR"/>
        </w:rPr>
        <w:t>géographiques</w:t>
      </w:r>
      <w:r>
        <w:rPr>
          <w:lang w:val="fr-FR"/>
        </w:rPr>
        <w:t>:</w:t>
      </w:r>
      <w:proofErr w:type="gramEnd"/>
      <w:r>
        <w:rPr>
          <w:lang w:val="fr-FR"/>
        </w:rPr>
        <w:t xml:space="preserve"> (par exemple, plans d'allotissement au réseau cellulaire ou au service de radiodiffusion) fréquences utilisées dans les pays concernés en fonction de plans de réseaux géographiques élaborés et adoptés à l'avance, compte tenu des caractéristiques techniques énoncées dans ces pla</w:t>
      </w:r>
      <w:r>
        <w:rPr>
          <w:lang w:val="fr-FR"/>
        </w:rPr>
        <w:t>ns.</w:t>
      </w:r>
    </w:p>
    <w:p w14:paraId="0A9B74C5" w14:textId="77777777" w:rsidR="00000000" w:rsidRPr="007D38CE" w:rsidRDefault="007D38CE">
      <w:pPr>
        <w:pStyle w:val="Note"/>
        <w:rPr>
          <w:lang w:val="fr-CH"/>
        </w:rPr>
      </w:pPr>
      <w:r w:rsidRPr="007D38CE">
        <w:rPr>
          <w:lang w:val="fr-CH"/>
        </w:rPr>
        <w:t>NOTE 1 – Concernent surtout les systèmes à couvertures zonales, tels que les services mobiles terrestres en ondes métriques et décimétriques.</w:t>
      </w:r>
    </w:p>
    <w:p w14:paraId="08DB716D" w14:textId="77777777" w:rsidR="00000000" w:rsidRPr="007D38CE" w:rsidRDefault="007D38CE">
      <w:pPr>
        <w:pStyle w:val="Note"/>
        <w:rPr>
          <w:lang w:val="fr-CH"/>
        </w:rPr>
      </w:pPr>
      <w:r w:rsidRPr="007D38CE">
        <w:rPr>
          <w:lang w:val="fr-CH"/>
        </w:rPr>
        <w:t>NOTE 2 – Concernent surtout les services fixes.</w:t>
      </w:r>
    </w:p>
    <w:p w14:paraId="659B1D7D" w14:textId="77777777" w:rsidR="00000000" w:rsidRPr="007D38CE" w:rsidRDefault="007D38CE">
      <w:pPr>
        <w:pStyle w:val="Heading1"/>
        <w:rPr>
          <w:lang w:val="fr-CH"/>
        </w:rPr>
      </w:pPr>
      <w:r w:rsidRPr="007D38CE">
        <w:rPr>
          <w:lang w:val="fr-CH"/>
        </w:rPr>
        <w:t>2</w:t>
      </w:r>
      <w:r w:rsidRPr="007D38CE">
        <w:rPr>
          <w:lang w:val="fr-CH"/>
        </w:rPr>
        <w:tab/>
        <w:t>Zone de coordination</w:t>
      </w:r>
    </w:p>
    <w:p w14:paraId="0AC73BC6" w14:textId="77777777" w:rsidR="00000000" w:rsidRPr="007D38CE" w:rsidRDefault="007D38CE">
      <w:pPr>
        <w:rPr>
          <w:lang w:val="fr-CH"/>
        </w:rPr>
      </w:pPr>
      <w:r w:rsidRPr="007D38CE">
        <w:rPr>
          <w:b/>
          <w:lang w:val="fr-CH"/>
        </w:rPr>
        <w:t>2.1</w:t>
      </w:r>
      <w:r w:rsidRPr="007D38CE">
        <w:rPr>
          <w:lang w:val="fr-CH"/>
        </w:rPr>
        <w:tab/>
        <w:t xml:space="preserve">Le choix d'une petite zone de coordination pour un service peut permettre à une administration de coordonner moins d'assignations lors de la planification de l'exploitation du service, en limitant à un niveau acceptable les risques de brouillage. Pour améliorer la carte des </w:t>
      </w:r>
      <w:r w:rsidRPr="007D38CE">
        <w:rPr>
          <w:i/>
          <w:lang w:val="fr-CH"/>
        </w:rPr>
        <w:t>périmètres de co</w:t>
      </w:r>
      <w:r w:rsidRPr="007D38CE">
        <w:rPr>
          <w:i/>
          <w:lang w:val="fr-CH"/>
        </w:rPr>
        <w:t>ordination,</w:t>
      </w:r>
      <w:r w:rsidRPr="007D38CE">
        <w:rPr>
          <w:lang w:val="fr-CH"/>
        </w:rPr>
        <w:t xml:space="preserve"> les administrations devront adopter des accords plus complexes afin de réglementer le fonctionnement de l'accord et déterminer les niveaux de brouillage avec plus de précision. Pour améliorer les cartes des </w:t>
      </w:r>
      <w:r w:rsidRPr="007D38CE">
        <w:rPr>
          <w:i/>
          <w:lang w:val="fr-CH"/>
        </w:rPr>
        <w:t>périmètres de coordination</w:t>
      </w:r>
      <w:r w:rsidRPr="007D38CE">
        <w:rPr>
          <w:lang w:val="fr-CH"/>
        </w:rPr>
        <w:t xml:space="preserve"> et réduire au minimum la </w:t>
      </w:r>
      <w:r w:rsidRPr="007D38CE">
        <w:rPr>
          <w:i/>
          <w:lang w:val="fr-CH"/>
        </w:rPr>
        <w:t>zone de coordination</w:t>
      </w:r>
      <w:r w:rsidRPr="007D38CE">
        <w:rPr>
          <w:lang w:val="fr-CH"/>
        </w:rPr>
        <w:t xml:space="preserve">, on peut estimer le </w:t>
      </w:r>
      <w:r w:rsidRPr="007D38CE">
        <w:rPr>
          <w:i/>
          <w:lang w:val="fr-CH"/>
        </w:rPr>
        <w:t>périmètre de coordination</w:t>
      </w:r>
      <w:r w:rsidRPr="007D38CE">
        <w:rPr>
          <w:lang w:val="fr-CH"/>
        </w:rPr>
        <w:t xml:space="preserve"> à l'aide de méthodes de prévision de la propagation, dont la complexité et l'applicabilité aux caractéristiques du terrain et aux conditions climatiques peuvent varier d'une </w:t>
      </w:r>
      <w:r w:rsidRPr="007D38CE">
        <w:rPr>
          <w:lang w:val="fr-CH"/>
        </w:rPr>
        <w:t xml:space="preserve">méthode à l'autre. Il s'agit avant tout d'améliorer l'approche dite de «la ligne </w:t>
      </w:r>
      <w:proofErr w:type="gramStart"/>
      <w:r w:rsidRPr="007D38CE">
        <w:rPr>
          <w:lang w:val="fr-CH"/>
        </w:rPr>
        <w:t>simple»</w:t>
      </w:r>
      <w:proofErr w:type="gramEnd"/>
      <w:r w:rsidRPr="007D38CE">
        <w:rPr>
          <w:lang w:val="fr-CH"/>
        </w:rPr>
        <w:t>, en employant des méthodes de prévision pour estimer les surcroîts d'affaiblissement dus au relief et à d'autres obstacles et pour évaluer les risques que des conditions de propagation anormales atténueront par suite de ces surcroîts d'affaiblissement. En outre, les administrations devront peut</w:t>
      </w:r>
      <w:r w:rsidRPr="007D38CE">
        <w:rPr>
          <w:lang w:val="fr-CH"/>
        </w:rPr>
        <w:noBreakHyphen/>
        <w:t>être se mettre d'accord sur des stratégies de mesure destinées à vérifier la précision et l'applicabilité des méthodes ou des m</w:t>
      </w:r>
      <w:r w:rsidRPr="007D38CE">
        <w:rPr>
          <w:lang w:val="fr-CH"/>
        </w:rPr>
        <w:t>odèles de prévision.</w:t>
      </w:r>
    </w:p>
    <w:p w14:paraId="184CDBF8" w14:textId="388F580D" w:rsidR="00000000" w:rsidRPr="007D38CE" w:rsidRDefault="007D38CE">
      <w:pPr>
        <w:rPr>
          <w:lang w:val="fr-CH"/>
        </w:rPr>
      </w:pPr>
      <w:r w:rsidRPr="007D38CE">
        <w:rPr>
          <w:b/>
          <w:lang w:val="fr-CH"/>
        </w:rPr>
        <w:t>2.2</w:t>
      </w:r>
      <w:r w:rsidRPr="007D38CE">
        <w:rPr>
          <w:lang w:val="fr-CH"/>
        </w:rPr>
        <w:tab/>
        <w:t xml:space="preserve">Pour déterminer le </w:t>
      </w:r>
      <w:r w:rsidRPr="007D38CE">
        <w:rPr>
          <w:i/>
          <w:lang w:val="fr-CH"/>
        </w:rPr>
        <w:t>périmètre de coordination</w:t>
      </w:r>
      <w:r w:rsidRPr="007D38CE">
        <w:rPr>
          <w:lang w:val="fr-CH"/>
        </w:rPr>
        <w:t xml:space="preserve">, les administrations doivent se mettre d'accord sur un certain nombre de facteurs, à </w:t>
      </w:r>
      <w:proofErr w:type="gramStart"/>
      <w:r w:rsidRPr="007D38CE">
        <w:rPr>
          <w:lang w:val="fr-CH"/>
        </w:rPr>
        <w:t>savoir:</w:t>
      </w:r>
      <w:proofErr w:type="gramEnd"/>
    </w:p>
    <w:p w14:paraId="579F860B" w14:textId="77777777" w:rsidR="00000000" w:rsidRPr="007D38CE" w:rsidRDefault="007D38CE">
      <w:pPr>
        <w:pStyle w:val="enumlev1"/>
        <w:rPr>
          <w:lang w:val="fr-CH"/>
        </w:rPr>
      </w:pPr>
      <w:r w:rsidRPr="007D38CE">
        <w:rPr>
          <w:lang w:val="fr-CH"/>
        </w:rPr>
        <w:t>–</w:t>
      </w:r>
      <w:r w:rsidRPr="007D38CE">
        <w:rPr>
          <w:lang w:val="fr-CH"/>
        </w:rPr>
        <w:tab/>
        <w:t xml:space="preserve">le champ brouilleur maximal admissible pour chaque service/bande de </w:t>
      </w:r>
      <w:proofErr w:type="gramStart"/>
      <w:r w:rsidRPr="007D38CE">
        <w:rPr>
          <w:lang w:val="fr-CH"/>
        </w:rPr>
        <w:t>fréquences;</w:t>
      </w:r>
      <w:proofErr w:type="gramEnd"/>
    </w:p>
    <w:p w14:paraId="1DE642BE" w14:textId="77777777" w:rsidR="00000000" w:rsidRPr="007D38CE" w:rsidRDefault="007D38CE">
      <w:pPr>
        <w:pStyle w:val="enumlev1"/>
        <w:rPr>
          <w:lang w:val="fr-CH"/>
        </w:rPr>
      </w:pPr>
      <w:r w:rsidRPr="007D38CE">
        <w:rPr>
          <w:lang w:val="fr-CH"/>
        </w:rPr>
        <w:t>–</w:t>
      </w:r>
      <w:r w:rsidRPr="007D38CE">
        <w:rPr>
          <w:lang w:val="fr-CH"/>
        </w:rPr>
        <w:tab/>
        <w:t xml:space="preserve">les valeurs maximales de la puissance d'émission, la hauteur équivalente de l'antenne et le gain autorisé ou une méthode permettant de prendre ces valeurs en compte dans les </w:t>
      </w:r>
      <w:proofErr w:type="gramStart"/>
      <w:r w:rsidRPr="007D38CE">
        <w:rPr>
          <w:lang w:val="fr-CH"/>
        </w:rPr>
        <w:t>calculs;</w:t>
      </w:r>
      <w:proofErr w:type="gramEnd"/>
    </w:p>
    <w:p w14:paraId="259B3856" w14:textId="77777777" w:rsidR="00000000" w:rsidRPr="007D38CE" w:rsidRDefault="007D38CE">
      <w:pPr>
        <w:pStyle w:val="enumlev1"/>
        <w:rPr>
          <w:lang w:val="fr-CH"/>
        </w:rPr>
      </w:pPr>
      <w:r w:rsidRPr="007D38CE">
        <w:rPr>
          <w:lang w:val="fr-CH"/>
        </w:rPr>
        <w:t>–</w:t>
      </w:r>
      <w:r w:rsidRPr="007D38CE">
        <w:rPr>
          <w:lang w:val="fr-CH"/>
        </w:rPr>
        <w:tab/>
        <w:t xml:space="preserve">une méthode de calcul des prévisions, définie d'un commun </w:t>
      </w:r>
      <w:proofErr w:type="gramStart"/>
      <w:r w:rsidRPr="007D38CE">
        <w:rPr>
          <w:lang w:val="fr-CH"/>
        </w:rPr>
        <w:t>accord;</w:t>
      </w:r>
      <w:proofErr w:type="gramEnd"/>
    </w:p>
    <w:p w14:paraId="4ECCEF64" w14:textId="77777777" w:rsidR="00000000" w:rsidRPr="007D38CE" w:rsidRDefault="007D38CE">
      <w:pPr>
        <w:pStyle w:val="enumlev1"/>
        <w:rPr>
          <w:lang w:val="fr-CH"/>
        </w:rPr>
      </w:pPr>
      <w:r w:rsidRPr="007D38CE">
        <w:rPr>
          <w:lang w:val="fr-CH"/>
        </w:rPr>
        <w:t>–</w:t>
      </w:r>
      <w:r w:rsidRPr="007D38CE">
        <w:rPr>
          <w:lang w:val="fr-CH"/>
        </w:rPr>
        <w:tab/>
        <w:t>des méthode</w:t>
      </w:r>
      <w:r w:rsidRPr="007D38CE">
        <w:rPr>
          <w:lang w:val="fr-CH"/>
        </w:rPr>
        <w:t>s permettant à chaque administration de s'assurer, au coup par coup, que le ou les modèles sont corrects ou que leur utilisation est acceptée.</w:t>
      </w:r>
    </w:p>
    <w:p w14:paraId="2708B95A" w14:textId="77777777" w:rsidR="00000000" w:rsidRPr="007D38CE" w:rsidRDefault="007D38CE">
      <w:pPr>
        <w:rPr>
          <w:lang w:val="fr-CH"/>
        </w:rPr>
      </w:pPr>
      <w:r w:rsidRPr="007D38CE">
        <w:rPr>
          <w:lang w:val="fr-CH"/>
        </w:rPr>
        <w:t>Si l'on veut disposer d'un modèle plus détaillé, il faudra peut</w:t>
      </w:r>
      <w:r w:rsidRPr="007D38CE">
        <w:rPr>
          <w:lang w:val="fr-CH"/>
        </w:rPr>
        <w:noBreakHyphen/>
        <w:t>être prévoir une base de données de terrain pour les parties correspondant au territoire de chaque administration.</w:t>
      </w:r>
    </w:p>
    <w:p w14:paraId="14BB8C5D" w14:textId="77777777" w:rsidR="00000000" w:rsidRPr="007D38CE" w:rsidRDefault="007D38CE">
      <w:pPr>
        <w:rPr>
          <w:lang w:val="fr-CH"/>
        </w:rPr>
      </w:pPr>
      <w:r w:rsidRPr="007D38CE">
        <w:rPr>
          <w:lang w:val="fr-CH"/>
        </w:rPr>
        <w:t xml:space="preserve">En outre, il faudra peut-être arrêter d'un commun accord une stratégie permettant d'effectuer les mesures proprement dites, afin de s'assurer de l'applicabilité du modèle et de démontrer la </w:t>
      </w:r>
      <w:r w:rsidRPr="007D38CE">
        <w:rPr>
          <w:lang w:val="fr-CH"/>
        </w:rPr>
        <w:t xml:space="preserve">fiabilité des procédures retenues. Cette stratégie de mesure devra tenir compte de divers </w:t>
      </w:r>
      <w:proofErr w:type="gramStart"/>
      <w:r w:rsidRPr="007D38CE">
        <w:rPr>
          <w:lang w:val="fr-CH"/>
        </w:rPr>
        <w:t>facteurs:</w:t>
      </w:r>
      <w:proofErr w:type="gramEnd"/>
    </w:p>
    <w:p w14:paraId="7A047704" w14:textId="77777777" w:rsidR="00000000" w:rsidRPr="007D38CE" w:rsidRDefault="007D38CE">
      <w:pPr>
        <w:pStyle w:val="enumlev1"/>
        <w:rPr>
          <w:lang w:val="fr-CH"/>
        </w:rPr>
      </w:pPr>
      <w:r w:rsidRPr="007D38CE">
        <w:rPr>
          <w:lang w:val="fr-CH"/>
        </w:rPr>
        <w:t>–</w:t>
      </w:r>
      <w:r w:rsidRPr="007D38CE">
        <w:rPr>
          <w:lang w:val="fr-CH"/>
        </w:rPr>
        <w:tab/>
        <w:t xml:space="preserve">choix des points de mesure où seront situés les émetteurs et les récepteurs de </w:t>
      </w:r>
      <w:proofErr w:type="gramStart"/>
      <w:r w:rsidRPr="007D38CE">
        <w:rPr>
          <w:lang w:val="fr-CH"/>
        </w:rPr>
        <w:t>mesure;</w:t>
      </w:r>
      <w:proofErr w:type="gramEnd"/>
    </w:p>
    <w:p w14:paraId="1856CD3E" w14:textId="77777777" w:rsidR="00000000" w:rsidRPr="007D38CE" w:rsidRDefault="007D38CE">
      <w:pPr>
        <w:pStyle w:val="enumlev1"/>
        <w:rPr>
          <w:lang w:val="fr-CH"/>
        </w:rPr>
      </w:pPr>
      <w:r w:rsidRPr="007D38CE">
        <w:rPr>
          <w:lang w:val="fr-CH"/>
        </w:rPr>
        <w:t>–</w:t>
      </w:r>
      <w:r w:rsidRPr="007D38CE">
        <w:rPr>
          <w:lang w:val="fr-CH"/>
        </w:rPr>
        <w:tab/>
        <w:t xml:space="preserve">conditions (par exemple, le climat et les rapports signal/bruit) dans lesquelles on considérera que les résultats sont </w:t>
      </w:r>
      <w:proofErr w:type="gramStart"/>
      <w:r w:rsidRPr="007D38CE">
        <w:rPr>
          <w:lang w:val="fr-CH"/>
        </w:rPr>
        <w:t>valables;</w:t>
      </w:r>
      <w:proofErr w:type="gramEnd"/>
    </w:p>
    <w:p w14:paraId="550C6F81" w14:textId="77777777" w:rsidR="00000000" w:rsidRPr="007D38CE" w:rsidRDefault="007D38CE">
      <w:pPr>
        <w:pStyle w:val="enumlev1"/>
        <w:rPr>
          <w:lang w:val="fr-CH"/>
        </w:rPr>
      </w:pPr>
      <w:r w:rsidRPr="007D38CE">
        <w:rPr>
          <w:lang w:val="fr-CH"/>
        </w:rPr>
        <w:t>–</w:t>
      </w:r>
      <w:r w:rsidRPr="007D38CE">
        <w:rPr>
          <w:lang w:val="fr-CH"/>
        </w:rPr>
        <w:tab/>
        <w:t xml:space="preserve">mécanisme permettant de vérifier les programmes de mesures et de résoudre les difficultés </w:t>
      </w:r>
      <w:proofErr w:type="gramStart"/>
      <w:r w:rsidRPr="007D38CE">
        <w:rPr>
          <w:lang w:val="fr-CH"/>
        </w:rPr>
        <w:t>éventuelles;</w:t>
      </w:r>
      <w:proofErr w:type="gramEnd"/>
    </w:p>
    <w:p w14:paraId="591E999A" w14:textId="77777777" w:rsidR="00000000" w:rsidRPr="007D38CE" w:rsidRDefault="007D38CE">
      <w:pPr>
        <w:pStyle w:val="enumlev1"/>
        <w:rPr>
          <w:lang w:val="fr-CH"/>
        </w:rPr>
      </w:pPr>
      <w:r w:rsidRPr="007D38CE">
        <w:rPr>
          <w:lang w:val="fr-CH"/>
        </w:rPr>
        <w:t>–</w:t>
      </w:r>
      <w:r w:rsidRPr="007D38CE">
        <w:rPr>
          <w:lang w:val="fr-CH"/>
        </w:rPr>
        <w:tab/>
        <w:t xml:space="preserve">durée des </w:t>
      </w:r>
      <w:proofErr w:type="gramStart"/>
      <w:r w:rsidRPr="007D38CE">
        <w:rPr>
          <w:lang w:val="fr-CH"/>
        </w:rPr>
        <w:t>mesures;</w:t>
      </w:r>
      <w:proofErr w:type="gramEnd"/>
      <w:r w:rsidRPr="007D38CE">
        <w:rPr>
          <w:lang w:val="fr-CH"/>
        </w:rPr>
        <w:t xml:space="preserve"> à cet égard, il convient d'examiner:</w:t>
      </w:r>
    </w:p>
    <w:p w14:paraId="05F79ED0" w14:textId="77777777" w:rsidR="00000000" w:rsidRPr="007D38CE" w:rsidRDefault="007D38CE">
      <w:pPr>
        <w:pStyle w:val="enumlev2"/>
        <w:rPr>
          <w:lang w:val="fr-CH"/>
        </w:rPr>
      </w:pPr>
      <w:r w:rsidRPr="007D38CE">
        <w:rPr>
          <w:lang w:val="fr-CH"/>
        </w:rPr>
        <w:t>–</w:t>
      </w:r>
      <w:r w:rsidRPr="007D38CE">
        <w:rPr>
          <w:lang w:val="fr-CH"/>
        </w:rPr>
        <w:tab/>
        <w:t>la durée nécessaire pour va</w:t>
      </w:r>
      <w:r w:rsidRPr="007D38CE">
        <w:rPr>
          <w:lang w:val="fr-CH"/>
        </w:rPr>
        <w:t>lider les prévisions de l'affaiblissement dû au terrain dans des conditions climatiques</w:t>
      </w:r>
      <w:proofErr w:type="gramStart"/>
      <w:r w:rsidRPr="007D38CE">
        <w:rPr>
          <w:lang w:val="fr-CH"/>
        </w:rPr>
        <w:t xml:space="preserve"> «normales</w:t>
      </w:r>
      <w:proofErr w:type="gramEnd"/>
      <w:r w:rsidRPr="007D38CE">
        <w:rPr>
          <w:lang w:val="fr-CH"/>
        </w:rPr>
        <w:t>»;</w:t>
      </w:r>
    </w:p>
    <w:p w14:paraId="07943A54" w14:textId="77777777" w:rsidR="00000000" w:rsidRPr="007D38CE" w:rsidRDefault="007D38CE">
      <w:pPr>
        <w:pStyle w:val="enumlev2"/>
        <w:rPr>
          <w:lang w:val="fr-CH"/>
        </w:rPr>
      </w:pPr>
      <w:r w:rsidRPr="007D38CE">
        <w:rPr>
          <w:lang w:val="fr-CH"/>
        </w:rPr>
        <w:t>–</w:t>
      </w:r>
      <w:r w:rsidRPr="007D38CE">
        <w:rPr>
          <w:lang w:val="fr-CH"/>
        </w:rPr>
        <w:tab/>
        <w:t xml:space="preserve">la durée supplémentaire à prévoir pour évaluer la probabilité de temps pendant lequel une propagation anormale améliorera sensiblement les niveaux de propagation et des signaux </w:t>
      </w:r>
      <w:proofErr w:type="gramStart"/>
      <w:r w:rsidRPr="007D38CE">
        <w:rPr>
          <w:lang w:val="fr-CH"/>
        </w:rPr>
        <w:t>reçus;</w:t>
      </w:r>
      <w:proofErr w:type="gramEnd"/>
    </w:p>
    <w:p w14:paraId="5C8E54CC" w14:textId="77777777" w:rsidR="00000000" w:rsidRPr="007D38CE" w:rsidRDefault="007D38CE">
      <w:pPr>
        <w:pStyle w:val="enumlev2"/>
        <w:rPr>
          <w:lang w:val="fr-CH"/>
        </w:rPr>
      </w:pPr>
      <w:r w:rsidRPr="007D38CE">
        <w:rPr>
          <w:lang w:val="fr-CH"/>
        </w:rPr>
        <w:t>–</w:t>
      </w:r>
      <w:r w:rsidRPr="007D38CE">
        <w:rPr>
          <w:lang w:val="fr-CH"/>
        </w:rPr>
        <w:tab/>
        <w:t>méthode visant à mettre en relation les résultats mesurés et les modèles de prévision ainsi que les conditions dans lesquelles on peut considérer que le modèle a fait ses preuves du point de vue de l'applicabilité et de la p</w:t>
      </w:r>
      <w:r w:rsidRPr="007D38CE">
        <w:rPr>
          <w:lang w:val="fr-CH"/>
        </w:rPr>
        <w:t>récision.</w:t>
      </w:r>
    </w:p>
    <w:p w14:paraId="5B57FD5C" w14:textId="77777777" w:rsidR="00000000" w:rsidRPr="007D38CE" w:rsidRDefault="007D38CE">
      <w:pPr>
        <w:pStyle w:val="Annex"/>
        <w:rPr>
          <w:lang w:val="fr-CH"/>
        </w:rPr>
      </w:pPr>
      <w:r w:rsidRPr="007D38CE">
        <w:rPr>
          <w:lang w:val="fr-CH"/>
        </w:rPr>
        <w:t>ANNEXE  2</w:t>
      </w:r>
    </w:p>
    <w:p w14:paraId="599F97CC" w14:textId="77777777" w:rsidR="00000000" w:rsidRPr="007D38CE" w:rsidRDefault="007D38CE">
      <w:pPr>
        <w:pStyle w:val="AnnexRef"/>
        <w:rPr>
          <w:lang w:val="fr-CH"/>
        </w:rPr>
      </w:pPr>
      <w:r w:rsidRPr="007D38CE">
        <w:rPr>
          <w:lang w:val="fr-CH"/>
        </w:rPr>
        <w:t>EXEMPLE  1</w:t>
      </w:r>
    </w:p>
    <w:p w14:paraId="5A8F6418" w14:textId="77777777" w:rsidR="00000000" w:rsidRPr="007D38CE" w:rsidRDefault="007D38CE">
      <w:pPr>
        <w:pStyle w:val="AnnexTitle"/>
        <w:rPr>
          <w:lang w:val="fr-CH"/>
        </w:rPr>
      </w:pPr>
      <w:r w:rsidRPr="007D38CE">
        <w:rPr>
          <w:lang w:val="fr-CH"/>
        </w:rPr>
        <w:t xml:space="preserve">Accord entre un pays X et un pays Y concernant l'utilisation des bandes 932-932,5 MHz </w:t>
      </w:r>
      <w:r w:rsidRPr="007D38CE">
        <w:rPr>
          <w:lang w:val="fr-CH"/>
        </w:rPr>
        <w:br/>
        <w:t>et 941-941,5 MHz le long de leur frontière X-Y pour des systèmes point à multipoint</w:t>
      </w:r>
    </w:p>
    <w:p w14:paraId="49FFD7A4" w14:textId="77777777" w:rsidR="00000000" w:rsidRPr="007D38CE" w:rsidRDefault="007D38CE">
      <w:pPr>
        <w:pStyle w:val="Normalaftertitle"/>
        <w:rPr>
          <w:lang w:val="fr-CH"/>
        </w:rPr>
      </w:pPr>
      <w:r w:rsidRPr="007D38CE">
        <w:rPr>
          <w:b/>
          <w:lang w:val="fr-CH"/>
        </w:rPr>
        <w:t>1</w:t>
      </w:r>
      <w:r w:rsidRPr="007D38CE">
        <w:rPr>
          <w:lang w:val="fr-CH"/>
        </w:rPr>
        <w:tab/>
        <w:t>Le présent accord entre le pays X, d'une part, et le pays Y, d'autre part, porte sur la coordination et l'utilisation des bandes 932-932,5 MHz et 941-941,5 MHz pour des systèmes de télécommunication point à multipoint à proximité de la frontière X-Y.</w:t>
      </w:r>
    </w:p>
    <w:p w14:paraId="77009022" w14:textId="77777777" w:rsidR="00000000" w:rsidRPr="007D38CE" w:rsidRDefault="007D38CE">
      <w:pPr>
        <w:rPr>
          <w:lang w:val="fr-CH"/>
        </w:rPr>
      </w:pPr>
      <w:r w:rsidRPr="007D38CE">
        <w:rPr>
          <w:b/>
          <w:lang w:val="fr-CH"/>
        </w:rPr>
        <w:t>2</w:t>
      </w:r>
      <w:r w:rsidRPr="007D38CE">
        <w:rPr>
          <w:lang w:val="fr-CH"/>
        </w:rPr>
        <w:tab/>
        <w:t>Accord relatif à l'utilisation de systèmes point à mult</w:t>
      </w:r>
      <w:r w:rsidRPr="007D38CE">
        <w:rPr>
          <w:lang w:val="fr-CH"/>
        </w:rPr>
        <w:t>ipoint dans les portions de bandes 932,0-932,</w:t>
      </w:r>
      <w:proofErr w:type="gramStart"/>
      <w:r w:rsidRPr="007D38CE">
        <w:rPr>
          <w:lang w:val="fr-CH"/>
        </w:rPr>
        <w:t>5  MHz</w:t>
      </w:r>
      <w:proofErr w:type="gramEnd"/>
      <w:r w:rsidRPr="007D38CE">
        <w:rPr>
          <w:lang w:val="fr-CH"/>
        </w:rPr>
        <w:t xml:space="preserve"> et 941,0-941,5 MHz.</w:t>
      </w:r>
    </w:p>
    <w:p w14:paraId="6BA65538" w14:textId="77777777" w:rsidR="00000000" w:rsidRPr="007D38CE" w:rsidRDefault="007D38CE">
      <w:pPr>
        <w:rPr>
          <w:lang w:val="fr-CH"/>
        </w:rPr>
      </w:pPr>
      <w:r w:rsidRPr="007D38CE">
        <w:rPr>
          <w:b/>
          <w:lang w:val="fr-CH"/>
        </w:rPr>
        <w:t>2.1</w:t>
      </w:r>
      <w:r w:rsidRPr="007D38CE">
        <w:rPr>
          <w:lang w:val="fr-CH"/>
        </w:rPr>
        <w:tab/>
        <w:t>Nonobstant toute autre disposition du présent accord, au-delà de la zone de coordination chaque pays dispose pour son utilisation pleine et entière des bandes 932,0-932,5 MHz et 941,0-941,5 MHz.</w:t>
      </w:r>
    </w:p>
    <w:p w14:paraId="672042B2" w14:textId="77777777" w:rsidR="00000000" w:rsidRPr="007D38CE" w:rsidRDefault="007D38CE">
      <w:pPr>
        <w:rPr>
          <w:lang w:val="fr-CH"/>
        </w:rPr>
      </w:pPr>
      <w:r w:rsidRPr="007D38CE">
        <w:rPr>
          <w:b/>
          <w:lang w:val="fr-CH"/>
        </w:rPr>
        <w:t>2.2</w:t>
      </w:r>
      <w:r w:rsidRPr="007D38CE">
        <w:rPr>
          <w:lang w:val="fr-CH"/>
        </w:rPr>
        <w:tab/>
        <w:t>La zone de coordination est une zone adjacente à la frontière X-Y, de 50 km de profondeur à l'intérieur de chaque pays.</w:t>
      </w:r>
    </w:p>
    <w:p w14:paraId="5BABA285" w14:textId="77777777" w:rsidR="00000000" w:rsidRPr="007D38CE" w:rsidRDefault="007D38CE">
      <w:pPr>
        <w:rPr>
          <w:lang w:val="fr-CH"/>
        </w:rPr>
      </w:pPr>
      <w:r w:rsidRPr="007D38CE">
        <w:rPr>
          <w:b/>
          <w:lang w:val="fr-CH"/>
        </w:rPr>
        <w:t>2.3</w:t>
      </w:r>
      <w:r w:rsidRPr="007D38CE">
        <w:rPr>
          <w:lang w:val="fr-CH"/>
        </w:rPr>
        <w:tab/>
        <w:t>Dans la zone de coordination, et compte tenu des critères techniques énoncés à l'Appendice 1 ci-après, l'utilisat</w:t>
      </w:r>
      <w:r w:rsidRPr="007D38CE">
        <w:rPr>
          <w:lang w:val="fr-CH"/>
        </w:rPr>
        <w:t xml:space="preserve">ion des fréquences se fait comme </w:t>
      </w:r>
      <w:proofErr w:type="gramStart"/>
      <w:r w:rsidRPr="007D38CE">
        <w:rPr>
          <w:lang w:val="fr-CH"/>
        </w:rPr>
        <w:t>suit:</w:t>
      </w:r>
      <w:proofErr w:type="gramEnd"/>
    </w:p>
    <w:p w14:paraId="6286ABD2" w14:textId="77777777" w:rsidR="00000000" w:rsidRPr="007D38CE" w:rsidRDefault="007D38CE">
      <w:pPr>
        <w:rPr>
          <w:lang w:val="fr-CH"/>
        </w:rPr>
      </w:pPr>
      <w:r w:rsidRPr="007D38CE">
        <w:rPr>
          <w:b/>
          <w:lang w:val="fr-CH"/>
        </w:rPr>
        <w:t>2.3.1</w:t>
      </w:r>
      <w:r w:rsidRPr="007D38CE">
        <w:rPr>
          <w:lang w:val="fr-CH"/>
        </w:rPr>
        <w:tab/>
      </w:r>
      <w:r w:rsidRPr="007D38CE">
        <w:rPr>
          <w:b/>
          <w:lang w:val="fr-CH"/>
        </w:rPr>
        <w:t>932,0-932,</w:t>
      </w:r>
      <w:proofErr w:type="gramStart"/>
      <w:r w:rsidRPr="007D38CE">
        <w:rPr>
          <w:b/>
          <w:lang w:val="fr-CH"/>
        </w:rPr>
        <w:t>25  MHz</w:t>
      </w:r>
      <w:proofErr w:type="gramEnd"/>
      <w:r w:rsidRPr="007D38CE">
        <w:rPr>
          <w:b/>
          <w:lang w:val="fr-CH"/>
        </w:rPr>
        <w:t xml:space="preserve"> et 941,0-941,25 MHz</w:t>
      </w:r>
    </w:p>
    <w:p w14:paraId="637A7985" w14:textId="77777777" w:rsidR="00000000" w:rsidRPr="007D38CE" w:rsidRDefault="007D38CE">
      <w:pPr>
        <w:rPr>
          <w:lang w:val="fr-CH"/>
        </w:rPr>
      </w:pPr>
      <w:r w:rsidRPr="007D38CE">
        <w:rPr>
          <w:lang w:val="fr-CH"/>
        </w:rPr>
        <w:t>Le pays Y a la pleine jouissance des fréquences à l'intérieur de ces bandes. Le pays X peut lui aussi utiliser ces fréquences, sans protection, à condition que la puissance surfacique de ses stations se limite à –100 dB(W/m</w:t>
      </w:r>
      <w:r w:rsidRPr="007D38CE">
        <w:rPr>
          <w:position w:val="6"/>
          <w:sz w:val="16"/>
          <w:lang w:val="fr-CH"/>
        </w:rPr>
        <w:t>2</w:t>
      </w:r>
      <w:r w:rsidRPr="007D38CE">
        <w:rPr>
          <w:lang w:val="fr-CH"/>
        </w:rPr>
        <w:t>) à la frontière avec le pays Y, ou au-delà, pour la bande de fréquences 932-932,25 MHz et à –94 dB(W/m</w:t>
      </w:r>
      <w:r w:rsidRPr="007D38CE">
        <w:rPr>
          <w:position w:val="6"/>
          <w:sz w:val="16"/>
          <w:lang w:val="fr-CH"/>
        </w:rPr>
        <w:t>2</w:t>
      </w:r>
      <w:r w:rsidRPr="007D38CE">
        <w:rPr>
          <w:lang w:val="fr-CH"/>
        </w:rPr>
        <w:t>) à la frontière avec le pays Y, ou au-delà, pour la bande 941,0-941,25 MHz.</w:t>
      </w:r>
    </w:p>
    <w:p w14:paraId="6C94C22C" w14:textId="48BC3D92" w:rsidR="00000000" w:rsidRPr="007D38CE" w:rsidRDefault="007D38CE">
      <w:pPr>
        <w:rPr>
          <w:lang w:val="fr-CH"/>
        </w:rPr>
      </w:pPr>
      <w:r w:rsidRPr="007D38CE">
        <w:rPr>
          <w:b/>
          <w:lang w:val="fr-CH"/>
        </w:rPr>
        <w:t>2.3.2</w:t>
      </w:r>
      <w:r w:rsidRPr="007D38CE">
        <w:rPr>
          <w:lang w:val="fr-CH"/>
        </w:rPr>
        <w:tab/>
      </w:r>
      <w:r w:rsidRPr="007D38CE">
        <w:rPr>
          <w:b/>
          <w:lang w:val="fr-CH"/>
        </w:rPr>
        <w:t>932,25-932,50 MHz</w:t>
      </w:r>
      <w:r w:rsidRPr="007D38CE">
        <w:rPr>
          <w:b/>
          <w:lang w:val="fr-CH"/>
        </w:rPr>
        <w:t xml:space="preserve"> et 941,25-941,50 MHz</w:t>
      </w:r>
    </w:p>
    <w:p w14:paraId="21EA108A" w14:textId="77777777" w:rsidR="00000000" w:rsidRPr="007D38CE" w:rsidRDefault="007D38CE">
      <w:pPr>
        <w:rPr>
          <w:lang w:val="fr-CH"/>
        </w:rPr>
      </w:pPr>
      <w:r w:rsidRPr="007D38CE">
        <w:rPr>
          <w:lang w:val="fr-CH"/>
        </w:rPr>
        <w:t>Le pays X a la pleine jouissance des fréquences à l'intérieur de ces bandes. Le pays Y peut lui aussi utiliser ces fréquences, sans protection, à condition que la puissance surfacique de ses stations se limite à –100 dB(W/m</w:t>
      </w:r>
      <w:r w:rsidRPr="007D38CE">
        <w:rPr>
          <w:position w:val="6"/>
          <w:sz w:val="16"/>
          <w:lang w:val="fr-CH"/>
        </w:rPr>
        <w:t>2</w:t>
      </w:r>
      <w:r w:rsidRPr="007D38CE">
        <w:rPr>
          <w:lang w:val="fr-CH"/>
        </w:rPr>
        <w:t>) à la frontière avec le pays X, ou au-delà, pour la bande de fréquences 932,25-932,50 MHz et à –94 dB(W/m</w:t>
      </w:r>
      <w:r w:rsidRPr="007D38CE">
        <w:rPr>
          <w:position w:val="6"/>
          <w:sz w:val="16"/>
          <w:lang w:val="fr-CH"/>
        </w:rPr>
        <w:t>2</w:t>
      </w:r>
      <w:r w:rsidRPr="007D38CE">
        <w:rPr>
          <w:lang w:val="fr-CH"/>
        </w:rPr>
        <w:t>) à la frontière avec le pays X, ou au-delà, pour la bande 941,25-941,50 MHz.</w:t>
      </w:r>
    </w:p>
    <w:p w14:paraId="2B895008" w14:textId="77777777" w:rsidR="00000000" w:rsidRPr="007D38CE" w:rsidRDefault="007D38CE">
      <w:pPr>
        <w:rPr>
          <w:lang w:val="fr-CH"/>
        </w:rPr>
      </w:pPr>
      <w:r w:rsidRPr="007D38CE">
        <w:rPr>
          <w:b/>
          <w:lang w:val="fr-CH"/>
        </w:rPr>
        <w:t>2.4</w:t>
      </w:r>
      <w:r w:rsidRPr="007D38CE">
        <w:rPr>
          <w:lang w:val="fr-CH"/>
        </w:rPr>
        <w:tab/>
        <w:t>Quand le présent accord prévoit que la puissance surfacique peut être utilisé</w:t>
      </w:r>
      <w:r w:rsidRPr="007D38CE">
        <w:rPr>
          <w:lang w:val="fr-CH"/>
        </w:rPr>
        <w:t>e en lieu et place de l'espacement, il est possible de supposer dans un premier temps l'existence de conditions de propagation en espace libre pour déterminer si la puissance surfacique exigée a bien été respectée. Si une administration utilisant une fréquence excède la puissance surfacique limite qu'il lui a été demandé de respecter dans des conditions de propagation en espace libre, elle peut appliquer, éventuellement, d'autres méthodes pour démontrer qu'elle a bien observé cette limite. En ce qui concern</w:t>
      </w:r>
      <w:r w:rsidRPr="007D38CE">
        <w:rPr>
          <w:lang w:val="fr-CH"/>
        </w:rPr>
        <w:t>e les fréquences assignées à titre primaire aux stations de l'autre pays, la puissance surfacique limite s'applique à la frontière et a fortiori en tout point au-delà.</w:t>
      </w:r>
    </w:p>
    <w:p w14:paraId="4DD00AD6" w14:textId="77777777" w:rsidR="00000000" w:rsidRPr="007D38CE" w:rsidRDefault="007D38CE">
      <w:pPr>
        <w:pStyle w:val="Appendix"/>
        <w:tabs>
          <w:tab w:val="left" w:pos="3261"/>
        </w:tabs>
        <w:rPr>
          <w:lang w:val="fr-CH"/>
        </w:rPr>
      </w:pPr>
      <w:r w:rsidRPr="007D38CE">
        <w:rPr>
          <w:lang w:val="fr-CH"/>
        </w:rPr>
        <w:t>APPENDICE  1</w:t>
      </w:r>
    </w:p>
    <w:p w14:paraId="413C9BF8" w14:textId="77777777" w:rsidR="00000000" w:rsidRPr="007D38CE" w:rsidRDefault="007D38CE">
      <w:pPr>
        <w:pStyle w:val="AppendixRef"/>
        <w:rPr>
          <w:lang w:val="fr-CH"/>
        </w:rPr>
      </w:pPr>
      <w:proofErr w:type="gramStart"/>
      <w:r w:rsidRPr="007D38CE">
        <w:rPr>
          <w:lang w:val="fr-CH"/>
        </w:rPr>
        <w:t>DE  L'ANNEXE</w:t>
      </w:r>
      <w:proofErr w:type="gramEnd"/>
      <w:r w:rsidRPr="007D38CE">
        <w:rPr>
          <w:lang w:val="fr-CH"/>
        </w:rPr>
        <w:t xml:space="preserve">  2</w:t>
      </w:r>
    </w:p>
    <w:p w14:paraId="4D3845F8" w14:textId="77777777" w:rsidR="00000000" w:rsidRPr="007D38CE" w:rsidRDefault="007D38CE">
      <w:pPr>
        <w:pStyle w:val="AppendixTitle"/>
        <w:rPr>
          <w:lang w:val="fr-CH"/>
        </w:rPr>
      </w:pPr>
      <w:r w:rsidRPr="007D38CE">
        <w:rPr>
          <w:lang w:val="fr-CH"/>
        </w:rPr>
        <w:t>Critères techniques applicables à des stations point à multipoint</w:t>
      </w:r>
      <w:r w:rsidRPr="007D38CE">
        <w:rPr>
          <w:lang w:val="fr-CH"/>
        </w:rPr>
        <w:br/>
        <w:t>exploitées conformément aux dispositions du présent accord</w:t>
      </w:r>
    </w:p>
    <w:p w14:paraId="02E122E0" w14:textId="77777777" w:rsidR="00000000" w:rsidRPr="007D38CE" w:rsidRDefault="007D38CE">
      <w:pPr>
        <w:pStyle w:val="Heading1"/>
        <w:rPr>
          <w:lang w:val="fr-CH"/>
        </w:rPr>
      </w:pPr>
      <w:r w:rsidRPr="007D38CE">
        <w:rPr>
          <w:lang w:val="fr-CH"/>
        </w:rPr>
        <w:t>1</w:t>
      </w:r>
      <w:r w:rsidRPr="007D38CE">
        <w:rPr>
          <w:lang w:val="fr-CH"/>
        </w:rPr>
        <w:tab/>
        <w:t>Exemples de valeurs</w:t>
      </w:r>
    </w:p>
    <w:p w14:paraId="12038E72" w14:textId="77777777" w:rsidR="00000000" w:rsidRPr="007D38CE" w:rsidRDefault="007D38CE">
      <w:pPr>
        <w:pStyle w:val="Heading2"/>
        <w:rPr>
          <w:lang w:val="fr-CH"/>
        </w:rPr>
      </w:pPr>
      <w:r w:rsidRPr="007D38CE">
        <w:rPr>
          <w:lang w:val="fr-CH"/>
        </w:rPr>
        <w:t>1.1</w:t>
      </w:r>
      <w:r w:rsidRPr="007D38CE">
        <w:rPr>
          <w:lang w:val="fr-CH"/>
        </w:rPr>
        <w:tab/>
        <w:t>Puissance rayonnée maximale</w:t>
      </w:r>
    </w:p>
    <w:p w14:paraId="2D7C5F31" w14:textId="77777777" w:rsidR="00000000" w:rsidRDefault="007D38CE">
      <w:pPr>
        <w:pStyle w:val="Table"/>
      </w:pPr>
      <w:r>
        <w:t>TABLEAU  1</w:t>
      </w:r>
    </w:p>
    <w:p w14:paraId="175CB8FD" w14:textId="77777777" w:rsidR="00000000" w:rsidRDefault="007D38CE">
      <w:pPr>
        <w:pStyle w:val="Blanc"/>
      </w:pPr>
    </w:p>
    <w:tbl>
      <w:tblPr>
        <w:tblW w:w="0" w:type="auto"/>
        <w:jc w:val="center"/>
        <w:tblLayout w:type="fixed"/>
        <w:tblLook w:val="0000" w:firstRow="0" w:lastRow="0" w:firstColumn="0" w:lastColumn="0" w:noHBand="0" w:noVBand="0"/>
      </w:tblPr>
      <w:tblGrid>
        <w:gridCol w:w="2438"/>
        <w:gridCol w:w="1985"/>
        <w:gridCol w:w="1247"/>
        <w:gridCol w:w="1247"/>
        <w:gridCol w:w="1247"/>
        <w:gridCol w:w="1248"/>
      </w:tblGrid>
      <w:tr w:rsidR="00B50B95" w14:paraId="77D6C865" w14:textId="77777777" w:rsidTr="00B50B95">
        <w:tblPrEx>
          <w:tblCellMar>
            <w:top w:w="0" w:type="dxa"/>
            <w:bottom w:w="0" w:type="dxa"/>
          </w:tblCellMar>
        </w:tblPrEx>
        <w:trPr>
          <w:cantSplit/>
          <w:jc w:val="center"/>
        </w:trPr>
        <w:tc>
          <w:tcPr>
            <w:tcW w:w="2438" w:type="dxa"/>
            <w:tcBorders>
              <w:top w:val="single" w:sz="6" w:space="0" w:color="auto"/>
              <w:left w:val="single" w:sz="6" w:space="0" w:color="auto"/>
              <w:right w:val="single" w:sz="6" w:space="0" w:color="auto"/>
            </w:tcBorders>
          </w:tcPr>
          <w:p w14:paraId="5B3181BF" w14:textId="77777777" w:rsidR="00000000" w:rsidRDefault="007D38CE">
            <w:pPr>
              <w:pStyle w:val="TableText"/>
              <w:framePr w:hSpace="181" w:wrap="notBeside" w:vAnchor="text" w:hAnchor="page" w:xAlign="center" w:y="1"/>
              <w:spacing w:before="200" w:after="0"/>
              <w:jc w:val="center"/>
            </w:pPr>
            <w:r>
              <w:t>Catégorie de la</w:t>
            </w:r>
          </w:p>
        </w:tc>
        <w:tc>
          <w:tcPr>
            <w:tcW w:w="1985" w:type="dxa"/>
            <w:tcBorders>
              <w:top w:val="single" w:sz="6" w:space="0" w:color="auto"/>
              <w:left w:val="single" w:sz="6" w:space="0" w:color="auto"/>
              <w:right w:val="single" w:sz="6" w:space="0" w:color="auto"/>
            </w:tcBorders>
          </w:tcPr>
          <w:p w14:paraId="154B734D" w14:textId="77777777" w:rsidR="00000000" w:rsidRDefault="007D38CE">
            <w:pPr>
              <w:pStyle w:val="TableText"/>
              <w:framePr w:hSpace="181" w:wrap="notBeside" w:vAnchor="text" w:hAnchor="page" w:xAlign="center" w:y="1"/>
              <w:spacing w:before="200" w:after="0"/>
              <w:jc w:val="center"/>
            </w:pPr>
            <w:r>
              <w:t>Bande</w:t>
            </w:r>
          </w:p>
        </w:tc>
        <w:tc>
          <w:tcPr>
            <w:tcW w:w="2494" w:type="dxa"/>
            <w:gridSpan w:val="2"/>
            <w:tcBorders>
              <w:top w:val="single" w:sz="6" w:space="0" w:color="auto"/>
              <w:left w:val="single" w:sz="6" w:space="0" w:color="auto"/>
              <w:bottom w:val="single" w:sz="6" w:space="0" w:color="auto"/>
              <w:right w:val="single" w:sz="6" w:space="0" w:color="auto"/>
            </w:tcBorders>
          </w:tcPr>
          <w:p w14:paraId="0A930E91" w14:textId="77777777" w:rsidR="00000000" w:rsidRDefault="007D38CE">
            <w:pPr>
              <w:pStyle w:val="TableText"/>
              <w:framePr w:hSpace="181" w:wrap="notBeside" w:vAnchor="text" w:hAnchor="page" w:xAlign="center" w:y="1"/>
              <w:jc w:val="center"/>
            </w:pPr>
            <w:r>
              <w:t>p.i.r.e. maximale</w:t>
            </w:r>
          </w:p>
        </w:tc>
        <w:tc>
          <w:tcPr>
            <w:tcW w:w="2495" w:type="dxa"/>
            <w:gridSpan w:val="2"/>
            <w:tcBorders>
              <w:top w:val="single" w:sz="6" w:space="0" w:color="auto"/>
              <w:left w:val="single" w:sz="6" w:space="0" w:color="auto"/>
              <w:bottom w:val="single" w:sz="6" w:space="0" w:color="auto"/>
              <w:right w:val="single" w:sz="6" w:space="0" w:color="auto"/>
            </w:tcBorders>
          </w:tcPr>
          <w:p w14:paraId="657AC968" w14:textId="77777777" w:rsidR="00000000" w:rsidRDefault="007D38CE">
            <w:pPr>
              <w:pStyle w:val="TableText"/>
              <w:framePr w:hSpace="181" w:wrap="notBeside" w:vAnchor="text" w:hAnchor="page" w:xAlign="center" w:y="1"/>
              <w:jc w:val="center"/>
            </w:pPr>
            <w:r>
              <w:t>p.a.r. maximale</w:t>
            </w:r>
          </w:p>
        </w:tc>
      </w:tr>
      <w:tr w:rsidR="00000000" w14:paraId="6AFBB5B5" w14:textId="77777777">
        <w:tblPrEx>
          <w:tblCellMar>
            <w:top w:w="0" w:type="dxa"/>
            <w:bottom w:w="0" w:type="dxa"/>
          </w:tblCellMar>
        </w:tblPrEx>
        <w:trPr>
          <w:cantSplit/>
          <w:jc w:val="center"/>
        </w:trPr>
        <w:tc>
          <w:tcPr>
            <w:tcW w:w="2438" w:type="dxa"/>
            <w:tcBorders>
              <w:left w:val="single" w:sz="6" w:space="0" w:color="auto"/>
              <w:bottom w:val="single" w:sz="6" w:space="0" w:color="auto"/>
              <w:right w:val="single" w:sz="6" w:space="0" w:color="auto"/>
            </w:tcBorders>
          </w:tcPr>
          <w:p w14:paraId="05D2CFD8" w14:textId="77777777" w:rsidR="00000000" w:rsidRDefault="007D38CE">
            <w:pPr>
              <w:pStyle w:val="TableText"/>
              <w:framePr w:hSpace="181" w:wrap="notBeside" w:vAnchor="text" w:hAnchor="page" w:xAlign="center" w:y="1"/>
              <w:spacing w:before="0" w:after="60"/>
              <w:jc w:val="center"/>
            </w:pPr>
            <w:r>
              <w:t>station</w:t>
            </w:r>
          </w:p>
        </w:tc>
        <w:tc>
          <w:tcPr>
            <w:tcW w:w="1985" w:type="dxa"/>
            <w:tcBorders>
              <w:left w:val="single" w:sz="6" w:space="0" w:color="auto"/>
              <w:bottom w:val="single" w:sz="6" w:space="0" w:color="auto"/>
              <w:right w:val="single" w:sz="6" w:space="0" w:color="auto"/>
            </w:tcBorders>
          </w:tcPr>
          <w:p w14:paraId="037C3C68" w14:textId="77777777" w:rsidR="00000000" w:rsidRDefault="007D38CE">
            <w:pPr>
              <w:pStyle w:val="TableText"/>
              <w:framePr w:hSpace="181" w:wrap="notBeside" w:vAnchor="text" w:hAnchor="page" w:xAlign="center" w:y="1"/>
              <w:spacing w:before="0"/>
              <w:jc w:val="center"/>
            </w:pPr>
            <w:r>
              <w:t>(MHz)</w:t>
            </w:r>
          </w:p>
        </w:tc>
        <w:tc>
          <w:tcPr>
            <w:tcW w:w="1247" w:type="dxa"/>
            <w:tcBorders>
              <w:left w:val="single" w:sz="6" w:space="0" w:color="auto"/>
              <w:bottom w:val="single" w:sz="6" w:space="0" w:color="auto"/>
              <w:right w:val="single" w:sz="6" w:space="0" w:color="auto"/>
            </w:tcBorders>
          </w:tcPr>
          <w:p w14:paraId="50261854" w14:textId="77777777" w:rsidR="00000000" w:rsidRDefault="007D38CE">
            <w:pPr>
              <w:pStyle w:val="TableText"/>
              <w:framePr w:hSpace="181" w:wrap="notBeside" w:vAnchor="text" w:hAnchor="page" w:xAlign="center" w:y="1"/>
              <w:jc w:val="center"/>
            </w:pPr>
            <w:r>
              <w:t>(W)</w:t>
            </w:r>
          </w:p>
        </w:tc>
        <w:tc>
          <w:tcPr>
            <w:tcW w:w="1247" w:type="dxa"/>
            <w:tcBorders>
              <w:left w:val="single" w:sz="6" w:space="0" w:color="auto"/>
              <w:bottom w:val="single" w:sz="6" w:space="0" w:color="auto"/>
              <w:right w:val="single" w:sz="6" w:space="0" w:color="auto"/>
            </w:tcBorders>
          </w:tcPr>
          <w:p w14:paraId="60803158" w14:textId="77777777" w:rsidR="00000000" w:rsidRDefault="007D38CE">
            <w:pPr>
              <w:pStyle w:val="TableText"/>
              <w:framePr w:hSpace="181" w:wrap="notBeside" w:vAnchor="text" w:hAnchor="page" w:xAlign="center" w:y="1"/>
              <w:jc w:val="center"/>
            </w:pPr>
            <w:r>
              <w:t>(dBW)</w:t>
            </w:r>
          </w:p>
        </w:tc>
        <w:tc>
          <w:tcPr>
            <w:tcW w:w="1247" w:type="dxa"/>
            <w:tcBorders>
              <w:left w:val="single" w:sz="6" w:space="0" w:color="auto"/>
              <w:bottom w:val="single" w:sz="6" w:space="0" w:color="auto"/>
              <w:right w:val="single" w:sz="6" w:space="0" w:color="auto"/>
            </w:tcBorders>
          </w:tcPr>
          <w:p w14:paraId="30F1ED36" w14:textId="77777777" w:rsidR="00000000" w:rsidRDefault="007D38CE">
            <w:pPr>
              <w:pStyle w:val="TableText"/>
              <w:framePr w:hSpace="181" w:wrap="notBeside" w:vAnchor="text" w:hAnchor="page" w:xAlign="center" w:y="1"/>
              <w:jc w:val="center"/>
            </w:pPr>
            <w:r>
              <w:t>(W)</w:t>
            </w:r>
          </w:p>
        </w:tc>
        <w:tc>
          <w:tcPr>
            <w:tcW w:w="1247" w:type="dxa"/>
            <w:tcBorders>
              <w:left w:val="single" w:sz="6" w:space="0" w:color="auto"/>
              <w:bottom w:val="single" w:sz="6" w:space="0" w:color="auto"/>
              <w:right w:val="single" w:sz="6" w:space="0" w:color="auto"/>
            </w:tcBorders>
          </w:tcPr>
          <w:p w14:paraId="4C260E34" w14:textId="77777777" w:rsidR="00000000" w:rsidRDefault="007D38CE">
            <w:pPr>
              <w:pStyle w:val="TableText"/>
              <w:framePr w:hSpace="181" w:wrap="notBeside" w:vAnchor="text" w:hAnchor="page" w:xAlign="center" w:y="1"/>
              <w:jc w:val="center"/>
            </w:pPr>
            <w:r>
              <w:t>(dBW)</w:t>
            </w:r>
          </w:p>
        </w:tc>
      </w:tr>
      <w:tr w:rsidR="00000000" w14:paraId="430234CE" w14:textId="77777777">
        <w:tblPrEx>
          <w:tblCellMar>
            <w:top w:w="0" w:type="dxa"/>
            <w:bottom w:w="0" w:type="dxa"/>
          </w:tblCellMar>
        </w:tblPrEx>
        <w:trPr>
          <w:cantSplit/>
          <w:jc w:val="center"/>
        </w:trPr>
        <w:tc>
          <w:tcPr>
            <w:tcW w:w="2438" w:type="dxa"/>
            <w:tcBorders>
              <w:top w:val="single" w:sz="6" w:space="0" w:color="auto"/>
              <w:left w:val="single" w:sz="6" w:space="0" w:color="auto"/>
              <w:bottom w:val="single" w:sz="6" w:space="0" w:color="auto"/>
              <w:right w:val="single" w:sz="6" w:space="0" w:color="auto"/>
            </w:tcBorders>
          </w:tcPr>
          <w:p w14:paraId="5576D245" w14:textId="77777777" w:rsidR="00000000" w:rsidRDefault="007D38CE">
            <w:pPr>
              <w:pStyle w:val="TableText"/>
              <w:framePr w:hSpace="181" w:wrap="notBeside" w:vAnchor="text" w:hAnchor="page" w:xAlign="center" w:y="1"/>
              <w:spacing w:before="60" w:after="60"/>
              <w:jc w:val="left"/>
            </w:pPr>
            <w:r>
              <w:t>Station maîtresse</w:t>
            </w:r>
          </w:p>
        </w:tc>
        <w:tc>
          <w:tcPr>
            <w:tcW w:w="1985" w:type="dxa"/>
            <w:tcBorders>
              <w:top w:val="single" w:sz="6" w:space="0" w:color="auto"/>
              <w:left w:val="single" w:sz="6" w:space="0" w:color="auto"/>
              <w:bottom w:val="single" w:sz="6" w:space="0" w:color="auto"/>
              <w:right w:val="single" w:sz="6" w:space="0" w:color="auto"/>
            </w:tcBorders>
          </w:tcPr>
          <w:p w14:paraId="4A6D8219" w14:textId="77777777" w:rsidR="00000000" w:rsidRDefault="007D38CE">
            <w:pPr>
              <w:pStyle w:val="TableText"/>
              <w:framePr w:hSpace="181" w:wrap="notBeside" w:vAnchor="text" w:hAnchor="page" w:xAlign="center" w:y="1"/>
              <w:spacing w:before="60" w:after="60"/>
              <w:jc w:val="center"/>
            </w:pPr>
            <w:r>
              <w:t>941,0-941,5</w:t>
            </w:r>
          </w:p>
        </w:tc>
        <w:tc>
          <w:tcPr>
            <w:tcW w:w="1247" w:type="dxa"/>
            <w:tcBorders>
              <w:top w:val="single" w:sz="6" w:space="0" w:color="auto"/>
              <w:left w:val="single" w:sz="6" w:space="0" w:color="auto"/>
              <w:bottom w:val="single" w:sz="6" w:space="0" w:color="auto"/>
              <w:right w:val="single" w:sz="6" w:space="0" w:color="auto"/>
            </w:tcBorders>
          </w:tcPr>
          <w:p w14:paraId="6624DB89" w14:textId="77777777" w:rsidR="00000000" w:rsidRDefault="007D38CE">
            <w:pPr>
              <w:pStyle w:val="TableText"/>
              <w:framePr w:hSpace="181" w:wrap="notBeside" w:vAnchor="text" w:hAnchor="page" w:xAlign="center" w:y="1"/>
              <w:spacing w:before="60" w:after="60"/>
              <w:ind w:right="284"/>
              <w:jc w:val="right"/>
            </w:pPr>
            <w:r>
              <w:t>1</w:t>
            </w:r>
            <w:r>
              <w:rPr>
                <w:rFonts w:ascii="Tms Rmn" w:hAnsi="Tms Rmn"/>
                <w:sz w:val="12"/>
              </w:rPr>
              <w:t> </w:t>
            </w:r>
            <w:r>
              <w:t>000</w:t>
            </w:r>
          </w:p>
        </w:tc>
        <w:tc>
          <w:tcPr>
            <w:tcW w:w="1247" w:type="dxa"/>
            <w:tcBorders>
              <w:top w:val="single" w:sz="6" w:space="0" w:color="auto"/>
              <w:left w:val="single" w:sz="6" w:space="0" w:color="auto"/>
              <w:bottom w:val="single" w:sz="6" w:space="0" w:color="auto"/>
              <w:right w:val="single" w:sz="6" w:space="0" w:color="auto"/>
            </w:tcBorders>
          </w:tcPr>
          <w:p w14:paraId="2F070A89" w14:textId="77777777" w:rsidR="00000000" w:rsidRDefault="007D38CE">
            <w:pPr>
              <w:pStyle w:val="TableText"/>
              <w:framePr w:hSpace="181" w:wrap="notBeside" w:vAnchor="text" w:hAnchor="page" w:xAlign="center" w:y="1"/>
              <w:spacing w:before="60" w:after="60"/>
              <w:jc w:val="center"/>
            </w:pPr>
            <w:r>
              <w:t>30</w:t>
            </w:r>
          </w:p>
        </w:tc>
        <w:tc>
          <w:tcPr>
            <w:tcW w:w="1247" w:type="dxa"/>
            <w:tcBorders>
              <w:top w:val="single" w:sz="6" w:space="0" w:color="auto"/>
              <w:left w:val="single" w:sz="6" w:space="0" w:color="auto"/>
              <w:bottom w:val="single" w:sz="6" w:space="0" w:color="auto"/>
              <w:right w:val="single" w:sz="6" w:space="0" w:color="auto"/>
            </w:tcBorders>
          </w:tcPr>
          <w:p w14:paraId="3C2BF599" w14:textId="77777777" w:rsidR="00000000" w:rsidRDefault="007D38CE">
            <w:pPr>
              <w:pStyle w:val="TableText"/>
              <w:framePr w:hSpace="181" w:wrap="notBeside" w:vAnchor="text" w:hAnchor="page" w:xAlign="center" w:y="1"/>
              <w:spacing w:before="60" w:after="60"/>
              <w:ind w:left="-397" w:right="397"/>
              <w:jc w:val="right"/>
            </w:pPr>
            <w:r>
              <w:t>600</w:t>
            </w:r>
          </w:p>
        </w:tc>
        <w:tc>
          <w:tcPr>
            <w:tcW w:w="1247" w:type="dxa"/>
            <w:tcBorders>
              <w:top w:val="single" w:sz="6" w:space="0" w:color="auto"/>
              <w:left w:val="single" w:sz="6" w:space="0" w:color="auto"/>
              <w:bottom w:val="single" w:sz="6" w:space="0" w:color="auto"/>
              <w:right w:val="single" w:sz="6" w:space="0" w:color="auto"/>
            </w:tcBorders>
          </w:tcPr>
          <w:p w14:paraId="7D79C186" w14:textId="77777777" w:rsidR="00000000" w:rsidRDefault="007D38CE">
            <w:pPr>
              <w:pStyle w:val="TableText"/>
              <w:framePr w:hSpace="181" w:wrap="notBeside" w:vAnchor="text" w:hAnchor="page" w:xAlign="center" w:y="1"/>
              <w:spacing w:before="60" w:after="60"/>
              <w:jc w:val="center"/>
            </w:pPr>
            <w:r>
              <w:t>27,8</w:t>
            </w:r>
          </w:p>
        </w:tc>
      </w:tr>
      <w:tr w:rsidR="00000000" w14:paraId="00A2955A" w14:textId="77777777">
        <w:tblPrEx>
          <w:tblCellMar>
            <w:top w:w="0" w:type="dxa"/>
            <w:bottom w:w="0" w:type="dxa"/>
          </w:tblCellMar>
        </w:tblPrEx>
        <w:trPr>
          <w:cantSplit/>
          <w:jc w:val="center"/>
        </w:trPr>
        <w:tc>
          <w:tcPr>
            <w:tcW w:w="2438" w:type="dxa"/>
            <w:tcBorders>
              <w:top w:val="single" w:sz="6" w:space="0" w:color="auto"/>
              <w:left w:val="single" w:sz="6" w:space="0" w:color="auto"/>
              <w:bottom w:val="single" w:sz="6" w:space="0" w:color="auto"/>
              <w:right w:val="single" w:sz="6" w:space="0" w:color="auto"/>
            </w:tcBorders>
          </w:tcPr>
          <w:p w14:paraId="46B097E1" w14:textId="77777777" w:rsidR="00000000" w:rsidRPr="007D38CE" w:rsidRDefault="007D38CE">
            <w:pPr>
              <w:pStyle w:val="TableText"/>
              <w:framePr w:hSpace="181" w:wrap="notBeside" w:vAnchor="text" w:hAnchor="page" w:xAlign="center" w:y="1"/>
              <w:spacing w:before="60" w:after="60"/>
              <w:jc w:val="left"/>
              <w:rPr>
                <w:lang w:val="fr-CH"/>
              </w:rPr>
            </w:pPr>
            <w:r w:rsidRPr="007D38CE">
              <w:rPr>
                <w:lang w:val="fr-CH"/>
              </w:rPr>
              <w:t>Stations périphérique et maîtresse fixe</w:t>
            </w:r>
          </w:p>
        </w:tc>
        <w:tc>
          <w:tcPr>
            <w:tcW w:w="1985" w:type="dxa"/>
            <w:tcBorders>
              <w:top w:val="single" w:sz="6" w:space="0" w:color="auto"/>
              <w:left w:val="single" w:sz="6" w:space="0" w:color="auto"/>
              <w:bottom w:val="single" w:sz="6" w:space="0" w:color="auto"/>
              <w:right w:val="single" w:sz="6" w:space="0" w:color="auto"/>
            </w:tcBorders>
          </w:tcPr>
          <w:p w14:paraId="7FBF72CB" w14:textId="77777777" w:rsidR="00000000" w:rsidRDefault="007D38CE">
            <w:pPr>
              <w:pStyle w:val="TableText"/>
              <w:framePr w:hSpace="181" w:wrap="notBeside" w:vAnchor="text" w:hAnchor="page" w:xAlign="center" w:y="1"/>
              <w:spacing w:before="60" w:after="60"/>
              <w:jc w:val="center"/>
            </w:pPr>
            <w:r>
              <w:t>932,0-932,5</w:t>
            </w:r>
          </w:p>
        </w:tc>
        <w:tc>
          <w:tcPr>
            <w:tcW w:w="1247" w:type="dxa"/>
            <w:tcBorders>
              <w:top w:val="single" w:sz="6" w:space="0" w:color="auto"/>
              <w:left w:val="single" w:sz="6" w:space="0" w:color="auto"/>
              <w:bottom w:val="single" w:sz="6" w:space="0" w:color="auto"/>
              <w:right w:val="single" w:sz="6" w:space="0" w:color="auto"/>
            </w:tcBorders>
          </w:tcPr>
          <w:p w14:paraId="6EA3D0B3" w14:textId="77777777" w:rsidR="00000000" w:rsidRDefault="007D38CE">
            <w:pPr>
              <w:pStyle w:val="TableText"/>
              <w:framePr w:hSpace="181" w:wrap="notBeside" w:vAnchor="text" w:hAnchor="page" w:xAlign="center" w:y="1"/>
              <w:spacing w:before="60" w:after="60"/>
              <w:ind w:right="284"/>
              <w:jc w:val="right"/>
            </w:pPr>
            <w:r>
              <w:t>50</w:t>
            </w:r>
          </w:p>
        </w:tc>
        <w:tc>
          <w:tcPr>
            <w:tcW w:w="1247" w:type="dxa"/>
            <w:tcBorders>
              <w:top w:val="single" w:sz="6" w:space="0" w:color="auto"/>
              <w:left w:val="single" w:sz="6" w:space="0" w:color="auto"/>
              <w:bottom w:val="single" w:sz="6" w:space="0" w:color="auto"/>
              <w:right w:val="single" w:sz="6" w:space="0" w:color="auto"/>
            </w:tcBorders>
          </w:tcPr>
          <w:p w14:paraId="1D8A6614" w14:textId="77777777" w:rsidR="00000000" w:rsidRDefault="007D38CE">
            <w:pPr>
              <w:pStyle w:val="TableText"/>
              <w:framePr w:hSpace="181" w:wrap="notBeside" w:vAnchor="text" w:hAnchor="page" w:xAlign="center" w:y="1"/>
              <w:spacing w:before="60" w:after="60"/>
              <w:jc w:val="center"/>
            </w:pPr>
            <w:r>
              <w:t>17</w:t>
            </w:r>
          </w:p>
        </w:tc>
        <w:tc>
          <w:tcPr>
            <w:tcW w:w="1247" w:type="dxa"/>
            <w:tcBorders>
              <w:top w:val="single" w:sz="6" w:space="0" w:color="auto"/>
              <w:left w:val="single" w:sz="6" w:space="0" w:color="auto"/>
              <w:bottom w:val="single" w:sz="6" w:space="0" w:color="auto"/>
              <w:right w:val="single" w:sz="6" w:space="0" w:color="auto"/>
            </w:tcBorders>
          </w:tcPr>
          <w:p w14:paraId="617ADB44" w14:textId="77777777" w:rsidR="00000000" w:rsidRDefault="007D38CE">
            <w:pPr>
              <w:pStyle w:val="TableText"/>
              <w:framePr w:hSpace="181" w:wrap="notBeside" w:vAnchor="text" w:hAnchor="page" w:xAlign="center" w:y="1"/>
              <w:spacing w:before="60" w:after="60"/>
              <w:ind w:left="-397" w:right="397"/>
              <w:jc w:val="right"/>
            </w:pPr>
            <w:r>
              <w:t>30</w:t>
            </w:r>
          </w:p>
        </w:tc>
        <w:tc>
          <w:tcPr>
            <w:tcW w:w="1247" w:type="dxa"/>
            <w:tcBorders>
              <w:top w:val="single" w:sz="6" w:space="0" w:color="auto"/>
              <w:left w:val="single" w:sz="6" w:space="0" w:color="auto"/>
              <w:bottom w:val="single" w:sz="6" w:space="0" w:color="auto"/>
              <w:right w:val="single" w:sz="6" w:space="0" w:color="auto"/>
            </w:tcBorders>
          </w:tcPr>
          <w:p w14:paraId="413A9CEA" w14:textId="77777777" w:rsidR="00000000" w:rsidRDefault="007D38CE">
            <w:pPr>
              <w:pStyle w:val="TableText"/>
              <w:framePr w:hSpace="181" w:wrap="notBeside" w:vAnchor="text" w:hAnchor="page" w:xAlign="center" w:y="1"/>
              <w:spacing w:before="60" w:after="60"/>
              <w:jc w:val="center"/>
            </w:pPr>
            <w:r>
              <w:t>14,8</w:t>
            </w:r>
          </w:p>
        </w:tc>
      </w:tr>
    </w:tbl>
    <w:p w14:paraId="78485716" w14:textId="77777777" w:rsidR="00000000" w:rsidRDefault="007D38CE"/>
    <w:p w14:paraId="0A41EC72" w14:textId="679A6C26" w:rsidR="00000000" w:rsidRDefault="007D38CE">
      <w:pPr>
        <w:rPr>
          <w:lang w:val="fr-CH"/>
        </w:rPr>
      </w:pPr>
      <w:r w:rsidRPr="007D38CE">
        <w:rPr>
          <w:b/>
          <w:lang w:val="fr-CH"/>
        </w:rPr>
        <w:t>1.2</w:t>
      </w:r>
      <w:r w:rsidRPr="007D38CE">
        <w:rPr>
          <w:lang w:val="fr-CH"/>
        </w:rPr>
        <w:tab/>
        <w:t>La hauteur maximale d'antenne par rapport au relief moyen pour des stations maîtresses exploitées à la puissance maximale ne doit pas excéder 150 m, sinon, la puissance de ces stations doit être conforme aux valeurs du Tableau 2.</w:t>
      </w:r>
    </w:p>
    <w:p w14:paraId="2A33E77D" w14:textId="5FD92FFF" w:rsidR="007D38CE" w:rsidRDefault="007D38CE">
      <w:pPr>
        <w:rPr>
          <w:lang w:val="fr-CH"/>
        </w:rPr>
      </w:pPr>
    </w:p>
    <w:p w14:paraId="2A133B4E" w14:textId="77777777" w:rsidR="007D38CE" w:rsidRPr="007D38CE" w:rsidRDefault="007D38CE">
      <w:pPr>
        <w:rPr>
          <w:lang w:val="fr-CH"/>
        </w:rPr>
      </w:pPr>
    </w:p>
    <w:p w14:paraId="1E187D66" w14:textId="1B9E3936" w:rsidR="00000000" w:rsidRDefault="007D38CE">
      <w:pPr>
        <w:pStyle w:val="Table"/>
        <w:keepNext w:val="0"/>
      </w:pPr>
      <w:r>
        <w:br w:type="page"/>
      </w:r>
      <w:r>
        <w:t>TABLEAU  2</w:t>
      </w:r>
    </w:p>
    <w:p w14:paraId="2C8F7D6F" w14:textId="77777777" w:rsidR="00000000" w:rsidRDefault="007D38CE">
      <w:pPr>
        <w:pStyle w:val="Blanc"/>
        <w:keepNext w:val="0"/>
        <w:keepLines w:val="0"/>
      </w:pPr>
    </w:p>
    <w:tbl>
      <w:tblPr>
        <w:tblW w:w="0" w:type="auto"/>
        <w:jc w:val="center"/>
        <w:tblLayout w:type="fixed"/>
        <w:tblLook w:val="0000" w:firstRow="0" w:lastRow="0" w:firstColumn="0" w:lastColumn="0" w:noHBand="0" w:noVBand="0"/>
      </w:tblPr>
      <w:tblGrid>
        <w:gridCol w:w="3969"/>
        <w:gridCol w:w="1361"/>
        <w:gridCol w:w="1361"/>
        <w:gridCol w:w="1361"/>
        <w:gridCol w:w="1361"/>
      </w:tblGrid>
      <w:tr w:rsidR="00B50B95" w14:paraId="0A485C19" w14:textId="77777777" w:rsidTr="00B50B95">
        <w:tblPrEx>
          <w:tblCellMar>
            <w:top w:w="0" w:type="dxa"/>
            <w:bottom w:w="0" w:type="dxa"/>
          </w:tblCellMar>
        </w:tblPrEx>
        <w:trPr>
          <w:cantSplit/>
          <w:jc w:val="center"/>
        </w:trPr>
        <w:tc>
          <w:tcPr>
            <w:tcW w:w="3969" w:type="dxa"/>
            <w:tcBorders>
              <w:top w:val="single" w:sz="6" w:space="0" w:color="auto"/>
              <w:left w:val="single" w:sz="6" w:space="0" w:color="auto"/>
              <w:right w:val="single" w:sz="6" w:space="0" w:color="auto"/>
            </w:tcBorders>
          </w:tcPr>
          <w:p w14:paraId="17CBDAD3" w14:textId="77777777" w:rsidR="00000000" w:rsidRPr="007D38CE" w:rsidRDefault="007D38CE">
            <w:pPr>
              <w:pStyle w:val="TableText"/>
              <w:keepNext w:val="0"/>
              <w:framePr w:hSpace="181" w:wrap="notBeside" w:vAnchor="text" w:hAnchor="page" w:xAlign="center" w:y="1"/>
              <w:spacing w:before="200" w:after="0"/>
              <w:jc w:val="center"/>
              <w:rPr>
                <w:lang w:val="fr-CH"/>
              </w:rPr>
            </w:pPr>
            <w:r w:rsidRPr="007D38CE">
              <w:rPr>
                <w:lang w:val="fr-CH"/>
              </w:rPr>
              <w:t>Hauteur d'antenne par rapport au relief</w:t>
            </w:r>
          </w:p>
        </w:tc>
        <w:tc>
          <w:tcPr>
            <w:tcW w:w="2722" w:type="dxa"/>
            <w:gridSpan w:val="2"/>
            <w:tcBorders>
              <w:top w:val="single" w:sz="6" w:space="0" w:color="auto"/>
              <w:left w:val="single" w:sz="6" w:space="0" w:color="auto"/>
              <w:bottom w:val="single" w:sz="6" w:space="0" w:color="auto"/>
              <w:right w:val="single" w:sz="6" w:space="0" w:color="auto"/>
            </w:tcBorders>
          </w:tcPr>
          <w:p w14:paraId="02969FC8" w14:textId="77777777" w:rsidR="00000000" w:rsidRDefault="007D38CE">
            <w:pPr>
              <w:pStyle w:val="TableText"/>
              <w:keepNext w:val="0"/>
              <w:framePr w:hSpace="181" w:wrap="notBeside" w:vAnchor="text" w:hAnchor="page" w:xAlign="center" w:y="1"/>
              <w:jc w:val="center"/>
            </w:pPr>
            <w:r>
              <w:t>p.i.r.e.</w:t>
            </w:r>
          </w:p>
        </w:tc>
        <w:tc>
          <w:tcPr>
            <w:tcW w:w="2722" w:type="dxa"/>
            <w:gridSpan w:val="2"/>
            <w:tcBorders>
              <w:top w:val="single" w:sz="6" w:space="0" w:color="auto"/>
              <w:left w:val="single" w:sz="6" w:space="0" w:color="auto"/>
              <w:bottom w:val="single" w:sz="6" w:space="0" w:color="auto"/>
              <w:right w:val="single" w:sz="6" w:space="0" w:color="auto"/>
            </w:tcBorders>
          </w:tcPr>
          <w:p w14:paraId="2AAC4971" w14:textId="77777777" w:rsidR="00000000" w:rsidRDefault="007D38CE">
            <w:pPr>
              <w:pStyle w:val="TableText"/>
              <w:keepNext w:val="0"/>
              <w:framePr w:hSpace="181" w:wrap="notBeside" w:vAnchor="text" w:hAnchor="page" w:xAlign="center" w:y="1"/>
              <w:jc w:val="center"/>
            </w:pPr>
            <w:r>
              <w:t>p.a.r.</w:t>
            </w:r>
          </w:p>
        </w:tc>
      </w:tr>
      <w:tr w:rsidR="00000000" w14:paraId="5B328591" w14:textId="77777777">
        <w:tblPrEx>
          <w:tblCellMar>
            <w:top w:w="0" w:type="dxa"/>
            <w:bottom w:w="0" w:type="dxa"/>
          </w:tblCellMar>
        </w:tblPrEx>
        <w:trPr>
          <w:cantSplit/>
          <w:jc w:val="center"/>
        </w:trPr>
        <w:tc>
          <w:tcPr>
            <w:tcW w:w="3969" w:type="dxa"/>
            <w:tcBorders>
              <w:left w:val="single" w:sz="6" w:space="0" w:color="auto"/>
              <w:bottom w:val="single" w:sz="6" w:space="0" w:color="auto"/>
              <w:right w:val="single" w:sz="6" w:space="0" w:color="auto"/>
            </w:tcBorders>
          </w:tcPr>
          <w:p w14:paraId="1501F078" w14:textId="77777777" w:rsidR="00000000" w:rsidRDefault="007D38CE">
            <w:pPr>
              <w:pStyle w:val="TableText"/>
              <w:keepNext w:val="0"/>
              <w:framePr w:hSpace="181" w:wrap="notBeside" w:vAnchor="text" w:hAnchor="page" w:xAlign="center" w:y="1"/>
              <w:spacing w:before="0"/>
              <w:jc w:val="center"/>
            </w:pPr>
            <w:r>
              <w:t>Relief moyen (m)</w:t>
            </w:r>
          </w:p>
        </w:tc>
        <w:tc>
          <w:tcPr>
            <w:tcW w:w="1361" w:type="dxa"/>
            <w:tcBorders>
              <w:top w:val="single" w:sz="6" w:space="0" w:color="auto"/>
              <w:left w:val="single" w:sz="6" w:space="0" w:color="auto"/>
              <w:bottom w:val="single" w:sz="6" w:space="0" w:color="auto"/>
              <w:right w:val="single" w:sz="6" w:space="0" w:color="auto"/>
            </w:tcBorders>
          </w:tcPr>
          <w:p w14:paraId="0672E6B7" w14:textId="77777777" w:rsidR="00000000" w:rsidRDefault="007D38CE">
            <w:pPr>
              <w:pStyle w:val="TableText"/>
              <w:keepNext w:val="0"/>
              <w:framePr w:hSpace="181" w:wrap="notBeside" w:vAnchor="text" w:hAnchor="page" w:xAlign="center" w:y="1"/>
              <w:jc w:val="center"/>
            </w:pPr>
            <w:r>
              <w:t>(W)</w:t>
            </w:r>
          </w:p>
        </w:tc>
        <w:tc>
          <w:tcPr>
            <w:tcW w:w="1361" w:type="dxa"/>
            <w:tcBorders>
              <w:top w:val="single" w:sz="6" w:space="0" w:color="auto"/>
              <w:left w:val="single" w:sz="6" w:space="0" w:color="auto"/>
              <w:bottom w:val="single" w:sz="6" w:space="0" w:color="auto"/>
              <w:right w:val="single" w:sz="6" w:space="0" w:color="auto"/>
            </w:tcBorders>
          </w:tcPr>
          <w:p w14:paraId="0109BA06" w14:textId="77777777" w:rsidR="00000000" w:rsidRDefault="007D38CE">
            <w:pPr>
              <w:pStyle w:val="TableText"/>
              <w:keepNext w:val="0"/>
              <w:framePr w:hSpace="181" w:wrap="notBeside" w:vAnchor="text" w:hAnchor="page" w:xAlign="center" w:y="1"/>
              <w:jc w:val="center"/>
            </w:pPr>
            <w:r>
              <w:t>(dBW)</w:t>
            </w:r>
          </w:p>
        </w:tc>
        <w:tc>
          <w:tcPr>
            <w:tcW w:w="1361" w:type="dxa"/>
            <w:tcBorders>
              <w:top w:val="single" w:sz="6" w:space="0" w:color="auto"/>
              <w:left w:val="single" w:sz="6" w:space="0" w:color="auto"/>
              <w:bottom w:val="single" w:sz="6" w:space="0" w:color="auto"/>
              <w:right w:val="single" w:sz="6" w:space="0" w:color="auto"/>
            </w:tcBorders>
          </w:tcPr>
          <w:p w14:paraId="6D322CDA" w14:textId="77777777" w:rsidR="00000000" w:rsidRDefault="007D38CE">
            <w:pPr>
              <w:pStyle w:val="TableText"/>
              <w:keepNext w:val="0"/>
              <w:framePr w:hSpace="181" w:wrap="notBeside" w:vAnchor="text" w:hAnchor="page" w:xAlign="center" w:y="1"/>
              <w:jc w:val="center"/>
            </w:pPr>
            <w:r>
              <w:t>(W)</w:t>
            </w:r>
          </w:p>
        </w:tc>
        <w:tc>
          <w:tcPr>
            <w:tcW w:w="1361" w:type="dxa"/>
            <w:tcBorders>
              <w:top w:val="single" w:sz="6" w:space="0" w:color="auto"/>
              <w:left w:val="single" w:sz="6" w:space="0" w:color="auto"/>
              <w:bottom w:val="single" w:sz="6" w:space="0" w:color="auto"/>
              <w:right w:val="single" w:sz="6" w:space="0" w:color="auto"/>
            </w:tcBorders>
          </w:tcPr>
          <w:p w14:paraId="38EF9BA3" w14:textId="77777777" w:rsidR="00000000" w:rsidRDefault="007D38CE">
            <w:pPr>
              <w:pStyle w:val="TableText"/>
              <w:keepNext w:val="0"/>
              <w:framePr w:hSpace="181" w:wrap="notBeside" w:vAnchor="text" w:hAnchor="page" w:xAlign="center" w:y="1"/>
              <w:jc w:val="center"/>
            </w:pPr>
            <w:r>
              <w:t>(dBW)</w:t>
            </w:r>
          </w:p>
        </w:tc>
      </w:tr>
      <w:tr w:rsidR="00000000" w14:paraId="051FEDA3" w14:textId="77777777">
        <w:tblPrEx>
          <w:tblCellMar>
            <w:top w:w="0" w:type="dxa"/>
            <w:bottom w:w="0" w:type="dxa"/>
          </w:tblCellMar>
        </w:tblPrEx>
        <w:trPr>
          <w:cantSplit/>
          <w:jc w:val="center"/>
        </w:trPr>
        <w:tc>
          <w:tcPr>
            <w:tcW w:w="3969" w:type="dxa"/>
            <w:tcBorders>
              <w:top w:val="single" w:sz="6" w:space="0" w:color="auto"/>
              <w:left w:val="single" w:sz="6" w:space="0" w:color="auto"/>
              <w:bottom w:val="single" w:sz="6" w:space="0" w:color="auto"/>
              <w:right w:val="single" w:sz="6" w:space="0" w:color="auto"/>
            </w:tcBorders>
          </w:tcPr>
          <w:p w14:paraId="3C3B0536" w14:textId="77777777" w:rsidR="00000000" w:rsidRDefault="007D38CE">
            <w:pPr>
              <w:pStyle w:val="TableText"/>
              <w:keepNext w:val="0"/>
              <w:framePr w:hSpace="181" w:wrap="notBeside" w:vAnchor="text" w:hAnchor="page" w:xAlign="center" w:y="1"/>
              <w:spacing w:before="60" w:after="60"/>
              <w:jc w:val="center"/>
            </w:pPr>
            <w:r>
              <w:t>Au-dessus de 305</w:t>
            </w:r>
          </w:p>
        </w:tc>
        <w:tc>
          <w:tcPr>
            <w:tcW w:w="1361" w:type="dxa"/>
            <w:tcBorders>
              <w:top w:val="single" w:sz="6" w:space="0" w:color="auto"/>
              <w:left w:val="single" w:sz="6" w:space="0" w:color="auto"/>
              <w:bottom w:val="single" w:sz="6" w:space="0" w:color="auto"/>
              <w:right w:val="single" w:sz="6" w:space="0" w:color="auto"/>
            </w:tcBorders>
          </w:tcPr>
          <w:p w14:paraId="3F43B3EC" w14:textId="77777777" w:rsidR="00000000" w:rsidRDefault="007D38CE">
            <w:pPr>
              <w:pStyle w:val="TableText"/>
              <w:keepNext w:val="0"/>
              <w:framePr w:hSpace="181" w:wrap="notBeside" w:vAnchor="text" w:hAnchor="page" w:xAlign="center" w:y="1"/>
              <w:spacing w:before="60" w:after="60"/>
              <w:jc w:val="center"/>
            </w:pPr>
            <w:r>
              <w:t>200</w:t>
            </w:r>
          </w:p>
        </w:tc>
        <w:tc>
          <w:tcPr>
            <w:tcW w:w="1361" w:type="dxa"/>
            <w:tcBorders>
              <w:top w:val="single" w:sz="6" w:space="0" w:color="auto"/>
              <w:left w:val="single" w:sz="6" w:space="0" w:color="auto"/>
              <w:bottom w:val="single" w:sz="6" w:space="0" w:color="auto"/>
              <w:right w:val="single" w:sz="6" w:space="0" w:color="auto"/>
            </w:tcBorders>
          </w:tcPr>
          <w:p w14:paraId="235A2D44" w14:textId="77777777" w:rsidR="00000000" w:rsidRDefault="007D38CE">
            <w:pPr>
              <w:pStyle w:val="TableText"/>
              <w:keepNext w:val="0"/>
              <w:framePr w:hSpace="181" w:wrap="notBeside" w:vAnchor="text" w:hAnchor="page" w:xAlign="center" w:y="1"/>
              <w:spacing w:before="60" w:after="60"/>
              <w:jc w:val="center"/>
            </w:pPr>
            <w:r>
              <w:t>23</w:t>
            </w:r>
          </w:p>
        </w:tc>
        <w:tc>
          <w:tcPr>
            <w:tcW w:w="1361" w:type="dxa"/>
            <w:tcBorders>
              <w:top w:val="single" w:sz="6" w:space="0" w:color="auto"/>
              <w:left w:val="single" w:sz="6" w:space="0" w:color="auto"/>
              <w:bottom w:val="single" w:sz="6" w:space="0" w:color="auto"/>
              <w:right w:val="single" w:sz="6" w:space="0" w:color="auto"/>
            </w:tcBorders>
          </w:tcPr>
          <w:p w14:paraId="55875CF3" w14:textId="77777777" w:rsidR="00000000" w:rsidRDefault="007D38CE">
            <w:pPr>
              <w:pStyle w:val="TableText"/>
              <w:keepNext w:val="0"/>
              <w:framePr w:hSpace="181" w:wrap="notBeside" w:vAnchor="text" w:hAnchor="page" w:xAlign="center" w:y="1"/>
              <w:spacing w:before="60" w:after="60"/>
              <w:jc w:val="center"/>
            </w:pPr>
            <w:r>
              <w:t>120</w:t>
            </w:r>
          </w:p>
        </w:tc>
        <w:tc>
          <w:tcPr>
            <w:tcW w:w="1361" w:type="dxa"/>
            <w:tcBorders>
              <w:top w:val="single" w:sz="6" w:space="0" w:color="auto"/>
              <w:left w:val="single" w:sz="6" w:space="0" w:color="auto"/>
              <w:bottom w:val="single" w:sz="6" w:space="0" w:color="auto"/>
              <w:right w:val="single" w:sz="6" w:space="0" w:color="auto"/>
            </w:tcBorders>
          </w:tcPr>
          <w:p w14:paraId="4505A88C" w14:textId="77777777" w:rsidR="00000000" w:rsidRDefault="007D38CE">
            <w:pPr>
              <w:pStyle w:val="TableText"/>
              <w:keepNext w:val="0"/>
              <w:framePr w:hSpace="181" w:wrap="notBeside" w:vAnchor="text" w:hAnchor="page" w:xAlign="center" w:y="1"/>
              <w:spacing w:before="60" w:after="60"/>
              <w:jc w:val="center"/>
            </w:pPr>
            <w:r>
              <w:t>20,8</w:t>
            </w:r>
          </w:p>
        </w:tc>
      </w:tr>
      <w:tr w:rsidR="00000000" w14:paraId="0491A8A3" w14:textId="77777777">
        <w:tblPrEx>
          <w:tblCellMar>
            <w:top w:w="0" w:type="dxa"/>
            <w:bottom w:w="0" w:type="dxa"/>
          </w:tblCellMar>
        </w:tblPrEx>
        <w:trPr>
          <w:cantSplit/>
          <w:jc w:val="center"/>
        </w:trPr>
        <w:tc>
          <w:tcPr>
            <w:tcW w:w="3969" w:type="dxa"/>
            <w:tcBorders>
              <w:top w:val="single" w:sz="6" w:space="0" w:color="auto"/>
              <w:left w:val="single" w:sz="6" w:space="0" w:color="auto"/>
              <w:bottom w:val="single" w:sz="6" w:space="0" w:color="auto"/>
              <w:right w:val="single" w:sz="6" w:space="0" w:color="auto"/>
            </w:tcBorders>
          </w:tcPr>
          <w:p w14:paraId="34EC3379" w14:textId="77777777" w:rsidR="00000000" w:rsidRDefault="007D38CE">
            <w:pPr>
              <w:pStyle w:val="TableText"/>
              <w:keepNext w:val="0"/>
              <w:framePr w:hSpace="181" w:wrap="notBeside" w:vAnchor="text" w:hAnchor="page" w:xAlign="center" w:y="1"/>
              <w:spacing w:before="60" w:after="60"/>
              <w:jc w:val="center"/>
            </w:pPr>
            <w:r>
              <w:t>275-305</w:t>
            </w:r>
          </w:p>
        </w:tc>
        <w:tc>
          <w:tcPr>
            <w:tcW w:w="1361" w:type="dxa"/>
            <w:tcBorders>
              <w:top w:val="single" w:sz="6" w:space="0" w:color="auto"/>
              <w:left w:val="single" w:sz="6" w:space="0" w:color="auto"/>
              <w:bottom w:val="single" w:sz="6" w:space="0" w:color="auto"/>
              <w:right w:val="single" w:sz="6" w:space="0" w:color="auto"/>
            </w:tcBorders>
          </w:tcPr>
          <w:p w14:paraId="647F77B4" w14:textId="77777777" w:rsidR="00000000" w:rsidRDefault="007D38CE">
            <w:pPr>
              <w:pStyle w:val="TableText"/>
              <w:keepNext w:val="0"/>
              <w:framePr w:hSpace="181" w:wrap="notBeside" w:vAnchor="text" w:hAnchor="page" w:xAlign="center" w:y="1"/>
              <w:spacing w:before="60" w:after="60"/>
              <w:jc w:val="center"/>
            </w:pPr>
            <w:r>
              <w:t>250</w:t>
            </w:r>
          </w:p>
        </w:tc>
        <w:tc>
          <w:tcPr>
            <w:tcW w:w="1361" w:type="dxa"/>
            <w:tcBorders>
              <w:top w:val="single" w:sz="6" w:space="0" w:color="auto"/>
              <w:left w:val="single" w:sz="6" w:space="0" w:color="auto"/>
              <w:bottom w:val="single" w:sz="6" w:space="0" w:color="auto"/>
              <w:right w:val="single" w:sz="6" w:space="0" w:color="auto"/>
            </w:tcBorders>
          </w:tcPr>
          <w:p w14:paraId="092030ED" w14:textId="77777777" w:rsidR="00000000" w:rsidRDefault="007D38CE">
            <w:pPr>
              <w:pStyle w:val="TableText"/>
              <w:keepNext w:val="0"/>
              <w:framePr w:hSpace="181" w:wrap="notBeside" w:vAnchor="text" w:hAnchor="page" w:xAlign="center" w:y="1"/>
              <w:spacing w:before="60" w:after="60"/>
              <w:jc w:val="center"/>
            </w:pPr>
            <w:r>
              <w:t>24</w:t>
            </w:r>
          </w:p>
        </w:tc>
        <w:tc>
          <w:tcPr>
            <w:tcW w:w="1361" w:type="dxa"/>
            <w:tcBorders>
              <w:top w:val="single" w:sz="6" w:space="0" w:color="auto"/>
              <w:left w:val="single" w:sz="6" w:space="0" w:color="auto"/>
              <w:bottom w:val="single" w:sz="6" w:space="0" w:color="auto"/>
              <w:right w:val="single" w:sz="6" w:space="0" w:color="auto"/>
            </w:tcBorders>
          </w:tcPr>
          <w:p w14:paraId="3301A33B" w14:textId="77777777" w:rsidR="00000000" w:rsidRDefault="007D38CE">
            <w:pPr>
              <w:pStyle w:val="TableText"/>
              <w:keepNext w:val="0"/>
              <w:framePr w:hSpace="181" w:wrap="notBeside" w:vAnchor="text" w:hAnchor="page" w:xAlign="center" w:y="1"/>
              <w:spacing w:before="60" w:after="60"/>
              <w:jc w:val="center"/>
            </w:pPr>
            <w:r>
              <w:t>150</w:t>
            </w:r>
          </w:p>
        </w:tc>
        <w:tc>
          <w:tcPr>
            <w:tcW w:w="1361" w:type="dxa"/>
            <w:tcBorders>
              <w:top w:val="single" w:sz="6" w:space="0" w:color="auto"/>
              <w:left w:val="single" w:sz="6" w:space="0" w:color="auto"/>
              <w:bottom w:val="single" w:sz="6" w:space="0" w:color="auto"/>
              <w:right w:val="single" w:sz="6" w:space="0" w:color="auto"/>
            </w:tcBorders>
          </w:tcPr>
          <w:p w14:paraId="60DFCB93" w14:textId="77777777" w:rsidR="00000000" w:rsidRDefault="007D38CE">
            <w:pPr>
              <w:pStyle w:val="TableText"/>
              <w:keepNext w:val="0"/>
              <w:framePr w:hSpace="181" w:wrap="notBeside" w:vAnchor="text" w:hAnchor="page" w:xAlign="center" w:y="1"/>
              <w:spacing w:before="60" w:after="60"/>
              <w:jc w:val="center"/>
            </w:pPr>
            <w:r>
              <w:t>21,8</w:t>
            </w:r>
          </w:p>
        </w:tc>
      </w:tr>
      <w:tr w:rsidR="00000000" w14:paraId="71881F99" w14:textId="77777777">
        <w:tblPrEx>
          <w:tblCellMar>
            <w:top w:w="0" w:type="dxa"/>
            <w:bottom w:w="0" w:type="dxa"/>
          </w:tblCellMar>
        </w:tblPrEx>
        <w:trPr>
          <w:cantSplit/>
          <w:jc w:val="center"/>
        </w:trPr>
        <w:tc>
          <w:tcPr>
            <w:tcW w:w="3969" w:type="dxa"/>
            <w:tcBorders>
              <w:top w:val="single" w:sz="6" w:space="0" w:color="auto"/>
              <w:left w:val="single" w:sz="6" w:space="0" w:color="auto"/>
              <w:bottom w:val="single" w:sz="6" w:space="0" w:color="auto"/>
              <w:right w:val="single" w:sz="6" w:space="0" w:color="auto"/>
            </w:tcBorders>
          </w:tcPr>
          <w:p w14:paraId="62FF2DB5" w14:textId="77777777" w:rsidR="00000000" w:rsidRDefault="007D38CE">
            <w:pPr>
              <w:pStyle w:val="TableText"/>
              <w:keepNext w:val="0"/>
              <w:framePr w:hSpace="181" w:wrap="notBeside" w:vAnchor="text" w:hAnchor="page" w:xAlign="center" w:y="1"/>
              <w:spacing w:before="60" w:after="60"/>
              <w:jc w:val="center"/>
            </w:pPr>
            <w:r>
              <w:t>245-275</w:t>
            </w:r>
          </w:p>
        </w:tc>
        <w:tc>
          <w:tcPr>
            <w:tcW w:w="1361" w:type="dxa"/>
            <w:tcBorders>
              <w:top w:val="single" w:sz="6" w:space="0" w:color="auto"/>
              <w:left w:val="single" w:sz="6" w:space="0" w:color="auto"/>
              <w:bottom w:val="single" w:sz="6" w:space="0" w:color="auto"/>
              <w:right w:val="single" w:sz="6" w:space="0" w:color="auto"/>
            </w:tcBorders>
          </w:tcPr>
          <w:p w14:paraId="7289774E" w14:textId="77777777" w:rsidR="00000000" w:rsidRDefault="007D38CE">
            <w:pPr>
              <w:pStyle w:val="TableText"/>
              <w:keepNext w:val="0"/>
              <w:framePr w:hSpace="181" w:wrap="notBeside" w:vAnchor="text" w:hAnchor="page" w:xAlign="center" w:y="1"/>
              <w:spacing w:before="60" w:after="60"/>
              <w:jc w:val="center"/>
            </w:pPr>
            <w:r>
              <w:t>315</w:t>
            </w:r>
          </w:p>
        </w:tc>
        <w:tc>
          <w:tcPr>
            <w:tcW w:w="1361" w:type="dxa"/>
            <w:tcBorders>
              <w:top w:val="single" w:sz="6" w:space="0" w:color="auto"/>
              <w:left w:val="single" w:sz="6" w:space="0" w:color="auto"/>
              <w:bottom w:val="single" w:sz="6" w:space="0" w:color="auto"/>
              <w:right w:val="single" w:sz="6" w:space="0" w:color="auto"/>
            </w:tcBorders>
          </w:tcPr>
          <w:p w14:paraId="1EB2E386" w14:textId="77777777" w:rsidR="00000000" w:rsidRDefault="007D38CE">
            <w:pPr>
              <w:pStyle w:val="TableText"/>
              <w:keepNext w:val="0"/>
              <w:framePr w:hSpace="181" w:wrap="notBeside" w:vAnchor="text" w:hAnchor="page" w:xAlign="center" w:y="1"/>
              <w:spacing w:before="60" w:after="60"/>
              <w:jc w:val="center"/>
            </w:pPr>
            <w:r>
              <w:t>25</w:t>
            </w:r>
          </w:p>
        </w:tc>
        <w:tc>
          <w:tcPr>
            <w:tcW w:w="1361" w:type="dxa"/>
            <w:tcBorders>
              <w:top w:val="single" w:sz="6" w:space="0" w:color="auto"/>
              <w:left w:val="single" w:sz="6" w:space="0" w:color="auto"/>
              <w:bottom w:val="single" w:sz="6" w:space="0" w:color="auto"/>
              <w:right w:val="single" w:sz="6" w:space="0" w:color="auto"/>
            </w:tcBorders>
          </w:tcPr>
          <w:p w14:paraId="4FCF4CA4" w14:textId="77777777" w:rsidR="00000000" w:rsidRDefault="007D38CE">
            <w:pPr>
              <w:pStyle w:val="TableText"/>
              <w:keepNext w:val="0"/>
              <w:framePr w:hSpace="181" w:wrap="notBeside" w:vAnchor="text" w:hAnchor="page" w:xAlign="center" w:y="1"/>
              <w:spacing w:before="60" w:after="60"/>
              <w:jc w:val="center"/>
            </w:pPr>
            <w:r>
              <w:t>190</w:t>
            </w:r>
          </w:p>
        </w:tc>
        <w:tc>
          <w:tcPr>
            <w:tcW w:w="1361" w:type="dxa"/>
            <w:tcBorders>
              <w:top w:val="single" w:sz="6" w:space="0" w:color="auto"/>
              <w:left w:val="single" w:sz="6" w:space="0" w:color="auto"/>
              <w:bottom w:val="single" w:sz="6" w:space="0" w:color="auto"/>
              <w:right w:val="single" w:sz="6" w:space="0" w:color="auto"/>
            </w:tcBorders>
          </w:tcPr>
          <w:p w14:paraId="5EBC1BEC" w14:textId="77777777" w:rsidR="00000000" w:rsidRDefault="007D38CE">
            <w:pPr>
              <w:pStyle w:val="TableText"/>
              <w:keepNext w:val="0"/>
              <w:framePr w:hSpace="181" w:wrap="notBeside" w:vAnchor="text" w:hAnchor="page" w:xAlign="center" w:y="1"/>
              <w:spacing w:before="60" w:after="60"/>
              <w:jc w:val="center"/>
            </w:pPr>
            <w:r>
              <w:t>22,8</w:t>
            </w:r>
          </w:p>
        </w:tc>
      </w:tr>
      <w:tr w:rsidR="00000000" w14:paraId="6AE7B00F" w14:textId="77777777">
        <w:tblPrEx>
          <w:tblCellMar>
            <w:top w:w="0" w:type="dxa"/>
            <w:bottom w:w="0" w:type="dxa"/>
          </w:tblCellMar>
        </w:tblPrEx>
        <w:trPr>
          <w:cantSplit/>
          <w:jc w:val="center"/>
        </w:trPr>
        <w:tc>
          <w:tcPr>
            <w:tcW w:w="3969" w:type="dxa"/>
            <w:tcBorders>
              <w:top w:val="single" w:sz="6" w:space="0" w:color="auto"/>
              <w:left w:val="single" w:sz="6" w:space="0" w:color="auto"/>
              <w:bottom w:val="single" w:sz="6" w:space="0" w:color="auto"/>
              <w:right w:val="single" w:sz="6" w:space="0" w:color="auto"/>
            </w:tcBorders>
          </w:tcPr>
          <w:p w14:paraId="0E311BE2" w14:textId="77777777" w:rsidR="00000000" w:rsidRDefault="007D38CE">
            <w:pPr>
              <w:pStyle w:val="TableText"/>
              <w:keepNext w:val="0"/>
              <w:framePr w:hSpace="181" w:wrap="notBeside" w:vAnchor="text" w:hAnchor="page" w:xAlign="center" w:y="1"/>
              <w:spacing w:before="60" w:after="60"/>
              <w:jc w:val="center"/>
            </w:pPr>
            <w:r>
              <w:t>215-245</w:t>
            </w:r>
          </w:p>
        </w:tc>
        <w:tc>
          <w:tcPr>
            <w:tcW w:w="1361" w:type="dxa"/>
            <w:tcBorders>
              <w:top w:val="single" w:sz="6" w:space="0" w:color="auto"/>
              <w:left w:val="single" w:sz="6" w:space="0" w:color="auto"/>
              <w:bottom w:val="single" w:sz="6" w:space="0" w:color="auto"/>
              <w:right w:val="single" w:sz="6" w:space="0" w:color="auto"/>
            </w:tcBorders>
          </w:tcPr>
          <w:p w14:paraId="0D0764C7" w14:textId="77777777" w:rsidR="00000000" w:rsidRDefault="007D38CE">
            <w:pPr>
              <w:pStyle w:val="TableText"/>
              <w:keepNext w:val="0"/>
              <w:framePr w:hSpace="181" w:wrap="notBeside" w:vAnchor="text" w:hAnchor="page" w:xAlign="center" w:y="1"/>
              <w:spacing w:before="60" w:after="60"/>
              <w:jc w:val="center"/>
            </w:pPr>
            <w:r>
              <w:t>400</w:t>
            </w:r>
          </w:p>
        </w:tc>
        <w:tc>
          <w:tcPr>
            <w:tcW w:w="1361" w:type="dxa"/>
            <w:tcBorders>
              <w:top w:val="single" w:sz="6" w:space="0" w:color="auto"/>
              <w:left w:val="single" w:sz="6" w:space="0" w:color="auto"/>
              <w:bottom w:val="single" w:sz="6" w:space="0" w:color="auto"/>
              <w:right w:val="single" w:sz="6" w:space="0" w:color="auto"/>
            </w:tcBorders>
          </w:tcPr>
          <w:p w14:paraId="6FB1D831" w14:textId="77777777" w:rsidR="00000000" w:rsidRDefault="007D38CE">
            <w:pPr>
              <w:pStyle w:val="TableText"/>
              <w:keepNext w:val="0"/>
              <w:framePr w:hSpace="181" w:wrap="notBeside" w:vAnchor="text" w:hAnchor="page" w:xAlign="center" w:y="1"/>
              <w:spacing w:before="60" w:after="60"/>
              <w:jc w:val="center"/>
            </w:pPr>
            <w:r>
              <w:t>26</w:t>
            </w:r>
          </w:p>
        </w:tc>
        <w:tc>
          <w:tcPr>
            <w:tcW w:w="1361" w:type="dxa"/>
            <w:tcBorders>
              <w:top w:val="single" w:sz="6" w:space="0" w:color="auto"/>
              <w:left w:val="single" w:sz="6" w:space="0" w:color="auto"/>
              <w:bottom w:val="single" w:sz="6" w:space="0" w:color="auto"/>
              <w:right w:val="single" w:sz="6" w:space="0" w:color="auto"/>
            </w:tcBorders>
          </w:tcPr>
          <w:p w14:paraId="14BFCEF5" w14:textId="77777777" w:rsidR="00000000" w:rsidRDefault="007D38CE">
            <w:pPr>
              <w:pStyle w:val="TableText"/>
              <w:keepNext w:val="0"/>
              <w:framePr w:hSpace="181" w:wrap="notBeside" w:vAnchor="text" w:hAnchor="page" w:xAlign="center" w:y="1"/>
              <w:spacing w:before="60" w:after="60"/>
              <w:jc w:val="center"/>
            </w:pPr>
            <w:r>
              <w:t>240</w:t>
            </w:r>
          </w:p>
        </w:tc>
        <w:tc>
          <w:tcPr>
            <w:tcW w:w="1361" w:type="dxa"/>
            <w:tcBorders>
              <w:top w:val="single" w:sz="6" w:space="0" w:color="auto"/>
              <w:left w:val="single" w:sz="6" w:space="0" w:color="auto"/>
              <w:bottom w:val="single" w:sz="6" w:space="0" w:color="auto"/>
              <w:right w:val="single" w:sz="6" w:space="0" w:color="auto"/>
            </w:tcBorders>
          </w:tcPr>
          <w:p w14:paraId="1D7349EC" w14:textId="77777777" w:rsidR="00000000" w:rsidRDefault="007D38CE">
            <w:pPr>
              <w:pStyle w:val="TableText"/>
              <w:keepNext w:val="0"/>
              <w:framePr w:hSpace="181" w:wrap="notBeside" w:vAnchor="text" w:hAnchor="page" w:xAlign="center" w:y="1"/>
              <w:spacing w:before="60" w:after="60"/>
              <w:jc w:val="center"/>
            </w:pPr>
            <w:r>
              <w:t>23,8</w:t>
            </w:r>
          </w:p>
        </w:tc>
      </w:tr>
      <w:tr w:rsidR="00000000" w14:paraId="1AAF33F6" w14:textId="77777777">
        <w:tblPrEx>
          <w:tblCellMar>
            <w:top w:w="0" w:type="dxa"/>
            <w:bottom w:w="0" w:type="dxa"/>
          </w:tblCellMar>
        </w:tblPrEx>
        <w:trPr>
          <w:cantSplit/>
          <w:jc w:val="center"/>
        </w:trPr>
        <w:tc>
          <w:tcPr>
            <w:tcW w:w="3969" w:type="dxa"/>
            <w:tcBorders>
              <w:top w:val="single" w:sz="6" w:space="0" w:color="auto"/>
              <w:left w:val="single" w:sz="6" w:space="0" w:color="auto"/>
              <w:bottom w:val="single" w:sz="6" w:space="0" w:color="auto"/>
              <w:right w:val="single" w:sz="6" w:space="0" w:color="auto"/>
            </w:tcBorders>
          </w:tcPr>
          <w:p w14:paraId="555A1AAC" w14:textId="77777777" w:rsidR="00000000" w:rsidRDefault="007D38CE">
            <w:pPr>
              <w:pStyle w:val="TableText"/>
              <w:keepNext w:val="0"/>
              <w:framePr w:hSpace="181" w:wrap="notBeside" w:vAnchor="text" w:hAnchor="page" w:xAlign="center" w:y="1"/>
              <w:spacing w:before="60" w:after="60"/>
              <w:jc w:val="center"/>
            </w:pPr>
            <w:r>
              <w:t>180-215</w:t>
            </w:r>
          </w:p>
        </w:tc>
        <w:tc>
          <w:tcPr>
            <w:tcW w:w="1361" w:type="dxa"/>
            <w:tcBorders>
              <w:top w:val="single" w:sz="6" w:space="0" w:color="auto"/>
              <w:left w:val="single" w:sz="6" w:space="0" w:color="auto"/>
              <w:bottom w:val="single" w:sz="6" w:space="0" w:color="auto"/>
              <w:right w:val="single" w:sz="6" w:space="0" w:color="auto"/>
            </w:tcBorders>
          </w:tcPr>
          <w:p w14:paraId="7CBE0F9F" w14:textId="77777777" w:rsidR="00000000" w:rsidRDefault="007D38CE">
            <w:pPr>
              <w:pStyle w:val="TableText"/>
              <w:keepNext w:val="0"/>
              <w:framePr w:hSpace="181" w:wrap="notBeside" w:vAnchor="text" w:hAnchor="page" w:xAlign="center" w:y="1"/>
              <w:spacing w:before="60" w:after="60"/>
              <w:jc w:val="center"/>
            </w:pPr>
            <w:r>
              <w:t>500</w:t>
            </w:r>
          </w:p>
        </w:tc>
        <w:tc>
          <w:tcPr>
            <w:tcW w:w="1361" w:type="dxa"/>
            <w:tcBorders>
              <w:top w:val="single" w:sz="6" w:space="0" w:color="auto"/>
              <w:left w:val="single" w:sz="6" w:space="0" w:color="auto"/>
              <w:bottom w:val="single" w:sz="6" w:space="0" w:color="auto"/>
              <w:right w:val="single" w:sz="6" w:space="0" w:color="auto"/>
            </w:tcBorders>
          </w:tcPr>
          <w:p w14:paraId="226A507B" w14:textId="77777777" w:rsidR="00000000" w:rsidRDefault="007D38CE">
            <w:pPr>
              <w:pStyle w:val="TableText"/>
              <w:keepNext w:val="0"/>
              <w:framePr w:hSpace="181" w:wrap="notBeside" w:vAnchor="text" w:hAnchor="page" w:xAlign="center" w:y="1"/>
              <w:spacing w:before="60" w:after="60"/>
              <w:jc w:val="center"/>
            </w:pPr>
            <w:r>
              <w:t>27</w:t>
            </w:r>
          </w:p>
        </w:tc>
        <w:tc>
          <w:tcPr>
            <w:tcW w:w="1361" w:type="dxa"/>
            <w:tcBorders>
              <w:top w:val="single" w:sz="6" w:space="0" w:color="auto"/>
              <w:left w:val="single" w:sz="6" w:space="0" w:color="auto"/>
              <w:bottom w:val="single" w:sz="6" w:space="0" w:color="auto"/>
              <w:right w:val="single" w:sz="6" w:space="0" w:color="auto"/>
            </w:tcBorders>
          </w:tcPr>
          <w:p w14:paraId="639E5320" w14:textId="77777777" w:rsidR="00000000" w:rsidRDefault="007D38CE">
            <w:pPr>
              <w:pStyle w:val="TableText"/>
              <w:keepNext w:val="0"/>
              <w:framePr w:hSpace="181" w:wrap="notBeside" w:vAnchor="text" w:hAnchor="page" w:xAlign="center" w:y="1"/>
              <w:spacing w:before="60" w:after="60"/>
              <w:jc w:val="center"/>
            </w:pPr>
            <w:r>
              <w:t>300</w:t>
            </w:r>
          </w:p>
        </w:tc>
        <w:tc>
          <w:tcPr>
            <w:tcW w:w="1361" w:type="dxa"/>
            <w:tcBorders>
              <w:top w:val="single" w:sz="6" w:space="0" w:color="auto"/>
              <w:left w:val="single" w:sz="6" w:space="0" w:color="auto"/>
              <w:bottom w:val="single" w:sz="6" w:space="0" w:color="auto"/>
              <w:right w:val="single" w:sz="6" w:space="0" w:color="auto"/>
            </w:tcBorders>
          </w:tcPr>
          <w:p w14:paraId="4BE7E7AA" w14:textId="77777777" w:rsidR="00000000" w:rsidRDefault="007D38CE">
            <w:pPr>
              <w:pStyle w:val="TableText"/>
              <w:keepNext w:val="0"/>
              <w:framePr w:hSpace="181" w:wrap="notBeside" w:vAnchor="text" w:hAnchor="page" w:xAlign="center" w:y="1"/>
              <w:spacing w:before="60" w:after="60"/>
              <w:jc w:val="center"/>
            </w:pPr>
            <w:r>
              <w:t>24,8</w:t>
            </w:r>
          </w:p>
        </w:tc>
      </w:tr>
      <w:tr w:rsidR="00000000" w14:paraId="55C6DF41" w14:textId="77777777">
        <w:tblPrEx>
          <w:tblCellMar>
            <w:top w:w="0" w:type="dxa"/>
            <w:bottom w:w="0" w:type="dxa"/>
          </w:tblCellMar>
        </w:tblPrEx>
        <w:trPr>
          <w:cantSplit/>
          <w:jc w:val="center"/>
        </w:trPr>
        <w:tc>
          <w:tcPr>
            <w:tcW w:w="3969" w:type="dxa"/>
            <w:tcBorders>
              <w:top w:val="single" w:sz="6" w:space="0" w:color="auto"/>
              <w:left w:val="single" w:sz="6" w:space="0" w:color="auto"/>
              <w:bottom w:val="single" w:sz="6" w:space="0" w:color="auto"/>
              <w:right w:val="single" w:sz="6" w:space="0" w:color="auto"/>
            </w:tcBorders>
          </w:tcPr>
          <w:p w14:paraId="4E69179E" w14:textId="77777777" w:rsidR="00000000" w:rsidRDefault="007D38CE">
            <w:pPr>
              <w:pStyle w:val="TableText"/>
              <w:keepNext w:val="0"/>
              <w:framePr w:hSpace="181" w:wrap="notBeside" w:vAnchor="text" w:hAnchor="page" w:xAlign="center" w:y="1"/>
              <w:spacing w:before="60" w:after="60"/>
              <w:jc w:val="center"/>
            </w:pPr>
            <w:r>
              <w:t>150-180</w:t>
            </w:r>
          </w:p>
        </w:tc>
        <w:tc>
          <w:tcPr>
            <w:tcW w:w="1361" w:type="dxa"/>
            <w:tcBorders>
              <w:top w:val="single" w:sz="6" w:space="0" w:color="auto"/>
              <w:left w:val="single" w:sz="6" w:space="0" w:color="auto"/>
              <w:bottom w:val="single" w:sz="6" w:space="0" w:color="auto"/>
              <w:right w:val="single" w:sz="6" w:space="0" w:color="auto"/>
            </w:tcBorders>
          </w:tcPr>
          <w:p w14:paraId="30BBEB88" w14:textId="77777777" w:rsidR="00000000" w:rsidRDefault="007D38CE">
            <w:pPr>
              <w:pStyle w:val="TableText"/>
              <w:keepNext w:val="0"/>
              <w:framePr w:hSpace="181" w:wrap="notBeside" w:vAnchor="text" w:hAnchor="page" w:xAlign="center" w:y="1"/>
              <w:spacing w:before="60" w:after="60"/>
              <w:jc w:val="center"/>
            </w:pPr>
            <w:r>
              <w:t>630</w:t>
            </w:r>
          </w:p>
        </w:tc>
        <w:tc>
          <w:tcPr>
            <w:tcW w:w="1361" w:type="dxa"/>
            <w:tcBorders>
              <w:top w:val="single" w:sz="6" w:space="0" w:color="auto"/>
              <w:left w:val="single" w:sz="6" w:space="0" w:color="auto"/>
              <w:bottom w:val="single" w:sz="6" w:space="0" w:color="auto"/>
              <w:right w:val="single" w:sz="6" w:space="0" w:color="auto"/>
            </w:tcBorders>
          </w:tcPr>
          <w:p w14:paraId="34477FCC" w14:textId="77777777" w:rsidR="00000000" w:rsidRDefault="007D38CE">
            <w:pPr>
              <w:pStyle w:val="TableText"/>
              <w:keepNext w:val="0"/>
              <w:framePr w:hSpace="181" w:wrap="notBeside" w:vAnchor="text" w:hAnchor="page" w:xAlign="center" w:y="1"/>
              <w:spacing w:before="60" w:after="60"/>
              <w:jc w:val="center"/>
            </w:pPr>
            <w:r>
              <w:t>28</w:t>
            </w:r>
          </w:p>
        </w:tc>
        <w:tc>
          <w:tcPr>
            <w:tcW w:w="1361" w:type="dxa"/>
            <w:tcBorders>
              <w:top w:val="single" w:sz="6" w:space="0" w:color="auto"/>
              <w:left w:val="single" w:sz="6" w:space="0" w:color="auto"/>
              <w:bottom w:val="single" w:sz="6" w:space="0" w:color="auto"/>
              <w:right w:val="single" w:sz="6" w:space="0" w:color="auto"/>
            </w:tcBorders>
          </w:tcPr>
          <w:p w14:paraId="35FE8236" w14:textId="77777777" w:rsidR="00000000" w:rsidRDefault="007D38CE">
            <w:pPr>
              <w:pStyle w:val="TableText"/>
              <w:keepNext w:val="0"/>
              <w:framePr w:hSpace="181" w:wrap="notBeside" w:vAnchor="text" w:hAnchor="page" w:xAlign="center" w:y="1"/>
              <w:spacing w:before="60" w:after="60"/>
              <w:jc w:val="center"/>
            </w:pPr>
            <w:r>
              <w:t>380</w:t>
            </w:r>
          </w:p>
        </w:tc>
        <w:tc>
          <w:tcPr>
            <w:tcW w:w="1361" w:type="dxa"/>
            <w:tcBorders>
              <w:top w:val="single" w:sz="6" w:space="0" w:color="auto"/>
              <w:left w:val="single" w:sz="6" w:space="0" w:color="auto"/>
              <w:bottom w:val="single" w:sz="6" w:space="0" w:color="auto"/>
              <w:right w:val="single" w:sz="6" w:space="0" w:color="auto"/>
            </w:tcBorders>
          </w:tcPr>
          <w:p w14:paraId="7FD627EE" w14:textId="77777777" w:rsidR="00000000" w:rsidRDefault="007D38CE">
            <w:pPr>
              <w:pStyle w:val="TableText"/>
              <w:keepNext w:val="0"/>
              <w:framePr w:hSpace="181" w:wrap="notBeside" w:vAnchor="text" w:hAnchor="page" w:xAlign="center" w:y="1"/>
              <w:spacing w:before="60" w:after="60"/>
              <w:jc w:val="center"/>
            </w:pPr>
            <w:r>
              <w:t>25,8</w:t>
            </w:r>
          </w:p>
        </w:tc>
      </w:tr>
    </w:tbl>
    <w:p w14:paraId="496F9BF3" w14:textId="77777777" w:rsidR="00000000" w:rsidRDefault="007D38CE">
      <w:pPr>
        <w:spacing w:before="0"/>
        <w:rPr>
          <w:sz w:val="8"/>
        </w:rPr>
      </w:pPr>
    </w:p>
    <w:p w14:paraId="59BEA33A" w14:textId="7BDA83E7" w:rsidR="00000000" w:rsidRDefault="007D38CE">
      <w:pPr>
        <w:pStyle w:val="Heading2"/>
      </w:pPr>
      <w:r>
        <w:t>1.3</w:t>
      </w:r>
      <w:r>
        <w:tab/>
        <w:t>Termes et définitions</w:t>
      </w:r>
    </w:p>
    <w:p w14:paraId="0188BBC5" w14:textId="77777777" w:rsidR="00000000" w:rsidRPr="007D38CE" w:rsidRDefault="007D38CE">
      <w:pPr>
        <w:pStyle w:val="enumlev1"/>
        <w:rPr>
          <w:lang w:val="fr-CH"/>
        </w:rPr>
      </w:pPr>
      <w:r w:rsidRPr="007D38CE">
        <w:rPr>
          <w:lang w:val="fr-CH"/>
        </w:rPr>
        <w:tab/>
        <w:t>p.i.r.e.</w:t>
      </w:r>
      <w:r w:rsidRPr="007D38CE">
        <w:rPr>
          <w:rFonts w:ascii="Tms Rmn" w:hAnsi="Tms Rmn"/>
          <w:sz w:val="12"/>
          <w:lang w:val="fr-CH"/>
        </w:rPr>
        <w:t> </w:t>
      </w:r>
      <w:r w:rsidRPr="007D38CE">
        <w:rPr>
          <w:lang w:val="fr-CH"/>
        </w:rPr>
        <w:t>:</w:t>
      </w:r>
      <w:r w:rsidRPr="007D38CE">
        <w:rPr>
          <w:lang w:val="fr-CH"/>
        </w:rPr>
        <w:tab/>
        <w:t>puissance isotrope rayonnée équivalente (dBW)</w:t>
      </w:r>
    </w:p>
    <w:p w14:paraId="759823EB" w14:textId="77777777" w:rsidR="00000000" w:rsidRPr="007D38CE" w:rsidRDefault="007D38CE">
      <w:pPr>
        <w:pStyle w:val="enumlev1"/>
        <w:rPr>
          <w:lang w:val="fr-CH"/>
        </w:rPr>
      </w:pPr>
      <w:r w:rsidRPr="007D38CE">
        <w:rPr>
          <w:lang w:val="fr-CH"/>
        </w:rPr>
        <w:tab/>
        <w:t>p.a.r.</w:t>
      </w:r>
      <w:r w:rsidRPr="007D38CE">
        <w:rPr>
          <w:rFonts w:ascii="Tms Rmn" w:hAnsi="Tms Rmn"/>
          <w:sz w:val="12"/>
          <w:lang w:val="fr-CH"/>
        </w:rPr>
        <w:t> </w:t>
      </w:r>
      <w:r w:rsidRPr="007D38CE">
        <w:rPr>
          <w:lang w:val="fr-CH"/>
        </w:rPr>
        <w:t>:</w:t>
      </w:r>
      <w:r w:rsidRPr="007D38CE">
        <w:rPr>
          <w:lang w:val="fr-CH"/>
        </w:rPr>
        <w:tab/>
        <w:t>puissance apparente rayonnée (antenne doublet de référence) (dBW)</w:t>
      </w:r>
    </w:p>
    <w:p w14:paraId="68A6E6C8" w14:textId="77777777" w:rsidR="00000000" w:rsidRDefault="007D38CE">
      <w:pPr>
        <w:pStyle w:val="Equation"/>
      </w:pPr>
      <w:bookmarkStart w:id="2" w:name="F001"/>
      <w:r w:rsidRPr="007D38CE">
        <w:rPr>
          <w:lang w:val="fr-CH"/>
        </w:rPr>
        <w:tab/>
      </w:r>
      <w:r w:rsidRPr="007D38CE">
        <w:rPr>
          <w:lang w:val="fr-CH"/>
        </w:rPr>
        <w:tab/>
      </w:r>
      <w:r>
        <w:fldChar w:fldCharType="begin"/>
      </w:r>
      <w:r>
        <w:instrText xml:space="preserve">eq </w:instrText>
      </w:r>
      <w:r>
        <w:rPr>
          <w:i/>
        </w:rPr>
        <w:instrText>p.a.r.</w:instrText>
      </w:r>
      <w:r>
        <w:instrText xml:space="preserve">  </w:instrText>
      </w:r>
      <w:r>
        <w:rPr>
          <w:rFonts w:ascii="Symbol" w:hAnsi="Symbol"/>
        </w:rPr>
        <w:instrText>=</w:instrText>
      </w:r>
      <w:r>
        <w:instrText xml:space="preserve">  </w:instrText>
      </w:r>
      <w:r>
        <w:rPr>
          <w:i/>
        </w:rPr>
        <w:instrText>p.i.r.e.</w:instrText>
      </w:r>
      <w:r>
        <w:instrText xml:space="preserve">  –  2,2</w:instrText>
      </w:r>
      <w:r>
        <w:fldChar w:fldCharType="end"/>
      </w:r>
      <w:bookmarkEnd w:id="2"/>
    </w:p>
    <w:p w14:paraId="65F06823" w14:textId="77777777" w:rsidR="00000000" w:rsidRPr="007D38CE" w:rsidRDefault="007D38CE">
      <w:pPr>
        <w:pStyle w:val="Heading2"/>
        <w:rPr>
          <w:lang w:val="fr-CH"/>
        </w:rPr>
      </w:pPr>
      <w:r w:rsidRPr="007D38CE">
        <w:rPr>
          <w:lang w:val="fr-CH"/>
        </w:rPr>
        <w:t>1.4</w:t>
      </w:r>
      <w:r w:rsidRPr="007D38CE">
        <w:rPr>
          <w:lang w:val="fr-CH"/>
        </w:rPr>
        <w:tab/>
        <w:t>Formule utilisée pour calculer l'affaiblissement de propagation en espace libre</w:t>
      </w:r>
    </w:p>
    <w:p w14:paraId="52D7EC9E" w14:textId="77777777" w:rsidR="00000000" w:rsidRDefault="007D38CE">
      <w:pPr>
        <w:pStyle w:val="Equation"/>
      </w:pPr>
      <w:bookmarkStart w:id="3" w:name="F002"/>
      <w:r w:rsidRPr="007D38CE">
        <w:rPr>
          <w:lang w:val="fr-CH"/>
        </w:rPr>
        <w:tab/>
      </w:r>
      <w:r w:rsidRPr="007D38CE">
        <w:rPr>
          <w:lang w:val="fr-CH"/>
        </w:rPr>
        <w:tab/>
      </w:r>
      <w:r>
        <w:fldChar w:fldCharType="begin"/>
      </w:r>
      <w:r>
        <w:instrText xml:space="preserve">eq </w:instrText>
      </w:r>
      <w:r>
        <w:rPr>
          <w:i/>
        </w:rPr>
        <w:instrText>pfd</w:instrText>
      </w:r>
      <w:r>
        <w:instrText xml:space="preserve">  (dB(W/m</w:instrText>
      </w:r>
      <w:r>
        <w:rPr>
          <w:position w:val="6"/>
          <w:sz w:val="18"/>
        </w:rPr>
        <w:instrText>2</w:instrText>
      </w:r>
      <w:r>
        <w:instrText>))  =  10 log \b\bc\((\f(\s\di2(</w:instrText>
      </w:r>
      <w:r>
        <w:rPr>
          <w:i/>
        </w:rPr>
        <w:instrText>p.i.r.e.</w:instrText>
      </w:r>
      <w:r>
        <w:instrText>),\s\ai2(4</w:instrText>
      </w:r>
      <w:r>
        <w:rPr>
          <w:rFonts w:ascii="Symbol" w:hAnsi="Symbol"/>
        </w:rPr>
        <w:instrText>p</w:instrText>
      </w:r>
      <w:r>
        <w:instrText xml:space="preserve"> </w:instrText>
      </w:r>
      <w:r>
        <w:rPr>
          <w:i/>
        </w:rPr>
        <w:instrText>D</w:instrText>
      </w:r>
      <w:r>
        <w:rPr>
          <w:position w:val="10"/>
          <w:sz w:val="18"/>
        </w:rPr>
        <w:instrText>2</w:instrText>
      </w:r>
      <w:r>
        <w:instrText>)))</w:instrText>
      </w:r>
      <w:r>
        <w:fldChar w:fldCharType="end"/>
      </w:r>
      <w:bookmarkEnd w:id="3"/>
    </w:p>
    <w:p w14:paraId="409D4470" w14:textId="77777777" w:rsidR="00000000" w:rsidRPr="007D38CE" w:rsidRDefault="007D38CE">
      <w:pPr>
        <w:rPr>
          <w:lang w:val="fr-CH"/>
        </w:rPr>
      </w:pPr>
      <w:proofErr w:type="gramStart"/>
      <w:r w:rsidRPr="007D38CE">
        <w:rPr>
          <w:lang w:val="fr-CH"/>
        </w:rPr>
        <w:t>pfd</w:t>
      </w:r>
      <w:proofErr w:type="gramEnd"/>
      <w:r w:rsidRPr="007D38CE">
        <w:rPr>
          <w:lang w:val="fr-CH"/>
        </w:rPr>
        <w:t xml:space="preserve"> est la puissance surfacique où la p.i.r.e. est en watts, </w:t>
      </w:r>
      <w:r w:rsidRPr="007D38CE">
        <w:rPr>
          <w:i/>
          <w:lang w:val="fr-CH"/>
        </w:rPr>
        <w:t>D</w:t>
      </w:r>
      <w:r w:rsidRPr="007D38CE">
        <w:rPr>
          <w:lang w:val="fr-CH"/>
        </w:rPr>
        <w:t xml:space="preserve"> en mètres et </w:t>
      </w:r>
      <w:r w:rsidRPr="007D38CE">
        <w:rPr>
          <w:lang w:val="fr-CH"/>
        </w:rPr>
        <w:t>la puissance est fonction d'une source isotrope.</w:t>
      </w:r>
    </w:p>
    <w:p w14:paraId="6C574AC3" w14:textId="77777777" w:rsidR="00000000" w:rsidRPr="007D38CE" w:rsidRDefault="007D38CE">
      <w:pPr>
        <w:rPr>
          <w:lang w:val="fr-CH"/>
        </w:rPr>
      </w:pPr>
    </w:p>
    <w:p w14:paraId="6BDBFF04" w14:textId="77777777" w:rsidR="00000000" w:rsidRPr="007D38CE" w:rsidRDefault="007D38CE">
      <w:pPr>
        <w:rPr>
          <w:lang w:val="fr-CH"/>
        </w:rPr>
      </w:pPr>
    </w:p>
    <w:p w14:paraId="71D3371C" w14:textId="77777777" w:rsidR="00000000" w:rsidRPr="007D38CE" w:rsidRDefault="007D38CE">
      <w:pPr>
        <w:jc w:val="center"/>
        <w:rPr>
          <w:lang w:val="fr-CH"/>
        </w:rPr>
      </w:pPr>
      <w:r w:rsidRPr="007D38CE">
        <w:rPr>
          <w:lang w:val="fr-CH"/>
        </w:rPr>
        <w:t>EXEMPLE  2</w:t>
      </w:r>
    </w:p>
    <w:p w14:paraId="4EF61459" w14:textId="77777777" w:rsidR="00000000" w:rsidRPr="007D38CE" w:rsidRDefault="007D38CE">
      <w:pPr>
        <w:jc w:val="center"/>
        <w:rPr>
          <w:lang w:val="fr-CH"/>
        </w:rPr>
      </w:pPr>
      <w:r w:rsidRPr="007D38CE">
        <w:rPr>
          <w:b/>
          <w:sz w:val="24"/>
          <w:lang w:val="fr-CH"/>
        </w:rPr>
        <w:t xml:space="preserve">Arrangement entre un pays X et un pays Y concernant l'utilisation des bandes 821-824 MHz </w:t>
      </w:r>
      <w:r w:rsidRPr="007D38CE">
        <w:rPr>
          <w:b/>
          <w:sz w:val="24"/>
          <w:lang w:val="fr-CH"/>
        </w:rPr>
        <w:br/>
        <w:t>et 866-869 MHz le long de leur frontière X-Y pour le service mobile terrestre</w:t>
      </w:r>
    </w:p>
    <w:p w14:paraId="517778D1" w14:textId="77777777" w:rsidR="00000000" w:rsidRPr="007D38CE" w:rsidRDefault="007D38CE">
      <w:pPr>
        <w:pStyle w:val="Heading1"/>
        <w:rPr>
          <w:lang w:val="fr-CH"/>
        </w:rPr>
      </w:pPr>
      <w:r w:rsidRPr="007D38CE">
        <w:rPr>
          <w:lang w:val="fr-CH"/>
        </w:rPr>
        <w:t>1</w:t>
      </w:r>
      <w:r w:rsidRPr="007D38CE">
        <w:rPr>
          <w:lang w:val="fr-CH"/>
        </w:rPr>
        <w:tab/>
        <w:t>Domaine d'application</w:t>
      </w:r>
    </w:p>
    <w:p w14:paraId="6F62C5A3" w14:textId="77777777" w:rsidR="00000000" w:rsidRPr="007D38CE" w:rsidRDefault="007D38CE">
      <w:pPr>
        <w:rPr>
          <w:lang w:val="fr-CH"/>
        </w:rPr>
      </w:pPr>
      <w:r w:rsidRPr="007D38CE">
        <w:rPr>
          <w:b/>
          <w:lang w:val="fr-CH"/>
        </w:rPr>
        <w:t>1.1</w:t>
      </w:r>
      <w:r w:rsidRPr="007D38CE">
        <w:rPr>
          <w:lang w:val="fr-CH"/>
        </w:rPr>
        <w:tab/>
        <w:t>Le présent arrangement entre le pays X et le pays Y concerne l'établissement et l'exploitation de services de radiocommunication mobiles terrestres dans les bandes 821-824 MHz et 866-869 MHz le long de leur frontière X-Y.</w:t>
      </w:r>
    </w:p>
    <w:p w14:paraId="3B44E4A4" w14:textId="77777777" w:rsidR="00000000" w:rsidRPr="007D38CE" w:rsidRDefault="007D38CE">
      <w:pPr>
        <w:rPr>
          <w:lang w:val="fr-CH"/>
        </w:rPr>
      </w:pPr>
      <w:r w:rsidRPr="007D38CE">
        <w:rPr>
          <w:b/>
          <w:lang w:val="fr-CH"/>
        </w:rPr>
        <w:t>1.2</w:t>
      </w:r>
      <w:r w:rsidRPr="007D38CE">
        <w:rPr>
          <w:lang w:val="fr-CH"/>
        </w:rPr>
        <w:tab/>
        <w:t xml:space="preserve">Le présent arrangement peut </w:t>
      </w:r>
      <w:r w:rsidRPr="007D38CE">
        <w:rPr>
          <w:lang w:val="fr-CH"/>
        </w:rPr>
        <w:t xml:space="preserve">être revu à n'importe quel moment à la demande de l'un ou de l'autre pays. </w:t>
      </w:r>
    </w:p>
    <w:p w14:paraId="5D044D1B" w14:textId="77777777" w:rsidR="00000000" w:rsidRPr="007D38CE" w:rsidRDefault="007D38CE">
      <w:pPr>
        <w:rPr>
          <w:lang w:val="fr-CH"/>
        </w:rPr>
      </w:pPr>
      <w:r w:rsidRPr="007D38CE">
        <w:rPr>
          <w:b/>
          <w:lang w:val="fr-CH"/>
        </w:rPr>
        <w:t>1.3</w:t>
      </w:r>
      <w:r w:rsidRPr="007D38CE">
        <w:rPr>
          <w:lang w:val="fr-CH"/>
        </w:rPr>
        <w:tab/>
        <w:t>Des mesures de coordination particulières peuvent être prises dans le cadre du présent arrangement par l'un ou l'autre pays et mises en œuvre sous réserve de l'approbation des deux pays.</w:t>
      </w:r>
    </w:p>
    <w:p w14:paraId="090EE35F" w14:textId="77777777" w:rsidR="00000000" w:rsidRPr="007D38CE" w:rsidRDefault="007D38CE">
      <w:pPr>
        <w:pStyle w:val="Heading1"/>
        <w:rPr>
          <w:lang w:val="fr-CH"/>
        </w:rPr>
      </w:pPr>
      <w:r w:rsidRPr="007D38CE">
        <w:rPr>
          <w:lang w:val="fr-CH"/>
        </w:rPr>
        <w:t>2</w:t>
      </w:r>
      <w:r w:rsidRPr="007D38CE">
        <w:rPr>
          <w:lang w:val="fr-CH"/>
        </w:rPr>
        <w:tab/>
        <w:t>Modalités de partage</w:t>
      </w:r>
    </w:p>
    <w:p w14:paraId="1B356FD5" w14:textId="77777777" w:rsidR="00000000" w:rsidRPr="007D38CE" w:rsidRDefault="007D38CE">
      <w:pPr>
        <w:rPr>
          <w:lang w:val="fr-CH"/>
        </w:rPr>
      </w:pPr>
      <w:r w:rsidRPr="007D38CE">
        <w:rPr>
          <w:lang w:val="fr-CH"/>
        </w:rPr>
        <w:t xml:space="preserve">Les bandes de fréquences visées dans le présent arrangement doivent être utilisées en partage le long de la frontière selon les modalités </w:t>
      </w:r>
      <w:proofErr w:type="gramStart"/>
      <w:r w:rsidRPr="007D38CE">
        <w:rPr>
          <w:lang w:val="fr-CH"/>
        </w:rPr>
        <w:t>suivantes:</w:t>
      </w:r>
      <w:proofErr w:type="gramEnd"/>
    </w:p>
    <w:p w14:paraId="6C0FFA52" w14:textId="77777777" w:rsidR="00000000" w:rsidRPr="007D38CE" w:rsidRDefault="007D38CE">
      <w:pPr>
        <w:rPr>
          <w:lang w:val="fr-CH"/>
        </w:rPr>
      </w:pPr>
      <w:r w:rsidRPr="007D38CE">
        <w:rPr>
          <w:b/>
          <w:lang w:val="fr-CH"/>
        </w:rPr>
        <w:t>2.1</w:t>
      </w:r>
      <w:r w:rsidRPr="007D38CE">
        <w:rPr>
          <w:lang w:val="fr-CH"/>
        </w:rPr>
        <w:tab/>
        <w:t>a)</w:t>
      </w:r>
      <w:r w:rsidRPr="007D38CE">
        <w:rPr>
          <w:lang w:val="fr-CH"/>
        </w:rPr>
        <w:tab/>
        <w:t>Pays X</w:t>
      </w:r>
    </w:p>
    <w:p w14:paraId="3C03019E" w14:textId="77777777" w:rsidR="00000000" w:rsidRPr="007D38CE" w:rsidRDefault="007D38CE">
      <w:pPr>
        <w:rPr>
          <w:lang w:val="fr-CH"/>
        </w:rPr>
      </w:pPr>
      <w:r w:rsidRPr="007D38CE">
        <w:rPr>
          <w:lang w:val="fr-CH"/>
        </w:rPr>
        <w:t>Le pays X peut utiliser, sans restriction, les bandes de fr</w:t>
      </w:r>
      <w:r w:rsidRPr="007D38CE">
        <w:rPr>
          <w:lang w:val="fr-CH"/>
        </w:rPr>
        <w:t>équences 821,000-822,500 MHz et 866,000-867,500 MHz dans la partie de la zone de coordination se trouvant sur son territoire.</w:t>
      </w:r>
    </w:p>
    <w:p w14:paraId="5A61DE8B" w14:textId="77777777" w:rsidR="00000000" w:rsidRPr="007D38CE" w:rsidRDefault="007D38CE">
      <w:pPr>
        <w:rPr>
          <w:lang w:val="fr-CH"/>
        </w:rPr>
      </w:pPr>
      <w:r w:rsidRPr="007D38CE">
        <w:rPr>
          <w:lang w:val="fr-CH"/>
        </w:rPr>
        <w:tab/>
        <w:t>b)</w:t>
      </w:r>
      <w:r w:rsidRPr="007D38CE">
        <w:rPr>
          <w:lang w:val="fr-CH"/>
        </w:rPr>
        <w:tab/>
        <w:t>Pays Y</w:t>
      </w:r>
    </w:p>
    <w:p w14:paraId="77A353A8" w14:textId="77777777" w:rsidR="00000000" w:rsidRPr="007D38CE" w:rsidRDefault="007D38CE">
      <w:pPr>
        <w:rPr>
          <w:lang w:val="fr-CH"/>
        </w:rPr>
      </w:pPr>
      <w:r w:rsidRPr="007D38CE">
        <w:rPr>
          <w:lang w:val="fr-CH"/>
        </w:rPr>
        <w:t xml:space="preserve">Le pays Y peut utiliser, sans restriction, les bandes de fréquences 822,500-824,000 MHz et 867,500-869,000 MHz dans la partie de la zone de coordination se trouvant sur son territoire. </w:t>
      </w:r>
    </w:p>
    <w:p w14:paraId="4FCD5A14" w14:textId="77777777" w:rsidR="00000000" w:rsidRPr="007D38CE" w:rsidRDefault="007D38CE">
      <w:pPr>
        <w:rPr>
          <w:lang w:val="fr-CH"/>
        </w:rPr>
      </w:pPr>
      <w:r w:rsidRPr="007D38CE">
        <w:rPr>
          <w:lang w:val="fr-CH"/>
        </w:rPr>
        <w:tab/>
        <w:t>c)</w:t>
      </w:r>
      <w:r w:rsidRPr="007D38CE">
        <w:rPr>
          <w:lang w:val="fr-CH"/>
        </w:rPr>
        <w:tab/>
        <w:t>Voies partagées</w:t>
      </w:r>
    </w:p>
    <w:p w14:paraId="14058976" w14:textId="77777777" w:rsidR="00000000" w:rsidRPr="007D38CE" w:rsidRDefault="007D38CE">
      <w:pPr>
        <w:rPr>
          <w:lang w:val="fr-CH"/>
        </w:rPr>
      </w:pPr>
      <w:r w:rsidRPr="007D38CE">
        <w:rPr>
          <w:lang w:val="fr-CH"/>
        </w:rPr>
        <w:t>Les deux pays sont convenus d'affecter à la sécurité publique, aux fins d'aide mutuelle, les voies appariées suivantes (Ces voies ne doivent être utilisées qu'aux fins d</w:t>
      </w:r>
      <w:r w:rsidRPr="007D38CE">
        <w:rPr>
          <w:lang w:val="fr-CH"/>
        </w:rPr>
        <w:t>e coordination de communications tactiques entre différents organismes de sécurité publique ou pour d'autres communications d'urgence analogues.</w:t>
      </w:r>
      <w:proofErr w:type="gramStart"/>
      <w:r w:rsidRPr="007D38CE">
        <w:rPr>
          <w:lang w:val="fr-CH"/>
        </w:rPr>
        <w:t>):</w:t>
      </w:r>
      <w:proofErr w:type="gramEnd"/>
    </w:p>
    <w:p w14:paraId="33771F54" w14:textId="77777777" w:rsidR="00000000" w:rsidRPr="007D38CE" w:rsidRDefault="007D38CE">
      <w:pPr>
        <w:tabs>
          <w:tab w:val="clear" w:pos="794"/>
          <w:tab w:val="clear" w:pos="1191"/>
          <w:tab w:val="clear" w:pos="1588"/>
          <w:tab w:val="clear" w:pos="1985"/>
          <w:tab w:val="left" w:pos="2836"/>
          <w:tab w:val="left" w:pos="3402"/>
          <w:tab w:val="left" w:pos="5387"/>
          <w:tab w:val="left" w:pos="5670"/>
        </w:tabs>
        <w:ind w:left="3402" w:hanging="3402"/>
        <w:rPr>
          <w:lang w:val="fr-CH"/>
        </w:rPr>
      </w:pPr>
      <w:r w:rsidRPr="007D38CE">
        <w:rPr>
          <w:lang w:val="fr-CH"/>
        </w:rPr>
        <w:tab/>
        <w:t>821,0125 MHz</w:t>
      </w:r>
      <w:r w:rsidRPr="007D38CE">
        <w:rPr>
          <w:lang w:val="fr-CH"/>
        </w:rPr>
        <w:tab/>
        <w:t>866,0125 MHz</w:t>
      </w:r>
    </w:p>
    <w:p w14:paraId="7BF99A7A" w14:textId="77777777" w:rsidR="00000000" w:rsidRPr="007D38CE" w:rsidRDefault="007D38CE">
      <w:pPr>
        <w:tabs>
          <w:tab w:val="clear" w:pos="794"/>
          <w:tab w:val="clear" w:pos="1191"/>
          <w:tab w:val="clear" w:pos="1588"/>
          <w:tab w:val="clear" w:pos="1985"/>
          <w:tab w:val="left" w:pos="2836"/>
          <w:tab w:val="left" w:pos="3402"/>
          <w:tab w:val="left" w:pos="5387"/>
          <w:tab w:val="left" w:pos="5670"/>
        </w:tabs>
        <w:spacing w:before="80"/>
        <w:ind w:left="3402" w:hanging="3402"/>
        <w:rPr>
          <w:lang w:val="fr-CH"/>
        </w:rPr>
      </w:pPr>
      <w:r w:rsidRPr="007D38CE">
        <w:rPr>
          <w:lang w:val="fr-CH"/>
        </w:rPr>
        <w:tab/>
        <w:t>821,5125 MHz</w:t>
      </w:r>
      <w:r w:rsidRPr="007D38CE">
        <w:rPr>
          <w:lang w:val="fr-CH"/>
        </w:rPr>
        <w:tab/>
        <w:t>866,5125 MHz</w:t>
      </w:r>
    </w:p>
    <w:p w14:paraId="31A826AB" w14:textId="77777777" w:rsidR="00000000" w:rsidRPr="007D38CE" w:rsidRDefault="007D38CE">
      <w:pPr>
        <w:tabs>
          <w:tab w:val="clear" w:pos="794"/>
          <w:tab w:val="clear" w:pos="1191"/>
          <w:tab w:val="clear" w:pos="1588"/>
          <w:tab w:val="clear" w:pos="1985"/>
          <w:tab w:val="left" w:pos="2836"/>
          <w:tab w:val="left" w:pos="3402"/>
          <w:tab w:val="left" w:pos="5387"/>
          <w:tab w:val="left" w:pos="5670"/>
        </w:tabs>
        <w:spacing w:before="80"/>
        <w:ind w:left="3402" w:hanging="3402"/>
        <w:rPr>
          <w:lang w:val="fr-CH"/>
        </w:rPr>
      </w:pPr>
      <w:r w:rsidRPr="007D38CE">
        <w:rPr>
          <w:lang w:val="fr-CH"/>
        </w:rPr>
        <w:tab/>
        <w:t>822,0125 MHz</w:t>
      </w:r>
      <w:r w:rsidRPr="007D38CE">
        <w:rPr>
          <w:lang w:val="fr-CH"/>
        </w:rPr>
        <w:tab/>
        <w:t>867,0125 MHz</w:t>
      </w:r>
    </w:p>
    <w:p w14:paraId="1AE03AC6" w14:textId="77777777" w:rsidR="00000000" w:rsidRPr="007D38CE" w:rsidRDefault="007D38CE">
      <w:pPr>
        <w:tabs>
          <w:tab w:val="clear" w:pos="794"/>
          <w:tab w:val="clear" w:pos="1191"/>
          <w:tab w:val="clear" w:pos="1588"/>
          <w:tab w:val="clear" w:pos="1985"/>
          <w:tab w:val="left" w:pos="2836"/>
          <w:tab w:val="left" w:pos="3402"/>
          <w:tab w:val="left" w:pos="5387"/>
          <w:tab w:val="left" w:pos="5670"/>
        </w:tabs>
        <w:spacing w:before="80"/>
        <w:ind w:left="3402" w:hanging="3402"/>
        <w:rPr>
          <w:lang w:val="fr-CH"/>
        </w:rPr>
      </w:pPr>
      <w:r w:rsidRPr="007D38CE">
        <w:rPr>
          <w:lang w:val="fr-CH"/>
        </w:rPr>
        <w:tab/>
        <w:t>822,5125 MHz</w:t>
      </w:r>
      <w:r w:rsidRPr="007D38CE">
        <w:rPr>
          <w:lang w:val="fr-CH"/>
        </w:rPr>
        <w:tab/>
        <w:t>867,5125 MHz</w:t>
      </w:r>
    </w:p>
    <w:p w14:paraId="273B90CD" w14:textId="77777777" w:rsidR="00000000" w:rsidRPr="007D38CE" w:rsidRDefault="007D38CE">
      <w:pPr>
        <w:tabs>
          <w:tab w:val="clear" w:pos="794"/>
          <w:tab w:val="clear" w:pos="1191"/>
          <w:tab w:val="clear" w:pos="1588"/>
          <w:tab w:val="clear" w:pos="1985"/>
          <w:tab w:val="left" w:pos="2836"/>
          <w:tab w:val="left" w:pos="3402"/>
          <w:tab w:val="left" w:pos="5387"/>
          <w:tab w:val="left" w:pos="5670"/>
        </w:tabs>
        <w:spacing w:before="80"/>
        <w:ind w:left="3402" w:hanging="3402"/>
        <w:rPr>
          <w:lang w:val="fr-CH"/>
        </w:rPr>
      </w:pPr>
      <w:r w:rsidRPr="007D38CE">
        <w:rPr>
          <w:lang w:val="fr-CH"/>
        </w:rPr>
        <w:tab/>
        <w:t>823,0125 MHz</w:t>
      </w:r>
      <w:r w:rsidRPr="007D38CE">
        <w:rPr>
          <w:lang w:val="fr-CH"/>
        </w:rPr>
        <w:tab/>
        <w:t>868,0125 MHz</w:t>
      </w:r>
    </w:p>
    <w:p w14:paraId="332EDE44" w14:textId="3D6192D0" w:rsidR="00000000" w:rsidRPr="007D38CE" w:rsidRDefault="007D38CE">
      <w:pPr>
        <w:rPr>
          <w:lang w:val="fr-CH"/>
        </w:rPr>
      </w:pPr>
      <w:r w:rsidRPr="007D38CE">
        <w:rPr>
          <w:lang w:val="fr-CH"/>
        </w:rPr>
        <w:t>Ces voies sont à la disposition de l'un et de l'autre pays dans tous les secteurs, leur utilisation dans le secteur frontalier doit faire l'objet d'une coordination entre les utilisateurs des systèmes de radiocommunication. Elles</w:t>
      </w:r>
      <w:r w:rsidRPr="007D38CE">
        <w:rPr>
          <w:lang w:val="fr-CH"/>
        </w:rPr>
        <w:t xml:space="preserve"> doivent avoir une largeur de 25 kHz et se situer à l'intérieur des zones de coordination. Aucun des pays ne doit assigner une quelconque fréquence à moins de 25 kHz d'une de ces voies affectées à l'aide mutuelle.</w:t>
      </w:r>
    </w:p>
    <w:p w14:paraId="2811AFB8" w14:textId="77777777" w:rsidR="00000000" w:rsidRPr="007D38CE" w:rsidRDefault="007D38CE">
      <w:pPr>
        <w:pStyle w:val="Heading2"/>
        <w:rPr>
          <w:lang w:val="fr-CH"/>
        </w:rPr>
      </w:pPr>
      <w:r w:rsidRPr="007D38CE">
        <w:rPr>
          <w:lang w:val="fr-CH"/>
        </w:rPr>
        <w:t>2.2</w:t>
      </w:r>
      <w:r w:rsidRPr="007D38CE">
        <w:rPr>
          <w:lang w:val="fr-CH"/>
        </w:rPr>
        <w:tab/>
        <w:t>Zone de coordination</w:t>
      </w:r>
    </w:p>
    <w:p w14:paraId="498EF797" w14:textId="77777777" w:rsidR="00000000" w:rsidRPr="007D38CE" w:rsidRDefault="007D38CE">
      <w:pPr>
        <w:rPr>
          <w:lang w:val="fr-CH"/>
        </w:rPr>
      </w:pPr>
      <w:r w:rsidRPr="007D38CE">
        <w:rPr>
          <w:lang w:val="fr-CH"/>
        </w:rPr>
        <w:t>La zone de coordination est une zone adjacente à la frontière X-Y, d'une profondeur de 100 km à l'intérieur de chaque pays. Dans cette zone, les pays peuvent utiliser les portions de spectre qui leur ont été attribuées sous réserve des limites de puissance apparente rayonn</w:t>
      </w:r>
      <w:r w:rsidRPr="007D38CE">
        <w:rPr>
          <w:lang w:val="fr-CH"/>
        </w:rPr>
        <w:t xml:space="preserve">ée (p.a.r.) et de hauteur effective d'antenne (HEA) indiquées dans le Tableau 3. </w:t>
      </w:r>
    </w:p>
    <w:p w14:paraId="0CBD3C37" w14:textId="77777777" w:rsidR="00000000" w:rsidRPr="007D38CE" w:rsidRDefault="007D38CE">
      <w:pPr>
        <w:pStyle w:val="Table"/>
        <w:rPr>
          <w:lang w:val="fr-CH"/>
        </w:rPr>
      </w:pPr>
      <w:r w:rsidRPr="007D38CE">
        <w:rPr>
          <w:lang w:val="fr-CH"/>
        </w:rPr>
        <w:t>TABLEAU  3</w:t>
      </w:r>
    </w:p>
    <w:p w14:paraId="52BBD415" w14:textId="77777777" w:rsidR="00000000" w:rsidRPr="007D38CE" w:rsidRDefault="007D38CE">
      <w:pPr>
        <w:pStyle w:val="TableTitle"/>
        <w:rPr>
          <w:lang w:val="fr-CH"/>
        </w:rPr>
      </w:pPr>
      <w:r w:rsidRPr="007D38CE">
        <w:rPr>
          <w:lang w:val="fr-CH"/>
        </w:rPr>
        <w:t>Limites de puissance apparente rayonnée et hauteur effective d'antenne</w:t>
      </w:r>
    </w:p>
    <w:p w14:paraId="0AC41C1F" w14:textId="77777777" w:rsidR="00000000" w:rsidRDefault="007D38CE">
      <w:pPr>
        <w:pStyle w:val="TableText"/>
        <w:jc w:val="center"/>
      </w:pPr>
      <w:r>
        <w:t>Exemples de valeurs</w:t>
      </w:r>
    </w:p>
    <w:p w14:paraId="207799B8" w14:textId="77777777" w:rsidR="00000000" w:rsidRDefault="007D38CE">
      <w:pPr>
        <w:pStyle w:val="Blanc"/>
      </w:pPr>
    </w:p>
    <w:tbl>
      <w:tblPr>
        <w:tblW w:w="0" w:type="auto"/>
        <w:jc w:val="center"/>
        <w:tblLayout w:type="fixed"/>
        <w:tblCellMar>
          <w:left w:w="0" w:type="dxa"/>
          <w:right w:w="0" w:type="dxa"/>
        </w:tblCellMar>
        <w:tblLook w:val="0000" w:firstRow="0" w:lastRow="0" w:firstColumn="0" w:lastColumn="0" w:noHBand="0" w:noVBand="0"/>
      </w:tblPr>
      <w:tblGrid>
        <w:gridCol w:w="2377"/>
        <w:gridCol w:w="2268"/>
        <w:gridCol w:w="2267"/>
      </w:tblGrid>
      <w:tr w:rsidR="00B50B95" w:rsidRPr="007D38CE" w14:paraId="16CBD1C9" w14:textId="77777777" w:rsidTr="00B50B95">
        <w:tblPrEx>
          <w:tblCellMar>
            <w:top w:w="0" w:type="dxa"/>
            <w:left w:w="0" w:type="dxa"/>
            <w:bottom w:w="0" w:type="dxa"/>
            <w:right w:w="0" w:type="dxa"/>
          </w:tblCellMar>
        </w:tblPrEx>
        <w:trPr>
          <w:cantSplit/>
          <w:jc w:val="center"/>
        </w:trPr>
        <w:tc>
          <w:tcPr>
            <w:tcW w:w="6912" w:type="dxa"/>
            <w:gridSpan w:val="3"/>
          </w:tcPr>
          <w:p w14:paraId="2750F41F" w14:textId="77777777" w:rsidR="00000000" w:rsidRPr="007D38CE" w:rsidRDefault="007D38CE">
            <w:pPr>
              <w:pStyle w:val="TableText"/>
              <w:framePr w:hSpace="181" w:wrap="notBeside" w:vAnchor="text" w:hAnchor="page" w:xAlign="center" w:y="1"/>
              <w:rPr>
                <w:lang w:val="fr-CH"/>
              </w:rPr>
            </w:pPr>
            <w:r w:rsidRPr="007D38CE">
              <w:rPr>
                <w:lang w:val="fr-CH"/>
              </w:rPr>
              <w:t xml:space="preserve">La puissance apparente rayonnée (p.a.r.) est le produit de la puissance fournie à l'antenne et de son gain rapporté à un doublet demi-onde dans une direction donnée. </w:t>
            </w:r>
          </w:p>
          <w:p w14:paraId="67B21FA7" w14:textId="77777777" w:rsidR="00000000" w:rsidRPr="007D38CE" w:rsidRDefault="007D38CE">
            <w:pPr>
              <w:pStyle w:val="TableText"/>
              <w:framePr w:hSpace="181" w:wrap="notBeside" w:vAnchor="text" w:hAnchor="page" w:xAlign="center" w:y="1"/>
              <w:spacing w:before="0"/>
              <w:rPr>
                <w:lang w:val="fr-CH"/>
              </w:rPr>
            </w:pPr>
            <w:r w:rsidRPr="007D38CE">
              <w:rPr>
                <w:lang w:val="fr-CH"/>
              </w:rPr>
              <w:t>Concernant les stations de base dans la zone de protection et dans la zone de partage, ce Tableau indique les limites de p.a.r. correspondant aux hauteurs effec</w:t>
            </w:r>
            <w:r w:rsidRPr="007D38CE">
              <w:rPr>
                <w:lang w:val="fr-CH"/>
              </w:rPr>
              <w:t>tives d'antenne (HEA) indiquées.</w:t>
            </w:r>
          </w:p>
        </w:tc>
      </w:tr>
      <w:tr w:rsidR="00B50B95" w14:paraId="0E910214" w14:textId="77777777" w:rsidTr="00B50B95">
        <w:tblPrEx>
          <w:tblCellMar>
            <w:top w:w="0" w:type="dxa"/>
            <w:left w:w="0" w:type="dxa"/>
            <w:bottom w:w="0" w:type="dxa"/>
            <w:right w:w="0" w:type="dxa"/>
          </w:tblCellMar>
        </w:tblPrEx>
        <w:trPr>
          <w:cantSplit/>
          <w:jc w:val="center"/>
        </w:trPr>
        <w:tc>
          <w:tcPr>
            <w:tcW w:w="4645" w:type="dxa"/>
            <w:gridSpan w:val="2"/>
            <w:tcBorders>
              <w:top w:val="single" w:sz="6" w:space="0" w:color="auto"/>
              <w:left w:val="single" w:sz="6" w:space="0" w:color="auto"/>
              <w:right w:val="single" w:sz="6" w:space="0" w:color="auto"/>
            </w:tcBorders>
          </w:tcPr>
          <w:p w14:paraId="243BB9F4" w14:textId="77777777" w:rsidR="00000000" w:rsidRDefault="007D38CE">
            <w:pPr>
              <w:pStyle w:val="TableText"/>
              <w:framePr w:hSpace="181" w:wrap="notBeside" w:vAnchor="text" w:hAnchor="page" w:xAlign="center" w:y="1"/>
              <w:spacing w:before="160"/>
              <w:jc w:val="center"/>
            </w:pPr>
            <w:r>
              <w:t>Hauteur effective d'antenne (HEA)</w:t>
            </w:r>
          </w:p>
        </w:tc>
        <w:tc>
          <w:tcPr>
            <w:tcW w:w="2267" w:type="dxa"/>
            <w:tcBorders>
              <w:top w:val="single" w:sz="6" w:space="0" w:color="auto"/>
              <w:left w:val="single" w:sz="6" w:space="0" w:color="auto"/>
              <w:right w:val="single" w:sz="6" w:space="0" w:color="auto"/>
            </w:tcBorders>
          </w:tcPr>
          <w:p w14:paraId="5F850EAE" w14:textId="77777777" w:rsidR="00000000" w:rsidRDefault="007D38CE">
            <w:pPr>
              <w:pStyle w:val="TableText"/>
              <w:framePr w:hSpace="181" w:wrap="notBeside" w:vAnchor="text" w:hAnchor="page" w:xAlign="center" w:y="1"/>
              <w:spacing w:after="0"/>
              <w:jc w:val="center"/>
            </w:pPr>
            <w:r>
              <w:t>p.a.r.</w:t>
            </w:r>
            <w:r>
              <w:br/>
              <w:t>(maximale)</w:t>
            </w:r>
          </w:p>
        </w:tc>
      </w:tr>
      <w:tr w:rsidR="00000000" w14:paraId="26E71784"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6C097D13" w14:textId="77777777" w:rsidR="00000000" w:rsidRDefault="007D38CE">
            <w:pPr>
              <w:pStyle w:val="TableText"/>
              <w:framePr w:hSpace="181" w:wrap="notBeside" w:vAnchor="text" w:hAnchor="page" w:xAlign="center" w:y="1"/>
              <w:spacing w:before="80" w:after="80"/>
              <w:jc w:val="center"/>
            </w:pPr>
            <w:r>
              <w:t>(m)</w:t>
            </w:r>
          </w:p>
        </w:tc>
        <w:tc>
          <w:tcPr>
            <w:tcW w:w="2268" w:type="dxa"/>
            <w:tcBorders>
              <w:top w:val="single" w:sz="6" w:space="0" w:color="auto"/>
              <w:left w:val="single" w:sz="6" w:space="0" w:color="auto"/>
              <w:bottom w:val="single" w:sz="6" w:space="0" w:color="auto"/>
              <w:right w:val="single" w:sz="6" w:space="0" w:color="auto"/>
            </w:tcBorders>
          </w:tcPr>
          <w:p w14:paraId="43102A81" w14:textId="77777777" w:rsidR="00000000" w:rsidRDefault="007D38CE">
            <w:pPr>
              <w:pStyle w:val="TableText"/>
              <w:framePr w:hSpace="181" w:wrap="notBeside" w:vAnchor="text" w:hAnchor="page" w:xAlign="center" w:y="1"/>
              <w:spacing w:before="80" w:after="80"/>
              <w:jc w:val="center"/>
            </w:pPr>
            <w:r>
              <w:t>(Pieds)</w:t>
            </w:r>
          </w:p>
        </w:tc>
        <w:tc>
          <w:tcPr>
            <w:tcW w:w="2267" w:type="dxa"/>
            <w:tcBorders>
              <w:left w:val="single" w:sz="6" w:space="0" w:color="auto"/>
              <w:bottom w:val="single" w:sz="6" w:space="0" w:color="auto"/>
              <w:right w:val="single" w:sz="6" w:space="0" w:color="auto"/>
            </w:tcBorders>
          </w:tcPr>
          <w:p w14:paraId="5E3B6037" w14:textId="77777777" w:rsidR="00000000" w:rsidRDefault="007D38CE">
            <w:pPr>
              <w:pStyle w:val="TableText"/>
              <w:framePr w:hSpace="181" w:wrap="notBeside" w:vAnchor="text" w:hAnchor="page" w:xAlign="center" w:y="1"/>
              <w:spacing w:before="0"/>
              <w:jc w:val="center"/>
            </w:pPr>
            <w:r>
              <w:t>(W)</w:t>
            </w:r>
          </w:p>
        </w:tc>
      </w:tr>
      <w:tr w:rsidR="00000000" w14:paraId="579DFC3A"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0A7DEE42" w14:textId="77777777" w:rsidR="00000000" w:rsidRDefault="007D38CE">
            <w:pPr>
              <w:pStyle w:val="TableText"/>
              <w:framePr w:hSpace="181" w:wrap="notBeside" w:vAnchor="text" w:hAnchor="page" w:xAlign="center" w:y="1"/>
              <w:spacing w:before="60" w:after="60"/>
              <w:jc w:val="center"/>
            </w:pPr>
            <w:r>
              <w:t>0-152</w:t>
            </w:r>
          </w:p>
        </w:tc>
        <w:tc>
          <w:tcPr>
            <w:tcW w:w="2268" w:type="dxa"/>
            <w:tcBorders>
              <w:top w:val="single" w:sz="6" w:space="0" w:color="auto"/>
              <w:left w:val="single" w:sz="6" w:space="0" w:color="auto"/>
              <w:bottom w:val="single" w:sz="6" w:space="0" w:color="auto"/>
              <w:right w:val="single" w:sz="6" w:space="0" w:color="auto"/>
            </w:tcBorders>
          </w:tcPr>
          <w:p w14:paraId="1C2A2282" w14:textId="77777777" w:rsidR="00000000" w:rsidRDefault="007D38CE">
            <w:pPr>
              <w:pStyle w:val="TableText"/>
              <w:framePr w:hSpace="181" w:wrap="notBeside" w:vAnchor="text" w:hAnchor="page" w:xAlign="center" w:y="1"/>
              <w:spacing w:before="60" w:after="60"/>
              <w:jc w:val="center"/>
            </w:pPr>
            <w:r>
              <w:t>0-500</w:t>
            </w:r>
          </w:p>
        </w:tc>
        <w:tc>
          <w:tcPr>
            <w:tcW w:w="2267" w:type="dxa"/>
            <w:tcBorders>
              <w:top w:val="single" w:sz="6" w:space="0" w:color="auto"/>
              <w:left w:val="single" w:sz="6" w:space="0" w:color="auto"/>
              <w:bottom w:val="single" w:sz="6" w:space="0" w:color="auto"/>
              <w:right w:val="single" w:sz="6" w:space="0" w:color="auto"/>
            </w:tcBorders>
          </w:tcPr>
          <w:p w14:paraId="177AA87A" w14:textId="77777777" w:rsidR="00000000" w:rsidRDefault="007D38CE">
            <w:pPr>
              <w:pStyle w:val="TableText"/>
              <w:framePr w:hSpace="181" w:wrap="notBeside" w:vAnchor="text" w:hAnchor="page" w:xAlign="center" w:y="1"/>
              <w:spacing w:before="60" w:after="60"/>
              <w:jc w:val="center"/>
            </w:pPr>
            <w:r>
              <w:t>500</w:t>
            </w:r>
          </w:p>
        </w:tc>
      </w:tr>
      <w:tr w:rsidR="00000000" w14:paraId="1DE783FB"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62E227D7" w14:textId="77777777" w:rsidR="00000000" w:rsidRDefault="007D38CE">
            <w:pPr>
              <w:pStyle w:val="TableText"/>
              <w:framePr w:hSpace="181" w:wrap="notBeside" w:vAnchor="text" w:hAnchor="page" w:xAlign="center" w:y="1"/>
              <w:spacing w:before="60" w:after="60"/>
              <w:jc w:val="center"/>
            </w:pPr>
            <w:r>
              <w:t>153-305</w:t>
            </w:r>
          </w:p>
        </w:tc>
        <w:tc>
          <w:tcPr>
            <w:tcW w:w="2268" w:type="dxa"/>
            <w:tcBorders>
              <w:top w:val="single" w:sz="6" w:space="0" w:color="auto"/>
              <w:left w:val="single" w:sz="6" w:space="0" w:color="auto"/>
              <w:bottom w:val="single" w:sz="6" w:space="0" w:color="auto"/>
              <w:right w:val="single" w:sz="6" w:space="0" w:color="auto"/>
            </w:tcBorders>
          </w:tcPr>
          <w:p w14:paraId="191F5D17" w14:textId="77777777" w:rsidR="00000000" w:rsidRDefault="007D38CE">
            <w:pPr>
              <w:pStyle w:val="TableText"/>
              <w:framePr w:hSpace="181" w:wrap="notBeside" w:vAnchor="text" w:hAnchor="page" w:xAlign="center" w:y="1"/>
              <w:spacing w:before="60" w:after="60"/>
              <w:jc w:val="center"/>
            </w:pPr>
            <w:r>
              <w:t>501-1 000</w:t>
            </w:r>
          </w:p>
        </w:tc>
        <w:tc>
          <w:tcPr>
            <w:tcW w:w="2267" w:type="dxa"/>
            <w:tcBorders>
              <w:top w:val="single" w:sz="6" w:space="0" w:color="auto"/>
              <w:left w:val="single" w:sz="6" w:space="0" w:color="auto"/>
              <w:bottom w:val="single" w:sz="6" w:space="0" w:color="auto"/>
              <w:right w:val="single" w:sz="6" w:space="0" w:color="auto"/>
            </w:tcBorders>
          </w:tcPr>
          <w:p w14:paraId="63430A1A" w14:textId="77777777" w:rsidR="00000000" w:rsidRDefault="007D38CE">
            <w:pPr>
              <w:pStyle w:val="TableText"/>
              <w:framePr w:hSpace="181" w:wrap="notBeside" w:vAnchor="text" w:hAnchor="page" w:xAlign="center" w:y="1"/>
              <w:spacing w:before="60" w:after="60"/>
              <w:jc w:val="center"/>
            </w:pPr>
            <w:r>
              <w:t>125</w:t>
            </w:r>
          </w:p>
        </w:tc>
      </w:tr>
      <w:tr w:rsidR="00000000" w14:paraId="44E49E24"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55BEE350" w14:textId="77777777" w:rsidR="00000000" w:rsidRDefault="007D38CE">
            <w:pPr>
              <w:pStyle w:val="TableText"/>
              <w:framePr w:hSpace="181" w:wrap="notBeside" w:vAnchor="text" w:hAnchor="page" w:xAlign="center" w:y="1"/>
              <w:spacing w:before="60" w:after="60"/>
              <w:jc w:val="center"/>
            </w:pPr>
            <w:r>
              <w:t>306-457</w:t>
            </w:r>
          </w:p>
        </w:tc>
        <w:tc>
          <w:tcPr>
            <w:tcW w:w="2268" w:type="dxa"/>
            <w:tcBorders>
              <w:top w:val="single" w:sz="6" w:space="0" w:color="auto"/>
              <w:left w:val="single" w:sz="6" w:space="0" w:color="auto"/>
              <w:bottom w:val="single" w:sz="6" w:space="0" w:color="auto"/>
              <w:right w:val="single" w:sz="6" w:space="0" w:color="auto"/>
            </w:tcBorders>
          </w:tcPr>
          <w:p w14:paraId="17235792" w14:textId="77777777" w:rsidR="00000000" w:rsidRDefault="007D38CE">
            <w:pPr>
              <w:pStyle w:val="TableText"/>
              <w:framePr w:hSpace="181" w:wrap="notBeside" w:vAnchor="text" w:hAnchor="page" w:xAlign="center" w:y="1"/>
              <w:spacing w:before="60" w:after="60"/>
              <w:jc w:val="center"/>
            </w:pPr>
            <w:r>
              <w:t>1</w:t>
            </w:r>
            <w:r>
              <w:rPr>
                <w:rFonts w:ascii="Tms Rmn" w:hAnsi="Tms Rmn"/>
                <w:sz w:val="12"/>
              </w:rPr>
              <w:t> </w:t>
            </w:r>
            <w:r>
              <w:t>001-1 500</w:t>
            </w:r>
          </w:p>
        </w:tc>
        <w:tc>
          <w:tcPr>
            <w:tcW w:w="2267" w:type="dxa"/>
            <w:tcBorders>
              <w:top w:val="single" w:sz="6" w:space="0" w:color="auto"/>
              <w:left w:val="single" w:sz="6" w:space="0" w:color="auto"/>
              <w:bottom w:val="single" w:sz="6" w:space="0" w:color="auto"/>
              <w:right w:val="single" w:sz="6" w:space="0" w:color="auto"/>
            </w:tcBorders>
          </w:tcPr>
          <w:p w14:paraId="41E337E8" w14:textId="77777777" w:rsidR="00000000" w:rsidRDefault="007D38CE">
            <w:pPr>
              <w:pStyle w:val="TableText"/>
              <w:framePr w:hSpace="181" w:wrap="notBeside" w:vAnchor="text" w:hAnchor="page" w:xAlign="center" w:y="1"/>
              <w:spacing w:before="60" w:after="60"/>
              <w:jc w:val="center"/>
            </w:pPr>
            <w:r>
              <w:t>40</w:t>
            </w:r>
          </w:p>
        </w:tc>
      </w:tr>
      <w:tr w:rsidR="00000000" w14:paraId="300927BB"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1193A346" w14:textId="77777777" w:rsidR="00000000" w:rsidRDefault="007D38CE">
            <w:pPr>
              <w:pStyle w:val="TableText"/>
              <w:framePr w:hSpace="181" w:wrap="notBeside" w:vAnchor="text" w:hAnchor="page" w:xAlign="center" w:y="1"/>
              <w:spacing w:before="60" w:after="60"/>
              <w:jc w:val="center"/>
            </w:pPr>
            <w:r>
              <w:t>458-609</w:t>
            </w:r>
          </w:p>
        </w:tc>
        <w:tc>
          <w:tcPr>
            <w:tcW w:w="2268" w:type="dxa"/>
            <w:tcBorders>
              <w:top w:val="single" w:sz="6" w:space="0" w:color="auto"/>
              <w:left w:val="single" w:sz="6" w:space="0" w:color="auto"/>
              <w:bottom w:val="single" w:sz="6" w:space="0" w:color="auto"/>
              <w:right w:val="single" w:sz="6" w:space="0" w:color="auto"/>
            </w:tcBorders>
          </w:tcPr>
          <w:p w14:paraId="67EB5FE3" w14:textId="77777777" w:rsidR="00000000" w:rsidRDefault="007D38CE">
            <w:pPr>
              <w:pStyle w:val="TableText"/>
              <w:framePr w:hSpace="181" w:wrap="notBeside" w:vAnchor="text" w:hAnchor="page" w:xAlign="center" w:y="1"/>
              <w:spacing w:before="60" w:after="60"/>
              <w:jc w:val="center"/>
            </w:pPr>
            <w:r>
              <w:t>1</w:t>
            </w:r>
            <w:r>
              <w:rPr>
                <w:rFonts w:ascii="Tms Rmn" w:hAnsi="Tms Rmn"/>
                <w:sz w:val="12"/>
              </w:rPr>
              <w:t> </w:t>
            </w:r>
            <w:r>
              <w:t>501-2 000</w:t>
            </w:r>
          </w:p>
        </w:tc>
        <w:tc>
          <w:tcPr>
            <w:tcW w:w="2267" w:type="dxa"/>
            <w:tcBorders>
              <w:top w:val="single" w:sz="6" w:space="0" w:color="auto"/>
              <w:left w:val="single" w:sz="6" w:space="0" w:color="auto"/>
              <w:bottom w:val="single" w:sz="6" w:space="0" w:color="auto"/>
              <w:right w:val="single" w:sz="6" w:space="0" w:color="auto"/>
            </w:tcBorders>
          </w:tcPr>
          <w:p w14:paraId="4BCA6ECA" w14:textId="77777777" w:rsidR="00000000" w:rsidRDefault="007D38CE">
            <w:pPr>
              <w:pStyle w:val="TableText"/>
              <w:framePr w:hSpace="181" w:wrap="notBeside" w:vAnchor="text" w:hAnchor="page" w:xAlign="center" w:y="1"/>
              <w:spacing w:before="60" w:after="60"/>
              <w:jc w:val="center"/>
            </w:pPr>
            <w:r>
              <w:t>20</w:t>
            </w:r>
          </w:p>
        </w:tc>
      </w:tr>
      <w:tr w:rsidR="00000000" w14:paraId="00185D61"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6A45FD6F" w14:textId="77777777" w:rsidR="00000000" w:rsidRDefault="007D38CE">
            <w:pPr>
              <w:pStyle w:val="TableText"/>
              <w:framePr w:hSpace="181" w:wrap="notBeside" w:vAnchor="text" w:hAnchor="page" w:xAlign="center" w:y="1"/>
              <w:spacing w:before="60" w:after="60"/>
              <w:jc w:val="center"/>
            </w:pPr>
            <w:r>
              <w:t>610-762</w:t>
            </w:r>
          </w:p>
        </w:tc>
        <w:tc>
          <w:tcPr>
            <w:tcW w:w="2268" w:type="dxa"/>
            <w:tcBorders>
              <w:top w:val="single" w:sz="6" w:space="0" w:color="auto"/>
              <w:left w:val="single" w:sz="6" w:space="0" w:color="auto"/>
              <w:bottom w:val="single" w:sz="6" w:space="0" w:color="auto"/>
              <w:right w:val="single" w:sz="6" w:space="0" w:color="auto"/>
            </w:tcBorders>
          </w:tcPr>
          <w:p w14:paraId="1A1876A0" w14:textId="77777777" w:rsidR="00000000" w:rsidRDefault="007D38CE">
            <w:pPr>
              <w:pStyle w:val="TableText"/>
              <w:framePr w:hSpace="181" w:wrap="notBeside" w:vAnchor="text" w:hAnchor="page" w:xAlign="center" w:y="1"/>
              <w:spacing w:before="60" w:after="60"/>
              <w:jc w:val="center"/>
            </w:pPr>
            <w:r>
              <w:t>2</w:t>
            </w:r>
            <w:r>
              <w:rPr>
                <w:rFonts w:ascii="Tms Rmn" w:hAnsi="Tms Rmn"/>
                <w:sz w:val="12"/>
              </w:rPr>
              <w:t> </w:t>
            </w:r>
            <w:r>
              <w:t>001-2 500</w:t>
            </w:r>
          </w:p>
        </w:tc>
        <w:tc>
          <w:tcPr>
            <w:tcW w:w="2267" w:type="dxa"/>
            <w:tcBorders>
              <w:top w:val="single" w:sz="6" w:space="0" w:color="auto"/>
              <w:left w:val="single" w:sz="6" w:space="0" w:color="auto"/>
              <w:bottom w:val="single" w:sz="6" w:space="0" w:color="auto"/>
              <w:right w:val="single" w:sz="6" w:space="0" w:color="auto"/>
            </w:tcBorders>
          </w:tcPr>
          <w:p w14:paraId="378B8FCC" w14:textId="77777777" w:rsidR="00000000" w:rsidRDefault="007D38CE">
            <w:pPr>
              <w:pStyle w:val="TableText"/>
              <w:framePr w:hSpace="181" w:wrap="notBeside" w:vAnchor="text" w:hAnchor="page" w:xAlign="center" w:y="1"/>
              <w:spacing w:before="60" w:after="60"/>
              <w:jc w:val="center"/>
            </w:pPr>
            <w:r>
              <w:t>10</w:t>
            </w:r>
          </w:p>
        </w:tc>
      </w:tr>
      <w:tr w:rsidR="00000000" w14:paraId="192715E0"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41C304AA" w14:textId="77777777" w:rsidR="00000000" w:rsidRDefault="007D38CE">
            <w:pPr>
              <w:pStyle w:val="TableText"/>
              <w:framePr w:hSpace="181" w:wrap="notBeside" w:vAnchor="text" w:hAnchor="page" w:xAlign="center" w:y="1"/>
              <w:spacing w:before="60" w:after="60"/>
              <w:jc w:val="center"/>
            </w:pPr>
            <w:r>
              <w:t>763-914</w:t>
            </w:r>
          </w:p>
        </w:tc>
        <w:tc>
          <w:tcPr>
            <w:tcW w:w="2268" w:type="dxa"/>
            <w:tcBorders>
              <w:top w:val="single" w:sz="6" w:space="0" w:color="auto"/>
              <w:left w:val="single" w:sz="6" w:space="0" w:color="auto"/>
              <w:bottom w:val="single" w:sz="6" w:space="0" w:color="auto"/>
              <w:right w:val="single" w:sz="6" w:space="0" w:color="auto"/>
            </w:tcBorders>
          </w:tcPr>
          <w:p w14:paraId="7196D0F6" w14:textId="77777777" w:rsidR="00000000" w:rsidRDefault="007D38CE">
            <w:pPr>
              <w:pStyle w:val="TableText"/>
              <w:framePr w:hSpace="181" w:wrap="notBeside" w:vAnchor="text" w:hAnchor="page" w:xAlign="center" w:y="1"/>
              <w:spacing w:before="60" w:after="60"/>
              <w:jc w:val="center"/>
            </w:pPr>
            <w:r>
              <w:t>2</w:t>
            </w:r>
            <w:r>
              <w:rPr>
                <w:rFonts w:ascii="Tms Rmn" w:hAnsi="Tms Rmn"/>
                <w:sz w:val="12"/>
              </w:rPr>
              <w:t> </w:t>
            </w:r>
            <w:r>
              <w:t>501-3 000</w:t>
            </w:r>
          </w:p>
        </w:tc>
        <w:tc>
          <w:tcPr>
            <w:tcW w:w="2267" w:type="dxa"/>
            <w:tcBorders>
              <w:top w:val="single" w:sz="6" w:space="0" w:color="auto"/>
              <w:left w:val="single" w:sz="6" w:space="0" w:color="auto"/>
              <w:bottom w:val="single" w:sz="6" w:space="0" w:color="auto"/>
              <w:right w:val="single" w:sz="6" w:space="0" w:color="auto"/>
            </w:tcBorders>
          </w:tcPr>
          <w:p w14:paraId="41DB67BA" w14:textId="77777777" w:rsidR="00000000" w:rsidRDefault="007D38CE">
            <w:pPr>
              <w:pStyle w:val="TableText"/>
              <w:framePr w:hSpace="181" w:wrap="notBeside" w:vAnchor="text" w:hAnchor="page" w:xAlign="center" w:y="1"/>
              <w:spacing w:before="60" w:after="60"/>
              <w:jc w:val="center"/>
            </w:pPr>
            <w:r>
              <w:t>10</w:t>
            </w:r>
          </w:p>
        </w:tc>
      </w:tr>
      <w:tr w:rsidR="00000000" w14:paraId="7CAC11D5"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0B7EFAE9" w14:textId="77777777" w:rsidR="00000000" w:rsidRDefault="007D38CE">
            <w:pPr>
              <w:pStyle w:val="TableText"/>
              <w:framePr w:hSpace="181" w:wrap="notBeside" w:vAnchor="text" w:hAnchor="page" w:xAlign="center" w:y="1"/>
              <w:spacing w:before="60" w:after="60"/>
              <w:jc w:val="center"/>
            </w:pPr>
            <w:r>
              <w:t>915-1 066</w:t>
            </w:r>
          </w:p>
        </w:tc>
        <w:tc>
          <w:tcPr>
            <w:tcW w:w="2268" w:type="dxa"/>
            <w:tcBorders>
              <w:top w:val="single" w:sz="6" w:space="0" w:color="auto"/>
              <w:left w:val="single" w:sz="6" w:space="0" w:color="auto"/>
              <w:bottom w:val="single" w:sz="6" w:space="0" w:color="auto"/>
              <w:right w:val="single" w:sz="6" w:space="0" w:color="auto"/>
            </w:tcBorders>
          </w:tcPr>
          <w:p w14:paraId="216C6987" w14:textId="77777777" w:rsidR="00000000" w:rsidRDefault="007D38CE">
            <w:pPr>
              <w:pStyle w:val="TableText"/>
              <w:framePr w:hSpace="181" w:wrap="notBeside" w:vAnchor="text" w:hAnchor="page" w:xAlign="center" w:y="1"/>
              <w:spacing w:before="60" w:after="60"/>
              <w:jc w:val="center"/>
            </w:pPr>
            <w:r>
              <w:t>3</w:t>
            </w:r>
            <w:r>
              <w:rPr>
                <w:rFonts w:ascii="Tms Rmn" w:hAnsi="Tms Rmn"/>
                <w:sz w:val="12"/>
              </w:rPr>
              <w:t> </w:t>
            </w:r>
            <w:r>
              <w:t>001-3 500</w:t>
            </w:r>
          </w:p>
        </w:tc>
        <w:tc>
          <w:tcPr>
            <w:tcW w:w="2267" w:type="dxa"/>
            <w:tcBorders>
              <w:top w:val="single" w:sz="6" w:space="0" w:color="auto"/>
              <w:left w:val="single" w:sz="6" w:space="0" w:color="auto"/>
              <w:bottom w:val="single" w:sz="6" w:space="0" w:color="auto"/>
              <w:right w:val="single" w:sz="6" w:space="0" w:color="auto"/>
            </w:tcBorders>
          </w:tcPr>
          <w:p w14:paraId="57193250" w14:textId="77777777" w:rsidR="00000000" w:rsidRDefault="007D38CE">
            <w:pPr>
              <w:pStyle w:val="TableText"/>
              <w:framePr w:hSpace="181" w:wrap="notBeside" w:vAnchor="text" w:hAnchor="page" w:xAlign="center" w:y="1"/>
              <w:spacing w:before="60" w:after="60"/>
              <w:jc w:val="center"/>
            </w:pPr>
            <w:r>
              <w:t>6</w:t>
            </w:r>
          </w:p>
        </w:tc>
      </w:tr>
      <w:tr w:rsidR="00000000" w14:paraId="2F7EFD8D"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7035125C" w14:textId="77777777" w:rsidR="00000000" w:rsidRDefault="007D38CE">
            <w:pPr>
              <w:pStyle w:val="TableText"/>
              <w:framePr w:hSpace="181" w:wrap="notBeside" w:vAnchor="text" w:hAnchor="page" w:xAlign="center" w:y="1"/>
              <w:spacing w:before="60" w:after="60"/>
              <w:jc w:val="center"/>
            </w:pPr>
            <w:r>
              <w:t>1 067-1 219</w:t>
            </w:r>
          </w:p>
        </w:tc>
        <w:tc>
          <w:tcPr>
            <w:tcW w:w="2268" w:type="dxa"/>
            <w:tcBorders>
              <w:top w:val="single" w:sz="6" w:space="0" w:color="auto"/>
              <w:left w:val="single" w:sz="6" w:space="0" w:color="auto"/>
              <w:bottom w:val="single" w:sz="6" w:space="0" w:color="auto"/>
              <w:right w:val="single" w:sz="6" w:space="0" w:color="auto"/>
            </w:tcBorders>
          </w:tcPr>
          <w:p w14:paraId="3F0E4889" w14:textId="77777777" w:rsidR="00000000" w:rsidRDefault="007D38CE">
            <w:pPr>
              <w:pStyle w:val="TableText"/>
              <w:framePr w:hSpace="181" w:wrap="notBeside" w:vAnchor="text" w:hAnchor="page" w:xAlign="center" w:y="1"/>
              <w:spacing w:before="60" w:after="60"/>
              <w:jc w:val="center"/>
            </w:pPr>
            <w:r>
              <w:t>3</w:t>
            </w:r>
            <w:r>
              <w:rPr>
                <w:rFonts w:ascii="Tms Rmn" w:hAnsi="Tms Rmn"/>
                <w:sz w:val="12"/>
              </w:rPr>
              <w:t> </w:t>
            </w:r>
            <w:r>
              <w:t>501-4 000</w:t>
            </w:r>
          </w:p>
        </w:tc>
        <w:tc>
          <w:tcPr>
            <w:tcW w:w="2267" w:type="dxa"/>
            <w:tcBorders>
              <w:top w:val="single" w:sz="6" w:space="0" w:color="auto"/>
              <w:left w:val="single" w:sz="6" w:space="0" w:color="auto"/>
              <w:bottom w:val="single" w:sz="6" w:space="0" w:color="auto"/>
              <w:right w:val="single" w:sz="6" w:space="0" w:color="auto"/>
            </w:tcBorders>
          </w:tcPr>
          <w:p w14:paraId="22018604" w14:textId="77777777" w:rsidR="00000000" w:rsidRDefault="007D38CE">
            <w:pPr>
              <w:pStyle w:val="TableText"/>
              <w:framePr w:hSpace="181" w:wrap="notBeside" w:vAnchor="text" w:hAnchor="page" w:xAlign="center" w:y="1"/>
              <w:spacing w:before="60" w:after="60"/>
              <w:jc w:val="center"/>
            </w:pPr>
            <w:r>
              <w:t>5</w:t>
            </w:r>
          </w:p>
        </w:tc>
      </w:tr>
      <w:tr w:rsidR="00000000" w14:paraId="0AB25EEC" w14:textId="77777777">
        <w:tblPrEx>
          <w:tblCellMar>
            <w:top w:w="0" w:type="dxa"/>
            <w:left w:w="0" w:type="dxa"/>
            <w:bottom w:w="0" w:type="dxa"/>
            <w:right w:w="0" w:type="dxa"/>
          </w:tblCellMar>
        </w:tblPrEx>
        <w:trPr>
          <w:cantSplit/>
          <w:jc w:val="center"/>
        </w:trPr>
        <w:tc>
          <w:tcPr>
            <w:tcW w:w="2377" w:type="dxa"/>
            <w:tcBorders>
              <w:top w:val="single" w:sz="6" w:space="0" w:color="auto"/>
              <w:left w:val="single" w:sz="6" w:space="0" w:color="auto"/>
              <w:bottom w:val="single" w:sz="6" w:space="0" w:color="auto"/>
              <w:right w:val="single" w:sz="6" w:space="0" w:color="auto"/>
            </w:tcBorders>
          </w:tcPr>
          <w:p w14:paraId="35D1E99B" w14:textId="77777777" w:rsidR="00000000" w:rsidRDefault="007D38CE">
            <w:pPr>
              <w:pStyle w:val="TableText"/>
              <w:framePr w:hSpace="181" w:wrap="notBeside" w:vAnchor="text" w:hAnchor="page" w:xAlign="center" w:y="1"/>
              <w:spacing w:before="60" w:after="60"/>
              <w:jc w:val="center"/>
            </w:pPr>
            <w:proofErr w:type="gramStart"/>
            <w:r>
              <w:t>Plus</w:t>
            </w:r>
            <w:proofErr w:type="gramEnd"/>
            <w:r>
              <w:t xml:space="preserve"> de 1 219</w:t>
            </w:r>
          </w:p>
        </w:tc>
        <w:tc>
          <w:tcPr>
            <w:tcW w:w="2268" w:type="dxa"/>
            <w:tcBorders>
              <w:top w:val="single" w:sz="6" w:space="0" w:color="auto"/>
              <w:left w:val="single" w:sz="6" w:space="0" w:color="auto"/>
              <w:bottom w:val="single" w:sz="6" w:space="0" w:color="auto"/>
              <w:right w:val="single" w:sz="6" w:space="0" w:color="auto"/>
            </w:tcBorders>
          </w:tcPr>
          <w:p w14:paraId="50FBC1EA" w14:textId="77777777" w:rsidR="00000000" w:rsidRDefault="007D38CE">
            <w:pPr>
              <w:pStyle w:val="TableText"/>
              <w:framePr w:hSpace="181" w:wrap="notBeside" w:vAnchor="text" w:hAnchor="page" w:xAlign="center" w:y="1"/>
              <w:spacing w:before="60" w:after="60"/>
              <w:jc w:val="center"/>
            </w:pPr>
            <w:proofErr w:type="gramStart"/>
            <w:r>
              <w:t>Plus</w:t>
            </w:r>
            <w:proofErr w:type="gramEnd"/>
            <w:r>
              <w:t xml:space="preserve"> de 4 000</w:t>
            </w:r>
          </w:p>
        </w:tc>
        <w:tc>
          <w:tcPr>
            <w:tcW w:w="2267" w:type="dxa"/>
            <w:tcBorders>
              <w:top w:val="single" w:sz="6" w:space="0" w:color="auto"/>
              <w:left w:val="single" w:sz="6" w:space="0" w:color="auto"/>
              <w:bottom w:val="single" w:sz="6" w:space="0" w:color="auto"/>
              <w:right w:val="single" w:sz="6" w:space="0" w:color="auto"/>
            </w:tcBorders>
          </w:tcPr>
          <w:p w14:paraId="654B0958" w14:textId="77777777" w:rsidR="00000000" w:rsidRDefault="007D38CE">
            <w:pPr>
              <w:pStyle w:val="TableText"/>
              <w:framePr w:hSpace="181" w:wrap="notBeside" w:vAnchor="text" w:hAnchor="page" w:xAlign="center" w:y="1"/>
              <w:spacing w:before="60" w:after="60"/>
              <w:jc w:val="center"/>
            </w:pPr>
            <w:r>
              <w:t>5</w:t>
            </w:r>
          </w:p>
        </w:tc>
      </w:tr>
    </w:tbl>
    <w:p w14:paraId="77F03110" w14:textId="77777777" w:rsidR="00000000" w:rsidRDefault="007D38CE">
      <w:pPr>
        <w:spacing w:before="0"/>
      </w:pPr>
    </w:p>
    <w:p w14:paraId="54972EE5" w14:textId="77777777" w:rsidR="00000000" w:rsidRPr="007D38CE" w:rsidRDefault="007D38CE">
      <w:pPr>
        <w:pStyle w:val="Heading2"/>
        <w:rPr>
          <w:lang w:val="fr-CH"/>
        </w:rPr>
      </w:pPr>
      <w:r w:rsidRPr="007D38CE">
        <w:rPr>
          <w:lang w:val="fr-CH"/>
        </w:rPr>
        <w:t>2.3</w:t>
      </w:r>
      <w:r w:rsidRPr="007D38CE">
        <w:rPr>
          <w:lang w:val="fr-CH"/>
        </w:rPr>
        <w:tab/>
        <w:t>Plans de disposition des voies à deux fréquences</w:t>
      </w:r>
    </w:p>
    <w:p w14:paraId="46EED93D" w14:textId="77777777" w:rsidR="00000000" w:rsidRPr="007D38CE" w:rsidRDefault="007D38CE">
      <w:pPr>
        <w:rPr>
          <w:lang w:val="fr-CH"/>
        </w:rPr>
      </w:pPr>
      <w:r w:rsidRPr="007D38CE">
        <w:rPr>
          <w:lang w:val="fr-CH"/>
        </w:rPr>
        <w:t xml:space="preserve">En n'importe quel point des zones de coordination, les pays utiliseront le spectre en fonction d'un plan de disposition des voies à </w:t>
      </w:r>
      <w:r w:rsidRPr="007D38CE">
        <w:rPr>
          <w:lang w:val="fr-CH"/>
        </w:rPr>
        <w:t xml:space="preserve">deux fréquences affectant les émetteurs de stations mobiles dans la bande 821-824 MHz et les émetteurs de stations de base dans la bande 866-869 MHz. Une station mobile peut néanmoins émettre sur n'importe quelle fréquence assignée à la station de base qui lui est associée. </w:t>
      </w:r>
    </w:p>
    <w:p w14:paraId="5410CF07" w14:textId="77777777" w:rsidR="00000000" w:rsidRPr="007D38CE" w:rsidRDefault="007D38CE">
      <w:pPr>
        <w:pStyle w:val="Heading2"/>
        <w:rPr>
          <w:lang w:val="fr-CH"/>
        </w:rPr>
      </w:pPr>
      <w:r w:rsidRPr="007D38CE">
        <w:rPr>
          <w:lang w:val="fr-CH"/>
        </w:rPr>
        <w:t>2.4</w:t>
      </w:r>
      <w:r w:rsidRPr="007D38CE">
        <w:rPr>
          <w:lang w:val="fr-CH"/>
        </w:rPr>
        <w:tab/>
        <w:t>Utilisation des bandes 821-824 MHz et 866-869 MHz à l'extérieur des zones de coordination</w:t>
      </w:r>
    </w:p>
    <w:p w14:paraId="23E31F87" w14:textId="77777777" w:rsidR="00000000" w:rsidRPr="007D38CE" w:rsidRDefault="007D38CE">
      <w:pPr>
        <w:rPr>
          <w:lang w:val="fr-CH"/>
        </w:rPr>
      </w:pPr>
      <w:r w:rsidRPr="007D38CE">
        <w:rPr>
          <w:lang w:val="fr-CH"/>
        </w:rPr>
        <w:t xml:space="preserve">Au-delà de 100 km de la frontière, les pays peuvent utiliser ces bandes sans restriction. </w:t>
      </w:r>
    </w:p>
    <w:p w14:paraId="5B3D4BAB" w14:textId="77777777" w:rsidR="00000000" w:rsidRPr="007D38CE" w:rsidRDefault="007D38CE">
      <w:pPr>
        <w:pStyle w:val="Heading1"/>
        <w:rPr>
          <w:lang w:val="fr-CH"/>
        </w:rPr>
      </w:pPr>
      <w:r w:rsidRPr="007D38CE">
        <w:rPr>
          <w:lang w:val="fr-CH"/>
        </w:rPr>
        <w:t>3</w:t>
      </w:r>
      <w:r w:rsidRPr="007D38CE">
        <w:rPr>
          <w:lang w:val="fr-CH"/>
        </w:rPr>
        <w:tab/>
        <w:t xml:space="preserve">Utilisation de fréquences alloties à un pays par </w:t>
      </w:r>
      <w:r w:rsidRPr="007D38CE">
        <w:rPr>
          <w:lang w:val="fr-CH"/>
        </w:rPr>
        <w:t>l'autre pays</w:t>
      </w:r>
    </w:p>
    <w:p w14:paraId="598CBFDA" w14:textId="77777777" w:rsidR="00000000" w:rsidRPr="007D38CE" w:rsidRDefault="007D38CE">
      <w:pPr>
        <w:rPr>
          <w:lang w:val="fr-CH"/>
        </w:rPr>
      </w:pPr>
      <w:r w:rsidRPr="007D38CE">
        <w:rPr>
          <w:lang w:val="fr-CH"/>
        </w:rPr>
        <w:t xml:space="preserve">Des fréquences attribuées à titre primaire à un pays pour une utilisation sans restriction peuvent être assignées par l'autre pays en vue de leur utilisation dans la partie de la zone de coordination se trouvant sur son territoire aux conditions </w:t>
      </w:r>
      <w:proofErr w:type="gramStart"/>
      <w:r w:rsidRPr="007D38CE">
        <w:rPr>
          <w:lang w:val="fr-CH"/>
        </w:rPr>
        <w:t>suivantes:</w:t>
      </w:r>
      <w:proofErr w:type="gramEnd"/>
    </w:p>
    <w:p w14:paraId="07A8FB25" w14:textId="77777777" w:rsidR="00000000" w:rsidRPr="007D38CE" w:rsidRDefault="007D38CE">
      <w:pPr>
        <w:pStyle w:val="enumlev1"/>
        <w:rPr>
          <w:lang w:val="fr-CH"/>
        </w:rPr>
      </w:pPr>
      <w:r w:rsidRPr="007D38CE">
        <w:rPr>
          <w:lang w:val="fr-CH"/>
        </w:rPr>
        <w:t>–</w:t>
      </w:r>
      <w:r w:rsidRPr="007D38CE">
        <w:rPr>
          <w:lang w:val="fr-CH"/>
        </w:rPr>
        <w:tab/>
        <w:t>La puissance surfacique maximale à la frontière du pays de l'utilisateur à titre primaire ne doit pas excéder les limites indiquées dans le Tableau 4 (l'affaiblissement géométrique est calculé à l'aide de la formule applicable à des conditi</w:t>
      </w:r>
      <w:r w:rsidRPr="007D38CE">
        <w:rPr>
          <w:lang w:val="fr-CH"/>
        </w:rPr>
        <w:t>ons d'espace libre, compte tenu d'une éventuelle discrimination d'antenne en direction de la frontière).</w:t>
      </w:r>
    </w:p>
    <w:p w14:paraId="78B771F6" w14:textId="74C5F07A" w:rsidR="00000000" w:rsidRPr="007D38CE" w:rsidRDefault="007D38CE">
      <w:pPr>
        <w:pStyle w:val="enumlev1"/>
        <w:rPr>
          <w:lang w:val="fr-CH"/>
        </w:rPr>
      </w:pPr>
      <w:r w:rsidRPr="007D38CE">
        <w:rPr>
          <w:lang w:val="fr-CH"/>
        </w:rPr>
        <w:t>–</w:t>
      </w:r>
      <w:r w:rsidRPr="007D38CE">
        <w:rPr>
          <w:lang w:val="fr-CH"/>
        </w:rPr>
        <w:tab/>
        <w:t>Les documents d'autorisation que délivrera chaque pays pour l'exploitation de stations utilisant ces fréquences devront comporter une clause subordonnant cette autorisation à l'engagement de la part dudit pays, au cas où les signaux effectifs excéderaient les valeurs indiquées dans le Tableau 4 à la frontière ou au-delà, de prendre des mesures immédiates pour éliminer tout brouillage préjudiciable, ce</w:t>
      </w:r>
      <w:r w:rsidRPr="007D38CE">
        <w:rPr>
          <w:lang w:val="fr-CH"/>
        </w:rPr>
        <w:t>s mesures pouvant aller jusqu'à la révocation de l'autorisation.</w:t>
      </w:r>
    </w:p>
    <w:p w14:paraId="309BDB10" w14:textId="77777777" w:rsidR="00000000" w:rsidRPr="007D38CE" w:rsidRDefault="007D38CE">
      <w:pPr>
        <w:pStyle w:val="enumlev1"/>
        <w:rPr>
          <w:lang w:val="fr-CH"/>
        </w:rPr>
      </w:pPr>
      <w:r w:rsidRPr="007D38CE">
        <w:rPr>
          <w:lang w:val="fr-CH"/>
        </w:rPr>
        <w:t>–</w:t>
      </w:r>
      <w:r w:rsidRPr="007D38CE">
        <w:rPr>
          <w:lang w:val="fr-CH"/>
        </w:rPr>
        <w:tab/>
        <w:t>Les détenteurs de ces autorisations ne pourront prétendre à aucune protection vis-à-vis de stations du pays auquel la fréquence autorisée a été attribuée à titre primaire.</w:t>
      </w:r>
    </w:p>
    <w:p w14:paraId="662FAF7B" w14:textId="77777777" w:rsidR="00000000" w:rsidRPr="007D38CE" w:rsidRDefault="007D38CE">
      <w:pPr>
        <w:pStyle w:val="Table"/>
        <w:rPr>
          <w:lang w:val="fr-CH"/>
        </w:rPr>
      </w:pPr>
      <w:r w:rsidRPr="007D38CE">
        <w:rPr>
          <w:lang w:val="fr-CH"/>
        </w:rPr>
        <w:t>TABLEAU  4</w:t>
      </w:r>
    </w:p>
    <w:p w14:paraId="4E6BE424" w14:textId="77777777" w:rsidR="00000000" w:rsidRPr="007D38CE" w:rsidRDefault="007D38CE">
      <w:pPr>
        <w:pStyle w:val="TableTitle"/>
        <w:rPr>
          <w:lang w:val="fr-CH"/>
        </w:rPr>
      </w:pPr>
      <w:r w:rsidRPr="007D38CE">
        <w:rPr>
          <w:lang w:val="fr-CH"/>
        </w:rPr>
        <w:t xml:space="preserve">Limites de puissance surfacique correspondant à des hauteurs effectives d'antenne </w:t>
      </w:r>
      <w:r w:rsidRPr="007D38CE">
        <w:rPr>
          <w:lang w:val="fr-CH"/>
        </w:rPr>
        <w:br/>
        <w:t>de stations de base dans la zone de partage</w:t>
      </w:r>
    </w:p>
    <w:p w14:paraId="1C1C067B" w14:textId="77777777" w:rsidR="00000000" w:rsidRDefault="007D38CE">
      <w:pPr>
        <w:pStyle w:val="TableText"/>
        <w:jc w:val="center"/>
      </w:pPr>
      <w:r>
        <w:t>Exemples de valeurs</w:t>
      </w:r>
    </w:p>
    <w:p w14:paraId="7A316882" w14:textId="77777777" w:rsidR="00000000" w:rsidRDefault="007D38CE">
      <w:pPr>
        <w:pStyle w:val="Blanc"/>
      </w:pPr>
    </w:p>
    <w:tbl>
      <w:tblPr>
        <w:tblW w:w="0" w:type="auto"/>
        <w:jc w:val="center"/>
        <w:tblLayout w:type="fixed"/>
        <w:tblLook w:val="0000" w:firstRow="0" w:lastRow="0" w:firstColumn="0" w:lastColumn="0" w:noHBand="0" w:noVBand="0"/>
      </w:tblPr>
      <w:tblGrid>
        <w:gridCol w:w="2268"/>
        <w:gridCol w:w="2268"/>
        <w:gridCol w:w="2267"/>
      </w:tblGrid>
      <w:tr w:rsidR="00B50B95" w14:paraId="03EF13FD" w14:textId="77777777" w:rsidTr="00B50B95">
        <w:tblPrEx>
          <w:tblCellMar>
            <w:top w:w="0" w:type="dxa"/>
            <w:bottom w:w="0" w:type="dxa"/>
          </w:tblCellMar>
        </w:tblPrEx>
        <w:trPr>
          <w:cantSplit/>
          <w:jc w:val="center"/>
        </w:trPr>
        <w:tc>
          <w:tcPr>
            <w:tcW w:w="4536" w:type="dxa"/>
            <w:gridSpan w:val="2"/>
            <w:tcBorders>
              <w:top w:val="single" w:sz="6" w:space="0" w:color="auto"/>
              <w:left w:val="single" w:sz="6" w:space="0" w:color="auto"/>
              <w:bottom w:val="single" w:sz="6" w:space="0" w:color="auto"/>
              <w:right w:val="single" w:sz="6" w:space="0" w:color="auto"/>
            </w:tcBorders>
          </w:tcPr>
          <w:p w14:paraId="54833C89" w14:textId="77777777" w:rsidR="00000000" w:rsidRDefault="007D38CE">
            <w:pPr>
              <w:pStyle w:val="TableText"/>
              <w:framePr w:hSpace="181" w:wrap="notBeside" w:vAnchor="text" w:hAnchor="page" w:xAlign="center" w:y="1"/>
              <w:spacing w:before="160"/>
              <w:jc w:val="center"/>
            </w:pPr>
            <w:r>
              <w:t>Hauteur effective d'antenne (HEA)</w:t>
            </w:r>
          </w:p>
        </w:tc>
        <w:tc>
          <w:tcPr>
            <w:tcW w:w="2267" w:type="dxa"/>
            <w:tcBorders>
              <w:top w:val="single" w:sz="6" w:space="0" w:color="auto"/>
              <w:left w:val="single" w:sz="6" w:space="0" w:color="auto"/>
              <w:right w:val="single" w:sz="6" w:space="0" w:color="auto"/>
            </w:tcBorders>
          </w:tcPr>
          <w:p w14:paraId="6D73862B" w14:textId="77777777" w:rsidR="00000000" w:rsidRDefault="007D38CE">
            <w:pPr>
              <w:pStyle w:val="TableText"/>
              <w:framePr w:hSpace="181" w:wrap="notBeside" w:vAnchor="text" w:hAnchor="page" w:xAlign="center" w:y="1"/>
              <w:spacing w:after="0"/>
              <w:jc w:val="center"/>
            </w:pPr>
            <w:r>
              <w:t xml:space="preserve">Puissance surfacique </w:t>
            </w:r>
            <w:r>
              <w:br/>
              <w:t>(maximale)</w:t>
            </w:r>
          </w:p>
        </w:tc>
      </w:tr>
      <w:tr w:rsidR="00000000" w14:paraId="244292DD"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05DE87D6" w14:textId="77777777" w:rsidR="00000000" w:rsidRDefault="007D38CE">
            <w:pPr>
              <w:pStyle w:val="TableText"/>
              <w:framePr w:hSpace="181" w:wrap="notBeside" w:vAnchor="text" w:hAnchor="page" w:xAlign="center" w:y="1"/>
              <w:spacing w:before="80" w:after="80"/>
              <w:jc w:val="center"/>
            </w:pPr>
            <w:r>
              <w:t>(m)</w:t>
            </w:r>
          </w:p>
        </w:tc>
        <w:tc>
          <w:tcPr>
            <w:tcW w:w="2268" w:type="dxa"/>
            <w:tcBorders>
              <w:top w:val="single" w:sz="6" w:space="0" w:color="auto"/>
              <w:left w:val="single" w:sz="6" w:space="0" w:color="auto"/>
              <w:bottom w:val="single" w:sz="6" w:space="0" w:color="auto"/>
              <w:right w:val="single" w:sz="6" w:space="0" w:color="auto"/>
            </w:tcBorders>
          </w:tcPr>
          <w:p w14:paraId="450DD5B0" w14:textId="77777777" w:rsidR="00000000" w:rsidRDefault="007D38CE">
            <w:pPr>
              <w:pStyle w:val="TableText"/>
              <w:framePr w:hSpace="181" w:wrap="notBeside" w:vAnchor="text" w:hAnchor="page" w:xAlign="center" w:y="1"/>
              <w:spacing w:before="80" w:after="80"/>
              <w:jc w:val="center"/>
            </w:pPr>
            <w:r>
              <w:t>(Pieds)</w:t>
            </w:r>
          </w:p>
        </w:tc>
        <w:tc>
          <w:tcPr>
            <w:tcW w:w="2267" w:type="dxa"/>
            <w:tcBorders>
              <w:left w:val="single" w:sz="6" w:space="0" w:color="auto"/>
              <w:bottom w:val="single" w:sz="6" w:space="0" w:color="auto"/>
              <w:right w:val="single" w:sz="6" w:space="0" w:color="auto"/>
            </w:tcBorders>
          </w:tcPr>
          <w:p w14:paraId="3ECB9C93" w14:textId="77777777" w:rsidR="00000000" w:rsidRDefault="007D38CE">
            <w:pPr>
              <w:pStyle w:val="TableText"/>
              <w:framePr w:hSpace="181" w:wrap="notBeside" w:vAnchor="text" w:hAnchor="page" w:xAlign="center" w:y="1"/>
              <w:spacing w:before="80" w:after="80"/>
              <w:jc w:val="center"/>
            </w:pPr>
            <w:r>
              <w:t>(dB(W/m</w:t>
            </w:r>
            <w:r>
              <w:rPr>
                <w:position w:val="6"/>
                <w:sz w:val="14"/>
              </w:rPr>
              <w:t>2</w:t>
            </w:r>
            <w:r>
              <w:t>))</w:t>
            </w:r>
          </w:p>
        </w:tc>
      </w:tr>
      <w:tr w:rsidR="00000000" w14:paraId="095CA8FE"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2908EB7F" w14:textId="77777777" w:rsidR="00000000" w:rsidRDefault="007D38CE">
            <w:pPr>
              <w:pStyle w:val="TableText"/>
              <w:framePr w:hSpace="181" w:wrap="notBeside" w:vAnchor="text" w:hAnchor="page" w:xAlign="center" w:y="1"/>
              <w:spacing w:before="60" w:after="60"/>
              <w:jc w:val="center"/>
            </w:pPr>
            <w:r>
              <w:t>0-152</w:t>
            </w:r>
          </w:p>
        </w:tc>
        <w:tc>
          <w:tcPr>
            <w:tcW w:w="2268" w:type="dxa"/>
            <w:tcBorders>
              <w:top w:val="single" w:sz="6" w:space="0" w:color="auto"/>
              <w:left w:val="single" w:sz="6" w:space="0" w:color="auto"/>
              <w:bottom w:val="single" w:sz="6" w:space="0" w:color="auto"/>
              <w:right w:val="single" w:sz="6" w:space="0" w:color="auto"/>
            </w:tcBorders>
          </w:tcPr>
          <w:p w14:paraId="563F3E5A" w14:textId="77777777" w:rsidR="00000000" w:rsidRDefault="007D38CE">
            <w:pPr>
              <w:pStyle w:val="TableText"/>
              <w:framePr w:hSpace="181" w:wrap="notBeside" w:vAnchor="text" w:hAnchor="page" w:xAlign="center" w:y="1"/>
              <w:spacing w:before="60" w:after="60"/>
              <w:jc w:val="center"/>
            </w:pPr>
            <w:r>
              <w:t xml:space="preserve">0-500 </w:t>
            </w:r>
          </w:p>
        </w:tc>
        <w:tc>
          <w:tcPr>
            <w:tcW w:w="2267" w:type="dxa"/>
            <w:tcBorders>
              <w:top w:val="single" w:sz="6" w:space="0" w:color="auto"/>
              <w:left w:val="single" w:sz="6" w:space="0" w:color="auto"/>
              <w:bottom w:val="single" w:sz="6" w:space="0" w:color="auto"/>
              <w:right w:val="single" w:sz="6" w:space="0" w:color="auto"/>
            </w:tcBorders>
          </w:tcPr>
          <w:p w14:paraId="5347ED05" w14:textId="77777777" w:rsidR="00000000" w:rsidRDefault="007D38CE">
            <w:pPr>
              <w:pStyle w:val="TableText"/>
              <w:framePr w:hSpace="181" w:wrap="notBeside" w:vAnchor="text" w:hAnchor="page" w:xAlign="center" w:y="1"/>
              <w:spacing w:before="60" w:after="60"/>
              <w:jc w:val="center"/>
            </w:pPr>
            <w:r>
              <w:t>–84</w:t>
            </w:r>
          </w:p>
        </w:tc>
      </w:tr>
      <w:tr w:rsidR="00000000" w14:paraId="22D73B41"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42CBD963" w14:textId="77777777" w:rsidR="00000000" w:rsidRDefault="007D38CE">
            <w:pPr>
              <w:pStyle w:val="TableText"/>
              <w:framePr w:hSpace="181" w:wrap="notBeside" w:vAnchor="text" w:hAnchor="page" w:xAlign="center" w:y="1"/>
              <w:spacing w:before="60" w:after="60"/>
              <w:jc w:val="center"/>
            </w:pPr>
            <w:r>
              <w:t>153</w:t>
            </w:r>
            <w:r>
              <w:t>-305</w:t>
            </w:r>
          </w:p>
        </w:tc>
        <w:tc>
          <w:tcPr>
            <w:tcW w:w="2268" w:type="dxa"/>
            <w:tcBorders>
              <w:top w:val="single" w:sz="6" w:space="0" w:color="auto"/>
              <w:left w:val="single" w:sz="6" w:space="0" w:color="auto"/>
              <w:bottom w:val="single" w:sz="6" w:space="0" w:color="auto"/>
              <w:right w:val="single" w:sz="6" w:space="0" w:color="auto"/>
            </w:tcBorders>
          </w:tcPr>
          <w:p w14:paraId="215F7EE3" w14:textId="77777777" w:rsidR="00000000" w:rsidRDefault="007D38CE">
            <w:pPr>
              <w:pStyle w:val="TableText"/>
              <w:framePr w:hSpace="181" w:wrap="notBeside" w:vAnchor="text" w:hAnchor="page" w:xAlign="center" w:y="1"/>
              <w:spacing w:before="60" w:after="60"/>
              <w:jc w:val="center"/>
            </w:pPr>
            <w:r>
              <w:t>501-1</w:t>
            </w:r>
            <w:r>
              <w:rPr>
                <w:rFonts w:ascii="Tms Rmn" w:hAnsi="Tms Rmn"/>
                <w:sz w:val="12"/>
              </w:rPr>
              <w:t> </w:t>
            </w:r>
            <w:r>
              <w:t>000</w:t>
            </w:r>
          </w:p>
        </w:tc>
        <w:tc>
          <w:tcPr>
            <w:tcW w:w="2267" w:type="dxa"/>
            <w:tcBorders>
              <w:top w:val="single" w:sz="6" w:space="0" w:color="auto"/>
              <w:left w:val="single" w:sz="6" w:space="0" w:color="auto"/>
              <w:bottom w:val="single" w:sz="6" w:space="0" w:color="auto"/>
              <w:right w:val="single" w:sz="6" w:space="0" w:color="auto"/>
            </w:tcBorders>
          </w:tcPr>
          <w:p w14:paraId="67938EB9" w14:textId="77777777" w:rsidR="00000000" w:rsidRDefault="007D38CE">
            <w:pPr>
              <w:pStyle w:val="TableText"/>
              <w:framePr w:hSpace="181" w:wrap="notBeside" w:vAnchor="text" w:hAnchor="page" w:xAlign="center" w:y="1"/>
              <w:spacing w:before="60" w:after="60"/>
              <w:jc w:val="center"/>
            </w:pPr>
            <w:r>
              <w:t>–90</w:t>
            </w:r>
          </w:p>
        </w:tc>
      </w:tr>
      <w:tr w:rsidR="00000000" w14:paraId="35AD1429"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3609039B" w14:textId="77777777" w:rsidR="00000000" w:rsidRDefault="007D38CE">
            <w:pPr>
              <w:pStyle w:val="TableText"/>
              <w:framePr w:hSpace="181" w:wrap="notBeside" w:vAnchor="text" w:hAnchor="page" w:xAlign="center" w:y="1"/>
              <w:spacing w:before="60" w:after="60"/>
              <w:jc w:val="center"/>
            </w:pPr>
            <w:r>
              <w:t>306-457</w:t>
            </w:r>
          </w:p>
        </w:tc>
        <w:tc>
          <w:tcPr>
            <w:tcW w:w="2268" w:type="dxa"/>
            <w:tcBorders>
              <w:top w:val="single" w:sz="6" w:space="0" w:color="auto"/>
              <w:left w:val="single" w:sz="6" w:space="0" w:color="auto"/>
              <w:bottom w:val="single" w:sz="6" w:space="0" w:color="auto"/>
              <w:right w:val="single" w:sz="6" w:space="0" w:color="auto"/>
            </w:tcBorders>
          </w:tcPr>
          <w:p w14:paraId="12DC26BB" w14:textId="77777777" w:rsidR="00000000" w:rsidRDefault="007D38CE">
            <w:pPr>
              <w:pStyle w:val="TableText"/>
              <w:framePr w:hSpace="181" w:wrap="notBeside" w:vAnchor="text" w:hAnchor="page" w:xAlign="center" w:y="1"/>
              <w:spacing w:before="60" w:after="60"/>
              <w:jc w:val="center"/>
            </w:pPr>
            <w:r>
              <w:t>1</w:t>
            </w:r>
            <w:r>
              <w:rPr>
                <w:rFonts w:ascii="Tms Rmn" w:hAnsi="Tms Rmn"/>
                <w:sz w:val="12"/>
              </w:rPr>
              <w:t> </w:t>
            </w:r>
            <w:r>
              <w:t>001-1</w:t>
            </w:r>
            <w:r>
              <w:rPr>
                <w:rFonts w:ascii="Tms Rmn" w:hAnsi="Tms Rmn"/>
                <w:sz w:val="12"/>
              </w:rPr>
              <w:t> </w:t>
            </w:r>
            <w:r>
              <w:t>500</w:t>
            </w:r>
          </w:p>
        </w:tc>
        <w:tc>
          <w:tcPr>
            <w:tcW w:w="2267" w:type="dxa"/>
            <w:tcBorders>
              <w:top w:val="single" w:sz="6" w:space="0" w:color="auto"/>
              <w:left w:val="single" w:sz="6" w:space="0" w:color="auto"/>
              <w:bottom w:val="single" w:sz="6" w:space="0" w:color="auto"/>
              <w:right w:val="single" w:sz="6" w:space="0" w:color="auto"/>
            </w:tcBorders>
          </w:tcPr>
          <w:p w14:paraId="22C68A1C" w14:textId="77777777" w:rsidR="00000000" w:rsidRDefault="007D38CE">
            <w:pPr>
              <w:pStyle w:val="TableText"/>
              <w:framePr w:hSpace="181" w:wrap="notBeside" w:vAnchor="text" w:hAnchor="page" w:xAlign="center" w:y="1"/>
              <w:spacing w:before="60" w:after="60"/>
              <w:jc w:val="center"/>
            </w:pPr>
            <w:r>
              <w:t>–95</w:t>
            </w:r>
          </w:p>
        </w:tc>
      </w:tr>
      <w:tr w:rsidR="00000000" w14:paraId="3B57D5D8"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4BEB4761" w14:textId="77777777" w:rsidR="00000000" w:rsidRDefault="007D38CE">
            <w:pPr>
              <w:pStyle w:val="TableText"/>
              <w:framePr w:hSpace="181" w:wrap="notBeside" w:vAnchor="text" w:hAnchor="page" w:xAlign="center" w:y="1"/>
              <w:spacing w:before="60" w:after="60"/>
              <w:jc w:val="center"/>
            </w:pPr>
            <w:r>
              <w:t>458-609</w:t>
            </w:r>
          </w:p>
        </w:tc>
        <w:tc>
          <w:tcPr>
            <w:tcW w:w="2268" w:type="dxa"/>
            <w:tcBorders>
              <w:top w:val="single" w:sz="6" w:space="0" w:color="auto"/>
              <w:left w:val="single" w:sz="6" w:space="0" w:color="auto"/>
              <w:bottom w:val="single" w:sz="6" w:space="0" w:color="auto"/>
              <w:right w:val="single" w:sz="6" w:space="0" w:color="auto"/>
            </w:tcBorders>
          </w:tcPr>
          <w:p w14:paraId="1C1E2FF4" w14:textId="77777777" w:rsidR="00000000" w:rsidRDefault="007D38CE">
            <w:pPr>
              <w:pStyle w:val="TableText"/>
              <w:framePr w:hSpace="181" w:wrap="notBeside" w:vAnchor="text" w:hAnchor="page" w:xAlign="center" w:y="1"/>
              <w:spacing w:before="60" w:after="60"/>
              <w:jc w:val="center"/>
            </w:pPr>
            <w:r>
              <w:t>1</w:t>
            </w:r>
            <w:r>
              <w:rPr>
                <w:rFonts w:ascii="Tms Rmn" w:hAnsi="Tms Rmn"/>
                <w:sz w:val="12"/>
              </w:rPr>
              <w:t> </w:t>
            </w:r>
            <w:r>
              <w:t>501-2</w:t>
            </w:r>
            <w:r>
              <w:rPr>
                <w:rFonts w:ascii="Tms Rmn" w:hAnsi="Tms Rmn"/>
                <w:sz w:val="12"/>
              </w:rPr>
              <w:t> </w:t>
            </w:r>
            <w:r>
              <w:t>000</w:t>
            </w:r>
          </w:p>
        </w:tc>
        <w:tc>
          <w:tcPr>
            <w:tcW w:w="2267" w:type="dxa"/>
            <w:tcBorders>
              <w:top w:val="single" w:sz="6" w:space="0" w:color="auto"/>
              <w:left w:val="single" w:sz="6" w:space="0" w:color="auto"/>
              <w:bottom w:val="single" w:sz="6" w:space="0" w:color="auto"/>
              <w:right w:val="single" w:sz="6" w:space="0" w:color="auto"/>
            </w:tcBorders>
          </w:tcPr>
          <w:p w14:paraId="4D2263B4" w14:textId="77777777" w:rsidR="00000000" w:rsidRDefault="007D38CE">
            <w:pPr>
              <w:pStyle w:val="TableText"/>
              <w:framePr w:hSpace="181" w:wrap="notBeside" w:vAnchor="text" w:hAnchor="page" w:xAlign="center" w:y="1"/>
              <w:spacing w:before="60" w:after="60"/>
              <w:jc w:val="center"/>
            </w:pPr>
            <w:r>
              <w:t>–98</w:t>
            </w:r>
          </w:p>
        </w:tc>
      </w:tr>
      <w:tr w:rsidR="00000000" w14:paraId="55A08C0F"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33B39710" w14:textId="77777777" w:rsidR="00000000" w:rsidRDefault="007D38CE">
            <w:pPr>
              <w:pStyle w:val="TableText"/>
              <w:framePr w:hSpace="181" w:wrap="notBeside" w:vAnchor="text" w:hAnchor="page" w:xAlign="center" w:y="1"/>
              <w:spacing w:before="60" w:after="60"/>
              <w:jc w:val="center"/>
            </w:pPr>
            <w:r>
              <w:t>610-762</w:t>
            </w:r>
          </w:p>
        </w:tc>
        <w:tc>
          <w:tcPr>
            <w:tcW w:w="2268" w:type="dxa"/>
            <w:tcBorders>
              <w:top w:val="single" w:sz="6" w:space="0" w:color="auto"/>
              <w:left w:val="single" w:sz="6" w:space="0" w:color="auto"/>
              <w:bottom w:val="single" w:sz="6" w:space="0" w:color="auto"/>
              <w:right w:val="single" w:sz="6" w:space="0" w:color="auto"/>
            </w:tcBorders>
          </w:tcPr>
          <w:p w14:paraId="0BB70141" w14:textId="77777777" w:rsidR="00000000" w:rsidRDefault="007D38CE">
            <w:pPr>
              <w:pStyle w:val="TableText"/>
              <w:framePr w:hSpace="181" w:wrap="notBeside" w:vAnchor="text" w:hAnchor="page" w:xAlign="center" w:y="1"/>
              <w:spacing w:before="60" w:after="60"/>
              <w:jc w:val="center"/>
            </w:pPr>
            <w:r>
              <w:t>2</w:t>
            </w:r>
            <w:r>
              <w:rPr>
                <w:rFonts w:ascii="Tms Rmn" w:hAnsi="Tms Rmn"/>
                <w:sz w:val="12"/>
              </w:rPr>
              <w:t> </w:t>
            </w:r>
            <w:r>
              <w:t>001-2</w:t>
            </w:r>
            <w:r>
              <w:rPr>
                <w:rFonts w:ascii="Tms Rmn" w:hAnsi="Tms Rmn"/>
                <w:sz w:val="12"/>
              </w:rPr>
              <w:t> </w:t>
            </w:r>
            <w:r>
              <w:t>500</w:t>
            </w:r>
          </w:p>
        </w:tc>
        <w:tc>
          <w:tcPr>
            <w:tcW w:w="2267" w:type="dxa"/>
            <w:tcBorders>
              <w:top w:val="single" w:sz="6" w:space="0" w:color="auto"/>
              <w:left w:val="single" w:sz="6" w:space="0" w:color="auto"/>
              <w:bottom w:val="single" w:sz="6" w:space="0" w:color="auto"/>
              <w:right w:val="single" w:sz="6" w:space="0" w:color="auto"/>
            </w:tcBorders>
          </w:tcPr>
          <w:p w14:paraId="06B7D62F" w14:textId="77777777" w:rsidR="00000000" w:rsidRDefault="007D38CE">
            <w:pPr>
              <w:pStyle w:val="TableText"/>
              <w:framePr w:hSpace="181" w:wrap="notBeside" w:vAnchor="text" w:hAnchor="page" w:xAlign="center" w:y="1"/>
              <w:spacing w:before="60" w:after="60"/>
              <w:jc w:val="center"/>
            </w:pPr>
            <w:r>
              <w:t>–101</w:t>
            </w:r>
          </w:p>
        </w:tc>
      </w:tr>
      <w:tr w:rsidR="00000000" w14:paraId="06A4DE32"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0B2A0421" w14:textId="77777777" w:rsidR="00000000" w:rsidRDefault="007D38CE">
            <w:pPr>
              <w:pStyle w:val="TableText"/>
              <w:framePr w:hSpace="181" w:wrap="notBeside" w:vAnchor="text" w:hAnchor="page" w:xAlign="center" w:y="1"/>
              <w:spacing w:before="60" w:after="60"/>
              <w:jc w:val="center"/>
            </w:pPr>
            <w:r>
              <w:t>763-914</w:t>
            </w:r>
          </w:p>
        </w:tc>
        <w:tc>
          <w:tcPr>
            <w:tcW w:w="2268" w:type="dxa"/>
            <w:tcBorders>
              <w:top w:val="single" w:sz="6" w:space="0" w:color="auto"/>
              <w:left w:val="single" w:sz="6" w:space="0" w:color="auto"/>
              <w:bottom w:val="single" w:sz="6" w:space="0" w:color="auto"/>
              <w:right w:val="single" w:sz="6" w:space="0" w:color="auto"/>
            </w:tcBorders>
          </w:tcPr>
          <w:p w14:paraId="65ED0FF2" w14:textId="77777777" w:rsidR="00000000" w:rsidRDefault="007D38CE">
            <w:pPr>
              <w:pStyle w:val="TableText"/>
              <w:framePr w:hSpace="181" w:wrap="notBeside" w:vAnchor="text" w:hAnchor="page" w:xAlign="center" w:y="1"/>
              <w:spacing w:before="60" w:after="60"/>
              <w:jc w:val="center"/>
            </w:pPr>
            <w:r>
              <w:t>2</w:t>
            </w:r>
            <w:r>
              <w:rPr>
                <w:rFonts w:ascii="Tms Rmn" w:hAnsi="Tms Rmn"/>
                <w:sz w:val="12"/>
              </w:rPr>
              <w:t> </w:t>
            </w:r>
            <w:r>
              <w:t>501-3</w:t>
            </w:r>
            <w:r>
              <w:rPr>
                <w:rFonts w:ascii="Tms Rmn" w:hAnsi="Tms Rmn"/>
                <w:sz w:val="12"/>
              </w:rPr>
              <w:t> </w:t>
            </w:r>
            <w:r>
              <w:t>000</w:t>
            </w:r>
          </w:p>
        </w:tc>
        <w:tc>
          <w:tcPr>
            <w:tcW w:w="2267" w:type="dxa"/>
            <w:tcBorders>
              <w:top w:val="single" w:sz="6" w:space="0" w:color="auto"/>
              <w:left w:val="single" w:sz="6" w:space="0" w:color="auto"/>
              <w:bottom w:val="single" w:sz="6" w:space="0" w:color="auto"/>
              <w:right w:val="single" w:sz="6" w:space="0" w:color="auto"/>
            </w:tcBorders>
          </w:tcPr>
          <w:p w14:paraId="5289AC53" w14:textId="77777777" w:rsidR="00000000" w:rsidRDefault="007D38CE">
            <w:pPr>
              <w:pStyle w:val="TableText"/>
              <w:framePr w:hSpace="181" w:wrap="notBeside" w:vAnchor="text" w:hAnchor="page" w:xAlign="center" w:y="1"/>
              <w:spacing w:before="60" w:after="60"/>
              <w:jc w:val="center"/>
            </w:pPr>
            <w:r>
              <w:t>–101</w:t>
            </w:r>
          </w:p>
        </w:tc>
      </w:tr>
      <w:tr w:rsidR="00000000" w14:paraId="4432E140"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7DECE92B" w14:textId="77777777" w:rsidR="00000000" w:rsidRDefault="007D38CE">
            <w:pPr>
              <w:pStyle w:val="TableText"/>
              <w:framePr w:hSpace="181" w:wrap="notBeside" w:vAnchor="text" w:hAnchor="page" w:xAlign="center" w:y="1"/>
              <w:spacing w:before="60" w:after="60"/>
              <w:jc w:val="center"/>
            </w:pPr>
            <w:r>
              <w:t>915-1</w:t>
            </w:r>
            <w:r>
              <w:rPr>
                <w:rFonts w:ascii="Tms Rmn" w:hAnsi="Tms Rmn"/>
                <w:sz w:val="12"/>
              </w:rPr>
              <w:t> </w:t>
            </w:r>
            <w:r>
              <w:t>066</w:t>
            </w:r>
          </w:p>
        </w:tc>
        <w:tc>
          <w:tcPr>
            <w:tcW w:w="2268" w:type="dxa"/>
            <w:tcBorders>
              <w:top w:val="single" w:sz="6" w:space="0" w:color="auto"/>
              <w:left w:val="single" w:sz="6" w:space="0" w:color="auto"/>
              <w:bottom w:val="single" w:sz="6" w:space="0" w:color="auto"/>
              <w:right w:val="single" w:sz="6" w:space="0" w:color="auto"/>
            </w:tcBorders>
          </w:tcPr>
          <w:p w14:paraId="04BA21FE" w14:textId="77777777" w:rsidR="00000000" w:rsidRDefault="007D38CE">
            <w:pPr>
              <w:pStyle w:val="TableText"/>
              <w:framePr w:hSpace="181" w:wrap="notBeside" w:vAnchor="text" w:hAnchor="page" w:xAlign="center" w:y="1"/>
              <w:spacing w:before="60" w:after="60"/>
              <w:jc w:val="center"/>
            </w:pPr>
            <w:r>
              <w:t>3</w:t>
            </w:r>
            <w:r>
              <w:rPr>
                <w:rFonts w:ascii="Tms Rmn" w:hAnsi="Tms Rmn"/>
                <w:sz w:val="12"/>
              </w:rPr>
              <w:t> </w:t>
            </w:r>
            <w:r>
              <w:t>001-3</w:t>
            </w:r>
            <w:r>
              <w:rPr>
                <w:rFonts w:ascii="Tms Rmn" w:hAnsi="Tms Rmn"/>
                <w:sz w:val="12"/>
              </w:rPr>
              <w:t> </w:t>
            </w:r>
            <w:r>
              <w:t>500</w:t>
            </w:r>
          </w:p>
        </w:tc>
        <w:tc>
          <w:tcPr>
            <w:tcW w:w="2267" w:type="dxa"/>
            <w:tcBorders>
              <w:top w:val="single" w:sz="6" w:space="0" w:color="auto"/>
              <w:left w:val="single" w:sz="6" w:space="0" w:color="auto"/>
              <w:bottom w:val="single" w:sz="6" w:space="0" w:color="auto"/>
              <w:right w:val="single" w:sz="6" w:space="0" w:color="auto"/>
            </w:tcBorders>
          </w:tcPr>
          <w:p w14:paraId="73B6BB0D" w14:textId="77777777" w:rsidR="00000000" w:rsidRDefault="007D38CE">
            <w:pPr>
              <w:pStyle w:val="TableText"/>
              <w:framePr w:hSpace="181" w:wrap="notBeside" w:vAnchor="text" w:hAnchor="page" w:xAlign="center" w:y="1"/>
              <w:spacing w:before="60" w:after="60"/>
              <w:jc w:val="center"/>
            </w:pPr>
            <w:r>
              <w:t>–103</w:t>
            </w:r>
          </w:p>
        </w:tc>
      </w:tr>
      <w:tr w:rsidR="00000000" w14:paraId="7DDBEA02"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6EF83415" w14:textId="77777777" w:rsidR="00000000" w:rsidRDefault="007D38CE">
            <w:pPr>
              <w:pStyle w:val="TableText"/>
              <w:framePr w:hSpace="181" w:wrap="notBeside" w:vAnchor="text" w:hAnchor="page" w:xAlign="center" w:y="1"/>
              <w:spacing w:before="60" w:after="60"/>
              <w:jc w:val="center"/>
            </w:pPr>
            <w:r>
              <w:t>1</w:t>
            </w:r>
            <w:r>
              <w:rPr>
                <w:rFonts w:ascii="Tms Rmn" w:hAnsi="Tms Rmn"/>
                <w:sz w:val="12"/>
              </w:rPr>
              <w:t> </w:t>
            </w:r>
            <w:r>
              <w:t>067-1</w:t>
            </w:r>
            <w:r>
              <w:rPr>
                <w:rFonts w:ascii="Tms Rmn" w:hAnsi="Tms Rmn"/>
                <w:sz w:val="12"/>
              </w:rPr>
              <w:t> </w:t>
            </w:r>
            <w:r>
              <w:t>219</w:t>
            </w:r>
          </w:p>
        </w:tc>
        <w:tc>
          <w:tcPr>
            <w:tcW w:w="2268" w:type="dxa"/>
            <w:tcBorders>
              <w:top w:val="single" w:sz="6" w:space="0" w:color="auto"/>
              <w:left w:val="single" w:sz="6" w:space="0" w:color="auto"/>
              <w:bottom w:val="single" w:sz="6" w:space="0" w:color="auto"/>
              <w:right w:val="single" w:sz="6" w:space="0" w:color="auto"/>
            </w:tcBorders>
          </w:tcPr>
          <w:p w14:paraId="42F2EFAE" w14:textId="77777777" w:rsidR="00000000" w:rsidRDefault="007D38CE">
            <w:pPr>
              <w:pStyle w:val="TableText"/>
              <w:framePr w:hSpace="181" w:wrap="notBeside" w:vAnchor="text" w:hAnchor="page" w:xAlign="center" w:y="1"/>
              <w:spacing w:before="60" w:after="60"/>
              <w:jc w:val="center"/>
            </w:pPr>
            <w:r>
              <w:t>3</w:t>
            </w:r>
            <w:r>
              <w:rPr>
                <w:rFonts w:ascii="Tms Rmn" w:hAnsi="Tms Rmn"/>
                <w:sz w:val="12"/>
              </w:rPr>
              <w:t> </w:t>
            </w:r>
            <w:r>
              <w:t>501-4</w:t>
            </w:r>
            <w:r>
              <w:rPr>
                <w:rFonts w:ascii="Tms Rmn" w:hAnsi="Tms Rmn"/>
                <w:sz w:val="12"/>
              </w:rPr>
              <w:t> </w:t>
            </w:r>
            <w:r>
              <w:t>000</w:t>
            </w:r>
          </w:p>
        </w:tc>
        <w:tc>
          <w:tcPr>
            <w:tcW w:w="2267" w:type="dxa"/>
            <w:tcBorders>
              <w:top w:val="single" w:sz="6" w:space="0" w:color="auto"/>
              <w:left w:val="single" w:sz="6" w:space="0" w:color="auto"/>
              <w:bottom w:val="single" w:sz="6" w:space="0" w:color="auto"/>
              <w:right w:val="single" w:sz="6" w:space="0" w:color="auto"/>
            </w:tcBorders>
          </w:tcPr>
          <w:p w14:paraId="7CE1CF55" w14:textId="77777777" w:rsidR="00000000" w:rsidRDefault="007D38CE">
            <w:pPr>
              <w:pStyle w:val="TableText"/>
              <w:framePr w:hSpace="181" w:wrap="notBeside" w:vAnchor="text" w:hAnchor="page" w:xAlign="center" w:y="1"/>
              <w:spacing w:before="60" w:after="60"/>
              <w:jc w:val="center"/>
            </w:pPr>
            <w:r>
              <w:t>–104</w:t>
            </w:r>
          </w:p>
        </w:tc>
      </w:tr>
      <w:tr w:rsidR="00000000" w14:paraId="3F99881F" w14:textId="77777777">
        <w:tblPrEx>
          <w:tblCellMar>
            <w:top w:w="0" w:type="dxa"/>
            <w:bottom w:w="0" w:type="dxa"/>
          </w:tblCellMar>
        </w:tblPrEx>
        <w:trPr>
          <w:cantSplit/>
          <w:jc w:val="center"/>
        </w:trPr>
        <w:tc>
          <w:tcPr>
            <w:tcW w:w="2268" w:type="dxa"/>
            <w:tcBorders>
              <w:top w:val="single" w:sz="6" w:space="0" w:color="auto"/>
              <w:left w:val="single" w:sz="6" w:space="0" w:color="auto"/>
              <w:bottom w:val="single" w:sz="6" w:space="0" w:color="auto"/>
              <w:right w:val="single" w:sz="6" w:space="0" w:color="auto"/>
            </w:tcBorders>
          </w:tcPr>
          <w:p w14:paraId="78AD51EC" w14:textId="77777777" w:rsidR="00000000" w:rsidRDefault="007D38CE">
            <w:pPr>
              <w:pStyle w:val="TableText"/>
              <w:framePr w:hSpace="181" w:wrap="notBeside" w:vAnchor="text" w:hAnchor="page" w:xAlign="center" w:y="1"/>
              <w:spacing w:before="60" w:after="60"/>
              <w:jc w:val="center"/>
            </w:pPr>
            <w:proofErr w:type="gramStart"/>
            <w:r>
              <w:t>Plus</w:t>
            </w:r>
            <w:proofErr w:type="gramEnd"/>
            <w:r>
              <w:t xml:space="preserve"> de 1</w:t>
            </w:r>
            <w:r>
              <w:rPr>
                <w:rFonts w:ascii="Tms Rmn" w:hAnsi="Tms Rmn"/>
                <w:sz w:val="12"/>
              </w:rPr>
              <w:t> </w:t>
            </w:r>
            <w:r>
              <w:t>219</w:t>
            </w:r>
          </w:p>
        </w:tc>
        <w:tc>
          <w:tcPr>
            <w:tcW w:w="2268" w:type="dxa"/>
            <w:tcBorders>
              <w:top w:val="single" w:sz="6" w:space="0" w:color="auto"/>
              <w:left w:val="single" w:sz="6" w:space="0" w:color="auto"/>
              <w:bottom w:val="single" w:sz="6" w:space="0" w:color="auto"/>
              <w:right w:val="single" w:sz="6" w:space="0" w:color="auto"/>
            </w:tcBorders>
          </w:tcPr>
          <w:p w14:paraId="2C2CCD09" w14:textId="77777777" w:rsidR="00000000" w:rsidRDefault="007D38CE">
            <w:pPr>
              <w:pStyle w:val="TableText"/>
              <w:framePr w:hSpace="181" w:wrap="notBeside" w:vAnchor="text" w:hAnchor="page" w:xAlign="center" w:y="1"/>
              <w:spacing w:before="60" w:after="60"/>
              <w:jc w:val="center"/>
            </w:pPr>
            <w:proofErr w:type="gramStart"/>
            <w:r>
              <w:t>Plus</w:t>
            </w:r>
            <w:proofErr w:type="gramEnd"/>
            <w:r>
              <w:t xml:space="preserve"> de 4</w:t>
            </w:r>
            <w:r>
              <w:rPr>
                <w:rFonts w:ascii="Tms Rmn" w:hAnsi="Tms Rmn"/>
                <w:sz w:val="12"/>
              </w:rPr>
              <w:t> </w:t>
            </w:r>
            <w:r>
              <w:t>000</w:t>
            </w:r>
          </w:p>
        </w:tc>
        <w:tc>
          <w:tcPr>
            <w:tcW w:w="2267" w:type="dxa"/>
            <w:tcBorders>
              <w:top w:val="single" w:sz="6" w:space="0" w:color="auto"/>
              <w:left w:val="single" w:sz="6" w:space="0" w:color="auto"/>
              <w:bottom w:val="single" w:sz="6" w:space="0" w:color="auto"/>
              <w:right w:val="single" w:sz="6" w:space="0" w:color="auto"/>
            </w:tcBorders>
          </w:tcPr>
          <w:p w14:paraId="4DC2A750" w14:textId="77777777" w:rsidR="00000000" w:rsidRDefault="007D38CE">
            <w:pPr>
              <w:pStyle w:val="TableText"/>
              <w:framePr w:hSpace="181" w:wrap="notBeside" w:vAnchor="text" w:hAnchor="page" w:xAlign="center" w:y="1"/>
              <w:spacing w:before="60" w:after="60"/>
              <w:jc w:val="center"/>
            </w:pPr>
            <w:r>
              <w:t>–104</w:t>
            </w:r>
          </w:p>
        </w:tc>
      </w:tr>
    </w:tbl>
    <w:p w14:paraId="78CC3DF1" w14:textId="77777777" w:rsidR="00000000" w:rsidRPr="007D38CE" w:rsidRDefault="007D38CE">
      <w:pPr>
        <w:pStyle w:val="Heading1"/>
        <w:rPr>
          <w:lang w:val="fr-CH"/>
        </w:rPr>
      </w:pPr>
      <w:r w:rsidRPr="007D38CE">
        <w:rPr>
          <w:lang w:val="fr-CH"/>
        </w:rPr>
        <w:t>4</w:t>
      </w:r>
      <w:r w:rsidRPr="007D38CE">
        <w:rPr>
          <w:lang w:val="fr-CH"/>
        </w:rPr>
        <w:tab/>
        <w:t>Echange d'informations sur les assignations</w:t>
      </w:r>
    </w:p>
    <w:p w14:paraId="4E712E8D" w14:textId="77777777" w:rsidR="00000000" w:rsidRPr="007D38CE" w:rsidRDefault="007D38CE">
      <w:pPr>
        <w:rPr>
          <w:lang w:val="fr-CH"/>
        </w:rPr>
      </w:pPr>
      <w:r w:rsidRPr="007D38CE">
        <w:rPr>
          <w:lang w:val="fr-CH"/>
        </w:rPr>
        <w:t>Les pays échangent, tous les trois mois, des informations sur les fréquences qu'ils ont assignées. Dans la mesure du possible, ils doivent y indiquer, au moins une fois par an, les assignations qu'ils se proposent ou qu'ils ont programmé de faire. Ch</w:t>
      </w:r>
      <w:r w:rsidRPr="007D38CE">
        <w:rPr>
          <w:lang w:val="fr-CH"/>
        </w:rPr>
        <w:t xml:space="preserve">aque pays fournit les informations </w:t>
      </w:r>
      <w:proofErr w:type="gramStart"/>
      <w:r w:rsidRPr="007D38CE">
        <w:rPr>
          <w:lang w:val="fr-CH"/>
        </w:rPr>
        <w:t>suivantes:</w:t>
      </w:r>
      <w:proofErr w:type="gramEnd"/>
      <w:r w:rsidRPr="007D38CE">
        <w:rPr>
          <w:lang w:val="fr-CH"/>
        </w:rPr>
        <w:t xml:space="preserve"> </w:t>
      </w:r>
    </w:p>
    <w:p w14:paraId="6713B58E" w14:textId="77777777" w:rsidR="00000000" w:rsidRPr="007D38CE" w:rsidRDefault="007D38CE">
      <w:pPr>
        <w:pStyle w:val="enumlev1"/>
        <w:rPr>
          <w:lang w:val="fr-CH"/>
        </w:rPr>
      </w:pPr>
      <w:r w:rsidRPr="007D38CE">
        <w:rPr>
          <w:lang w:val="fr-CH"/>
        </w:rPr>
        <w:t>–</w:t>
      </w:r>
      <w:r w:rsidRPr="007D38CE">
        <w:rPr>
          <w:lang w:val="fr-CH"/>
        </w:rPr>
        <w:tab/>
        <w:t>Identificateur de l'exploitant.</w:t>
      </w:r>
    </w:p>
    <w:p w14:paraId="7A28FCB9" w14:textId="77777777" w:rsidR="00000000" w:rsidRPr="007D38CE" w:rsidRDefault="007D38CE">
      <w:pPr>
        <w:pStyle w:val="enumlev1"/>
        <w:rPr>
          <w:lang w:val="fr-CH"/>
        </w:rPr>
      </w:pPr>
      <w:r w:rsidRPr="007D38CE">
        <w:rPr>
          <w:lang w:val="fr-CH"/>
        </w:rPr>
        <w:t>–</w:t>
      </w:r>
      <w:r w:rsidRPr="007D38CE">
        <w:rPr>
          <w:lang w:val="fr-CH"/>
        </w:rPr>
        <w:tab/>
        <w:t>Catégorie de la station.</w:t>
      </w:r>
    </w:p>
    <w:p w14:paraId="117433E1" w14:textId="77777777" w:rsidR="00000000" w:rsidRPr="007D38CE" w:rsidRDefault="007D38CE">
      <w:pPr>
        <w:pStyle w:val="enumlev1"/>
        <w:rPr>
          <w:lang w:val="fr-CH"/>
        </w:rPr>
      </w:pPr>
      <w:r w:rsidRPr="007D38CE">
        <w:rPr>
          <w:lang w:val="fr-CH"/>
        </w:rPr>
        <w:t>–</w:t>
      </w:r>
      <w:r w:rsidRPr="007D38CE">
        <w:rPr>
          <w:lang w:val="fr-CH"/>
        </w:rPr>
        <w:tab/>
        <w:t>Nombre de stations – stations de base et stations mobiles.</w:t>
      </w:r>
    </w:p>
    <w:p w14:paraId="31F6FD28" w14:textId="77777777" w:rsidR="00000000" w:rsidRPr="007D38CE" w:rsidRDefault="007D38CE">
      <w:pPr>
        <w:pStyle w:val="enumlev1"/>
        <w:rPr>
          <w:lang w:val="fr-CH"/>
        </w:rPr>
      </w:pPr>
      <w:r w:rsidRPr="007D38CE">
        <w:rPr>
          <w:lang w:val="fr-CH"/>
        </w:rPr>
        <w:t>–</w:t>
      </w:r>
      <w:r w:rsidRPr="007D38CE">
        <w:rPr>
          <w:lang w:val="fr-CH"/>
        </w:rPr>
        <w:tab/>
        <w:t>Fréquence.</w:t>
      </w:r>
    </w:p>
    <w:p w14:paraId="6B5AA6C5" w14:textId="77777777" w:rsidR="00000000" w:rsidRPr="007D38CE" w:rsidRDefault="007D38CE">
      <w:pPr>
        <w:pStyle w:val="enumlev1"/>
        <w:rPr>
          <w:lang w:val="fr-CH"/>
        </w:rPr>
      </w:pPr>
      <w:r w:rsidRPr="007D38CE">
        <w:rPr>
          <w:lang w:val="fr-CH"/>
        </w:rPr>
        <w:t>–</w:t>
      </w:r>
      <w:r w:rsidRPr="007D38CE">
        <w:rPr>
          <w:lang w:val="fr-CH"/>
        </w:rPr>
        <w:tab/>
        <w:t>Emplacements et coordonnées.</w:t>
      </w:r>
    </w:p>
    <w:p w14:paraId="0FBCB919" w14:textId="77777777" w:rsidR="00000000" w:rsidRPr="007D38CE" w:rsidRDefault="007D38CE">
      <w:pPr>
        <w:pStyle w:val="enumlev1"/>
        <w:rPr>
          <w:lang w:val="fr-CH"/>
        </w:rPr>
      </w:pPr>
      <w:r w:rsidRPr="007D38CE">
        <w:rPr>
          <w:lang w:val="fr-CH"/>
        </w:rPr>
        <w:t>–</w:t>
      </w:r>
      <w:r w:rsidRPr="007D38CE">
        <w:rPr>
          <w:lang w:val="fr-CH"/>
        </w:rPr>
        <w:tab/>
        <w:t>Localité ou zone de réception.</w:t>
      </w:r>
    </w:p>
    <w:p w14:paraId="5615AC5A" w14:textId="77777777" w:rsidR="00000000" w:rsidRPr="007D38CE" w:rsidRDefault="007D38CE">
      <w:pPr>
        <w:pStyle w:val="enumlev1"/>
        <w:rPr>
          <w:lang w:val="fr-CH"/>
        </w:rPr>
      </w:pPr>
      <w:r w:rsidRPr="007D38CE">
        <w:rPr>
          <w:lang w:val="fr-CH"/>
        </w:rPr>
        <w:t>–</w:t>
      </w:r>
      <w:r w:rsidRPr="007D38CE">
        <w:rPr>
          <w:lang w:val="fr-CH"/>
        </w:rPr>
        <w:tab/>
        <w:t>Classe d'émission et largeur de bande nécessaire.</w:t>
      </w:r>
    </w:p>
    <w:p w14:paraId="1881E259" w14:textId="77777777" w:rsidR="00000000" w:rsidRPr="007D38CE" w:rsidRDefault="007D38CE">
      <w:pPr>
        <w:pStyle w:val="enumlev1"/>
        <w:rPr>
          <w:lang w:val="fr-CH"/>
        </w:rPr>
      </w:pPr>
      <w:r w:rsidRPr="007D38CE">
        <w:rPr>
          <w:lang w:val="fr-CH"/>
        </w:rPr>
        <w:t>–</w:t>
      </w:r>
      <w:r w:rsidRPr="007D38CE">
        <w:rPr>
          <w:lang w:val="fr-CH"/>
        </w:rPr>
        <w:tab/>
        <w:t>Puissance (moyenne) fournie à l'antenne.</w:t>
      </w:r>
    </w:p>
    <w:p w14:paraId="49D52827" w14:textId="77777777" w:rsidR="00000000" w:rsidRPr="007D38CE" w:rsidRDefault="007D38CE">
      <w:pPr>
        <w:pStyle w:val="enumlev1"/>
        <w:rPr>
          <w:lang w:val="fr-CH"/>
        </w:rPr>
      </w:pPr>
      <w:r w:rsidRPr="007D38CE">
        <w:rPr>
          <w:lang w:val="fr-CH"/>
        </w:rPr>
        <w:t>–</w:t>
      </w:r>
      <w:r w:rsidRPr="007D38CE">
        <w:rPr>
          <w:lang w:val="fr-CH"/>
        </w:rPr>
        <w:tab/>
        <w:t xml:space="preserve">Gain d'antenne (dB) et azimut, lorsque ces valeurs sont connues. </w:t>
      </w:r>
    </w:p>
    <w:p w14:paraId="11724660" w14:textId="77777777" w:rsidR="00000000" w:rsidRPr="007D38CE" w:rsidRDefault="007D38CE">
      <w:pPr>
        <w:pStyle w:val="enumlev1"/>
        <w:rPr>
          <w:lang w:val="fr-CH"/>
        </w:rPr>
      </w:pPr>
      <w:r w:rsidRPr="007D38CE">
        <w:rPr>
          <w:lang w:val="fr-CH"/>
        </w:rPr>
        <w:t>–</w:t>
      </w:r>
      <w:r w:rsidRPr="007D38CE">
        <w:rPr>
          <w:lang w:val="fr-CH"/>
        </w:rPr>
        <w:tab/>
        <w:t>Angle d'élévation de l'antenne au-dessus du niveau moyen de la mer.</w:t>
      </w:r>
    </w:p>
    <w:p w14:paraId="68027B0F" w14:textId="77777777" w:rsidR="00000000" w:rsidRPr="007D38CE" w:rsidRDefault="007D38CE">
      <w:pPr>
        <w:jc w:val="center"/>
        <w:rPr>
          <w:lang w:val="fr-CH"/>
        </w:rPr>
      </w:pPr>
      <w:r w:rsidRPr="007D38CE">
        <w:rPr>
          <w:lang w:val="fr-CH"/>
        </w:rPr>
        <w:br w:type="page"/>
        <w:t>EXEMPLE  3</w:t>
      </w:r>
    </w:p>
    <w:p w14:paraId="4237D267" w14:textId="77777777" w:rsidR="00000000" w:rsidRPr="007D38CE" w:rsidRDefault="007D38CE">
      <w:pPr>
        <w:jc w:val="center"/>
        <w:rPr>
          <w:lang w:val="fr-CH"/>
        </w:rPr>
      </w:pPr>
      <w:r w:rsidRPr="007D38CE">
        <w:rPr>
          <w:b/>
          <w:sz w:val="24"/>
          <w:lang w:val="fr-CH"/>
        </w:rPr>
        <w:t>Accord de Vienne (ver</w:t>
      </w:r>
      <w:r w:rsidRPr="007D38CE">
        <w:rPr>
          <w:b/>
          <w:sz w:val="24"/>
          <w:lang w:val="fr-CH"/>
        </w:rPr>
        <w:t>sion du 3 décembre 1993) en matière de coordination de fréquences comprises entre 29,7 et 960 MHz pour services fixes et services mobiles terrestres</w:t>
      </w:r>
    </w:p>
    <w:p w14:paraId="728F9F18" w14:textId="77777777" w:rsidR="00000000" w:rsidRPr="007D38CE" w:rsidRDefault="007D38CE">
      <w:pPr>
        <w:pStyle w:val="Normalaftertitle"/>
        <w:rPr>
          <w:lang w:val="fr-CH"/>
        </w:rPr>
      </w:pPr>
      <w:r w:rsidRPr="007D38CE">
        <w:rPr>
          <w:lang w:val="fr-CH"/>
        </w:rPr>
        <w:t>Cet exemple a trait à un accord conclu effectivement entre les administrations des télécommunications de 14 pays européens.</w:t>
      </w:r>
    </w:p>
    <w:p w14:paraId="0AD74838" w14:textId="77777777" w:rsidR="00000000" w:rsidRPr="007D38CE" w:rsidRDefault="007D38CE">
      <w:pPr>
        <w:rPr>
          <w:lang w:val="fr-CH"/>
        </w:rPr>
      </w:pPr>
      <w:r w:rsidRPr="007D38CE">
        <w:rPr>
          <w:lang w:val="fr-CH"/>
        </w:rPr>
        <w:t xml:space="preserve">Le texte ci-dessous est celui de la version originale de l'Accord, à l'exception des remarques et adjonctions en caractères </w:t>
      </w:r>
      <w:r w:rsidRPr="007D38CE">
        <w:rPr>
          <w:i/>
          <w:lang w:val="fr-CH"/>
        </w:rPr>
        <w:t>italique</w:t>
      </w:r>
      <w:r w:rsidRPr="007D38CE">
        <w:rPr>
          <w:lang w:val="fr-CH"/>
        </w:rPr>
        <w:t>, dont le but est, d'une part de fournir au lecteur des précisions complémentaires et d'autre part, d'évite</w:t>
      </w:r>
      <w:r w:rsidRPr="007D38CE">
        <w:rPr>
          <w:lang w:val="fr-CH"/>
        </w:rPr>
        <w:t>r d'énumérer les pays par leur nom.</w:t>
      </w:r>
    </w:p>
    <w:p w14:paraId="7FFA406A" w14:textId="77777777" w:rsidR="00000000" w:rsidRPr="007D38CE" w:rsidRDefault="007D38CE">
      <w:pPr>
        <w:rPr>
          <w:lang w:val="fr-CH"/>
        </w:rPr>
      </w:pPr>
      <w:r w:rsidRPr="007D38CE">
        <w:rPr>
          <w:lang w:val="fr-CH"/>
        </w:rPr>
        <w:t>A l'exception de l'</w:t>
      </w:r>
      <w:r w:rsidRPr="007D38CE">
        <w:rPr>
          <w:u w:val="single"/>
          <w:lang w:val="fr-CH"/>
        </w:rPr>
        <w:t>Annexe 1</w:t>
      </w:r>
      <w:r w:rsidRPr="007D38CE">
        <w:rPr>
          <w:lang w:val="fr-CH"/>
        </w:rPr>
        <w:t>, les Annexes et l'Addendum ne sont pas joints, car ils sont trop volumineux. L'Accord est notifié à l'UIT où le texte est disponible dans son intégralité.</w:t>
      </w:r>
    </w:p>
    <w:p w14:paraId="3E862BED" w14:textId="77777777" w:rsidR="00000000" w:rsidRPr="007D38CE" w:rsidRDefault="007D38CE">
      <w:pPr>
        <w:spacing w:before="0"/>
        <w:jc w:val="left"/>
        <w:rPr>
          <w:b/>
          <w:lang w:val="fr-CH"/>
        </w:rPr>
      </w:pPr>
    </w:p>
    <w:p w14:paraId="3C500208" w14:textId="77777777" w:rsidR="00000000" w:rsidRPr="007D38CE" w:rsidRDefault="007D38CE">
      <w:pPr>
        <w:jc w:val="left"/>
        <w:rPr>
          <w:lang w:val="fr-CH"/>
        </w:rPr>
      </w:pPr>
      <w:proofErr w:type="gramStart"/>
      <w:r w:rsidRPr="007D38CE">
        <w:rPr>
          <w:lang w:val="fr-CH"/>
        </w:rPr>
        <w:t>«</w:t>
      </w:r>
      <w:r w:rsidRPr="007D38CE">
        <w:rPr>
          <w:b/>
          <w:lang w:val="fr-CH"/>
        </w:rPr>
        <w:t>Sommaire</w:t>
      </w:r>
      <w:proofErr w:type="gramEnd"/>
    </w:p>
    <w:p w14:paraId="646ACC10" w14:textId="77777777" w:rsidR="00000000" w:rsidRPr="007D38CE" w:rsidRDefault="007D38CE">
      <w:pPr>
        <w:rPr>
          <w:lang w:val="fr-CH"/>
        </w:rPr>
      </w:pPr>
      <w:r w:rsidRPr="007D38CE">
        <w:rPr>
          <w:b/>
          <w:lang w:val="fr-CH"/>
        </w:rPr>
        <w:t>Préambule</w:t>
      </w:r>
    </w:p>
    <w:p w14:paraId="702375E0" w14:textId="77777777" w:rsidR="00000000" w:rsidRPr="007D38CE" w:rsidRDefault="007D38CE">
      <w:pPr>
        <w:tabs>
          <w:tab w:val="left" w:pos="426"/>
        </w:tabs>
        <w:ind w:firstLine="103"/>
        <w:jc w:val="left"/>
        <w:rPr>
          <w:lang w:val="fr-CH"/>
        </w:rPr>
      </w:pPr>
      <w:r w:rsidRPr="007D38CE">
        <w:rPr>
          <w:b/>
          <w:lang w:val="fr-CH"/>
        </w:rPr>
        <w:t>1</w:t>
      </w:r>
      <w:r w:rsidRPr="007D38CE">
        <w:rPr>
          <w:lang w:val="fr-CH"/>
        </w:rPr>
        <w:tab/>
        <w:t>Définition</w:t>
      </w:r>
    </w:p>
    <w:p w14:paraId="1B6DFA14" w14:textId="77777777" w:rsidR="00000000" w:rsidRPr="007D38CE" w:rsidRDefault="007D38CE">
      <w:pPr>
        <w:tabs>
          <w:tab w:val="left" w:pos="426"/>
        </w:tabs>
        <w:ind w:firstLine="103"/>
        <w:jc w:val="left"/>
        <w:rPr>
          <w:lang w:val="fr-CH"/>
        </w:rPr>
      </w:pPr>
      <w:r w:rsidRPr="007D38CE">
        <w:rPr>
          <w:b/>
          <w:lang w:val="fr-CH"/>
        </w:rPr>
        <w:t>2</w:t>
      </w:r>
      <w:r w:rsidRPr="007D38CE">
        <w:rPr>
          <w:lang w:val="fr-CH"/>
        </w:rPr>
        <w:tab/>
        <w:t>Généralités</w:t>
      </w:r>
    </w:p>
    <w:p w14:paraId="651F93BA" w14:textId="77777777" w:rsidR="00000000" w:rsidRPr="007D38CE" w:rsidRDefault="007D38CE">
      <w:pPr>
        <w:tabs>
          <w:tab w:val="left" w:pos="426"/>
        </w:tabs>
        <w:ind w:firstLine="103"/>
        <w:jc w:val="left"/>
        <w:rPr>
          <w:lang w:val="fr-CH"/>
        </w:rPr>
      </w:pPr>
      <w:r w:rsidRPr="007D38CE">
        <w:rPr>
          <w:b/>
          <w:lang w:val="fr-CH"/>
        </w:rPr>
        <w:t>3</w:t>
      </w:r>
      <w:r w:rsidRPr="007D38CE">
        <w:rPr>
          <w:lang w:val="fr-CH"/>
        </w:rPr>
        <w:tab/>
        <w:t>Dispositions techniques</w:t>
      </w:r>
    </w:p>
    <w:p w14:paraId="077324D5" w14:textId="77777777" w:rsidR="00000000" w:rsidRPr="007D38CE" w:rsidRDefault="007D38CE">
      <w:pPr>
        <w:tabs>
          <w:tab w:val="left" w:pos="426"/>
        </w:tabs>
        <w:ind w:firstLine="103"/>
        <w:jc w:val="left"/>
        <w:rPr>
          <w:lang w:val="fr-CH"/>
        </w:rPr>
      </w:pPr>
      <w:r w:rsidRPr="007D38CE">
        <w:rPr>
          <w:b/>
          <w:lang w:val="fr-CH"/>
        </w:rPr>
        <w:t>4</w:t>
      </w:r>
      <w:r w:rsidRPr="007D38CE">
        <w:rPr>
          <w:lang w:val="fr-CH"/>
        </w:rPr>
        <w:tab/>
        <w:t>Procédures à suivre</w:t>
      </w:r>
    </w:p>
    <w:p w14:paraId="6758C62F" w14:textId="77777777" w:rsidR="00000000" w:rsidRPr="007D38CE" w:rsidRDefault="007D38CE">
      <w:pPr>
        <w:tabs>
          <w:tab w:val="left" w:pos="426"/>
        </w:tabs>
        <w:ind w:firstLine="103"/>
        <w:jc w:val="left"/>
        <w:rPr>
          <w:lang w:val="fr-CH"/>
        </w:rPr>
      </w:pPr>
      <w:r w:rsidRPr="007D38CE">
        <w:rPr>
          <w:b/>
          <w:lang w:val="fr-CH"/>
        </w:rPr>
        <w:t>5</w:t>
      </w:r>
      <w:r w:rsidRPr="007D38CE">
        <w:rPr>
          <w:lang w:val="fr-CH"/>
        </w:rPr>
        <w:tab/>
        <w:t>Notification de brouillages préjudiciables</w:t>
      </w:r>
    </w:p>
    <w:p w14:paraId="53B7EBDD" w14:textId="77777777" w:rsidR="00000000" w:rsidRPr="007D38CE" w:rsidRDefault="007D38CE">
      <w:pPr>
        <w:tabs>
          <w:tab w:val="left" w:pos="426"/>
        </w:tabs>
        <w:ind w:firstLine="103"/>
        <w:jc w:val="left"/>
        <w:rPr>
          <w:lang w:val="fr-CH"/>
        </w:rPr>
      </w:pPr>
      <w:r w:rsidRPr="007D38CE">
        <w:rPr>
          <w:b/>
          <w:lang w:val="fr-CH"/>
        </w:rPr>
        <w:t>6</w:t>
      </w:r>
      <w:r w:rsidRPr="007D38CE">
        <w:rPr>
          <w:lang w:val="fr-CH"/>
        </w:rPr>
        <w:tab/>
        <w:t>Révision de l'Accord</w:t>
      </w:r>
    </w:p>
    <w:p w14:paraId="51E0619D" w14:textId="77777777" w:rsidR="00000000" w:rsidRPr="007D38CE" w:rsidRDefault="007D38CE">
      <w:pPr>
        <w:tabs>
          <w:tab w:val="left" w:pos="426"/>
        </w:tabs>
        <w:ind w:firstLine="103"/>
        <w:jc w:val="left"/>
        <w:rPr>
          <w:lang w:val="fr-CH"/>
        </w:rPr>
      </w:pPr>
      <w:r w:rsidRPr="007D38CE">
        <w:rPr>
          <w:b/>
          <w:lang w:val="fr-CH"/>
        </w:rPr>
        <w:t>7</w:t>
      </w:r>
      <w:r w:rsidRPr="007D38CE">
        <w:rPr>
          <w:lang w:val="fr-CH"/>
        </w:rPr>
        <w:tab/>
        <w:t>Adhésion à l'Accord</w:t>
      </w:r>
    </w:p>
    <w:p w14:paraId="280DA631" w14:textId="77777777" w:rsidR="00000000" w:rsidRPr="007D38CE" w:rsidRDefault="007D38CE">
      <w:pPr>
        <w:tabs>
          <w:tab w:val="left" w:pos="426"/>
        </w:tabs>
        <w:ind w:firstLine="103"/>
        <w:jc w:val="left"/>
        <w:rPr>
          <w:lang w:val="fr-CH"/>
        </w:rPr>
      </w:pPr>
      <w:r w:rsidRPr="007D38CE">
        <w:rPr>
          <w:b/>
          <w:lang w:val="fr-CH"/>
        </w:rPr>
        <w:t>8</w:t>
      </w:r>
      <w:r w:rsidRPr="007D38CE">
        <w:rPr>
          <w:lang w:val="fr-CH"/>
        </w:rPr>
        <w:tab/>
        <w:t>Retrait de l'Accord</w:t>
      </w:r>
    </w:p>
    <w:p w14:paraId="2EAD7DB1" w14:textId="77777777" w:rsidR="00000000" w:rsidRPr="007D38CE" w:rsidRDefault="007D38CE">
      <w:pPr>
        <w:tabs>
          <w:tab w:val="left" w:pos="426"/>
        </w:tabs>
        <w:ind w:firstLine="103"/>
        <w:jc w:val="left"/>
        <w:rPr>
          <w:lang w:val="fr-CH"/>
        </w:rPr>
      </w:pPr>
      <w:r w:rsidRPr="007D38CE">
        <w:rPr>
          <w:b/>
          <w:lang w:val="fr-CH"/>
        </w:rPr>
        <w:t>9</w:t>
      </w:r>
      <w:r w:rsidRPr="007D38CE">
        <w:rPr>
          <w:lang w:val="fr-CH"/>
        </w:rPr>
        <w:tab/>
        <w:t>Statut des coordinations préalables</w:t>
      </w:r>
    </w:p>
    <w:p w14:paraId="50BBCB9D" w14:textId="77777777" w:rsidR="00000000" w:rsidRPr="007D38CE" w:rsidRDefault="007D38CE">
      <w:pPr>
        <w:tabs>
          <w:tab w:val="left" w:pos="426"/>
        </w:tabs>
        <w:rPr>
          <w:lang w:val="fr-CH"/>
        </w:rPr>
      </w:pPr>
      <w:r w:rsidRPr="007D38CE">
        <w:rPr>
          <w:b/>
          <w:lang w:val="fr-CH"/>
        </w:rPr>
        <w:t>10</w:t>
      </w:r>
      <w:r w:rsidRPr="007D38CE">
        <w:rPr>
          <w:lang w:val="fr-CH"/>
        </w:rPr>
        <w:tab/>
        <w:t>Langues de l'Accord</w:t>
      </w:r>
    </w:p>
    <w:p w14:paraId="4F7F177B" w14:textId="77777777" w:rsidR="00000000" w:rsidRPr="007D38CE" w:rsidRDefault="007D38CE">
      <w:pPr>
        <w:tabs>
          <w:tab w:val="left" w:pos="426"/>
        </w:tabs>
        <w:rPr>
          <w:lang w:val="fr-CH"/>
        </w:rPr>
      </w:pPr>
      <w:r w:rsidRPr="007D38CE">
        <w:rPr>
          <w:b/>
          <w:lang w:val="fr-CH"/>
        </w:rPr>
        <w:t>11</w:t>
      </w:r>
      <w:r w:rsidRPr="007D38CE">
        <w:rPr>
          <w:lang w:val="fr-CH"/>
        </w:rPr>
        <w:tab/>
        <w:t xml:space="preserve">Entrée en vigueur de </w:t>
      </w:r>
      <w:r w:rsidRPr="007D38CE">
        <w:rPr>
          <w:lang w:val="fr-CH"/>
        </w:rPr>
        <w:t>l'Accord</w:t>
      </w:r>
    </w:p>
    <w:p w14:paraId="59B4B488" w14:textId="77777777" w:rsidR="00000000" w:rsidRPr="007D38CE" w:rsidRDefault="007D38CE">
      <w:pPr>
        <w:tabs>
          <w:tab w:val="left" w:pos="426"/>
        </w:tabs>
        <w:rPr>
          <w:lang w:val="fr-CH"/>
        </w:rPr>
      </w:pPr>
      <w:r w:rsidRPr="007D38CE">
        <w:rPr>
          <w:b/>
          <w:lang w:val="fr-CH"/>
        </w:rPr>
        <w:t>12</w:t>
      </w:r>
      <w:r w:rsidRPr="007D38CE">
        <w:rPr>
          <w:lang w:val="fr-CH"/>
        </w:rPr>
        <w:tab/>
        <w:t>Abrogation de l'Accord du 24 janvier 1986</w:t>
      </w:r>
    </w:p>
    <w:p w14:paraId="047EA000" w14:textId="77777777" w:rsidR="00000000" w:rsidRPr="007D38CE" w:rsidRDefault="007D38CE">
      <w:pPr>
        <w:tabs>
          <w:tab w:val="left" w:pos="426"/>
        </w:tabs>
        <w:rPr>
          <w:lang w:val="fr-CH"/>
        </w:rPr>
      </w:pPr>
      <w:r w:rsidRPr="007D38CE">
        <w:rPr>
          <w:b/>
          <w:lang w:val="fr-CH"/>
        </w:rPr>
        <w:t>13</w:t>
      </w:r>
      <w:r w:rsidRPr="007D38CE">
        <w:rPr>
          <w:lang w:val="fr-CH"/>
        </w:rPr>
        <w:tab/>
        <w:t>Dispositions transitoires</w:t>
      </w:r>
    </w:p>
    <w:p w14:paraId="08CCC445" w14:textId="77777777" w:rsidR="00000000" w:rsidRPr="007D38CE" w:rsidRDefault="007D38CE">
      <w:pPr>
        <w:tabs>
          <w:tab w:val="left" w:pos="426"/>
        </w:tabs>
        <w:rPr>
          <w:lang w:val="fr-CH"/>
        </w:rPr>
      </w:pPr>
      <w:r w:rsidRPr="007D38CE">
        <w:rPr>
          <w:b/>
          <w:lang w:val="fr-CH"/>
        </w:rPr>
        <w:t>14</w:t>
      </w:r>
      <w:r w:rsidRPr="007D38CE">
        <w:rPr>
          <w:lang w:val="fr-CH"/>
        </w:rPr>
        <w:tab/>
        <w:t>Information du Secrétaire général de l'Union internationale des télécommunications</w:t>
      </w:r>
    </w:p>
    <w:p w14:paraId="32923B3F" w14:textId="77777777" w:rsidR="00000000" w:rsidRPr="007D38CE" w:rsidRDefault="007D38CE">
      <w:pPr>
        <w:rPr>
          <w:lang w:val="fr-CH"/>
        </w:rPr>
      </w:pPr>
      <w:r w:rsidRPr="007D38CE">
        <w:rPr>
          <w:u w:val="single"/>
          <w:lang w:val="fr-CH"/>
        </w:rPr>
        <w:t>Annexes</w:t>
      </w:r>
      <w:r w:rsidRPr="007D38CE">
        <w:rPr>
          <w:rStyle w:val="FootnoteReference"/>
          <w:lang w:val="fr-CH"/>
        </w:rPr>
        <w:footnoteReference w:customMarkFollows="1" w:id="2"/>
        <w:t>*</w:t>
      </w:r>
      <w:r w:rsidRPr="007D38CE">
        <w:rPr>
          <w:b/>
          <w:lang w:val="fr-CH"/>
        </w:rPr>
        <w:t xml:space="preserve"> </w:t>
      </w:r>
    </w:p>
    <w:p w14:paraId="2EF7B1DC" w14:textId="77777777" w:rsidR="00000000" w:rsidRPr="007D38CE" w:rsidRDefault="007D38CE">
      <w:pPr>
        <w:tabs>
          <w:tab w:val="clear" w:pos="794"/>
          <w:tab w:val="clear" w:pos="1191"/>
          <w:tab w:val="clear" w:pos="1588"/>
          <w:tab w:val="clear" w:pos="1985"/>
          <w:tab w:val="left" w:pos="1021"/>
          <w:tab w:val="left" w:pos="1304"/>
        </w:tabs>
        <w:ind w:left="1021" w:hanging="1021"/>
        <w:rPr>
          <w:lang w:val="fr-CH"/>
        </w:rPr>
      </w:pPr>
      <w:r w:rsidRPr="007D38CE">
        <w:rPr>
          <w:u w:val="single"/>
          <w:lang w:val="fr-CH"/>
        </w:rPr>
        <w:t>Annexe 1</w:t>
      </w:r>
      <w:r w:rsidRPr="007D38CE">
        <w:rPr>
          <w:rFonts w:ascii="Tms Rmn" w:hAnsi="Tms Rmn"/>
          <w:b/>
          <w:sz w:val="12"/>
          <w:lang w:val="fr-CH"/>
        </w:rPr>
        <w:t> </w:t>
      </w:r>
      <w:r w:rsidRPr="007D38CE">
        <w:rPr>
          <w:lang w:val="fr-CH"/>
        </w:rPr>
        <w:t>:</w:t>
      </w:r>
      <w:r w:rsidRPr="007D38CE">
        <w:rPr>
          <w:lang w:val="fr-CH"/>
        </w:rPr>
        <w:tab/>
        <w:t>Niveaux maximals admissibles de champ brouilleur et portées transfrontières maximales de brouillages préjudiciables pour les fréquences nécessitant une coordination</w:t>
      </w:r>
    </w:p>
    <w:p w14:paraId="6F6F13D2" w14:textId="77777777" w:rsidR="00000000" w:rsidRPr="007D38CE" w:rsidRDefault="007D38CE">
      <w:pPr>
        <w:tabs>
          <w:tab w:val="clear" w:pos="794"/>
          <w:tab w:val="clear" w:pos="1191"/>
          <w:tab w:val="clear" w:pos="1588"/>
          <w:tab w:val="clear" w:pos="1985"/>
          <w:tab w:val="left" w:pos="1021"/>
          <w:tab w:val="left" w:pos="1304"/>
        </w:tabs>
        <w:ind w:left="1418" w:hanging="1418"/>
        <w:rPr>
          <w:lang w:val="fr-CH"/>
        </w:rPr>
      </w:pPr>
      <w:r w:rsidRPr="007D38CE">
        <w:rPr>
          <w:u w:val="single"/>
          <w:lang w:val="fr-CH"/>
        </w:rPr>
        <w:t>Annexe 2</w:t>
      </w:r>
      <w:r w:rsidRPr="007D38CE">
        <w:rPr>
          <w:rFonts w:ascii="Tms Rmn" w:hAnsi="Tms Rmn"/>
          <w:b/>
          <w:sz w:val="12"/>
          <w:lang w:val="fr-CH"/>
        </w:rPr>
        <w:t> </w:t>
      </w:r>
      <w:r w:rsidRPr="007D38CE">
        <w:rPr>
          <w:lang w:val="fr-CH"/>
        </w:rPr>
        <w:t>:</w:t>
      </w:r>
      <w:r w:rsidRPr="007D38CE">
        <w:rPr>
          <w:lang w:val="fr-CH"/>
        </w:rPr>
        <w:tab/>
        <w:t>Echange de données</w:t>
      </w:r>
    </w:p>
    <w:p w14:paraId="13584365" w14:textId="77777777" w:rsidR="00000000" w:rsidRPr="007D38CE" w:rsidRDefault="007D38CE">
      <w:pPr>
        <w:tabs>
          <w:tab w:val="clear" w:pos="794"/>
          <w:tab w:val="clear" w:pos="1191"/>
          <w:tab w:val="clear" w:pos="1588"/>
          <w:tab w:val="clear" w:pos="1985"/>
          <w:tab w:val="left" w:pos="1021"/>
          <w:tab w:val="left" w:pos="1304"/>
        </w:tabs>
        <w:ind w:left="1021" w:hanging="1021"/>
        <w:rPr>
          <w:lang w:val="fr-CH"/>
        </w:rPr>
      </w:pPr>
      <w:r w:rsidRPr="007D38CE">
        <w:rPr>
          <w:u w:val="single"/>
          <w:lang w:val="fr-CH"/>
        </w:rPr>
        <w:t>Annexe 3</w:t>
      </w:r>
      <w:r w:rsidRPr="007D38CE">
        <w:rPr>
          <w:rFonts w:ascii="Tms Rmn" w:hAnsi="Tms Rmn"/>
          <w:b/>
          <w:sz w:val="12"/>
          <w:lang w:val="fr-CH"/>
        </w:rPr>
        <w:t> </w:t>
      </w:r>
      <w:r w:rsidRPr="007D38CE">
        <w:rPr>
          <w:lang w:val="fr-CH"/>
        </w:rPr>
        <w:t>:</w:t>
      </w:r>
      <w:r w:rsidRPr="007D38CE">
        <w:rPr>
          <w:lang w:val="fr-CH"/>
        </w:rPr>
        <w:tab/>
        <w:t xml:space="preserve">Détermination du facteur de correction pour le niveau admissible du champ brouilleur en cas de fréquences nominales </w:t>
      </w:r>
      <w:r w:rsidRPr="007D38CE">
        <w:rPr>
          <w:lang w:val="fr-CH"/>
        </w:rPr>
        <w:t>différentes</w:t>
      </w:r>
    </w:p>
    <w:p w14:paraId="3C1E46F1" w14:textId="77777777" w:rsidR="00000000" w:rsidRPr="007D38CE" w:rsidRDefault="007D38CE">
      <w:pPr>
        <w:tabs>
          <w:tab w:val="clear" w:pos="794"/>
          <w:tab w:val="clear" w:pos="1191"/>
          <w:tab w:val="clear" w:pos="1588"/>
          <w:tab w:val="clear" w:pos="1985"/>
          <w:tab w:val="left" w:pos="1021"/>
          <w:tab w:val="left" w:pos="1304"/>
        </w:tabs>
        <w:ind w:left="1418" w:hanging="1418"/>
        <w:rPr>
          <w:lang w:val="fr-CH"/>
        </w:rPr>
      </w:pPr>
      <w:r w:rsidRPr="007D38CE">
        <w:rPr>
          <w:u w:val="single"/>
          <w:lang w:val="fr-CH"/>
        </w:rPr>
        <w:t>Annexe 4</w:t>
      </w:r>
      <w:r w:rsidRPr="007D38CE">
        <w:rPr>
          <w:rFonts w:ascii="Tms Rmn" w:hAnsi="Tms Rmn"/>
          <w:b/>
          <w:sz w:val="12"/>
          <w:lang w:val="fr-CH"/>
        </w:rPr>
        <w:t> </w:t>
      </w:r>
      <w:r w:rsidRPr="007D38CE">
        <w:rPr>
          <w:lang w:val="fr-CH"/>
        </w:rPr>
        <w:t>:</w:t>
      </w:r>
      <w:r w:rsidRPr="007D38CE">
        <w:rPr>
          <w:lang w:val="fr-CH"/>
        </w:rPr>
        <w:tab/>
        <w:t>Courbes de propagation</w:t>
      </w:r>
    </w:p>
    <w:p w14:paraId="70946FCD" w14:textId="77777777" w:rsidR="00000000" w:rsidRPr="007D38CE" w:rsidRDefault="007D38CE">
      <w:pPr>
        <w:tabs>
          <w:tab w:val="clear" w:pos="794"/>
          <w:tab w:val="clear" w:pos="1191"/>
          <w:tab w:val="clear" w:pos="1588"/>
          <w:tab w:val="clear" w:pos="1985"/>
          <w:tab w:val="left" w:pos="1021"/>
          <w:tab w:val="left" w:pos="1304"/>
        </w:tabs>
        <w:ind w:left="1418" w:hanging="1418"/>
        <w:rPr>
          <w:lang w:val="fr-CH"/>
        </w:rPr>
      </w:pPr>
      <w:r w:rsidRPr="007D38CE">
        <w:rPr>
          <w:u w:val="single"/>
          <w:lang w:val="fr-CH"/>
        </w:rPr>
        <w:t>Annexe 5</w:t>
      </w:r>
      <w:r w:rsidRPr="007D38CE">
        <w:rPr>
          <w:rFonts w:ascii="Tms Rmn" w:hAnsi="Tms Rmn"/>
          <w:b/>
          <w:sz w:val="12"/>
          <w:lang w:val="fr-CH"/>
        </w:rPr>
        <w:t> </w:t>
      </w:r>
      <w:r w:rsidRPr="007D38CE">
        <w:rPr>
          <w:lang w:val="fr-CH"/>
        </w:rPr>
        <w:t>:</w:t>
      </w:r>
      <w:r w:rsidRPr="007D38CE">
        <w:rPr>
          <w:lang w:val="fr-CH"/>
        </w:rPr>
        <w:tab/>
        <w:t>Détermination du niveau du champ brouilleur</w:t>
      </w:r>
    </w:p>
    <w:p w14:paraId="09920D07" w14:textId="77777777" w:rsidR="00000000" w:rsidRPr="007D38CE" w:rsidRDefault="007D38CE">
      <w:pPr>
        <w:tabs>
          <w:tab w:val="clear" w:pos="794"/>
          <w:tab w:val="clear" w:pos="1191"/>
          <w:tab w:val="clear" w:pos="1588"/>
          <w:tab w:val="clear" w:pos="1985"/>
          <w:tab w:val="left" w:pos="1021"/>
          <w:tab w:val="left" w:pos="1304"/>
        </w:tabs>
        <w:ind w:left="1418" w:hanging="1418"/>
        <w:rPr>
          <w:lang w:val="fr-CH"/>
        </w:rPr>
      </w:pPr>
      <w:r w:rsidRPr="007D38CE">
        <w:rPr>
          <w:u w:val="single"/>
          <w:lang w:val="fr-CH"/>
        </w:rPr>
        <w:t>Annexe 6</w:t>
      </w:r>
      <w:r w:rsidRPr="007D38CE">
        <w:rPr>
          <w:rFonts w:ascii="Tms Rmn" w:hAnsi="Tms Rmn"/>
          <w:b/>
          <w:sz w:val="12"/>
          <w:lang w:val="fr-CH"/>
        </w:rPr>
        <w:t> </w:t>
      </w:r>
      <w:r w:rsidRPr="007D38CE">
        <w:rPr>
          <w:lang w:val="fr-CH"/>
        </w:rPr>
        <w:t>:</w:t>
      </w:r>
      <w:r w:rsidRPr="007D38CE">
        <w:rPr>
          <w:lang w:val="fr-CH"/>
        </w:rPr>
        <w:tab/>
        <w:t>Instructions de codage pour les diagrammes d'antenne</w:t>
      </w:r>
    </w:p>
    <w:p w14:paraId="430A7B44" w14:textId="77777777" w:rsidR="00000000" w:rsidRPr="007D38CE" w:rsidRDefault="007D38CE">
      <w:pPr>
        <w:tabs>
          <w:tab w:val="clear" w:pos="794"/>
          <w:tab w:val="clear" w:pos="1191"/>
          <w:tab w:val="clear" w:pos="1588"/>
          <w:tab w:val="clear" w:pos="1985"/>
          <w:tab w:val="left" w:pos="1021"/>
          <w:tab w:val="left" w:pos="1304"/>
        </w:tabs>
        <w:ind w:left="1418" w:hanging="1418"/>
        <w:rPr>
          <w:lang w:val="fr-CH"/>
        </w:rPr>
      </w:pPr>
      <w:r w:rsidRPr="007D38CE">
        <w:rPr>
          <w:u w:val="single"/>
          <w:lang w:val="fr-CH"/>
        </w:rPr>
        <w:t>Annexe 7</w:t>
      </w:r>
      <w:r w:rsidRPr="007D38CE">
        <w:rPr>
          <w:rFonts w:ascii="Tms Rmn" w:hAnsi="Tms Rmn"/>
          <w:b/>
          <w:sz w:val="12"/>
          <w:lang w:val="fr-CH"/>
        </w:rPr>
        <w:t> </w:t>
      </w:r>
      <w:r w:rsidRPr="007D38CE">
        <w:rPr>
          <w:lang w:val="fr-CH"/>
        </w:rPr>
        <w:t>:</w:t>
      </w:r>
      <w:r w:rsidRPr="007D38CE">
        <w:rPr>
          <w:lang w:val="fr-CH"/>
        </w:rPr>
        <w:tab/>
        <w:t>Dispositions relatives aux méthodes de mesures</w:t>
      </w:r>
    </w:p>
    <w:p w14:paraId="0427C29D" w14:textId="77777777" w:rsidR="00000000" w:rsidRPr="007D38CE" w:rsidRDefault="007D38CE">
      <w:pPr>
        <w:tabs>
          <w:tab w:val="clear" w:pos="794"/>
          <w:tab w:val="clear" w:pos="1191"/>
          <w:tab w:val="clear" w:pos="1588"/>
          <w:tab w:val="left" w:pos="2268"/>
          <w:tab w:val="left" w:pos="2552"/>
        </w:tabs>
        <w:rPr>
          <w:b/>
          <w:lang w:val="fr-CH"/>
        </w:rPr>
      </w:pPr>
      <w:r w:rsidRPr="007D38CE">
        <w:rPr>
          <w:b/>
          <w:lang w:val="fr-CH"/>
        </w:rPr>
        <w:t>Addendum</w:t>
      </w:r>
      <w:r w:rsidRPr="007D38CE">
        <w:rPr>
          <w:lang w:val="fr-CH"/>
        </w:rPr>
        <w:t>*</w:t>
      </w:r>
    </w:p>
    <w:p w14:paraId="0461AB86" w14:textId="77777777" w:rsidR="00000000" w:rsidRPr="007D38CE" w:rsidRDefault="007D38CE">
      <w:pPr>
        <w:tabs>
          <w:tab w:val="clear" w:pos="794"/>
          <w:tab w:val="clear" w:pos="1191"/>
          <w:tab w:val="clear" w:pos="1588"/>
          <w:tab w:val="left" w:pos="2268"/>
          <w:tab w:val="left" w:pos="2552"/>
        </w:tabs>
        <w:rPr>
          <w:lang w:val="fr-CH"/>
        </w:rPr>
      </w:pPr>
      <w:r w:rsidRPr="007D38CE">
        <w:rPr>
          <w:lang w:val="fr-CH"/>
        </w:rPr>
        <w:t>Dispositions techniques pour la période de transition</w:t>
      </w:r>
    </w:p>
    <w:p w14:paraId="31FDE6C8" w14:textId="77777777" w:rsidR="00000000" w:rsidRPr="007D38CE" w:rsidRDefault="007D38CE">
      <w:pPr>
        <w:rPr>
          <w:lang w:val="fr-CH"/>
        </w:rPr>
      </w:pPr>
      <w:r w:rsidRPr="007D38CE">
        <w:rPr>
          <w:b/>
          <w:lang w:val="fr-CH"/>
        </w:rPr>
        <w:br w:type="page"/>
      </w:r>
      <w:r w:rsidRPr="007D38CE">
        <w:rPr>
          <w:b/>
          <w:u w:val="single"/>
          <w:lang w:val="fr-CH"/>
        </w:rPr>
        <w:t>Préambule</w:t>
      </w:r>
    </w:p>
    <w:p w14:paraId="748B5BD9" w14:textId="77777777" w:rsidR="00000000" w:rsidRPr="007D38CE" w:rsidRDefault="007D38CE">
      <w:pPr>
        <w:rPr>
          <w:lang w:val="fr-CH"/>
        </w:rPr>
      </w:pPr>
      <w:r w:rsidRPr="007D38CE">
        <w:rPr>
          <w:lang w:val="fr-CH"/>
        </w:rPr>
        <w:t xml:space="preserve">Les représentants des Administrations des télécommunications de </w:t>
      </w:r>
      <w:r w:rsidRPr="007D38CE">
        <w:rPr>
          <w:i/>
          <w:lang w:val="fr-CH"/>
        </w:rPr>
        <w:t>14 pays européens</w:t>
      </w:r>
      <w:r w:rsidRPr="007D38CE">
        <w:rPr>
          <w:lang w:val="fr-CH"/>
        </w:rPr>
        <w:t xml:space="preserve"> ont conclu, en application de l'Article 7 du Règlement des radiocommunications, le présent Accord relatif à la coordination de fréqu</w:t>
      </w:r>
      <w:r w:rsidRPr="007D38CE">
        <w:rPr>
          <w:lang w:val="fr-CH"/>
        </w:rPr>
        <w:t>ences comprises entre 29,7 et 960 MHz, en vue de prévenir les brouillages préjudiciables mutuels des services fixes et des services mobiles terrestres et en vue d'optimiser l'utilisation du spectre des fréquences notamment sur la base d'accords mutuels.</w:t>
      </w:r>
    </w:p>
    <w:p w14:paraId="214F81D4" w14:textId="77777777" w:rsidR="00000000" w:rsidRPr="007D38CE" w:rsidRDefault="007D38CE">
      <w:pPr>
        <w:rPr>
          <w:lang w:val="fr-CH"/>
        </w:rPr>
      </w:pPr>
      <w:r w:rsidRPr="007D38CE">
        <w:rPr>
          <w:lang w:val="fr-CH"/>
        </w:rPr>
        <w:t>L'application des dispositions du présent Accord par les Administrations signataires n'implique nullement de la part de celles</w:t>
      </w:r>
      <w:r w:rsidRPr="007D38CE">
        <w:rPr>
          <w:lang w:val="fr-CH"/>
        </w:rPr>
        <w:noBreakHyphen/>
        <w:t>ci des prises de position concernant la souveraineté d'un pays ou d'un territoire.</w:t>
      </w:r>
    </w:p>
    <w:p w14:paraId="02346E5F" w14:textId="77777777" w:rsidR="00000000" w:rsidRPr="007D38CE" w:rsidRDefault="007D38CE">
      <w:pPr>
        <w:pStyle w:val="Heading1"/>
        <w:rPr>
          <w:sz w:val="20"/>
          <w:lang w:val="fr-CH"/>
        </w:rPr>
      </w:pPr>
      <w:r w:rsidRPr="007D38CE">
        <w:rPr>
          <w:sz w:val="20"/>
          <w:lang w:val="fr-CH"/>
        </w:rPr>
        <w:t>1</w:t>
      </w:r>
      <w:r w:rsidRPr="007D38CE">
        <w:rPr>
          <w:sz w:val="20"/>
          <w:lang w:val="fr-CH"/>
        </w:rPr>
        <w:tab/>
      </w:r>
      <w:r w:rsidRPr="007D38CE">
        <w:rPr>
          <w:sz w:val="20"/>
          <w:u w:val="single"/>
          <w:lang w:val="fr-CH"/>
        </w:rPr>
        <w:t>Définitions</w:t>
      </w:r>
    </w:p>
    <w:p w14:paraId="307AE983" w14:textId="77777777" w:rsidR="00000000" w:rsidRPr="007D38CE" w:rsidRDefault="007D38CE">
      <w:pPr>
        <w:ind w:left="794" w:hanging="794"/>
        <w:rPr>
          <w:lang w:val="fr-CH"/>
        </w:rPr>
      </w:pPr>
      <w:r w:rsidRPr="007D38CE">
        <w:rPr>
          <w:lang w:val="fr-CH"/>
        </w:rPr>
        <w:tab/>
        <w:t>S'appliquent au présent Accord le</w:t>
      </w:r>
      <w:r w:rsidRPr="007D38CE">
        <w:rPr>
          <w:lang w:val="fr-CH"/>
        </w:rPr>
        <w:t>s définitions figurant à l'Article 1 du Règlement des radiocommunications ainsi que celles indiquées au présent paragraphe.</w:t>
      </w:r>
    </w:p>
    <w:p w14:paraId="765D0681" w14:textId="77777777" w:rsidR="00000000" w:rsidRPr="007D38CE" w:rsidRDefault="007D38CE">
      <w:pPr>
        <w:pStyle w:val="Heading2"/>
        <w:rPr>
          <w:sz w:val="20"/>
          <w:lang w:val="fr-CH"/>
        </w:rPr>
      </w:pPr>
      <w:r w:rsidRPr="007D38CE">
        <w:rPr>
          <w:b w:val="0"/>
          <w:sz w:val="20"/>
          <w:lang w:val="fr-CH"/>
        </w:rPr>
        <w:t>1.1</w:t>
      </w:r>
      <w:r w:rsidRPr="007D38CE">
        <w:rPr>
          <w:b w:val="0"/>
          <w:sz w:val="20"/>
          <w:lang w:val="fr-CH"/>
        </w:rPr>
        <w:tab/>
      </w:r>
      <w:r w:rsidRPr="007D38CE">
        <w:rPr>
          <w:b w:val="0"/>
          <w:sz w:val="20"/>
          <w:u w:val="single"/>
          <w:lang w:val="fr-CH"/>
        </w:rPr>
        <w:t>Administrations</w:t>
      </w:r>
    </w:p>
    <w:p w14:paraId="69CF7161" w14:textId="77777777" w:rsidR="00000000" w:rsidRPr="007D38CE" w:rsidRDefault="007D38CE">
      <w:pPr>
        <w:rPr>
          <w:i/>
          <w:lang w:val="fr-CH"/>
        </w:rPr>
      </w:pPr>
      <w:r w:rsidRPr="007D38CE">
        <w:rPr>
          <w:i/>
          <w:lang w:val="fr-CH"/>
        </w:rPr>
        <w:t>(Sous ce point sont énumérées les Administrations signataires, avec leur nom et leur abréviation UIT.)</w:t>
      </w:r>
    </w:p>
    <w:p w14:paraId="563D9371" w14:textId="77777777" w:rsidR="00000000" w:rsidRPr="007D38CE" w:rsidRDefault="007D38CE">
      <w:pPr>
        <w:pStyle w:val="Heading2"/>
        <w:rPr>
          <w:lang w:val="fr-CH"/>
        </w:rPr>
      </w:pPr>
      <w:r w:rsidRPr="007D38CE">
        <w:rPr>
          <w:b w:val="0"/>
          <w:sz w:val="20"/>
          <w:lang w:val="fr-CH"/>
        </w:rPr>
        <w:t>1.2</w:t>
      </w:r>
      <w:r w:rsidRPr="007D38CE">
        <w:rPr>
          <w:b w:val="0"/>
          <w:sz w:val="20"/>
          <w:lang w:val="fr-CH"/>
        </w:rPr>
        <w:tab/>
      </w:r>
      <w:r w:rsidRPr="007D38CE">
        <w:rPr>
          <w:b w:val="0"/>
          <w:sz w:val="20"/>
          <w:u w:val="single"/>
          <w:lang w:val="fr-CH"/>
        </w:rPr>
        <w:t>Fréquences</w:t>
      </w:r>
    </w:p>
    <w:p w14:paraId="134E43E6" w14:textId="77777777" w:rsidR="00000000" w:rsidRPr="007D38CE" w:rsidRDefault="007D38CE">
      <w:pPr>
        <w:ind w:left="794" w:hanging="794"/>
        <w:rPr>
          <w:lang w:val="fr-CH"/>
        </w:rPr>
      </w:pPr>
      <w:r w:rsidRPr="007D38CE">
        <w:rPr>
          <w:lang w:val="fr-CH"/>
        </w:rPr>
        <w:t>1.2.1</w:t>
      </w:r>
      <w:r w:rsidRPr="007D38CE">
        <w:rPr>
          <w:lang w:val="fr-CH"/>
        </w:rPr>
        <w:tab/>
        <w:t>Les fréquences des bandes mentionnées ci-après, utilisées dans les pays intéressés pour les services fixes et les services mobiles terrestres, seront coordonnées conformément aux dispositions du présent Accord.</w:t>
      </w:r>
    </w:p>
    <w:tbl>
      <w:tblPr>
        <w:tblW w:w="0" w:type="auto"/>
        <w:tblLayout w:type="fixed"/>
        <w:tblCellMar>
          <w:left w:w="0" w:type="dxa"/>
          <w:right w:w="0" w:type="dxa"/>
        </w:tblCellMar>
        <w:tblLook w:val="0000" w:firstRow="0" w:lastRow="0" w:firstColumn="0" w:lastColumn="0" w:noHBand="0" w:noVBand="0"/>
      </w:tblPr>
      <w:tblGrid>
        <w:gridCol w:w="794"/>
        <w:gridCol w:w="1900"/>
      </w:tblGrid>
      <w:tr w:rsidR="00000000" w14:paraId="65A1F131" w14:textId="77777777">
        <w:tblPrEx>
          <w:tblCellMar>
            <w:top w:w="0" w:type="dxa"/>
            <w:left w:w="0" w:type="dxa"/>
            <w:bottom w:w="0" w:type="dxa"/>
            <w:right w:w="0" w:type="dxa"/>
          </w:tblCellMar>
        </w:tblPrEx>
        <w:trPr>
          <w:cantSplit/>
        </w:trPr>
        <w:tc>
          <w:tcPr>
            <w:tcW w:w="794" w:type="dxa"/>
          </w:tcPr>
          <w:p w14:paraId="3C8F8CF8" w14:textId="77777777" w:rsidR="00000000" w:rsidRPr="007D38CE" w:rsidRDefault="007D38CE">
            <w:pPr>
              <w:tabs>
                <w:tab w:val="clear" w:pos="794"/>
                <w:tab w:val="clear" w:pos="1191"/>
                <w:tab w:val="clear" w:pos="1588"/>
                <w:tab w:val="clear" w:pos="1985"/>
                <w:tab w:val="decimal" w:pos="851"/>
                <w:tab w:val="decimal" w:pos="1220"/>
                <w:tab w:val="decimal" w:pos="1560"/>
                <w:tab w:val="left" w:pos="1843"/>
              </w:tabs>
              <w:rPr>
                <w:lang w:val="fr-CH"/>
              </w:rPr>
            </w:pPr>
          </w:p>
        </w:tc>
        <w:tc>
          <w:tcPr>
            <w:tcW w:w="1900" w:type="dxa"/>
          </w:tcPr>
          <w:p w14:paraId="6A1FEBB2" w14:textId="77777777" w:rsidR="00000000" w:rsidRDefault="007D38CE">
            <w:pPr>
              <w:tabs>
                <w:tab w:val="clear" w:pos="794"/>
                <w:tab w:val="clear" w:pos="1191"/>
                <w:tab w:val="clear" w:pos="1588"/>
                <w:tab w:val="clear" w:pos="1985"/>
                <w:tab w:val="decimal" w:pos="284"/>
                <w:tab w:val="left" w:pos="567"/>
                <w:tab w:val="decimal" w:pos="964"/>
                <w:tab w:val="left" w:pos="1247"/>
              </w:tabs>
              <w:jc w:val="left"/>
            </w:pPr>
            <w:r w:rsidRPr="007D38CE">
              <w:rPr>
                <w:lang w:val="fr-CH"/>
              </w:rPr>
              <w:tab/>
            </w:r>
            <w:r>
              <w:t>29,7</w:t>
            </w:r>
            <w:r>
              <w:tab/>
              <w:t>-</w:t>
            </w:r>
            <w:r>
              <w:tab/>
              <w:t>47</w:t>
            </w:r>
            <w:r>
              <w:tab/>
              <w:t>MHz</w:t>
            </w:r>
          </w:p>
        </w:tc>
      </w:tr>
      <w:tr w:rsidR="00000000" w14:paraId="05775EC1" w14:textId="77777777">
        <w:tblPrEx>
          <w:tblCellMar>
            <w:top w:w="0" w:type="dxa"/>
            <w:left w:w="0" w:type="dxa"/>
            <w:bottom w:w="0" w:type="dxa"/>
            <w:right w:w="0" w:type="dxa"/>
          </w:tblCellMar>
        </w:tblPrEx>
        <w:trPr>
          <w:cantSplit/>
        </w:trPr>
        <w:tc>
          <w:tcPr>
            <w:tcW w:w="794" w:type="dxa"/>
          </w:tcPr>
          <w:p w14:paraId="10AEC35D" w14:textId="77777777" w:rsidR="00000000" w:rsidRDefault="007D38CE">
            <w:pPr>
              <w:tabs>
                <w:tab w:val="clear" w:pos="794"/>
                <w:tab w:val="clear" w:pos="1191"/>
                <w:tab w:val="clear" w:pos="1588"/>
                <w:tab w:val="clear" w:pos="1985"/>
                <w:tab w:val="decimal" w:pos="851"/>
                <w:tab w:val="decimal" w:pos="1220"/>
                <w:tab w:val="decimal" w:pos="1560"/>
                <w:tab w:val="left" w:pos="1843"/>
              </w:tabs>
              <w:spacing w:before="40"/>
            </w:pPr>
          </w:p>
        </w:tc>
        <w:tc>
          <w:tcPr>
            <w:tcW w:w="1900" w:type="dxa"/>
          </w:tcPr>
          <w:p w14:paraId="1B89831B" w14:textId="77777777" w:rsidR="00000000" w:rsidRDefault="007D38CE">
            <w:pPr>
              <w:tabs>
                <w:tab w:val="clear" w:pos="794"/>
                <w:tab w:val="clear" w:pos="1191"/>
                <w:tab w:val="clear" w:pos="1588"/>
                <w:tab w:val="clear" w:pos="1985"/>
                <w:tab w:val="decimal" w:pos="284"/>
                <w:tab w:val="left" w:pos="567"/>
                <w:tab w:val="decimal" w:pos="964"/>
                <w:tab w:val="left" w:pos="1247"/>
              </w:tabs>
              <w:spacing w:before="40"/>
              <w:jc w:val="left"/>
            </w:pPr>
            <w:r>
              <w:tab/>
              <w:t>68</w:t>
            </w:r>
            <w:r>
              <w:tab/>
              <w:t>-</w:t>
            </w:r>
            <w:r>
              <w:tab/>
              <w:t>74,8</w:t>
            </w:r>
            <w:r>
              <w:tab/>
              <w:t>MHz</w:t>
            </w:r>
          </w:p>
        </w:tc>
      </w:tr>
      <w:tr w:rsidR="00000000" w14:paraId="2BC559F1" w14:textId="77777777">
        <w:tblPrEx>
          <w:tblCellMar>
            <w:top w:w="0" w:type="dxa"/>
            <w:left w:w="0" w:type="dxa"/>
            <w:bottom w:w="0" w:type="dxa"/>
            <w:right w:w="0" w:type="dxa"/>
          </w:tblCellMar>
        </w:tblPrEx>
        <w:trPr>
          <w:cantSplit/>
        </w:trPr>
        <w:tc>
          <w:tcPr>
            <w:tcW w:w="794" w:type="dxa"/>
          </w:tcPr>
          <w:p w14:paraId="4F7AD194" w14:textId="77777777" w:rsidR="00000000" w:rsidRDefault="007D38CE">
            <w:pPr>
              <w:tabs>
                <w:tab w:val="clear" w:pos="794"/>
                <w:tab w:val="clear" w:pos="1191"/>
                <w:tab w:val="clear" w:pos="1588"/>
                <w:tab w:val="clear" w:pos="1985"/>
                <w:tab w:val="decimal" w:pos="851"/>
                <w:tab w:val="decimal" w:pos="1220"/>
                <w:tab w:val="decimal" w:pos="1560"/>
                <w:tab w:val="left" w:pos="1843"/>
              </w:tabs>
              <w:spacing w:before="40"/>
            </w:pPr>
          </w:p>
        </w:tc>
        <w:tc>
          <w:tcPr>
            <w:tcW w:w="1900" w:type="dxa"/>
          </w:tcPr>
          <w:p w14:paraId="35C6EED6" w14:textId="77777777" w:rsidR="00000000" w:rsidRDefault="007D38CE">
            <w:pPr>
              <w:tabs>
                <w:tab w:val="clear" w:pos="794"/>
                <w:tab w:val="clear" w:pos="1191"/>
                <w:tab w:val="clear" w:pos="1588"/>
                <w:tab w:val="clear" w:pos="1985"/>
                <w:tab w:val="decimal" w:pos="284"/>
                <w:tab w:val="left" w:pos="567"/>
                <w:tab w:val="decimal" w:pos="964"/>
                <w:tab w:val="left" w:pos="1247"/>
              </w:tabs>
              <w:spacing w:before="40"/>
              <w:jc w:val="left"/>
            </w:pPr>
            <w:r>
              <w:tab/>
              <w:t>75,2</w:t>
            </w:r>
            <w:r>
              <w:tab/>
              <w:t>-</w:t>
            </w:r>
            <w:r>
              <w:tab/>
              <w:t>87,5</w:t>
            </w:r>
            <w:r>
              <w:tab/>
              <w:t>MHz</w:t>
            </w:r>
          </w:p>
        </w:tc>
      </w:tr>
      <w:tr w:rsidR="00000000" w14:paraId="7EAB96D3" w14:textId="77777777">
        <w:tblPrEx>
          <w:tblCellMar>
            <w:top w:w="0" w:type="dxa"/>
            <w:left w:w="0" w:type="dxa"/>
            <w:bottom w:w="0" w:type="dxa"/>
            <w:right w:w="0" w:type="dxa"/>
          </w:tblCellMar>
        </w:tblPrEx>
        <w:trPr>
          <w:cantSplit/>
        </w:trPr>
        <w:tc>
          <w:tcPr>
            <w:tcW w:w="794" w:type="dxa"/>
          </w:tcPr>
          <w:p w14:paraId="4D182FFE" w14:textId="77777777" w:rsidR="00000000" w:rsidRDefault="007D38CE">
            <w:pPr>
              <w:tabs>
                <w:tab w:val="clear" w:pos="794"/>
                <w:tab w:val="clear" w:pos="1191"/>
                <w:tab w:val="clear" w:pos="1588"/>
                <w:tab w:val="clear" w:pos="1985"/>
                <w:tab w:val="decimal" w:pos="851"/>
                <w:tab w:val="decimal" w:pos="1220"/>
                <w:tab w:val="decimal" w:pos="1560"/>
                <w:tab w:val="left" w:pos="1843"/>
              </w:tabs>
              <w:spacing w:before="40"/>
            </w:pPr>
          </w:p>
        </w:tc>
        <w:tc>
          <w:tcPr>
            <w:tcW w:w="1900" w:type="dxa"/>
          </w:tcPr>
          <w:p w14:paraId="33F5FB04" w14:textId="77777777" w:rsidR="00000000" w:rsidRDefault="007D38CE">
            <w:pPr>
              <w:tabs>
                <w:tab w:val="clear" w:pos="794"/>
                <w:tab w:val="clear" w:pos="1191"/>
                <w:tab w:val="clear" w:pos="1588"/>
                <w:tab w:val="clear" w:pos="1985"/>
                <w:tab w:val="decimal" w:pos="284"/>
                <w:tab w:val="left" w:pos="567"/>
                <w:tab w:val="decimal" w:pos="964"/>
                <w:tab w:val="left" w:pos="1247"/>
              </w:tabs>
              <w:spacing w:before="40"/>
              <w:jc w:val="left"/>
            </w:pPr>
            <w:r>
              <w:tab/>
              <w:t>146</w:t>
            </w:r>
            <w:r>
              <w:tab/>
              <w:t>-</w:t>
            </w:r>
            <w:r>
              <w:tab/>
              <w:t>149,9</w:t>
            </w:r>
            <w:r>
              <w:tab/>
              <w:t>MHz</w:t>
            </w:r>
          </w:p>
        </w:tc>
      </w:tr>
      <w:tr w:rsidR="00000000" w14:paraId="3589EFEA" w14:textId="77777777">
        <w:tblPrEx>
          <w:tblCellMar>
            <w:top w:w="0" w:type="dxa"/>
            <w:left w:w="0" w:type="dxa"/>
            <w:bottom w:w="0" w:type="dxa"/>
            <w:right w:w="0" w:type="dxa"/>
          </w:tblCellMar>
        </w:tblPrEx>
        <w:trPr>
          <w:cantSplit/>
        </w:trPr>
        <w:tc>
          <w:tcPr>
            <w:tcW w:w="794" w:type="dxa"/>
          </w:tcPr>
          <w:p w14:paraId="17C61CB5" w14:textId="77777777" w:rsidR="00000000" w:rsidRDefault="007D38CE">
            <w:pPr>
              <w:tabs>
                <w:tab w:val="clear" w:pos="794"/>
                <w:tab w:val="clear" w:pos="1191"/>
                <w:tab w:val="clear" w:pos="1588"/>
                <w:tab w:val="clear" w:pos="1985"/>
                <w:tab w:val="decimal" w:pos="851"/>
                <w:tab w:val="decimal" w:pos="1220"/>
                <w:tab w:val="decimal" w:pos="1560"/>
                <w:tab w:val="left" w:pos="1843"/>
              </w:tabs>
              <w:spacing w:before="40"/>
            </w:pPr>
          </w:p>
        </w:tc>
        <w:tc>
          <w:tcPr>
            <w:tcW w:w="1900" w:type="dxa"/>
          </w:tcPr>
          <w:p w14:paraId="26480F91" w14:textId="77777777" w:rsidR="00000000" w:rsidRDefault="007D38CE">
            <w:pPr>
              <w:tabs>
                <w:tab w:val="clear" w:pos="794"/>
                <w:tab w:val="clear" w:pos="1191"/>
                <w:tab w:val="clear" w:pos="1588"/>
                <w:tab w:val="clear" w:pos="1985"/>
                <w:tab w:val="decimal" w:pos="284"/>
                <w:tab w:val="left" w:pos="567"/>
                <w:tab w:val="decimal" w:pos="964"/>
                <w:tab w:val="left" w:pos="1247"/>
              </w:tabs>
              <w:spacing w:before="40"/>
              <w:jc w:val="left"/>
            </w:pPr>
            <w:r>
              <w:tab/>
              <w:t>150,05</w:t>
            </w:r>
            <w:r>
              <w:tab/>
              <w:t>-</w:t>
            </w:r>
            <w:r>
              <w:tab/>
              <w:t>174</w:t>
            </w:r>
            <w:r>
              <w:tab/>
              <w:t>MHz</w:t>
            </w:r>
          </w:p>
        </w:tc>
      </w:tr>
      <w:tr w:rsidR="00000000" w14:paraId="0AA3D14F" w14:textId="77777777">
        <w:tblPrEx>
          <w:tblCellMar>
            <w:top w:w="0" w:type="dxa"/>
            <w:left w:w="0" w:type="dxa"/>
            <w:bottom w:w="0" w:type="dxa"/>
            <w:right w:w="0" w:type="dxa"/>
          </w:tblCellMar>
        </w:tblPrEx>
        <w:trPr>
          <w:cantSplit/>
        </w:trPr>
        <w:tc>
          <w:tcPr>
            <w:tcW w:w="794" w:type="dxa"/>
          </w:tcPr>
          <w:p w14:paraId="07C5AD5E" w14:textId="77777777" w:rsidR="00000000" w:rsidRDefault="007D38CE">
            <w:pPr>
              <w:tabs>
                <w:tab w:val="clear" w:pos="794"/>
                <w:tab w:val="clear" w:pos="1191"/>
                <w:tab w:val="clear" w:pos="1588"/>
                <w:tab w:val="clear" w:pos="1985"/>
                <w:tab w:val="decimal" w:pos="851"/>
                <w:tab w:val="decimal" w:pos="1220"/>
                <w:tab w:val="decimal" w:pos="1560"/>
                <w:tab w:val="left" w:pos="1843"/>
              </w:tabs>
              <w:spacing w:before="40"/>
            </w:pPr>
          </w:p>
        </w:tc>
        <w:tc>
          <w:tcPr>
            <w:tcW w:w="1900" w:type="dxa"/>
          </w:tcPr>
          <w:p w14:paraId="45989BF5" w14:textId="77777777" w:rsidR="00000000" w:rsidRDefault="007D38CE">
            <w:pPr>
              <w:tabs>
                <w:tab w:val="clear" w:pos="794"/>
                <w:tab w:val="clear" w:pos="1191"/>
                <w:tab w:val="clear" w:pos="1588"/>
                <w:tab w:val="clear" w:pos="1985"/>
                <w:tab w:val="decimal" w:pos="284"/>
                <w:tab w:val="left" w:pos="567"/>
                <w:tab w:val="decimal" w:pos="964"/>
                <w:tab w:val="left" w:pos="1247"/>
              </w:tabs>
              <w:spacing w:before="40"/>
              <w:jc w:val="left"/>
            </w:pPr>
            <w:r>
              <w:tab/>
              <w:t>406,1</w:t>
            </w:r>
            <w:r>
              <w:tab/>
              <w:t>-</w:t>
            </w:r>
            <w:r>
              <w:tab/>
              <w:t>430</w:t>
            </w:r>
            <w:r>
              <w:tab/>
              <w:t>MHz</w:t>
            </w:r>
          </w:p>
        </w:tc>
      </w:tr>
      <w:tr w:rsidR="00000000" w14:paraId="3174937C" w14:textId="77777777">
        <w:tblPrEx>
          <w:tblCellMar>
            <w:top w:w="0" w:type="dxa"/>
            <w:left w:w="0" w:type="dxa"/>
            <w:bottom w:w="0" w:type="dxa"/>
            <w:right w:w="0" w:type="dxa"/>
          </w:tblCellMar>
        </w:tblPrEx>
        <w:trPr>
          <w:cantSplit/>
        </w:trPr>
        <w:tc>
          <w:tcPr>
            <w:tcW w:w="794" w:type="dxa"/>
          </w:tcPr>
          <w:p w14:paraId="49A18C3B" w14:textId="77777777" w:rsidR="00000000" w:rsidRDefault="007D38CE">
            <w:pPr>
              <w:tabs>
                <w:tab w:val="clear" w:pos="794"/>
                <w:tab w:val="clear" w:pos="1191"/>
                <w:tab w:val="clear" w:pos="1588"/>
                <w:tab w:val="clear" w:pos="1985"/>
                <w:tab w:val="decimal" w:pos="851"/>
                <w:tab w:val="decimal" w:pos="1220"/>
                <w:tab w:val="decimal" w:pos="1560"/>
                <w:tab w:val="left" w:pos="1843"/>
              </w:tabs>
              <w:spacing w:before="40"/>
            </w:pPr>
          </w:p>
        </w:tc>
        <w:tc>
          <w:tcPr>
            <w:tcW w:w="1900" w:type="dxa"/>
          </w:tcPr>
          <w:p w14:paraId="558D86AE" w14:textId="77777777" w:rsidR="00000000" w:rsidRDefault="007D38CE">
            <w:pPr>
              <w:tabs>
                <w:tab w:val="clear" w:pos="794"/>
                <w:tab w:val="clear" w:pos="1191"/>
                <w:tab w:val="clear" w:pos="1588"/>
                <w:tab w:val="clear" w:pos="1985"/>
                <w:tab w:val="decimal" w:pos="284"/>
                <w:tab w:val="left" w:pos="567"/>
                <w:tab w:val="decimal" w:pos="964"/>
                <w:tab w:val="left" w:pos="1247"/>
              </w:tabs>
              <w:spacing w:before="40"/>
              <w:jc w:val="left"/>
            </w:pPr>
            <w:r>
              <w:tab/>
              <w:t>440</w:t>
            </w:r>
            <w:r>
              <w:tab/>
              <w:t>-</w:t>
            </w:r>
            <w:r>
              <w:tab/>
              <w:t>470</w:t>
            </w:r>
            <w:r>
              <w:tab/>
              <w:t>MHz</w:t>
            </w:r>
          </w:p>
        </w:tc>
      </w:tr>
      <w:tr w:rsidR="00000000" w14:paraId="0131C661" w14:textId="77777777">
        <w:tblPrEx>
          <w:tblCellMar>
            <w:top w:w="0" w:type="dxa"/>
            <w:left w:w="0" w:type="dxa"/>
            <w:bottom w:w="0" w:type="dxa"/>
            <w:right w:w="0" w:type="dxa"/>
          </w:tblCellMar>
        </w:tblPrEx>
        <w:trPr>
          <w:cantSplit/>
        </w:trPr>
        <w:tc>
          <w:tcPr>
            <w:tcW w:w="794" w:type="dxa"/>
          </w:tcPr>
          <w:p w14:paraId="604AC074" w14:textId="77777777" w:rsidR="00000000" w:rsidRDefault="007D38CE">
            <w:pPr>
              <w:tabs>
                <w:tab w:val="clear" w:pos="794"/>
                <w:tab w:val="clear" w:pos="1191"/>
                <w:tab w:val="clear" w:pos="1588"/>
                <w:tab w:val="clear" w:pos="1985"/>
                <w:tab w:val="decimal" w:pos="851"/>
                <w:tab w:val="decimal" w:pos="1220"/>
                <w:tab w:val="decimal" w:pos="1560"/>
                <w:tab w:val="left" w:pos="1843"/>
              </w:tabs>
              <w:spacing w:before="40"/>
            </w:pPr>
          </w:p>
        </w:tc>
        <w:tc>
          <w:tcPr>
            <w:tcW w:w="1900" w:type="dxa"/>
          </w:tcPr>
          <w:p w14:paraId="2EC61C20" w14:textId="77777777" w:rsidR="00000000" w:rsidRDefault="007D38CE">
            <w:pPr>
              <w:tabs>
                <w:tab w:val="clear" w:pos="794"/>
                <w:tab w:val="clear" w:pos="1191"/>
                <w:tab w:val="clear" w:pos="1588"/>
                <w:tab w:val="clear" w:pos="1985"/>
                <w:tab w:val="decimal" w:pos="284"/>
                <w:tab w:val="left" w:pos="567"/>
                <w:tab w:val="decimal" w:pos="964"/>
                <w:tab w:val="left" w:pos="1247"/>
              </w:tabs>
              <w:spacing w:before="40"/>
              <w:jc w:val="left"/>
            </w:pPr>
            <w:r>
              <w:tab/>
              <w:t>862</w:t>
            </w:r>
            <w:r>
              <w:tab/>
              <w:t>-</w:t>
            </w:r>
            <w:r>
              <w:tab/>
              <w:t>960</w:t>
            </w:r>
            <w:r>
              <w:tab/>
              <w:t>MHz</w:t>
            </w:r>
          </w:p>
        </w:tc>
      </w:tr>
    </w:tbl>
    <w:p w14:paraId="6D94270A" w14:textId="77777777" w:rsidR="00000000" w:rsidRPr="007D38CE" w:rsidRDefault="007D38CE">
      <w:pPr>
        <w:ind w:left="794" w:hanging="794"/>
        <w:rPr>
          <w:lang w:val="fr-CH"/>
        </w:rPr>
      </w:pPr>
      <w:r w:rsidRPr="007D38CE">
        <w:rPr>
          <w:lang w:val="fr-CH"/>
        </w:rPr>
        <w:t>1.2.2</w:t>
      </w:r>
      <w:r w:rsidRPr="007D38CE">
        <w:rPr>
          <w:lang w:val="fr-CH"/>
        </w:rPr>
        <w:tab/>
        <w:t>Pour ces services utilisant d'autres bandes de fréquences comprises entre 29,7 et 960 MHz, pour tous les autres services utilisant cette bande, ainsi que pour tous les services utilisant les bandes de fréquences comprises entre 1</w:t>
      </w:r>
      <w:r w:rsidRPr="007D38CE">
        <w:rPr>
          <w:rFonts w:ascii="Tms Rmn" w:hAnsi="Tms Rmn"/>
          <w:sz w:val="12"/>
          <w:lang w:val="fr-CH"/>
        </w:rPr>
        <w:t> </w:t>
      </w:r>
      <w:r w:rsidRPr="007D38CE">
        <w:rPr>
          <w:lang w:val="fr-CH"/>
        </w:rPr>
        <w:t>350 et 2</w:t>
      </w:r>
      <w:r w:rsidRPr="007D38CE">
        <w:rPr>
          <w:rFonts w:ascii="Tms Rmn" w:hAnsi="Tms Rmn"/>
          <w:sz w:val="12"/>
          <w:lang w:val="fr-CH"/>
        </w:rPr>
        <w:t> </w:t>
      </w:r>
      <w:r w:rsidRPr="007D38CE">
        <w:rPr>
          <w:lang w:val="fr-CH"/>
        </w:rPr>
        <w:t>690 MHz, la procédure de coordination déterminée dans le présent Accord peut être suivie, les paramètres techniques étant, le cas échéant, à convenir sépar</w:t>
      </w:r>
      <w:r w:rsidRPr="007D38CE">
        <w:rPr>
          <w:lang w:val="fr-CH"/>
        </w:rPr>
        <w:t>ément.</w:t>
      </w:r>
    </w:p>
    <w:p w14:paraId="67AAA67D" w14:textId="77777777" w:rsidR="00000000" w:rsidRPr="007D38CE" w:rsidRDefault="007D38CE">
      <w:pPr>
        <w:pStyle w:val="Heading2"/>
        <w:rPr>
          <w:lang w:val="fr-CH"/>
        </w:rPr>
      </w:pPr>
      <w:r w:rsidRPr="007D38CE">
        <w:rPr>
          <w:b w:val="0"/>
          <w:sz w:val="20"/>
          <w:lang w:val="fr-CH"/>
        </w:rPr>
        <w:t>1.3</w:t>
      </w:r>
      <w:r w:rsidRPr="007D38CE">
        <w:rPr>
          <w:b w:val="0"/>
          <w:sz w:val="20"/>
          <w:lang w:val="fr-CH"/>
        </w:rPr>
        <w:tab/>
      </w:r>
      <w:r w:rsidRPr="007D38CE">
        <w:rPr>
          <w:b w:val="0"/>
          <w:sz w:val="20"/>
          <w:u w:val="single"/>
          <w:lang w:val="fr-CH"/>
        </w:rPr>
        <w:t>Catégories de fréquences</w:t>
      </w:r>
    </w:p>
    <w:p w14:paraId="18C1F888" w14:textId="77777777" w:rsidR="00000000" w:rsidRPr="007D38CE" w:rsidRDefault="007D38CE">
      <w:pPr>
        <w:pStyle w:val="Heading3"/>
        <w:rPr>
          <w:b w:val="0"/>
          <w:lang w:val="fr-CH"/>
        </w:rPr>
      </w:pPr>
      <w:r w:rsidRPr="007D38CE">
        <w:rPr>
          <w:b w:val="0"/>
          <w:lang w:val="fr-CH"/>
        </w:rPr>
        <w:t>1.3.1</w:t>
      </w:r>
      <w:r w:rsidRPr="007D38CE">
        <w:rPr>
          <w:b w:val="0"/>
          <w:lang w:val="fr-CH"/>
        </w:rPr>
        <w:tab/>
      </w:r>
      <w:r w:rsidRPr="007D38CE">
        <w:rPr>
          <w:b w:val="0"/>
          <w:u w:val="single"/>
          <w:lang w:val="fr-CH"/>
        </w:rPr>
        <w:t>Fréquences à coordonner</w:t>
      </w:r>
    </w:p>
    <w:p w14:paraId="64683B31" w14:textId="77777777" w:rsidR="00000000" w:rsidRPr="007D38CE" w:rsidRDefault="007D38CE">
      <w:pPr>
        <w:ind w:left="794" w:hanging="794"/>
        <w:rPr>
          <w:lang w:val="fr-CH"/>
        </w:rPr>
      </w:pPr>
      <w:r w:rsidRPr="007D38CE">
        <w:rPr>
          <w:lang w:val="fr-CH"/>
        </w:rPr>
        <w:tab/>
        <w:t>Fréquences que les Administrations sont tenues de coordonner avec les autres Administrations concernées avant la mise en service d'une station.</w:t>
      </w:r>
    </w:p>
    <w:p w14:paraId="0DB3B313" w14:textId="77777777" w:rsidR="00000000" w:rsidRPr="007D38CE" w:rsidRDefault="007D38CE">
      <w:pPr>
        <w:pStyle w:val="Heading3"/>
        <w:rPr>
          <w:b w:val="0"/>
          <w:lang w:val="fr-CH"/>
        </w:rPr>
      </w:pPr>
      <w:r w:rsidRPr="007D38CE">
        <w:rPr>
          <w:b w:val="0"/>
          <w:lang w:val="fr-CH"/>
        </w:rPr>
        <w:t>1.3.2</w:t>
      </w:r>
      <w:r w:rsidRPr="007D38CE">
        <w:rPr>
          <w:b w:val="0"/>
          <w:lang w:val="fr-CH"/>
        </w:rPr>
        <w:tab/>
      </w:r>
      <w:r w:rsidRPr="007D38CE">
        <w:rPr>
          <w:b w:val="0"/>
          <w:u w:val="single"/>
          <w:lang w:val="fr-CH"/>
        </w:rPr>
        <w:t>Fréquences préférentielles</w:t>
      </w:r>
      <w:r w:rsidRPr="007D38CE">
        <w:rPr>
          <w:rStyle w:val="FootnoteReference"/>
          <w:lang w:val="fr-CH"/>
        </w:rPr>
        <w:footnoteReference w:customMarkFollows="1" w:id="3"/>
        <w:t>*</w:t>
      </w:r>
      <w:r w:rsidRPr="007D38CE">
        <w:rPr>
          <w:b w:val="0"/>
          <w:u w:val="single"/>
          <w:lang w:val="fr-CH"/>
        </w:rPr>
        <w:t xml:space="preserve"> </w:t>
      </w:r>
    </w:p>
    <w:p w14:paraId="41E9A570" w14:textId="77777777" w:rsidR="00000000" w:rsidRPr="007D38CE" w:rsidRDefault="007D38CE">
      <w:pPr>
        <w:ind w:left="794" w:hanging="794"/>
        <w:rPr>
          <w:lang w:val="fr-CH"/>
        </w:rPr>
      </w:pPr>
      <w:r w:rsidRPr="007D38CE">
        <w:rPr>
          <w:lang w:val="fr-CH"/>
        </w:rPr>
        <w:tab/>
        <w:t>Fréquences pouvant être assignées, sans coordination préalable, par les Administrations intéressées sur la base d'accords bilatéraux ou multilatéraux et en application des conditions qui y sont incluses.</w:t>
      </w:r>
    </w:p>
    <w:p w14:paraId="3B7C82BE" w14:textId="77777777" w:rsidR="00000000" w:rsidRPr="007D38CE" w:rsidRDefault="007D38CE">
      <w:pPr>
        <w:pStyle w:val="Heading3"/>
        <w:rPr>
          <w:b w:val="0"/>
          <w:lang w:val="fr-CH"/>
        </w:rPr>
      </w:pPr>
      <w:r w:rsidRPr="007D38CE">
        <w:rPr>
          <w:b w:val="0"/>
          <w:lang w:val="fr-CH"/>
        </w:rPr>
        <w:t>1.3.3</w:t>
      </w:r>
      <w:r w:rsidRPr="007D38CE">
        <w:rPr>
          <w:b w:val="0"/>
          <w:lang w:val="fr-CH"/>
        </w:rPr>
        <w:tab/>
      </w:r>
      <w:r w:rsidRPr="007D38CE">
        <w:rPr>
          <w:b w:val="0"/>
          <w:u w:val="single"/>
          <w:lang w:val="fr-CH"/>
        </w:rPr>
        <w:t>Fréquences partagées</w:t>
      </w:r>
    </w:p>
    <w:p w14:paraId="32B090AF" w14:textId="77777777" w:rsidR="00000000" w:rsidRPr="007D38CE" w:rsidRDefault="007D38CE">
      <w:pPr>
        <w:ind w:left="794" w:hanging="794"/>
        <w:rPr>
          <w:lang w:val="fr-CH"/>
        </w:rPr>
      </w:pPr>
      <w:r w:rsidRPr="007D38CE">
        <w:rPr>
          <w:lang w:val="fr-CH"/>
        </w:rPr>
        <w:tab/>
        <w:t>Fréquences pouvant être utilisées</w:t>
      </w:r>
      <w:r w:rsidRPr="007D38CE">
        <w:rPr>
          <w:lang w:val="fr-CH"/>
        </w:rPr>
        <w:t xml:space="preserve"> en partage, sans coordination préalable, sur la base d'accords bilatéraux ou multilatéraux et en application des conditions qui y sont incluses.</w:t>
      </w:r>
    </w:p>
    <w:p w14:paraId="3AAB655D" w14:textId="77777777" w:rsidR="00000000" w:rsidRPr="007D38CE" w:rsidRDefault="007D38CE">
      <w:pPr>
        <w:pStyle w:val="Heading3"/>
        <w:rPr>
          <w:b w:val="0"/>
          <w:lang w:val="fr-CH"/>
        </w:rPr>
      </w:pPr>
      <w:r w:rsidRPr="007D38CE">
        <w:rPr>
          <w:b w:val="0"/>
          <w:lang w:val="fr-CH"/>
        </w:rPr>
        <w:t>1.3.4</w:t>
      </w:r>
      <w:r w:rsidRPr="007D38CE">
        <w:rPr>
          <w:b w:val="0"/>
          <w:lang w:val="fr-CH"/>
        </w:rPr>
        <w:tab/>
      </w:r>
      <w:r w:rsidRPr="007D38CE">
        <w:rPr>
          <w:b w:val="0"/>
          <w:u w:val="single"/>
          <w:lang w:val="fr-CH"/>
        </w:rPr>
        <w:t>Fréquences pour les réseaux de radiocommunication envisagés</w:t>
      </w:r>
    </w:p>
    <w:p w14:paraId="5C5C67D1" w14:textId="77777777" w:rsidR="00000000" w:rsidRPr="007D38CE" w:rsidRDefault="007D38CE">
      <w:pPr>
        <w:ind w:left="794" w:hanging="794"/>
        <w:rPr>
          <w:lang w:val="fr-CH"/>
        </w:rPr>
      </w:pPr>
      <w:r w:rsidRPr="007D38CE">
        <w:rPr>
          <w:lang w:val="fr-CH"/>
        </w:rPr>
        <w:tab/>
        <w:t>Fréquences que les Administrations doivent coordonner en vue de l'établissement ultérieur de réseaux de radiocommunications cohérents.</w:t>
      </w:r>
    </w:p>
    <w:p w14:paraId="60079E42" w14:textId="77777777" w:rsidR="00000000" w:rsidRPr="007D38CE" w:rsidRDefault="007D38CE">
      <w:pPr>
        <w:pStyle w:val="Heading3"/>
        <w:rPr>
          <w:b w:val="0"/>
          <w:lang w:val="fr-CH"/>
        </w:rPr>
      </w:pPr>
      <w:r w:rsidRPr="007D38CE">
        <w:rPr>
          <w:b w:val="0"/>
          <w:lang w:val="fr-CH"/>
        </w:rPr>
        <w:br w:type="page"/>
        <w:t>1.3.5</w:t>
      </w:r>
      <w:r w:rsidRPr="007D38CE">
        <w:rPr>
          <w:b w:val="0"/>
          <w:lang w:val="fr-CH"/>
        </w:rPr>
        <w:tab/>
      </w:r>
      <w:r w:rsidRPr="007D38CE">
        <w:rPr>
          <w:b w:val="0"/>
          <w:u w:val="single"/>
          <w:lang w:val="fr-CH"/>
        </w:rPr>
        <w:t>Fréquences utilisées selon des plans de réseaux géographiques</w:t>
      </w:r>
    </w:p>
    <w:p w14:paraId="1F4F21F2" w14:textId="77777777" w:rsidR="00000000" w:rsidRPr="007D38CE" w:rsidRDefault="007D38CE">
      <w:pPr>
        <w:ind w:left="794" w:hanging="794"/>
        <w:rPr>
          <w:lang w:val="fr-CH"/>
        </w:rPr>
      </w:pPr>
      <w:r w:rsidRPr="007D38CE">
        <w:rPr>
          <w:lang w:val="fr-CH"/>
        </w:rPr>
        <w:tab/>
        <w:t>Fréquences utilisées par les pays intéressés sur la base d'un plan de réseau géographique préa</w:t>
      </w:r>
      <w:r w:rsidRPr="007D38CE">
        <w:rPr>
          <w:lang w:val="fr-CH"/>
        </w:rPr>
        <w:t>lablement établi et adopté, compte tenu des caractéristiques techniques prévues dans ce plan.</w:t>
      </w:r>
    </w:p>
    <w:p w14:paraId="39D5FDD5" w14:textId="77777777" w:rsidR="00000000" w:rsidRPr="007D38CE" w:rsidRDefault="007D38CE">
      <w:pPr>
        <w:pStyle w:val="Heading2"/>
        <w:rPr>
          <w:b w:val="0"/>
          <w:sz w:val="20"/>
          <w:lang w:val="fr-CH"/>
        </w:rPr>
      </w:pPr>
      <w:r w:rsidRPr="007D38CE">
        <w:rPr>
          <w:b w:val="0"/>
          <w:sz w:val="20"/>
          <w:lang w:val="fr-CH"/>
        </w:rPr>
        <w:t>1.4</w:t>
      </w:r>
      <w:r w:rsidRPr="007D38CE">
        <w:rPr>
          <w:b w:val="0"/>
          <w:sz w:val="20"/>
          <w:lang w:val="fr-CH"/>
        </w:rPr>
        <w:tab/>
      </w:r>
      <w:r w:rsidRPr="007D38CE">
        <w:rPr>
          <w:b w:val="0"/>
          <w:sz w:val="20"/>
          <w:u w:val="single"/>
          <w:lang w:val="fr-CH"/>
        </w:rPr>
        <w:t>Fichier de fréquences</w:t>
      </w:r>
    </w:p>
    <w:p w14:paraId="6177A1B4" w14:textId="77777777" w:rsidR="00000000" w:rsidRPr="007D38CE" w:rsidRDefault="007D38CE">
      <w:pPr>
        <w:ind w:left="794" w:hanging="794"/>
        <w:rPr>
          <w:lang w:val="fr-CH"/>
        </w:rPr>
      </w:pPr>
      <w:r w:rsidRPr="007D38CE">
        <w:rPr>
          <w:lang w:val="fr-CH"/>
        </w:rPr>
        <w:tab/>
        <w:t>Le Fichier de fréquences constitue un récapitulatif établi par chaque Administration et contenant ses fréquences coordonnées, ses fréquences préférentielles assignées, ses fréquences partagées, ses fréquences coordonnées pour les réseaux de radiocommunications envisagés et ses fréquences utilisées selon des plans de réseaux géographiques. Les données à inclure dans le Fichier font l'objet</w:t>
      </w:r>
      <w:r w:rsidRPr="007D38CE">
        <w:rPr>
          <w:lang w:val="fr-CH"/>
        </w:rPr>
        <w:t xml:space="preserve"> de l'</w:t>
      </w:r>
      <w:r w:rsidRPr="007D38CE">
        <w:rPr>
          <w:u w:val="single"/>
          <w:lang w:val="fr-CH"/>
        </w:rPr>
        <w:t>Annexe 2</w:t>
      </w:r>
      <w:r w:rsidRPr="007D38CE">
        <w:rPr>
          <w:b/>
          <w:lang w:val="fr-CH"/>
        </w:rPr>
        <w:t xml:space="preserve"> </w:t>
      </w:r>
      <w:r w:rsidRPr="007D38CE">
        <w:rPr>
          <w:i/>
          <w:lang w:val="fr-CH"/>
        </w:rPr>
        <w:t>(pas jointe)</w:t>
      </w:r>
      <w:r w:rsidRPr="007D38CE">
        <w:rPr>
          <w:lang w:val="fr-CH"/>
        </w:rPr>
        <w:t>.</w:t>
      </w:r>
    </w:p>
    <w:p w14:paraId="4583619D" w14:textId="77777777" w:rsidR="00000000" w:rsidRPr="007D38CE" w:rsidRDefault="007D38CE">
      <w:pPr>
        <w:pStyle w:val="Heading2"/>
        <w:rPr>
          <w:b w:val="0"/>
          <w:sz w:val="20"/>
          <w:lang w:val="fr-CH"/>
        </w:rPr>
      </w:pPr>
      <w:r w:rsidRPr="007D38CE">
        <w:rPr>
          <w:b w:val="0"/>
          <w:sz w:val="20"/>
          <w:lang w:val="fr-CH"/>
        </w:rPr>
        <w:t>1.5</w:t>
      </w:r>
      <w:r w:rsidRPr="007D38CE">
        <w:rPr>
          <w:b w:val="0"/>
          <w:sz w:val="20"/>
          <w:lang w:val="fr-CH"/>
        </w:rPr>
        <w:tab/>
      </w:r>
      <w:r w:rsidRPr="007D38CE">
        <w:rPr>
          <w:b w:val="0"/>
          <w:sz w:val="20"/>
          <w:u w:val="single"/>
          <w:lang w:val="fr-CH"/>
        </w:rPr>
        <w:t>Brouillage préjudiciable</w:t>
      </w:r>
    </w:p>
    <w:p w14:paraId="5C449B1A" w14:textId="77777777" w:rsidR="00000000" w:rsidRPr="007D38CE" w:rsidRDefault="007D38CE">
      <w:pPr>
        <w:ind w:left="794" w:hanging="794"/>
        <w:rPr>
          <w:lang w:val="fr-CH"/>
        </w:rPr>
      </w:pPr>
      <w:r w:rsidRPr="007D38CE">
        <w:rPr>
          <w:lang w:val="fr-CH"/>
        </w:rPr>
        <w:tab/>
        <w:t>Est considérée comme brouillage préjudiciable toute émission qui nuit de façon sensible au déroulement des communications d'un service de radiocommunications, l'entrave ou l'interrompt de façon répétée, en dépassant l'intensité maximale admissible de champ brouilleur spécifiée à l'</w:t>
      </w:r>
      <w:r w:rsidRPr="007D38CE">
        <w:rPr>
          <w:u w:val="single"/>
          <w:lang w:val="fr-CH"/>
        </w:rPr>
        <w:t>Annexe 1</w:t>
      </w:r>
      <w:r w:rsidRPr="007D38CE">
        <w:rPr>
          <w:b/>
          <w:lang w:val="fr-CH"/>
        </w:rPr>
        <w:t xml:space="preserve"> </w:t>
      </w:r>
      <w:r w:rsidRPr="007D38CE">
        <w:rPr>
          <w:i/>
          <w:lang w:val="fr-CH"/>
        </w:rPr>
        <w:t>(ci-jointe)</w:t>
      </w:r>
      <w:r w:rsidRPr="007D38CE">
        <w:rPr>
          <w:lang w:val="fr-CH"/>
        </w:rPr>
        <w:t>.</w:t>
      </w:r>
    </w:p>
    <w:p w14:paraId="4EFF10D5" w14:textId="77777777" w:rsidR="00000000" w:rsidRPr="007D38CE" w:rsidRDefault="007D38CE">
      <w:pPr>
        <w:pStyle w:val="Heading2"/>
        <w:rPr>
          <w:b w:val="0"/>
          <w:sz w:val="20"/>
          <w:lang w:val="fr-CH"/>
        </w:rPr>
      </w:pPr>
      <w:r w:rsidRPr="007D38CE">
        <w:rPr>
          <w:b w:val="0"/>
          <w:sz w:val="20"/>
          <w:lang w:val="fr-CH"/>
        </w:rPr>
        <w:t>1.6</w:t>
      </w:r>
      <w:r w:rsidRPr="007D38CE">
        <w:rPr>
          <w:b w:val="0"/>
          <w:sz w:val="20"/>
          <w:lang w:val="fr-CH"/>
        </w:rPr>
        <w:tab/>
      </w:r>
      <w:r w:rsidRPr="007D38CE">
        <w:rPr>
          <w:b w:val="0"/>
          <w:sz w:val="20"/>
          <w:u w:val="single"/>
          <w:lang w:val="fr-CH"/>
        </w:rPr>
        <w:t>Administration concernée</w:t>
      </w:r>
    </w:p>
    <w:p w14:paraId="2A3593CC" w14:textId="77777777" w:rsidR="00000000" w:rsidRPr="007D38CE" w:rsidRDefault="007D38CE">
      <w:pPr>
        <w:ind w:left="794" w:hanging="794"/>
        <w:rPr>
          <w:lang w:val="fr-CH"/>
        </w:rPr>
      </w:pPr>
      <w:r w:rsidRPr="007D38CE">
        <w:rPr>
          <w:lang w:val="fr-CH"/>
        </w:rPr>
        <w:tab/>
        <w:t>Par Administration concernée, on entend toute Administration dont la station radioélectrique est susceptible d'être gên</w:t>
      </w:r>
      <w:r w:rsidRPr="007D38CE">
        <w:rPr>
          <w:lang w:val="fr-CH"/>
        </w:rPr>
        <w:t>ée par des brouillages préjudiciables causés par une utilisation de fréquence envisagée ou dont la station radioélectrique pourrait provoquer des brouillages préjudiciables auprès d'une station de réception envisagée par l'Administration qui fait la demande.</w:t>
      </w:r>
    </w:p>
    <w:p w14:paraId="6473B979" w14:textId="77777777" w:rsidR="00000000" w:rsidRPr="007D38CE" w:rsidRDefault="007D38CE">
      <w:pPr>
        <w:pStyle w:val="Heading1"/>
        <w:rPr>
          <w:lang w:val="fr-CH"/>
        </w:rPr>
      </w:pPr>
      <w:r w:rsidRPr="007D38CE">
        <w:rPr>
          <w:sz w:val="20"/>
          <w:lang w:val="fr-CH"/>
        </w:rPr>
        <w:t>2</w:t>
      </w:r>
      <w:r w:rsidRPr="007D38CE">
        <w:rPr>
          <w:sz w:val="20"/>
          <w:lang w:val="fr-CH"/>
        </w:rPr>
        <w:tab/>
      </w:r>
      <w:r w:rsidRPr="007D38CE">
        <w:rPr>
          <w:sz w:val="20"/>
          <w:u w:val="single"/>
          <w:lang w:val="fr-CH"/>
        </w:rPr>
        <w:t>Généralités</w:t>
      </w:r>
    </w:p>
    <w:p w14:paraId="469F31EB" w14:textId="77777777" w:rsidR="00000000" w:rsidRPr="007D38CE" w:rsidRDefault="007D38CE">
      <w:pPr>
        <w:ind w:left="794" w:hanging="794"/>
        <w:rPr>
          <w:lang w:val="fr-CH"/>
        </w:rPr>
      </w:pPr>
      <w:r w:rsidRPr="007D38CE">
        <w:rPr>
          <w:lang w:val="fr-CH"/>
        </w:rPr>
        <w:t>2.1</w:t>
      </w:r>
      <w:r w:rsidRPr="007D38CE">
        <w:rPr>
          <w:b/>
          <w:lang w:val="fr-CH"/>
        </w:rPr>
        <w:tab/>
      </w:r>
      <w:r w:rsidRPr="007D38CE">
        <w:rPr>
          <w:lang w:val="fr-CH"/>
        </w:rPr>
        <w:t>Le présent Accord n'affecte en rien les droits et obligations des Administrations découlant de la Convention internationale des télécommunications, des Règlements et des Accords de l'Union internationale des télécommunications, ainsi q</w:t>
      </w:r>
      <w:r w:rsidRPr="007D38CE">
        <w:rPr>
          <w:lang w:val="fr-CH"/>
        </w:rPr>
        <w:t>ue d'autres arrangements intergouvernementaux en la matière.</w:t>
      </w:r>
    </w:p>
    <w:p w14:paraId="644AF1D7" w14:textId="77777777" w:rsidR="00000000" w:rsidRPr="007D38CE" w:rsidRDefault="007D38CE">
      <w:pPr>
        <w:ind w:left="794" w:hanging="794"/>
        <w:rPr>
          <w:lang w:val="fr-CH"/>
        </w:rPr>
      </w:pPr>
      <w:r w:rsidRPr="007D38CE">
        <w:rPr>
          <w:lang w:val="fr-CH"/>
        </w:rPr>
        <w:t>2.2</w:t>
      </w:r>
      <w:r w:rsidRPr="007D38CE">
        <w:rPr>
          <w:b/>
          <w:lang w:val="fr-CH"/>
        </w:rPr>
        <w:tab/>
      </w:r>
      <w:r w:rsidRPr="007D38CE">
        <w:rPr>
          <w:lang w:val="fr-CH"/>
        </w:rPr>
        <w:t>Les Administrations n'assigneront des fréquences que si les dispositions du présent Accord sont respectées. Si une coordination est requise, celle-ci doit être réalisée avant la mise en service de la station radioélectrique concernée.</w:t>
      </w:r>
    </w:p>
    <w:p w14:paraId="2A2CAD68" w14:textId="77777777" w:rsidR="00000000" w:rsidRPr="007D38CE" w:rsidRDefault="007D38CE">
      <w:pPr>
        <w:ind w:left="794" w:hanging="794"/>
        <w:rPr>
          <w:lang w:val="fr-CH"/>
        </w:rPr>
      </w:pPr>
      <w:r w:rsidRPr="007D38CE">
        <w:rPr>
          <w:lang w:val="fr-CH"/>
        </w:rPr>
        <w:t>2.3</w:t>
      </w:r>
      <w:r w:rsidRPr="007D38CE">
        <w:rPr>
          <w:lang w:val="fr-CH"/>
        </w:rPr>
        <w:tab/>
        <w:t xml:space="preserve">Les Administrations peuvent le cas échéant convenir de dispositions dérogatoires ou complémentaires aux dispositions stipulées dans le présent Accord, celles-ci ne devant toutefois pas avoir de répercussions </w:t>
      </w:r>
      <w:r w:rsidRPr="007D38CE">
        <w:rPr>
          <w:lang w:val="fr-CH"/>
        </w:rPr>
        <w:t>négatives sur une Administration non intéressée.</w:t>
      </w:r>
    </w:p>
    <w:p w14:paraId="0F0542A1" w14:textId="77777777" w:rsidR="00000000" w:rsidRPr="007D38CE" w:rsidRDefault="007D38CE">
      <w:pPr>
        <w:ind w:left="794" w:hanging="794"/>
        <w:rPr>
          <w:lang w:val="fr-CH"/>
        </w:rPr>
      </w:pPr>
      <w:r w:rsidRPr="007D38CE">
        <w:rPr>
          <w:lang w:val="fr-CH"/>
        </w:rPr>
        <w:t>2.4</w:t>
      </w:r>
      <w:r w:rsidRPr="007D38CE">
        <w:rPr>
          <w:lang w:val="fr-CH"/>
        </w:rPr>
        <w:tab/>
        <w:t>Sauf stipulation contraire, les dispositions du présent Accord ne s'appliquent pas aux services fixes et aux services mobiles terrestres qui ne relèvent pas de la compétence des Administrations signataires.</w:t>
      </w:r>
    </w:p>
    <w:p w14:paraId="57D9D7C7" w14:textId="77777777" w:rsidR="00000000" w:rsidRPr="007D38CE" w:rsidRDefault="007D38CE">
      <w:pPr>
        <w:ind w:left="794" w:hanging="794"/>
        <w:rPr>
          <w:lang w:val="fr-CH"/>
        </w:rPr>
      </w:pPr>
      <w:r w:rsidRPr="007D38CE">
        <w:rPr>
          <w:lang w:val="fr-CH"/>
        </w:rPr>
        <w:t>2.5</w:t>
      </w:r>
      <w:r w:rsidRPr="007D38CE">
        <w:rPr>
          <w:b/>
          <w:lang w:val="fr-CH"/>
        </w:rPr>
        <w:tab/>
      </w:r>
      <w:r w:rsidRPr="007D38CE">
        <w:rPr>
          <w:lang w:val="fr-CH"/>
        </w:rPr>
        <w:t xml:space="preserve">La puissance apparente rayonnée et la hauteur équivalente d'antenne des stations devront être choisies </w:t>
      </w:r>
      <w:proofErr w:type="gramStart"/>
      <w:r w:rsidRPr="007D38CE">
        <w:rPr>
          <w:lang w:val="fr-CH"/>
        </w:rPr>
        <w:t>de façon à ce</w:t>
      </w:r>
      <w:proofErr w:type="gramEnd"/>
      <w:r w:rsidRPr="007D38CE">
        <w:rPr>
          <w:lang w:val="fr-CH"/>
        </w:rPr>
        <w:t xml:space="preserve"> que leur portée soit limitée à la zone à couvrir. Les hauteurs d'antenne extrêmes ainsi que les sorties d'émetteur extrêmes devront</w:t>
      </w:r>
      <w:r w:rsidRPr="007D38CE">
        <w:rPr>
          <w:lang w:val="fr-CH"/>
        </w:rPr>
        <w:t xml:space="preserve"> être évitées par l'utilisation de plusieurs emplacements et de hauteurs équivalentes d'antenne peu élevées. Des antennes directionnelles devront être utilisées pour réduire les possibilités de brouillage vis-à-vis du pays voisin. Les portées transfrontières maximales de brouillages préjudiciables pour les fréquences à coordonner sont indiquées à l'</w:t>
      </w:r>
      <w:r w:rsidRPr="007D38CE">
        <w:rPr>
          <w:u w:val="single"/>
          <w:lang w:val="fr-CH"/>
        </w:rPr>
        <w:t>Annexe 1</w:t>
      </w:r>
      <w:r w:rsidRPr="007D38CE">
        <w:rPr>
          <w:b/>
          <w:lang w:val="fr-CH"/>
        </w:rPr>
        <w:t xml:space="preserve"> </w:t>
      </w:r>
      <w:r w:rsidRPr="007D38CE">
        <w:rPr>
          <w:i/>
          <w:lang w:val="fr-CH"/>
        </w:rPr>
        <w:t>(ci-jointe)</w:t>
      </w:r>
      <w:r w:rsidRPr="007D38CE">
        <w:rPr>
          <w:lang w:val="fr-CH"/>
        </w:rPr>
        <w:t>.</w:t>
      </w:r>
    </w:p>
    <w:p w14:paraId="5B37DD76" w14:textId="77777777" w:rsidR="00000000" w:rsidRPr="007D38CE" w:rsidRDefault="007D38CE">
      <w:pPr>
        <w:pStyle w:val="Heading1"/>
        <w:rPr>
          <w:sz w:val="20"/>
          <w:lang w:val="fr-CH"/>
        </w:rPr>
      </w:pPr>
      <w:r w:rsidRPr="007D38CE">
        <w:rPr>
          <w:sz w:val="20"/>
          <w:lang w:val="fr-CH"/>
        </w:rPr>
        <w:t>3</w:t>
      </w:r>
      <w:r w:rsidRPr="007D38CE">
        <w:rPr>
          <w:sz w:val="20"/>
          <w:lang w:val="fr-CH"/>
        </w:rPr>
        <w:tab/>
      </w:r>
      <w:r w:rsidRPr="007D38CE">
        <w:rPr>
          <w:sz w:val="20"/>
          <w:u w:val="single"/>
          <w:lang w:val="fr-CH"/>
        </w:rPr>
        <w:t>Dispositions techniques</w:t>
      </w:r>
    </w:p>
    <w:p w14:paraId="0937CE7D" w14:textId="77777777" w:rsidR="00000000" w:rsidRPr="007D38CE" w:rsidRDefault="007D38CE">
      <w:pPr>
        <w:ind w:left="794" w:hanging="794"/>
        <w:rPr>
          <w:lang w:val="fr-CH"/>
        </w:rPr>
      </w:pPr>
      <w:r w:rsidRPr="007D38CE">
        <w:rPr>
          <w:lang w:val="fr-CH"/>
        </w:rPr>
        <w:tab/>
        <w:t>La demande de coordination d'une station et l'évaluation de cette demande devront être effectuées conformément a</w:t>
      </w:r>
      <w:r w:rsidRPr="007D38CE">
        <w:rPr>
          <w:lang w:val="fr-CH"/>
        </w:rPr>
        <w:t xml:space="preserve">ux dispositions techniques </w:t>
      </w:r>
      <w:proofErr w:type="gramStart"/>
      <w:r w:rsidRPr="007D38CE">
        <w:rPr>
          <w:lang w:val="fr-CH"/>
        </w:rPr>
        <w:t>suivantes:</w:t>
      </w:r>
      <w:proofErr w:type="gramEnd"/>
    </w:p>
    <w:p w14:paraId="3CF943FD" w14:textId="77777777" w:rsidR="00000000" w:rsidRPr="007D38CE" w:rsidRDefault="007D38CE">
      <w:pPr>
        <w:rPr>
          <w:lang w:val="fr-CH"/>
        </w:rPr>
      </w:pPr>
      <w:r w:rsidRPr="007D38CE">
        <w:rPr>
          <w:lang w:val="fr-CH"/>
        </w:rPr>
        <w:t>3.1</w:t>
      </w:r>
      <w:r w:rsidRPr="007D38CE">
        <w:rPr>
          <w:lang w:val="fr-CH"/>
        </w:rPr>
        <w:tab/>
        <w:t>Le niveau maximal admissible du champ brouilleur est indiqué à l'</w:t>
      </w:r>
      <w:r w:rsidRPr="007D38CE">
        <w:rPr>
          <w:u w:val="single"/>
          <w:lang w:val="fr-CH"/>
        </w:rPr>
        <w:t>Annexe 1</w:t>
      </w:r>
      <w:r w:rsidRPr="007D38CE">
        <w:rPr>
          <w:lang w:val="fr-CH"/>
        </w:rPr>
        <w:t xml:space="preserve"> </w:t>
      </w:r>
      <w:r w:rsidRPr="007D38CE">
        <w:rPr>
          <w:i/>
          <w:lang w:val="fr-CH"/>
        </w:rPr>
        <w:t>(ci-jointe)</w:t>
      </w:r>
      <w:r w:rsidRPr="007D38CE">
        <w:rPr>
          <w:lang w:val="fr-CH"/>
        </w:rPr>
        <w:t>.</w:t>
      </w:r>
    </w:p>
    <w:p w14:paraId="41B20BB0" w14:textId="77777777" w:rsidR="00000000" w:rsidRPr="007D38CE" w:rsidRDefault="007D38CE">
      <w:pPr>
        <w:ind w:left="794" w:hanging="794"/>
        <w:rPr>
          <w:lang w:val="fr-CH"/>
        </w:rPr>
      </w:pPr>
      <w:r w:rsidRPr="007D38CE">
        <w:rPr>
          <w:lang w:val="fr-CH"/>
        </w:rPr>
        <w:t>3.2</w:t>
      </w:r>
      <w:r w:rsidRPr="007D38CE">
        <w:rPr>
          <w:lang w:val="fr-CH"/>
        </w:rPr>
        <w:tab/>
        <w:t>En présence de fréquences nominales différentes, le niveau du champ brouilleur admissible s'accroît conformément à l'</w:t>
      </w:r>
      <w:r w:rsidRPr="007D38CE">
        <w:rPr>
          <w:u w:val="single"/>
          <w:lang w:val="fr-CH"/>
        </w:rPr>
        <w:t>Annexe 3</w:t>
      </w:r>
      <w:r w:rsidRPr="007D38CE">
        <w:rPr>
          <w:b/>
          <w:lang w:val="fr-CH"/>
        </w:rPr>
        <w:t xml:space="preserve"> </w:t>
      </w:r>
      <w:r w:rsidRPr="007D38CE">
        <w:rPr>
          <w:i/>
          <w:lang w:val="fr-CH"/>
        </w:rPr>
        <w:t>(pas jointe)</w:t>
      </w:r>
      <w:r w:rsidRPr="007D38CE">
        <w:rPr>
          <w:lang w:val="fr-CH"/>
        </w:rPr>
        <w:t>.</w:t>
      </w:r>
    </w:p>
    <w:p w14:paraId="6677436A" w14:textId="77777777" w:rsidR="00000000" w:rsidRPr="007D38CE" w:rsidRDefault="007D38CE">
      <w:pPr>
        <w:rPr>
          <w:lang w:val="fr-CH"/>
        </w:rPr>
      </w:pPr>
      <w:r w:rsidRPr="007D38CE">
        <w:rPr>
          <w:lang w:val="fr-CH"/>
        </w:rPr>
        <w:t>3.3</w:t>
      </w:r>
      <w:r w:rsidRPr="007D38CE">
        <w:rPr>
          <w:lang w:val="fr-CH"/>
        </w:rPr>
        <w:tab/>
        <w:t>Le niveau du champ brouilleur sera déterminé conformément à l'</w:t>
      </w:r>
      <w:r w:rsidRPr="007D38CE">
        <w:rPr>
          <w:u w:val="single"/>
          <w:lang w:val="fr-CH"/>
        </w:rPr>
        <w:t>Annexe 5</w:t>
      </w:r>
      <w:r w:rsidRPr="007D38CE">
        <w:rPr>
          <w:b/>
          <w:lang w:val="fr-CH"/>
        </w:rPr>
        <w:t xml:space="preserve"> </w:t>
      </w:r>
      <w:r w:rsidRPr="007D38CE">
        <w:rPr>
          <w:i/>
          <w:lang w:val="fr-CH"/>
        </w:rPr>
        <w:t>(pas jointe)</w:t>
      </w:r>
      <w:r w:rsidRPr="007D38CE">
        <w:rPr>
          <w:lang w:val="fr-CH"/>
        </w:rPr>
        <w:t>.</w:t>
      </w:r>
    </w:p>
    <w:p w14:paraId="0862299B" w14:textId="77777777" w:rsidR="00000000" w:rsidRPr="007D38CE" w:rsidRDefault="007D38CE">
      <w:pPr>
        <w:ind w:left="794" w:hanging="794"/>
        <w:rPr>
          <w:lang w:val="fr-CH"/>
        </w:rPr>
      </w:pPr>
      <w:r w:rsidRPr="007D38CE">
        <w:rPr>
          <w:lang w:val="fr-CH"/>
        </w:rPr>
        <w:t>3.4</w:t>
      </w:r>
      <w:r w:rsidRPr="007D38CE">
        <w:rPr>
          <w:lang w:val="fr-CH"/>
        </w:rPr>
        <w:tab/>
        <w:t xml:space="preserve">Lorsqu'il s'agit de protéger des stations assujetties aux dispositions du présent Accord contre des émissions d'autres services radioélectriques, </w:t>
      </w:r>
      <w:r w:rsidRPr="007D38CE">
        <w:rPr>
          <w:lang w:val="fr-CH"/>
        </w:rPr>
        <w:t>les calculs afférents aux brouillages mutuels se baseront sur les accords internationaux et normes pertinentes applicables à ces services.</w:t>
      </w:r>
    </w:p>
    <w:p w14:paraId="38E2C898" w14:textId="77777777" w:rsidR="00000000" w:rsidRPr="007D38CE" w:rsidRDefault="007D38CE">
      <w:pPr>
        <w:rPr>
          <w:lang w:val="fr-CH"/>
        </w:rPr>
      </w:pPr>
      <w:r w:rsidRPr="007D38CE">
        <w:rPr>
          <w:lang w:val="fr-CH"/>
        </w:rPr>
        <w:br w:type="page"/>
        <w:t>3.5</w:t>
      </w:r>
      <w:r w:rsidRPr="007D38CE">
        <w:rPr>
          <w:b/>
          <w:lang w:val="fr-CH"/>
        </w:rPr>
        <w:tab/>
      </w:r>
      <w:r w:rsidRPr="007D38CE">
        <w:rPr>
          <w:lang w:val="fr-CH"/>
        </w:rPr>
        <w:t>Les Administrations peuvent convenir d'appliquer des paramètres s'écartant des valeurs fixées.</w:t>
      </w:r>
    </w:p>
    <w:p w14:paraId="6F364C47" w14:textId="77777777" w:rsidR="00000000" w:rsidRPr="007D38CE" w:rsidRDefault="007D38CE">
      <w:pPr>
        <w:pStyle w:val="Heading1"/>
        <w:rPr>
          <w:sz w:val="20"/>
          <w:lang w:val="fr-CH"/>
        </w:rPr>
      </w:pPr>
      <w:r w:rsidRPr="007D38CE">
        <w:rPr>
          <w:sz w:val="20"/>
          <w:lang w:val="fr-CH"/>
        </w:rPr>
        <w:t>4</w:t>
      </w:r>
      <w:r w:rsidRPr="007D38CE">
        <w:rPr>
          <w:sz w:val="20"/>
          <w:lang w:val="fr-CH"/>
        </w:rPr>
        <w:tab/>
      </w:r>
      <w:r w:rsidRPr="007D38CE">
        <w:rPr>
          <w:sz w:val="20"/>
          <w:u w:val="single"/>
          <w:lang w:val="fr-CH"/>
        </w:rPr>
        <w:t>Procédures</w:t>
      </w:r>
    </w:p>
    <w:p w14:paraId="11193090" w14:textId="77777777" w:rsidR="00000000" w:rsidRPr="007D38CE" w:rsidRDefault="007D38CE">
      <w:pPr>
        <w:pStyle w:val="Heading2"/>
        <w:rPr>
          <w:b w:val="0"/>
          <w:sz w:val="20"/>
          <w:lang w:val="fr-CH"/>
        </w:rPr>
      </w:pPr>
      <w:r w:rsidRPr="007D38CE">
        <w:rPr>
          <w:b w:val="0"/>
          <w:sz w:val="20"/>
          <w:lang w:val="fr-CH"/>
        </w:rPr>
        <w:t>4.1</w:t>
      </w:r>
      <w:r w:rsidRPr="007D38CE">
        <w:rPr>
          <w:b w:val="0"/>
          <w:sz w:val="20"/>
          <w:lang w:val="fr-CH"/>
        </w:rPr>
        <w:tab/>
      </w:r>
      <w:r w:rsidRPr="007D38CE">
        <w:rPr>
          <w:b w:val="0"/>
          <w:sz w:val="20"/>
          <w:u w:val="single"/>
          <w:lang w:val="fr-CH"/>
        </w:rPr>
        <w:t>Fréquences à coordonner</w:t>
      </w:r>
    </w:p>
    <w:p w14:paraId="0E68C607" w14:textId="77777777" w:rsidR="00000000" w:rsidRPr="007D38CE" w:rsidRDefault="007D38CE">
      <w:pPr>
        <w:ind w:left="794" w:hanging="794"/>
        <w:rPr>
          <w:lang w:val="fr-CH"/>
        </w:rPr>
      </w:pPr>
      <w:r w:rsidRPr="007D38CE">
        <w:rPr>
          <w:lang w:val="fr-CH"/>
        </w:rPr>
        <w:tab/>
        <w:t>Une fréquence d'émission devra être coordonnée si l'émetteur produit à la frontière avec le pays de l'Administration concernée un niveau de champ qui, à une hauteur de 10 m au-dessus du niveau du sol, dépasse le niveau maximal admi</w:t>
      </w:r>
      <w:r w:rsidRPr="007D38CE">
        <w:rPr>
          <w:lang w:val="fr-CH"/>
        </w:rPr>
        <w:t>ssible du champ brouilleur selon l'</w:t>
      </w:r>
      <w:r w:rsidRPr="007D38CE">
        <w:rPr>
          <w:u w:val="single"/>
          <w:lang w:val="fr-CH"/>
        </w:rPr>
        <w:t>Annexe 1</w:t>
      </w:r>
      <w:r w:rsidRPr="007D38CE">
        <w:rPr>
          <w:b/>
          <w:lang w:val="fr-CH"/>
        </w:rPr>
        <w:t xml:space="preserve"> </w:t>
      </w:r>
      <w:r w:rsidRPr="007D38CE">
        <w:rPr>
          <w:i/>
          <w:lang w:val="fr-CH"/>
        </w:rPr>
        <w:t>(ci-jointe)</w:t>
      </w:r>
      <w:r w:rsidRPr="007D38CE">
        <w:rPr>
          <w:lang w:val="fr-CH"/>
        </w:rPr>
        <w:t>. Une fréquence de réception devra être coordonnée si la protection du récepteur est requise.</w:t>
      </w:r>
    </w:p>
    <w:p w14:paraId="6481B97B" w14:textId="77777777" w:rsidR="00000000" w:rsidRPr="007D38CE" w:rsidRDefault="007D38CE">
      <w:pPr>
        <w:ind w:left="794" w:hanging="794"/>
        <w:rPr>
          <w:lang w:val="fr-CH"/>
        </w:rPr>
      </w:pPr>
      <w:r w:rsidRPr="007D38CE">
        <w:rPr>
          <w:lang w:val="fr-CH"/>
        </w:rPr>
        <w:t>4.1.1</w:t>
      </w:r>
      <w:r w:rsidRPr="007D38CE">
        <w:rPr>
          <w:lang w:val="fr-CH"/>
        </w:rPr>
        <w:tab/>
        <w:t>Toute Administration désirant mettre en service une station de radiocommunication devra déposer pour avis une demande de coordination auprès de toutes les Administrations concernées. Cette demande devra comporter les caractéristiques conformément à l'</w:t>
      </w:r>
      <w:r w:rsidRPr="007D38CE">
        <w:rPr>
          <w:u w:val="single"/>
          <w:lang w:val="fr-CH"/>
        </w:rPr>
        <w:t>Annexe 2</w:t>
      </w:r>
      <w:r w:rsidRPr="007D38CE">
        <w:rPr>
          <w:lang w:val="fr-CH"/>
        </w:rPr>
        <w:t xml:space="preserve"> </w:t>
      </w:r>
      <w:r w:rsidRPr="007D38CE">
        <w:rPr>
          <w:i/>
          <w:lang w:val="fr-CH"/>
        </w:rPr>
        <w:t>(pas jointe)</w:t>
      </w:r>
      <w:r w:rsidRPr="007D38CE">
        <w:rPr>
          <w:lang w:val="fr-CH"/>
        </w:rPr>
        <w:t>.</w:t>
      </w:r>
    </w:p>
    <w:p w14:paraId="5FB593B3" w14:textId="77777777" w:rsidR="00000000" w:rsidRPr="007D38CE" w:rsidRDefault="007D38CE">
      <w:pPr>
        <w:ind w:left="794" w:hanging="794"/>
        <w:rPr>
          <w:lang w:val="fr-CH"/>
        </w:rPr>
      </w:pPr>
      <w:r w:rsidRPr="007D38CE">
        <w:rPr>
          <w:lang w:val="fr-CH"/>
        </w:rPr>
        <w:t>4.1.2</w:t>
      </w:r>
      <w:r w:rsidRPr="007D38CE">
        <w:rPr>
          <w:lang w:val="fr-CH"/>
        </w:rPr>
        <w:tab/>
        <w:t>Si, en vue de l'évaluation technique de la demande de coordination, l'Adminis</w:t>
      </w:r>
      <w:r w:rsidRPr="007D38CE">
        <w:rPr>
          <w:lang w:val="fr-CH"/>
        </w:rPr>
        <w:t xml:space="preserve">tration concernée a besoin des informations qui manquent ou qui demandent à être complétées </w:t>
      </w:r>
      <w:proofErr w:type="gramStart"/>
      <w:r w:rsidRPr="007D38CE">
        <w:rPr>
          <w:lang w:val="fr-CH"/>
        </w:rPr>
        <w:t>au vue</w:t>
      </w:r>
      <w:proofErr w:type="gramEnd"/>
      <w:r w:rsidRPr="007D38CE">
        <w:rPr>
          <w:lang w:val="fr-CH"/>
        </w:rPr>
        <w:t xml:space="preserve"> de l'</w:t>
      </w:r>
      <w:r w:rsidRPr="007D38CE">
        <w:rPr>
          <w:u w:val="single"/>
          <w:lang w:val="fr-CH"/>
        </w:rPr>
        <w:t>Annexe 2</w:t>
      </w:r>
      <w:r w:rsidRPr="007D38CE">
        <w:rPr>
          <w:b/>
          <w:lang w:val="fr-CH"/>
        </w:rPr>
        <w:t xml:space="preserve"> </w:t>
      </w:r>
      <w:r w:rsidRPr="007D38CE">
        <w:rPr>
          <w:i/>
          <w:lang w:val="fr-CH"/>
        </w:rPr>
        <w:t>(pas jointe)</w:t>
      </w:r>
      <w:r w:rsidRPr="007D38CE">
        <w:rPr>
          <w:lang w:val="fr-CH"/>
        </w:rPr>
        <w:t>, elle réclamera ces informations dans les 30 jours suivant la réception de la demande de coordination.</w:t>
      </w:r>
    </w:p>
    <w:p w14:paraId="53F02912" w14:textId="77777777" w:rsidR="00000000" w:rsidRPr="007D38CE" w:rsidRDefault="007D38CE">
      <w:pPr>
        <w:ind w:left="794" w:hanging="794"/>
        <w:rPr>
          <w:lang w:val="fr-CH"/>
        </w:rPr>
      </w:pPr>
      <w:r w:rsidRPr="007D38CE">
        <w:rPr>
          <w:lang w:val="fr-CH"/>
        </w:rPr>
        <w:t>4.1.3</w:t>
      </w:r>
      <w:r w:rsidRPr="007D38CE">
        <w:rPr>
          <w:lang w:val="fr-CH"/>
        </w:rPr>
        <w:tab/>
        <w:t>Après avoir reçu l'intégralité des informations concernant une demande de coordination, l'Administration concernée procédera à l'évaluation de ces informations conformément aux dispositions du présent Accord. Elle communiquera le résultat de l'évaluation dans un délai de 45 jo</w:t>
      </w:r>
      <w:r w:rsidRPr="007D38CE">
        <w:rPr>
          <w:lang w:val="fr-CH"/>
        </w:rPr>
        <w:t>urs à l'Administration requérante.</w:t>
      </w:r>
    </w:p>
    <w:p w14:paraId="3F6478B9" w14:textId="77777777" w:rsidR="00000000" w:rsidRPr="007D38CE" w:rsidRDefault="007D38CE">
      <w:pPr>
        <w:ind w:left="794" w:hanging="794"/>
        <w:rPr>
          <w:lang w:val="fr-CH"/>
        </w:rPr>
      </w:pPr>
      <w:r w:rsidRPr="007D38CE">
        <w:rPr>
          <w:lang w:val="fr-CH"/>
        </w:rPr>
        <w:t>4.1.4</w:t>
      </w:r>
      <w:r w:rsidRPr="007D38CE">
        <w:rPr>
          <w:lang w:val="fr-CH"/>
        </w:rPr>
        <w:tab/>
        <w:t>Si l'Administration ayant engagé la procédure de coordination n'a pas reçu de réponse dans les 45 jours, elle peut envoyer une lettre de rappel. Les Administrations concernées devront répondre dans un délai de 20 jours à ce rappel.</w:t>
      </w:r>
    </w:p>
    <w:p w14:paraId="0C781B3D" w14:textId="77777777" w:rsidR="00000000" w:rsidRPr="007D38CE" w:rsidRDefault="007D38CE">
      <w:pPr>
        <w:ind w:left="794" w:hanging="794"/>
        <w:rPr>
          <w:lang w:val="fr-CH"/>
        </w:rPr>
      </w:pPr>
      <w:r w:rsidRPr="007D38CE">
        <w:rPr>
          <w:lang w:val="fr-CH"/>
        </w:rPr>
        <w:t>4.1.5</w:t>
      </w:r>
      <w:r w:rsidRPr="007D38CE">
        <w:rPr>
          <w:lang w:val="fr-CH"/>
        </w:rPr>
        <w:tab/>
        <w:t>Si l'Administration concernée ne répond pas non plus dans le délai indiqué au point 4.1.4, elle est réputée avoir donné son accord et la station de radiocommunication est considérée comme coordonnée.</w:t>
      </w:r>
    </w:p>
    <w:p w14:paraId="76B9B851" w14:textId="77777777" w:rsidR="00000000" w:rsidRPr="007D38CE" w:rsidRDefault="007D38CE">
      <w:pPr>
        <w:ind w:left="794" w:hanging="794"/>
        <w:rPr>
          <w:lang w:val="fr-CH"/>
        </w:rPr>
      </w:pPr>
      <w:r w:rsidRPr="007D38CE">
        <w:rPr>
          <w:lang w:val="fr-CH"/>
        </w:rPr>
        <w:t>4.1.6</w:t>
      </w:r>
      <w:r w:rsidRPr="007D38CE">
        <w:rPr>
          <w:lang w:val="fr-CH"/>
        </w:rPr>
        <w:tab/>
        <w:t>Les délais indiqués aux par</w:t>
      </w:r>
      <w:r w:rsidRPr="007D38CE">
        <w:rPr>
          <w:lang w:val="fr-CH"/>
        </w:rPr>
        <w:t>agraphes 4.1.3 et 4.1.4 peuvent être changés par consentement mutuel.</w:t>
      </w:r>
    </w:p>
    <w:p w14:paraId="4DE0EE5E" w14:textId="77777777" w:rsidR="00000000" w:rsidRPr="007D38CE" w:rsidRDefault="007D38CE">
      <w:pPr>
        <w:ind w:left="794" w:hanging="794"/>
        <w:rPr>
          <w:lang w:val="fr-CH"/>
        </w:rPr>
      </w:pPr>
      <w:r w:rsidRPr="007D38CE">
        <w:rPr>
          <w:lang w:val="fr-CH"/>
        </w:rPr>
        <w:t>4.1.7</w:t>
      </w:r>
      <w:r w:rsidRPr="007D38CE">
        <w:rPr>
          <w:lang w:val="fr-CH"/>
        </w:rPr>
        <w:tab/>
        <w:t>Toute assignation de fréquence effectuée après une coordination positive sera notifiée aux Administrations concernées dans un délai de 180 jours après que l'accord a été obtenu. Cette notification d'assignation donnera lieu à l'inscription de la fréquence au Fichier de fréquences.</w:t>
      </w:r>
    </w:p>
    <w:p w14:paraId="49255833" w14:textId="77777777" w:rsidR="00000000" w:rsidRPr="007D38CE" w:rsidRDefault="007D38CE">
      <w:pPr>
        <w:ind w:left="794" w:hanging="794"/>
        <w:rPr>
          <w:lang w:val="fr-CH"/>
        </w:rPr>
      </w:pPr>
      <w:r w:rsidRPr="007D38CE">
        <w:rPr>
          <w:lang w:val="fr-CH"/>
        </w:rPr>
        <w:tab/>
        <w:t>S'il n'est pas accordé d'assignation dans un délai de 180 jours, l'Administration concernée adresse un rappel à l'Administration ayant demandé la coordin</w:t>
      </w:r>
      <w:r w:rsidRPr="007D38CE">
        <w:rPr>
          <w:lang w:val="fr-CH"/>
        </w:rPr>
        <w:t>ation. S'il n'y a pas de notification d'assignation dans un délai de 30 autres jours, la demande de coordination sera considérée comme nulle et non avenue.</w:t>
      </w:r>
    </w:p>
    <w:p w14:paraId="38B58461" w14:textId="77777777" w:rsidR="00000000" w:rsidRPr="007D38CE" w:rsidRDefault="007D38CE">
      <w:pPr>
        <w:ind w:left="794" w:hanging="794"/>
        <w:rPr>
          <w:lang w:val="fr-CH"/>
        </w:rPr>
      </w:pPr>
      <w:r w:rsidRPr="007D38CE">
        <w:rPr>
          <w:lang w:val="fr-CH"/>
        </w:rPr>
        <w:tab/>
        <w:t>Une notification n'est pas nécessaire si les Fichiers de fréquences sont échangés une fois par semestre conformément au paragraphe 4.7.1.</w:t>
      </w:r>
    </w:p>
    <w:p w14:paraId="26A44DA3" w14:textId="77777777" w:rsidR="00000000" w:rsidRPr="007D38CE" w:rsidRDefault="007D38CE">
      <w:pPr>
        <w:ind w:left="794" w:hanging="794"/>
        <w:rPr>
          <w:lang w:val="fr-CH"/>
        </w:rPr>
      </w:pPr>
      <w:r w:rsidRPr="007D38CE">
        <w:rPr>
          <w:lang w:val="fr-CH"/>
        </w:rPr>
        <w:t>4.1.8</w:t>
      </w:r>
      <w:r w:rsidRPr="007D38CE">
        <w:rPr>
          <w:lang w:val="fr-CH"/>
        </w:rPr>
        <w:tab/>
        <w:t>L'Administration désirant modifier les caractéristiques techniques afférentes à des stations inscrites dans le Fichier de fréquences en avisera les Administrations concernées. Dans le cas où cette modification e</w:t>
      </w:r>
      <w:r w:rsidRPr="007D38CE">
        <w:rPr>
          <w:lang w:val="fr-CH"/>
        </w:rPr>
        <w:t>ntraînerait une augmentation de la probabilité de brouillage dans le pays voisin, une coordination est requise. Si la situation de brouillage reste inchangée ou s'améliore, on se bornera à porter la modification à la connaissance des Administrations concernées. L'inscription dans le Fichier de fréquences sera modifiée en conséquence.</w:t>
      </w:r>
    </w:p>
    <w:p w14:paraId="08433C3C" w14:textId="77777777" w:rsidR="00000000" w:rsidRPr="007D38CE" w:rsidRDefault="007D38CE">
      <w:pPr>
        <w:ind w:left="794" w:hanging="794"/>
        <w:rPr>
          <w:lang w:val="fr-CH"/>
        </w:rPr>
      </w:pPr>
      <w:r w:rsidRPr="007D38CE">
        <w:rPr>
          <w:lang w:val="fr-CH"/>
        </w:rPr>
        <w:t>4.1.9</w:t>
      </w:r>
      <w:r w:rsidRPr="007D38CE">
        <w:rPr>
          <w:lang w:val="fr-CH"/>
        </w:rPr>
        <w:tab/>
        <w:t>Dans des cas particuliers, les Administrations peuvent, sans coordination, assigner des fréquences à utiliser à titre temporaire (pendant 45 jours au maximum) à condition</w:t>
      </w:r>
      <w:r w:rsidRPr="007D38CE">
        <w:rPr>
          <w:lang w:val="fr-CH"/>
        </w:rPr>
        <w:t xml:space="preserve"> que des brouillages préjudiciables ne soient pas par là causés à des stations coordonnées. La mise en service envisagée sera notifiée à l'Administration concernée le plus tôt possible. Les stations en question seront immédiatement mises hors service si elles provoquent des brouillages préjudiciables auprès des stations coordonnées du pays voisin.</w:t>
      </w:r>
    </w:p>
    <w:p w14:paraId="166A915B" w14:textId="77777777" w:rsidR="00000000" w:rsidRPr="007D38CE" w:rsidRDefault="007D38CE">
      <w:pPr>
        <w:pStyle w:val="Heading2"/>
        <w:rPr>
          <w:b w:val="0"/>
          <w:sz w:val="20"/>
          <w:lang w:val="fr-CH"/>
        </w:rPr>
      </w:pPr>
      <w:r w:rsidRPr="007D38CE">
        <w:rPr>
          <w:b w:val="0"/>
          <w:sz w:val="20"/>
          <w:lang w:val="fr-CH"/>
        </w:rPr>
        <w:t>4.2</w:t>
      </w:r>
      <w:r w:rsidRPr="007D38CE">
        <w:rPr>
          <w:b w:val="0"/>
          <w:sz w:val="20"/>
          <w:lang w:val="fr-CH"/>
        </w:rPr>
        <w:tab/>
      </w:r>
      <w:r w:rsidRPr="007D38CE">
        <w:rPr>
          <w:b w:val="0"/>
          <w:sz w:val="20"/>
          <w:u w:val="single"/>
          <w:lang w:val="fr-CH"/>
        </w:rPr>
        <w:t>Fréquences préférentielles</w:t>
      </w:r>
    </w:p>
    <w:p w14:paraId="11571572" w14:textId="77777777" w:rsidR="00000000" w:rsidRPr="007D38CE" w:rsidRDefault="007D38CE">
      <w:pPr>
        <w:ind w:left="794" w:hanging="794"/>
        <w:rPr>
          <w:lang w:val="fr-CH"/>
        </w:rPr>
      </w:pPr>
      <w:r w:rsidRPr="007D38CE">
        <w:rPr>
          <w:lang w:val="fr-CH"/>
        </w:rPr>
        <w:t>4.2.1</w:t>
      </w:r>
      <w:r w:rsidRPr="007D38CE">
        <w:rPr>
          <w:b/>
          <w:lang w:val="fr-CH"/>
        </w:rPr>
        <w:tab/>
      </w:r>
      <w:r w:rsidRPr="007D38CE">
        <w:rPr>
          <w:lang w:val="fr-CH"/>
        </w:rPr>
        <w:t>Des fréquences faisant partie des bandes de fréquences citées au paragraphe 1.2 peuvent être définies, selon accord bilatéral</w:t>
      </w:r>
      <w:r w:rsidRPr="007D38CE">
        <w:rPr>
          <w:lang w:val="fr-CH"/>
        </w:rPr>
        <w:t xml:space="preserve"> ou multilatéral conclu au préalable, comme fréquences préférentielles pour certaines Administrations.</w:t>
      </w:r>
    </w:p>
    <w:p w14:paraId="54DE7188" w14:textId="77777777" w:rsidR="00000000" w:rsidRPr="007D38CE" w:rsidRDefault="007D38CE">
      <w:pPr>
        <w:ind w:left="794" w:hanging="794"/>
        <w:rPr>
          <w:lang w:val="fr-CH"/>
        </w:rPr>
      </w:pPr>
      <w:r w:rsidRPr="007D38CE">
        <w:rPr>
          <w:lang w:val="fr-CH"/>
        </w:rPr>
        <w:t>4.2.2</w:t>
      </w:r>
      <w:r w:rsidRPr="007D38CE">
        <w:rPr>
          <w:b/>
          <w:lang w:val="fr-CH"/>
        </w:rPr>
        <w:tab/>
      </w:r>
      <w:r w:rsidRPr="007D38CE">
        <w:rPr>
          <w:lang w:val="fr-CH"/>
        </w:rPr>
        <w:t>L'Administration qui a obtenu un droit préférentiel peut, sans coordination préalable, mettre en service des stations utilisant des fréquences préférentielles.</w:t>
      </w:r>
    </w:p>
    <w:p w14:paraId="74B6544E" w14:textId="77777777" w:rsidR="00000000" w:rsidRPr="007D38CE" w:rsidRDefault="007D38CE">
      <w:pPr>
        <w:ind w:left="794" w:hanging="794"/>
        <w:rPr>
          <w:lang w:val="fr-CH"/>
        </w:rPr>
      </w:pPr>
      <w:r w:rsidRPr="007D38CE">
        <w:rPr>
          <w:lang w:val="fr-CH"/>
        </w:rPr>
        <w:t>4.2.3</w:t>
      </w:r>
      <w:r w:rsidRPr="007D38CE">
        <w:rPr>
          <w:lang w:val="fr-CH"/>
        </w:rPr>
        <w:tab/>
        <w:t>Les fréquences préférentielles accordées à une Administration jouissent de droits prioritaires par rapport aux assignations d'autres Administrations.</w:t>
      </w:r>
    </w:p>
    <w:p w14:paraId="11CD35BE" w14:textId="77777777" w:rsidR="00000000" w:rsidRPr="007D38CE" w:rsidRDefault="007D38CE">
      <w:pPr>
        <w:ind w:left="794" w:hanging="794"/>
        <w:rPr>
          <w:lang w:val="fr-CH"/>
        </w:rPr>
      </w:pPr>
      <w:r w:rsidRPr="007D38CE">
        <w:rPr>
          <w:lang w:val="fr-CH"/>
        </w:rPr>
        <w:br w:type="page"/>
        <w:t>4.2.4</w:t>
      </w:r>
      <w:r w:rsidRPr="007D38CE">
        <w:rPr>
          <w:lang w:val="fr-CH"/>
        </w:rPr>
        <w:tab/>
        <w:t>La mise en service de stations utilisant des fréquences préférentielles sera not</w:t>
      </w:r>
      <w:r w:rsidRPr="007D38CE">
        <w:rPr>
          <w:lang w:val="fr-CH"/>
        </w:rPr>
        <w:t>ifiée aux Administrations concernées avec indication des caractéristiques selon l'</w:t>
      </w:r>
      <w:r w:rsidRPr="007D38CE">
        <w:rPr>
          <w:u w:val="single"/>
          <w:lang w:val="fr-CH"/>
        </w:rPr>
        <w:t>Annexe 2</w:t>
      </w:r>
      <w:r w:rsidRPr="007D38CE">
        <w:rPr>
          <w:b/>
          <w:lang w:val="fr-CH"/>
        </w:rPr>
        <w:t xml:space="preserve"> </w:t>
      </w:r>
      <w:r w:rsidRPr="007D38CE">
        <w:rPr>
          <w:i/>
          <w:lang w:val="fr-CH"/>
        </w:rPr>
        <w:t>(pas jointe)</w:t>
      </w:r>
      <w:r w:rsidRPr="007D38CE">
        <w:rPr>
          <w:lang w:val="fr-CH"/>
        </w:rPr>
        <w:t>. Les fréquences en question, avec leurs caractéristiques techniques, seront inscrites au Fichier de fréquences.</w:t>
      </w:r>
    </w:p>
    <w:p w14:paraId="089361D0" w14:textId="77777777" w:rsidR="00000000" w:rsidRPr="007D38CE" w:rsidRDefault="007D38CE">
      <w:pPr>
        <w:ind w:left="794" w:hanging="794"/>
        <w:rPr>
          <w:lang w:val="fr-CH"/>
        </w:rPr>
      </w:pPr>
      <w:r w:rsidRPr="007D38CE">
        <w:rPr>
          <w:lang w:val="fr-CH"/>
        </w:rPr>
        <w:t>4.2.5</w:t>
      </w:r>
      <w:r w:rsidRPr="007D38CE">
        <w:rPr>
          <w:lang w:val="fr-CH"/>
        </w:rPr>
        <w:tab/>
        <w:t>Les fréquences préférentielles à assigner dans d'autres conditions que celles du paragraphe 1.3.2 devront être coordonnées conformément au paragraphe 4.1.</w:t>
      </w:r>
    </w:p>
    <w:p w14:paraId="191C2D59" w14:textId="77777777" w:rsidR="00000000" w:rsidRPr="007D38CE" w:rsidRDefault="007D38CE">
      <w:pPr>
        <w:ind w:left="794" w:hanging="794"/>
        <w:rPr>
          <w:lang w:val="fr-CH"/>
        </w:rPr>
      </w:pPr>
      <w:r w:rsidRPr="007D38CE">
        <w:rPr>
          <w:lang w:val="fr-CH"/>
        </w:rPr>
        <w:t>4.2.6</w:t>
      </w:r>
      <w:r w:rsidRPr="007D38CE">
        <w:rPr>
          <w:lang w:val="fr-CH"/>
        </w:rPr>
        <w:tab/>
        <w:t xml:space="preserve">A l'issue d'une procédure de coordination positive conforme au paragraphe 4.1, les Administrations peuvent mettre en service des </w:t>
      </w:r>
      <w:r w:rsidRPr="007D38CE">
        <w:rPr>
          <w:lang w:val="fr-CH"/>
        </w:rPr>
        <w:t>fréquences préférentielles d'une autre Administration. Ces fréquences bénéficieront des mêmes droits que les fréquences coordonnées selon le paragraphe 4.1.</w:t>
      </w:r>
    </w:p>
    <w:p w14:paraId="69047F6E" w14:textId="77777777" w:rsidR="00000000" w:rsidRPr="007D38CE" w:rsidRDefault="007D38CE">
      <w:pPr>
        <w:ind w:left="794" w:hanging="794"/>
        <w:rPr>
          <w:lang w:val="fr-CH"/>
        </w:rPr>
      </w:pPr>
      <w:r w:rsidRPr="007D38CE">
        <w:rPr>
          <w:lang w:val="fr-CH"/>
        </w:rPr>
        <w:t>4.2.7</w:t>
      </w:r>
      <w:r w:rsidRPr="007D38CE">
        <w:rPr>
          <w:lang w:val="fr-CH"/>
        </w:rPr>
        <w:tab/>
        <w:t xml:space="preserve">Si les réseaux de radiocommunications existants d'une Administration provoquent des brouillages préjudiciables auprès des stations d'une autre Administration utilisant des fréquences pour lesquelles elle jouit d'un droit préférentiel, ou si, dans des cas particuliers, des assignations de fréquences sans droits préférentiels doivent être adaptées, </w:t>
      </w:r>
      <w:r w:rsidRPr="007D38CE">
        <w:rPr>
          <w:lang w:val="fr-CH"/>
        </w:rPr>
        <w:t>les Administrations intéressées fixeront d'un commun accord le délai nécessaire à la réalisation des adaptations.</w:t>
      </w:r>
    </w:p>
    <w:p w14:paraId="6C997F77" w14:textId="77777777" w:rsidR="00000000" w:rsidRPr="007D38CE" w:rsidRDefault="007D38CE">
      <w:pPr>
        <w:pStyle w:val="Heading2"/>
        <w:rPr>
          <w:sz w:val="20"/>
          <w:lang w:val="fr-CH"/>
        </w:rPr>
      </w:pPr>
      <w:r w:rsidRPr="007D38CE">
        <w:rPr>
          <w:b w:val="0"/>
          <w:sz w:val="20"/>
          <w:lang w:val="fr-CH"/>
        </w:rPr>
        <w:t>4.3</w:t>
      </w:r>
      <w:r w:rsidRPr="007D38CE">
        <w:rPr>
          <w:b w:val="0"/>
          <w:sz w:val="20"/>
          <w:lang w:val="fr-CH"/>
        </w:rPr>
        <w:tab/>
      </w:r>
      <w:r w:rsidRPr="007D38CE">
        <w:rPr>
          <w:b w:val="0"/>
          <w:sz w:val="20"/>
          <w:u w:val="single"/>
          <w:lang w:val="fr-CH"/>
        </w:rPr>
        <w:t>Fréquences pour les réseaux de radiocommunications envisagés</w:t>
      </w:r>
    </w:p>
    <w:p w14:paraId="57BBF6A2" w14:textId="77777777" w:rsidR="00000000" w:rsidRPr="007D38CE" w:rsidRDefault="007D38CE">
      <w:pPr>
        <w:ind w:left="794" w:hanging="794"/>
        <w:rPr>
          <w:lang w:val="fr-CH"/>
        </w:rPr>
      </w:pPr>
      <w:r w:rsidRPr="007D38CE">
        <w:rPr>
          <w:lang w:val="fr-CH"/>
        </w:rPr>
        <w:t>4.3.1</w:t>
      </w:r>
      <w:r w:rsidRPr="007D38CE">
        <w:rPr>
          <w:lang w:val="fr-CH"/>
        </w:rPr>
        <w:tab/>
        <w:t xml:space="preserve">Avant la coordination d'un réseau de radiocommunications envisagé, les Administrations peuvent procéder à une procédure de consultation afin de faciliter la mise en service de ce nouveau réseau. La demande de consultation devra contenir les critères de planification ainsi que les indications </w:t>
      </w:r>
      <w:proofErr w:type="gramStart"/>
      <w:r w:rsidRPr="007D38CE">
        <w:rPr>
          <w:lang w:val="fr-CH"/>
        </w:rPr>
        <w:t>suivantes:</w:t>
      </w:r>
      <w:proofErr w:type="gramEnd"/>
    </w:p>
    <w:p w14:paraId="60F18F2C" w14:textId="77777777" w:rsidR="00000000" w:rsidRPr="007D38CE" w:rsidRDefault="007D38CE">
      <w:pPr>
        <w:pStyle w:val="enumlev3"/>
        <w:rPr>
          <w:lang w:val="fr-CH"/>
        </w:rPr>
      </w:pPr>
      <w:r w:rsidRPr="007D38CE">
        <w:rPr>
          <w:lang w:val="fr-CH"/>
        </w:rPr>
        <w:t>–</w:t>
      </w:r>
      <w:r w:rsidRPr="007D38CE">
        <w:rPr>
          <w:lang w:val="fr-CH"/>
        </w:rPr>
        <w:tab/>
        <w:t>les fréquences envisa</w:t>
      </w:r>
      <w:r w:rsidRPr="007D38CE">
        <w:rPr>
          <w:lang w:val="fr-CH"/>
        </w:rPr>
        <w:t>gées (fréquence d'émission et de réception d'une station de base</w:t>
      </w:r>
      <w:proofErr w:type="gramStart"/>
      <w:r w:rsidRPr="007D38CE">
        <w:rPr>
          <w:lang w:val="fr-CH"/>
        </w:rPr>
        <w:t>);</w:t>
      </w:r>
      <w:proofErr w:type="gramEnd"/>
    </w:p>
    <w:p w14:paraId="2E0E8186" w14:textId="77777777" w:rsidR="00000000" w:rsidRPr="007D38CE" w:rsidRDefault="007D38CE">
      <w:pPr>
        <w:pStyle w:val="enumlev3"/>
        <w:rPr>
          <w:lang w:val="fr-CH"/>
        </w:rPr>
      </w:pPr>
      <w:r w:rsidRPr="007D38CE">
        <w:rPr>
          <w:lang w:val="fr-CH"/>
        </w:rPr>
        <w:t>–</w:t>
      </w:r>
      <w:r w:rsidRPr="007D38CE">
        <w:rPr>
          <w:lang w:val="fr-CH"/>
        </w:rPr>
        <w:tab/>
        <w:t xml:space="preserve">la zone de service de l'ensemble du réseau de </w:t>
      </w:r>
      <w:proofErr w:type="gramStart"/>
      <w:r w:rsidRPr="007D38CE">
        <w:rPr>
          <w:lang w:val="fr-CH"/>
        </w:rPr>
        <w:t>radiocommunications;</w:t>
      </w:r>
      <w:proofErr w:type="gramEnd"/>
    </w:p>
    <w:p w14:paraId="7D8BB2CA" w14:textId="77777777" w:rsidR="00000000" w:rsidRPr="007D38CE" w:rsidRDefault="007D38CE">
      <w:pPr>
        <w:pStyle w:val="enumlev3"/>
        <w:rPr>
          <w:lang w:val="fr-CH"/>
        </w:rPr>
      </w:pPr>
      <w:r w:rsidRPr="007D38CE">
        <w:rPr>
          <w:lang w:val="fr-CH"/>
        </w:rPr>
        <w:t>–</w:t>
      </w:r>
      <w:r w:rsidRPr="007D38CE">
        <w:rPr>
          <w:lang w:val="fr-CH"/>
        </w:rPr>
        <w:tab/>
        <w:t xml:space="preserve">la classe de la station </w:t>
      </w:r>
      <w:proofErr w:type="gramStart"/>
      <w:r w:rsidRPr="007D38CE">
        <w:rPr>
          <w:lang w:val="fr-CH"/>
        </w:rPr>
        <w:t>radioélectrique;</w:t>
      </w:r>
      <w:proofErr w:type="gramEnd"/>
    </w:p>
    <w:p w14:paraId="7356E9AA" w14:textId="77777777" w:rsidR="00000000" w:rsidRPr="007D38CE" w:rsidRDefault="007D38CE">
      <w:pPr>
        <w:pStyle w:val="enumlev3"/>
        <w:rPr>
          <w:lang w:val="fr-CH"/>
        </w:rPr>
      </w:pPr>
      <w:r w:rsidRPr="007D38CE">
        <w:rPr>
          <w:lang w:val="fr-CH"/>
        </w:rPr>
        <w:t>–</w:t>
      </w:r>
      <w:r w:rsidRPr="007D38CE">
        <w:rPr>
          <w:lang w:val="fr-CH"/>
        </w:rPr>
        <w:tab/>
        <w:t xml:space="preserve">le rayon de la zone de service d'une station de </w:t>
      </w:r>
      <w:proofErr w:type="gramStart"/>
      <w:r w:rsidRPr="007D38CE">
        <w:rPr>
          <w:lang w:val="fr-CH"/>
        </w:rPr>
        <w:t>base;</w:t>
      </w:r>
      <w:proofErr w:type="gramEnd"/>
    </w:p>
    <w:p w14:paraId="684F0961" w14:textId="77777777" w:rsidR="00000000" w:rsidRPr="007D38CE" w:rsidRDefault="007D38CE">
      <w:pPr>
        <w:pStyle w:val="enumlev3"/>
        <w:rPr>
          <w:lang w:val="fr-CH"/>
        </w:rPr>
      </w:pPr>
      <w:r w:rsidRPr="007D38CE">
        <w:rPr>
          <w:lang w:val="fr-CH"/>
        </w:rPr>
        <w:t>–</w:t>
      </w:r>
      <w:r w:rsidRPr="007D38CE">
        <w:rPr>
          <w:lang w:val="fr-CH"/>
        </w:rPr>
        <w:tab/>
        <w:t xml:space="preserve">la puissance apparente </w:t>
      </w:r>
      <w:proofErr w:type="gramStart"/>
      <w:r w:rsidRPr="007D38CE">
        <w:rPr>
          <w:lang w:val="fr-CH"/>
        </w:rPr>
        <w:t>rayonnée;</w:t>
      </w:r>
      <w:proofErr w:type="gramEnd"/>
    </w:p>
    <w:p w14:paraId="3B27BA5C" w14:textId="77777777" w:rsidR="00000000" w:rsidRPr="007D38CE" w:rsidRDefault="007D38CE">
      <w:pPr>
        <w:pStyle w:val="enumlev3"/>
        <w:rPr>
          <w:lang w:val="fr-CH"/>
        </w:rPr>
      </w:pPr>
      <w:r w:rsidRPr="007D38CE">
        <w:rPr>
          <w:lang w:val="fr-CH"/>
        </w:rPr>
        <w:t>–</w:t>
      </w:r>
      <w:r w:rsidRPr="007D38CE">
        <w:rPr>
          <w:lang w:val="fr-CH"/>
        </w:rPr>
        <w:tab/>
        <w:t xml:space="preserve">la hauteur maximale équivalente de </w:t>
      </w:r>
      <w:proofErr w:type="gramStart"/>
      <w:r w:rsidRPr="007D38CE">
        <w:rPr>
          <w:lang w:val="fr-CH"/>
        </w:rPr>
        <w:t>l'antenne;</w:t>
      </w:r>
      <w:proofErr w:type="gramEnd"/>
    </w:p>
    <w:p w14:paraId="7E253961" w14:textId="77777777" w:rsidR="00000000" w:rsidRPr="007D38CE" w:rsidRDefault="007D38CE">
      <w:pPr>
        <w:pStyle w:val="enumlev3"/>
        <w:rPr>
          <w:lang w:val="fr-CH"/>
        </w:rPr>
      </w:pPr>
      <w:r w:rsidRPr="007D38CE">
        <w:rPr>
          <w:lang w:val="fr-CH"/>
        </w:rPr>
        <w:t>–</w:t>
      </w:r>
      <w:r w:rsidRPr="007D38CE">
        <w:rPr>
          <w:lang w:val="fr-CH"/>
        </w:rPr>
        <w:tab/>
        <w:t xml:space="preserve">les caractéristiques de </w:t>
      </w:r>
      <w:proofErr w:type="gramStart"/>
      <w:r w:rsidRPr="007D38CE">
        <w:rPr>
          <w:lang w:val="fr-CH"/>
        </w:rPr>
        <w:t>l'émission;</w:t>
      </w:r>
      <w:proofErr w:type="gramEnd"/>
    </w:p>
    <w:p w14:paraId="751735E5" w14:textId="77777777" w:rsidR="00000000" w:rsidRPr="007D38CE" w:rsidRDefault="007D38CE">
      <w:pPr>
        <w:pStyle w:val="enumlev3"/>
        <w:rPr>
          <w:lang w:val="fr-CH"/>
        </w:rPr>
      </w:pPr>
      <w:r w:rsidRPr="007D38CE">
        <w:rPr>
          <w:lang w:val="fr-CH"/>
        </w:rPr>
        <w:t>–</w:t>
      </w:r>
      <w:r w:rsidRPr="007D38CE">
        <w:rPr>
          <w:lang w:val="fr-CH"/>
        </w:rPr>
        <w:tab/>
        <w:t>le plan d'extension du réseau.</w:t>
      </w:r>
    </w:p>
    <w:p w14:paraId="167B958B" w14:textId="77777777" w:rsidR="00000000" w:rsidRPr="007D38CE" w:rsidRDefault="007D38CE">
      <w:pPr>
        <w:ind w:left="794" w:hanging="794"/>
        <w:rPr>
          <w:lang w:val="fr-CH"/>
        </w:rPr>
      </w:pPr>
      <w:r w:rsidRPr="007D38CE">
        <w:rPr>
          <w:lang w:val="fr-CH"/>
        </w:rPr>
        <w:tab/>
        <w:t>L'Administration concernée confirme la réception de la demande de consultation et transmet sa prise de position dans un dé</w:t>
      </w:r>
      <w:r w:rsidRPr="007D38CE">
        <w:rPr>
          <w:lang w:val="fr-CH"/>
        </w:rPr>
        <w:t>lai de 60 jours.</w:t>
      </w:r>
    </w:p>
    <w:p w14:paraId="1E24B902" w14:textId="77777777" w:rsidR="00000000" w:rsidRPr="007D38CE" w:rsidRDefault="007D38CE">
      <w:pPr>
        <w:ind w:left="794" w:hanging="794"/>
        <w:rPr>
          <w:lang w:val="fr-CH"/>
        </w:rPr>
      </w:pPr>
      <w:r w:rsidRPr="007D38CE">
        <w:rPr>
          <w:lang w:val="fr-CH"/>
        </w:rPr>
        <w:tab/>
        <w:t>Dans des cas de planifications difficiles, cette consultation peut requérir une réunion de consultation bilatérale ou multilatérale pour aider l'Administration qui envisage l'établissement d'un réseau radioélectrique à arriver plus rapidement à une solution.</w:t>
      </w:r>
    </w:p>
    <w:p w14:paraId="01DA4E75" w14:textId="77777777" w:rsidR="00000000" w:rsidRPr="007D38CE" w:rsidRDefault="007D38CE">
      <w:pPr>
        <w:ind w:left="794" w:hanging="794"/>
        <w:rPr>
          <w:lang w:val="fr-CH"/>
        </w:rPr>
      </w:pPr>
      <w:r w:rsidRPr="007D38CE">
        <w:rPr>
          <w:lang w:val="fr-CH"/>
        </w:rPr>
        <w:t>4.3.2</w:t>
      </w:r>
      <w:r w:rsidRPr="007D38CE">
        <w:rPr>
          <w:b/>
          <w:lang w:val="fr-CH"/>
        </w:rPr>
        <w:tab/>
      </w:r>
      <w:r w:rsidRPr="007D38CE">
        <w:rPr>
          <w:lang w:val="fr-CH"/>
        </w:rPr>
        <w:t>Pour coordonner des fréquences d'un réseau de radiocommunications envisagé, les Administrations concernées appliqueront au plus tôt trois ans avant la mise en service envisagée la procédure décrite au paragraphe 4.1, en tenant co</w:t>
      </w:r>
      <w:r w:rsidRPr="007D38CE">
        <w:rPr>
          <w:lang w:val="fr-CH"/>
        </w:rPr>
        <w:t xml:space="preserve">mpte des modifications </w:t>
      </w:r>
      <w:proofErr w:type="gramStart"/>
      <w:r w:rsidRPr="007D38CE">
        <w:rPr>
          <w:lang w:val="fr-CH"/>
        </w:rPr>
        <w:t>suivantes:</w:t>
      </w:r>
      <w:proofErr w:type="gramEnd"/>
    </w:p>
    <w:p w14:paraId="2F0091FB" w14:textId="77777777" w:rsidR="00000000" w:rsidRPr="007D38CE" w:rsidRDefault="007D38CE">
      <w:pPr>
        <w:tabs>
          <w:tab w:val="clear" w:pos="1191"/>
          <w:tab w:val="left" w:pos="993"/>
        </w:tabs>
        <w:ind w:left="993" w:hanging="993"/>
        <w:rPr>
          <w:lang w:val="fr-CH"/>
        </w:rPr>
      </w:pPr>
      <w:r w:rsidRPr="007D38CE">
        <w:rPr>
          <w:lang w:val="fr-CH"/>
        </w:rPr>
        <w:t>4.3.2.1</w:t>
      </w:r>
      <w:r w:rsidRPr="007D38CE">
        <w:rPr>
          <w:lang w:val="fr-CH"/>
        </w:rPr>
        <w:tab/>
        <w:t>–</w:t>
      </w:r>
      <w:r w:rsidRPr="007D38CE">
        <w:rPr>
          <w:lang w:val="fr-CH"/>
        </w:rPr>
        <w:tab/>
        <w:t>La réception de la demande de coordination devra être confirmée.</w:t>
      </w:r>
    </w:p>
    <w:p w14:paraId="43ED1BDC" w14:textId="77777777" w:rsidR="00000000" w:rsidRPr="007D38CE" w:rsidRDefault="007D38CE">
      <w:pPr>
        <w:tabs>
          <w:tab w:val="clear" w:pos="1191"/>
          <w:tab w:val="left" w:pos="993"/>
        </w:tabs>
        <w:ind w:left="993" w:hanging="993"/>
        <w:rPr>
          <w:lang w:val="fr-CH"/>
        </w:rPr>
      </w:pPr>
      <w:r w:rsidRPr="007D38CE">
        <w:rPr>
          <w:lang w:val="fr-CH"/>
        </w:rPr>
        <w:t>4.3.2.2</w:t>
      </w:r>
      <w:r w:rsidRPr="007D38CE">
        <w:rPr>
          <w:lang w:val="fr-CH"/>
        </w:rPr>
        <w:tab/>
        <w:t>–</w:t>
      </w:r>
      <w:r w:rsidRPr="007D38CE">
        <w:rPr>
          <w:lang w:val="fr-CH"/>
        </w:rPr>
        <w:tab/>
        <w:t>Si une consultation préalable n'a pas eu lieu, les Administrations concernées présentent leur prise de position dans un délai de 180 jours à compter de la date de réception de la demande de coordination. Toute demande de coordination ayant été précédée d'une consultation doit faire l'objet d'une réponse dans un délai de 120 jours.</w:t>
      </w:r>
    </w:p>
    <w:p w14:paraId="7A5290F3" w14:textId="77777777" w:rsidR="00000000" w:rsidRPr="007D38CE" w:rsidRDefault="007D38CE">
      <w:pPr>
        <w:tabs>
          <w:tab w:val="clear" w:pos="1191"/>
          <w:tab w:val="left" w:pos="993"/>
        </w:tabs>
        <w:ind w:left="993" w:hanging="993"/>
        <w:rPr>
          <w:lang w:val="fr-CH"/>
        </w:rPr>
      </w:pPr>
      <w:r w:rsidRPr="007D38CE">
        <w:rPr>
          <w:lang w:val="fr-CH"/>
        </w:rPr>
        <w:t>4.3.2.3</w:t>
      </w:r>
      <w:r w:rsidRPr="007D38CE">
        <w:rPr>
          <w:lang w:val="fr-CH"/>
        </w:rPr>
        <w:tab/>
        <w:t>–</w:t>
      </w:r>
      <w:r w:rsidRPr="007D38CE">
        <w:rPr>
          <w:lang w:val="fr-CH"/>
        </w:rPr>
        <w:tab/>
        <w:t>L'Administration ayant présenté la demande de coor</w:t>
      </w:r>
      <w:r w:rsidRPr="007D38CE">
        <w:rPr>
          <w:lang w:val="fr-CH"/>
        </w:rPr>
        <w:t>dination informe les Administrations concernées de la date de la mise en service du réseau radioélectrique.</w:t>
      </w:r>
    </w:p>
    <w:p w14:paraId="4C8FA5CD" w14:textId="77777777" w:rsidR="00000000" w:rsidRPr="007D38CE" w:rsidRDefault="007D38CE">
      <w:pPr>
        <w:ind w:left="794" w:hanging="794"/>
        <w:rPr>
          <w:lang w:val="fr-CH"/>
        </w:rPr>
      </w:pPr>
      <w:r w:rsidRPr="007D38CE">
        <w:rPr>
          <w:lang w:val="fr-CH"/>
        </w:rPr>
        <w:t>4.3.3</w:t>
      </w:r>
      <w:r w:rsidRPr="007D38CE">
        <w:rPr>
          <w:lang w:val="fr-CH"/>
        </w:rPr>
        <w:tab/>
        <w:t>Les stations du réseau radioélectrique sont inscrites dans le Fichier de fréquences avec indication de la date d'achèvement de la procédure de coordination et jouissent des mêmes droits que les stations coordonnées conformément au paragraphe 4.1.</w:t>
      </w:r>
    </w:p>
    <w:p w14:paraId="3DD87620" w14:textId="77777777" w:rsidR="00000000" w:rsidRPr="007D38CE" w:rsidRDefault="007D38CE">
      <w:pPr>
        <w:ind w:left="794" w:hanging="794"/>
        <w:rPr>
          <w:lang w:val="fr-CH"/>
        </w:rPr>
      </w:pPr>
      <w:r w:rsidRPr="007D38CE">
        <w:rPr>
          <w:lang w:val="fr-CH"/>
        </w:rPr>
        <w:t>4.3.4</w:t>
      </w:r>
      <w:r w:rsidRPr="007D38CE">
        <w:rPr>
          <w:lang w:val="fr-CH"/>
        </w:rPr>
        <w:tab/>
        <w:t>Pour toutes les stations coordonnées n'ayant pas été mises en service dans un délai de cinq ans après achèvement de la procédure de coordination,</w:t>
      </w:r>
      <w:r w:rsidRPr="007D38CE">
        <w:rPr>
          <w:lang w:val="fr-CH"/>
        </w:rPr>
        <w:t xml:space="preserve"> la coordination est considérée comme nulle et non avenue.</w:t>
      </w:r>
    </w:p>
    <w:p w14:paraId="34387C7F" w14:textId="77777777" w:rsidR="00000000" w:rsidRPr="007D38CE" w:rsidRDefault="007D38CE">
      <w:pPr>
        <w:pStyle w:val="Heading2"/>
        <w:rPr>
          <w:lang w:val="fr-CH"/>
        </w:rPr>
      </w:pPr>
      <w:r w:rsidRPr="007D38CE">
        <w:rPr>
          <w:b w:val="0"/>
          <w:sz w:val="20"/>
          <w:lang w:val="fr-CH"/>
        </w:rPr>
        <w:br w:type="page"/>
        <w:t>4.4</w:t>
      </w:r>
      <w:r w:rsidRPr="007D38CE">
        <w:rPr>
          <w:b w:val="0"/>
          <w:sz w:val="20"/>
          <w:lang w:val="fr-CH"/>
        </w:rPr>
        <w:tab/>
      </w:r>
      <w:r w:rsidRPr="007D38CE">
        <w:rPr>
          <w:b w:val="0"/>
          <w:sz w:val="20"/>
          <w:u w:val="single"/>
          <w:lang w:val="fr-CH"/>
        </w:rPr>
        <w:t>Fréquences utilisées selon des plans de réseaux géographiques</w:t>
      </w:r>
    </w:p>
    <w:p w14:paraId="760CE9ED" w14:textId="77777777" w:rsidR="00000000" w:rsidRPr="007D38CE" w:rsidRDefault="007D38CE">
      <w:pPr>
        <w:ind w:left="794" w:hanging="794"/>
        <w:rPr>
          <w:lang w:val="fr-CH"/>
        </w:rPr>
      </w:pPr>
      <w:r w:rsidRPr="007D38CE">
        <w:rPr>
          <w:lang w:val="fr-CH"/>
        </w:rPr>
        <w:t>4.4.1</w:t>
      </w:r>
      <w:r w:rsidRPr="007D38CE">
        <w:rPr>
          <w:lang w:val="fr-CH"/>
        </w:rPr>
        <w:tab/>
        <w:t>Des plans de réseaux géographiques couvrant certaines parties des bandes de fréquences mentionnées au paragraphe 1.2 peuvent être élaborés et coordonnés, un écart par rapport aux paramètres définis étant admissible, à condition qu'un accord ait été conclu au préalable entre les Administrations concernées. Ces fréquences seront inscrites au Fichier de fréquences. Compte tenu des</w:t>
      </w:r>
      <w:r w:rsidRPr="007D38CE">
        <w:rPr>
          <w:lang w:val="fr-CH"/>
        </w:rPr>
        <w:t xml:space="preserve"> plans ainsi adoptés, les Administrations seront autorisées à mettre en service des stations sans coordination préalable avec les Administrations avec lesquelles le plan a été convenu.</w:t>
      </w:r>
    </w:p>
    <w:p w14:paraId="68772879" w14:textId="77777777" w:rsidR="00000000" w:rsidRPr="007D38CE" w:rsidRDefault="007D38CE">
      <w:pPr>
        <w:ind w:left="794" w:hanging="794"/>
        <w:rPr>
          <w:lang w:val="fr-CH"/>
        </w:rPr>
      </w:pPr>
      <w:r w:rsidRPr="007D38CE">
        <w:rPr>
          <w:lang w:val="fr-CH"/>
        </w:rPr>
        <w:t>4.4.2</w:t>
      </w:r>
      <w:r w:rsidRPr="007D38CE">
        <w:rPr>
          <w:lang w:val="fr-CH"/>
        </w:rPr>
        <w:tab/>
        <w:t>Les fréquences utilisées selon des plans de réseaux géographiques et que l'on envisage d'assigner dans d'autres conditions que celles du paragraphe 1.3.5 devront être coordonnées conformément au paragraphe 4.1.</w:t>
      </w:r>
    </w:p>
    <w:p w14:paraId="3E58A211" w14:textId="77777777" w:rsidR="00000000" w:rsidRPr="007D38CE" w:rsidRDefault="007D38CE">
      <w:pPr>
        <w:pStyle w:val="Heading2"/>
        <w:rPr>
          <w:b w:val="0"/>
          <w:sz w:val="20"/>
          <w:lang w:val="fr-CH"/>
        </w:rPr>
      </w:pPr>
      <w:r w:rsidRPr="007D38CE">
        <w:rPr>
          <w:b w:val="0"/>
          <w:sz w:val="20"/>
          <w:lang w:val="fr-CH"/>
        </w:rPr>
        <w:t>4.5</w:t>
      </w:r>
      <w:r w:rsidRPr="007D38CE">
        <w:rPr>
          <w:b w:val="0"/>
          <w:sz w:val="20"/>
          <w:lang w:val="fr-CH"/>
        </w:rPr>
        <w:tab/>
      </w:r>
      <w:r w:rsidRPr="007D38CE">
        <w:rPr>
          <w:b w:val="0"/>
          <w:sz w:val="20"/>
          <w:u w:val="single"/>
          <w:lang w:val="fr-CH"/>
        </w:rPr>
        <w:t>Evaluation des demandes de coordination</w:t>
      </w:r>
    </w:p>
    <w:p w14:paraId="694E4688" w14:textId="77777777" w:rsidR="00000000" w:rsidRPr="007D38CE" w:rsidRDefault="007D38CE">
      <w:pPr>
        <w:ind w:left="794" w:hanging="794"/>
        <w:rPr>
          <w:lang w:val="fr-CH"/>
        </w:rPr>
      </w:pPr>
      <w:r w:rsidRPr="007D38CE">
        <w:rPr>
          <w:lang w:val="fr-CH"/>
        </w:rPr>
        <w:t>4.5.1</w:t>
      </w:r>
      <w:r w:rsidRPr="007D38CE">
        <w:rPr>
          <w:lang w:val="fr-CH"/>
        </w:rPr>
        <w:tab/>
        <w:t xml:space="preserve">Pour évaluer les demandes de coordination, l'Administration </w:t>
      </w:r>
      <w:r w:rsidRPr="007D38CE">
        <w:rPr>
          <w:lang w:val="fr-CH"/>
        </w:rPr>
        <w:t>concernée tiendra compte des classes de fréquences ci-</w:t>
      </w:r>
      <w:proofErr w:type="gramStart"/>
      <w:r w:rsidRPr="007D38CE">
        <w:rPr>
          <w:lang w:val="fr-CH"/>
        </w:rPr>
        <w:t>après:</w:t>
      </w:r>
      <w:proofErr w:type="gramEnd"/>
    </w:p>
    <w:p w14:paraId="7AF4BFDF" w14:textId="77777777" w:rsidR="00000000" w:rsidRPr="007D38CE" w:rsidRDefault="007D38CE">
      <w:pPr>
        <w:pStyle w:val="enumlev3"/>
        <w:rPr>
          <w:lang w:val="fr-CH"/>
        </w:rPr>
      </w:pPr>
      <w:r w:rsidRPr="007D38CE">
        <w:rPr>
          <w:lang w:val="fr-CH"/>
        </w:rPr>
        <w:t>–</w:t>
      </w:r>
      <w:r w:rsidRPr="007D38CE">
        <w:rPr>
          <w:lang w:val="fr-CH"/>
        </w:rPr>
        <w:tab/>
        <w:t xml:space="preserve">fréquences inscrites au Fichier de </w:t>
      </w:r>
      <w:proofErr w:type="gramStart"/>
      <w:r w:rsidRPr="007D38CE">
        <w:rPr>
          <w:lang w:val="fr-CH"/>
        </w:rPr>
        <w:t>fréquences;</w:t>
      </w:r>
      <w:proofErr w:type="gramEnd"/>
    </w:p>
    <w:p w14:paraId="1A71C081" w14:textId="77777777" w:rsidR="00000000" w:rsidRPr="007D38CE" w:rsidRDefault="007D38CE">
      <w:pPr>
        <w:pStyle w:val="enumlev3"/>
        <w:rPr>
          <w:lang w:val="fr-CH"/>
        </w:rPr>
      </w:pPr>
      <w:r w:rsidRPr="007D38CE">
        <w:rPr>
          <w:lang w:val="fr-CH"/>
        </w:rPr>
        <w:t>–</w:t>
      </w:r>
      <w:r w:rsidRPr="007D38CE">
        <w:rPr>
          <w:lang w:val="fr-CH"/>
        </w:rPr>
        <w:tab/>
        <w:t xml:space="preserve">fréquences </w:t>
      </w:r>
      <w:proofErr w:type="gramStart"/>
      <w:r w:rsidRPr="007D38CE">
        <w:rPr>
          <w:lang w:val="fr-CH"/>
        </w:rPr>
        <w:t>préférentielles;</w:t>
      </w:r>
      <w:proofErr w:type="gramEnd"/>
    </w:p>
    <w:p w14:paraId="18F2DD52" w14:textId="77777777" w:rsidR="00000000" w:rsidRPr="007D38CE" w:rsidRDefault="007D38CE">
      <w:pPr>
        <w:pStyle w:val="enumlev3"/>
        <w:rPr>
          <w:lang w:val="fr-CH"/>
        </w:rPr>
      </w:pPr>
      <w:r w:rsidRPr="007D38CE">
        <w:rPr>
          <w:lang w:val="fr-CH"/>
        </w:rPr>
        <w:t>–</w:t>
      </w:r>
      <w:r w:rsidRPr="007D38CE">
        <w:rPr>
          <w:lang w:val="fr-CH"/>
        </w:rPr>
        <w:tab/>
        <w:t>fréquences en voie de coordination (dans l'ordre chronologique des demandes).</w:t>
      </w:r>
    </w:p>
    <w:p w14:paraId="38215F11" w14:textId="77777777" w:rsidR="00000000" w:rsidRPr="007D38CE" w:rsidRDefault="007D38CE">
      <w:pPr>
        <w:rPr>
          <w:lang w:val="fr-CH"/>
        </w:rPr>
      </w:pPr>
      <w:r w:rsidRPr="007D38CE">
        <w:rPr>
          <w:lang w:val="fr-CH"/>
        </w:rPr>
        <w:t>4.5.2</w:t>
      </w:r>
      <w:r w:rsidRPr="007D38CE">
        <w:rPr>
          <w:lang w:val="fr-CH"/>
        </w:rPr>
        <w:tab/>
        <w:t>Une demande de coordination d'un émetteur ne peut être rejetée que si la station correspondante</w:t>
      </w:r>
    </w:p>
    <w:p w14:paraId="7348E591" w14:textId="77777777" w:rsidR="00000000" w:rsidRPr="007D38CE" w:rsidRDefault="007D38CE">
      <w:pPr>
        <w:ind w:left="1191" w:hanging="1191"/>
        <w:rPr>
          <w:lang w:val="fr-CH"/>
        </w:rPr>
      </w:pPr>
      <w:r w:rsidRPr="007D38CE">
        <w:rPr>
          <w:lang w:val="fr-CH"/>
        </w:rPr>
        <w:t>4.5.2.1</w:t>
      </w:r>
      <w:r w:rsidRPr="007D38CE">
        <w:rPr>
          <w:b/>
          <w:lang w:val="fr-CH"/>
        </w:rPr>
        <w:tab/>
      </w:r>
      <w:r w:rsidRPr="007D38CE">
        <w:rPr>
          <w:lang w:val="fr-CH"/>
        </w:rPr>
        <w:t>–</w:t>
      </w:r>
      <w:r w:rsidRPr="007D38CE">
        <w:rPr>
          <w:lang w:val="fr-CH"/>
        </w:rPr>
        <w:tab/>
        <w:t>dépasse à une station inscrite au Fichier de fréquences le niveau maximal admissible du champ brouilleur indiqué à l'</w:t>
      </w:r>
      <w:r w:rsidRPr="007D38CE">
        <w:rPr>
          <w:u w:val="single"/>
          <w:lang w:val="fr-CH"/>
        </w:rPr>
        <w:t>Annexe 1</w:t>
      </w:r>
      <w:r w:rsidRPr="007D38CE">
        <w:rPr>
          <w:lang w:val="fr-CH"/>
        </w:rPr>
        <w:t xml:space="preserve"> </w:t>
      </w:r>
      <w:r w:rsidRPr="007D38CE">
        <w:rPr>
          <w:i/>
          <w:lang w:val="fr-CH"/>
        </w:rPr>
        <w:t>(ci-jointe)</w:t>
      </w:r>
      <w:r w:rsidRPr="007D38CE">
        <w:rPr>
          <w:lang w:val="fr-CH"/>
        </w:rPr>
        <w:t xml:space="preserve"> </w:t>
      </w:r>
      <w:proofErr w:type="gramStart"/>
      <w:r w:rsidRPr="007D38CE">
        <w:rPr>
          <w:lang w:val="fr-CH"/>
        </w:rPr>
        <w:t>ou</w:t>
      </w:r>
      <w:proofErr w:type="gramEnd"/>
    </w:p>
    <w:p w14:paraId="4E9BD613" w14:textId="77777777" w:rsidR="00000000" w:rsidRPr="007D38CE" w:rsidRDefault="007D38CE">
      <w:pPr>
        <w:ind w:left="1191" w:hanging="1191"/>
        <w:rPr>
          <w:lang w:val="fr-CH"/>
        </w:rPr>
      </w:pPr>
      <w:r w:rsidRPr="007D38CE">
        <w:rPr>
          <w:lang w:val="fr-CH"/>
        </w:rPr>
        <w:t>4.5.2.2</w:t>
      </w:r>
      <w:r w:rsidRPr="007D38CE">
        <w:rPr>
          <w:lang w:val="fr-CH"/>
        </w:rPr>
        <w:tab/>
        <w:t>–</w:t>
      </w:r>
      <w:r w:rsidRPr="007D38CE">
        <w:rPr>
          <w:lang w:val="fr-CH"/>
        </w:rPr>
        <w:tab/>
        <w:t xml:space="preserve">a l'intention d'utiliser une </w:t>
      </w:r>
      <w:r w:rsidRPr="007D38CE">
        <w:rPr>
          <w:lang w:val="fr-CH"/>
        </w:rPr>
        <w:t xml:space="preserve">fréquence préférentielle de l'Administration requérante ou concernée sans répondre aux conditions convenues par entente bilatérale ou multilatérale conformément au paragraphe 1.3.2, </w:t>
      </w:r>
      <w:proofErr w:type="gramStart"/>
      <w:r w:rsidRPr="007D38CE">
        <w:rPr>
          <w:lang w:val="fr-CH"/>
        </w:rPr>
        <w:t>ou</w:t>
      </w:r>
      <w:proofErr w:type="gramEnd"/>
      <w:r w:rsidRPr="007D38CE">
        <w:rPr>
          <w:lang w:val="fr-CH"/>
        </w:rPr>
        <w:t xml:space="preserve"> </w:t>
      </w:r>
    </w:p>
    <w:p w14:paraId="4B706E0B" w14:textId="77777777" w:rsidR="00000000" w:rsidRPr="007D38CE" w:rsidRDefault="007D38CE">
      <w:pPr>
        <w:ind w:left="1191" w:hanging="1191"/>
        <w:rPr>
          <w:lang w:val="fr-CH"/>
        </w:rPr>
      </w:pPr>
      <w:r w:rsidRPr="007D38CE">
        <w:rPr>
          <w:lang w:val="fr-CH"/>
        </w:rPr>
        <w:t>4.5.2.3</w:t>
      </w:r>
      <w:r w:rsidRPr="007D38CE">
        <w:rPr>
          <w:lang w:val="fr-CH"/>
        </w:rPr>
        <w:tab/>
        <w:t>–</w:t>
      </w:r>
      <w:r w:rsidRPr="007D38CE">
        <w:rPr>
          <w:lang w:val="fr-CH"/>
        </w:rPr>
        <w:tab/>
        <w:t>dépasse le niveau maximal admissible du champ brouilleur indiqué à l'</w:t>
      </w:r>
      <w:r w:rsidRPr="007D38CE">
        <w:rPr>
          <w:u w:val="single"/>
          <w:lang w:val="fr-CH"/>
        </w:rPr>
        <w:t>Annexe 1</w:t>
      </w:r>
      <w:r w:rsidRPr="007D38CE">
        <w:rPr>
          <w:lang w:val="fr-CH"/>
        </w:rPr>
        <w:t xml:space="preserve"> </w:t>
      </w:r>
      <w:r w:rsidRPr="007D38CE">
        <w:rPr>
          <w:i/>
          <w:lang w:val="fr-CH"/>
        </w:rPr>
        <w:t>(ci-jointe)</w:t>
      </w:r>
      <w:r w:rsidRPr="007D38CE">
        <w:rPr>
          <w:lang w:val="fr-CH"/>
        </w:rPr>
        <w:t xml:space="preserve"> dans le cas d'une station en voie de coordination, </w:t>
      </w:r>
      <w:proofErr w:type="gramStart"/>
      <w:r w:rsidRPr="007D38CE">
        <w:rPr>
          <w:lang w:val="fr-CH"/>
        </w:rPr>
        <w:t>ou</w:t>
      </w:r>
      <w:proofErr w:type="gramEnd"/>
      <w:r w:rsidRPr="007D38CE">
        <w:rPr>
          <w:lang w:val="fr-CH"/>
        </w:rPr>
        <w:t xml:space="preserve"> </w:t>
      </w:r>
    </w:p>
    <w:p w14:paraId="333A7F5A" w14:textId="77777777" w:rsidR="00000000" w:rsidRPr="007D38CE" w:rsidRDefault="007D38CE">
      <w:pPr>
        <w:ind w:left="1191" w:hanging="1191"/>
        <w:rPr>
          <w:lang w:val="fr-CH"/>
        </w:rPr>
      </w:pPr>
      <w:r w:rsidRPr="007D38CE">
        <w:rPr>
          <w:lang w:val="fr-CH"/>
        </w:rPr>
        <w:t>4.5.2.4</w:t>
      </w:r>
      <w:r w:rsidRPr="007D38CE">
        <w:rPr>
          <w:lang w:val="fr-CH"/>
        </w:rPr>
        <w:tab/>
        <w:t>–</w:t>
      </w:r>
      <w:r w:rsidRPr="007D38CE">
        <w:rPr>
          <w:lang w:val="fr-CH"/>
        </w:rPr>
        <w:tab/>
        <w:t>ne satisfait pas aux conditions régissant les portées transfrontières maximales de brouillages préjudiciables indiquées à l'</w:t>
      </w:r>
      <w:r w:rsidRPr="007D38CE">
        <w:rPr>
          <w:u w:val="single"/>
          <w:lang w:val="fr-CH"/>
        </w:rPr>
        <w:t>Annexe 1</w:t>
      </w:r>
      <w:r w:rsidRPr="007D38CE">
        <w:rPr>
          <w:lang w:val="fr-CH"/>
        </w:rPr>
        <w:t xml:space="preserve"> </w:t>
      </w:r>
      <w:r w:rsidRPr="007D38CE">
        <w:rPr>
          <w:i/>
          <w:lang w:val="fr-CH"/>
        </w:rPr>
        <w:t>(ci-jointe)</w:t>
      </w:r>
      <w:r w:rsidRPr="007D38CE">
        <w:rPr>
          <w:lang w:val="fr-CH"/>
        </w:rPr>
        <w:t>.</w:t>
      </w:r>
    </w:p>
    <w:p w14:paraId="663473FD" w14:textId="77777777" w:rsidR="00000000" w:rsidRPr="007D38CE" w:rsidRDefault="007D38CE">
      <w:pPr>
        <w:rPr>
          <w:lang w:val="fr-CH"/>
        </w:rPr>
      </w:pPr>
      <w:r w:rsidRPr="007D38CE">
        <w:rPr>
          <w:lang w:val="fr-CH"/>
        </w:rPr>
        <w:t>4.5.3</w:t>
      </w:r>
      <w:r w:rsidRPr="007D38CE">
        <w:rPr>
          <w:lang w:val="fr-CH"/>
        </w:rPr>
        <w:tab/>
        <w:t>La protec</w:t>
      </w:r>
      <w:r w:rsidRPr="007D38CE">
        <w:rPr>
          <w:lang w:val="fr-CH"/>
        </w:rPr>
        <w:t>tion d'un récepteur ne peut être rejetée que si</w:t>
      </w:r>
    </w:p>
    <w:p w14:paraId="05529804" w14:textId="77777777" w:rsidR="00000000" w:rsidRPr="007D38CE" w:rsidRDefault="007D38CE">
      <w:pPr>
        <w:ind w:left="1191" w:hanging="1191"/>
        <w:rPr>
          <w:lang w:val="fr-CH"/>
        </w:rPr>
      </w:pPr>
      <w:r w:rsidRPr="007D38CE">
        <w:rPr>
          <w:lang w:val="fr-CH"/>
        </w:rPr>
        <w:t>4.5.3.1</w:t>
      </w:r>
      <w:r w:rsidRPr="007D38CE">
        <w:rPr>
          <w:b/>
          <w:lang w:val="fr-CH"/>
        </w:rPr>
        <w:tab/>
      </w:r>
      <w:r w:rsidRPr="007D38CE">
        <w:rPr>
          <w:lang w:val="fr-CH"/>
        </w:rPr>
        <w:t>–</w:t>
      </w:r>
      <w:r w:rsidRPr="007D38CE">
        <w:rPr>
          <w:lang w:val="fr-CH"/>
        </w:rPr>
        <w:tab/>
        <w:t>un des émetteurs coordonnés de l'Administration concernée produit au niveau du récepteur concerné un niveau de champ brouilleur dépassant le niveau maximal admissible du champ brouilleur indiqué à l'</w:t>
      </w:r>
      <w:r w:rsidRPr="007D38CE">
        <w:rPr>
          <w:u w:val="single"/>
          <w:lang w:val="fr-CH"/>
        </w:rPr>
        <w:t>Annexe 1</w:t>
      </w:r>
      <w:r w:rsidRPr="007D38CE">
        <w:rPr>
          <w:lang w:val="fr-CH"/>
        </w:rPr>
        <w:t xml:space="preserve"> </w:t>
      </w:r>
      <w:r w:rsidRPr="007D38CE">
        <w:rPr>
          <w:i/>
          <w:lang w:val="fr-CH"/>
        </w:rPr>
        <w:t>(ci-jointe)</w:t>
      </w:r>
      <w:r w:rsidRPr="007D38CE">
        <w:rPr>
          <w:lang w:val="fr-CH"/>
        </w:rPr>
        <w:t>.</w:t>
      </w:r>
    </w:p>
    <w:p w14:paraId="4C9E8288" w14:textId="77777777" w:rsidR="00000000" w:rsidRPr="007D38CE" w:rsidRDefault="007D38CE">
      <w:pPr>
        <w:ind w:left="1191" w:hanging="1191"/>
        <w:rPr>
          <w:lang w:val="fr-CH"/>
        </w:rPr>
      </w:pPr>
      <w:r w:rsidRPr="007D38CE">
        <w:rPr>
          <w:lang w:val="fr-CH"/>
        </w:rPr>
        <w:t>4.5.3.2</w:t>
      </w:r>
      <w:r w:rsidRPr="007D38CE">
        <w:rPr>
          <w:lang w:val="fr-CH"/>
        </w:rPr>
        <w:tab/>
        <w:t>–</w:t>
      </w:r>
      <w:r w:rsidRPr="007D38CE">
        <w:rPr>
          <w:lang w:val="fr-CH"/>
        </w:rPr>
        <w:tab/>
        <w:t xml:space="preserve">la protection du récepteur limitait l'utilisation d'une fréquence préférentielle de l'Administration concernée aux conditions convenues par entente bilatérale ou multilatérale conformément au paragraphe 1.3.2 </w:t>
      </w:r>
      <w:proofErr w:type="gramStart"/>
      <w:r w:rsidRPr="007D38CE">
        <w:rPr>
          <w:lang w:val="fr-CH"/>
        </w:rPr>
        <w:t>ou</w:t>
      </w:r>
      <w:proofErr w:type="gramEnd"/>
    </w:p>
    <w:p w14:paraId="78027445" w14:textId="77777777" w:rsidR="00000000" w:rsidRPr="007D38CE" w:rsidRDefault="007D38CE">
      <w:pPr>
        <w:ind w:left="1191" w:hanging="1191"/>
        <w:rPr>
          <w:lang w:val="fr-CH"/>
        </w:rPr>
      </w:pPr>
      <w:r w:rsidRPr="007D38CE">
        <w:rPr>
          <w:lang w:val="fr-CH"/>
        </w:rPr>
        <w:t>4.5.3.3</w:t>
      </w:r>
      <w:r w:rsidRPr="007D38CE">
        <w:rPr>
          <w:b/>
          <w:lang w:val="fr-CH"/>
        </w:rPr>
        <w:tab/>
      </w:r>
      <w:r w:rsidRPr="007D38CE">
        <w:rPr>
          <w:lang w:val="fr-CH"/>
        </w:rPr>
        <w:t>–</w:t>
      </w:r>
      <w:r w:rsidRPr="007D38CE">
        <w:rPr>
          <w:lang w:val="fr-CH"/>
        </w:rPr>
        <w:tab/>
        <w:t>u</w:t>
      </w:r>
      <w:r w:rsidRPr="007D38CE">
        <w:rPr>
          <w:lang w:val="fr-CH"/>
        </w:rPr>
        <w:t>n des émetteurs en voie de coordination de l'Administration concernée produit au niveau du récepteur concerné un niveau de champ brouilleur dépassant le niveau maximal admissible du champ brouilleur indiqué à l'</w:t>
      </w:r>
      <w:r w:rsidRPr="007D38CE">
        <w:rPr>
          <w:u w:val="single"/>
          <w:lang w:val="fr-CH"/>
        </w:rPr>
        <w:t>Annexe 1</w:t>
      </w:r>
      <w:r w:rsidRPr="007D38CE">
        <w:rPr>
          <w:lang w:val="fr-CH"/>
        </w:rPr>
        <w:t xml:space="preserve"> </w:t>
      </w:r>
      <w:r w:rsidRPr="007D38CE">
        <w:rPr>
          <w:i/>
          <w:lang w:val="fr-CH"/>
        </w:rPr>
        <w:t>(ci-jointe)</w:t>
      </w:r>
      <w:r w:rsidRPr="007D38CE">
        <w:rPr>
          <w:lang w:val="fr-CH"/>
        </w:rPr>
        <w:t xml:space="preserve"> </w:t>
      </w:r>
      <w:proofErr w:type="gramStart"/>
      <w:r w:rsidRPr="007D38CE">
        <w:rPr>
          <w:lang w:val="fr-CH"/>
        </w:rPr>
        <w:t>ou</w:t>
      </w:r>
      <w:proofErr w:type="gramEnd"/>
    </w:p>
    <w:p w14:paraId="1133653E" w14:textId="77777777" w:rsidR="00000000" w:rsidRPr="007D38CE" w:rsidRDefault="007D38CE">
      <w:pPr>
        <w:ind w:left="1191" w:hanging="1191"/>
        <w:rPr>
          <w:lang w:val="fr-CH"/>
        </w:rPr>
      </w:pPr>
      <w:r w:rsidRPr="007D38CE">
        <w:rPr>
          <w:lang w:val="fr-CH"/>
        </w:rPr>
        <w:t>4.5.3.4</w:t>
      </w:r>
      <w:r w:rsidRPr="007D38CE">
        <w:rPr>
          <w:lang w:val="fr-CH"/>
        </w:rPr>
        <w:tab/>
        <w:t>–</w:t>
      </w:r>
      <w:r w:rsidRPr="007D38CE">
        <w:rPr>
          <w:lang w:val="fr-CH"/>
        </w:rPr>
        <w:tab/>
        <w:t>les conditions régissant les portées transfrontières de brouillages préjudiciables indiquées à l'</w:t>
      </w:r>
      <w:r w:rsidRPr="007D38CE">
        <w:rPr>
          <w:u w:val="single"/>
          <w:lang w:val="fr-CH"/>
        </w:rPr>
        <w:t>Annexe 1</w:t>
      </w:r>
      <w:r w:rsidRPr="007D38CE">
        <w:rPr>
          <w:lang w:val="fr-CH"/>
        </w:rPr>
        <w:t xml:space="preserve"> </w:t>
      </w:r>
      <w:r w:rsidRPr="007D38CE">
        <w:rPr>
          <w:i/>
          <w:lang w:val="fr-CH"/>
        </w:rPr>
        <w:t>(ci-jointe)</w:t>
      </w:r>
      <w:r w:rsidRPr="007D38CE">
        <w:rPr>
          <w:lang w:val="fr-CH"/>
        </w:rPr>
        <w:t xml:space="preserve"> ne sont pas remplies.</w:t>
      </w:r>
    </w:p>
    <w:p w14:paraId="7BBFBDD5" w14:textId="77777777" w:rsidR="00000000" w:rsidRPr="007D38CE" w:rsidRDefault="007D38CE">
      <w:pPr>
        <w:ind w:left="794" w:hanging="794"/>
        <w:rPr>
          <w:lang w:val="fr-CH"/>
        </w:rPr>
      </w:pPr>
      <w:r w:rsidRPr="007D38CE">
        <w:rPr>
          <w:lang w:val="fr-CH"/>
        </w:rPr>
        <w:t>4.5.4</w:t>
      </w:r>
      <w:r w:rsidRPr="007D38CE">
        <w:rPr>
          <w:lang w:val="fr-CH"/>
        </w:rPr>
        <w:tab/>
        <w:t>S'il ne peut être garanti de protection contre des brouillages, une demande de coordination doit être acceptée avec</w:t>
      </w:r>
      <w:proofErr w:type="gramStart"/>
      <w:r w:rsidRPr="007D38CE">
        <w:rPr>
          <w:lang w:val="fr-CH"/>
        </w:rPr>
        <w:t xml:space="preserve"> «G</w:t>
      </w:r>
      <w:proofErr w:type="gramEnd"/>
      <w:r w:rsidRPr="007D38CE">
        <w:rPr>
          <w:lang w:val="fr-CH"/>
        </w:rPr>
        <w:t>» (</w:t>
      </w:r>
      <w:r w:rsidRPr="007D38CE">
        <w:rPr>
          <w:u w:val="single"/>
          <w:lang w:val="fr-CH"/>
        </w:rPr>
        <w:t>Appendice 10 à l'Annexe 2</w:t>
      </w:r>
      <w:r w:rsidRPr="007D38CE">
        <w:rPr>
          <w:lang w:val="fr-CH"/>
        </w:rPr>
        <w:t xml:space="preserve">) </w:t>
      </w:r>
      <w:r w:rsidRPr="007D38CE">
        <w:rPr>
          <w:i/>
          <w:lang w:val="fr-CH"/>
        </w:rPr>
        <w:t>(pas joint)</w:t>
      </w:r>
      <w:r w:rsidRPr="007D38CE">
        <w:rPr>
          <w:lang w:val="fr-CH"/>
        </w:rPr>
        <w:t>.</w:t>
      </w:r>
    </w:p>
    <w:p w14:paraId="05E28B12" w14:textId="77777777" w:rsidR="00000000" w:rsidRPr="007D38CE" w:rsidRDefault="007D38CE">
      <w:pPr>
        <w:ind w:left="794" w:hanging="794"/>
        <w:rPr>
          <w:lang w:val="fr-CH"/>
        </w:rPr>
      </w:pPr>
      <w:r w:rsidRPr="007D38CE">
        <w:rPr>
          <w:lang w:val="fr-CH"/>
        </w:rPr>
        <w:t>4.5.5</w:t>
      </w:r>
      <w:r w:rsidRPr="007D38CE">
        <w:rPr>
          <w:lang w:val="fr-CH"/>
        </w:rPr>
        <w:tab/>
        <w:t>Dans les cas où une demande de coordination est rejetée ou qu'une réponse conditionnelle est donnée à une telle demande, les raisons en seront données avec indication, le cas échéant, soit de la station radioélectrique devant être protégée, soit de la station radioélectrique qui pourrait causer le brouillage à la station radioélectrique envisagée.</w:t>
      </w:r>
    </w:p>
    <w:p w14:paraId="5EFDDA39" w14:textId="77777777" w:rsidR="00000000" w:rsidRPr="007D38CE" w:rsidRDefault="007D38CE">
      <w:pPr>
        <w:ind w:left="794" w:hanging="794"/>
        <w:rPr>
          <w:lang w:val="fr-CH"/>
        </w:rPr>
      </w:pPr>
      <w:r w:rsidRPr="007D38CE">
        <w:rPr>
          <w:lang w:val="fr-CH"/>
        </w:rPr>
        <w:t>4.5.6</w:t>
      </w:r>
      <w:r w:rsidRPr="007D38CE">
        <w:rPr>
          <w:lang w:val="fr-CH"/>
        </w:rPr>
        <w:tab/>
        <w:t>Une Administration se référant au paragraphe 2.4 du présent Accord ne peut répondre à une demande de coordinat</w:t>
      </w:r>
      <w:r w:rsidRPr="007D38CE">
        <w:rPr>
          <w:lang w:val="fr-CH"/>
        </w:rPr>
        <w:t>ion qu'en indiquant «</w:t>
      </w:r>
      <w:proofErr w:type="gramStart"/>
      <w:r w:rsidRPr="007D38CE">
        <w:rPr>
          <w:lang w:val="fr-CH"/>
        </w:rPr>
        <w:t>C»</w:t>
      </w:r>
      <w:proofErr w:type="gramEnd"/>
      <w:r w:rsidRPr="007D38CE">
        <w:rPr>
          <w:lang w:val="fr-CH"/>
        </w:rPr>
        <w:t xml:space="preserve"> ou «G» conformément à l'</w:t>
      </w:r>
      <w:r w:rsidRPr="007D38CE">
        <w:rPr>
          <w:u w:val="single"/>
          <w:lang w:val="fr-CH"/>
        </w:rPr>
        <w:t>Appendice 10 à l'Annexe 2</w:t>
      </w:r>
      <w:r w:rsidRPr="007D38CE">
        <w:rPr>
          <w:lang w:val="fr-CH"/>
        </w:rPr>
        <w:t xml:space="preserve"> </w:t>
      </w:r>
      <w:r w:rsidRPr="007D38CE">
        <w:rPr>
          <w:i/>
          <w:lang w:val="fr-CH"/>
        </w:rPr>
        <w:t>(pas joint)</w:t>
      </w:r>
      <w:r w:rsidRPr="007D38CE">
        <w:rPr>
          <w:lang w:val="fr-CH"/>
        </w:rPr>
        <w:t>. Aucune raison n'est à donner pour</w:t>
      </w:r>
      <w:proofErr w:type="gramStart"/>
      <w:r w:rsidRPr="007D38CE">
        <w:rPr>
          <w:lang w:val="fr-CH"/>
        </w:rPr>
        <w:t xml:space="preserve"> «G</w:t>
      </w:r>
      <w:proofErr w:type="gramEnd"/>
      <w:r w:rsidRPr="007D38CE">
        <w:rPr>
          <w:lang w:val="fr-CH"/>
        </w:rPr>
        <w:t>» conformément au paragraphe 4.5.5; il suffit de faire référence au paragraphe 2.4.</w:t>
      </w:r>
    </w:p>
    <w:p w14:paraId="4BA9AEBF" w14:textId="77777777" w:rsidR="00000000" w:rsidRPr="007D38CE" w:rsidRDefault="007D38CE">
      <w:pPr>
        <w:pStyle w:val="Heading2"/>
        <w:rPr>
          <w:b w:val="0"/>
          <w:sz w:val="20"/>
          <w:lang w:val="fr-CH"/>
        </w:rPr>
      </w:pPr>
      <w:r w:rsidRPr="007D38CE">
        <w:rPr>
          <w:b w:val="0"/>
          <w:sz w:val="20"/>
          <w:lang w:val="fr-CH"/>
        </w:rPr>
        <w:t>4.6</w:t>
      </w:r>
      <w:r w:rsidRPr="007D38CE">
        <w:rPr>
          <w:b w:val="0"/>
          <w:sz w:val="20"/>
          <w:lang w:val="fr-CH"/>
        </w:rPr>
        <w:tab/>
      </w:r>
      <w:r w:rsidRPr="007D38CE">
        <w:rPr>
          <w:b w:val="0"/>
          <w:sz w:val="20"/>
          <w:u w:val="single"/>
          <w:lang w:val="fr-CH"/>
        </w:rPr>
        <w:t>Evaluation en rapport avec des essais</w:t>
      </w:r>
    </w:p>
    <w:p w14:paraId="47A1C0C2" w14:textId="77777777" w:rsidR="00000000" w:rsidRPr="007D38CE" w:rsidRDefault="007D38CE">
      <w:pPr>
        <w:ind w:left="794" w:hanging="794"/>
        <w:rPr>
          <w:lang w:val="fr-CH"/>
        </w:rPr>
      </w:pPr>
      <w:r w:rsidRPr="007D38CE">
        <w:rPr>
          <w:lang w:val="fr-CH"/>
        </w:rPr>
        <w:tab/>
        <w:t xml:space="preserve">Pour utiliser le spectre de fréquences de manière optimale, éviter les brouillages préjudiciables possibles et faciliter le développement de réseaux existants, on peut faire appel à la procédure </w:t>
      </w:r>
      <w:proofErr w:type="gramStart"/>
      <w:r w:rsidRPr="007D38CE">
        <w:rPr>
          <w:lang w:val="fr-CH"/>
        </w:rPr>
        <w:t>suivante:</w:t>
      </w:r>
      <w:proofErr w:type="gramEnd"/>
    </w:p>
    <w:p w14:paraId="236CB77B" w14:textId="77777777" w:rsidR="00000000" w:rsidRPr="007D38CE" w:rsidRDefault="007D38CE">
      <w:pPr>
        <w:ind w:left="794" w:hanging="794"/>
        <w:rPr>
          <w:lang w:val="fr-CH"/>
        </w:rPr>
      </w:pPr>
      <w:r w:rsidRPr="007D38CE">
        <w:rPr>
          <w:lang w:val="fr-CH"/>
        </w:rPr>
        <w:br w:type="page"/>
        <w:t>4.6.1</w:t>
      </w:r>
      <w:r w:rsidRPr="007D38CE">
        <w:rPr>
          <w:lang w:val="fr-CH"/>
        </w:rPr>
        <w:tab/>
        <w:t>Si les Administrations concernées obtiennent des r</w:t>
      </w:r>
      <w:r w:rsidRPr="007D38CE">
        <w:rPr>
          <w:lang w:val="fr-CH"/>
        </w:rPr>
        <w:t>ésultats différents lors de leurs évaluations de la situation de brouillage ou si la demande de coordination en cours le justifie, elles pourront convenir d'une mise en service à titre d'essai.</w:t>
      </w:r>
    </w:p>
    <w:p w14:paraId="1CC7BDD5" w14:textId="77777777" w:rsidR="00000000" w:rsidRPr="007D38CE" w:rsidRDefault="007D38CE">
      <w:pPr>
        <w:rPr>
          <w:lang w:val="fr-CH"/>
        </w:rPr>
      </w:pPr>
      <w:r w:rsidRPr="007D38CE">
        <w:rPr>
          <w:lang w:val="fr-CH"/>
        </w:rPr>
        <w:t>4.6.2</w:t>
      </w:r>
      <w:r w:rsidRPr="007D38CE">
        <w:rPr>
          <w:lang w:val="fr-CH"/>
        </w:rPr>
        <w:tab/>
        <w:t>Les dispositions concernant les procédures de mesure sont indiquées à l'</w:t>
      </w:r>
      <w:r w:rsidRPr="007D38CE">
        <w:rPr>
          <w:u w:val="single"/>
          <w:lang w:val="fr-CH"/>
        </w:rPr>
        <w:t>Annexe 7</w:t>
      </w:r>
      <w:r w:rsidRPr="007D38CE">
        <w:rPr>
          <w:lang w:val="fr-CH"/>
        </w:rPr>
        <w:t xml:space="preserve"> </w:t>
      </w:r>
      <w:r w:rsidRPr="007D38CE">
        <w:rPr>
          <w:i/>
          <w:lang w:val="fr-CH"/>
        </w:rPr>
        <w:t>(pas jointe)</w:t>
      </w:r>
      <w:r w:rsidRPr="007D38CE">
        <w:rPr>
          <w:lang w:val="fr-CH"/>
        </w:rPr>
        <w:t>.</w:t>
      </w:r>
    </w:p>
    <w:p w14:paraId="35CA472E" w14:textId="77777777" w:rsidR="00000000" w:rsidRPr="007D38CE" w:rsidRDefault="007D38CE">
      <w:pPr>
        <w:ind w:left="794" w:hanging="794"/>
        <w:rPr>
          <w:lang w:val="fr-CH"/>
        </w:rPr>
      </w:pPr>
      <w:r w:rsidRPr="007D38CE">
        <w:rPr>
          <w:lang w:val="fr-CH"/>
        </w:rPr>
        <w:t>4.6.3</w:t>
      </w:r>
      <w:r w:rsidRPr="007D38CE">
        <w:rPr>
          <w:lang w:val="fr-CH"/>
        </w:rPr>
        <w:tab/>
        <w:t>A l'issue des essais, une décision définitive sera communiquée à l'Administration, qui fait la demande, dans un délai de 30 jours, avec indication des valeurs mesurées du niveau du champ brouilleur.</w:t>
      </w:r>
    </w:p>
    <w:p w14:paraId="2C198F65" w14:textId="77777777" w:rsidR="00000000" w:rsidRPr="007D38CE" w:rsidRDefault="007D38CE">
      <w:pPr>
        <w:pStyle w:val="Heading2"/>
        <w:rPr>
          <w:b w:val="0"/>
          <w:sz w:val="20"/>
          <w:lang w:val="fr-CH"/>
        </w:rPr>
      </w:pPr>
      <w:r w:rsidRPr="007D38CE">
        <w:rPr>
          <w:b w:val="0"/>
          <w:sz w:val="20"/>
          <w:lang w:val="fr-CH"/>
        </w:rPr>
        <w:t>4.7</w:t>
      </w:r>
      <w:r w:rsidRPr="007D38CE">
        <w:rPr>
          <w:b w:val="0"/>
          <w:sz w:val="20"/>
          <w:lang w:val="fr-CH"/>
        </w:rPr>
        <w:tab/>
      </w:r>
      <w:r w:rsidRPr="007D38CE">
        <w:rPr>
          <w:b w:val="0"/>
          <w:sz w:val="20"/>
          <w:u w:val="single"/>
          <w:lang w:val="fr-CH"/>
        </w:rPr>
        <w:t xml:space="preserve">Echange </w:t>
      </w:r>
      <w:r w:rsidRPr="007D38CE">
        <w:rPr>
          <w:b w:val="0"/>
          <w:sz w:val="20"/>
          <w:u w:val="single"/>
          <w:lang w:val="fr-CH"/>
        </w:rPr>
        <w:t>des Fichiers de fréquences</w:t>
      </w:r>
    </w:p>
    <w:p w14:paraId="6B9EEDCE" w14:textId="77777777" w:rsidR="00000000" w:rsidRPr="007D38CE" w:rsidRDefault="007D38CE">
      <w:pPr>
        <w:ind w:left="794" w:hanging="794"/>
        <w:rPr>
          <w:lang w:val="fr-CH"/>
        </w:rPr>
      </w:pPr>
      <w:r w:rsidRPr="007D38CE">
        <w:rPr>
          <w:lang w:val="fr-CH"/>
        </w:rPr>
        <w:t>4.7.1</w:t>
      </w:r>
      <w:r w:rsidRPr="007D38CE">
        <w:rPr>
          <w:lang w:val="fr-CH"/>
        </w:rPr>
        <w:tab/>
        <w:t>Chaque Administration établira à l'intention de chaque Administration avec laquelle une coordination a été engagée, un Fichier de fréquences mis à jour correspondant à la situation la plus récente selon le paragraphe 1.4. Ces Fichiers feront l'objet d'un échange bilatéral au moins une fois par semestre.</w:t>
      </w:r>
    </w:p>
    <w:p w14:paraId="4B15E90D" w14:textId="77777777" w:rsidR="00000000" w:rsidRPr="007D38CE" w:rsidRDefault="007D38CE">
      <w:pPr>
        <w:ind w:left="794" w:hanging="794"/>
        <w:rPr>
          <w:lang w:val="fr-CH"/>
        </w:rPr>
      </w:pPr>
      <w:r w:rsidRPr="007D38CE">
        <w:rPr>
          <w:lang w:val="fr-CH"/>
        </w:rPr>
        <w:t>4.7.2</w:t>
      </w:r>
      <w:r w:rsidRPr="007D38CE">
        <w:rPr>
          <w:lang w:val="fr-CH"/>
        </w:rPr>
        <w:tab/>
        <w:t>Si une fréquence figurant au Fichier de fréquences n'est plus utilisée, l'Administration compétente en avisera l'Administration concernée. L'inscription de la fréquence</w:t>
      </w:r>
      <w:r w:rsidRPr="007D38CE">
        <w:rPr>
          <w:lang w:val="fr-CH"/>
        </w:rPr>
        <w:t xml:space="preserve"> en question au Fichier de fréquences sera supprimée.</w:t>
      </w:r>
    </w:p>
    <w:p w14:paraId="229A833F" w14:textId="77777777" w:rsidR="00000000" w:rsidRPr="007D38CE" w:rsidRDefault="007D38CE">
      <w:pPr>
        <w:ind w:left="794" w:hanging="794"/>
        <w:rPr>
          <w:lang w:val="fr-CH"/>
        </w:rPr>
      </w:pPr>
      <w:r w:rsidRPr="007D38CE">
        <w:rPr>
          <w:lang w:val="fr-CH"/>
        </w:rPr>
        <w:t>4.7.3</w:t>
      </w:r>
      <w:r w:rsidRPr="007D38CE">
        <w:rPr>
          <w:lang w:val="fr-CH"/>
        </w:rPr>
        <w:tab/>
        <w:t>Les Administrations s'engagent à n'utiliser les données figurant aux Fichiers des autres Administrations qu'à des fins de service. Ces Fichiers de fréquences ne peuvent être transmis à d'autres Administrations ou à d'autres tiers qu'avec le consentement de l'Administration concernée.</w:t>
      </w:r>
    </w:p>
    <w:p w14:paraId="1CA9D477" w14:textId="77777777" w:rsidR="00000000" w:rsidRPr="007D38CE" w:rsidRDefault="007D38CE">
      <w:pPr>
        <w:pStyle w:val="Heading1"/>
        <w:rPr>
          <w:b w:val="0"/>
          <w:sz w:val="20"/>
          <w:lang w:val="fr-CH"/>
        </w:rPr>
      </w:pPr>
      <w:r w:rsidRPr="007D38CE">
        <w:rPr>
          <w:sz w:val="20"/>
          <w:lang w:val="fr-CH"/>
        </w:rPr>
        <w:t>5</w:t>
      </w:r>
      <w:r w:rsidRPr="007D38CE">
        <w:rPr>
          <w:sz w:val="20"/>
          <w:lang w:val="fr-CH"/>
        </w:rPr>
        <w:tab/>
      </w:r>
      <w:r w:rsidRPr="007D38CE">
        <w:rPr>
          <w:sz w:val="20"/>
          <w:u w:val="single"/>
          <w:lang w:val="fr-CH"/>
        </w:rPr>
        <w:t>Notification de brouillages préjudiciables</w:t>
      </w:r>
    </w:p>
    <w:p w14:paraId="3A48A522" w14:textId="77777777" w:rsidR="00000000" w:rsidRPr="007D38CE" w:rsidRDefault="007D38CE">
      <w:pPr>
        <w:ind w:left="794" w:hanging="794"/>
        <w:rPr>
          <w:lang w:val="fr-CH"/>
        </w:rPr>
      </w:pPr>
      <w:r w:rsidRPr="007D38CE">
        <w:rPr>
          <w:lang w:val="fr-CH"/>
        </w:rPr>
        <w:tab/>
        <w:t>Les brouillages préjudiciables constatés seront notifiés, conformément à l'</w:t>
      </w:r>
      <w:r w:rsidRPr="007D38CE">
        <w:rPr>
          <w:u w:val="single"/>
          <w:lang w:val="fr-CH"/>
        </w:rPr>
        <w:t>Appendice 2 à l'Annexe 7</w:t>
      </w:r>
      <w:r w:rsidRPr="007D38CE">
        <w:rPr>
          <w:b/>
          <w:lang w:val="fr-CH"/>
        </w:rPr>
        <w:t xml:space="preserve"> </w:t>
      </w:r>
      <w:r w:rsidRPr="007D38CE">
        <w:rPr>
          <w:i/>
          <w:lang w:val="fr-CH"/>
        </w:rPr>
        <w:t>(pas joint)</w:t>
      </w:r>
      <w:r w:rsidRPr="007D38CE">
        <w:rPr>
          <w:lang w:val="fr-CH"/>
        </w:rPr>
        <w:t>, à l'Admi</w:t>
      </w:r>
      <w:r w:rsidRPr="007D38CE">
        <w:rPr>
          <w:lang w:val="fr-CH"/>
        </w:rPr>
        <w:t xml:space="preserve">nistration du pays dans </w:t>
      </w:r>
      <w:proofErr w:type="gramStart"/>
      <w:r w:rsidRPr="007D38CE">
        <w:rPr>
          <w:lang w:val="fr-CH"/>
        </w:rPr>
        <w:t>le quel</w:t>
      </w:r>
      <w:proofErr w:type="gramEnd"/>
      <w:r w:rsidRPr="007D38CE">
        <w:rPr>
          <w:lang w:val="fr-CH"/>
        </w:rPr>
        <w:t xml:space="preserve"> se trouve la station brouilleuse. Si des brouillages préjudiciables se produisent sur des fréquences inscrites au Fichier de fréquences, les Administrations intéressées s'efforceront de trouver d'un commun accord, et dans les meilleurs délais, une solution satisfaisante.</w:t>
      </w:r>
    </w:p>
    <w:p w14:paraId="0FF3E345" w14:textId="77777777" w:rsidR="00000000" w:rsidRPr="007D38CE" w:rsidRDefault="007D38CE">
      <w:pPr>
        <w:pStyle w:val="Heading1"/>
        <w:rPr>
          <w:lang w:val="fr-CH"/>
        </w:rPr>
      </w:pPr>
      <w:r w:rsidRPr="007D38CE">
        <w:rPr>
          <w:sz w:val="20"/>
          <w:lang w:val="fr-CH"/>
        </w:rPr>
        <w:t>6</w:t>
      </w:r>
      <w:r w:rsidRPr="007D38CE">
        <w:rPr>
          <w:sz w:val="20"/>
          <w:lang w:val="fr-CH"/>
        </w:rPr>
        <w:tab/>
      </w:r>
      <w:r w:rsidRPr="007D38CE">
        <w:rPr>
          <w:sz w:val="20"/>
          <w:u w:val="single"/>
          <w:lang w:val="fr-CH"/>
        </w:rPr>
        <w:t>Révision de l'Accord</w:t>
      </w:r>
    </w:p>
    <w:p w14:paraId="1A628059" w14:textId="77777777" w:rsidR="00000000" w:rsidRPr="007D38CE" w:rsidRDefault="007D38CE">
      <w:pPr>
        <w:ind w:left="794" w:hanging="794"/>
        <w:rPr>
          <w:lang w:val="fr-CH"/>
        </w:rPr>
      </w:pPr>
      <w:r w:rsidRPr="007D38CE">
        <w:rPr>
          <w:lang w:val="fr-CH"/>
        </w:rPr>
        <w:tab/>
        <w:t>Le présent Accord est susceptible d'être complété ou amendé à tout moment sur proposition d'une Administration sous réserve de l'approbation des autres Administrations. Les amendements</w:t>
      </w:r>
      <w:r w:rsidRPr="007D38CE">
        <w:rPr>
          <w:lang w:val="fr-CH"/>
        </w:rPr>
        <w:t xml:space="preserve"> envisagés seront transmis à l'Administration </w:t>
      </w:r>
      <w:r w:rsidRPr="007D38CE">
        <w:rPr>
          <w:i/>
          <w:lang w:val="fr-CH"/>
        </w:rPr>
        <w:t>dépositaire de la version originale de l'Accord</w:t>
      </w:r>
      <w:r w:rsidRPr="007D38CE">
        <w:rPr>
          <w:b/>
          <w:lang w:val="fr-CH"/>
        </w:rPr>
        <w:t xml:space="preserve"> </w:t>
      </w:r>
      <w:r w:rsidRPr="007D38CE">
        <w:rPr>
          <w:lang w:val="fr-CH"/>
        </w:rPr>
        <w:t>qui se chargera d'obtenir, par les voies appropriées, l'assentiment des autres Administrations.</w:t>
      </w:r>
    </w:p>
    <w:p w14:paraId="4FE2853D" w14:textId="77777777" w:rsidR="00000000" w:rsidRPr="007D38CE" w:rsidRDefault="007D38CE">
      <w:pPr>
        <w:pStyle w:val="Heading1"/>
        <w:rPr>
          <w:lang w:val="fr-CH"/>
        </w:rPr>
      </w:pPr>
      <w:r w:rsidRPr="007D38CE">
        <w:rPr>
          <w:sz w:val="20"/>
          <w:lang w:val="fr-CH"/>
        </w:rPr>
        <w:t>7</w:t>
      </w:r>
      <w:r w:rsidRPr="007D38CE">
        <w:rPr>
          <w:sz w:val="20"/>
          <w:lang w:val="fr-CH"/>
        </w:rPr>
        <w:tab/>
      </w:r>
      <w:r w:rsidRPr="007D38CE">
        <w:rPr>
          <w:sz w:val="20"/>
          <w:u w:val="single"/>
          <w:lang w:val="fr-CH"/>
        </w:rPr>
        <w:t>Adhésion à l'Accord</w:t>
      </w:r>
    </w:p>
    <w:p w14:paraId="401E43C3" w14:textId="77777777" w:rsidR="00000000" w:rsidRPr="007D38CE" w:rsidRDefault="007D38CE">
      <w:pPr>
        <w:ind w:left="794" w:hanging="794"/>
        <w:rPr>
          <w:lang w:val="fr-CH"/>
        </w:rPr>
      </w:pPr>
      <w:r w:rsidRPr="007D38CE">
        <w:rPr>
          <w:lang w:val="fr-CH"/>
        </w:rPr>
        <w:tab/>
        <w:t xml:space="preserve">Toute Administration européenne voisine d'une Administration signataire au moins peut adhérer au présent Accord. Une déclaration correspondante devra être adressée à l'Administration </w:t>
      </w:r>
      <w:r w:rsidRPr="007D38CE">
        <w:rPr>
          <w:i/>
          <w:lang w:val="fr-CH"/>
        </w:rPr>
        <w:t>dépositaire de la version originale de l'Accord</w:t>
      </w:r>
      <w:r w:rsidRPr="007D38CE">
        <w:rPr>
          <w:lang w:val="fr-CH"/>
        </w:rPr>
        <w:t>. Après approbation de toutes les Administrations signataires, l'adhé</w:t>
      </w:r>
      <w:r w:rsidRPr="007D38CE">
        <w:rPr>
          <w:lang w:val="fr-CH"/>
        </w:rPr>
        <w:t>sion prendra effet à la date à laquelle l'Administration requérante signe le présent Accord.</w:t>
      </w:r>
    </w:p>
    <w:p w14:paraId="641A5812" w14:textId="77777777" w:rsidR="00000000" w:rsidRPr="007D38CE" w:rsidRDefault="007D38CE">
      <w:pPr>
        <w:pStyle w:val="Heading1"/>
        <w:rPr>
          <w:lang w:val="fr-CH"/>
        </w:rPr>
      </w:pPr>
      <w:r w:rsidRPr="007D38CE">
        <w:rPr>
          <w:sz w:val="20"/>
          <w:lang w:val="fr-CH"/>
        </w:rPr>
        <w:t>8</w:t>
      </w:r>
      <w:r w:rsidRPr="007D38CE">
        <w:rPr>
          <w:sz w:val="20"/>
          <w:lang w:val="fr-CH"/>
        </w:rPr>
        <w:tab/>
      </w:r>
      <w:r w:rsidRPr="007D38CE">
        <w:rPr>
          <w:sz w:val="20"/>
          <w:u w:val="single"/>
          <w:lang w:val="fr-CH"/>
        </w:rPr>
        <w:t>Retrait de l'Accord</w:t>
      </w:r>
    </w:p>
    <w:p w14:paraId="61B18846" w14:textId="77777777" w:rsidR="00000000" w:rsidRPr="007D38CE" w:rsidRDefault="007D38CE">
      <w:pPr>
        <w:ind w:left="794" w:hanging="794"/>
        <w:rPr>
          <w:lang w:val="fr-CH"/>
        </w:rPr>
      </w:pPr>
      <w:r w:rsidRPr="007D38CE">
        <w:rPr>
          <w:lang w:val="fr-CH"/>
        </w:rPr>
        <w:tab/>
        <w:t>Chaque Administration pourra se retirer du présent Accord à la fin d'un mois civil en notifiant ce retrait au moins six mois auparavant.</w:t>
      </w:r>
    </w:p>
    <w:p w14:paraId="72C5C82F" w14:textId="77777777" w:rsidR="00000000" w:rsidRPr="007D38CE" w:rsidRDefault="007D38CE">
      <w:pPr>
        <w:pStyle w:val="Heading1"/>
        <w:rPr>
          <w:lang w:val="fr-CH"/>
        </w:rPr>
      </w:pPr>
      <w:r w:rsidRPr="007D38CE">
        <w:rPr>
          <w:sz w:val="20"/>
          <w:lang w:val="fr-CH"/>
        </w:rPr>
        <w:t>9</w:t>
      </w:r>
      <w:r w:rsidRPr="007D38CE">
        <w:rPr>
          <w:sz w:val="20"/>
          <w:lang w:val="fr-CH"/>
        </w:rPr>
        <w:tab/>
      </w:r>
      <w:r w:rsidRPr="007D38CE">
        <w:rPr>
          <w:sz w:val="20"/>
          <w:u w:val="single"/>
          <w:lang w:val="fr-CH"/>
        </w:rPr>
        <w:t>Statut des coordinations préalables</w:t>
      </w:r>
    </w:p>
    <w:p w14:paraId="289D9C5A" w14:textId="77777777" w:rsidR="00000000" w:rsidRPr="007D38CE" w:rsidRDefault="007D38CE">
      <w:pPr>
        <w:ind w:left="794" w:hanging="794"/>
        <w:rPr>
          <w:lang w:val="fr-CH"/>
        </w:rPr>
      </w:pPr>
      <w:r w:rsidRPr="007D38CE">
        <w:rPr>
          <w:lang w:val="fr-CH"/>
        </w:rPr>
        <w:tab/>
        <w:t>Les nouvelles dispositions ne sont pas applicables aux utilisations de fréquences déjà convenues entre Administrations signataires avant la conclusion du présent Accord. Ces fréquences seront inscrites au Fichier de fréq</w:t>
      </w:r>
      <w:r w:rsidRPr="007D38CE">
        <w:rPr>
          <w:lang w:val="fr-CH"/>
        </w:rPr>
        <w:t>uences.</w:t>
      </w:r>
    </w:p>
    <w:p w14:paraId="4183E41D" w14:textId="77777777" w:rsidR="00000000" w:rsidRPr="007D38CE" w:rsidRDefault="007D38CE">
      <w:pPr>
        <w:pStyle w:val="Heading1"/>
        <w:rPr>
          <w:sz w:val="20"/>
          <w:lang w:val="fr-CH"/>
        </w:rPr>
      </w:pPr>
      <w:r w:rsidRPr="007D38CE">
        <w:rPr>
          <w:sz w:val="20"/>
          <w:lang w:val="fr-CH"/>
        </w:rPr>
        <w:t>10</w:t>
      </w:r>
      <w:r w:rsidRPr="007D38CE">
        <w:rPr>
          <w:sz w:val="20"/>
          <w:lang w:val="fr-CH"/>
        </w:rPr>
        <w:tab/>
      </w:r>
      <w:r w:rsidRPr="007D38CE">
        <w:rPr>
          <w:sz w:val="20"/>
          <w:u w:val="single"/>
          <w:lang w:val="fr-CH"/>
        </w:rPr>
        <w:t>Langues de l'Accord</w:t>
      </w:r>
    </w:p>
    <w:p w14:paraId="7BD307F2" w14:textId="77777777" w:rsidR="00000000" w:rsidRPr="007D38CE" w:rsidRDefault="007D38CE">
      <w:pPr>
        <w:ind w:left="794" w:hanging="794"/>
        <w:rPr>
          <w:lang w:val="fr-CH"/>
        </w:rPr>
      </w:pPr>
      <w:r w:rsidRPr="007D38CE">
        <w:rPr>
          <w:lang w:val="fr-CH"/>
        </w:rPr>
        <w:tab/>
        <w:t>Le présent Accord sera établi en trois originaux en langues allemande, anglaise et française, chaque texte faisant également foi.</w:t>
      </w:r>
    </w:p>
    <w:p w14:paraId="69E4BFD4" w14:textId="77777777" w:rsidR="00000000" w:rsidRPr="007D38CE" w:rsidRDefault="007D38CE">
      <w:pPr>
        <w:pStyle w:val="Heading1"/>
        <w:rPr>
          <w:sz w:val="20"/>
          <w:u w:val="single"/>
          <w:lang w:val="fr-CH"/>
        </w:rPr>
      </w:pPr>
      <w:r w:rsidRPr="007D38CE">
        <w:rPr>
          <w:sz w:val="20"/>
          <w:lang w:val="fr-CH"/>
        </w:rPr>
        <w:br w:type="page"/>
        <w:t>11</w:t>
      </w:r>
      <w:r w:rsidRPr="007D38CE">
        <w:rPr>
          <w:sz w:val="20"/>
          <w:lang w:val="fr-CH"/>
        </w:rPr>
        <w:tab/>
      </w:r>
      <w:r w:rsidRPr="007D38CE">
        <w:rPr>
          <w:sz w:val="20"/>
          <w:u w:val="single"/>
          <w:lang w:val="fr-CH"/>
        </w:rPr>
        <w:t>Entrée en vigueur de l'Accord</w:t>
      </w:r>
    </w:p>
    <w:p w14:paraId="07A01E08" w14:textId="77777777" w:rsidR="00000000" w:rsidRPr="007D38CE" w:rsidRDefault="007D38CE">
      <w:pPr>
        <w:rPr>
          <w:lang w:val="fr-CH"/>
        </w:rPr>
      </w:pPr>
      <w:r w:rsidRPr="007D38CE">
        <w:rPr>
          <w:lang w:val="fr-CH"/>
        </w:rPr>
        <w:tab/>
        <w:t>Sous réserve des dispositions du paragraphe 13, le présent Accord entrera en vigueur le 3 décembre 1993.</w:t>
      </w:r>
    </w:p>
    <w:p w14:paraId="24ACCF9B" w14:textId="77777777" w:rsidR="00000000" w:rsidRPr="007D38CE" w:rsidRDefault="007D38CE">
      <w:pPr>
        <w:pStyle w:val="Heading1"/>
        <w:rPr>
          <w:sz w:val="20"/>
          <w:lang w:val="fr-CH"/>
        </w:rPr>
      </w:pPr>
      <w:r w:rsidRPr="007D38CE">
        <w:rPr>
          <w:sz w:val="20"/>
          <w:lang w:val="fr-CH"/>
        </w:rPr>
        <w:t>12</w:t>
      </w:r>
      <w:r w:rsidRPr="007D38CE">
        <w:rPr>
          <w:sz w:val="20"/>
          <w:lang w:val="fr-CH"/>
        </w:rPr>
        <w:tab/>
      </w:r>
      <w:r w:rsidRPr="007D38CE">
        <w:rPr>
          <w:sz w:val="20"/>
          <w:u w:val="single"/>
          <w:lang w:val="fr-CH"/>
        </w:rPr>
        <w:t>Abrogation de l'Accord du 24 janvier 1986</w:t>
      </w:r>
    </w:p>
    <w:p w14:paraId="14A537B7" w14:textId="77777777" w:rsidR="00000000" w:rsidRPr="007D38CE" w:rsidRDefault="007D38CE">
      <w:pPr>
        <w:ind w:left="794" w:hanging="794"/>
        <w:rPr>
          <w:lang w:val="fr-CH"/>
        </w:rPr>
      </w:pPr>
      <w:r w:rsidRPr="007D38CE">
        <w:rPr>
          <w:lang w:val="fr-CH"/>
        </w:rPr>
        <w:tab/>
        <w:t>En même temps, l'Accord relatif à la coordination des fréquences entre 29,7 et 960 MHz pour les services fixes et les services mobiles terrestres (Vienne, le 24 jan</w:t>
      </w:r>
      <w:r w:rsidRPr="007D38CE">
        <w:rPr>
          <w:lang w:val="fr-CH"/>
        </w:rPr>
        <w:t xml:space="preserve">vier 1986) conclu entre les Administrations des télécommunications de </w:t>
      </w:r>
      <w:r w:rsidRPr="007D38CE">
        <w:rPr>
          <w:i/>
          <w:lang w:val="fr-CH"/>
        </w:rPr>
        <w:t>12 pays européens</w:t>
      </w:r>
      <w:r w:rsidRPr="007D38CE">
        <w:rPr>
          <w:lang w:val="fr-CH"/>
        </w:rPr>
        <w:t xml:space="preserve"> cessera d'être en vigueur.</w:t>
      </w:r>
    </w:p>
    <w:p w14:paraId="2157291F" w14:textId="77777777" w:rsidR="00000000" w:rsidRPr="007D38CE" w:rsidRDefault="007D38CE">
      <w:pPr>
        <w:pStyle w:val="Heading1"/>
        <w:rPr>
          <w:sz w:val="20"/>
          <w:lang w:val="fr-CH"/>
        </w:rPr>
      </w:pPr>
      <w:r w:rsidRPr="007D38CE">
        <w:rPr>
          <w:sz w:val="20"/>
          <w:lang w:val="fr-CH"/>
        </w:rPr>
        <w:t>13</w:t>
      </w:r>
      <w:r w:rsidRPr="007D38CE">
        <w:rPr>
          <w:sz w:val="20"/>
          <w:lang w:val="fr-CH"/>
        </w:rPr>
        <w:tab/>
      </w:r>
      <w:r w:rsidRPr="007D38CE">
        <w:rPr>
          <w:sz w:val="20"/>
          <w:u w:val="single"/>
          <w:lang w:val="fr-CH"/>
        </w:rPr>
        <w:t>Dispositions provisoires</w:t>
      </w:r>
    </w:p>
    <w:p w14:paraId="27D1423C" w14:textId="77777777" w:rsidR="00000000" w:rsidRPr="007D38CE" w:rsidRDefault="007D38CE">
      <w:pPr>
        <w:ind w:left="794" w:hanging="794"/>
        <w:rPr>
          <w:lang w:val="fr-CH"/>
        </w:rPr>
      </w:pPr>
      <w:r w:rsidRPr="007D38CE">
        <w:rPr>
          <w:lang w:val="fr-CH"/>
        </w:rPr>
        <w:t>13.1</w:t>
      </w:r>
      <w:r w:rsidRPr="007D38CE">
        <w:rPr>
          <w:lang w:val="fr-CH"/>
        </w:rPr>
        <w:tab/>
        <w:t xml:space="preserve">Les dispositions des </w:t>
      </w:r>
      <w:r w:rsidRPr="007D38CE">
        <w:rPr>
          <w:u w:val="single"/>
          <w:lang w:val="fr-CH"/>
        </w:rPr>
        <w:t>Annexes 2, 4 et 5</w:t>
      </w:r>
      <w:r w:rsidRPr="007D38CE">
        <w:rPr>
          <w:lang w:val="fr-CH"/>
        </w:rPr>
        <w:t xml:space="preserve"> </w:t>
      </w:r>
      <w:r w:rsidRPr="007D38CE">
        <w:rPr>
          <w:i/>
          <w:lang w:val="fr-CH"/>
        </w:rPr>
        <w:t>(pas jointes)</w:t>
      </w:r>
      <w:r w:rsidRPr="007D38CE">
        <w:rPr>
          <w:lang w:val="fr-CH"/>
        </w:rPr>
        <w:t xml:space="preserve"> au présent Accord ne seront appliquées qu'après la période de transition définie au paragraphe 13.2. Pendant cette période de transition, les dispositions restantes et celles contenues dans l'addendum </w:t>
      </w:r>
      <w:r w:rsidRPr="007D38CE">
        <w:rPr>
          <w:i/>
          <w:lang w:val="fr-CH"/>
        </w:rPr>
        <w:t>(pas joint)</w:t>
      </w:r>
      <w:r w:rsidRPr="007D38CE">
        <w:rPr>
          <w:lang w:val="fr-CH"/>
        </w:rPr>
        <w:t xml:space="preserve"> au présent Accord seront appliquées.</w:t>
      </w:r>
    </w:p>
    <w:p w14:paraId="21E6C593" w14:textId="77777777" w:rsidR="00000000" w:rsidRPr="007D38CE" w:rsidRDefault="007D38CE">
      <w:pPr>
        <w:ind w:left="794" w:hanging="794"/>
        <w:rPr>
          <w:lang w:val="fr-CH"/>
        </w:rPr>
      </w:pPr>
      <w:r w:rsidRPr="007D38CE">
        <w:rPr>
          <w:lang w:val="fr-CH"/>
        </w:rPr>
        <w:tab/>
        <w:t>Les Administrations pourront convenir par entente bilatérale</w:t>
      </w:r>
      <w:r w:rsidRPr="007D38CE">
        <w:rPr>
          <w:lang w:val="fr-CH"/>
        </w:rPr>
        <w:t xml:space="preserve"> ou multilatérale de communiquer les données dans le nouveau format conformément à l'</w:t>
      </w:r>
      <w:r w:rsidRPr="007D38CE">
        <w:rPr>
          <w:u w:val="single"/>
          <w:lang w:val="fr-CH"/>
        </w:rPr>
        <w:t>Annexe 2</w:t>
      </w:r>
      <w:r w:rsidRPr="007D38CE">
        <w:rPr>
          <w:lang w:val="fr-CH"/>
        </w:rPr>
        <w:t xml:space="preserve"> </w:t>
      </w:r>
      <w:r w:rsidRPr="007D38CE">
        <w:rPr>
          <w:i/>
          <w:lang w:val="fr-CH"/>
        </w:rPr>
        <w:t>(pas jointe)</w:t>
      </w:r>
      <w:r w:rsidRPr="007D38CE">
        <w:rPr>
          <w:lang w:val="fr-CH"/>
        </w:rPr>
        <w:t xml:space="preserve"> au présent Accord. Dans ce cas, la hauteur équivalente d'antenne maximale orientée en direction du pays voisin intéressé sera indiquée dans le champ 13 Z.</w:t>
      </w:r>
    </w:p>
    <w:p w14:paraId="2D3660B6" w14:textId="77777777" w:rsidR="00000000" w:rsidRPr="007D38CE" w:rsidRDefault="007D38CE">
      <w:pPr>
        <w:ind w:left="794" w:hanging="794"/>
        <w:rPr>
          <w:lang w:val="fr-CH"/>
        </w:rPr>
      </w:pPr>
      <w:r w:rsidRPr="007D38CE">
        <w:rPr>
          <w:lang w:val="fr-CH"/>
        </w:rPr>
        <w:t>13.2</w:t>
      </w:r>
      <w:r w:rsidRPr="007D38CE">
        <w:rPr>
          <w:lang w:val="fr-CH"/>
        </w:rPr>
        <w:tab/>
        <w:t>La période de transition commence à la date d'entrée en vigueur de cet Accord et se termine, pour les Administrations impliquées, lors de l'entrée en vigueur d'un Accord bi- ou multilatéral entre les Administrations qui utilisent une base de don</w:t>
      </w:r>
      <w:r w:rsidRPr="007D38CE">
        <w:rPr>
          <w:lang w:val="fr-CH"/>
        </w:rPr>
        <w:t xml:space="preserve">nées topographiques et le programme de calcul commun. Une copie de cet Accord doit être transmise à l'Administration </w:t>
      </w:r>
      <w:r w:rsidRPr="007D38CE">
        <w:rPr>
          <w:i/>
          <w:lang w:val="fr-CH"/>
        </w:rPr>
        <w:t>dépositaire de la version originale de l'Accord</w:t>
      </w:r>
      <w:r w:rsidRPr="007D38CE">
        <w:rPr>
          <w:lang w:val="fr-CH"/>
        </w:rPr>
        <w:t>, qui en informe toutes les autres Administrations signataires.</w:t>
      </w:r>
    </w:p>
    <w:p w14:paraId="1A28E476" w14:textId="77777777" w:rsidR="00000000" w:rsidRPr="007D38CE" w:rsidRDefault="007D38CE">
      <w:pPr>
        <w:pStyle w:val="Heading1"/>
        <w:rPr>
          <w:sz w:val="20"/>
          <w:lang w:val="fr-CH"/>
        </w:rPr>
      </w:pPr>
      <w:r w:rsidRPr="007D38CE">
        <w:rPr>
          <w:sz w:val="20"/>
          <w:lang w:val="fr-CH"/>
        </w:rPr>
        <w:t>14</w:t>
      </w:r>
      <w:r w:rsidRPr="007D38CE">
        <w:rPr>
          <w:sz w:val="20"/>
          <w:lang w:val="fr-CH"/>
        </w:rPr>
        <w:tab/>
      </w:r>
      <w:r w:rsidRPr="007D38CE">
        <w:rPr>
          <w:sz w:val="20"/>
          <w:u w:val="single"/>
          <w:lang w:val="fr-CH"/>
        </w:rPr>
        <w:t>Information du Secrétaire général de l'Union internationale des télécommunications</w:t>
      </w:r>
    </w:p>
    <w:p w14:paraId="2DD13B24" w14:textId="77777777" w:rsidR="00000000" w:rsidRDefault="007D38CE">
      <w:pPr>
        <w:ind w:left="794" w:hanging="794"/>
        <w:rPr>
          <w:lang w:val="fr-FR"/>
        </w:rPr>
      </w:pPr>
      <w:r>
        <w:rPr>
          <w:lang w:val="fr-FR"/>
        </w:rPr>
        <w:tab/>
        <w:t xml:space="preserve">L'Administration </w:t>
      </w:r>
      <w:r>
        <w:rPr>
          <w:i/>
          <w:lang w:val="fr-FR"/>
        </w:rPr>
        <w:t>dépositaire de la version originale de l'Accord</w:t>
      </w:r>
      <w:r>
        <w:rPr>
          <w:lang w:val="fr-FR"/>
        </w:rPr>
        <w:t xml:space="preserve"> informera le Secrétaire général de l'Union internationale des télécommunications de la conclusion et de la teneur du présent Accord.</w:t>
      </w:r>
    </w:p>
    <w:p w14:paraId="4ED6975D" w14:textId="77777777" w:rsidR="00000000" w:rsidRPr="007D38CE" w:rsidRDefault="007D38CE">
      <w:pPr>
        <w:pStyle w:val="Annex"/>
        <w:rPr>
          <w:lang w:val="fr-CH"/>
        </w:rPr>
      </w:pPr>
      <w:r w:rsidRPr="007D38CE">
        <w:rPr>
          <w:sz w:val="24"/>
          <w:lang w:val="fr-CH"/>
        </w:rPr>
        <w:t>Annexe 1</w:t>
      </w:r>
    </w:p>
    <w:p w14:paraId="1979A8F9" w14:textId="77777777" w:rsidR="00000000" w:rsidRPr="007D38CE" w:rsidRDefault="007D38CE">
      <w:pPr>
        <w:pStyle w:val="AppendixTitle"/>
        <w:rPr>
          <w:lang w:val="fr-CH"/>
        </w:rPr>
      </w:pPr>
      <w:r w:rsidRPr="007D38CE">
        <w:rPr>
          <w:sz w:val="20"/>
          <w:lang w:val="fr-CH"/>
        </w:rPr>
        <w:t>Niveaux maximals admissibles de champ brouilleur et portées transfrontières maximales de</w:t>
      </w:r>
      <w:r w:rsidRPr="007D38CE">
        <w:rPr>
          <w:sz w:val="20"/>
          <w:lang w:val="fr-CH"/>
        </w:rPr>
        <w:br/>
        <w:t>brouillages préjudiciables pour les fréquences nécessitant une coordination</w:t>
      </w:r>
    </w:p>
    <w:p w14:paraId="6B54184B" w14:textId="77777777" w:rsidR="00000000" w:rsidRDefault="007D38CE">
      <w:pPr>
        <w:pStyle w:val="Heading1"/>
        <w:rPr>
          <w:b w:val="0"/>
          <w:lang w:val="fr-FR"/>
        </w:rPr>
      </w:pPr>
      <w:r>
        <w:rPr>
          <w:b w:val="0"/>
          <w:sz w:val="20"/>
          <w:lang w:val="fr-FR"/>
        </w:rPr>
        <w:t>1</w:t>
      </w:r>
      <w:r>
        <w:rPr>
          <w:b w:val="0"/>
          <w:sz w:val="20"/>
          <w:lang w:val="fr-FR"/>
        </w:rPr>
        <w:tab/>
      </w:r>
      <w:r>
        <w:rPr>
          <w:b w:val="0"/>
          <w:sz w:val="20"/>
          <w:u w:val="single"/>
          <w:lang w:val="fr-FR"/>
        </w:rPr>
        <w:t>Valeurs du niveau maximal admissible de champ brouilleur</w:t>
      </w:r>
    </w:p>
    <w:p w14:paraId="1434EC29" w14:textId="77777777" w:rsidR="00000000" w:rsidRDefault="007D38CE">
      <w:pPr>
        <w:rPr>
          <w:lang w:val="fr-FR"/>
        </w:rPr>
      </w:pPr>
      <w:r>
        <w:rPr>
          <w:lang w:val="fr-FR"/>
        </w:rPr>
        <w:tab/>
        <w:t>Le niveau de champ brouilleur ne dépasse pas les valeurs indiquées à la colonne 2 du Tableau.</w:t>
      </w:r>
    </w:p>
    <w:p w14:paraId="4D549E8F" w14:textId="77777777" w:rsidR="00000000" w:rsidRDefault="007D38CE">
      <w:pPr>
        <w:pStyle w:val="Heading1"/>
        <w:rPr>
          <w:b w:val="0"/>
          <w:sz w:val="20"/>
          <w:u w:val="single"/>
          <w:lang w:val="fr-FR"/>
        </w:rPr>
      </w:pPr>
      <w:r>
        <w:rPr>
          <w:b w:val="0"/>
          <w:sz w:val="20"/>
          <w:lang w:val="fr-FR"/>
        </w:rPr>
        <w:t>2</w:t>
      </w:r>
      <w:r>
        <w:rPr>
          <w:b w:val="0"/>
          <w:sz w:val="20"/>
          <w:lang w:val="fr-FR"/>
        </w:rPr>
        <w:tab/>
      </w:r>
      <w:r>
        <w:rPr>
          <w:b w:val="0"/>
          <w:sz w:val="20"/>
          <w:u w:val="single"/>
          <w:lang w:val="fr-FR"/>
        </w:rPr>
        <w:t>Portées transfrontières de brouillages préjudiciables</w:t>
      </w:r>
    </w:p>
    <w:p w14:paraId="4253C098" w14:textId="77777777" w:rsidR="00000000" w:rsidRDefault="007D38CE">
      <w:pPr>
        <w:ind w:left="794" w:hanging="794"/>
        <w:rPr>
          <w:lang w:val="fr-FR"/>
        </w:rPr>
      </w:pPr>
      <w:r>
        <w:rPr>
          <w:lang w:val="fr-FR"/>
        </w:rPr>
        <w:tab/>
        <w:t>Les Administrations s'efforce de réduire à un minimum, comme indiqué au paragraphe 2.5 du texte principal, les portées transfr</w:t>
      </w:r>
      <w:r>
        <w:rPr>
          <w:lang w:val="fr-FR"/>
        </w:rPr>
        <w:t>ontières de brouillages préjudiciables causés par leurs stations et s'étendant dans le territoire du pays voisin.</w:t>
      </w:r>
    </w:p>
    <w:p w14:paraId="22106F99" w14:textId="77777777" w:rsidR="00000000" w:rsidRDefault="007D38CE">
      <w:pPr>
        <w:pStyle w:val="Heading2"/>
        <w:rPr>
          <w:b w:val="0"/>
          <w:sz w:val="20"/>
          <w:lang w:val="fr-FR"/>
        </w:rPr>
      </w:pPr>
      <w:r>
        <w:rPr>
          <w:b w:val="0"/>
          <w:sz w:val="20"/>
          <w:lang w:val="fr-FR"/>
        </w:rPr>
        <w:t>2.1</w:t>
      </w:r>
      <w:r>
        <w:rPr>
          <w:b w:val="0"/>
          <w:sz w:val="20"/>
          <w:lang w:val="fr-FR"/>
        </w:rPr>
        <w:tab/>
      </w:r>
      <w:r>
        <w:rPr>
          <w:b w:val="0"/>
          <w:sz w:val="20"/>
          <w:u w:val="single"/>
          <w:lang w:val="fr-FR"/>
        </w:rPr>
        <w:t>Limitation des brouillages préjudiciables causés par des émetteurs</w:t>
      </w:r>
    </w:p>
    <w:p w14:paraId="6B95F508" w14:textId="77777777" w:rsidR="00000000" w:rsidRDefault="007D38CE">
      <w:pPr>
        <w:ind w:left="794" w:hanging="794"/>
        <w:rPr>
          <w:lang w:val="fr-FR"/>
        </w:rPr>
      </w:pPr>
      <w:r>
        <w:rPr>
          <w:lang w:val="fr-FR"/>
        </w:rPr>
        <w:tab/>
        <w:t>Les portées transfrontières de brouillages préjudiciables causés par des stations émettrices à coordonner dépendent de la gamme de fréquences et ne devront pas dépasser les valeurs indiquées à la colonne 3 du Tableau.</w:t>
      </w:r>
    </w:p>
    <w:p w14:paraId="72E61370" w14:textId="77777777" w:rsidR="00000000" w:rsidRDefault="007D38CE">
      <w:pPr>
        <w:ind w:left="794" w:hanging="794"/>
        <w:rPr>
          <w:lang w:val="fr-FR"/>
        </w:rPr>
      </w:pPr>
      <w:r>
        <w:rPr>
          <w:lang w:val="fr-FR"/>
        </w:rPr>
        <w:tab/>
        <w:t>Les valeurs indiquées à la colonne 2 du Tableau sont utilisées comme limites pour le niveau admissible de c</w:t>
      </w:r>
      <w:r>
        <w:rPr>
          <w:lang w:val="fr-FR"/>
        </w:rPr>
        <w:t>hamp brouilleur aux distances de la frontière spécifiées à la colonne 3. Ces valeurs s'appliquent à une hauteur de l0 m au-dessus du niveau du sol.</w:t>
      </w:r>
    </w:p>
    <w:p w14:paraId="7F84A04D" w14:textId="77777777" w:rsidR="00000000" w:rsidRDefault="007D38CE">
      <w:pPr>
        <w:pStyle w:val="Heading2"/>
        <w:rPr>
          <w:b w:val="0"/>
          <w:sz w:val="20"/>
          <w:lang w:val="fr-FR"/>
        </w:rPr>
      </w:pPr>
      <w:r>
        <w:rPr>
          <w:b w:val="0"/>
          <w:sz w:val="20"/>
          <w:lang w:val="fr-FR"/>
        </w:rPr>
        <w:br w:type="page"/>
        <w:t>2.2</w:t>
      </w:r>
      <w:r>
        <w:rPr>
          <w:b w:val="0"/>
          <w:sz w:val="20"/>
          <w:lang w:val="fr-FR"/>
        </w:rPr>
        <w:tab/>
      </w:r>
      <w:r>
        <w:rPr>
          <w:b w:val="0"/>
          <w:sz w:val="20"/>
          <w:u w:val="single"/>
          <w:lang w:val="fr-FR"/>
        </w:rPr>
        <w:t>Limite de la protection des récepteurs</w:t>
      </w:r>
    </w:p>
    <w:p w14:paraId="1E06AA7A" w14:textId="77777777" w:rsidR="00000000" w:rsidRDefault="007D38CE">
      <w:pPr>
        <w:ind w:left="794" w:hanging="794"/>
        <w:rPr>
          <w:lang w:val="fr-FR"/>
        </w:rPr>
      </w:pPr>
      <w:r>
        <w:rPr>
          <w:lang w:val="fr-FR"/>
        </w:rPr>
        <w:tab/>
        <w:t>Une protection des récepteurs ne peut être réclamée que si un émetteur de référence, situé à l'emplacement et à la hauteur du récepteur en question, produit un niveau de champ qui ne dépasse pas les valeurs spécifiées à la colonne 2 du Tableau, à une hauteur de 10 m au-dessus du niveau du sol et à une distance de la f</w:t>
      </w:r>
      <w:r>
        <w:rPr>
          <w:lang w:val="fr-FR"/>
        </w:rPr>
        <w:t>rontière telle que spécifiée à la colonne 3 du Tableau.</w:t>
      </w:r>
    </w:p>
    <w:p w14:paraId="00C6D195" w14:textId="77777777" w:rsidR="00000000" w:rsidRDefault="007D38CE">
      <w:pPr>
        <w:ind w:left="794" w:hanging="794"/>
        <w:rPr>
          <w:lang w:val="fr-FR"/>
        </w:rPr>
      </w:pPr>
      <w:r>
        <w:rPr>
          <w:lang w:val="fr-FR"/>
        </w:rPr>
        <w:tab/>
        <w:t>La PAR de l'émetteur de référence dépend de la gamme de fréquences comme indiquée à la colonne 4 du Tableau.</w:t>
      </w:r>
    </w:p>
    <w:p w14:paraId="6662EAA3" w14:textId="77777777" w:rsidR="00000000" w:rsidRDefault="007D38CE">
      <w:pPr>
        <w:ind w:left="794" w:hanging="794"/>
        <w:rPr>
          <w:lang w:val="fr-FR"/>
        </w:rPr>
      </w:pPr>
    </w:p>
    <w:p w14:paraId="7BD0612E" w14:textId="77777777" w:rsidR="00000000" w:rsidRDefault="007D38CE">
      <w:pPr>
        <w:pStyle w:val="TableTitle"/>
        <w:rPr>
          <w:b w:val="0"/>
          <w:i/>
        </w:rPr>
      </w:pPr>
      <w:r>
        <w:rPr>
          <w:b w:val="0"/>
          <w:i/>
        </w:rPr>
        <w:t>Exemples de valeurs</w:t>
      </w:r>
    </w:p>
    <w:p w14:paraId="042D1195" w14:textId="77777777" w:rsidR="00000000" w:rsidRDefault="007D38CE">
      <w:pPr>
        <w:pStyle w:val="Blanc"/>
      </w:pPr>
    </w:p>
    <w:tbl>
      <w:tblPr>
        <w:tblW w:w="0" w:type="auto"/>
        <w:tblInd w:w="8" w:type="dxa"/>
        <w:tblLayout w:type="fixed"/>
        <w:tblCellMar>
          <w:left w:w="0" w:type="dxa"/>
          <w:right w:w="0" w:type="dxa"/>
        </w:tblCellMar>
        <w:tblLook w:val="0000" w:firstRow="0" w:lastRow="0" w:firstColumn="0" w:lastColumn="0" w:noHBand="0" w:noVBand="0"/>
      </w:tblPr>
      <w:tblGrid>
        <w:gridCol w:w="2240"/>
        <w:gridCol w:w="2240"/>
        <w:gridCol w:w="2240"/>
        <w:gridCol w:w="2240"/>
      </w:tblGrid>
      <w:tr w:rsidR="00000000" w:rsidRPr="007D38CE" w14:paraId="36A41067"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50083BF2" w14:textId="77777777" w:rsidR="00000000" w:rsidRDefault="007D38CE">
            <w:pPr>
              <w:pStyle w:val="TableText"/>
              <w:framePr w:hSpace="181" w:wrap="notBeside" w:vAnchor="text" w:hAnchor="page" w:xAlign="center" w:y="1"/>
              <w:jc w:val="center"/>
            </w:pPr>
            <w:r>
              <w:br/>
              <w:t>(1)</w:t>
            </w:r>
            <w:r>
              <w:br/>
              <w:t>Gamme de fréquences</w:t>
            </w:r>
            <w:r>
              <w:br/>
              <w:t>(MHz)</w:t>
            </w:r>
          </w:p>
        </w:tc>
        <w:tc>
          <w:tcPr>
            <w:tcW w:w="2240" w:type="dxa"/>
            <w:tcBorders>
              <w:top w:val="single" w:sz="6" w:space="0" w:color="auto"/>
              <w:left w:val="single" w:sz="6" w:space="0" w:color="auto"/>
              <w:bottom w:val="single" w:sz="6" w:space="0" w:color="auto"/>
              <w:right w:val="single" w:sz="6" w:space="0" w:color="auto"/>
            </w:tcBorders>
          </w:tcPr>
          <w:p w14:paraId="66F0A34E" w14:textId="77777777" w:rsidR="00000000" w:rsidRPr="007D38CE" w:rsidRDefault="007D38CE">
            <w:pPr>
              <w:pStyle w:val="TableText"/>
              <w:framePr w:hSpace="181" w:wrap="notBeside" w:vAnchor="text" w:hAnchor="page" w:xAlign="center" w:y="1"/>
              <w:jc w:val="center"/>
              <w:rPr>
                <w:lang w:val="fr-CH"/>
              </w:rPr>
            </w:pPr>
            <w:r w:rsidRPr="007D38CE">
              <w:rPr>
                <w:lang w:val="fr-CH"/>
              </w:rPr>
              <w:t>(2)</w:t>
            </w:r>
            <w:r w:rsidRPr="007D38CE">
              <w:rPr>
                <w:lang w:val="fr-CH"/>
              </w:rPr>
              <w:br/>
              <w:t>Niveau admissible</w:t>
            </w:r>
            <w:r w:rsidRPr="007D38CE">
              <w:rPr>
                <w:lang w:val="fr-CH"/>
              </w:rPr>
              <w:br/>
              <w:t>de champ brouilleur</w:t>
            </w:r>
            <w:r w:rsidRPr="007D38CE">
              <w:rPr>
                <w:lang w:val="fr-CH"/>
              </w:rPr>
              <w:br/>
              <w:t xml:space="preserve">(relatif à 1 </w:t>
            </w:r>
            <w:r>
              <w:rPr>
                <w:rFonts w:ascii="Symbol" w:hAnsi="Symbol"/>
              </w:rPr>
              <w:t></w:t>
            </w:r>
            <w:r w:rsidRPr="007D38CE">
              <w:rPr>
                <w:lang w:val="fr-CH"/>
              </w:rPr>
              <w:t>V/m)</w:t>
            </w:r>
          </w:p>
        </w:tc>
        <w:tc>
          <w:tcPr>
            <w:tcW w:w="2240" w:type="dxa"/>
            <w:tcBorders>
              <w:top w:val="single" w:sz="6" w:space="0" w:color="auto"/>
              <w:left w:val="single" w:sz="6" w:space="0" w:color="auto"/>
              <w:bottom w:val="single" w:sz="6" w:space="0" w:color="auto"/>
              <w:right w:val="single" w:sz="6" w:space="0" w:color="auto"/>
            </w:tcBorders>
          </w:tcPr>
          <w:p w14:paraId="38B5D2DC" w14:textId="77777777" w:rsidR="00000000" w:rsidRPr="007D38CE" w:rsidRDefault="007D38CE">
            <w:pPr>
              <w:pStyle w:val="TableText"/>
              <w:framePr w:hSpace="181" w:wrap="notBeside" w:vAnchor="text" w:hAnchor="page" w:xAlign="center" w:y="1"/>
              <w:jc w:val="center"/>
              <w:rPr>
                <w:lang w:val="fr-CH"/>
              </w:rPr>
            </w:pPr>
            <w:r w:rsidRPr="007D38CE">
              <w:rPr>
                <w:lang w:val="fr-CH"/>
              </w:rPr>
              <w:t>(3)</w:t>
            </w:r>
            <w:r w:rsidRPr="007D38CE">
              <w:rPr>
                <w:lang w:val="fr-CH"/>
              </w:rPr>
              <w:br/>
              <w:t>Portées transfrontières</w:t>
            </w:r>
            <w:r w:rsidRPr="007D38CE">
              <w:rPr>
                <w:lang w:val="fr-CH"/>
              </w:rPr>
              <w:br/>
              <w:t>maximales de brouillages</w:t>
            </w:r>
            <w:r w:rsidRPr="007D38CE">
              <w:rPr>
                <w:lang w:val="fr-CH"/>
              </w:rPr>
              <w:br/>
              <w:t>préjudiciables</w:t>
            </w:r>
            <w:r w:rsidRPr="007D38CE">
              <w:rPr>
                <w:lang w:val="fr-CH"/>
              </w:rPr>
              <w:br/>
              <w:t>(km)</w:t>
            </w:r>
          </w:p>
        </w:tc>
        <w:tc>
          <w:tcPr>
            <w:tcW w:w="2240" w:type="dxa"/>
            <w:tcBorders>
              <w:top w:val="single" w:sz="6" w:space="0" w:color="auto"/>
              <w:left w:val="single" w:sz="6" w:space="0" w:color="auto"/>
              <w:bottom w:val="single" w:sz="6" w:space="0" w:color="auto"/>
              <w:right w:val="single" w:sz="6" w:space="0" w:color="auto"/>
            </w:tcBorders>
          </w:tcPr>
          <w:p w14:paraId="32670E80" w14:textId="77777777" w:rsidR="00000000" w:rsidRPr="007D38CE" w:rsidRDefault="007D38CE">
            <w:pPr>
              <w:pStyle w:val="TableText"/>
              <w:framePr w:hSpace="181" w:wrap="notBeside" w:vAnchor="text" w:hAnchor="page" w:xAlign="center" w:y="1"/>
              <w:jc w:val="center"/>
              <w:rPr>
                <w:lang w:val="fr-CH"/>
              </w:rPr>
            </w:pPr>
            <w:r w:rsidRPr="007D38CE">
              <w:rPr>
                <w:lang w:val="fr-CH"/>
              </w:rPr>
              <w:t>(4)</w:t>
            </w:r>
            <w:r w:rsidRPr="007D38CE">
              <w:rPr>
                <w:lang w:val="fr-CH"/>
              </w:rPr>
              <w:br/>
              <w:t>PAR de l'émetteur</w:t>
            </w:r>
            <w:r w:rsidRPr="007D38CE">
              <w:rPr>
                <w:lang w:val="fr-CH"/>
              </w:rPr>
              <w:br/>
              <w:t>de référence</w:t>
            </w:r>
            <w:r w:rsidRPr="007D38CE">
              <w:rPr>
                <w:lang w:val="fr-CH"/>
              </w:rPr>
              <w:br/>
              <w:t>(dBW)</w:t>
            </w:r>
          </w:p>
        </w:tc>
      </w:tr>
      <w:tr w:rsidR="00000000" w14:paraId="156952F4"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4F161955" w14:textId="77777777" w:rsidR="00000000" w:rsidRDefault="007D38CE">
            <w:pPr>
              <w:pStyle w:val="TableText"/>
              <w:framePr w:hSpace="181" w:wrap="notBeside" w:vAnchor="text" w:hAnchor="page" w:xAlign="center" w:y="1"/>
              <w:spacing w:before="60" w:after="60"/>
              <w:jc w:val="center"/>
            </w:pPr>
            <w:r>
              <w:t>29,7-47</w:t>
            </w:r>
          </w:p>
        </w:tc>
        <w:tc>
          <w:tcPr>
            <w:tcW w:w="2240" w:type="dxa"/>
            <w:tcBorders>
              <w:top w:val="single" w:sz="6" w:space="0" w:color="auto"/>
              <w:left w:val="single" w:sz="6" w:space="0" w:color="auto"/>
              <w:bottom w:val="single" w:sz="6" w:space="0" w:color="auto"/>
              <w:right w:val="single" w:sz="6" w:space="0" w:color="auto"/>
            </w:tcBorders>
          </w:tcPr>
          <w:p w14:paraId="1DD6AA86" w14:textId="77777777" w:rsidR="00000000" w:rsidRDefault="007D38CE">
            <w:pPr>
              <w:pStyle w:val="TableText"/>
              <w:framePr w:hSpace="181" w:wrap="notBeside" w:vAnchor="text" w:hAnchor="page" w:xAlign="center" w:y="1"/>
              <w:spacing w:before="60" w:after="60"/>
              <w:jc w:val="center"/>
            </w:pPr>
            <w:r>
              <w:t>0 dB</w:t>
            </w:r>
          </w:p>
        </w:tc>
        <w:tc>
          <w:tcPr>
            <w:tcW w:w="2240" w:type="dxa"/>
            <w:tcBorders>
              <w:top w:val="single" w:sz="6" w:space="0" w:color="auto"/>
              <w:left w:val="single" w:sz="6" w:space="0" w:color="auto"/>
              <w:bottom w:val="single" w:sz="6" w:space="0" w:color="auto"/>
              <w:right w:val="single" w:sz="6" w:space="0" w:color="auto"/>
            </w:tcBorders>
          </w:tcPr>
          <w:p w14:paraId="4F588596" w14:textId="77777777" w:rsidR="00000000" w:rsidRDefault="007D38CE">
            <w:pPr>
              <w:pStyle w:val="TableText"/>
              <w:framePr w:hSpace="181" w:wrap="notBeside" w:vAnchor="text" w:hAnchor="page" w:xAlign="center" w:y="1"/>
              <w:spacing w:before="60" w:after="60"/>
              <w:jc w:val="center"/>
            </w:pPr>
            <w:r>
              <w:t>100</w:t>
            </w:r>
          </w:p>
        </w:tc>
        <w:tc>
          <w:tcPr>
            <w:tcW w:w="2240" w:type="dxa"/>
            <w:tcBorders>
              <w:top w:val="single" w:sz="6" w:space="0" w:color="auto"/>
              <w:left w:val="single" w:sz="6" w:space="0" w:color="auto"/>
              <w:bottom w:val="single" w:sz="6" w:space="0" w:color="auto"/>
              <w:right w:val="single" w:sz="6" w:space="0" w:color="auto"/>
            </w:tcBorders>
          </w:tcPr>
          <w:p w14:paraId="12099A18" w14:textId="77777777" w:rsidR="00000000" w:rsidRDefault="007D38CE">
            <w:pPr>
              <w:pStyle w:val="TableText"/>
              <w:framePr w:hSpace="181" w:wrap="notBeside" w:vAnchor="text" w:hAnchor="page" w:xAlign="center" w:y="1"/>
              <w:spacing w:before="60" w:after="60"/>
              <w:jc w:val="center"/>
            </w:pPr>
            <w:r>
              <w:t>3</w:t>
            </w:r>
          </w:p>
        </w:tc>
      </w:tr>
      <w:tr w:rsidR="00000000" w14:paraId="4819A661"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04A01204" w14:textId="77777777" w:rsidR="00000000" w:rsidRDefault="007D38CE">
            <w:pPr>
              <w:pStyle w:val="TableText"/>
              <w:framePr w:hSpace="181" w:wrap="notBeside" w:vAnchor="text" w:hAnchor="page" w:xAlign="center" w:y="1"/>
              <w:spacing w:before="60" w:after="60"/>
              <w:jc w:val="center"/>
            </w:pPr>
            <w:r>
              <w:t>68-74,8</w:t>
            </w:r>
          </w:p>
        </w:tc>
        <w:tc>
          <w:tcPr>
            <w:tcW w:w="2240" w:type="dxa"/>
            <w:tcBorders>
              <w:top w:val="single" w:sz="6" w:space="0" w:color="auto"/>
              <w:left w:val="single" w:sz="6" w:space="0" w:color="auto"/>
              <w:bottom w:val="single" w:sz="6" w:space="0" w:color="auto"/>
              <w:right w:val="single" w:sz="6" w:space="0" w:color="auto"/>
            </w:tcBorders>
          </w:tcPr>
          <w:p w14:paraId="0BDFDFD9" w14:textId="77777777" w:rsidR="00000000" w:rsidRDefault="007D38CE">
            <w:pPr>
              <w:pStyle w:val="TableText"/>
              <w:framePr w:hSpace="181" w:wrap="notBeside" w:vAnchor="text" w:hAnchor="page" w:xAlign="center" w:y="1"/>
              <w:spacing w:before="60" w:after="60"/>
              <w:jc w:val="center"/>
            </w:pPr>
            <w:r>
              <w:rPr>
                <w:rFonts w:ascii="Symbol" w:hAnsi="Symbol"/>
              </w:rPr>
              <w:t></w:t>
            </w:r>
            <w:r>
              <w:t>6 dB</w:t>
            </w:r>
          </w:p>
        </w:tc>
        <w:tc>
          <w:tcPr>
            <w:tcW w:w="2240" w:type="dxa"/>
            <w:tcBorders>
              <w:top w:val="single" w:sz="6" w:space="0" w:color="auto"/>
              <w:left w:val="single" w:sz="6" w:space="0" w:color="auto"/>
              <w:bottom w:val="single" w:sz="6" w:space="0" w:color="auto"/>
              <w:right w:val="single" w:sz="6" w:space="0" w:color="auto"/>
            </w:tcBorders>
          </w:tcPr>
          <w:p w14:paraId="269B4ABF" w14:textId="77777777" w:rsidR="00000000" w:rsidRDefault="007D38CE">
            <w:pPr>
              <w:pStyle w:val="TableText"/>
              <w:framePr w:hSpace="181" w:wrap="notBeside" w:vAnchor="text" w:hAnchor="page" w:xAlign="center" w:y="1"/>
              <w:spacing w:before="60" w:after="60"/>
              <w:jc w:val="center"/>
            </w:pPr>
            <w:r>
              <w:t>100</w:t>
            </w:r>
          </w:p>
        </w:tc>
        <w:tc>
          <w:tcPr>
            <w:tcW w:w="2240" w:type="dxa"/>
            <w:tcBorders>
              <w:top w:val="single" w:sz="6" w:space="0" w:color="auto"/>
              <w:left w:val="single" w:sz="6" w:space="0" w:color="auto"/>
              <w:bottom w:val="single" w:sz="6" w:space="0" w:color="auto"/>
              <w:right w:val="single" w:sz="6" w:space="0" w:color="auto"/>
            </w:tcBorders>
          </w:tcPr>
          <w:p w14:paraId="2E8F3CBB" w14:textId="77777777" w:rsidR="00000000" w:rsidRDefault="007D38CE">
            <w:pPr>
              <w:pStyle w:val="TableText"/>
              <w:framePr w:hSpace="181" w:wrap="notBeside" w:vAnchor="text" w:hAnchor="page" w:xAlign="center" w:y="1"/>
              <w:spacing w:before="60" w:after="60"/>
              <w:jc w:val="center"/>
            </w:pPr>
            <w:r>
              <w:t>9</w:t>
            </w:r>
          </w:p>
        </w:tc>
      </w:tr>
      <w:tr w:rsidR="00000000" w14:paraId="2116920C"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1B10A5EA" w14:textId="77777777" w:rsidR="00000000" w:rsidRDefault="007D38CE">
            <w:pPr>
              <w:pStyle w:val="TableText"/>
              <w:framePr w:hSpace="181" w:wrap="notBeside" w:vAnchor="text" w:hAnchor="page" w:xAlign="center" w:y="1"/>
              <w:spacing w:before="60" w:after="60"/>
              <w:jc w:val="center"/>
            </w:pPr>
            <w:r>
              <w:t>75,2-87,5</w:t>
            </w:r>
          </w:p>
        </w:tc>
        <w:tc>
          <w:tcPr>
            <w:tcW w:w="2240" w:type="dxa"/>
            <w:tcBorders>
              <w:top w:val="single" w:sz="6" w:space="0" w:color="auto"/>
              <w:left w:val="single" w:sz="6" w:space="0" w:color="auto"/>
              <w:bottom w:val="single" w:sz="6" w:space="0" w:color="auto"/>
              <w:right w:val="single" w:sz="6" w:space="0" w:color="auto"/>
            </w:tcBorders>
          </w:tcPr>
          <w:p w14:paraId="68B9D134" w14:textId="77777777" w:rsidR="00000000" w:rsidRDefault="007D38CE">
            <w:pPr>
              <w:pStyle w:val="TableText"/>
              <w:framePr w:hSpace="181" w:wrap="notBeside" w:vAnchor="text" w:hAnchor="page" w:xAlign="center" w:y="1"/>
              <w:spacing w:before="60" w:after="60"/>
              <w:jc w:val="center"/>
            </w:pPr>
            <w:r>
              <w:rPr>
                <w:rFonts w:ascii="Symbol" w:hAnsi="Symbol"/>
              </w:rPr>
              <w:t></w:t>
            </w:r>
            <w:r>
              <w:t>6 dB</w:t>
            </w:r>
          </w:p>
        </w:tc>
        <w:tc>
          <w:tcPr>
            <w:tcW w:w="2240" w:type="dxa"/>
            <w:tcBorders>
              <w:top w:val="single" w:sz="6" w:space="0" w:color="auto"/>
              <w:left w:val="single" w:sz="6" w:space="0" w:color="auto"/>
              <w:bottom w:val="single" w:sz="6" w:space="0" w:color="auto"/>
              <w:right w:val="single" w:sz="6" w:space="0" w:color="auto"/>
            </w:tcBorders>
          </w:tcPr>
          <w:p w14:paraId="3B9BB7DE" w14:textId="77777777" w:rsidR="00000000" w:rsidRDefault="007D38CE">
            <w:pPr>
              <w:pStyle w:val="TableText"/>
              <w:framePr w:hSpace="181" w:wrap="notBeside" w:vAnchor="text" w:hAnchor="page" w:xAlign="center" w:y="1"/>
              <w:spacing w:before="60" w:after="60"/>
              <w:jc w:val="center"/>
            </w:pPr>
            <w:r>
              <w:t>100</w:t>
            </w:r>
          </w:p>
        </w:tc>
        <w:tc>
          <w:tcPr>
            <w:tcW w:w="2240" w:type="dxa"/>
            <w:tcBorders>
              <w:top w:val="single" w:sz="6" w:space="0" w:color="auto"/>
              <w:left w:val="single" w:sz="6" w:space="0" w:color="auto"/>
              <w:bottom w:val="single" w:sz="6" w:space="0" w:color="auto"/>
              <w:right w:val="single" w:sz="6" w:space="0" w:color="auto"/>
            </w:tcBorders>
          </w:tcPr>
          <w:p w14:paraId="5FE9A2C7" w14:textId="77777777" w:rsidR="00000000" w:rsidRDefault="007D38CE">
            <w:pPr>
              <w:pStyle w:val="TableText"/>
              <w:framePr w:hSpace="181" w:wrap="notBeside" w:vAnchor="text" w:hAnchor="page" w:xAlign="center" w:y="1"/>
              <w:spacing w:before="60" w:after="60"/>
              <w:jc w:val="center"/>
            </w:pPr>
            <w:r>
              <w:t>9</w:t>
            </w:r>
          </w:p>
        </w:tc>
      </w:tr>
      <w:tr w:rsidR="00000000" w14:paraId="4E56A89B"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79EDA375" w14:textId="77777777" w:rsidR="00000000" w:rsidRDefault="007D38CE">
            <w:pPr>
              <w:pStyle w:val="TableText"/>
              <w:framePr w:hSpace="181" w:wrap="notBeside" w:vAnchor="text" w:hAnchor="page" w:xAlign="center" w:y="1"/>
              <w:spacing w:before="60" w:after="60"/>
              <w:jc w:val="center"/>
            </w:pPr>
            <w:r>
              <w:t>146-149,9</w:t>
            </w:r>
          </w:p>
        </w:tc>
        <w:tc>
          <w:tcPr>
            <w:tcW w:w="2240" w:type="dxa"/>
            <w:tcBorders>
              <w:top w:val="single" w:sz="6" w:space="0" w:color="auto"/>
              <w:left w:val="single" w:sz="6" w:space="0" w:color="auto"/>
              <w:bottom w:val="single" w:sz="6" w:space="0" w:color="auto"/>
              <w:right w:val="single" w:sz="6" w:space="0" w:color="auto"/>
            </w:tcBorders>
          </w:tcPr>
          <w:p w14:paraId="2CA4BC30" w14:textId="77777777" w:rsidR="00000000" w:rsidRDefault="007D38CE">
            <w:pPr>
              <w:pStyle w:val="TableText"/>
              <w:framePr w:hSpace="181" w:wrap="notBeside" w:vAnchor="text" w:hAnchor="page" w:xAlign="center" w:y="1"/>
              <w:spacing w:before="60" w:after="60"/>
              <w:jc w:val="center"/>
            </w:pPr>
            <w:r>
              <w:rPr>
                <w:rFonts w:ascii="Symbol" w:hAnsi="Symbol"/>
              </w:rPr>
              <w:t></w:t>
            </w:r>
            <w:r>
              <w:t>12 dB</w:t>
            </w:r>
          </w:p>
        </w:tc>
        <w:tc>
          <w:tcPr>
            <w:tcW w:w="2240" w:type="dxa"/>
            <w:tcBorders>
              <w:top w:val="single" w:sz="6" w:space="0" w:color="auto"/>
              <w:left w:val="single" w:sz="6" w:space="0" w:color="auto"/>
              <w:bottom w:val="single" w:sz="6" w:space="0" w:color="auto"/>
              <w:right w:val="single" w:sz="6" w:space="0" w:color="auto"/>
            </w:tcBorders>
          </w:tcPr>
          <w:p w14:paraId="46D43A81" w14:textId="77777777" w:rsidR="00000000" w:rsidRDefault="007D38CE">
            <w:pPr>
              <w:pStyle w:val="TableText"/>
              <w:framePr w:hSpace="181" w:wrap="notBeside" w:vAnchor="text" w:hAnchor="page" w:xAlign="center" w:y="1"/>
              <w:spacing w:before="60" w:after="60"/>
              <w:jc w:val="center"/>
            </w:pPr>
            <w:r>
              <w:t>80</w:t>
            </w:r>
          </w:p>
        </w:tc>
        <w:tc>
          <w:tcPr>
            <w:tcW w:w="2240" w:type="dxa"/>
            <w:tcBorders>
              <w:top w:val="single" w:sz="6" w:space="0" w:color="auto"/>
              <w:left w:val="single" w:sz="6" w:space="0" w:color="auto"/>
              <w:bottom w:val="single" w:sz="6" w:space="0" w:color="auto"/>
              <w:right w:val="single" w:sz="6" w:space="0" w:color="auto"/>
            </w:tcBorders>
          </w:tcPr>
          <w:p w14:paraId="56D54220" w14:textId="77777777" w:rsidR="00000000" w:rsidRDefault="007D38CE">
            <w:pPr>
              <w:pStyle w:val="TableText"/>
              <w:framePr w:hSpace="181" w:wrap="notBeside" w:vAnchor="text" w:hAnchor="page" w:xAlign="center" w:y="1"/>
              <w:spacing w:before="60" w:after="60"/>
              <w:jc w:val="center"/>
            </w:pPr>
            <w:r>
              <w:t>12</w:t>
            </w:r>
          </w:p>
        </w:tc>
      </w:tr>
      <w:tr w:rsidR="00000000" w14:paraId="098D46A7"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6D8F1A1F" w14:textId="77777777" w:rsidR="00000000" w:rsidRDefault="007D38CE">
            <w:pPr>
              <w:pStyle w:val="TableText"/>
              <w:framePr w:hSpace="181" w:wrap="notBeside" w:vAnchor="text" w:hAnchor="page" w:xAlign="center" w:y="1"/>
              <w:spacing w:before="60" w:after="60"/>
              <w:jc w:val="center"/>
            </w:pPr>
            <w:r>
              <w:t>150,05-174</w:t>
            </w:r>
          </w:p>
        </w:tc>
        <w:tc>
          <w:tcPr>
            <w:tcW w:w="2240" w:type="dxa"/>
            <w:tcBorders>
              <w:top w:val="single" w:sz="6" w:space="0" w:color="auto"/>
              <w:left w:val="single" w:sz="6" w:space="0" w:color="auto"/>
              <w:bottom w:val="single" w:sz="6" w:space="0" w:color="auto"/>
              <w:right w:val="single" w:sz="6" w:space="0" w:color="auto"/>
            </w:tcBorders>
          </w:tcPr>
          <w:p w14:paraId="25EA12F8" w14:textId="77777777" w:rsidR="00000000" w:rsidRDefault="007D38CE">
            <w:pPr>
              <w:pStyle w:val="TableText"/>
              <w:framePr w:hSpace="181" w:wrap="notBeside" w:vAnchor="text" w:hAnchor="page" w:xAlign="center" w:y="1"/>
              <w:spacing w:before="60" w:after="60"/>
              <w:jc w:val="center"/>
            </w:pPr>
            <w:r>
              <w:rPr>
                <w:rFonts w:ascii="Symbol" w:hAnsi="Symbol"/>
              </w:rPr>
              <w:t></w:t>
            </w:r>
            <w:r>
              <w:t>12 dB</w:t>
            </w:r>
          </w:p>
        </w:tc>
        <w:tc>
          <w:tcPr>
            <w:tcW w:w="2240" w:type="dxa"/>
            <w:tcBorders>
              <w:top w:val="single" w:sz="6" w:space="0" w:color="auto"/>
              <w:left w:val="single" w:sz="6" w:space="0" w:color="auto"/>
              <w:bottom w:val="single" w:sz="6" w:space="0" w:color="auto"/>
              <w:right w:val="single" w:sz="6" w:space="0" w:color="auto"/>
            </w:tcBorders>
          </w:tcPr>
          <w:p w14:paraId="1FE689BD" w14:textId="77777777" w:rsidR="00000000" w:rsidRDefault="007D38CE">
            <w:pPr>
              <w:pStyle w:val="TableText"/>
              <w:framePr w:hSpace="181" w:wrap="notBeside" w:vAnchor="text" w:hAnchor="page" w:xAlign="center" w:y="1"/>
              <w:spacing w:before="60" w:after="60"/>
              <w:jc w:val="center"/>
            </w:pPr>
            <w:r>
              <w:t>80</w:t>
            </w:r>
          </w:p>
        </w:tc>
        <w:tc>
          <w:tcPr>
            <w:tcW w:w="2240" w:type="dxa"/>
            <w:tcBorders>
              <w:top w:val="single" w:sz="6" w:space="0" w:color="auto"/>
              <w:left w:val="single" w:sz="6" w:space="0" w:color="auto"/>
              <w:bottom w:val="single" w:sz="6" w:space="0" w:color="auto"/>
              <w:right w:val="single" w:sz="6" w:space="0" w:color="auto"/>
            </w:tcBorders>
          </w:tcPr>
          <w:p w14:paraId="6A3EE2BC" w14:textId="77777777" w:rsidR="00000000" w:rsidRDefault="007D38CE">
            <w:pPr>
              <w:pStyle w:val="TableText"/>
              <w:framePr w:hSpace="181" w:wrap="notBeside" w:vAnchor="text" w:hAnchor="page" w:xAlign="center" w:y="1"/>
              <w:spacing w:before="60" w:after="60"/>
              <w:jc w:val="center"/>
            </w:pPr>
            <w:r>
              <w:t>12</w:t>
            </w:r>
          </w:p>
        </w:tc>
      </w:tr>
      <w:tr w:rsidR="00000000" w14:paraId="70B8BF51"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0BDC2DEB" w14:textId="77777777" w:rsidR="00000000" w:rsidRDefault="007D38CE">
            <w:pPr>
              <w:pStyle w:val="TableText"/>
              <w:framePr w:hSpace="181" w:wrap="notBeside" w:vAnchor="text" w:hAnchor="page" w:xAlign="center" w:y="1"/>
              <w:spacing w:before="60" w:after="60"/>
              <w:jc w:val="center"/>
            </w:pPr>
            <w:r>
              <w:t>406,</w:t>
            </w:r>
            <w:r>
              <w:t>1-430</w:t>
            </w:r>
          </w:p>
        </w:tc>
        <w:tc>
          <w:tcPr>
            <w:tcW w:w="2240" w:type="dxa"/>
            <w:tcBorders>
              <w:top w:val="single" w:sz="6" w:space="0" w:color="auto"/>
              <w:left w:val="single" w:sz="6" w:space="0" w:color="auto"/>
              <w:bottom w:val="single" w:sz="6" w:space="0" w:color="auto"/>
              <w:right w:val="single" w:sz="6" w:space="0" w:color="auto"/>
            </w:tcBorders>
          </w:tcPr>
          <w:p w14:paraId="18DA3B28" w14:textId="77777777" w:rsidR="00000000" w:rsidRDefault="007D38CE">
            <w:pPr>
              <w:pStyle w:val="TableText"/>
              <w:framePr w:hSpace="181" w:wrap="notBeside" w:vAnchor="text" w:hAnchor="page" w:xAlign="center" w:y="1"/>
              <w:spacing w:before="60" w:after="60"/>
              <w:jc w:val="center"/>
            </w:pPr>
            <w:r>
              <w:rPr>
                <w:rFonts w:ascii="Symbol" w:hAnsi="Symbol"/>
              </w:rPr>
              <w:t></w:t>
            </w:r>
            <w:r>
              <w:t>20 dB</w:t>
            </w:r>
          </w:p>
        </w:tc>
        <w:tc>
          <w:tcPr>
            <w:tcW w:w="2240" w:type="dxa"/>
            <w:tcBorders>
              <w:top w:val="single" w:sz="6" w:space="0" w:color="auto"/>
              <w:left w:val="single" w:sz="6" w:space="0" w:color="auto"/>
              <w:bottom w:val="single" w:sz="6" w:space="0" w:color="auto"/>
              <w:right w:val="single" w:sz="6" w:space="0" w:color="auto"/>
            </w:tcBorders>
          </w:tcPr>
          <w:p w14:paraId="071C3C82" w14:textId="77777777" w:rsidR="00000000" w:rsidRDefault="007D38CE">
            <w:pPr>
              <w:pStyle w:val="TableText"/>
              <w:framePr w:hSpace="181" w:wrap="notBeside" w:vAnchor="text" w:hAnchor="page" w:xAlign="center" w:y="1"/>
              <w:spacing w:before="60" w:after="60"/>
              <w:jc w:val="center"/>
            </w:pPr>
            <w:r>
              <w:t>50</w:t>
            </w:r>
          </w:p>
        </w:tc>
        <w:tc>
          <w:tcPr>
            <w:tcW w:w="2240" w:type="dxa"/>
            <w:tcBorders>
              <w:top w:val="single" w:sz="6" w:space="0" w:color="auto"/>
              <w:left w:val="single" w:sz="6" w:space="0" w:color="auto"/>
              <w:bottom w:val="single" w:sz="6" w:space="0" w:color="auto"/>
              <w:right w:val="single" w:sz="6" w:space="0" w:color="auto"/>
            </w:tcBorders>
          </w:tcPr>
          <w:p w14:paraId="614A0BEF" w14:textId="77777777" w:rsidR="00000000" w:rsidRDefault="007D38CE">
            <w:pPr>
              <w:pStyle w:val="TableText"/>
              <w:framePr w:hSpace="181" w:wrap="notBeside" w:vAnchor="text" w:hAnchor="page" w:xAlign="center" w:y="1"/>
              <w:spacing w:before="60" w:after="60"/>
              <w:jc w:val="center"/>
            </w:pPr>
            <w:r>
              <w:t>16</w:t>
            </w:r>
          </w:p>
        </w:tc>
      </w:tr>
      <w:tr w:rsidR="00000000" w14:paraId="7D7A2170"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7A906B0D" w14:textId="77777777" w:rsidR="00000000" w:rsidRDefault="007D38CE">
            <w:pPr>
              <w:pStyle w:val="TableText"/>
              <w:framePr w:hSpace="181" w:wrap="notBeside" w:vAnchor="text" w:hAnchor="page" w:xAlign="center" w:y="1"/>
              <w:spacing w:before="60" w:after="60"/>
              <w:jc w:val="center"/>
            </w:pPr>
            <w:r>
              <w:t>440-470</w:t>
            </w:r>
          </w:p>
        </w:tc>
        <w:tc>
          <w:tcPr>
            <w:tcW w:w="2240" w:type="dxa"/>
            <w:tcBorders>
              <w:top w:val="single" w:sz="6" w:space="0" w:color="auto"/>
              <w:left w:val="single" w:sz="6" w:space="0" w:color="auto"/>
              <w:bottom w:val="single" w:sz="6" w:space="0" w:color="auto"/>
              <w:right w:val="single" w:sz="6" w:space="0" w:color="auto"/>
            </w:tcBorders>
          </w:tcPr>
          <w:p w14:paraId="1167CFD5" w14:textId="77777777" w:rsidR="00000000" w:rsidRDefault="007D38CE">
            <w:pPr>
              <w:pStyle w:val="TableText"/>
              <w:framePr w:hSpace="181" w:wrap="notBeside" w:vAnchor="text" w:hAnchor="page" w:xAlign="center" w:y="1"/>
              <w:spacing w:before="60" w:after="60"/>
              <w:jc w:val="center"/>
            </w:pPr>
            <w:r>
              <w:rPr>
                <w:rFonts w:ascii="Symbol" w:hAnsi="Symbol"/>
              </w:rPr>
              <w:t></w:t>
            </w:r>
            <w:r>
              <w:t>20 dB</w:t>
            </w:r>
          </w:p>
        </w:tc>
        <w:tc>
          <w:tcPr>
            <w:tcW w:w="2240" w:type="dxa"/>
            <w:tcBorders>
              <w:top w:val="single" w:sz="6" w:space="0" w:color="auto"/>
              <w:left w:val="single" w:sz="6" w:space="0" w:color="auto"/>
              <w:bottom w:val="single" w:sz="6" w:space="0" w:color="auto"/>
              <w:right w:val="single" w:sz="6" w:space="0" w:color="auto"/>
            </w:tcBorders>
          </w:tcPr>
          <w:p w14:paraId="569CC677" w14:textId="77777777" w:rsidR="00000000" w:rsidRDefault="007D38CE">
            <w:pPr>
              <w:pStyle w:val="TableText"/>
              <w:framePr w:hSpace="181" w:wrap="notBeside" w:vAnchor="text" w:hAnchor="page" w:xAlign="center" w:y="1"/>
              <w:spacing w:before="60" w:after="60"/>
              <w:jc w:val="center"/>
            </w:pPr>
            <w:r>
              <w:t>50</w:t>
            </w:r>
          </w:p>
        </w:tc>
        <w:tc>
          <w:tcPr>
            <w:tcW w:w="2240" w:type="dxa"/>
            <w:tcBorders>
              <w:top w:val="single" w:sz="6" w:space="0" w:color="auto"/>
              <w:left w:val="single" w:sz="6" w:space="0" w:color="auto"/>
              <w:bottom w:val="single" w:sz="6" w:space="0" w:color="auto"/>
              <w:right w:val="single" w:sz="6" w:space="0" w:color="auto"/>
            </w:tcBorders>
          </w:tcPr>
          <w:p w14:paraId="5776A3E3" w14:textId="77777777" w:rsidR="00000000" w:rsidRDefault="007D38CE">
            <w:pPr>
              <w:pStyle w:val="TableText"/>
              <w:framePr w:hSpace="181" w:wrap="notBeside" w:vAnchor="text" w:hAnchor="page" w:xAlign="center" w:y="1"/>
              <w:spacing w:before="60" w:after="60"/>
              <w:jc w:val="center"/>
            </w:pPr>
            <w:r>
              <w:t>16</w:t>
            </w:r>
          </w:p>
        </w:tc>
      </w:tr>
      <w:tr w:rsidR="00000000" w14:paraId="48C14D22" w14:textId="77777777">
        <w:tblPrEx>
          <w:tblCellMar>
            <w:top w:w="0" w:type="dxa"/>
            <w:left w:w="0" w:type="dxa"/>
            <w:bottom w:w="0" w:type="dxa"/>
            <w:right w:w="0" w:type="dxa"/>
          </w:tblCellMar>
        </w:tblPrEx>
        <w:trPr>
          <w:cantSplit/>
        </w:trPr>
        <w:tc>
          <w:tcPr>
            <w:tcW w:w="2240" w:type="dxa"/>
            <w:tcBorders>
              <w:top w:val="single" w:sz="6" w:space="0" w:color="auto"/>
              <w:left w:val="single" w:sz="6" w:space="0" w:color="auto"/>
              <w:bottom w:val="single" w:sz="6" w:space="0" w:color="auto"/>
              <w:right w:val="single" w:sz="6" w:space="0" w:color="auto"/>
            </w:tcBorders>
          </w:tcPr>
          <w:p w14:paraId="5161CE0E" w14:textId="77777777" w:rsidR="00000000" w:rsidRDefault="007D38CE">
            <w:pPr>
              <w:pStyle w:val="TableText"/>
              <w:framePr w:hSpace="181" w:wrap="notBeside" w:vAnchor="text" w:hAnchor="page" w:xAlign="center" w:y="1"/>
              <w:spacing w:before="60" w:after="60"/>
              <w:jc w:val="center"/>
            </w:pPr>
            <w:r>
              <w:t>862-960</w:t>
            </w:r>
          </w:p>
        </w:tc>
        <w:tc>
          <w:tcPr>
            <w:tcW w:w="2240" w:type="dxa"/>
            <w:tcBorders>
              <w:top w:val="single" w:sz="6" w:space="0" w:color="auto"/>
              <w:left w:val="single" w:sz="6" w:space="0" w:color="auto"/>
              <w:bottom w:val="single" w:sz="6" w:space="0" w:color="auto"/>
              <w:right w:val="single" w:sz="6" w:space="0" w:color="auto"/>
            </w:tcBorders>
          </w:tcPr>
          <w:p w14:paraId="302ADF68" w14:textId="77777777" w:rsidR="00000000" w:rsidRDefault="007D38CE">
            <w:pPr>
              <w:pStyle w:val="TableText"/>
              <w:framePr w:hSpace="181" w:wrap="notBeside" w:vAnchor="text" w:hAnchor="page" w:xAlign="center" w:y="1"/>
              <w:spacing w:before="60" w:after="60"/>
              <w:jc w:val="center"/>
            </w:pPr>
            <w:r>
              <w:rPr>
                <w:rFonts w:ascii="Symbol" w:hAnsi="Symbol"/>
              </w:rPr>
              <w:t></w:t>
            </w:r>
            <w:r>
              <w:t>26 dB</w:t>
            </w:r>
          </w:p>
        </w:tc>
        <w:tc>
          <w:tcPr>
            <w:tcW w:w="2240" w:type="dxa"/>
            <w:tcBorders>
              <w:top w:val="single" w:sz="6" w:space="0" w:color="auto"/>
              <w:left w:val="single" w:sz="6" w:space="0" w:color="auto"/>
              <w:bottom w:val="single" w:sz="6" w:space="0" w:color="auto"/>
              <w:right w:val="single" w:sz="6" w:space="0" w:color="auto"/>
            </w:tcBorders>
          </w:tcPr>
          <w:p w14:paraId="77C956F8" w14:textId="77777777" w:rsidR="00000000" w:rsidRDefault="007D38CE">
            <w:pPr>
              <w:pStyle w:val="TableText"/>
              <w:framePr w:hSpace="181" w:wrap="notBeside" w:vAnchor="text" w:hAnchor="page" w:xAlign="center" w:y="1"/>
              <w:spacing w:before="60" w:after="60"/>
              <w:jc w:val="center"/>
            </w:pPr>
            <w:r>
              <w:t>30</w:t>
            </w:r>
          </w:p>
        </w:tc>
        <w:tc>
          <w:tcPr>
            <w:tcW w:w="2240" w:type="dxa"/>
            <w:tcBorders>
              <w:top w:val="single" w:sz="6" w:space="0" w:color="auto"/>
              <w:left w:val="single" w:sz="6" w:space="0" w:color="auto"/>
              <w:bottom w:val="single" w:sz="6" w:space="0" w:color="auto"/>
              <w:right w:val="single" w:sz="6" w:space="0" w:color="auto"/>
            </w:tcBorders>
          </w:tcPr>
          <w:p w14:paraId="021A5F29" w14:textId="77777777" w:rsidR="00000000" w:rsidRDefault="007D38CE">
            <w:pPr>
              <w:pStyle w:val="TableText"/>
              <w:framePr w:hSpace="181" w:wrap="notBeside" w:vAnchor="text" w:hAnchor="page" w:xAlign="center" w:y="1"/>
              <w:spacing w:before="60" w:after="60"/>
              <w:jc w:val="center"/>
            </w:pPr>
            <w:r>
              <w:t>13</w:t>
            </w:r>
          </w:p>
        </w:tc>
      </w:tr>
    </w:tbl>
    <w:p w14:paraId="3AB8F5C2" w14:textId="77777777" w:rsidR="00000000" w:rsidRDefault="007D38CE">
      <w:pPr>
        <w:spacing w:before="0"/>
        <w:jc w:val="right"/>
      </w:pPr>
      <w:r>
        <w:t>»</w:t>
      </w:r>
    </w:p>
    <w:p w14:paraId="64B8ED3D" w14:textId="77777777" w:rsidR="00000000" w:rsidRDefault="007D38CE">
      <w:pPr>
        <w:spacing w:before="0"/>
        <w:jc w:val="left"/>
      </w:pPr>
    </w:p>
    <w:p w14:paraId="25722E3B" w14:textId="77777777" w:rsidR="00000000" w:rsidRDefault="007D38CE">
      <w:pPr>
        <w:spacing w:before="0"/>
        <w:jc w:val="left"/>
      </w:pPr>
    </w:p>
    <w:p w14:paraId="28644495" w14:textId="77777777" w:rsidR="00000000" w:rsidRDefault="007D38CE">
      <w:pPr>
        <w:pStyle w:val="Line"/>
      </w:pPr>
    </w:p>
    <w:p w14:paraId="29A7D5FB" w14:textId="77777777" w:rsidR="00000000" w:rsidRDefault="007D38CE"/>
    <w:p w14:paraId="26C8CD76" w14:textId="77777777" w:rsidR="00000000" w:rsidRDefault="007D38CE"/>
    <w:p w14:paraId="007EE217" w14:textId="77777777" w:rsidR="00000000" w:rsidRDefault="007D38CE"/>
    <w:p w14:paraId="1EB44501" w14:textId="77777777" w:rsidR="00000000" w:rsidRDefault="007D38CE"/>
    <w:p w14:paraId="04C7F722" w14:textId="77777777" w:rsidR="00000000" w:rsidRDefault="007D38CE"/>
    <w:p w14:paraId="06608213" w14:textId="77777777" w:rsidR="00000000" w:rsidRDefault="007D38CE"/>
    <w:p w14:paraId="3F6ABCE6" w14:textId="77777777" w:rsidR="00000000" w:rsidRDefault="007D38CE"/>
    <w:p w14:paraId="7CDDA944" w14:textId="77777777" w:rsidR="00000000" w:rsidRDefault="007D38CE"/>
    <w:p w14:paraId="5EB398D3" w14:textId="77777777" w:rsidR="00000000" w:rsidRDefault="007D38CE"/>
    <w:p w14:paraId="2AFAD210" w14:textId="77777777" w:rsidR="00000000" w:rsidRDefault="007D38CE"/>
    <w:p w14:paraId="73596981" w14:textId="77777777" w:rsidR="00000000" w:rsidRDefault="007D38CE"/>
    <w:p w14:paraId="483174D2" w14:textId="77777777" w:rsidR="00000000" w:rsidRDefault="007D38CE"/>
    <w:p w14:paraId="2C5B78FA" w14:textId="77777777" w:rsidR="00000000" w:rsidRDefault="007D38CE"/>
    <w:p w14:paraId="4C3CDCBF" w14:textId="77777777" w:rsidR="00000000" w:rsidRDefault="007D38CE"/>
    <w:sectPr w:rsidR="00000000">
      <w:headerReference w:type="even" r:id="rId7"/>
      <w:headerReference w:type="default" r:id="rId8"/>
      <w:pgSz w:w="11913" w:h="16834"/>
      <w:pgMar w:top="1088" w:right="1088" w:bottom="1088" w:left="1088" w:header="483" w:footer="483"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8B831" w14:textId="77777777" w:rsidR="00000000" w:rsidRDefault="007D38CE">
      <w:pPr>
        <w:spacing w:before="0"/>
      </w:pPr>
      <w:r>
        <w:separator/>
      </w:r>
    </w:p>
  </w:endnote>
  <w:endnote w:type="continuationSeparator" w:id="0">
    <w:p w14:paraId="7CB5F4DA" w14:textId="77777777" w:rsidR="00000000" w:rsidRDefault="007D38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739F4" w14:textId="77777777" w:rsidR="00000000" w:rsidRDefault="007D38CE">
      <w:r>
        <w:rPr>
          <w:b/>
        </w:rPr>
        <w:t>_______________</w:t>
      </w:r>
    </w:p>
  </w:footnote>
  <w:footnote w:type="continuationSeparator" w:id="0">
    <w:p w14:paraId="03647C01" w14:textId="77777777" w:rsidR="00000000" w:rsidRDefault="007D38CE">
      <w:pPr>
        <w:spacing w:before="0"/>
      </w:pPr>
      <w:r>
        <w:continuationSeparator/>
      </w:r>
    </w:p>
  </w:footnote>
  <w:footnote w:id="1">
    <w:p w14:paraId="3854AF21" w14:textId="11C1A469" w:rsidR="007D38CE" w:rsidRPr="007D38CE" w:rsidRDefault="007D38CE" w:rsidP="007D38CE">
      <w:pPr>
        <w:pStyle w:val="FootnoteText"/>
        <w:ind w:left="313" w:hanging="313"/>
        <w:rPr>
          <w:lang w:val="fr-CH"/>
        </w:rPr>
      </w:pPr>
      <w:r w:rsidRPr="007D38CE">
        <w:rPr>
          <w:rStyle w:val="FootnoteReference"/>
          <w:lang w:val="fr-CH"/>
        </w:rPr>
        <w:t>*</w:t>
      </w:r>
      <w:r w:rsidRPr="007D38CE">
        <w:rPr>
          <w:lang w:val="fr-CH"/>
        </w:rPr>
        <w:t xml:space="preserve"> </w:t>
      </w:r>
      <w:r>
        <w:rPr>
          <w:lang w:val="fr-CH"/>
        </w:rPr>
        <w:tab/>
      </w:r>
      <w:r w:rsidRPr="007D38CE">
        <w:rPr>
          <w:lang w:val="fr-CH"/>
        </w:rPr>
        <w:t>La Commission d'études 1 des radiocommunications a apporté des modifications rédactionnelles à la présente Recommandation en 2019, conformément aux dispositions de la Résolution UIT</w:t>
      </w:r>
      <w:r w:rsidRPr="007D38CE">
        <w:rPr>
          <w:lang w:val="fr-CH"/>
        </w:rPr>
        <w:noBreakHyphen/>
        <w:t>R 1.</w:t>
      </w:r>
    </w:p>
  </w:footnote>
  <w:footnote w:id="2">
    <w:p w14:paraId="725BB36A" w14:textId="77777777" w:rsidR="00000000" w:rsidRPr="007D38CE" w:rsidRDefault="007D38CE">
      <w:pPr>
        <w:pStyle w:val="FootnoteText"/>
        <w:ind w:left="313" w:hanging="313"/>
        <w:rPr>
          <w:lang w:val="fr-CH"/>
        </w:rPr>
      </w:pPr>
      <w:r w:rsidRPr="007D38CE">
        <w:rPr>
          <w:rStyle w:val="FootnoteReference"/>
          <w:lang w:val="fr-CH"/>
        </w:rPr>
        <w:t>*</w:t>
      </w:r>
      <w:r w:rsidRPr="007D38CE">
        <w:rPr>
          <w:lang w:val="fr-CH"/>
        </w:rPr>
        <w:tab/>
      </w:r>
      <w:r w:rsidRPr="007D38CE">
        <w:rPr>
          <w:i/>
          <w:lang w:val="fr-CH"/>
        </w:rPr>
        <w:t>A l'exception de l'</w:t>
      </w:r>
      <w:r w:rsidRPr="007D38CE">
        <w:rPr>
          <w:i/>
          <w:u w:val="single"/>
          <w:lang w:val="fr-CH"/>
        </w:rPr>
        <w:t>Annexe 1</w:t>
      </w:r>
      <w:r w:rsidRPr="007D38CE">
        <w:rPr>
          <w:i/>
          <w:lang w:val="fr-CH"/>
        </w:rPr>
        <w:t>, les Annexes et l'Addendum énumérés ci-dessus ne sont pas joints à l'Exemple 3, car ils sont trop volumineux.</w:t>
      </w:r>
    </w:p>
  </w:footnote>
  <w:footnote w:id="3">
    <w:p w14:paraId="42FEEDD5" w14:textId="77777777" w:rsidR="00000000" w:rsidRDefault="007D38CE">
      <w:pPr>
        <w:pStyle w:val="FootnoteText"/>
        <w:rPr>
          <w:i/>
        </w:rPr>
      </w:pPr>
      <w:r>
        <w:rPr>
          <w:rStyle w:val="FootnoteReference"/>
        </w:rPr>
        <w:t>*</w:t>
      </w:r>
      <w:r>
        <w:tab/>
      </w:r>
      <w:r>
        <w:rPr>
          <w:i/>
        </w:rPr>
        <w:t>Analogues à des fréquences alloties.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DB41" w14:textId="1B012F61" w:rsidR="00000000" w:rsidRDefault="007D38CE">
    <w:pPr>
      <w:pStyle w:val="Header"/>
    </w:pPr>
    <w:r>
      <w:fldChar w:fldCharType="begin"/>
    </w:r>
    <w:r>
      <w:instrText>PAGE</w:instrText>
    </w:r>
    <w:r>
      <w:fldChar w:fldCharType="separate"/>
    </w:r>
    <w:r>
      <w:rPr>
        <w:noProof/>
      </w:rPr>
      <w:t>16</w:t>
    </w:r>
    <w:r>
      <w:fldChar w:fldCharType="end"/>
    </w:r>
    <w:r>
      <w:tab/>
    </w:r>
    <w:r>
      <w:fldChar w:fldCharType="begin"/>
    </w:r>
    <w:r>
      <w:instrText>styleref head_foot</w:instrText>
    </w:r>
    <w:r>
      <w:fldChar w:fldCharType="separate"/>
    </w:r>
    <w:r>
      <w:rPr>
        <w:noProof/>
      </w:rPr>
      <w:t>Rec. UIT-R SM.1049-1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2D44" w14:textId="5FCA10AF" w:rsidR="00000000" w:rsidRDefault="007D38CE">
    <w:pPr>
      <w:pStyle w:val="Header"/>
    </w:pPr>
    <w:r>
      <w:tab/>
    </w:r>
    <w:r>
      <w:fldChar w:fldCharType="begin"/>
    </w:r>
    <w:r>
      <w:instrText>styleref head_foot</w:instrText>
    </w:r>
    <w:r>
      <w:fldChar w:fldCharType="separate"/>
    </w:r>
    <w:r>
      <w:rPr>
        <w:noProof/>
      </w:rPr>
      <w:t>Rec. UIT-R SM.1049-1</w:t>
    </w:r>
    <w:r>
      <w:fldChar w:fldCharType="end"/>
    </w:r>
    <w:r>
      <w:tab/>
    </w:r>
    <w:r>
      <w:fldChar w:fldCharType="begin"/>
    </w:r>
    <w:r>
      <w:instrText>PAGE</w:instrText>
    </w:r>
    <w:r>
      <w:fldChar w:fldCharType="separate"/>
    </w:r>
    <w:r>
      <w:rPr>
        <w:noProof/>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hideSpellingErrors/>
  <w:hideGrammaticalErrors/>
  <w:proofState w:grammar="clean"/>
  <w:attachedTemplate r:id="rId1"/>
  <w:doNotTrackMoves/>
  <w:defaultTabStop w:val="72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TopSpacing/>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B95"/>
    <w:rsid w:val="007D38CE"/>
    <w:rsid w:val="00B50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20B18"/>
  <w15:chartTrackingRefBased/>
  <w15:docId w15:val="{4811B473-D862-49C4-A5DA-D9F6112A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hAnsi="Times New Roman"/>
    </w:rPr>
  </w:style>
  <w:style w:type="paragraph" w:styleId="Heading1">
    <w:name w:val="heading 1"/>
    <w:basedOn w:val="Normal"/>
    <w:next w:val="Normal"/>
    <w:qFormat/>
    <w:pPr>
      <w:keepNext/>
      <w:keepLines/>
      <w:tabs>
        <w:tab w:val="clear" w:pos="1191"/>
        <w:tab w:val="clear" w:pos="1588"/>
        <w:tab w:val="clear" w:pos="1985"/>
      </w:tabs>
      <w:spacing w:before="480"/>
      <w:ind w:left="794" w:hanging="794"/>
      <w:outlineLvl w:val="0"/>
    </w:pPr>
    <w:rPr>
      <w:b/>
      <w:sz w:val="24"/>
    </w:rPr>
  </w:style>
  <w:style w:type="paragraph" w:styleId="Heading2">
    <w:name w:val="heading 2"/>
    <w:basedOn w:val="Normal"/>
    <w:next w:val="Normal"/>
    <w:qFormat/>
    <w:pPr>
      <w:keepNext/>
      <w:keepLines/>
      <w:tabs>
        <w:tab w:val="clear" w:pos="1191"/>
        <w:tab w:val="clear" w:pos="1588"/>
        <w:tab w:val="clear" w:pos="1985"/>
      </w:tabs>
      <w:spacing w:before="313"/>
      <w:ind w:left="794" w:hanging="794"/>
      <w:outlineLvl w:val="1"/>
    </w:pPr>
    <w:rPr>
      <w:b/>
      <w:sz w:val="22"/>
    </w:rPr>
  </w:style>
  <w:style w:type="paragraph" w:styleId="Heading3">
    <w:name w:val="heading 3"/>
    <w:basedOn w:val="Normal"/>
    <w:next w:val="Normal"/>
    <w:qFormat/>
    <w:pPr>
      <w:keepNext/>
      <w:keepLines/>
      <w:tabs>
        <w:tab w:val="clear" w:pos="1191"/>
        <w:tab w:val="clear" w:pos="1588"/>
        <w:tab w:val="clear" w:pos="1985"/>
      </w:tabs>
      <w:spacing w:before="181"/>
      <w:ind w:left="794" w:hanging="794"/>
      <w:outlineLvl w:val="2"/>
    </w:pPr>
    <w:rPr>
      <w:b/>
    </w:rPr>
  </w:style>
  <w:style w:type="paragraph" w:styleId="Heading4">
    <w:name w:val="heading 4"/>
    <w:basedOn w:val="Heading3"/>
    <w:next w:val="Normal"/>
    <w:qFormat/>
    <w:pPr>
      <w:tabs>
        <w:tab w:val="clear" w:pos="794"/>
        <w:tab w:val="left" w:pos="851"/>
      </w:tabs>
      <w:ind w:left="851" w:hanging="851"/>
      <w:outlineLvl w:val="3"/>
    </w:pPr>
  </w:style>
  <w:style w:type="paragraph" w:styleId="Heading5">
    <w:name w:val="heading 5"/>
    <w:basedOn w:val="Heading3"/>
    <w:next w:val="Normal"/>
    <w:qFormat/>
    <w:pPr>
      <w:tabs>
        <w:tab w:val="clear" w:pos="794"/>
        <w:tab w:val="left" w:pos="1021"/>
      </w:tabs>
      <w:ind w:left="1021" w:hanging="1021"/>
      <w:outlineLvl w:val="4"/>
    </w:pPr>
  </w:style>
  <w:style w:type="paragraph" w:styleId="Heading6">
    <w:name w:val="heading 6"/>
    <w:basedOn w:val="Heading3"/>
    <w:next w:val="Normal"/>
    <w:qFormat/>
    <w:pPr>
      <w:tabs>
        <w:tab w:val="clear" w:pos="794"/>
        <w:tab w:val="left" w:pos="1191"/>
      </w:tabs>
      <w:ind w:left="1191" w:hanging="1191"/>
      <w:outlineLvl w:val="5"/>
    </w:pPr>
  </w:style>
  <w:style w:type="paragraph" w:styleId="Heading7">
    <w:name w:val="heading 7"/>
    <w:basedOn w:val="Heading3"/>
    <w:next w:val="Normal"/>
    <w:qFormat/>
    <w:pPr>
      <w:tabs>
        <w:tab w:val="clear" w:pos="794"/>
        <w:tab w:val="left" w:pos="1361"/>
      </w:tabs>
      <w:spacing w:before="200"/>
      <w:ind w:left="0" w:firstLine="0"/>
      <w:outlineLvl w:val="6"/>
    </w:pPr>
  </w:style>
  <w:style w:type="paragraph" w:styleId="Heading8">
    <w:name w:val="heading 8"/>
    <w:basedOn w:val="Heading3"/>
    <w:next w:val="Normal"/>
    <w:qFormat/>
    <w:pPr>
      <w:tabs>
        <w:tab w:val="clear" w:pos="794"/>
        <w:tab w:val="left" w:pos="1418"/>
      </w:tabs>
      <w:ind w:left="1418" w:hanging="1418"/>
      <w:outlineLvl w:val="7"/>
    </w:pPr>
  </w:style>
  <w:style w:type="paragraph" w:styleId="Heading9">
    <w:name w:val="heading 9"/>
    <w:basedOn w:val="Heading3"/>
    <w:next w:val="Normal"/>
    <w:qFormat/>
    <w:pPr>
      <w:tabs>
        <w:tab w:val="clear" w:pos="794"/>
        <w:tab w:val="left" w:pos="1531"/>
      </w:tabs>
      <w:ind w:left="1531" w:hanging="1531"/>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Line1">
    <w:name w:val="Line_1"/>
    <w:basedOn w:val="Normal"/>
    <w:next w:val="Normal"/>
    <w:pPr>
      <w:pBdr>
        <w:top w:val="dashed" w:sz="6" w:space="1" w:color="auto"/>
      </w:pBdr>
      <w:tabs>
        <w:tab w:val="clear" w:pos="794"/>
        <w:tab w:val="clear" w:pos="1191"/>
        <w:tab w:val="clear" w:pos="1588"/>
        <w:tab w:val="clear" w:pos="1985"/>
      </w:tabs>
      <w:spacing w:before="240"/>
      <w:ind w:left="3997" w:right="3997"/>
      <w:jc w:val="center"/>
    </w:pPr>
  </w:style>
  <w:style w:type="paragraph" w:styleId="TOC8">
    <w:name w:val="toc 8"/>
    <w:basedOn w:val="Normal"/>
    <w:next w:val="Normal"/>
    <w:semiHidden/>
    <w:pPr>
      <w:tabs>
        <w:tab w:val="left" w:pos="7711"/>
        <w:tab w:val="right" w:leader="dot" w:pos="9725"/>
      </w:tabs>
      <w:ind w:left="6350"/>
    </w:pPr>
  </w:style>
  <w:style w:type="paragraph" w:styleId="TOC7">
    <w:name w:val="toc 7"/>
    <w:basedOn w:val="TOC2"/>
    <w:next w:val="Normal"/>
    <w:semiHidden/>
    <w:pPr>
      <w:spacing w:before="20"/>
      <w:ind w:right="652"/>
    </w:pPr>
  </w:style>
  <w:style w:type="paragraph" w:styleId="TOC6">
    <w:name w:val="toc 6"/>
    <w:basedOn w:val="Normal"/>
    <w:next w:val="Normal"/>
    <w:semiHidden/>
    <w:pPr>
      <w:tabs>
        <w:tab w:val="left" w:pos="5104"/>
        <w:tab w:val="right" w:leader="dot" w:pos="9725"/>
      </w:tabs>
      <w:ind w:left="3969"/>
    </w:pPr>
  </w:style>
  <w:style w:type="paragraph" w:styleId="TOC5">
    <w:name w:val="toc 5"/>
    <w:basedOn w:val="Normal"/>
    <w:next w:val="Normal"/>
    <w:semiHidden/>
    <w:pPr>
      <w:tabs>
        <w:tab w:val="left" w:pos="3969"/>
        <w:tab w:val="right" w:leader="dot" w:pos="9725"/>
      </w:tabs>
      <w:ind w:left="2948"/>
    </w:pPr>
  </w:style>
  <w:style w:type="paragraph" w:styleId="TOC4">
    <w:name w:val="toc 4"/>
    <w:basedOn w:val="TOC3"/>
    <w:next w:val="TOC5"/>
    <w:semiHidden/>
    <w:pPr>
      <w:tabs>
        <w:tab w:val="left" w:pos="2948"/>
      </w:tabs>
      <w:ind w:left="2948" w:hanging="907"/>
    </w:pPr>
  </w:style>
  <w:style w:type="paragraph" w:styleId="TOC3">
    <w:name w:val="toc 3"/>
    <w:basedOn w:val="TOC2"/>
    <w:next w:val="TOC4"/>
    <w:semiHidden/>
    <w:pPr>
      <w:tabs>
        <w:tab w:val="clear" w:pos="1247"/>
        <w:tab w:val="left" w:pos="2041"/>
      </w:tabs>
      <w:spacing w:before="20"/>
      <w:ind w:left="2041" w:hanging="794"/>
    </w:pPr>
  </w:style>
  <w:style w:type="paragraph" w:styleId="TOC2">
    <w:name w:val="toc 2"/>
    <w:basedOn w:val="TOC1"/>
    <w:next w:val="TOC3"/>
    <w:semiHidden/>
    <w:pPr>
      <w:tabs>
        <w:tab w:val="clear" w:pos="567"/>
        <w:tab w:val="left" w:pos="1247"/>
      </w:tabs>
      <w:spacing w:before="40"/>
      <w:ind w:left="1247" w:hanging="680"/>
    </w:pPr>
  </w:style>
  <w:style w:type="paragraph" w:styleId="TOC1">
    <w:name w:val="toc 1"/>
    <w:basedOn w:val="Normal"/>
    <w:next w:val="TOC2"/>
    <w:semiHidden/>
    <w:pPr>
      <w:keepNext/>
      <w:tabs>
        <w:tab w:val="clear" w:pos="794"/>
        <w:tab w:val="clear" w:pos="1191"/>
        <w:tab w:val="clear" w:pos="1588"/>
        <w:tab w:val="clear" w:pos="1985"/>
        <w:tab w:val="left" w:pos="567"/>
        <w:tab w:val="right" w:leader="dot" w:pos="9072"/>
        <w:tab w:val="right" w:pos="9725"/>
      </w:tabs>
      <w:spacing w:before="120"/>
      <w:ind w:left="567" w:right="653" w:hanging="567"/>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emiHidden/>
  </w:style>
  <w:style w:type="paragraph" w:styleId="IndexHeading">
    <w:name w:val="index heading"/>
    <w:basedOn w:val="Normal"/>
    <w:next w:val="Index1"/>
    <w:semiHidden/>
  </w:style>
  <w:style w:type="paragraph" w:styleId="Footer">
    <w:name w:val="footer"/>
    <w:basedOn w:val="Normal"/>
    <w:semiHidden/>
    <w:pPr>
      <w:tabs>
        <w:tab w:val="clear" w:pos="794"/>
        <w:tab w:val="clear" w:pos="1191"/>
        <w:tab w:val="clear" w:pos="1588"/>
        <w:tab w:val="clear" w:pos="1985"/>
        <w:tab w:val="center" w:pos="4849"/>
        <w:tab w:val="right" w:pos="9696"/>
      </w:tabs>
      <w:jc w:val="left"/>
    </w:pPr>
    <w:rPr>
      <w:b/>
    </w:rPr>
  </w:style>
  <w:style w:type="paragraph" w:styleId="Header">
    <w:name w:val="header"/>
    <w:basedOn w:val="Normal"/>
    <w:semiHidden/>
    <w:pPr>
      <w:tabs>
        <w:tab w:val="clear" w:pos="794"/>
        <w:tab w:val="clear" w:pos="1191"/>
        <w:tab w:val="clear" w:pos="1588"/>
        <w:tab w:val="clear" w:pos="1985"/>
        <w:tab w:val="center" w:pos="4849"/>
        <w:tab w:val="right" w:pos="9696"/>
      </w:tabs>
    </w:pPr>
    <w:rPr>
      <w:b/>
    </w:rPr>
  </w:style>
  <w:style w:type="character" w:styleId="FootnoteReference">
    <w:name w:val="footnote reference"/>
    <w:basedOn w:val="DefaultParagraphFont"/>
    <w:semiHidden/>
    <w:rPr>
      <w:position w:val="4"/>
      <w:sz w:val="16"/>
    </w:rPr>
  </w:style>
  <w:style w:type="paragraph" w:styleId="FootnoteText">
    <w:name w:val="footnote text"/>
    <w:basedOn w:val="Normal"/>
    <w:semiHidden/>
    <w:pPr>
      <w:tabs>
        <w:tab w:val="clear" w:pos="794"/>
        <w:tab w:val="clear" w:pos="1191"/>
        <w:tab w:val="clear" w:pos="1588"/>
        <w:tab w:val="clear" w:pos="1985"/>
        <w:tab w:val="left" w:pos="313"/>
      </w:tabs>
    </w:pPr>
    <w:rPr>
      <w:sz w:val="18"/>
    </w:rPr>
  </w:style>
  <w:style w:type="paragraph" w:styleId="NormalIndent">
    <w:name w:val="Normal Indent"/>
    <w:basedOn w:val="Normal"/>
    <w:semiHidden/>
    <w:pPr>
      <w:ind w:left="60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0"/>
      <w:jc w:val="left"/>
    </w:pPr>
    <w:rPr>
      <w:noProof/>
    </w:rPr>
  </w:style>
  <w:style w:type="paragraph" w:customStyle="1" w:styleId="TableLegend">
    <w:name w:val="Table_Legend"/>
    <w:basedOn w:val="Normal"/>
    <w:next w:val="Normal"/>
    <w:pPr>
      <w:keepNext/>
      <w:spacing w:before="86" w:line="199" w:lineRule="exact"/>
      <w:ind w:left="-85" w:right="-85"/>
    </w:pPr>
    <w:rPr>
      <w:sz w:val="18"/>
    </w:rPr>
  </w:style>
  <w:style w:type="paragraph" w:customStyle="1" w:styleId="TableTitle">
    <w:name w:val="Table_Title"/>
    <w:basedOn w:val="Table"/>
    <w:next w:val="Blanc"/>
    <w:pPr>
      <w:spacing w:before="0"/>
    </w:pPr>
    <w:rPr>
      <w:b/>
    </w:rPr>
  </w:style>
  <w:style w:type="paragraph" w:customStyle="1" w:styleId="TableText">
    <w:name w:val="Table_Text"/>
    <w:basedOn w:val="TableLegend"/>
    <w:pPr>
      <w:spacing w:before="100" w:after="100" w:line="190" w:lineRule="exact"/>
      <w:ind w:left="0" w:right="0"/>
    </w:pPr>
  </w:style>
  <w:style w:type="paragraph" w:customStyle="1" w:styleId="enumlev1">
    <w:name w:val="enumlev1"/>
    <w:basedOn w:val="Normal"/>
    <w:next w:val="Normal"/>
    <w:pPr>
      <w:tabs>
        <w:tab w:val="clear" w:pos="794"/>
        <w:tab w:val="clear" w:pos="1191"/>
        <w:tab w:val="clear" w:pos="1588"/>
        <w:tab w:val="clear" w:pos="1985"/>
        <w:tab w:val="left" w:pos="397"/>
      </w:tabs>
      <w:spacing w:before="86"/>
      <w:ind w:left="397" w:hanging="397"/>
    </w:pPr>
  </w:style>
  <w:style w:type="paragraph" w:customStyle="1" w:styleId="enumlev2">
    <w:name w:val="enumlev2"/>
    <w:basedOn w:val="enumlev1"/>
    <w:pPr>
      <w:tabs>
        <w:tab w:val="clear" w:pos="397"/>
        <w:tab w:val="left" w:pos="794"/>
      </w:tabs>
      <w:ind w:left="794"/>
    </w:pPr>
  </w:style>
  <w:style w:type="paragraph" w:customStyle="1" w:styleId="enumlev3">
    <w:name w:val="enumlev3"/>
    <w:basedOn w:val="enumlev2"/>
    <w:pPr>
      <w:tabs>
        <w:tab w:val="clear" w:pos="794"/>
        <w:tab w:val="left" w:pos="1191"/>
      </w:tabs>
      <w:ind w:left="1191"/>
    </w:pPr>
  </w:style>
  <w:style w:type="paragraph" w:customStyle="1" w:styleId="Table">
    <w:name w:val="Table_#"/>
    <w:basedOn w:val="Normal"/>
    <w:next w:val="TableTitle"/>
    <w:pPr>
      <w:keepNext/>
      <w:tabs>
        <w:tab w:val="clear" w:pos="794"/>
        <w:tab w:val="clear" w:pos="1191"/>
        <w:tab w:val="clear" w:pos="1588"/>
        <w:tab w:val="clear" w:pos="1985"/>
      </w:tabs>
      <w:spacing w:before="567" w:after="113"/>
      <w:jc w:val="center"/>
    </w:pPr>
    <w:rPr>
      <w:sz w:val="18"/>
    </w:rPr>
  </w:style>
  <w:style w:type="paragraph" w:customStyle="1" w:styleId="Figure">
    <w:name w:val="Figure"/>
    <w:basedOn w:val="Normal"/>
    <w:next w:val="Normal"/>
    <w:pPr>
      <w:keepNext/>
      <w:keepLines/>
      <w:spacing w:before="240"/>
      <w:jc w:val="center"/>
    </w:pPr>
  </w:style>
  <w:style w:type="paragraph" w:customStyle="1" w:styleId="FigureLegend">
    <w:name w:val="Figure_Legend"/>
    <w:basedOn w:val="TableLegend"/>
    <w:next w:val="FigureRemark"/>
    <w:pPr>
      <w:jc w:val="left"/>
    </w:pPr>
  </w:style>
  <w:style w:type="paragraph" w:customStyle="1" w:styleId="Figure0">
    <w:name w:val="Figure_#"/>
    <w:basedOn w:val="Table"/>
    <w:next w:val="FigureTitle"/>
  </w:style>
  <w:style w:type="paragraph" w:customStyle="1" w:styleId="FigureTitle">
    <w:name w:val="Figure_Title"/>
    <w:basedOn w:val="TableTitle"/>
    <w:next w:val="FigureLegend"/>
    <w:pPr>
      <w:spacing w:after="240"/>
    </w:pPr>
  </w:style>
  <w:style w:type="paragraph" w:customStyle="1" w:styleId="Annex">
    <w:name w:val="Annex_#"/>
    <w:basedOn w:val="Normal"/>
    <w:next w:val="AnnexRef"/>
    <w:pPr>
      <w:tabs>
        <w:tab w:val="clear" w:pos="794"/>
        <w:tab w:val="clear" w:pos="1191"/>
        <w:tab w:val="clear" w:pos="1588"/>
        <w:tab w:val="clear" w:pos="1985"/>
        <w:tab w:val="center" w:pos="4849"/>
        <w:tab w:val="right" w:pos="9696"/>
      </w:tabs>
      <w:spacing w:before="720" w:after="68"/>
      <w:jc w:val="center"/>
    </w:pPr>
  </w:style>
  <w:style w:type="paragraph" w:customStyle="1" w:styleId="AnnexRef">
    <w:name w:val="Annex_Ref"/>
    <w:basedOn w:val="Normal"/>
    <w:next w:val="AnnexTitle"/>
    <w:pPr>
      <w:tabs>
        <w:tab w:val="clear" w:pos="794"/>
        <w:tab w:val="clear" w:pos="1191"/>
        <w:tab w:val="clear" w:pos="1588"/>
        <w:tab w:val="clear" w:pos="1985"/>
        <w:tab w:val="center" w:pos="4849"/>
        <w:tab w:val="right" w:pos="9696"/>
      </w:tabs>
      <w:spacing w:before="0"/>
      <w:jc w:val="center"/>
    </w:pPr>
  </w:style>
  <w:style w:type="paragraph" w:customStyle="1" w:styleId="AnnexTitle">
    <w:name w:val="Annex_Title"/>
    <w:basedOn w:val="Normal"/>
    <w:next w:val="Normalaftertitle"/>
    <w:pPr>
      <w:tabs>
        <w:tab w:val="clear" w:pos="794"/>
        <w:tab w:val="clear" w:pos="1191"/>
        <w:tab w:val="clear" w:pos="1588"/>
        <w:tab w:val="clear" w:pos="1985"/>
        <w:tab w:val="left" w:pos="4849"/>
        <w:tab w:val="right" w:pos="9696"/>
      </w:tabs>
      <w:spacing w:after="200"/>
      <w:jc w:val="center"/>
    </w:pPr>
    <w:rPr>
      <w:b/>
      <w:sz w:val="24"/>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keepNext/>
      <w:keepLines/>
      <w:tabs>
        <w:tab w:val="clear" w:pos="794"/>
        <w:tab w:val="clear" w:pos="1191"/>
        <w:tab w:val="clear" w:pos="1588"/>
        <w:tab w:val="clear" w:pos="1985"/>
      </w:tabs>
      <w:spacing w:before="600"/>
      <w:jc w:val="center"/>
    </w:pPr>
    <w:rPr>
      <w:sz w:val="18"/>
    </w:rPr>
  </w:style>
  <w:style w:type="paragraph" w:customStyle="1" w:styleId="RefText">
    <w:name w:val="Ref_Text"/>
    <w:basedOn w:val="Normal"/>
    <w:pPr>
      <w:ind w:left="567" w:hanging="567"/>
    </w:pPr>
    <w:rPr>
      <w:sz w:val="18"/>
    </w:rPr>
  </w:style>
  <w:style w:type="paragraph" w:customStyle="1" w:styleId="listitem">
    <w:name w:val="listitem"/>
    <w:basedOn w:val="Normal"/>
    <w:pPr>
      <w:keepLines/>
      <w:spacing w:before="0"/>
      <w:jc w:val="left"/>
    </w:pPr>
  </w:style>
  <w:style w:type="paragraph" w:customStyle="1" w:styleId="Rec">
    <w:name w:val="Rec_#"/>
    <w:basedOn w:val="Normal"/>
    <w:next w:val="RecTitle"/>
    <w:pPr>
      <w:keepNext/>
      <w:keepLines/>
      <w:tabs>
        <w:tab w:val="clear" w:pos="794"/>
        <w:tab w:val="clear" w:pos="1191"/>
        <w:tab w:val="clear" w:pos="1588"/>
        <w:tab w:val="clear" w:pos="1985"/>
        <w:tab w:val="center" w:pos="4849"/>
        <w:tab w:val="right" w:pos="9696"/>
      </w:tabs>
      <w:spacing w:before="720"/>
      <w:jc w:val="center"/>
    </w:pPr>
  </w:style>
  <w:style w:type="paragraph" w:customStyle="1" w:styleId="RecTitle">
    <w:name w:val="Rec_Title"/>
    <w:basedOn w:val="Rec"/>
    <w:next w:val="RecTitleRef"/>
    <w:pPr>
      <w:spacing w:before="180"/>
    </w:pPr>
    <w:rPr>
      <w:b/>
    </w:rPr>
  </w:style>
  <w:style w:type="paragraph" w:customStyle="1" w:styleId="Normalaftertitle">
    <w:name w:val="Normal after title"/>
    <w:basedOn w:val="Normal"/>
    <w:next w:val="Normal"/>
    <w:pPr>
      <w:spacing w:before="480"/>
    </w:pPr>
  </w:style>
  <w:style w:type="paragraph" w:customStyle="1" w:styleId="call">
    <w:name w:val="call"/>
    <w:basedOn w:val="Normal"/>
    <w:next w:val="Normal"/>
    <w:pPr>
      <w:keepNext/>
      <w:keepLines/>
      <w:tabs>
        <w:tab w:val="clear" w:pos="1191"/>
        <w:tab w:val="clear" w:pos="1588"/>
        <w:tab w:val="clear" w:pos="1985"/>
      </w:tabs>
      <w:spacing w:before="227"/>
      <w:ind w:left="794"/>
      <w:jc w:val="left"/>
    </w:pPr>
    <w:rPr>
      <w:i/>
    </w:rPr>
  </w:style>
  <w:style w:type="paragraph" w:customStyle="1" w:styleId="deftitle">
    <w:name w:val="def title"/>
    <w:basedOn w:val="Heading2"/>
    <w:next w:val="deftexte"/>
    <w:pPr>
      <w:outlineLvl w:val="9"/>
    </w:pPr>
  </w:style>
  <w:style w:type="paragraph" w:customStyle="1" w:styleId="deftexte">
    <w:name w:val="def texte"/>
    <w:basedOn w:val="Normal"/>
  </w:style>
  <w:style w:type="paragraph" w:customStyle="1" w:styleId="Equation">
    <w:name w:val="Equation"/>
    <w:basedOn w:val="Normal"/>
    <w:pPr>
      <w:tabs>
        <w:tab w:val="clear" w:pos="1191"/>
        <w:tab w:val="clear" w:pos="1588"/>
        <w:tab w:val="clear" w:pos="1985"/>
        <w:tab w:val="center" w:pos="4849"/>
        <w:tab w:val="right" w:pos="9696"/>
      </w:tabs>
      <w:spacing w:before="140" w:after="40"/>
      <w:jc w:val="left"/>
    </w:pPr>
    <w:rPr>
      <w:sz w:val="22"/>
    </w:rPr>
  </w:style>
  <w:style w:type="paragraph" w:customStyle="1" w:styleId="Section">
    <w:name w:val="Section #"/>
    <w:basedOn w:val="Normal"/>
    <w:next w:val="Sectiontitle"/>
    <w:pPr>
      <w:keepNext/>
      <w:keepLines/>
      <w:pageBreakBefore/>
      <w:tabs>
        <w:tab w:val="clear" w:pos="794"/>
        <w:tab w:val="clear" w:pos="1191"/>
        <w:tab w:val="clear" w:pos="1588"/>
        <w:tab w:val="clear" w:pos="1985"/>
        <w:tab w:val="left" w:pos="1474"/>
      </w:tabs>
      <w:spacing w:before="0"/>
      <w:ind w:left="1474" w:hanging="1474"/>
      <w:jc w:val="left"/>
    </w:pPr>
  </w:style>
  <w:style w:type="paragraph" w:customStyle="1" w:styleId="Sectiontitle">
    <w:name w:val="Section title"/>
    <w:basedOn w:val="Section"/>
    <w:next w:val="Rec"/>
    <w:pPr>
      <w:pageBreakBefore w:val="0"/>
      <w:spacing w:before="240"/>
    </w:pPr>
    <w:rPr>
      <w:i/>
    </w:rPr>
  </w:style>
  <w:style w:type="paragraph" w:customStyle="1" w:styleId="RecTitleRef">
    <w:name w:val="Rec_Title/Ref"/>
    <w:basedOn w:val="RecTitle"/>
    <w:next w:val="RecTitleDate"/>
    <w:pPr>
      <w:spacing w:before="136"/>
    </w:pPr>
    <w:rPr>
      <w:b w:val="0"/>
    </w:rPr>
  </w:style>
  <w:style w:type="paragraph" w:customStyle="1" w:styleId="RecTitleDate">
    <w:name w:val="Rec_Title/Date"/>
    <w:basedOn w:val="RecTitleRef"/>
    <w:next w:val="headfoot"/>
    <w:pPr>
      <w:tabs>
        <w:tab w:val="clear" w:pos="4849"/>
      </w:tabs>
      <w:jc w:val="right"/>
    </w:pPr>
  </w:style>
  <w:style w:type="paragraph" w:customStyle="1" w:styleId="heading">
    <w:name w:val="heading"/>
    <w:basedOn w:val="Heading2"/>
    <w:pPr>
      <w:tabs>
        <w:tab w:val="left" w:pos="1191"/>
        <w:tab w:val="left" w:pos="1588"/>
      </w:tabs>
      <w:outlineLvl w:val="9"/>
    </w:pPr>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style>
  <w:style w:type="paragraph" w:customStyle="1" w:styleId="headfoot">
    <w:name w:val="head_foot"/>
    <w:basedOn w:val="Normal"/>
    <w:next w:val="Normalaftertitle"/>
    <w:pPr>
      <w:tabs>
        <w:tab w:val="clear" w:pos="794"/>
        <w:tab w:val="clear" w:pos="1191"/>
        <w:tab w:val="clear" w:pos="1588"/>
        <w:tab w:val="clear" w:pos="1985"/>
      </w:tabs>
      <w:spacing w:before="0"/>
    </w:pPr>
    <w:rPr>
      <w:color w:val="FF0000"/>
      <w:sz w:val="8"/>
    </w:rPr>
  </w:style>
  <w:style w:type="paragraph" w:customStyle="1" w:styleId="Part">
    <w:name w:val="Part_#"/>
    <w:basedOn w:val="Annex"/>
    <w:next w:val="PartRef"/>
  </w:style>
  <w:style w:type="paragraph" w:customStyle="1" w:styleId="PartRef">
    <w:name w:val="Part_Ref"/>
    <w:basedOn w:val="AnnexRef"/>
  </w:style>
  <w:style w:type="paragraph" w:customStyle="1" w:styleId="PartTitle">
    <w:name w:val="Part_Title"/>
    <w:basedOn w:val="AnnexTitle"/>
    <w:next w:val="Normalaftertitle"/>
  </w:style>
  <w:style w:type="paragraph" w:customStyle="1" w:styleId="Rep">
    <w:name w:val="Rep_#"/>
    <w:basedOn w:val="Rec"/>
    <w:next w:val="RepTitle"/>
  </w:style>
  <w:style w:type="paragraph" w:customStyle="1" w:styleId="RepTitle">
    <w:name w:val="Rep_Title"/>
    <w:basedOn w:val="RecTitle"/>
    <w:next w:val="RepTitleRef"/>
  </w:style>
  <w:style w:type="paragraph" w:customStyle="1" w:styleId="RepTitleDate">
    <w:name w:val="Rep_Title/Date"/>
    <w:basedOn w:val="RecTitleDate"/>
    <w:next w:val="headfoot"/>
  </w:style>
  <w:style w:type="paragraph" w:customStyle="1" w:styleId="RepTitleRef">
    <w:name w:val="Rep_Title/Ref"/>
    <w:basedOn w:val="RecTitleRef"/>
    <w:next w:val="RepTitleDate"/>
  </w:style>
  <w:style w:type="paragraph" w:customStyle="1" w:styleId="RefDoc">
    <w:name w:val="Ref_Doc"/>
    <w:basedOn w:val="RefText"/>
    <w:next w:val="RefText"/>
    <w:pPr>
      <w:spacing w:before="227"/>
    </w:pPr>
    <w:rPr>
      <w:i/>
    </w:rPr>
  </w:style>
  <w:style w:type="paragraph" w:customStyle="1" w:styleId="Question">
    <w:name w:val="Question_#"/>
    <w:basedOn w:val="Rec"/>
    <w:next w:val="QuestionTitle"/>
    <w:pPr>
      <w:spacing w:before="0"/>
    </w:pPr>
  </w:style>
  <w:style w:type="paragraph" w:customStyle="1" w:styleId="QuestionTitle">
    <w:name w:val="Question_Title"/>
    <w:basedOn w:val="RecTitle"/>
    <w:next w:val="QuestionTitleRef"/>
  </w:style>
  <w:style w:type="paragraph" w:customStyle="1" w:styleId="QuestionTitleDate">
    <w:name w:val="Question_Title/Date"/>
    <w:basedOn w:val="RecTitleDate"/>
    <w:next w:val="headfoot"/>
  </w:style>
  <w:style w:type="paragraph" w:customStyle="1" w:styleId="QuestionTitleRef">
    <w:name w:val="Question_Title/Ref"/>
    <w:basedOn w:val="RecTitleRef"/>
    <w:next w:val="QuestionTitleDate"/>
  </w:style>
  <w:style w:type="paragraph" w:customStyle="1" w:styleId="Res">
    <w:name w:val="Res_#"/>
    <w:basedOn w:val="Rec"/>
    <w:next w:val="ResTitle"/>
  </w:style>
  <w:style w:type="paragraph" w:customStyle="1" w:styleId="ResTitle">
    <w:name w:val="Res_Title"/>
    <w:basedOn w:val="RecTitle"/>
    <w:next w:val="ResTitleRef"/>
  </w:style>
  <w:style w:type="paragraph" w:customStyle="1" w:styleId="ResTitleDate">
    <w:name w:val="Res_Title/Date"/>
    <w:basedOn w:val="RecTitleDate"/>
    <w:next w:val="headfoot"/>
  </w:style>
  <w:style w:type="paragraph" w:customStyle="1" w:styleId="ResTitleRef">
    <w:name w:val="Res_Title/Ref"/>
    <w:basedOn w:val="RecTitleRef"/>
    <w:next w:val="ResTitleDate"/>
  </w:style>
  <w:style w:type="paragraph" w:customStyle="1" w:styleId="Tablefin">
    <w:name w:val="Table_fin"/>
    <w:basedOn w:val="Normal"/>
    <w:next w:val="Normal"/>
    <w:pPr>
      <w:spacing w:before="284"/>
    </w:pPr>
  </w:style>
  <w:style w:type="paragraph" w:customStyle="1" w:styleId="Note">
    <w:name w:val="Note"/>
    <w:basedOn w:val="Normal"/>
    <w:next w:val="Normal"/>
    <w:pPr>
      <w:tabs>
        <w:tab w:val="clear" w:pos="794"/>
        <w:tab w:val="clear" w:pos="1191"/>
        <w:tab w:val="clear" w:pos="1588"/>
        <w:tab w:val="clear" w:pos="1985"/>
      </w:tabs>
      <w:spacing w:before="80"/>
    </w:pPr>
  </w:style>
  <w:style w:type="paragraph" w:customStyle="1" w:styleId="Style">
    <w:name w:val="Style"/>
    <w:basedOn w:val="Normal"/>
    <w:pPr>
      <w:tabs>
        <w:tab w:val="center" w:pos="4196"/>
        <w:tab w:val="left" w:pos="9242"/>
        <w:tab w:val="center" w:pos="12587"/>
      </w:tabs>
      <w:spacing w:before="340" w:line="318" w:lineRule="atLeast"/>
      <w:ind w:right="618"/>
    </w:pPr>
    <w:rPr>
      <w:i/>
      <w:sz w:val="28"/>
    </w:rPr>
  </w:style>
  <w:style w:type="paragraph" w:customStyle="1" w:styleId="Sectionsous">
    <w:name w:val="Section_sous"/>
    <w:basedOn w:val="Section"/>
    <w:next w:val="Rec"/>
    <w:pPr>
      <w:pageBreakBefore w:val="0"/>
      <w:spacing w:before="240"/>
    </w:pPr>
  </w:style>
  <w:style w:type="paragraph" w:customStyle="1" w:styleId="CCI">
    <w:name w:val="CCI"/>
    <w:basedOn w:val="Normal"/>
    <w:next w:val="call"/>
    <w:pPr>
      <w:keepNext/>
      <w:keepLines/>
      <w:tabs>
        <w:tab w:val="clear" w:pos="794"/>
        <w:tab w:val="clear" w:pos="1191"/>
        <w:tab w:val="clear" w:pos="1588"/>
        <w:tab w:val="clear" w:pos="1985"/>
      </w:tabs>
      <w:spacing w:before="199"/>
    </w:pPr>
  </w:style>
  <w:style w:type="paragraph" w:customStyle="1" w:styleId="FigureRemark">
    <w:name w:val="Figure_Remark"/>
    <w:basedOn w:val="TableLegend"/>
    <w:pPr>
      <w:tabs>
        <w:tab w:val="clear" w:pos="794"/>
        <w:tab w:val="clear" w:pos="1191"/>
        <w:tab w:val="clear" w:pos="1588"/>
        <w:tab w:val="clear" w:pos="1985"/>
        <w:tab w:val="center" w:pos="284"/>
      </w:tabs>
      <w:spacing w:before="142"/>
    </w:p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Fig">
    <w:name w:val="Fig"/>
    <w:basedOn w:val="Figure"/>
    <w:next w:val="Fig0"/>
    <w:pPr>
      <w:keepNext w:val="0"/>
      <w:keepLines w:val="0"/>
      <w:tabs>
        <w:tab w:val="left" w:pos="794"/>
        <w:tab w:val="left" w:pos="1191"/>
        <w:tab w:val="left" w:pos="1588"/>
        <w:tab w:val="left" w:pos="1985"/>
      </w:tabs>
      <w:spacing w:before="136"/>
    </w:pPr>
    <w:rPr>
      <w:lang w:val="en-US"/>
    </w:rPr>
  </w:style>
  <w:style w:type="paragraph" w:customStyle="1" w:styleId="Fig0">
    <w:name w:val="Fig_#"/>
    <w:basedOn w:val="Fig"/>
    <w:next w:val="Normal"/>
    <w:pPr>
      <w:jc w:val="left"/>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BR_R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A952-1263-45FE-A4B4-1968171A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BR_REC.DOT</Template>
  <TotalTime>3</TotalTime>
  <Pages>16</Pages>
  <Words>7775</Words>
  <Characters>39887</Characters>
  <Application>Microsoft Office Word</Application>
  <DocSecurity>0</DocSecurity>
  <Lines>997</Lines>
  <Paragraphs>554</Paragraphs>
  <ScaleCrop>false</ScaleCrop>
  <HeadingPairs>
    <vt:vector size="2" baseType="variant">
      <vt:variant>
        <vt:lpstr>Title</vt:lpstr>
      </vt:variant>
      <vt:variant>
        <vt:i4>1</vt:i4>
      </vt:variant>
    </vt:vector>
  </HeadingPairs>
  <TitlesOfParts>
    <vt:vector size="1" baseType="lpstr">
      <vt:lpstr>SM.1049-1 - Méthode de gestion du spectre à utiliser pour faciliter le processus d'assignation de fréquence aux services de terre dans les zones frontalières</vt:lpstr>
    </vt:vector>
  </TitlesOfParts>
  <Manager>PV..1677</Manager>
  <Company>ITU</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SM.1049-1 - Méthode de gestion du spectre à utiliser pour faciliter le processus d'assignation de fréquence aux services de terre dans les zones frontalières</dc:title>
  <dc:subject>Série SM = Gestion du spectre</dc:subject>
  <dc:creator>Bureau des radiocommunications de l'UIT (BR)</dc:creator>
  <cp:keywords>SM, 1049-1</cp:keywords>
  <dc:description>Saisie:     10.9.96/MD_x000d_
MEP:       13.9.96/MD_x000d_
BAT.        2.10.96/MD_x000d_
Corr. Ult.   11.10.96/YA_x000d_
WW2/WW7                  14.11.97     / PV</dc:description>
  <cp:lastModifiedBy>Gachet, Christelle</cp:lastModifiedBy>
  <cp:revision>3</cp:revision>
  <cp:lastPrinted>1996-10-03T07:18:00Z</cp:lastPrinted>
  <dcterms:created xsi:type="dcterms:W3CDTF">2020-04-23T13:54:00Z</dcterms:created>
  <dcterms:modified xsi:type="dcterms:W3CDTF">2020-04-23T13:57:00Z</dcterms:modified>
  <cp:category>\\WW7//     Folios:      1    à     16</cp:category>
</cp:coreProperties>
</file>