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167" w:rsidRPr="00575CB8" w:rsidRDefault="00256167" w:rsidP="00256167">
      <w:pPr>
        <w:rPr>
          <w:lang w:val="en-US"/>
        </w:rPr>
      </w:pPr>
    </w:p>
    <w:p w:rsidR="00256167" w:rsidRDefault="00256167" w:rsidP="00256167"/>
    <w:p w:rsidR="00256167" w:rsidRDefault="00256167" w:rsidP="00256167"/>
    <w:p w:rsidR="00256167" w:rsidRDefault="00256167" w:rsidP="00256167"/>
    <w:p w:rsidR="00256167" w:rsidRDefault="00256167" w:rsidP="00256167"/>
    <w:p w:rsidR="00256167" w:rsidRDefault="00256167" w:rsidP="00256167"/>
    <w:p w:rsidR="00256167" w:rsidRDefault="00256167" w:rsidP="00256167"/>
    <w:p w:rsidR="00256167" w:rsidRDefault="00256167" w:rsidP="00256167"/>
    <w:p w:rsidR="00256167" w:rsidRDefault="00256167" w:rsidP="00256167"/>
    <w:p w:rsidR="00256167" w:rsidRDefault="00256167" w:rsidP="00256167"/>
    <w:p w:rsidR="00256167" w:rsidRDefault="00256167" w:rsidP="00256167"/>
    <w:p w:rsidR="00256167" w:rsidRDefault="00256167" w:rsidP="00256167"/>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56167" w:rsidRPr="00256167" w:rsidTr="005B580A">
        <w:tc>
          <w:tcPr>
            <w:tcW w:w="10089" w:type="dxa"/>
          </w:tcPr>
          <w:p w:rsidR="00256167" w:rsidRPr="0010336F" w:rsidRDefault="00256167" w:rsidP="005B580A">
            <w:pPr>
              <w:spacing w:before="380" w:line="280" w:lineRule="exact"/>
              <w:jc w:val="right"/>
              <w:rPr>
                <w:rFonts w:ascii="Tahoma" w:hAnsi="Tahoma" w:cs="Tahoma"/>
                <w:b/>
                <w:bCs/>
                <w:iCs/>
                <w:color w:val="243285"/>
                <w:sz w:val="32"/>
                <w:szCs w:val="32"/>
                <w:lang w:val="en-US"/>
              </w:rPr>
            </w:pPr>
          </w:p>
          <w:p w:rsidR="00256167" w:rsidRPr="0010336F" w:rsidRDefault="00256167" w:rsidP="0025616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1046-2</w:t>
            </w:r>
          </w:p>
          <w:p w:rsidR="00256167" w:rsidRPr="0010336F" w:rsidRDefault="00256167" w:rsidP="0025616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2006</w:t>
            </w:r>
            <w:r w:rsidRPr="0010336F">
              <w:rPr>
                <w:rFonts w:ascii="Tahoma" w:hAnsi="Tahoma" w:cs="Tahoma"/>
                <w:b/>
                <w:bCs/>
                <w:iCs/>
                <w:color w:val="243285"/>
                <w:szCs w:val="24"/>
                <w:lang w:val="es-ES_tradnl"/>
              </w:rPr>
              <w:t>)</w:t>
            </w:r>
          </w:p>
        </w:tc>
      </w:tr>
      <w:tr w:rsidR="00256167" w:rsidRPr="00AC38FC" w:rsidTr="005B580A">
        <w:tc>
          <w:tcPr>
            <w:tcW w:w="10089" w:type="dxa"/>
          </w:tcPr>
          <w:p w:rsidR="00256167" w:rsidRPr="0010336F" w:rsidRDefault="00256167" w:rsidP="005B580A">
            <w:pPr>
              <w:spacing w:before="80" w:line="500" w:lineRule="exact"/>
              <w:jc w:val="right"/>
              <w:rPr>
                <w:rFonts w:ascii="Tahoma" w:hAnsi="Tahoma" w:cs="Tahoma"/>
                <w:b/>
                <w:bCs/>
                <w:iCs/>
                <w:color w:val="243285"/>
                <w:sz w:val="44"/>
                <w:szCs w:val="44"/>
                <w:lang w:val="es-ES_tradnl"/>
              </w:rPr>
            </w:pPr>
          </w:p>
          <w:p w:rsidR="00256167" w:rsidRPr="0010336F" w:rsidRDefault="00256167" w:rsidP="00256167">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Definición de la eficacia en la utilización</w:t>
            </w:r>
            <w:r>
              <w:rPr>
                <w:rFonts w:ascii="Tahoma" w:hAnsi="Tahoma" w:cs="Tahoma"/>
                <w:b/>
                <w:bCs/>
                <w:iCs/>
                <w:color w:val="243285"/>
                <w:sz w:val="44"/>
                <w:szCs w:val="44"/>
                <w:lang w:val="es-ES_tradnl"/>
              </w:rPr>
              <w:br/>
              <w:t>del espectro por un sistema</w:t>
            </w:r>
            <w:r>
              <w:rPr>
                <w:rFonts w:ascii="Tahoma" w:hAnsi="Tahoma" w:cs="Tahoma"/>
                <w:b/>
                <w:bCs/>
                <w:iCs/>
                <w:color w:val="243285"/>
                <w:sz w:val="44"/>
                <w:szCs w:val="44"/>
                <w:lang w:val="es-ES_tradnl"/>
              </w:rPr>
              <w:br/>
              <w:t>de radiocomunicaciones</w:t>
            </w:r>
          </w:p>
        </w:tc>
      </w:tr>
      <w:tr w:rsidR="00256167" w:rsidRPr="00AC38FC" w:rsidTr="005B580A">
        <w:tc>
          <w:tcPr>
            <w:tcW w:w="10089" w:type="dxa"/>
          </w:tcPr>
          <w:p w:rsidR="00256167" w:rsidRPr="0010336F" w:rsidRDefault="00256167" w:rsidP="005B580A">
            <w:pPr>
              <w:spacing w:before="80" w:line="280" w:lineRule="exact"/>
              <w:ind w:right="640"/>
              <w:rPr>
                <w:rFonts w:ascii="Tahoma" w:hAnsi="Tahoma" w:cs="Tahoma"/>
                <w:b/>
                <w:bCs/>
                <w:iCs/>
                <w:color w:val="243285"/>
                <w:sz w:val="32"/>
                <w:szCs w:val="32"/>
                <w:lang w:val="es-ES_tradnl"/>
              </w:rPr>
            </w:pPr>
          </w:p>
          <w:p w:rsidR="00256167" w:rsidRPr="0010336F" w:rsidRDefault="00256167" w:rsidP="005B580A">
            <w:pPr>
              <w:spacing w:before="80" w:line="280" w:lineRule="exact"/>
              <w:ind w:right="640"/>
              <w:rPr>
                <w:rFonts w:ascii="Tahoma" w:hAnsi="Tahoma" w:cs="Tahoma"/>
                <w:b/>
                <w:bCs/>
                <w:iCs/>
                <w:color w:val="243285"/>
                <w:sz w:val="32"/>
                <w:szCs w:val="32"/>
                <w:lang w:val="es-ES_tradnl"/>
              </w:rPr>
            </w:pPr>
          </w:p>
          <w:p w:rsidR="00256167" w:rsidRPr="0010336F" w:rsidRDefault="00256167" w:rsidP="005B580A">
            <w:pPr>
              <w:spacing w:before="80" w:after="180" w:line="360" w:lineRule="exact"/>
              <w:ind w:right="720"/>
              <w:rPr>
                <w:rFonts w:ascii="Tahoma" w:hAnsi="Tahoma" w:cs="Tahoma"/>
                <w:b/>
                <w:bCs/>
                <w:iCs/>
                <w:color w:val="243285"/>
                <w:sz w:val="36"/>
                <w:szCs w:val="36"/>
                <w:lang w:val="es-ES_tradnl"/>
              </w:rPr>
            </w:pPr>
          </w:p>
          <w:p w:rsidR="00256167" w:rsidRPr="0010336F" w:rsidRDefault="00256167" w:rsidP="005B580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256167" w:rsidRPr="0010336F" w:rsidRDefault="00256167" w:rsidP="005B580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256167" w:rsidRPr="0026666F" w:rsidRDefault="00256167" w:rsidP="00256167">
      <w:pPr>
        <w:spacing w:before="80"/>
        <w:rPr>
          <w:i/>
          <w:sz w:val="22"/>
          <w:lang w:val="es-ES_tradnl"/>
        </w:rPr>
      </w:pPr>
    </w:p>
    <w:p w:rsidR="00256167" w:rsidRPr="0026666F" w:rsidRDefault="00256167" w:rsidP="00256167">
      <w:pPr>
        <w:spacing w:before="80"/>
        <w:rPr>
          <w:i/>
          <w:sz w:val="22"/>
          <w:lang w:val="es-ES_tradnl"/>
        </w:rPr>
      </w:pPr>
    </w:p>
    <w:p w:rsidR="00256167" w:rsidRPr="0026666F" w:rsidRDefault="00256167" w:rsidP="00256167">
      <w:pPr>
        <w:spacing w:before="80"/>
        <w:rPr>
          <w:i/>
          <w:sz w:val="22"/>
          <w:lang w:val="es-ES_tradnl"/>
        </w:rPr>
      </w:pPr>
    </w:p>
    <w:p w:rsidR="00256167" w:rsidRPr="0026666F" w:rsidRDefault="00256167" w:rsidP="00256167">
      <w:pPr>
        <w:spacing w:before="80"/>
        <w:rPr>
          <w:i/>
          <w:sz w:val="22"/>
          <w:lang w:val="es-ES_tradnl"/>
        </w:rPr>
      </w:pPr>
    </w:p>
    <w:p w:rsidR="00256167" w:rsidRPr="0026666F" w:rsidRDefault="00256167" w:rsidP="00256167">
      <w:pPr>
        <w:spacing w:before="80"/>
        <w:rPr>
          <w:i/>
          <w:sz w:val="22"/>
          <w:lang w:val="es-ES_tradnl"/>
        </w:rPr>
      </w:pPr>
    </w:p>
    <w:p w:rsidR="00256167" w:rsidRPr="0026666F" w:rsidRDefault="00256167" w:rsidP="00256167">
      <w:pPr>
        <w:spacing w:before="80"/>
        <w:rPr>
          <w:i/>
          <w:sz w:val="22"/>
          <w:lang w:val="es-ES_tradnl"/>
        </w:rPr>
      </w:pPr>
    </w:p>
    <w:p w:rsidR="00256167" w:rsidRPr="0026666F" w:rsidRDefault="00256167" w:rsidP="00256167">
      <w:pPr>
        <w:pStyle w:val="Equation"/>
        <w:tabs>
          <w:tab w:val="clear" w:pos="4820"/>
          <w:tab w:val="clear" w:pos="9639"/>
          <w:tab w:val="left" w:pos="1191"/>
          <w:tab w:val="left" w:pos="1588"/>
          <w:tab w:val="left" w:pos="1985"/>
        </w:tabs>
        <w:rPr>
          <w:rFonts w:ascii="Palatino Linotype" w:hAnsi="Palatino Linotype"/>
          <w:lang w:val="es-ES_tradnl"/>
        </w:rPr>
        <w:sectPr w:rsidR="00256167" w:rsidRPr="0026666F">
          <w:headerReference w:type="even" r:id="rId9"/>
          <w:headerReference w:type="default" r:id="rId10"/>
          <w:pgSz w:w="11907" w:h="16840" w:code="9"/>
          <w:pgMar w:top="1089" w:right="1089" w:bottom="284" w:left="1089" w:header="567" w:footer="284" w:gutter="0"/>
          <w:pgNumType w:start="1"/>
          <w:cols w:space="720"/>
        </w:sectPr>
      </w:pPr>
    </w:p>
    <w:p w:rsidR="00256167" w:rsidRPr="006C718C" w:rsidRDefault="00256167" w:rsidP="002561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256167" w:rsidRPr="006C718C" w:rsidRDefault="00256167" w:rsidP="0025616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56167" w:rsidRPr="006C718C" w:rsidRDefault="00256167" w:rsidP="0025616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56167" w:rsidRPr="00021E8A" w:rsidRDefault="00256167" w:rsidP="0025616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56167" w:rsidRPr="00021E8A" w:rsidRDefault="00256167" w:rsidP="0025616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r w:rsidR="00AC38FC">
        <w:fldChar w:fldCharType="begin"/>
      </w:r>
      <w:r w:rsidR="00AC38FC" w:rsidRPr="00AC38FC">
        <w:rPr>
          <w:lang w:val="es-ES_tradnl"/>
        </w:rPr>
        <w:instrText xml:space="preserve"> HYPERLINK "http://www.itu.int/ITU-R/go/patents/es" </w:instrText>
      </w:r>
      <w:r w:rsidR="00AC38FC">
        <w:fldChar w:fldCharType="separate"/>
      </w:r>
      <w:r w:rsidRPr="00021E8A">
        <w:rPr>
          <w:rStyle w:val="Hyperlink"/>
          <w:sz w:val="20"/>
          <w:lang w:val="es-ES_tradnl"/>
        </w:rPr>
        <w:t>http://www.itu.int/ITU-R/go/patents/es</w:t>
      </w:r>
      <w:r w:rsidR="00AC38FC">
        <w:rPr>
          <w:rStyle w:val="Hyperlink"/>
          <w:sz w:val="20"/>
          <w:lang w:val="es-ES_tradnl"/>
        </w:rPr>
        <w:fldChar w:fldCharType="end"/>
      </w:r>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56167" w:rsidRPr="007C36CA" w:rsidRDefault="00256167" w:rsidP="00256167">
      <w:pPr>
        <w:spacing w:before="0"/>
        <w:jc w:val="center"/>
        <w:rPr>
          <w:sz w:val="22"/>
          <w:lang w:val="es-ES_tradnl"/>
        </w:rPr>
      </w:pPr>
    </w:p>
    <w:p w:rsidR="00256167" w:rsidRPr="007C36CA" w:rsidRDefault="00256167" w:rsidP="0025616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56167" w:rsidRPr="00AC38FC" w:rsidTr="005B580A">
        <w:tc>
          <w:tcPr>
            <w:tcW w:w="9360" w:type="dxa"/>
            <w:gridSpan w:val="2"/>
          </w:tcPr>
          <w:p w:rsidR="00256167" w:rsidRPr="00021E8A" w:rsidRDefault="00256167" w:rsidP="00A27FB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56167" w:rsidRPr="00763D08"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AC38FC">
              <w:fldChar w:fldCharType="begin"/>
            </w:r>
            <w:r w:rsidR="00AC38FC" w:rsidRPr="00AC38FC">
              <w:rPr>
                <w:lang w:val="es-ES_tradnl"/>
              </w:rPr>
              <w:instrText xml:space="preserve"> HYPERLINK "http://www.itu.int/publ/R-REC/es" </w:instrText>
            </w:r>
            <w:r w:rsidR="00AC38FC">
              <w:fldChar w:fldCharType="separate"/>
            </w:r>
            <w:r w:rsidRPr="00763D08">
              <w:rPr>
                <w:rStyle w:val="Hyperlink"/>
                <w:b w:val="0"/>
                <w:bCs/>
                <w:sz w:val="18"/>
                <w:szCs w:val="18"/>
                <w:lang w:val="es-ES_tradnl"/>
              </w:rPr>
              <w:t>http://www.itu.int/publ/R-REC/es</w:t>
            </w:r>
            <w:r w:rsidR="00AC38FC">
              <w:rPr>
                <w:rStyle w:val="Hyperlink"/>
                <w:b w:val="0"/>
                <w:bCs/>
                <w:sz w:val="18"/>
                <w:szCs w:val="18"/>
                <w:lang w:val="es-ES_tradnl"/>
              </w:rPr>
              <w:fldChar w:fldCharType="end"/>
            </w:r>
            <w:r w:rsidRPr="00763D08">
              <w:rPr>
                <w:b w:val="0"/>
                <w:bCs/>
                <w:sz w:val="18"/>
                <w:szCs w:val="18"/>
                <w:lang w:val="es-ES_tradnl"/>
              </w:rPr>
              <w:t>)</w:t>
            </w:r>
          </w:p>
        </w:tc>
      </w:tr>
      <w:tr w:rsidR="00256167" w:rsidRPr="00036EE3" w:rsidTr="005B580A">
        <w:tc>
          <w:tcPr>
            <w:tcW w:w="1140" w:type="dxa"/>
            <w:tcBorders>
              <w:bottom w:val="nil"/>
            </w:tcBorders>
          </w:tcPr>
          <w:p w:rsidR="00256167" w:rsidRPr="00036EE3" w:rsidRDefault="00256167" w:rsidP="005B580A">
            <w:pPr>
              <w:spacing w:before="180" w:after="100"/>
              <w:ind w:left="57"/>
              <w:rPr>
                <w:b/>
                <w:bCs/>
                <w:sz w:val="20"/>
                <w:lang w:val="en-US"/>
              </w:rPr>
            </w:pPr>
            <w:r w:rsidRPr="00036EE3">
              <w:rPr>
                <w:b/>
                <w:bCs/>
                <w:sz w:val="20"/>
                <w:lang w:val="en-US"/>
              </w:rPr>
              <w:t>Series</w:t>
            </w:r>
          </w:p>
        </w:tc>
        <w:tc>
          <w:tcPr>
            <w:tcW w:w="8220" w:type="dxa"/>
            <w:tcBorders>
              <w:bottom w:val="nil"/>
            </w:tcBorders>
          </w:tcPr>
          <w:p w:rsidR="00256167" w:rsidRPr="00036EE3"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56167" w:rsidRPr="004532F7" w:rsidTr="005B580A">
        <w:tc>
          <w:tcPr>
            <w:tcW w:w="1140" w:type="dxa"/>
            <w:tcBorders>
              <w:top w:val="nil"/>
              <w:bottom w:val="nil"/>
            </w:tcBorders>
            <w:shd w:val="clear" w:color="auto" w:fill="auto"/>
          </w:tcPr>
          <w:p w:rsidR="00256167" w:rsidRPr="004532F7" w:rsidRDefault="00256167" w:rsidP="005B580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56167" w:rsidRPr="004532F7"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256167" w:rsidRPr="00AC38FC" w:rsidTr="005B580A">
        <w:tc>
          <w:tcPr>
            <w:tcW w:w="1140" w:type="dxa"/>
            <w:tcBorders>
              <w:top w:val="nil"/>
              <w:bottom w:val="nil"/>
            </w:tcBorders>
            <w:shd w:val="clear" w:color="auto" w:fill="auto"/>
          </w:tcPr>
          <w:p w:rsidR="00256167" w:rsidRPr="006B22C3" w:rsidRDefault="00256167" w:rsidP="005B580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56167" w:rsidRPr="006B22C3"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56167" w:rsidRPr="00847DD5" w:rsidTr="005B580A">
        <w:tc>
          <w:tcPr>
            <w:tcW w:w="1140" w:type="dxa"/>
            <w:tcBorders>
              <w:top w:val="nil"/>
              <w:bottom w:val="nil"/>
            </w:tcBorders>
            <w:shd w:val="clear" w:color="auto" w:fill="auto"/>
          </w:tcPr>
          <w:p w:rsidR="00256167" w:rsidRPr="00847DD5" w:rsidRDefault="00256167" w:rsidP="005B580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56167" w:rsidRPr="00847DD5"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256167" w:rsidRPr="00ED2695" w:rsidTr="005B580A">
        <w:tc>
          <w:tcPr>
            <w:tcW w:w="1140" w:type="dxa"/>
            <w:tcBorders>
              <w:top w:val="nil"/>
              <w:bottom w:val="nil"/>
            </w:tcBorders>
            <w:shd w:val="clear" w:color="auto" w:fill="auto"/>
          </w:tcPr>
          <w:p w:rsidR="00256167" w:rsidRPr="00ED2695" w:rsidRDefault="00256167" w:rsidP="005B580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56167" w:rsidRPr="00021E8A"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256167" w:rsidRPr="00366CEE" w:rsidTr="005B580A">
        <w:tc>
          <w:tcPr>
            <w:tcW w:w="1140" w:type="dxa"/>
            <w:tcBorders>
              <w:top w:val="nil"/>
              <w:bottom w:val="nil"/>
            </w:tcBorders>
            <w:shd w:val="clear" w:color="auto" w:fill="auto"/>
          </w:tcPr>
          <w:p w:rsidR="00256167" w:rsidRPr="00366CEE" w:rsidRDefault="00256167" w:rsidP="005B580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56167" w:rsidRPr="00366CEE" w:rsidRDefault="00256167" w:rsidP="005B58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256167" w:rsidRPr="00AC38FC" w:rsidTr="005B580A">
        <w:tc>
          <w:tcPr>
            <w:tcW w:w="1140" w:type="dxa"/>
            <w:tcBorders>
              <w:top w:val="nil"/>
              <w:bottom w:val="nil"/>
            </w:tcBorders>
            <w:shd w:val="clear" w:color="auto" w:fill="auto"/>
          </w:tcPr>
          <w:p w:rsidR="00256167" w:rsidRPr="0010336F" w:rsidRDefault="00256167" w:rsidP="005B580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56167" w:rsidRPr="0010336F" w:rsidRDefault="00256167" w:rsidP="005B58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56167" w:rsidRPr="00AC38FC" w:rsidTr="005B580A">
        <w:tc>
          <w:tcPr>
            <w:tcW w:w="1140" w:type="dxa"/>
            <w:tcBorders>
              <w:top w:val="nil"/>
              <w:bottom w:val="nil"/>
            </w:tcBorders>
            <w:shd w:val="clear" w:color="auto" w:fill="auto"/>
          </w:tcPr>
          <w:p w:rsidR="00256167" w:rsidRPr="00F95576" w:rsidRDefault="00256167" w:rsidP="005B580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256167" w:rsidRPr="00F95576" w:rsidRDefault="00256167" w:rsidP="005B580A">
            <w:pPr>
              <w:spacing w:before="30" w:after="30"/>
              <w:jc w:val="left"/>
              <w:rPr>
                <w:sz w:val="20"/>
                <w:lang w:val="es-ES_tradnl"/>
              </w:rPr>
            </w:pPr>
            <w:r w:rsidRPr="00F95576">
              <w:rPr>
                <w:sz w:val="20"/>
                <w:lang w:val="es-ES_tradnl"/>
              </w:rPr>
              <w:t>Propagación de las ondas radioeléctricas</w:t>
            </w:r>
          </w:p>
        </w:tc>
      </w:tr>
      <w:tr w:rsidR="00256167" w:rsidRPr="00DE71F7" w:rsidTr="005B580A">
        <w:tc>
          <w:tcPr>
            <w:tcW w:w="1140" w:type="dxa"/>
            <w:tcBorders>
              <w:top w:val="nil"/>
              <w:bottom w:val="nil"/>
            </w:tcBorders>
            <w:shd w:val="clear" w:color="auto" w:fill="auto"/>
          </w:tcPr>
          <w:p w:rsidR="00256167" w:rsidRPr="00DE71F7" w:rsidRDefault="00256167" w:rsidP="005B580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256167" w:rsidRPr="00DE71F7" w:rsidRDefault="00256167" w:rsidP="005B58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256167" w:rsidRPr="00AC38FC" w:rsidTr="005B580A">
        <w:tc>
          <w:tcPr>
            <w:tcW w:w="1140" w:type="dxa"/>
            <w:tcBorders>
              <w:top w:val="nil"/>
              <w:bottom w:val="nil"/>
            </w:tcBorders>
            <w:shd w:val="clear" w:color="auto" w:fill="auto"/>
          </w:tcPr>
          <w:p w:rsidR="00256167" w:rsidRPr="00D12388" w:rsidRDefault="00256167" w:rsidP="005B580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256167" w:rsidRPr="00D12388" w:rsidRDefault="00256167" w:rsidP="005B58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256167" w:rsidRPr="00025336" w:rsidTr="005B580A">
        <w:tc>
          <w:tcPr>
            <w:tcW w:w="1140" w:type="dxa"/>
            <w:tcBorders>
              <w:top w:val="nil"/>
              <w:bottom w:val="nil"/>
            </w:tcBorders>
            <w:shd w:val="clear" w:color="auto" w:fill="auto"/>
          </w:tcPr>
          <w:p w:rsidR="00256167" w:rsidRPr="00025336" w:rsidRDefault="00256167" w:rsidP="005B580A">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256167" w:rsidRPr="00025336" w:rsidRDefault="00256167" w:rsidP="005B580A">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256167" w:rsidRPr="00975AEB" w:rsidTr="005B580A">
        <w:tc>
          <w:tcPr>
            <w:tcW w:w="1140" w:type="dxa"/>
            <w:tcBorders>
              <w:top w:val="nil"/>
              <w:bottom w:val="nil"/>
            </w:tcBorders>
            <w:shd w:val="clear" w:color="auto" w:fill="auto"/>
          </w:tcPr>
          <w:p w:rsidR="00256167" w:rsidRPr="00975AEB" w:rsidRDefault="00256167" w:rsidP="005B580A">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256167" w:rsidRPr="00975AEB" w:rsidRDefault="00256167" w:rsidP="005B580A">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256167" w:rsidRPr="00AC38FC" w:rsidTr="005B580A">
        <w:tc>
          <w:tcPr>
            <w:tcW w:w="1140" w:type="dxa"/>
            <w:tcBorders>
              <w:top w:val="nil"/>
              <w:bottom w:val="nil"/>
            </w:tcBorders>
            <w:shd w:val="clear" w:color="auto" w:fill="auto"/>
          </w:tcPr>
          <w:p w:rsidR="00256167" w:rsidRPr="00746AC6" w:rsidRDefault="00256167" w:rsidP="005B580A">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256167" w:rsidRPr="00746AC6" w:rsidRDefault="00256167" w:rsidP="005B580A">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256167" w:rsidRPr="00746AC6" w:rsidTr="005B580A">
        <w:tc>
          <w:tcPr>
            <w:tcW w:w="1140" w:type="dxa"/>
            <w:tcBorders>
              <w:top w:val="nil"/>
              <w:bottom w:val="nil"/>
            </w:tcBorders>
            <w:shd w:val="clear" w:color="auto" w:fill="F3F3F3"/>
          </w:tcPr>
          <w:p w:rsidR="00256167" w:rsidRPr="00746AC6" w:rsidRDefault="00256167" w:rsidP="005B580A">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256167" w:rsidRPr="00746AC6" w:rsidRDefault="00256167" w:rsidP="005B580A">
            <w:pPr>
              <w:spacing w:before="30" w:after="30"/>
              <w:jc w:val="left"/>
              <w:rPr>
                <w:b/>
                <w:bCs/>
                <w:color w:val="000080"/>
                <w:sz w:val="20"/>
                <w:lang w:val="en-US"/>
              </w:rPr>
            </w:pPr>
            <w:proofErr w:type="spellStart"/>
            <w:r w:rsidRPr="00746AC6">
              <w:rPr>
                <w:b/>
                <w:bCs/>
                <w:color w:val="000080"/>
                <w:sz w:val="20"/>
              </w:rPr>
              <w:t>Gestión</w:t>
            </w:r>
            <w:proofErr w:type="spellEnd"/>
            <w:r w:rsidRPr="00746AC6">
              <w:rPr>
                <w:b/>
                <w:bCs/>
                <w:color w:val="000080"/>
                <w:sz w:val="20"/>
              </w:rPr>
              <w:t xml:space="preserve"> </w:t>
            </w:r>
            <w:proofErr w:type="spellStart"/>
            <w:r w:rsidRPr="00746AC6">
              <w:rPr>
                <w:b/>
                <w:bCs/>
                <w:color w:val="000080"/>
                <w:sz w:val="20"/>
              </w:rPr>
              <w:t>del</w:t>
            </w:r>
            <w:proofErr w:type="spellEnd"/>
            <w:r w:rsidRPr="00746AC6">
              <w:rPr>
                <w:b/>
                <w:bCs/>
                <w:color w:val="000080"/>
                <w:sz w:val="20"/>
              </w:rPr>
              <w:t xml:space="preserve"> </w:t>
            </w:r>
            <w:proofErr w:type="spellStart"/>
            <w:r w:rsidRPr="00746AC6">
              <w:rPr>
                <w:b/>
                <w:bCs/>
                <w:color w:val="000080"/>
                <w:sz w:val="20"/>
              </w:rPr>
              <w:t>espectro</w:t>
            </w:r>
            <w:proofErr w:type="spellEnd"/>
          </w:p>
        </w:tc>
      </w:tr>
      <w:tr w:rsidR="00256167" w:rsidRPr="00036EE3" w:rsidTr="005B580A">
        <w:tc>
          <w:tcPr>
            <w:tcW w:w="1140" w:type="dxa"/>
            <w:tcBorders>
              <w:top w:val="nil"/>
            </w:tcBorders>
          </w:tcPr>
          <w:p w:rsidR="00256167" w:rsidRPr="00036EE3" w:rsidRDefault="00256167" w:rsidP="005B580A">
            <w:pPr>
              <w:spacing w:before="30" w:after="30"/>
              <w:ind w:left="57"/>
              <w:jc w:val="left"/>
              <w:rPr>
                <w:b/>
                <w:bCs/>
                <w:sz w:val="20"/>
                <w:lang w:val="en-US"/>
              </w:rPr>
            </w:pPr>
            <w:r w:rsidRPr="00036EE3">
              <w:rPr>
                <w:b/>
                <w:bCs/>
                <w:sz w:val="20"/>
                <w:lang w:val="en-US"/>
              </w:rPr>
              <w:t>SNG</w:t>
            </w:r>
          </w:p>
        </w:tc>
        <w:tc>
          <w:tcPr>
            <w:tcW w:w="8220" w:type="dxa"/>
            <w:tcBorders>
              <w:top w:val="nil"/>
            </w:tcBorders>
          </w:tcPr>
          <w:p w:rsidR="00256167" w:rsidRPr="00021E8A" w:rsidRDefault="00256167" w:rsidP="005B580A">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56167" w:rsidRPr="00AC38FC" w:rsidTr="005B580A">
        <w:tc>
          <w:tcPr>
            <w:tcW w:w="1140" w:type="dxa"/>
          </w:tcPr>
          <w:p w:rsidR="00256167" w:rsidRPr="00036EE3" w:rsidRDefault="00256167" w:rsidP="005B580A">
            <w:pPr>
              <w:spacing w:before="30" w:after="30"/>
              <w:ind w:left="57"/>
              <w:jc w:val="left"/>
              <w:rPr>
                <w:b/>
                <w:bCs/>
                <w:sz w:val="20"/>
                <w:lang w:val="en-US"/>
              </w:rPr>
            </w:pPr>
            <w:r w:rsidRPr="00036EE3">
              <w:rPr>
                <w:b/>
                <w:bCs/>
                <w:sz w:val="20"/>
                <w:lang w:val="en-US"/>
              </w:rPr>
              <w:t>TF</w:t>
            </w:r>
          </w:p>
        </w:tc>
        <w:tc>
          <w:tcPr>
            <w:tcW w:w="8220" w:type="dxa"/>
          </w:tcPr>
          <w:p w:rsidR="00256167" w:rsidRPr="00021E8A" w:rsidRDefault="00256167" w:rsidP="005B580A">
            <w:pPr>
              <w:spacing w:before="30" w:after="30"/>
              <w:jc w:val="left"/>
              <w:rPr>
                <w:bCs/>
                <w:sz w:val="20"/>
                <w:lang w:val="es-ES_tradnl"/>
              </w:rPr>
            </w:pPr>
            <w:r w:rsidRPr="00021E8A">
              <w:rPr>
                <w:bCs/>
                <w:sz w:val="20"/>
                <w:lang w:val="es-ES_tradnl"/>
              </w:rPr>
              <w:t>Emisiones de frecuencias patrón y señales horarias</w:t>
            </w:r>
          </w:p>
        </w:tc>
      </w:tr>
      <w:tr w:rsidR="00256167" w:rsidRPr="00036EE3" w:rsidTr="005B580A">
        <w:tc>
          <w:tcPr>
            <w:tcW w:w="1140" w:type="dxa"/>
          </w:tcPr>
          <w:p w:rsidR="00256167" w:rsidRPr="00036EE3" w:rsidRDefault="00256167" w:rsidP="005B580A">
            <w:pPr>
              <w:spacing w:before="30" w:after="30"/>
              <w:ind w:left="57"/>
              <w:jc w:val="left"/>
              <w:rPr>
                <w:b/>
                <w:bCs/>
                <w:sz w:val="20"/>
                <w:lang w:val="en-US"/>
              </w:rPr>
            </w:pPr>
            <w:r w:rsidRPr="00036EE3">
              <w:rPr>
                <w:b/>
                <w:bCs/>
                <w:sz w:val="20"/>
                <w:lang w:val="en-US"/>
              </w:rPr>
              <w:t>V</w:t>
            </w:r>
          </w:p>
        </w:tc>
        <w:tc>
          <w:tcPr>
            <w:tcW w:w="8220" w:type="dxa"/>
          </w:tcPr>
          <w:p w:rsidR="00256167" w:rsidRPr="00021E8A" w:rsidRDefault="00256167" w:rsidP="005B580A">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56167" w:rsidRPr="00036EE3" w:rsidRDefault="00256167" w:rsidP="0025616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56167" w:rsidTr="005B580A">
        <w:tc>
          <w:tcPr>
            <w:tcW w:w="720" w:type="dxa"/>
          </w:tcPr>
          <w:p w:rsidR="00256167" w:rsidRDefault="00256167" w:rsidP="005B580A">
            <w:pPr>
              <w:spacing w:before="0"/>
              <w:jc w:val="center"/>
              <w:rPr>
                <w:sz w:val="22"/>
                <w:lang w:val="en-US"/>
              </w:rPr>
            </w:pPr>
          </w:p>
        </w:tc>
      </w:tr>
    </w:tbl>
    <w:p w:rsidR="00256167" w:rsidRPr="00256167" w:rsidRDefault="00256167" w:rsidP="00256167">
      <w:pPr>
        <w:spacing w:before="0"/>
        <w:rPr>
          <w:rFonts w:ascii="Calibri" w:eastAsia="SimSun" w:hAnsi="Calibri" w:cs="Arial"/>
          <w:vanish/>
          <w:sz w:val="22"/>
          <w:szCs w:val="22"/>
          <w:lang w:val="es-ES_tradnl" w:eastAsia="zh-CN"/>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56167" w:rsidRPr="00AC38FC" w:rsidTr="005B580A">
        <w:tc>
          <w:tcPr>
            <w:tcW w:w="9360" w:type="dxa"/>
          </w:tcPr>
          <w:p w:rsidR="00256167" w:rsidRPr="00763D08" w:rsidRDefault="00256167" w:rsidP="005B580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56167" w:rsidRPr="00763D08" w:rsidRDefault="00256167" w:rsidP="00256167">
      <w:pPr>
        <w:spacing w:before="0"/>
        <w:jc w:val="center"/>
        <w:rPr>
          <w:sz w:val="22"/>
          <w:lang w:val="es-ES_tradnl"/>
        </w:rPr>
      </w:pPr>
    </w:p>
    <w:p w:rsidR="00256167" w:rsidRPr="00763D08" w:rsidRDefault="00256167" w:rsidP="00256167">
      <w:pPr>
        <w:spacing w:before="60"/>
        <w:jc w:val="right"/>
        <w:rPr>
          <w:i/>
          <w:iCs/>
          <w:sz w:val="20"/>
          <w:lang w:val="es-ES_tradnl"/>
        </w:rPr>
      </w:pPr>
      <w:r w:rsidRPr="00763D08">
        <w:rPr>
          <w:i/>
          <w:iCs/>
          <w:sz w:val="20"/>
          <w:lang w:val="es-ES_tradnl"/>
        </w:rPr>
        <w:t>Publicación electrónica</w:t>
      </w:r>
    </w:p>
    <w:p w:rsidR="00256167" w:rsidRPr="00763D08" w:rsidRDefault="00256167" w:rsidP="00256167">
      <w:pPr>
        <w:spacing w:before="0" w:after="40"/>
        <w:jc w:val="right"/>
        <w:rPr>
          <w:sz w:val="20"/>
          <w:lang w:val="es-ES_tradnl"/>
        </w:rPr>
      </w:pPr>
      <w:r w:rsidRPr="00763D08">
        <w:rPr>
          <w:sz w:val="20"/>
          <w:lang w:val="es-ES_tradnl"/>
        </w:rPr>
        <w:t>Ginebra, 20</w:t>
      </w:r>
      <w:r>
        <w:rPr>
          <w:sz w:val="20"/>
          <w:lang w:val="es-ES_tradnl"/>
        </w:rPr>
        <w:t>11</w:t>
      </w:r>
    </w:p>
    <w:p w:rsidR="00256167" w:rsidRPr="00763D08" w:rsidRDefault="00256167" w:rsidP="00256167">
      <w:pPr>
        <w:spacing w:before="0"/>
        <w:jc w:val="center"/>
        <w:rPr>
          <w:sz w:val="22"/>
          <w:lang w:val="es-ES_tradnl"/>
        </w:rPr>
      </w:pPr>
    </w:p>
    <w:p w:rsidR="00256167" w:rsidRPr="00763D08" w:rsidRDefault="00256167" w:rsidP="0025616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256167" w:rsidRPr="006C718C" w:rsidRDefault="00256167" w:rsidP="0025616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56167" w:rsidRPr="006C718C" w:rsidRDefault="00256167" w:rsidP="00256167">
      <w:pPr>
        <w:spacing w:before="160"/>
        <w:rPr>
          <w:i/>
          <w:sz w:val="20"/>
          <w:highlight w:val="yellow"/>
          <w:lang w:val="es-ES_tradnl"/>
        </w:rPr>
        <w:sectPr w:rsidR="00256167" w:rsidRPr="006C718C" w:rsidSect="005B580A">
          <w:headerReference w:type="even" r:id="rId11"/>
          <w:headerReference w:type="default" r:id="rId12"/>
          <w:pgSz w:w="11907" w:h="16834" w:code="9"/>
          <w:pgMar w:top="1418" w:right="1134" w:bottom="1134" w:left="1134" w:header="720" w:footer="482" w:gutter="0"/>
          <w:pgNumType w:fmt="lowerRoman" w:start="2"/>
          <w:cols w:space="720"/>
        </w:sectPr>
      </w:pPr>
    </w:p>
    <w:p w:rsidR="00256167" w:rsidRPr="0010336F" w:rsidRDefault="00256167" w:rsidP="00256167">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1046-2</w:t>
      </w:r>
      <w:r w:rsidR="00130CD4">
        <w:rPr>
          <w:rStyle w:val="FootnoteReference"/>
          <w:lang w:val="es-ES_tradnl"/>
        </w:rPr>
        <w:footnoteReference w:customMarkFollows="1" w:id="1"/>
        <w:t>*</w:t>
      </w:r>
    </w:p>
    <w:p w:rsidR="00256167" w:rsidRPr="001D2A9C" w:rsidRDefault="00256167" w:rsidP="00256167">
      <w:pPr>
        <w:pStyle w:val="Rectitle"/>
        <w:rPr>
          <w:lang w:val="es-ES_tradnl"/>
        </w:rPr>
      </w:pPr>
      <w:r w:rsidRPr="001D2A9C">
        <w:rPr>
          <w:lang w:val="es-ES_tradnl"/>
        </w:rPr>
        <w:t>Definición</w:t>
      </w:r>
      <w:r>
        <w:rPr>
          <w:lang w:val="es-ES_tradnl"/>
        </w:rPr>
        <w:t xml:space="preserve"> </w:t>
      </w:r>
      <w:r w:rsidRPr="001D2A9C">
        <w:rPr>
          <w:lang w:val="es-ES_tradnl"/>
        </w:rPr>
        <w:t>de</w:t>
      </w:r>
      <w:r>
        <w:rPr>
          <w:lang w:val="es-ES_tradnl"/>
        </w:rPr>
        <w:t xml:space="preserve"> </w:t>
      </w:r>
      <w:r w:rsidRPr="001D2A9C">
        <w:rPr>
          <w:lang w:val="es-ES_tradnl"/>
        </w:rPr>
        <w:t>la</w:t>
      </w:r>
      <w:r>
        <w:rPr>
          <w:lang w:val="es-ES_tradnl"/>
        </w:rPr>
        <w:t xml:space="preserve"> </w:t>
      </w:r>
      <w:r w:rsidRPr="001D2A9C">
        <w:rPr>
          <w:lang w:val="es-ES_tradnl"/>
        </w:rPr>
        <w:t>eficacia</w:t>
      </w:r>
      <w:r>
        <w:rPr>
          <w:lang w:val="es-ES_tradnl"/>
        </w:rPr>
        <w:t xml:space="preserve"> </w:t>
      </w:r>
      <w:r w:rsidRPr="001D2A9C">
        <w:rPr>
          <w:lang w:val="es-ES_tradnl"/>
        </w:rPr>
        <w:t>en</w:t>
      </w:r>
      <w:r>
        <w:rPr>
          <w:lang w:val="es-ES_tradnl"/>
        </w:rPr>
        <w:t xml:space="preserve"> </w:t>
      </w:r>
      <w:r w:rsidRPr="001D2A9C">
        <w:rPr>
          <w:lang w:val="es-ES_tradnl"/>
        </w:rPr>
        <w:t>la</w:t>
      </w:r>
      <w:r>
        <w:rPr>
          <w:lang w:val="es-ES_tradnl"/>
        </w:rPr>
        <w:t xml:space="preserve"> </w:t>
      </w:r>
      <w:r w:rsidRPr="001D2A9C">
        <w:rPr>
          <w:lang w:val="es-ES_tradnl"/>
        </w:rPr>
        <w:t>utilización</w:t>
      </w:r>
      <w:r>
        <w:rPr>
          <w:lang w:val="es-ES_tradnl"/>
        </w:rPr>
        <w:t xml:space="preserve"> </w:t>
      </w:r>
      <w:r w:rsidRPr="001D2A9C">
        <w:rPr>
          <w:lang w:val="es-ES_tradnl"/>
        </w:rPr>
        <w:t>del</w:t>
      </w:r>
      <w:r>
        <w:rPr>
          <w:lang w:val="es-ES_tradnl"/>
        </w:rPr>
        <w:t xml:space="preserve"> </w:t>
      </w:r>
      <w:r w:rsidRPr="001D2A9C">
        <w:rPr>
          <w:lang w:val="es-ES_tradnl"/>
        </w:rPr>
        <w:t>espectro</w:t>
      </w:r>
      <w:r w:rsidRPr="001D2A9C">
        <w:rPr>
          <w:lang w:val="es-ES_tradnl"/>
        </w:rPr>
        <w:br/>
        <w:t>por</w:t>
      </w:r>
      <w:r>
        <w:rPr>
          <w:lang w:val="es-ES_tradnl"/>
        </w:rPr>
        <w:t xml:space="preserve"> </w:t>
      </w:r>
      <w:r w:rsidRPr="001D2A9C">
        <w:rPr>
          <w:lang w:val="es-ES_tradnl"/>
        </w:rPr>
        <w:t>un</w:t>
      </w:r>
      <w:r>
        <w:rPr>
          <w:lang w:val="es-ES_tradnl"/>
        </w:rPr>
        <w:t xml:space="preserve"> </w:t>
      </w:r>
      <w:r w:rsidRPr="001D2A9C">
        <w:rPr>
          <w:lang w:val="es-ES_tradnl"/>
        </w:rPr>
        <w:t>sistema</w:t>
      </w:r>
      <w:r>
        <w:rPr>
          <w:lang w:val="es-ES_tradnl"/>
        </w:rPr>
        <w:t xml:space="preserve"> </w:t>
      </w:r>
      <w:r w:rsidRPr="001D2A9C">
        <w:rPr>
          <w:lang w:val="es-ES_tradnl"/>
        </w:rPr>
        <w:t>de</w:t>
      </w:r>
      <w:r>
        <w:rPr>
          <w:lang w:val="es-ES_tradnl"/>
        </w:rPr>
        <w:t xml:space="preserve"> </w:t>
      </w:r>
      <w:r w:rsidRPr="001D2A9C">
        <w:rPr>
          <w:lang w:val="es-ES_tradnl"/>
        </w:rPr>
        <w:t>radiocomunicaciones</w:t>
      </w:r>
    </w:p>
    <w:p w:rsidR="00256167" w:rsidRDefault="00256167" w:rsidP="00256167">
      <w:pPr>
        <w:pStyle w:val="Recdate"/>
        <w:rPr>
          <w:lang w:val="es-ES_tradnl"/>
        </w:rPr>
      </w:pPr>
    </w:p>
    <w:p w:rsidR="00256167" w:rsidRDefault="00256167" w:rsidP="00256167">
      <w:pPr>
        <w:pStyle w:val="Recdate"/>
        <w:rPr>
          <w:lang w:val="es-ES_tradnl"/>
        </w:rPr>
      </w:pPr>
      <w:r>
        <w:rPr>
          <w:lang w:val="es-ES_tradnl"/>
        </w:rPr>
        <w:t>(1994-1997-2006)</w:t>
      </w:r>
    </w:p>
    <w:p w:rsidR="00256167" w:rsidRDefault="00256167" w:rsidP="00256167">
      <w:pPr>
        <w:pStyle w:val="HeadingSum"/>
      </w:pPr>
      <w:r>
        <w:rPr>
          <w:lang w:val="es-ES"/>
        </w:rPr>
        <w:t>Cometido</w:t>
      </w:r>
    </w:p>
    <w:p w:rsidR="00256167" w:rsidRPr="00F6375A" w:rsidRDefault="00256167" w:rsidP="00256167">
      <w:pPr>
        <w:pStyle w:val="Summary"/>
      </w:pPr>
      <w:r w:rsidRPr="00BB5F17">
        <w:rPr>
          <w:lang w:val="es-ES"/>
        </w:rPr>
        <w:t>Con la revisión de esta Recomendación se introduce una alternativa para determinar la eficacia de utilización del espectro (EUE) para distintos sistemas de radiocomunicaciones (móvil, punto a punto, etc.)</w:t>
      </w:r>
      <w:r>
        <w:rPr>
          <w:lang w:val="es-ES"/>
        </w:rPr>
        <w:t>.</w:t>
      </w:r>
    </w:p>
    <w:p w:rsidR="00256167" w:rsidRDefault="00256167" w:rsidP="00256167">
      <w:pPr>
        <w:pStyle w:val="Normalaftertitle"/>
        <w:rPr>
          <w:lang w:val="es-ES_tradnl"/>
        </w:rPr>
      </w:pPr>
      <w:r>
        <w:rPr>
          <w:lang w:val="es-ES_tradnl"/>
        </w:rPr>
        <w:t>La Asamblea de Radiocomunicaciones de la UIT,</w:t>
      </w:r>
    </w:p>
    <w:p w:rsidR="00256167" w:rsidRDefault="00256167" w:rsidP="00256167">
      <w:pPr>
        <w:pStyle w:val="Call"/>
        <w:rPr>
          <w:lang w:val="es-ES_tradnl"/>
        </w:rPr>
      </w:pPr>
      <w:r>
        <w:rPr>
          <w:lang w:val="es-ES_tradnl"/>
        </w:rPr>
        <w:t>considerando</w:t>
      </w:r>
    </w:p>
    <w:p w:rsidR="00256167" w:rsidRDefault="00256167" w:rsidP="00256167">
      <w:pPr>
        <w:rPr>
          <w:lang w:val="es-ES_tradnl"/>
        </w:rPr>
      </w:pPr>
      <w:r>
        <w:rPr>
          <w:lang w:val="es-ES_tradnl"/>
        </w:rPr>
        <w:t>a)</w:t>
      </w:r>
      <w:r>
        <w:rPr>
          <w:lang w:val="es-ES_tradnl"/>
        </w:rPr>
        <w:tab/>
        <w:t>que el espectro es un recurso natural limitado de gran valor económico y social;</w:t>
      </w:r>
    </w:p>
    <w:p w:rsidR="00256167" w:rsidRDefault="00256167" w:rsidP="00256167">
      <w:pPr>
        <w:rPr>
          <w:lang w:val="es-ES_tradnl"/>
        </w:rPr>
      </w:pPr>
      <w:r>
        <w:rPr>
          <w:lang w:val="es-ES_tradnl"/>
        </w:rPr>
        <w:t>b)</w:t>
      </w:r>
      <w:r>
        <w:rPr>
          <w:lang w:val="es-ES_tradnl"/>
        </w:rPr>
        <w:tab/>
        <w:t>que la demanda de utilización del espectro está creciendo rápidamente;</w:t>
      </w:r>
    </w:p>
    <w:p w:rsidR="00256167" w:rsidRDefault="00256167" w:rsidP="00256167">
      <w:pPr>
        <w:rPr>
          <w:lang w:val="es-ES_tradnl"/>
        </w:rPr>
      </w:pPr>
      <w:r>
        <w:rPr>
          <w:lang w:val="es-ES_tradnl"/>
        </w:rPr>
        <w:t>c)</w:t>
      </w:r>
      <w:r>
        <w:rPr>
          <w:lang w:val="es-ES_tradnl"/>
        </w:rPr>
        <w:tab/>
        <w:t>que existen diversos factores, tales como utilización de distintas bandas de frecuencias para determinados servicios de radiocomunicaciones, métodos de gestión del espectro pertinentes para las redes de dichos servicios, características técnicas de los transmisores, receptores y antenas empleados en los servicios, etc., que influyen de forma notable en la utilización eficaz del espectro y la optimización de dichos factores, especialmente mediante tecnologías nuevas o mejoradas, puede traducirse en importantes economías de espectro;</w:t>
      </w:r>
    </w:p>
    <w:p w:rsidR="00256167" w:rsidRDefault="00256167" w:rsidP="00256167">
      <w:pPr>
        <w:rPr>
          <w:lang w:val="es-ES_tradnl"/>
        </w:rPr>
      </w:pPr>
      <w:r>
        <w:rPr>
          <w:lang w:val="es-ES_tradnl"/>
        </w:rPr>
        <w:t>d)</w:t>
      </w:r>
      <w:r>
        <w:rPr>
          <w:lang w:val="es-ES_tradnl"/>
        </w:rPr>
        <w:tab/>
        <w:t>que es necesario definir el grado y la eficacia de utilización del espectro (EUE) como método de comparación y análisis para evaluar las ventajas obtenidas con el empleo de tecnologías nuevas o mejoradas, especialmente por las administraciones en la planificación nacional a largo plazo de la utilización del espectro y el desarrollo de las radiocomunicaciones;</w:t>
      </w:r>
    </w:p>
    <w:p w:rsidR="00256167" w:rsidRDefault="00256167" w:rsidP="00256167">
      <w:pPr>
        <w:rPr>
          <w:lang w:val="es-ES_tradnl"/>
        </w:rPr>
      </w:pPr>
      <w:r>
        <w:rPr>
          <w:lang w:val="es-ES_tradnl"/>
        </w:rPr>
        <w:t>e)</w:t>
      </w:r>
      <w:r>
        <w:rPr>
          <w:lang w:val="es-ES_tradnl"/>
        </w:rPr>
        <w:tab/>
        <w:t>que la comparación de la utilización eficaz del espectro entre sistemas de radiocomunicaciones reales sería muy útil a la hora de desarrollar tecnologías nuevas o mejoradas y de evaluar el comportamiento de los sistemas existentes,</w:t>
      </w:r>
    </w:p>
    <w:p w:rsidR="00256167" w:rsidRDefault="00256167" w:rsidP="00256167">
      <w:pPr>
        <w:pStyle w:val="Call"/>
        <w:rPr>
          <w:lang w:val="es-ES_tradnl"/>
        </w:rPr>
      </w:pPr>
      <w:r>
        <w:rPr>
          <w:lang w:val="es-ES_tradnl"/>
        </w:rPr>
        <w:t>recomienda</w:t>
      </w:r>
    </w:p>
    <w:p w:rsidR="00256167" w:rsidRDefault="00256167" w:rsidP="00256167">
      <w:pPr>
        <w:rPr>
          <w:lang w:val="es-ES_tradnl"/>
        </w:rPr>
      </w:pPr>
      <w:r>
        <w:rPr>
          <w:b/>
          <w:lang w:val="es-ES_tradnl"/>
        </w:rPr>
        <w:t>1</w:t>
      </w:r>
      <w:r>
        <w:rPr>
          <w:lang w:val="es-ES_tradnl"/>
        </w:rPr>
        <w:tab/>
        <w:t>que, como concepto básico, se utilice el dominio combinado anchura de banda</w:t>
      </w:r>
      <w:r>
        <w:rPr>
          <w:lang w:val="es-ES_tradnl"/>
        </w:rPr>
        <w:noBreakHyphen/>
        <w:t>espacio</w:t>
      </w:r>
      <w:r>
        <w:rPr>
          <w:lang w:val="es-ES_tradnl"/>
        </w:rPr>
        <w:noBreakHyphen/>
        <w:t>tiempo como medida de la utilización del espectro, el «factor de utilización del espectro», como se indica en el Anexo 1 para los equipos radioeléctricos de transmisión y recepción;</w:t>
      </w:r>
    </w:p>
    <w:p w:rsidR="00256167" w:rsidRDefault="00256167" w:rsidP="00256167">
      <w:pPr>
        <w:rPr>
          <w:lang w:val="es-ES_tradnl"/>
        </w:rPr>
      </w:pPr>
      <w:r w:rsidRPr="00BB5F17">
        <w:rPr>
          <w:b/>
          <w:lang w:val="es-ES"/>
        </w:rPr>
        <w:t>2</w:t>
      </w:r>
      <w:r w:rsidRPr="00BB5F17">
        <w:rPr>
          <w:lang w:val="es-ES"/>
        </w:rPr>
        <w:tab/>
        <w:t>que la base para calcular la eficacia de utilización del espectro (EUE), o eficacia espectral para abreviar, sea la determinación del efecto útil que consiguen los sistemas de radiocomunicación mediante la utilización del espectro</w:t>
      </w:r>
      <w:r>
        <w:rPr>
          <w:lang w:val="es-ES"/>
        </w:rPr>
        <w:t xml:space="preserve"> </w:t>
      </w:r>
      <w:r w:rsidRPr="00BB5F17">
        <w:rPr>
          <w:lang w:val="es-ES"/>
        </w:rPr>
        <w:t>y el factor de utilización del espectro, como se indica en el Anexo 1. En el Anexo 2 aparecen algunos ejemplos de utilización de este concepto;</w:t>
      </w:r>
    </w:p>
    <w:p w:rsidR="00256167" w:rsidRDefault="00256167" w:rsidP="00256167">
      <w:pPr>
        <w:rPr>
          <w:lang w:val="es-ES_tradnl"/>
        </w:rPr>
      </w:pPr>
      <w:r>
        <w:rPr>
          <w:b/>
          <w:lang w:val="es-ES_tradnl"/>
        </w:rPr>
        <w:t>3</w:t>
      </w:r>
      <w:r>
        <w:rPr>
          <w:lang w:val="es-ES_tradnl"/>
        </w:rPr>
        <w:tab/>
        <w:t>que, para comparar las eficacias espectrales entre diversos sistemas de radiocomunicaciones, se utilice el concepto básico de eficacia relativa del espectro como se indica en el Anexo 1;</w:t>
      </w:r>
    </w:p>
    <w:p w:rsidR="00256167" w:rsidRDefault="00256167" w:rsidP="00256167">
      <w:pPr>
        <w:rPr>
          <w:lang w:val="es-ES_tradnl"/>
        </w:rPr>
      </w:pPr>
      <w:r>
        <w:rPr>
          <w:b/>
          <w:lang w:val="es-ES_tradnl"/>
        </w:rPr>
        <w:lastRenderedPageBreak/>
        <w:t>4</w:t>
      </w:r>
      <w:r>
        <w:rPr>
          <w:lang w:val="es-ES_tradnl"/>
        </w:rPr>
        <w:tab/>
        <w:t>que las comparaciones entre las eficacias espectrales se lleven a cabo únicamente entre tipos similares de sistemas radioeléctricos que proporcionan servicios de radiocomunicaciones idénticos, como se indica en el § 4 del Anexo 1;</w:t>
      </w:r>
    </w:p>
    <w:p w:rsidR="00256167" w:rsidRDefault="00256167" w:rsidP="00256167">
      <w:pPr>
        <w:rPr>
          <w:lang w:val="es-ES_tradnl"/>
        </w:rPr>
      </w:pPr>
      <w:r>
        <w:rPr>
          <w:b/>
          <w:lang w:val="es-ES_tradnl"/>
        </w:rPr>
        <w:t>5</w:t>
      </w:r>
      <w:r>
        <w:rPr>
          <w:lang w:val="es-ES_tradnl"/>
        </w:rPr>
        <w:tab/>
        <w:t>que para determinar la EUE se consideren las interacciones de diversos sistemas y redes de radiocomunicaciones dentro de un entorno electromagnético particular.</w:t>
      </w:r>
    </w:p>
    <w:p w:rsidR="005977B7" w:rsidRDefault="005977B7" w:rsidP="00256167">
      <w:pPr>
        <w:rPr>
          <w:lang w:val="es-ES_tradnl"/>
        </w:rPr>
      </w:pPr>
    </w:p>
    <w:p w:rsidR="00256167" w:rsidRDefault="00256167" w:rsidP="00256167">
      <w:pPr>
        <w:rPr>
          <w:lang w:val="es-ES_tradnl"/>
        </w:rPr>
      </w:pPr>
    </w:p>
    <w:p w:rsidR="00256167" w:rsidRDefault="00256167" w:rsidP="00256167">
      <w:pPr>
        <w:pStyle w:val="AnnexNoTitle"/>
        <w:rPr>
          <w:lang w:val="es-ES_tradnl"/>
        </w:rPr>
      </w:pPr>
      <w:r>
        <w:rPr>
          <w:lang w:val="es-ES_tradnl"/>
        </w:rPr>
        <w:t>Anexo  1</w:t>
      </w:r>
      <w:r>
        <w:rPr>
          <w:lang w:val="es-ES_tradnl"/>
        </w:rPr>
        <w:br/>
      </w:r>
      <w:r>
        <w:rPr>
          <w:lang w:val="es-ES_tradnl"/>
        </w:rPr>
        <w:br/>
        <w:t>Criterios generales para evaluar el factor de utilización del espectro</w:t>
      </w:r>
      <w:r>
        <w:rPr>
          <w:lang w:val="es-ES_tradnl"/>
        </w:rPr>
        <w:br/>
        <w:t>y grado de eficacia de utilización</w:t>
      </w:r>
    </w:p>
    <w:p w:rsidR="00256167" w:rsidRDefault="00256167" w:rsidP="00256167">
      <w:pPr>
        <w:pStyle w:val="Heading1"/>
        <w:rPr>
          <w:lang w:val="es-ES_tradnl"/>
        </w:rPr>
      </w:pPr>
      <w:r>
        <w:rPr>
          <w:lang w:val="es-ES_tradnl"/>
        </w:rPr>
        <w:t>1</w:t>
      </w:r>
      <w:r>
        <w:rPr>
          <w:lang w:val="es-ES_tradnl"/>
        </w:rPr>
        <w:tab/>
        <w:t>Factor de utilización del espectro</w:t>
      </w:r>
    </w:p>
    <w:p w:rsidR="00256167" w:rsidRDefault="00256167" w:rsidP="00256167">
      <w:pPr>
        <w:rPr>
          <w:lang w:val="es-ES_tradnl"/>
        </w:rPr>
      </w:pPr>
      <w:r>
        <w:rPr>
          <w:lang w:val="es-ES_tradnl"/>
        </w:rPr>
        <w:t xml:space="preserve">La utilización eficaz del espectro se logra (entre otros métodos) mediante el aislamiento obtenido gracias a la directividad de la antena, la separación geográfica, la compartición de frecuencias o la utilización de frecuencias ortogonales y la compartición en el tiempo o división en el tiempo, reflejándose estas consideraciones en la definición de utilización del espectro. Por consiguiente, la medida de utilización del espectro, factor de utilización del espectro, </w:t>
      </w:r>
      <w:r>
        <w:rPr>
          <w:i/>
          <w:lang w:val="es-ES_tradnl"/>
        </w:rPr>
        <w:t>U</w:t>
      </w:r>
      <w:r>
        <w:rPr>
          <w:lang w:val="es-ES_tradnl"/>
        </w:rPr>
        <w:t>, se define como el producto de la anchura de banda de frecuencia por el espacio geométrico (geográfico) y por el tiempo denegado a otros usuarios potenciales:</w:t>
      </w:r>
    </w:p>
    <w:p w:rsidR="00256167" w:rsidRPr="007F0761" w:rsidRDefault="00256167" w:rsidP="00256167">
      <w:pPr>
        <w:pStyle w:val="Blanc"/>
        <w:rPr>
          <w:lang w:val="es-ES_tradnl"/>
        </w:rPr>
      </w:pPr>
    </w:p>
    <w:p w:rsidR="00256167" w:rsidRDefault="00256167" w:rsidP="00256167">
      <w:pPr>
        <w:pStyle w:val="Equation"/>
        <w:rPr>
          <w:lang w:val="es-ES_tradnl"/>
        </w:rPr>
      </w:pPr>
      <w:bookmarkStart w:id="3" w:name="f001"/>
      <w:r>
        <w:rPr>
          <w:lang w:val="es-ES_tradnl"/>
        </w:rPr>
        <w:tab/>
      </w:r>
      <w:r>
        <w:rPr>
          <w:lang w:val="es-ES_tradnl"/>
        </w:rPr>
        <w:tab/>
      </w:r>
      <w:r>
        <w:rPr>
          <w:lang w:val="es-ES_tradnl"/>
        </w:rPr>
        <w:fldChar w:fldCharType="begin"/>
      </w:r>
      <w:r>
        <w:rPr>
          <w:lang w:val="es-ES_tradnl"/>
        </w:rPr>
        <w:instrText xml:space="preserve">eq </w:instrText>
      </w:r>
      <w:r>
        <w:rPr>
          <w:i/>
          <w:lang w:val="es-ES_tradnl"/>
        </w:rPr>
        <w:instrText>U</w:instrText>
      </w:r>
      <w:r>
        <w:rPr>
          <w:lang w:val="es-ES_tradnl"/>
        </w:rPr>
        <w:instrText xml:space="preserve">  </w:instrText>
      </w:r>
      <w:r>
        <w:rPr>
          <w:rFonts w:ascii="Symbol" w:hAnsi="Symbol"/>
          <w:lang w:val="es-ES_tradnl"/>
        </w:rPr>
        <w:instrText>=</w:instrText>
      </w:r>
      <w:r>
        <w:rPr>
          <w:lang w:val="es-ES_tradnl"/>
        </w:rPr>
        <w:instrText xml:space="preserve">  </w:instrText>
      </w:r>
      <w:r>
        <w:rPr>
          <w:i/>
          <w:lang w:val="es-ES_tradnl"/>
        </w:rPr>
        <w:instrText>B</w:instrText>
      </w:r>
      <w:r>
        <w:rPr>
          <w:lang w:val="es-ES_tradnl"/>
        </w:rPr>
        <w:instrText xml:space="preserve">  </w:instrText>
      </w:r>
      <w:r w:rsidRPr="001D2A9C">
        <w:rPr>
          <w:lang w:val="es-ES_tradnl"/>
        </w:rPr>
        <w:instrText>·</w:instrText>
      </w:r>
      <w:r>
        <w:rPr>
          <w:lang w:val="es-ES_tradnl"/>
        </w:rPr>
        <w:instrText xml:space="preserve">  </w:instrText>
      </w:r>
      <w:r>
        <w:rPr>
          <w:i/>
          <w:lang w:val="es-ES_tradnl"/>
        </w:rPr>
        <w:instrText>S</w:instrText>
      </w:r>
      <w:r>
        <w:rPr>
          <w:lang w:val="es-ES_tradnl"/>
        </w:rPr>
        <w:instrText xml:space="preserve">  </w:instrText>
      </w:r>
      <w:r w:rsidRPr="001D2A9C">
        <w:rPr>
          <w:lang w:val="es-ES_tradnl"/>
        </w:rPr>
        <w:instrText>·</w:instrText>
      </w:r>
      <w:r>
        <w:rPr>
          <w:lang w:val="es-ES_tradnl"/>
        </w:rPr>
        <w:instrText xml:space="preserve">  </w:instrText>
      </w:r>
      <w:r>
        <w:rPr>
          <w:i/>
          <w:lang w:val="es-ES_tradnl"/>
        </w:rPr>
        <w:instrText>T</w:instrText>
      </w:r>
      <w:r>
        <w:rPr>
          <w:lang w:val="es-ES_tradnl"/>
        </w:rPr>
        <w:fldChar w:fldCharType="end"/>
      </w:r>
      <w:r>
        <w:rPr>
          <w:lang w:val="es-ES_tradnl"/>
        </w:rPr>
        <w:tab/>
        <w:t>(1)</w:t>
      </w:r>
      <w:bookmarkEnd w:id="3"/>
    </w:p>
    <w:p w:rsidR="00256167" w:rsidRDefault="00256167" w:rsidP="00256167">
      <w:pPr>
        <w:rPr>
          <w:lang w:val="es-ES_tradnl"/>
        </w:rPr>
      </w:pPr>
      <w:r>
        <w:rPr>
          <w:lang w:val="es-ES_tradnl"/>
        </w:rPr>
        <w:t>siendo:</w:t>
      </w:r>
    </w:p>
    <w:p w:rsidR="00256167" w:rsidRPr="007F0761" w:rsidRDefault="00256167" w:rsidP="00256167">
      <w:pPr>
        <w:pStyle w:val="Equationlegend"/>
        <w:rPr>
          <w:lang w:val="es-ES_tradnl"/>
        </w:rPr>
      </w:pPr>
      <w:r w:rsidRPr="007F0761">
        <w:rPr>
          <w:lang w:val="es-ES_tradnl"/>
        </w:rPr>
        <w:tab/>
      </w:r>
      <w:r w:rsidRPr="007F0761">
        <w:rPr>
          <w:i/>
          <w:lang w:val="es-ES_tradnl"/>
        </w:rPr>
        <w:t>B</w:t>
      </w:r>
      <w:r w:rsidRPr="007F0761">
        <w:rPr>
          <w:rFonts w:ascii="Tms Rmn" w:hAnsi="Tms Rmn"/>
          <w:sz w:val="12"/>
          <w:lang w:val="es-ES_tradnl"/>
        </w:rPr>
        <w:t> </w:t>
      </w:r>
      <w:r w:rsidRPr="007F0761">
        <w:rPr>
          <w:lang w:val="es-ES_tradnl"/>
        </w:rPr>
        <w:t>:</w:t>
      </w:r>
      <w:r w:rsidRPr="007F0761">
        <w:rPr>
          <w:lang w:val="es-ES_tradnl"/>
        </w:rPr>
        <w:tab/>
        <w:t>anchura de banda de frecuencia</w:t>
      </w:r>
    </w:p>
    <w:p w:rsidR="00256167" w:rsidRPr="007F0761" w:rsidRDefault="00256167" w:rsidP="00256167">
      <w:pPr>
        <w:pStyle w:val="Equationlegend"/>
        <w:rPr>
          <w:lang w:val="es-ES_tradnl"/>
        </w:rPr>
      </w:pPr>
      <w:r w:rsidRPr="007F0761">
        <w:rPr>
          <w:lang w:val="es-ES_tradnl"/>
        </w:rPr>
        <w:tab/>
      </w:r>
      <w:r w:rsidRPr="007F0761">
        <w:rPr>
          <w:i/>
          <w:lang w:val="es-ES_tradnl"/>
        </w:rPr>
        <w:t>S</w:t>
      </w:r>
      <w:r w:rsidRPr="007F0761">
        <w:rPr>
          <w:rFonts w:ascii="Tms Rmn" w:hAnsi="Tms Rmn"/>
          <w:sz w:val="12"/>
          <w:lang w:val="es-ES_tradnl"/>
        </w:rPr>
        <w:t> </w:t>
      </w:r>
      <w:r w:rsidRPr="007F0761">
        <w:rPr>
          <w:lang w:val="es-ES_tradnl"/>
        </w:rPr>
        <w:t>:</w:t>
      </w:r>
      <w:r w:rsidRPr="007F0761">
        <w:rPr>
          <w:lang w:val="es-ES_tradnl"/>
        </w:rPr>
        <w:tab/>
        <w:t>espacio geométrico (normalmente una superficie)</w:t>
      </w:r>
    </w:p>
    <w:p w:rsidR="00256167" w:rsidRPr="007F0761" w:rsidRDefault="00256167" w:rsidP="00256167">
      <w:pPr>
        <w:pStyle w:val="Equationlegend"/>
        <w:rPr>
          <w:lang w:val="es-ES_tradnl"/>
        </w:rPr>
      </w:pPr>
      <w:r w:rsidRPr="007F0761">
        <w:rPr>
          <w:lang w:val="es-ES_tradnl"/>
        </w:rPr>
        <w:tab/>
      </w:r>
      <w:r w:rsidRPr="007F0761">
        <w:rPr>
          <w:i/>
          <w:lang w:val="es-ES_tradnl"/>
        </w:rPr>
        <w:t>T</w:t>
      </w:r>
      <w:r w:rsidRPr="007F0761">
        <w:rPr>
          <w:rFonts w:ascii="Tms Rmn" w:hAnsi="Tms Rmn"/>
          <w:sz w:val="12"/>
          <w:lang w:val="es-ES_tradnl"/>
        </w:rPr>
        <w:t> </w:t>
      </w:r>
      <w:r w:rsidRPr="007F0761">
        <w:rPr>
          <w:lang w:val="es-ES_tradnl"/>
        </w:rPr>
        <w:t>:</w:t>
      </w:r>
      <w:r w:rsidRPr="007F0761">
        <w:rPr>
          <w:lang w:val="es-ES_tradnl"/>
        </w:rPr>
        <w:tab/>
        <w:t>tiempo.</w:t>
      </w:r>
    </w:p>
    <w:p w:rsidR="00256167" w:rsidRDefault="00256167" w:rsidP="00256167">
      <w:pPr>
        <w:rPr>
          <w:lang w:val="es-ES_tradnl"/>
        </w:rPr>
      </w:pPr>
      <w:r>
        <w:rPr>
          <w:lang w:val="es-ES_tradnl"/>
        </w:rPr>
        <w:t>El espacio geométrico de interés también puede ser un volumen, una línea (por ejemplo, la órbita de los satélites geoestacionarios) o un sector angular alrededor de un punto. La cantidad de espacio denegada depende de la densidad espectral de potencia. En muchas aplicaciones, la dimensión del tiempo puede ignorarse puesto que el servicio funciona de manera continua. Pero en algunos servicios, por ejemplo, radiodifusión y servicio móvil por un solo canal, es importante compartir el factor tiempo y los tres factores deben considerarse de forma simultánea y optimizarse.</w:t>
      </w:r>
    </w:p>
    <w:p w:rsidR="00256167" w:rsidRDefault="00256167" w:rsidP="00256167">
      <w:pPr>
        <w:rPr>
          <w:lang w:val="es-ES_tradnl"/>
        </w:rPr>
      </w:pPr>
      <w:r>
        <w:rPr>
          <w:lang w:val="es-ES_tradnl"/>
        </w:rPr>
        <w:t>La medida del espectro puede calcularse multiplicando la anchura de banda que limita la emisión (por ejemplo, la anchura de banda ocupada) por su zona de interferencia, o puede tener en cuenta la forma real de la densidad espectral de potencia de la emisión y las características de radiación de la antena.</w:t>
      </w:r>
    </w:p>
    <w:p w:rsidR="00256167" w:rsidRDefault="00256167" w:rsidP="00256167">
      <w:pPr>
        <w:rPr>
          <w:lang w:val="es-ES_tradnl"/>
        </w:rPr>
      </w:pPr>
      <w:r>
        <w:rPr>
          <w:lang w:val="es-ES_tradnl"/>
        </w:rPr>
        <w:t>Tradicionalmente, se han considerado a los transmisores radioeléctricos como los usuarios del recurso espectro. Utilizan el espectro-espacio llenando parte del mismo con potencia radioeléctrica; tanta potencia, en algunos casos, que los receptores de otros sistemas no pueden funcionar en ciertas ubicaciones, horas y frecuencias debido a la aparición de interferencia inaceptable. Cabe señalar que los transmisores niegan el espacio únicamente a los receptores. El simple hecho de que en el espacio haya potencia no impide en modo alguno a otro transmisor emitir potencia en la misma ubicación; es decir, un transmisor no impide el funcionamiento de otro transmisor.</w:t>
      </w:r>
    </w:p>
    <w:p w:rsidR="00256167" w:rsidRDefault="00256167" w:rsidP="00256167">
      <w:pPr>
        <w:rPr>
          <w:lang w:val="es-ES_tradnl"/>
        </w:rPr>
      </w:pPr>
      <w:r>
        <w:rPr>
          <w:lang w:val="es-ES_tradnl"/>
        </w:rPr>
        <w:lastRenderedPageBreak/>
        <w:t>Los receptores utilizan el espectro-espacio porque lo niegan a los transmisores. El simple funcionamiento físico del receptor no provoca ninguna interferencia (salvo si actúa de forma inopinada como transmisor o fuente de potencia). Aún en ese caso, el espacio utilizado físicamente es relativamente pequeño. Sin embargo, las autoridades niegan licencias de explotación a los transmisores a fin de garantizar la recepción libre de interferencias. La protección puede ser en espacio (distancia de separación, distancia de coordinación), en frecuencia (bandas de guarda) o incluso en tiempo (en Estados Unidos de América, algunas estaciones de radiodifusión en ondas hectométricas tienen limitado su funcionamiento en horas diurnas). Esta denegación constituye la «utilización» del espacio por parte del receptor. Las bandas de radioastronomía son un ejemplo típico de reconocimiento de utilización del espacio espectral por el receptor.</w:t>
      </w:r>
    </w:p>
    <w:p w:rsidR="00256167" w:rsidRDefault="00256167" w:rsidP="00256167">
      <w:pPr>
        <w:rPr>
          <w:lang w:val="es-ES_tradnl"/>
        </w:rPr>
      </w:pPr>
      <w:r>
        <w:rPr>
          <w:lang w:val="es-ES_tradnl"/>
        </w:rPr>
        <w:t>Una forma de incorporar estas circunstancias a una unidad de medida del espectro</w:t>
      </w:r>
      <w:r>
        <w:rPr>
          <w:lang w:val="es-ES_tradnl"/>
        </w:rPr>
        <w:noBreakHyphen/>
        <w:t>espacio es dividir el recurso en dos espacios, el espacio del transmisor y el espacio del receptor, y definir unidades duales para medir la utilización de cada uno de ellos. Cuando la sencillez sea el factor más importante, ambas unidades pueden recombinarse en una sola medida para utilización del sistema.</w:t>
      </w:r>
    </w:p>
    <w:p w:rsidR="00256167" w:rsidRDefault="00256167" w:rsidP="005535DD">
      <w:pPr>
        <w:rPr>
          <w:lang w:val="es-ES_tradnl"/>
        </w:rPr>
      </w:pPr>
      <w:r>
        <w:rPr>
          <w:lang w:val="es-ES_tradnl"/>
        </w:rPr>
        <w:t>En el Capítulo</w:t>
      </w:r>
      <w:r w:rsidR="005535DD">
        <w:rPr>
          <w:lang w:val="es-ES_tradnl"/>
        </w:rPr>
        <w:t> </w:t>
      </w:r>
      <w:r>
        <w:rPr>
          <w:lang w:val="es-ES_tradnl"/>
        </w:rPr>
        <w:t>8 del Manual sobre Gestión nacional del espectro (Ginebra, 2005) aparece más información relativa al método general de cálculo del factor de utilización del espectro.</w:t>
      </w:r>
    </w:p>
    <w:p w:rsidR="00256167" w:rsidRDefault="00256167" w:rsidP="00256167">
      <w:pPr>
        <w:pStyle w:val="Heading1"/>
        <w:rPr>
          <w:lang w:val="es-ES_tradnl"/>
        </w:rPr>
      </w:pPr>
      <w:r>
        <w:rPr>
          <w:lang w:val="es-ES_tradnl"/>
        </w:rPr>
        <w:t>2</w:t>
      </w:r>
      <w:r>
        <w:rPr>
          <w:lang w:val="es-ES_tradnl"/>
        </w:rPr>
        <w:tab/>
        <w:t>Eficacia de utilización del espectro (EUE)</w:t>
      </w:r>
    </w:p>
    <w:p w:rsidR="00256167" w:rsidRPr="00BB5F17" w:rsidRDefault="00256167" w:rsidP="00256167">
      <w:pPr>
        <w:rPr>
          <w:lang w:val="es-ES"/>
        </w:rPr>
      </w:pPr>
      <w:r w:rsidRPr="00BB5F17">
        <w:rPr>
          <w:lang w:val="es-ES"/>
        </w:rPr>
        <w:t>De acuerdo con su definición, la EUE (o eficacia espectral para abreviar) de un sistema de radiocomunicaciones viene dada por una expresión compleja:</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i/>
          <w:iCs/>
          <w:lang w:val="es-ES"/>
        </w:rPr>
        <w:t xml:space="preserve">SUE = </w:t>
      </w:r>
      <w:r w:rsidRPr="00BB5F17">
        <w:rPr>
          <w:lang w:val="es-ES"/>
        </w:rPr>
        <w:t>{</w:t>
      </w:r>
      <w:r w:rsidRPr="00BB5F17">
        <w:rPr>
          <w:i/>
          <w:iCs/>
          <w:lang w:val="es-ES"/>
        </w:rPr>
        <w:t>M,</w:t>
      </w:r>
      <w:r>
        <w:rPr>
          <w:i/>
          <w:iCs/>
          <w:lang w:val="es-ES"/>
        </w:rPr>
        <w:t xml:space="preserve"> </w:t>
      </w:r>
      <w:r w:rsidRPr="00BB5F17">
        <w:rPr>
          <w:i/>
          <w:iCs/>
          <w:lang w:val="es-ES"/>
        </w:rPr>
        <w:t>U</w:t>
      </w:r>
      <w:r w:rsidRPr="00BB5F17">
        <w:rPr>
          <w:lang w:val="es-ES"/>
        </w:rPr>
        <w:t>}={</w:t>
      </w:r>
      <w:r w:rsidRPr="00BB5F17">
        <w:rPr>
          <w:i/>
          <w:iCs/>
          <w:lang w:val="es-ES"/>
        </w:rPr>
        <w:t>M,</w:t>
      </w:r>
      <w:r>
        <w:rPr>
          <w:i/>
          <w:iCs/>
          <w:lang w:val="es-ES"/>
        </w:rPr>
        <w:t xml:space="preserve"> </w:t>
      </w:r>
      <w:r w:rsidRPr="00BB5F17">
        <w:rPr>
          <w:i/>
          <w:iCs/>
          <w:lang w:val="es-ES"/>
        </w:rPr>
        <w:t>B</w:t>
      </w:r>
      <w:r>
        <w:rPr>
          <w:i/>
          <w:iCs/>
          <w:lang w:val="es-ES"/>
        </w:rPr>
        <w:t xml:space="preserve"> </w:t>
      </w:r>
      <w:r w:rsidRPr="00BB5F17">
        <w:rPr>
          <w:i/>
          <w:iCs/>
          <w:lang w:val="es-ES"/>
        </w:rPr>
        <w:t>∙</w:t>
      </w:r>
      <w:r>
        <w:rPr>
          <w:i/>
          <w:iCs/>
          <w:lang w:val="es-ES"/>
        </w:rPr>
        <w:t xml:space="preserve"> </w:t>
      </w:r>
      <w:r w:rsidRPr="00BB5F17">
        <w:rPr>
          <w:i/>
          <w:iCs/>
          <w:lang w:val="es-ES"/>
        </w:rPr>
        <w:t>S</w:t>
      </w:r>
      <w:r>
        <w:rPr>
          <w:i/>
          <w:iCs/>
          <w:lang w:val="es-ES"/>
        </w:rPr>
        <w:t xml:space="preserve"> </w:t>
      </w:r>
      <w:r w:rsidRPr="00BB5F17">
        <w:rPr>
          <w:i/>
          <w:iCs/>
          <w:lang w:val="es-ES"/>
        </w:rPr>
        <w:t>∙</w:t>
      </w:r>
      <w:r>
        <w:rPr>
          <w:i/>
          <w:iCs/>
          <w:lang w:val="es-ES"/>
        </w:rPr>
        <w:t xml:space="preserve"> </w:t>
      </w:r>
      <w:r w:rsidRPr="00BB5F17">
        <w:rPr>
          <w:i/>
          <w:iCs/>
          <w:lang w:val="es-ES"/>
        </w:rPr>
        <w:t>T</w:t>
      </w:r>
      <w:r w:rsidRPr="00BB5F17">
        <w:rPr>
          <w:lang w:val="es-ES"/>
        </w:rPr>
        <w:t>}</w:t>
      </w:r>
      <w:r w:rsidRPr="00BB5F17">
        <w:rPr>
          <w:lang w:val="es-ES"/>
        </w:rPr>
        <w:tab/>
        <w:t>(2)</w:t>
      </w:r>
    </w:p>
    <w:p w:rsidR="00256167" w:rsidRPr="007F0761" w:rsidRDefault="00256167" w:rsidP="00256167">
      <w:pPr>
        <w:pStyle w:val="Blanc"/>
        <w:rPr>
          <w:lang w:val="es-ES"/>
        </w:rPr>
      </w:pP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lang w:val="es-ES"/>
        </w:rPr>
      </w:pPr>
      <w:r w:rsidRPr="00BB5F17">
        <w:rPr>
          <w:i/>
          <w:iCs/>
          <w:lang w:val="es-ES"/>
        </w:rPr>
        <w:tab/>
        <w:t>M</w:t>
      </w:r>
      <w:r w:rsidRPr="00BB5F17">
        <w:rPr>
          <w:lang w:val="es-ES"/>
        </w:rPr>
        <w:t>:</w:t>
      </w:r>
      <w:r w:rsidRPr="00BB5F17">
        <w:rPr>
          <w:i/>
          <w:iCs/>
          <w:lang w:val="es-ES"/>
        </w:rPr>
        <w:tab/>
      </w:r>
      <w:r w:rsidRPr="00BB5F17">
        <w:rPr>
          <w:lang w:val="es-ES"/>
        </w:rPr>
        <w:t>efecto útil que se consigue con el sistema de telecomunicaciones considerado</w:t>
      </w:r>
    </w:p>
    <w:p w:rsidR="00256167" w:rsidRPr="00BB5F17" w:rsidRDefault="00256167" w:rsidP="00256167">
      <w:pPr>
        <w:pStyle w:val="Equationlegend"/>
        <w:rPr>
          <w:iCs/>
          <w:lang w:val="es-ES"/>
        </w:rPr>
      </w:pPr>
      <w:r w:rsidRPr="00BB5F17">
        <w:rPr>
          <w:i/>
          <w:lang w:val="es-ES"/>
        </w:rPr>
        <w:tab/>
        <w:t>U</w:t>
      </w:r>
      <w:r w:rsidRPr="00BB5F17">
        <w:rPr>
          <w:lang w:val="es-ES"/>
        </w:rPr>
        <w:t>:</w:t>
      </w:r>
      <w:r w:rsidRPr="00BB5F17">
        <w:rPr>
          <w:i/>
          <w:lang w:val="es-ES"/>
        </w:rPr>
        <w:tab/>
      </w:r>
      <w:r w:rsidRPr="00BB5F17">
        <w:rPr>
          <w:iCs/>
          <w:lang w:val="es-ES"/>
        </w:rPr>
        <w:t>factor de utilización del espectro para ese sistema.</w:t>
      </w:r>
    </w:p>
    <w:p w:rsidR="00256167" w:rsidRPr="00BB5F17" w:rsidRDefault="00256167" w:rsidP="00256167">
      <w:pPr>
        <w:rPr>
          <w:lang w:val="es-ES"/>
        </w:rPr>
      </w:pPr>
      <w:r w:rsidRPr="00BB5F17">
        <w:rPr>
          <w:lang w:val="es-ES"/>
        </w:rPr>
        <w:t>Si fuera necesario, el indicador de eficacia espectral complejo puede reducirse a un indicador simple: la relación entre el efecto útil y el factor de utilización del espectro:</w:t>
      </w:r>
    </w:p>
    <w:p w:rsidR="00256167" w:rsidRPr="007F0761" w:rsidRDefault="00256167" w:rsidP="00256167">
      <w:pPr>
        <w:pStyle w:val="Blanc"/>
        <w:rPr>
          <w:lang w:val="es-ES_tradnl"/>
        </w:rPr>
      </w:pPr>
    </w:p>
    <w:p w:rsidR="00256167" w:rsidRDefault="00256167" w:rsidP="00256167">
      <w:pPr>
        <w:pStyle w:val="Equation"/>
        <w:rPr>
          <w:lang w:val="es-ES_tradnl"/>
        </w:rPr>
      </w:pPr>
      <w:r w:rsidRPr="00BB5F17">
        <w:rPr>
          <w:lang w:val="es-ES"/>
        </w:rPr>
        <w:tab/>
      </w:r>
      <w:r w:rsidRPr="00BB5F17">
        <w:rPr>
          <w:lang w:val="es-ES"/>
        </w:rPr>
        <w:tab/>
      </w:r>
      <w:r w:rsidRPr="00BB5F17">
        <w:rPr>
          <w:position w:val="-24"/>
          <w:lang w:val="es-ES"/>
        </w:rPr>
        <w:object w:dxaOrig="1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30.6pt" o:ole="" fillcolor="window">
            <v:imagedata r:id="rId13" o:title=""/>
          </v:shape>
          <o:OLEObject Type="Embed" ProgID="Equation.3" ShapeID="_x0000_i1025" DrawAspect="Content" ObjectID="_1376823599" r:id="rId14"/>
        </w:object>
      </w:r>
      <w:r w:rsidRPr="00BB5F17">
        <w:rPr>
          <w:lang w:val="es-ES"/>
        </w:rPr>
        <w:tab/>
        <w:t>(2а)</w:t>
      </w:r>
    </w:p>
    <w:p w:rsidR="00256167" w:rsidRDefault="00256167" w:rsidP="00256167">
      <w:pPr>
        <w:pStyle w:val="Heading1"/>
        <w:rPr>
          <w:lang w:val="es-ES_tradnl"/>
        </w:rPr>
      </w:pPr>
      <w:r>
        <w:rPr>
          <w:lang w:val="es-ES_tradnl"/>
        </w:rPr>
        <w:t>3</w:t>
      </w:r>
      <w:r>
        <w:rPr>
          <w:lang w:val="es-ES_tradnl"/>
        </w:rPr>
        <w:tab/>
        <w:t>Eficacia relativa de utilización del espectro (ERE)</w:t>
      </w:r>
    </w:p>
    <w:p w:rsidR="00256167" w:rsidRDefault="00256167" w:rsidP="00256167">
      <w:pPr>
        <w:rPr>
          <w:lang w:val="es-ES_tradnl"/>
        </w:rPr>
      </w:pPr>
      <w:r>
        <w:rPr>
          <w:lang w:val="es-ES_tradnl"/>
        </w:rPr>
        <w:t>El concepto de ERE puede utilizarse para comparar las eficacias espectrales de dos tipos similares de sistemas de radiocomunicaciones que proporcionen el mismo servicio.</w:t>
      </w:r>
    </w:p>
    <w:p w:rsidR="00256167" w:rsidRDefault="00256167" w:rsidP="00256167">
      <w:pPr>
        <w:rPr>
          <w:lang w:val="es-ES_tradnl"/>
        </w:rPr>
      </w:pPr>
      <w:r>
        <w:rPr>
          <w:lang w:val="es-ES_tradnl"/>
        </w:rPr>
        <w:t>Esta eficacia relativa se define como la relación entre dos eficacias espectrales, una de las cuales puede ser la eficacia de un sistema utilizado como patrón de comparación. Es decir,</w:t>
      </w:r>
    </w:p>
    <w:p w:rsidR="00256167" w:rsidRPr="001D2A9C" w:rsidRDefault="00256167" w:rsidP="00256167">
      <w:pPr>
        <w:pStyle w:val="Equation"/>
        <w:rPr>
          <w:lang w:val="es-ES_tradnl"/>
        </w:rPr>
      </w:pPr>
      <w:bookmarkStart w:id="4" w:name="f003"/>
      <w:r w:rsidRPr="007F0761">
        <w:rPr>
          <w:rStyle w:val="BlancChar"/>
          <w:lang w:val="es-ES_tradnl"/>
        </w:rPr>
        <w:br/>
      </w:r>
      <w:r w:rsidRPr="001D2A9C">
        <w:rPr>
          <w:lang w:val="es-ES_tradnl"/>
        </w:rPr>
        <w:tab/>
      </w:r>
      <w:r w:rsidRPr="001D2A9C">
        <w:rPr>
          <w:lang w:val="es-ES_tradnl"/>
        </w:rPr>
        <w:tab/>
      </w:r>
      <w:r w:rsidRPr="001D2A9C">
        <w:rPr>
          <w:i/>
          <w:lang w:val="es-ES_tradnl"/>
        </w:rPr>
        <w:t>ERE</w:t>
      </w:r>
      <w:r w:rsidRPr="001D2A9C">
        <w:rPr>
          <w:lang w:val="es-ES_tradnl"/>
        </w:rPr>
        <w:t xml:space="preserve">  </w:t>
      </w:r>
      <w:r>
        <w:rPr>
          <w:rFonts w:ascii="Symbol" w:hAnsi="Symbol"/>
        </w:rPr>
        <w:t></w:t>
      </w:r>
      <w:r w:rsidRPr="001D2A9C">
        <w:rPr>
          <w:lang w:val="es-ES_tradnl"/>
        </w:rPr>
        <w:t xml:space="preserve">  </w:t>
      </w:r>
      <w:r w:rsidRPr="001D2A9C">
        <w:rPr>
          <w:i/>
          <w:lang w:val="es-ES_tradnl"/>
        </w:rPr>
        <w:t>EUE</w:t>
      </w:r>
      <w:r w:rsidRPr="001D2A9C">
        <w:rPr>
          <w:i/>
          <w:position w:val="-4"/>
          <w:sz w:val="18"/>
          <w:lang w:val="es-ES_tradnl"/>
        </w:rPr>
        <w:t>r</w:t>
      </w:r>
      <w:r w:rsidRPr="001D2A9C">
        <w:rPr>
          <w:lang w:val="es-ES_tradnl"/>
        </w:rPr>
        <w:t xml:space="preserve"> / </w:t>
      </w:r>
      <w:r w:rsidRPr="001D2A9C">
        <w:rPr>
          <w:i/>
          <w:lang w:val="es-ES_tradnl"/>
        </w:rPr>
        <w:t>EUE</w:t>
      </w:r>
      <w:r w:rsidRPr="001D2A9C">
        <w:rPr>
          <w:i/>
          <w:position w:val="-4"/>
          <w:sz w:val="18"/>
          <w:lang w:val="es-ES_tradnl"/>
        </w:rPr>
        <w:t>p</w:t>
      </w:r>
      <w:r w:rsidRPr="001D2A9C">
        <w:rPr>
          <w:lang w:val="es-ES_tradnl"/>
        </w:rPr>
        <w:tab/>
        <w:t>(3)</w:t>
      </w:r>
    </w:p>
    <w:bookmarkEnd w:id="4"/>
    <w:p w:rsidR="00256167" w:rsidRPr="007F0761" w:rsidRDefault="00256167" w:rsidP="00256167">
      <w:pPr>
        <w:pStyle w:val="Blanc"/>
        <w:rPr>
          <w:lang w:val="es-ES_tradnl"/>
        </w:rPr>
      </w:pPr>
    </w:p>
    <w:p w:rsidR="00256167" w:rsidRDefault="00256167" w:rsidP="00256167">
      <w:pPr>
        <w:keepNext/>
        <w:rPr>
          <w:lang w:val="es-ES_tradnl"/>
        </w:rPr>
      </w:pPr>
      <w:r>
        <w:rPr>
          <w:lang w:val="es-ES_tradnl"/>
        </w:rPr>
        <w:t>siendo:</w:t>
      </w:r>
    </w:p>
    <w:p w:rsidR="00256167" w:rsidRPr="007F0761" w:rsidRDefault="00256167" w:rsidP="00256167">
      <w:pPr>
        <w:pStyle w:val="Equationlegend"/>
        <w:rPr>
          <w:lang w:val="es-ES_tradnl"/>
        </w:rPr>
      </w:pPr>
      <w:r w:rsidRPr="007F0761">
        <w:rPr>
          <w:lang w:val="es-ES_tradnl"/>
        </w:rPr>
        <w:tab/>
      </w:r>
      <w:r w:rsidRPr="007F0761">
        <w:rPr>
          <w:i/>
          <w:lang w:val="es-ES_tradnl"/>
        </w:rPr>
        <w:t>ERE</w:t>
      </w:r>
      <w:r w:rsidRPr="007F0761">
        <w:rPr>
          <w:sz w:val="12"/>
          <w:lang w:val="es-ES_tradnl"/>
        </w:rPr>
        <w:t> </w:t>
      </w:r>
      <w:r w:rsidRPr="007F0761">
        <w:rPr>
          <w:lang w:val="es-ES_tradnl"/>
        </w:rPr>
        <w:t>:</w:t>
      </w:r>
      <w:r w:rsidRPr="007F0761">
        <w:rPr>
          <w:lang w:val="es-ES_tradnl"/>
        </w:rPr>
        <w:tab/>
        <w:t>eficacia relativa del espectro, es decir la relación entre las EUE</w:t>
      </w:r>
    </w:p>
    <w:p w:rsidR="00256167" w:rsidRPr="007F0761" w:rsidRDefault="00256167" w:rsidP="00256167">
      <w:pPr>
        <w:pStyle w:val="Equationlegend"/>
        <w:rPr>
          <w:lang w:val="es-ES_tradnl"/>
        </w:rPr>
      </w:pPr>
      <w:r w:rsidRPr="007F0761">
        <w:rPr>
          <w:lang w:val="es-ES_tradnl"/>
        </w:rPr>
        <w:tab/>
      </w:r>
      <w:r w:rsidRPr="007F0761">
        <w:rPr>
          <w:i/>
          <w:lang w:val="es-ES_tradnl"/>
        </w:rPr>
        <w:t>EUE</w:t>
      </w:r>
      <w:r w:rsidRPr="007F0761">
        <w:rPr>
          <w:i/>
          <w:position w:val="-4"/>
          <w:sz w:val="16"/>
          <w:lang w:val="es-ES_tradnl"/>
        </w:rPr>
        <w:t>p</w:t>
      </w:r>
      <w:r w:rsidRPr="007F0761">
        <w:rPr>
          <w:position w:val="-4"/>
          <w:sz w:val="12"/>
          <w:lang w:val="es-ES_tradnl"/>
        </w:rPr>
        <w:t> </w:t>
      </w:r>
      <w:r w:rsidRPr="007F0761">
        <w:rPr>
          <w:position w:val="-4"/>
          <w:sz w:val="18"/>
          <w:lang w:val="es-ES_tradnl"/>
        </w:rPr>
        <w:t>:</w:t>
      </w:r>
      <w:r w:rsidRPr="007F0761">
        <w:rPr>
          <w:lang w:val="es-ES_tradnl"/>
        </w:rPr>
        <w:tab/>
        <w:t>eficacia de utilización del espectro de un sistema «patrón»</w:t>
      </w:r>
    </w:p>
    <w:p w:rsidR="00256167" w:rsidRPr="007F0761" w:rsidRDefault="00256167" w:rsidP="00256167">
      <w:pPr>
        <w:pStyle w:val="Equationlegend"/>
        <w:rPr>
          <w:lang w:val="es-ES_tradnl"/>
        </w:rPr>
      </w:pPr>
      <w:r w:rsidRPr="007F0761">
        <w:rPr>
          <w:lang w:val="es-ES_tradnl"/>
        </w:rPr>
        <w:tab/>
      </w:r>
      <w:r w:rsidRPr="007F0761">
        <w:rPr>
          <w:i/>
          <w:lang w:val="es-ES_tradnl"/>
        </w:rPr>
        <w:t>EUE</w:t>
      </w:r>
      <w:r w:rsidRPr="007F0761">
        <w:rPr>
          <w:i/>
          <w:position w:val="-4"/>
          <w:sz w:val="16"/>
          <w:lang w:val="es-ES_tradnl"/>
        </w:rPr>
        <w:t>r</w:t>
      </w:r>
      <w:r w:rsidRPr="007F0761">
        <w:rPr>
          <w:position w:val="-4"/>
          <w:sz w:val="12"/>
          <w:lang w:val="es-ES_tradnl"/>
        </w:rPr>
        <w:t> </w:t>
      </w:r>
      <w:r w:rsidRPr="007F0761">
        <w:rPr>
          <w:lang w:val="es-ES_tradnl"/>
        </w:rPr>
        <w:t>:</w:t>
      </w:r>
      <w:r w:rsidRPr="007F0761">
        <w:rPr>
          <w:lang w:val="es-ES_tradnl"/>
        </w:rPr>
        <w:tab/>
        <w:t>eficacia de utilización del espectro de un sistema real.</w:t>
      </w:r>
    </w:p>
    <w:p w:rsidR="00256167" w:rsidRDefault="00256167" w:rsidP="00256167">
      <w:pPr>
        <w:keepNext/>
        <w:rPr>
          <w:lang w:val="es-ES_tradnl"/>
        </w:rPr>
      </w:pPr>
      <w:r>
        <w:rPr>
          <w:lang w:val="es-ES_tradnl"/>
        </w:rPr>
        <w:lastRenderedPageBreak/>
        <w:t>Los candidatos más adecuados para un sistema patrón son los siguientes:</w:t>
      </w:r>
    </w:p>
    <w:p w:rsidR="00256167" w:rsidRDefault="00256167" w:rsidP="00256167">
      <w:pPr>
        <w:pStyle w:val="enumlev1"/>
        <w:rPr>
          <w:lang w:val="es-ES_tradnl"/>
        </w:rPr>
      </w:pPr>
      <w:r>
        <w:rPr>
          <w:lang w:val="es-ES_tradnl"/>
        </w:rPr>
        <w:t>–</w:t>
      </w:r>
      <w:r>
        <w:rPr>
          <w:lang w:val="es-ES_tradnl"/>
        </w:rPr>
        <w:tab/>
        <w:t>el sistema más eficaz teóricamente,</w:t>
      </w:r>
    </w:p>
    <w:p w:rsidR="00256167" w:rsidRDefault="00256167" w:rsidP="00256167">
      <w:pPr>
        <w:pStyle w:val="enumlev1"/>
        <w:rPr>
          <w:lang w:val="es-ES_tradnl"/>
        </w:rPr>
      </w:pPr>
      <w:r>
        <w:rPr>
          <w:lang w:val="es-ES_tradnl"/>
        </w:rPr>
        <w:t>–</w:t>
      </w:r>
      <w:r>
        <w:rPr>
          <w:lang w:val="es-ES_tradnl"/>
        </w:rPr>
        <w:tab/>
        <w:t>un sistema que puede ser definido y comprendido fácilmente,</w:t>
      </w:r>
    </w:p>
    <w:p w:rsidR="00256167" w:rsidRDefault="00256167" w:rsidP="00256167">
      <w:pPr>
        <w:pStyle w:val="enumlev1"/>
        <w:rPr>
          <w:lang w:val="es-ES_tradnl"/>
        </w:rPr>
      </w:pPr>
      <w:r>
        <w:rPr>
          <w:lang w:val="es-ES_tradnl"/>
        </w:rPr>
        <w:t>–</w:t>
      </w:r>
      <w:r>
        <w:rPr>
          <w:lang w:val="es-ES_tradnl"/>
        </w:rPr>
        <w:tab/>
        <w:t>un sistema ampliamente utilizado que constituya, de hecho, un patrón en la industria.</w:t>
      </w:r>
    </w:p>
    <w:p w:rsidR="00256167" w:rsidRDefault="00256167" w:rsidP="00256167">
      <w:pPr>
        <w:rPr>
          <w:lang w:val="es-ES_tradnl"/>
        </w:rPr>
      </w:pPr>
      <w:r>
        <w:rPr>
          <w:lang w:val="es-ES_tradnl"/>
        </w:rPr>
        <w:t>La ERE será un número positivo con valores entre cero e infinito. Si el sistema patrón elegido es el sistema más eficaz teóricamente, la ERE variará normalmente entre cero y uno.</w:t>
      </w:r>
    </w:p>
    <w:p w:rsidR="00256167" w:rsidRDefault="00256167" w:rsidP="00256167">
      <w:pPr>
        <w:rPr>
          <w:lang w:val="es-ES_tradnl"/>
        </w:rPr>
      </w:pPr>
      <w:r>
        <w:rPr>
          <w:lang w:val="es-ES_tradnl"/>
        </w:rPr>
        <w:t>A modo de ejemplo, el sistema teóricamente más eficaz puede caracterizarse de acuerdo con los principios de la teoría de la información. La capacidad de comunicación de un canal de comunicaciones a través del cual un abonado o un oyente recibe la comunicación deseada viene determinada por la relación:</w:t>
      </w:r>
    </w:p>
    <w:p w:rsidR="00256167" w:rsidRPr="007F0761" w:rsidRDefault="00256167" w:rsidP="00256167">
      <w:pPr>
        <w:pStyle w:val="Blanc"/>
        <w:rPr>
          <w:lang w:val="es-ES_tradnl"/>
        </w:rPr>
      </w:pPr>
    </w:p>
    <w:p w:rsidR="00256167" w:rsidRDefault="00256167" w:rsidP="00256167">
      <w:pPr>
        <w:pStyle w:val="Equation"/>
        <w:rPr>
          <w:lang w:val="es-ES_tradnl"/>
        </w:rPr>
      </w:pPr>
      <w:r>
        <w:rPr>
          <w:i/>
          <w:lang w:val="es-ES_tradnl"/>
        </w:rPr>
        <w:tab/>
      </w:r>
      <w:r>
        <w:rPr>
          <w:i/>
          <w:lang w:val="es-ES_tradnl"/>
        </w:rPr>
        <w:tab/>
        <w:t>C</w:t>
      </w:r>
      <w:r w:rsidRPr="001D2A9C">
        <w:rPr>
          <w:position w:val="-4"/>
          <w:sz w:val="18"/>
          <w:lang w:val="es-ES_tradnl"/>
        </w:rPr>
        <w:t>0</w:t>
      </w:r>
      <w:r>
        <w:rPr>
          <w:lang w:val="es-ES_tradnl"/>
        </w:rPr>
        <w:t xml:space="preserve">  </w:t>
      </w:r>
      <w:r>
        <w:rPr>
          <w:rFonts w:ascii="Symbol" w:hAnsi="Symbol"/>
          <w:lang w:val="es-ES_tradnl"/>
        </w:rPr>
        <w:t></w:t>
      </w:r>
      <w:r>
        <w:rPr>
          <w:lang w:val="es-ES_tradnl"/>
        </w:rPr>
        <w:t xml:space="preserve">  </w:t>
      </w:r>
      <w:r>
        <w:rPr>
          <w:i/>
          <w:lang w:val="es-ES_tradnl"/>
        </w:rPr>
        <w:t>F</w:t>
      </w:r>
      <w:r w:rsidRPr="001D2A9C">
        <w:rPr>
          <w:position w:val="-4"/>
          <w:sz w:val="18"/>
          <w:lang w:val="es-ES_tradnl"/>
        </w:rPr>
        <w:t>0</w:t>
      </w:r>
      <w:r>
        <w:rPr>
          <w:lang w:val="es-ES_tradnl"/>
        </w:rPr>
        <w:t xml:space="preserve"> </w:t>
      </w:r>
      <w:proofErr w:type="spellStart"/>
      <w:r>
        <w:rPr>
          <w:lang w:val="es-ES_tradnl"/>
        </w:rPr>
        <w:t>ln</w:t>
      </w:r>
      <w:proofErr w:type="spellEnd"/>
      <w:r>
        <w:rPr>
          <w:i/>
          <w:sz w:val="12"/>
          <w:lang w:val="es-ES_tradnl"/>
        </w:rPr>
        <w:t> </w:t>
      </w:r>
      <w:r>
        <w:rPr>
          <w:lang w:val="es-ES_tradnl"/>
        </w:rPr>
        <w:t xml:space="preserve">(1  </w:t>
      </w:r>
      <w:r>
        <w:rPr>
          <w:rFonts w:ascii="Symbol" w:hAnsi="Symbol"/>
          <w:lang w:val="es-ES_tradnl"/>
        </w:rPr>
        <w:t></w:t>
      </w:r>
      <w:r>
        <w:rPr>
          <w:lang w:val="es-ES_tradnl"/>
        </w:rPr>
        <w:t xml:space="preserve">  </w:t>
      </w:r>
      <w:r>
        <w:rPr>
          <w:rFonts w:ascii="Symbol" w:hAnsi="Symbol"/>
          <w:lang w:val="es-ES_tradnl"/>
        </w:rPr>
        <w:t></w:t>
      </w:r>
      <w:r w:rsidRPr="001D2A9C">
        <w:rPr>
          <w:position w:val="-4"/>
          <w:sz w:val="18"/>
          <w:lang w:val="es-ES_tradnl"/>
        </w:rPr>
        <w:t>0</w:t>
      </w:r>
      <w:r>
        <w:rPr>
          <w:lang w:val="es-ES_tradnl"/>
        </w:rPr>
        <w:t>)</w:t>
      </w:r>
    </w:p>
    <w:p w:rsidR="00256167" w:rsidRPr="007F0761" w:rsidRDefault="00256167" w:rsidP="00256167">
      <w:pPr>
        <w:pStyle w:val="Blanc"/>
        <w:rPr>
          <w:lang w:val="es-ES_tradnl"/>
        </w:rPr>
      </w:pPr>
    </w:p>
    <w:p w:rsidR="00256167" w:rsidRDefault="00256167" w:rsidP="00256167">
      <w:pPr>
        <w:rPr>
          <w:lang w:val="es-ES_tradnl"/>
        </w:rPr>
      </w:pPr>
      <w:r>
        <w:rPr>
          <w:lang w:val="es-ES_tradnl"/>
        </w:rPr>
        <w:t>siendo:</w:t>
      </w:r>
    </w:p>
    <w:p w:rsidR="00256167" w:rsidRPr="007F0761" w:rsidRDefault="00256167" w:rsidP="00256167">
      <w:pPr>
        <w:pStyle w:val="Equationlegend"/>
        <w:rPr>
          <w:lang w:val="es-ES_tradnl"/>
        </w:rPr>
      </w:pPr>
      <w:r w:rsidRPr="007F0761">
        <w:rPr>
          <w:lang w:val="es-ES_tradnl"/>
        </w:rPr>
        <w:tab/>
      </w:r>
      <w:r w:rsidRPr="007F0761">
        <w:rPr>
          <w:i/>
          <w:lang w:val="es-ES_tradnl"/>
        </w:rPr>
        <w:t>F</w:t>
      </w:r>
      <w:r w:rsidRPr="007F0761">
        <w:rPr>
          <w:position w:val="-4"/>
          <w:sz w:val="16"/>
          <w:lang w:val="es-ES_tradnl"/>
        </w:rPr>
        <w:t>0</w:t>
      </w:r>
      <w:r w:rsidRPr="007F0761">
        <w:rPr>
          <w:sz w:val="12"/>
          <w:lang w:val="es-ES_tradnl"/>
        </w:rPr>
        <w:t> </w:t>
      </w:r>
      <w:r w:rsidRPr="007F0761">
        <w:rPr>
          <w:lang w:val="es-ES_tradnl"/>
        </w:rPr>
        <w:t>:</w:t>
      </w:r>
      <w:r w:rsidRPr="007F0761">
        <w:rPr>
          <w:lang w:val="es-ES_tradnl"/>
        </w:rPr>
        <w:tab/>
        <w:t>anchura de banda de la comunicación deseada</w:t>
      </w:r>
    </w:p>
    <w:p w:rsidR="00256167" w:rsidRPr="007F0761" w:rsidRDefault="00256167" w:rsidP="00256167">
      <w:pPr>
        <w:pStyle w:val="Equationlegend"/>
        <w:rPr>
          <w:lang w:val="es-ES_tradnl"/>
        </w:rPr>
      </w:pPr>
      <w:r w:rsidRPr="007F0761">
        <w:rPr>
          <w:lang w:val="es-ES_tradnl"/>
        </w:rPr>
        <w:tab/>
      </w:r>
      <w:r>
        <w:rPr>
          <w:rFonts w:ascii="Symbol" w:hAnsi="Symbol"/>
        </w:rPr>
        <w:t></w:t>
      </w:r>
      <w:r w:rsidRPr="007F0761">
        <w:rPr>
          <w:position w:val="-4"/>
          <w:sz w:val="16"/>
          <w:lang w:val="es-ES_tradnl"/>
        </w:rPr>
        <w:t>0</w:t>
      </w:r>
      <w:r w:rsidRPr="007F0761">
        <w:rPr>
          <w:position w:val="-4"/>
          <w:sz w:val="12"/>
          <w:lang w:val="es-ES_tradnl"/>
        </w:rPr>
        <w:t> </w:t>
      </w:r>
      <w:r w:rsidRPr="007F0761">
        <w:rPr>
          <w:position w:val="-4"/>
          <w:lang w:val="es-ES_tradnl"/>
        </w:rPr>
        <w:t>:</w:t>
      </w:r>
      <w:r w:rsidRPr="007F0761">
        <w:rPr>
          <w:position w:val="-4"/>
          <w:lang w:val="es-ES_tradnl"/>
        </w:rPr>
        <w:tab/>
      </w:r>
      <w:r w:rsidRPr="007F0761">
        <w:rPr>
          <w:lang w:val="es-ES_tradnl"/>
        </w:rPr>
        <w:t>relación señal ruido a la salida del receptor.</w:t>
      </w:r>
    </w:p>
    <w:p w:rsidR="00256167" w:rsidRDefault="00256167" w:rsidP="00256167">
      <w:pPr>
        <w:rPr>
          <w:lang w:val="es-ES_tradnl"/>
        </w:rPr>
      </w:pPr>
      <w:r>
        <w:rPr>
          <w:lang w:val="es-ES_tradnl"/>
        </w:rPr>
        <w:t xml:space="preserve">Si esta relación señal/ruido a la entrada del receptor es igual a la relación de protección, </w:t>
      </w:r>
      <w:r>
        <w:rPr>
          <w:rFonts w:ascii="Symbol" w:hAnsi="Symbol"/>
          <w:lang w:val="es-ES_tradnl"/>
        </w:rPr>
        <w:t></w:t>
      </w:r>
      <w:r>
        <w:rPr>
          <w:i/>
          <w:position w:val="-4"/>
          <w:sz w:val="16"/>
          <w:lang w:val="es-ES_tradnl"/>
        </w:rPr>
        <w:t>s</w:t>
      </w:r>
      <w:r w:rsidRPr="001D2A9C">
        <w:rPr>
          <w:lang w:val="es-ES_tradnl"/>
        </w:rPr>
        <w:t>,</w:t>
      </w:r>
      <w:r>
        <w:rPr>
          <w:lang w:val="es-ES_tradnl"/>
        </w:rPr>
        <w:t xml:space="preserve"> y la anchura de banda del canal de comunicaciones por el que se transmiten las señales es igual a </w:t>
      </w:r>
      <w:r>
        <w:rPr>
          <w:i/>
          <w:lang w:val="es-ES_tradnl"/>
        </w:rPr>
        <w:t>F</w:t>
      </w:r>
      <w:r>
        <w:rPr>
          <w:i/>
          <w:position w:val="-4"/>
          <w:sz w:val="16"/>
          <w:lang w:val="es-ES_tradnl"/>
        </w:rPr>
        <w:t>m</w:t>
      </w:r>
      <w:r>
        <w:rPr>
          <w:lang w:val="es-ES_tradnl"/>
        </w:rPr>
        <w:t xml:space="preserve">, la capacidad de comunicación es </w:t>
      </w:r>
      <w:r>
        <w:rPr>
          <w:i/>
          <w:lang w:val="es-ES_tradnl"/>
        </w:rPr>
        <w:t>C</w:t>
      </w:r>
      <w:r>
        <w:rPr>
          <w:i/>
          <w:position w:val="-4"/>
          <w:sz w:val="16"/>
          <w:lang w:val="es-ES_tradnl"/>
        </w:rPr>
        <w:t>p</w:t>
      </w:r>
      <w:r>
        <w:rPr>
          <w:lang w:val="es-ES_tradnl"/>
        </w:rPr>
        <w:t> </w:t>
      </w:r>
      <w:r>
        <w:rPr>
          <w:rFonts w:ascii="Symbol" w:hAnsi="Symbol"/>
          <w:lang w:val="es-ES_tradnl"/>
        </w:rPr>
        <w:t></w:t>
      </w:r>
      <w:r>
        <w:rPr>
          <w:lang w:val="es-ES_tradnl"/>
        </w:rPr>
        <w:t> </w:t>
      </w:r>
      <w:r>
        <w:rPr>
          <w:i/>
          <w:lang w:val="es-ES_tradnl"/>
        </w:rPr>
        <w:t>F</w:t>
      </w:r>
      <w:r>
        <w:rPr>
          <w:i/>
          <w:position w:val="-4"/>
          <w:sz w:val="16"/>
          <w:lang w:val="es-ES_tradnl"/>
        </w:rPr>
        <w:t>m</w:t>
      </w:r>
      <w:r>
        <w:rPr>
          <w:lang w:val="es-ES_tradnl"/>
        </w:rPr>
        <w:t> </w:t>
      </w:r>
      <w:proofErr w:type="spellStart"/>
      <w:r>
        <w:rPr>
          <w:lang w:val="es-ES_tradnl"/>
        </w:rPr>
        <w:t>ln</w:t>
      </w:r>
      <w:proofErr w:type="spellEnd"/>
      <w:r>
        <w:rPr>
          <w:i/>
          <w:sz w:val="12"/>
          <w:lang w:val="es-ES_tradnl"/>
        </w:rPr>
        <w:t> </w:t>
      </w:r>
      <w:r>
        <w:rPr>
          <w:lang w:val="es-ES_tradnl"/>
        </w:rPr>
        <w:t xml:space="preserve">(1 </w:t>
      </w:r>
      <w:r>
        <w:rPr>
          <w:rFonts w:ascii="Symbol" w:hAnsi="Symbol"/>
          <w:lang w:val="es-ES_tradnl"/>
        </w:rPr>
        <w:t></w:t>
      </w:r>
      <w:r>
        <w:rPr>
          <w:lang w:val="es-ES_tradnl"/>
        </w:rPr>
        <w:t xml:space="preserve"> </w:t>
      </w:r>
      <w:r>
        <w:rPr>
          <w:rFonts w:ascii="Symbol" w:hAnsi="Symbol"/>
          <w:lang w:val="es-ES_tradnl"/>
        </w:rPr>
        <w:t></w:t>
      </w:r>
      <w:r>
        <w:rPr>
          <w:i/>
          <w:position w:val="-4"/>
          <w:sz w:val="16"/>
          <w:lang w:val="es-ES_tradnl"/>
        </w:rPr>
        <w:t>s</w:t>
      </w:r>
      <w:r>
        <w:rPr>
          <w:lang w:val="es-ES_tradnl"/>
        </w:rPr>
        <w:t xml:space="preserve">). Este último valor debe ser mayor o igual a la capacidad de comunicación del canal por el que el abonado recibe la comunicación deseada, es decir </w:t>
      </w:r>
      <w:r>
        <w:rPr>
          <w:i/>
          <w:lang w:val="es-ES_tradnl"/>
        </w:rPr>
        <w:t>C</w:t>
      </w:r>
      <w:r>
        <w:rPr>
          <w:i/>
          <w:position w:val="-4"/>
          <w:sz w:val="16"/>
          <w:lang w:val="es-ES_tradnl"/>
        </w:rPr>
        <w:t>p</w:t>
      </w:r>
      <w:r>
        <w:rPr>
          <w:lang w:val="es-ES_tradnl"/>
        </w:rPr>
        <w:t xml:space="preserve"> </w:t>
      </w:r>
      <w:r>
        <w:rPr>
          <w:rFonts w:ascii="Symbol" w:hAnsi="Symbol"/>
          <w:lang w:val="es-ES_tradnl"/>
        </w:rPr>
        <w:t></w:t>
      </w:r>
      <w:r>
        <w:rPr>
          <w:lang w:val="es-ES_tradnl"/>
        </w:rPr>
        <w:t xml:space="preserve"> </w:t>
      </w:r>
      <w:r>
        <w:rPr>
          <w:i/>
          <w:lang w:val="es-ES_tradnl"/>
        </w:rPr>
        <w:t>C</w:t>
      </w:r>
      <w:r>
        <w:rPr>
          <w:position w:val="-4"/>
          <w:sz w:val="16"/>
          <w:lang w:val="es-ES_tradnl"/>
        </w:rPr>
        <w:t>0</w:t>
      </w:r>
      <w:r>
        <w:rPr>
          <w:lang w:val="es-ES_tradnl"/>
        </w:rPr>
        <w:t xml:space="preserve">. Por consiguiente, el mínimo valor posible de la relación de protección </w:t>
      </w:r>
      <w:r>
        <w:rPr>
          <w:rFonts w:ascii="Symbol" w:hAnsi="Symbol"/>
          <w:lang w:val="es-ES_tradnl"/>
        </w:rPr>
        <w:t></w:t>
      </w:r>
      <w:r>
        <w:rPr>
          <w:i/>
          <w:position w:val="-4"/>
          <w:sz w:val="16"/>
          <w:lang w:val="es-ES_tradnl"/>
        </w:rPr>
        <w:t>s</w:t>
      </w:r>
      <w:r>
        <w:rPr>
          <w:lang w:val="es-ES_tradnl"/>
        </w:rPr>
        <w:t xml:space="preserve"> a la que el abonado recibirá una comunicación con una relación señal/ruido igual a </w:t>
      </w:r>
      <w:r>
        <w:rPr>
          <w:rFonts w:ascii="Symbol" w:hAnsi="Symbol"/>
          <w:lang w:val="es-ES_tradnl"/>
        </w:rPr>
        <w:t></w:t>
      </w:r>
      <w:r>
        <w:rPr>
          <w:position w:val="-4"/>
          <w:sz w:val="16"/>
          <w:lang w:val="es-ES_tradnl"/>
        </w:rPr>
        <w:t>0</w:t>
      </w:r>
      <w:r>
        <w:rPr>
          <w:lang w:val="es-ES_tradnl"/>
        </w:rPr>
        <w:t xml:space="preserve"> se define como:</w:t>
      </w:r>
    </w:p>
    <w:p w:rsidR="00256167" w:rsidRPr="007F0761" w:rsidRDefault="00256167" w:rsidP="00256167">
      <w:pPr>
        <w:pStyle w:val="Blanc"/>
        <w:rPr>
          <w:lang w:val="es-ES_tradnl"/>
        </w:rPr>
      </w:pPr>
      <w:bookmarkStart w:id="5" w:name="f004"/>
    </w:p>
    <w:p w:rsidR="00256167" w:rsidRPr="001D2A9C" w:rsidRDefault="00256167" w:rsidP="00256167">
      <w:pPr>
        <w:pStyle w:val="Equation"/>
        <w:rPr>
          <w:lang w:val="es-ES_tradnl"/>
        </w:rPr>
      </w:pPr>
      <w:r w:rsidRPr="001D2A9C">
        <w:rPr>
          <w:lang w:val="es-ES_tradnl"/>
        </w:rPr>
        <w:tab/>
      </w:r>
      <w:r w:rsidRPr="001D2A9C">
        <w:rPr>
          <w:lang w:val="es-ES_tradnl"/>
        </w:rPr>
        <w:tab/>
      </w:r>
      <w:r>
        <w:fldChar w:fldCharType="begin"/>
      </w:r>
      <w:r w:rsidRPr="001D2A9C">
        <w:rPr>
          <w:lang w:val="es-ES_tradnl"/>
        </w:rPr>
        <w:instrText xml:space="preserve">eq </w:instrText>
      </w:r>
      <w:r w:rsidRPr="001D2A9C">
        <w:rPr>
          <w:rFonts w:ascii="Symbol" w:hAnsi="Symbol"/>
          <w:lang w:val="es-ES_tradnl"/>
        </w:rPr>
        <w:instrText>r</w:instrText>
      </w:r>
      <w:r w:rsidRPr="001D2A9C">
        <w:rPr>
          <w:i/>
          <w:position w:val="-4"/>
          <w:sz w:val="18"/>
          <w:lang w:val="es-ES_tradnl"/>
        </w:rPr>
        <w:instrText>s</w:instrText>
      </w:r>
      <w:r w:rsidRPr="001D2A9C">
        <w:rPr>
          <w:lang w:val="es-ES_tradnl"/>
        </w:rPr>
        <w:instrText xml:space="preserve">  =  (1  +  </w:instrText>
      </w:r>
      <w:r w:rsidRPr="001D2A9C">
        <w:rPr>
          <w:rFonts w:ascii="Symbol" w:hAnsi="Symbol"/>
          <w:lang w:val="es-ES_tradnl"/>
        </w:rPr>
        <w:instrText>r</w:instrText>
      </w:r>
      <w:r w:rsidRPr="001D2A9C">
        <w:rPr>
          <w:position w:val="-6"/>
          <w:sz w:val="18"/>
          <w:lang w:val="es-ES_tradnl"/>
        </w:rPr>
        <w:instrText>0</w:instrText>
      </w:r>
      <w:r w:rsidRPr="001D2A9C">
        <w:rPr>
          <w:lang w:val="es-ES_tradnl"/>
        </w:rPr>
        <w:instrText>)\s\up6(</w:instrText>
      </w:r>
      <w:r w:rsidRPr="001D2A9C">
        <w:rPr>
          <w:i/>
          <w:sz w:val="18"/>
          <w:lang w:val="es-ES_tradnl"/>
        </w:rPr>
        <w:instrText>F</w:instrText>
      </w:r>
      <w:r w:rsidRPr="001D2A9C">
        <w:rPr>
          <w:position w:val="-4"/>
          <w:sz w:val="14"/>
          <w:lang w:val="es-ES_tradnl"/>
        </w:rPr>
        <w:instrText>0</w:instrText>
      </w:r>
      <w:r w:rsidRPr="001D2A9C">
        <w:rPr>
          <w:rFonts w:ascii="Tms Rmn" w:hAnsi="Tms Rmn"/>
          <w:position w:val="-4"/>
          <w:sz w:val="18"/>
          <w:lang w:val="es-ES_tradnl"/>
        </w:rPr>
        <w:instrText> </w:instrText>
      </w:r>
      <w:r w:rsidRPr="001D2A9C">
        <w:rPr>
          <w:sz w:val="18"/>
          <w:lang w:val="es-ES_tradnl"/>
        </w:rPr>
        <w:instrText>/</w:instrText>
      </w:r>
      <w:r w:rsidRPr="001D2A9C">
        <w:rPr>
          <w:i/>
          <w:sz w:val="18"/>
          <w:lang w:val="es-ES_tradnl"/>
        </w:rPr>
        <w:instrText>F</w:instrText>
      </w:r>
      <w:r w:rsidRPr="001D2A9C">
        <w:rPr>
          <w:i/>
          <w:position w:val="-4"/>
          <w:sz w:val="14"/>
          <w:lang w:val="es-ES_tradnl"/>
        </w:rPr>
        <w:instrText>m</w:instrText>
      </w:r>
      <w:r w:rsidRPr="001D2A9C">
        <w:rPr>
          <w:lang w:val="es-ES_tradnl"/>
        </w:rPr>
        <w:instrText>)  –  1</w:instrText>
      </w:r>
      <w:r>
        <w:fldChar w:fldCharType="end"/>
      </w:r>
      <w:r w:rsidRPr="001D2A9C">
        <w:rPr>
          <w:lang w:val="es-ES_tradnl"/>
        </w:rPr>
        <w:tab/>
        <w:t>(4)</w:t>
      </w:r>
    </w:p>
    <w:bookmarkEnd w:id="5"/>
    <w:p w:rsidR="00256167" w:rsidRPr="007F0761" w:rsidRDefault="00256167" w:rsidP="00256167">
      <w:pPr>
        <w:pStyle w:val="Blanc"/>
        <w:rPr>
          <w:lang w:val="es-ES_tradnl"/>
        </w:rPr>
      </w:pPr>
    </w:p>
    <w:p w:rsidR="00256167" w:rsidRDefault="00256167" w:rsidP="00256167">
      <w:pPr>
        <w:rPr>
          <w:lang w:val="es-ES_tradnl"/>
        </w:rPr>
      </w:pPr>
      <w:r>
        <w:rPr>
          <w:lang w:val="es-ES_tradnl"/>
        </w:rPr>
        <w:t>La ventaja principal de calcular directamente la ERE consiste en que a menudo es mucho más fácil de calcular que las EUE. Como los sistemas proporcionan el mismo servicio, normalmente tendrán muchos factores en común (a veces, incluso componentes físicos). Ello significa que muchos factores se «cancelarán» en el cálculo antes de que deban calcularse realmente. A menudo, este hecho reduce en gran medida la complejidad de los cálculos.</w:t>
      </w:r>
    </w:p>
    <w:p w:rsidR="00256167" w:rsidRDefault="00256167" w:rsidP="00256167">
      <w:pPr>
        <w:rPr>
          <w:lang w:val="es-ES_tradnl"/>
        </w:rPr>
      </w:pPr>
      <w:r>
        <w:rPr>
          <w:lang w:val="es-ES_tradnl"/>
        </w:rPr>
        <w:t>En el Anexo 2 siguiente y en el Capítulo 8 del Manual sobre Gestión nacional del espectro (Ginebra, 2005) se presentan algunos ejemplos de cálculos de la ERE.</w:t>
      </w:r>
    </w:p>
    <w:p w:rsidR="00256167" w:rsidRDefault="00256167" w:rsidP="00256167">
      <w:pPr>
        <w:pStyle w:val="Heading1"/>
        <w:rPr>
          <w:lang w:val="es-ES_tradnl"/>
        </w:rPr>
      </w:pPr>
      <w:r>
        <w:rPr>
          <w:lang w:val="es-ES_tradnl"/>
        </w:rPr>
        <w:t>4</w:t>
      </w:r>
      <w:r>
        <w:rPr>
          <w:lang w:val="es-ES_tradnl"/>
        </w:rPr>
        <w:tab/>
        <w:t>Comparación de las eficacias de utilización del espectro</w:t>
      </w:r>
    </w:p>
    <w:p w:rsidR="00256167" w:rsidRDefault="00256167" w:rsidP="00256167">
      <w:pPr>
        <w:rPr>
          <w:lang w:val="es-ES_tradnl"/>
        </w:rPr>
      </w:pPr>
      <w:r>
        <w:rPr>
          <w:lang w:val="es-ES_tradnl"/>
        </w:rPr>
        <w:t>Como se ha descrito en los puntos anteriores, los valores de la EUE pueden calcularse para diversos sistemas y, a continuación, compararse para obtener las eficacias relativas de dichos sistemas. Sin embargo, esas comparaciones deben realizarse con precaución. Por ejemplo, las EUE calculadas para un sistema de radiocomunicaciones móviles terrestres y un sistema de radar son muy distintas. La velocidad de transferencia de información, los receptores y los transmisores de estos dos sistemas son tan diferentes que ambas EUE no son comparables y, por consiguiente, no sería especialmente útil hacerlo. En consecuencia, la comparación de la eficacia de utilización del espectro debe realizarse únicamente entre sistemas similares y que proporcionen servicios de radiocomunicaciones idénticos. Sería conveniente efectuar la comparación de la eficacia o utilización del espectro del mismo sistema a lo largo del tiempo para observar si se produce alguna mejora en la zona específica estudiada.</w:t>
      </w:r>
    </w:p>
    <w:p w:rsidR="00256167" w:rsidRDefault="00256167" w:rsidP="00256167">
      <w:pPr>
        <w:rPr>
          <w:lang w:val="es-ES_tradnl"/>
        </w:rPr>
      </w:pPr>
      <w:r>
        <w:rPr>
          <w:lang w:val="es-ES_tradnl"/>
        </w:rPr>
        <w:lastRenderedPageBreak/>
        <w:t>Cabe señalar igualmente que aunque la EUE es un factor importante, porque permite obtener la máxima cantidad de servicios a partir del espectro radioeléctrico, no es el único factor que debe considerarse. Entre otros factores que deben incluirse en la elección de una tecnología o de un sistema cabe citar los costes, la disponibilidad de equipos, la compatibilidad con equipos y técnicas existentes, la fiabilidad del sistema y las características de explotación.</w:t>
      </w:r>
    </w:p>
    <w:p w:rsidR="005977B7" w:rsidRDefault="005977B7" w:rsidP="00256167">
      <w:pPr>
        <w:rPr>
          <w:lang w:val="es-ES_tradnl"/>
        </w:rPr>
      </w:pPr>
    </w:p>
    <w:p w:rsidR="005977B7" w:rsidRDefault="005977B7" w:rsidP="00256167">
      <w:pPr>
        <w:rPr>
          <w:lang w:val="es-ES_tradnl"/>
        </w:rPr>
      </w:pPr>
    </w:p>
    <w:p w:rsidR="005977B7" w:rsidRDefault="005977B7" w:rsidP="00256167">
      <w:pPr>
        <w:rPr>
          <w:lang w:val="es-ES_tradnl"/>
        </w:rPr>
      </w:pPr>
    </w:p>
    <w:p w:rsidR="00256167" w:rsidRDefault="00256167" w:rsidP="00256167">
      <w:pPr>
        <w:rPr>
          <w:lang w:val="es-ES_tradnl"/>
        </w:rPr>
      </w:pPr>
    </w:p>
    <w:p w:rsidR="00256167" w:rsidRDefault="00256167" w:rsidP="00256167">
      <w:pPr>
        <w:rPr>
          <w:lang w:val="es-ES_tradnl"/>
        </w:rPr>
      </w:pPr>
    </w:p>
    <w:p w:rsidR="00256167" w:rsidRDefault="00256167" w:rsidP="00256167">
      <w:pPr>
        <w:pStyle w:val="AnnexNoTitle"/>
        <w:rPr>
          <w:lang w:val="es-ES_tradnl"/>
        </w:rPr>
      </w:pPr>
      <w:r>
        <w:rPr>
          <w:lang w:val="es-ES_tradnl"/>
        </w:rPr>
        <w:t>Anexo  2</w:t>
      </w:r>
      <w:r>
        <w:rPr>
          <w:lang w:val="es-ES_tradnl"/>
        </w:rPr>
        <w:br/>
      </w:r>
      <w:r>
        <w:rPr>
          <w:lang w:val="es-ES_tradnl"/>
        </w:rPr>
        <w:br/>
        <w:t>Ejemplos</w:t>
      </w:r>
    </w:p>
    <w:p w:rsidR="00256167" w:rsidRDefault="00256167" w:rsidP="00256167">
      <w:pPr>
        <w:pStyle w:val="Heading1"/>
        <w:rPr>
          <w:lang w:val="es-ES_tradnl"/>
        </w:rPr>
      </w:pPr>
      <w:r>
        <w:rPr>
          <w:lang w:val="es-ES_tradnl"/>
        </w:rPr>
        <w:t>1</w:t>
      </w:r>
      <w:r>
        <w:rPr>
          <w:lang w:val="es-ES_tradnl"/>
        </w:rPr>
        <w:tab/>
        <w:t>Utilización del espectro por sistemas de radiocomunicaciones móviles terrestres</w:t>
      </w:r>
    </w:p>
    <w:p w:rsidR="00256167" w:rsidRDefault="00256167" w:rsidP="00256167">
      <w:pPr>
        <w:pStyle w:val="Heading2"/>
        <w:rPr>
          <w:lang w:val="es-ES_tradnl"/>
        </w:rPr>
      </w:pPr>
      <w:r>
        <w:rPr>
          <w:lang w:val="es-ES_tradnl"/>
        </w:rPr>
        <w:t>1.1</w:t>
      </w:r>
      <w:r>
        <w:rPr>
          <w:lang w:val="es-ES_tradnl"/>
        </w:rPr>
        <w:tab/>
        <w:t>Utilización eficaz del espectro en un sistema radioeléctrico picocelular de interior</w:t>
      </w:r>
    </w:p>
    <w:p w:rsidR="00256167" w:rsidRDefault="00256167" w:rsidP="00256167">
      <w:pPr>
        <w:rPr>
          <w:lang w:val="es-ES_tradnl"/>
        </w:rPr>
      </w:pPr>
      <w:r>
        <w:rPr>
          <w:lang w:val="es-ES_tradnl"/>
        </w:rPr>
        <w:t>En el caso de un sistema picocelular de interior en la banda de frecuencias entre 900 MHz y 60 GHz, la EUE puede obtenerse igualmente mediante la ecuación (2). A partir de esta ecuación, la EUE de un sistema radioeléctrico picoce</w:t>
      </w:r>
      <w:r>
        <w:rPr>
          <w:lang w:val="es-ES_tradnl"/>
        </w:rPr>
        <w:softHyphen/>
        <w:t>lular de interior puede definirse como:</w:t>
      </w:r>
    </w:p>
    <w:p w:rsidR="00256167" w:rsidRDefault="00256167" w:rsidP="00256167">
      <w:pPr>
        <w:pStyle w:val="Equation"/>
        <w:rPr>
          <w:lang w:val="es-ES_tradnl"/>
        </w:rPr>
      </w:pPr>
      <w:bookmarkStart w:id="6" w:name="f005"/>
      <w:r>
        <w:rPr>
          <w:lang w:val="es-ES_tradnl"/>
        </w:rPr>
        <w:tab/>
      </w:r>
      <w:r>
        <w:rPr>
          <w:lang w:val="es-ES_tradnl"/>
        </w:rPr>
        <w:tab/>
        <w:t xml:space="preserve">Erlangs / (anchura de banda  </w:t>
      </w:r>
      <w:r>
        <w:rPr>
          <w:rFonts w:ascii="Symbol" w:hAnsi="Symbol"/>
          <w:lang w:val="es-ES_tradnl"/>
        </w:rPr>
        <w:t></w:t>
      </w:r>
      <w:r>
        <w:rPr>
          <w:lang w:val="es-ES_tradnl"/>
        </w:rPr>
        <w:t xml:space="preserve">  </w:t>
      </w:r>
      <w:proofErr w:type="spellStart"/>
      <w:r>
        <w:rPr>
          <w:lang w:val="es-ES_tradnl"/>
        </w:rPr>
        <w:t>superfice</w:t>
      </w:r>
      <w:proofErr w:type="spellEnd"/>
      <w:r>
        <w:rPr>
          <w:lang w:val="es-ES_tradnl"/>
        </w:rPr>
        <w:t>)</w:t>
      </w:r>
      <w:r>
        <w:rPr>
          <w:lang w:val="es-ES_tradnl"/>
        </w:rPr>
        <w:tab/>
        <w:t>(5)</w:t>
      </w:r>
      <w:bookmarkEnd w:id="6"/>
    </w:p>
    <w:p w:rsidR="00256167" w:rsidRDefault="00256167" w:rsidP="00256167">
      <w:pPr>
        <w:rPr>
          <w:lang w:val="es-ES_tradnl"/>
        </w:rPr>
      </w:pPr>
      <w:r>
        <w:rPr>
          <w:lang w:val="es-ES_tradnl"/>
        </w:rPr>
        <w:t xml:space="preserve">siendo Erlangs, el tráfico vocal total cursado por el sistema picocelular, anchura de banda, la cantidad total de espectro utilizado por el sistema y superficie, el área total de servicio cubierta por el sistema. Como los sistemas </w:t>
      </w:r>
      <w:proofErr w:type="spellStart"/>
      <w:r>
        <w:rPr>
          <w:lang w:val="es-ES_tradnl"/>
        </w:rPr>
        <w:t>picocelulares</w:t>
      </w:r>
      <w:proofErr w:type="spellEnd"/>
      <w:r>
        <w:rPr>
          <w:lang w:val="es-ES_tradnl"/>
        </w:rPr>
        <w:t xml:space="preserve"> se implantan en edificios de gran altura, para calcular la eficacia del espectro se utiliza la superficie total de los pisos. Puede entonces determinarse el número de canales necesarios por celda basándose en las tablas de Erlang B para un número determinado de usuarios en cada piso y un volumen de tráfico concreto por usuario.</w:t>
      </w:r>
    </w:p>
    <w:p w:rsidR="00256167" w:rsidRDefault="00256167" w:rsidP="00256167">
      <w:pPr>
        <w:pStyle w:val="Heading3"/>
        <w:rPr>
          <w:lang w:val="es-ES_tradnl"/>
        </w:rPr>
      </w:pPr>
      <w:r>
        <w:rPr>
          <w:lang w:val="es-ES_tradnl"/>
        </w:rPr>
        <w:t>1.1.1</w:t>
      </w:r>
      <w:r>
        <w:rPr>
          <w:lang w:val="es-ES_tradnl"/>
        </w:rPr>
        <w:tab/>
        <w:t>Sistema picocelular que cubre un edificio</w:t>
      </w:r>
    </w:p>
    <w:p w:rsidR="00256167" w:rsidRDefault="00256167" w:rsidP="00256167">
      <w:pPr>
        <w:rPr>
          <w:lang w:val="es-ES_tradnl"/>
        </w:rPr>
      </w:pPr>
      <w:r>
        <w:rPr>
          <w:lang w:val="es-ES_tradnl"/>
        </w:rPr>
        <w:t>Para calcular la anchura de banda total necesaria para todo el edificio, se necesita conocer la distancia de reutilización vertical en término del número de pisos. Este parámetro depende de las pérdidas en los pisos y es distinto para diferentes tipos de edificios.</w:t>
      </w:r>
    </w:p>
    <w:p w:rsidR="00256167" w:rsidRDefault="00256167" w:rsidP="00256167">
      <w:pPr>
        <w:rPr>
          <w:lang w:val="es-ES_tradnl"/>
        </w:rPr>
      </w:pPr>
      <w:r>
        <w:rPr>
          <w:lang w:val="es-ES_tradnl"/>
        </w:rPr>
        <w:t>Puede entonces calcularse el número total de canales semidúplex necesarios para el edificio que es igual a:</w:t>
      </w:r>
    </w:p>
    <w:p w:rsidR="00256167" w:rsidRPr="001D2A9C" w:rsidRDefault="00256167" w:rsidP="00256167">
      <w:pPr>
        <w:pStyle w:val="Equation"/>
        <w:rPr>
          <w:lang w:val="es-ES_tradnl"/>
        </w:rPr>
      </w:pPr>
      <w:r>
        <w:rPr>
          <w:lang w:val="es-ES_tradnl"/>
        </w:rPr>
        <w:tab/>
      </w:r>
      <w:r>
        <w:rPr>
          <w:lang w:val="es-ES_tradnl"/>
        </w:rPr>
        <w:tab/>
      </w:r>
      <w:r w:rsidRPr="001D2A9C">
        <w:rPr>
          <w:lang w:val="es-ES_tradnl"/>
        </w:rPr>
        <w:t xml:space="preserve">2  </w:t>
      </w:r>
      <w:r>
        <w:rPr>
          <w:rFonts w:ascii="Symbol" w:hAnsi="Symbol"/>
        </w:rPr>
        <w:t></w:t>
      </w:r>
      <w:r w:rsidRPr="001D2A9C">
        <w:rPr>
          <w:lang w:val="es-ES_tradnl"/>
        </w:rPr>
        <w:t xml:space="preserve">  N.° de canales por celda  </w:t>
      </w:r>
      <w:r>
        <w:rPr>
          <w:rFonts w:ascii="Symbol" w:hAnsi="Symbol"/>
        </w:rPr>
        <w:t></w:t>
      </w:r>
      <w:r w:rsidRPr="001D2A9C">
        <w:rPr>
          <w:lang w:val="es-ES_tradnl"/>
        </w:rPr>
        <w:t xml:space="preserve">  N.° de celdas por piso  </w:t>
      </w:r>
      <w:r>
        <w:rPr>
          <w:rFonts w:ascii="Symbol" w:hAnsi="Symbol"/>
        </w:rPr>
        <w:t></w:t>
      </w:r>
      <w:r w:rsidRPr="001D2A9C">
        <w:rPr>
          <w:lang w:val="es-ES_tradnl"/>
        </w:rPr>
        <w:t xml:space="preserve">  N.° de pisos de separación</w:t>
      </w:r>
    </w:p>
    <w:p w:rsidR="00256167" w:rsidRDefault="00256167" w:rsidP="00256167">
      <w:pPr>
        <w:rPr>
          <w:lang w:val="es-ES_tradnl"/>
        </w:rPr>
      </w:pPr>
      <w:r>
        <w:rPr>
          <w:lang w:val="es-ES_tradnl"/>
        </w:rPr>
        <w:t>Es preciso incluir el factor 2 para reflejar el número de canales necesarios en las comunicaciones bidireccionales.</w:t>
      </w:r>
    </w:p>
    <w:p w:rsidR="00256167" w:rsidRDefault="00256167" w:rsidP="00256167">
      <w:pPr>
        <w:rPr>
          <w:lang w:val="es-ES_tradnl"/>
        </w:rPr>
      </w:pPr>
      <w:r>
        <w:rPr>
          <w:lang w:val="es-ES_tradnl"/>
        </w:rPr>
        <w:t xml:space="preserve">La utilización eficaz del espectro, </w:t>
      </w:r>
      <w:r>
        <w:rPr>
          <w:i/>
          <w:lang w:val="es-ES_tradnl"/>
        </w:rPr>
        <w:t>EUE</w:t>
      </w:r>
      <w:r>
        <w:rPr>
          <w:i/>
          <w:position w:val="-4"/>
          <w:sz w:val="16"/>
          <w:lang w:val="es-ES_tradnl"/>
        </w:rPr>
        <w:t>edificio</w:t>
      </w:r>
      <w:r>
        <w:rPr>
          <w:lang w:val="es-ES_tradnl"/>
        </w:rPr>
        <w:t>, del sistema que proporciona cobertura en el edificio puede calcularse mediante la ecuación (5):</w:t>
      </w:r>
    </w:p>
    <w:bookmarkStart w:id="7" w:name="f006"/>
    <w:p w:rsidR="00256167" w:rsidRPr="001D2A9C" w:rsidRDefault="00256167" w:rsidP="00256167">
      <w:pPr>
        <w:pStyle w:val="Equation"/>
        <w:jc w:val="center"/>
        <w:rPr>
          <w:lang w:val="es-ES_tradnl"/>
        </w:rPr>
      </w:pPr>
      <w:r w:rsidRPr="00166AF9">
        <w:rPr>
          <w:position w:val="-30"/>
        </w:rPr>
        <w:object w:dxaOrig="8880" w:dyaOrig="680">
          <v:shape id="_x0000_i1026" type="#_x0000_t75" style="width:443.4pt;height:33.6pt" o:ole="">
            <v:imagedata r:id="rId15" o:title=""/>
          </v:shape>
          <o:OLEObject Type="Embed" ProgID="Equation.3" ShapeID="_x0000_i1026" DrawAspect="Content" ObjectID="_1376823600" r:id="rId16"/>
        </w:object>
      </w:r>
      <w:r w:rsidRPr="007F0761">
        <w:rPr>
          <w:lang w:val="es-ES_tradnl"/>
        </w:rPr>
        <w:tab/>
        <w:t>(6)</w:t>
      </w:r>
    </w:p>
    <w:bookmarkEnd w:id="7"/>
    <w:p w:rsidR="00256167" w:rsidRDefault="00256167" w:rsidP="00877674">
      <w:pPr>
        <w:keepNext/>
        <w:keepLines/>
        <w:rPr>
          <w:lang w:val="es-ES_tradnl"/>
        </w:rPr>
      </w:pPr>
      <w:r>
        <w:rPr>
          <w:lang w:val="es-ES_tradnl"/>
        </w:rPr>
        <w:lastRenderedPageBreak/>
        <w:t>Ejemplo:</w:t>
      </w:r>
    </w:p>
    <w:p w:rsidR="00256167" w:rsidRDefault="00256167" w:rsidP="00877674">
      <w:pPr>
        <w:keepNext/>
        <w:keepLines/>
        <w:rPr>
          <w:lang w:val="es-ES_tradnl"/>
        </w:rPr>
      </w:pPr>
      <w:r>
        <w:rPr>
          <w:i/>
          <w:lang w:val="es-ES_tradnl"/>
        </w:rPr>
        <w:t>Sistema de interior que funciona a 900 MHz:</w:t>
      </w:r>
    </w:p>
    <w:p w:rsidR="00256167" w:rsidRDefault="00256167" w:rsidP="00877674">
      <w:pPr>
        <w:pStyle w:val="enumlev1"/>
        <w:keepNext/>
        <w:keepLines/>
        <w:tabs>
          <w:tab w:val="clear" w:pos="1191"/>
          <w:tab w:val="clear" w:pos="1588"/>
          <w:tab w:val="clear" w:pos="1985"/>
          <w:tab w:val="left" w:pos="4536"/>
          <w:tab w:val="left" w:pos="5103"/>
        </w:tabs>
        <w:ind w:left="0" w:firstLine="0"/>
        <w:rPr>
          <w:lang w:val="es-ES_tradnl"/>
        </w:rPr>
      </w:pPr>
      <w:r>
        <w:rPr>
          <w:lang w:val="es-ES_tradnl"/>
        </w:rPr>
        <w:tab/>
        <w:t>Anchura de banda de un canal (semidúplex)</w:t>
      </w:r>
      <w:r>
        <w:rPr>
          <w:lang w:val="es-ES_tradnl"/>
        </w:rPr>
        <w:tab/>
      </w:r>
      <w:r>
        <w:rPr>
          <w:lang w:val="es-ES_tradnl"/>
        </w:rPr>
        <w:t> </w:t>
      </w:r>
      <w:r>
        <w:rPr>
          <w:lang w:val="es-ES_tradnl"/>
        </w:rPr>
        <w:t>25 kHz</w:t>
      </w:r>
    </w:p>
    <w:p w:rsidR="00256167" w:rsidRDefault="00256167" w:rsidP="00256167">
      <w:pPr>
        <w:pStyle w:val="enumlev1"/>
        <w:tabs>
          <w:tab w:val="clear" w:pos="1191"/>
          <w:tab w:val="clear" w:pos="1588"/>
          <w:tab w:val="clear" w:pos="1985"/>
          <w:tab w:val="left" w:pos="5040"/>
          <w:tab w:val="left" w:pos="5103"/>
        </w:tabs>
        <w:ind w:left="0" w:firstLine="0"/>
        <w:rPr>
          <w:lang w:val="es-ES_tradnl"/>
        </w:rPr>
      </w:pPr>
      <w:r>
        <w:rPr>
          <w:lang w:val="es-ES_tradnl"/>
        </w:rPr>
        <w:tab/>
        <w:t>N.° de canales por celda</w:t>
      </w:r>
      <w:r>
        <w:rPr>
          <w:lang w:val="es-ES_tradnl"/>
        </w:rPr>
        <w:tab/>
      </w:r>
      <w:r>
        <w:rPr>
          <w:lang w:val="es-ES_tradnl"/>
        </w:rPr>
        <w:t> </w:t>
      </w:r>
      <w:r>
        <w:rPr>
          <w:lang w:val="es-ES_tradnl"/>
        </w:rPr>
        <w:t>10</w:t>
      </w:r>
    </w:p>
    <w:p w:rsidR="00256167" w:rsidRDefault="00256167" w:rsidP="00256167">
      <w:pPr>
        <w:pStyle w:val="enumlev1"/>
        <w:tabs>
          <w:tab w:val="clear" w:pos="1191"/>
          <w:tab w:val="clear" w:pos="1588"/>
          <w:tab w:val="clear" w:pos="1985"/>
          <w:tab w:val="left" w:pos="5103"/>
        </w:tabs>
        <w:ind w:left="0" w:firstLine="0"/>
        <w:rPr>
          <w:lang w:val="es-ES_tradnl"/>
        </w:rPr>
      </w:pPr>
      <w:r>
        <w:rPr>
          <w:lang w:val="es-ES_tradnl"/>
        </w:rPr>
        <w:tab/>
        <w:t>N.° de celdas por piso</w:t>
      </w:r>
      <w:r>
        <w:rPr>
          <w:lang w:val="es-ES_tradnl"/>
        </w:rPr>
        <w:tab/>
      </w:r>
      <w:r>
        <w:rPr>
          <w:lang w:val="es-ES_tradnl"/>
        </w:rPr>
        <w:t> </w:t>
      </w:r>
      <w:r>
        <w:rPr>
          <w:lang w:val="es-ES_tradnl"/>
        </w:rPr>
        <w:t>4</w:t>
      </w:r>
    </w:p>
    <w:p w:rsidR="00256167" w:rsidRDefault="00256167" w:rsidP="00256167">
      <w:pPr>
        <w:pStyle w:val="enumlev1"/>
        <w:tabs>
          <w:tab w:val="clear" w:pos="1191"/>
          <w:tab w:val="clear" w:pos="1588"/>
          <w:tab w:val="clear" w:pos="1985"/>
          <w:tab w:val="left" w:pos="5103"/>
        </w:tabs>
        <w:ind w:left="0" w:firstLine="0"/>
        <w:rPr>
          <w:lang w:val="es-ES_tradnl"/>
        </w:rPr>
      </w:pPr>
      <w:r>
        <w:rPr>
          <w:lang w:val="es-ES_tradnl"/>
        </w:rPr>
        <w:tab/>
        <w:t>N.° de pisos de separación</w:t>
      </w:r>
      <w:r>
        <w:rPr>
          <w:lang w:val="es-ES_tradnl"/>
        </w:rPr>
        <w:tab/>
      </w:r>
      <w:r>
        <w:rPr>
          <w:lang w:val="es-ES_tradnl"/>
        </w:rPr>
        <w:t> </w:t>
      </w:r>
      <w:r>
        <w:rPr>
          <w:lang w:val="es-ES_tradnl"/>
        </w:rPr>
        <w:t>3</w:t>
      </w:r>
    </w:p>
    <w:p w:rsidR="00256167" w:rsidRDefault="00256167" w:rsidP="00256167">
      <w:pPr>
        <w:pStyle w:val="enumlev1"/>
        <w:tabs>
          <w:tab w:val="clear" w:pos="1191"/>
          <w:tab w:val="clear" w:pos="1588"/>
          <w:tab w:val="clear" w:pos="1985"/>
          <w:tab w:val="left" w:pos="5103"/>
        </w:tabs>
        <w:ind w:left="0" w:firstLine="0"/>
        <w:rPr>
          <w:lang w:val="es-ES_tradnl"/>
        </w:rPr>
      </w:pPr>
      <w:r>
        <w:rPr>
          <w:lang w:val="es-ES_tradnl"/>
        </w:rPr>
        <w:tab/>
        <w:t>N.° total de canales necesarios</w:t>
      </w:r>
      <w:r>
        <w:rPr>
          <w:lang w:val="es-ES_tradnl"/>
        </w:rPr>
        <w:tab/>
        <w:t>120</w:t>
      </w:r>
    </w:p>
    <w:p w:rsidR="00256167" w:rsidRDefault="00256167" w:rsidP="00256167">
      <w:pPr>
        <w:rPr>
          <w:lang w:val="es-ES_tradnl"/>
        </w:rPr>
      </w:pPr>
      <w:r>
        <w:rPr>
          <w:lang w:val="es-ES_tradnl"/>
        </w:rPr>
        <w:t xml:space="preserve">Para un grado de servicio del 0,5%, el tráfico cursado en un piso </w:t>
      </w:r>
      <w:r>
        <w:rPr>
          <w:rFonts w:ascii="Symbol" w:hAnsi="Symbol"/>
          <w:lang w:val="es-ES_tradnl"/>
        </w:rPr>
        <w:t></w:t>
      </w:r>
      <w:r>
        <w:rPr>
          <w:lang w:val="es-ES_tradnl"/>
        </w:rPr>
        <w:t xml:space="preserve"> </w:t>
      </w:r>
      <w:r>
        <w:rPr>
          <w:i/>
          <w:lang w:val="es-ES_tradnl"/>
        </w:rPr>
        <w:t>T</w:t>
      </w:r>
      <w:r>
        <w:rPr>
          <w:i/>
          <w:position w:val="-4"/>
          <w:sz w:val="16"/>
          <w:lang w:val="es-ES_tradnl"/>
        </w:rPr>
        <w:t>f</w:t>
      </w:r>
      <w:r>
        <w:rPr>
          <w:lang w:val="es-ES_tradnl"/>
        </w:rPr>
        <w:t xml:space="preserve">  </w:t>
      </w:r>
      <w:r>
        <w:rPr>
          <w:rFonts w:ascii="Symbol" w:hAnsi="Symbol"/>
          <w:lang w:val="es-ES_tradnl"/>
        </w:rPr>
        <w:t></w:t>
      </w:r>
      <w:r>
        <w:rPr>
          <w:lang w:val="es-ES_tradnl"/>
        </w:rPr>
        <w:t xml:space="preserve">  16 E o 2 </w:t>
      </w:r>
      <w:r>
        <w:rPr>
          <w:i/>
          <w:lang w:val="es-ES_tradnl"/>
        </w:rPr>
        <w:t>T</w:t>
      </w:r>
      <w:r>
        <w:rPr>
          <w:i/>
          <w:position w:val="-4"/>
          <w:sz w:val="16"/>
          <w:lang w:val="es-ES_tradnl"/>
        </w:rPr>
        <w:t>f</w:t>
      </w:r>
      <w:r w:rsidRPr="001D2A9C">
        <w:rPr>
          <w:lang w:val="es-ES_tradnl"/>
        </w:rPr>
        <w:t xml:space="preserve">  </w:t>
      </w:r>
      <w:r>
        <w:rPr>
          <w:lang w:val="es-ES_tradnl"/>
        </w:rPr>
        <w:t>debido a las estaciones base y móvil.</w:t>
      </w:r>
    </w:p>
    <w:p w:rsidR="00256167" w:rsidRPr="002E6011" w:rsidRDefault="00256167" w:rsidP="00256167">
      <w:pPr>
        <w:pStyle w:val="Blanc"/>
        <w:rPr>
          <w:lang w:val="es-ES_tradnl"/>
        </w:rPr>
      </w:pPr>
      <w:bookmarkStart w:id="8" w:name="f007"/>
    </w:p>
    <w:p w:rsidR="00256167" w:rsidRPr="001D2A9C" w:rsidRDefault="00256167" w:rsidP="00256167">
      <w:pPr>
        <w:pStyle w:val="Equation"/>
        <w:rPr>
          <w:lang w:val="es-ES_tradnl"/>
        </w:rPr>
      </w:pPr>
      <w:r w:rsidRPr="002E6011">
        <w:rPr>
          <w:lang w:val="es-ES_tradnl"/>
        </w:rPr>
        <w:tab/>
      </w:r>
      <w:r w:rsidRPr="002E6011">
        <w:rPr>
          <w:lang w:val="es-ES_tradnl"/>
        </w:rPr>
        <w:tab/>
      </w:r>
      <w:r w:rsidRPr="00166AF9">
        <w:rPr>
          <w:position w:val="-30"/>
        </w:rPr>
        <w:object w:dxaOrig="5640" w:dyaOrig="680">
          <v:shape id="_x0000_i1027" type="#_x0000_t75" style="width:282pt;height:33.6pt" o:ole="">
            <v:imagedata r:id="rId17" o:title=""/>
          </v:shape>
          <o:OLEObject Type="Embed" ProgID="Equation.3" ShapeID="_x0000_i1027" DrawAspect="Content" ObjectID="_1376823601" r:id="rId18"/>
        </w:object>
      </w:r>
      <w:r w:rsidRPr="007F0761">
        <w:rPr>
          <w:lang w:val="es-ES_tradnl"/>
        </w:rPr>
        <w:tab/>
        <w:t>(7)</w:t>
      </w:r>
    </w:p>
    <w:bookmarkEnd w:id="8"/>
    <w:p w:rsidR="00256167" w:rsidRDefault="00256167" w:rsidP="00256167">
      <w:pPr>
        <w:rPr>
          <w:lang w:val="es-ES_tradnl"/>
        </w:rPr>
      </w:pPr>
      <w:r>
        <w:rPr>
          <w:lang w:val="es-ES_tradnl"/>
        </w:rPr>
        <w:t xml:space="preserve">Si cada piso tiene 25 m  </w:t>
      </w:r>
      <w:r>
        <w:rPr>
          <w:rFonts w:ascii="Symbol" w:hAnsi="Symbol"/>
          <w:lang w:val="es-ES_tradnl"/>
        </w:rPr>
        <w:t></w:t>
      </w:r>
      <w:r>
        <w:rPr>
          <w:lang w:val="es-ES_tradnl"/>
        </w:rPr>
        <w:t xml:space="preserve">  55 m, </w:t>
      </w:r>
      <w:r>
        <w:rPr>
          <w:i/>
          <w:lang w:val="es-ES_tradnl"/>
        </w:rPr>
        <w:t>EUE</w:t>
      </w:r>
      <w:r>
        <w:rPr>
          <w:i/>
          <w:position w:val="-4"/>
          <w:sz w:val="16"/>
          <w:lang w:val="es-ES_tradnl"/>
        </w:rPr>
        <w:t>edificio</w:t>
      </w:r>
      <w:r>
        <w:rPr>
          <w:lang w:val="es-ES_tradnl"/>
        </w:rPr>
        <w:t xml:space="preserve">  </w:t>
      </w:r>
      <w:r>
        <w:rPr>
          <w:rFonts w:ascii="Symbol" w:hAnsi="Symbol"/>
          <w:lang w:val="es-ES_tradnl"/>
        </w:rPr>
        <w:t></w:t>
      </w:r>
      <w:r>
        <w:rPr>
          <w:lang w:val="es-ES_tradnl"/>
        </w:rPr>
        <w:t xml:space="preserve">  3</w:t>
      </w:r>
      <w:r>
        <w:rPr>
          <w:rFonts w:ascii="Tms Rmn" w:hAnsi="Tms Rmn"/>
          <w:sz w:val="12"/>
          <w:lang w:val="es-ES_tradnl"/>
        </w:rPr>
        <w:t> </w:t>
      </w:r>
      <w:r>
        <w:rPr>
          <w:lang w:val="es-ES_tradnl"/>
        </w:rPr>
        <w:t>880 E/MHz/</w:t>
      </w:r>
      <w:r>
        <w:rPr>
          <w:rFonts w:ascii="Tms Rmn" w:hAnsi="Tms Rmn"/>
          <w:sz w:val="12"/>
          <w:lang w:val="es-ES_tradnl"/>
        </w:rPr>
        <w:t> </w:t>
      </w:r>
      <w:r>
        <w:rPr>
          <w:lang w:val="es-ES_tradnl"/>
        </w:rPr>
        <w:t>km</w:t>
      </w:r>
      <w:r>
        <w:rPr>
          <w:position w:val="6"/>
          <w:sz w:val="16"/>
          <w:lang w:val="es-ES_tradnl"/>
        </w:rPr>
        <w:t>2</w:t>
      </w:r>
      <w:r w:rsidRPr="001D2A9C">
        <w:rPr>
          <w:lang w:val="es-ES_tradnl"/>
        </w:rPr>
        <w:t>.</w:t>
      </w:r>
    </w:p>
    <w:p w:rsidR="00256167" w:rsidRDefault="00256167" w:rsidP="00256167">
      <w:pPr>
        <w:pStyle w:val="Heading3"/>
        <w:rPr>
          <w:lang w:val="es-ES_tradnl"/>
        </w:rPr>
      </w:pPr>
      <w:r>
        <w:rPr>
          <w:lang w:val="es-ES_tradnl"/>
        </w:rPr>
        <w:t>1.1.2</w:t>
      </w:r>
      <w:r>
        <w:rPr>
          <w:lang w:val="es-ES_tradnl"/>
        </w:rPr>
        <w:tab/>
        <w:t>Sistema picocelular que cubre un centro urbano</w:t>
      </w:r>
    </w:p>
    <w:p w:rsidR="00256167" w:rsidRDefault="00256167" w:rsidP="00256167">
      <w:pPr>
        <w:rPr>
          <w:lang w:val="es-ES_tradnl"/>
        </w:rPr>
      </w:pPr>
      <w:r>
        <w:rPr>
          <w:lang w:val="es-ES_tradnl"/>
        </w:rPr>
        <w:t>De forma similar, la anchura de banda necesaria para cubrir toda la superficie de un centro urbano puede calcularse también si se conoce la distancia de reutilización horizontal. También en este caso, dicho parámetro depende del material de los edificios y de las pérdidas de propagación de la señal en el interior y exterior de los mismos. Esta distancia de reutilización afecta directamente al número de edificios que pueden situarse en una agrupación (o grupo de interferencia).</w:t>
      </w:r>
    </w:p>
    <w:p w:rsidR="00256167" w:rsidRDefault="00256167" w:rsidP="00256167">
      <w:pPr>
        <w:rPr>
          <w:lang w:val="es-ES_tradnl"/>
        </w:rPr>
      </w:pPr>
      <w:r>
        <w:rPr>
          <w:lang w:val="es-ES_tradnl"/>
        </w:rPr>
        <w:t>En este caso, el número total de canales semidúplex necesarios en todo el centro urbano a cubrir es igual a:</w:t>
      </w:r>
    </w:p>
    <w:p w:rsidR="00256167" w:rsidRPr="001D2A9C" w:rsidRDefault="00256167" w:rsidP="00256167">
      <w:pPr>
        <w:jc w:val="center"/>
        <w:rPr>
          <w:lang w:val="es-ES_tradnl"/>
        </w:rPr>
      </w:pPr>
      <w:r w:rsidRPr="001D2A9C">
        <w:rPr>
          <w:lang w:val="es-ES_tradnl"/>
        </w:rPr>
        <w:t xml:space="preserve">2  </w:t>
      </w:r>
      <w:r>
        <w:rPr>
          <w:rFonts w:ascii="Symbol" w:hAnsi="Symbol"/>
        </w:rPr>
        <w:t></w:t>
      </w:r>
      <w:r w:rsidRPr="001D2A9C">
        <w:rPr>
          <w:lang w:val="es-ES_tradnl"/>
        </w:rPr>
        <w:t xml:space="preserve">  N.° de canales por edificio  </w:t>
      </w:r>
      <w:r>
        <w:rPr>
          <w:rFonts w:ascii="Symbol" w:hAnsi="Symbol"/>
        </w:rPr>
        <w:t></w:t>
      </w:r>
      <w:r w:rsidRPr="001D2A9C">
        <w:rPr>
          <w:lang w:val="es-ES_tradnl"/>
        </w:rPr>
        <w:t xml:space="preserve">  N.° de edificios por agrupación</w:t>
      </w:r>
    </w:p>
    <w:p w:rsidR="00092FBD" w:rsidRPr="007F0761" w:rsidRDefault="00092FBD" w:rsidP="00092FBD">
      <w:pPr>
        <w:pStyle w:val="Blanc"/>
        <w:rPr>
          <w:lang w:val="es-ES_tradnl"/>
        </w:rPr>
      </w:pPr>
    </w:p>
    <w:p w:rsidR="00256167" w:rsidRDefault="00256167" w:rsidP="00256167">
      <w:pPr>
        <w:rPr>
          <w:lang w:val="es-ES_tradnl"/>
        </w:rPr>
      </w:pPr>
      <w:r>
        <w:rPr>
          <w:lang w:val="es-ES_tradnl"/>
        </w:rPr>
        <w:t>También en este caso se incluye el factor 2 a fin de reflejar el número de canales precisos para comunicaciones bidireccionales.</w:t>
      </w:r>
    </w:p>
    <w:p w:rsidR="00256167" w:rsidRDefault="00256167" w:rsidP="00256167">
      <w:pPr>
        <w:rPr>
          <w:lang w:val="es-ES_tradnl"/>
        </w:rPr>
      </w:pPr>
      <w:r>
        <w:rPr>
          <w:lang w:val="es-ES_tradnl"/>
        </w:rPr>
        <w:t xml:space="preserve">La eficacia de utilización del espectro, </w:t>
      </w:r>
      <w:r>
        <w:rPr>
          <w:i/>
          <w:lang w:val="es-ES_tradnl"/>
        </w:rPr>
        <w:t>EUE</w:t>
      </w:r>
      <w:r>
        <w:rPr>
          <w:i/>
          <w:position w:val="-4"/>
          <w:sz w:val="16"/>
          <w:lang w:val="es-ES_tradnl"/>
        </w:rPr>
        <w:t>zona</w:t>
      </w:r>
      <w:r>
        <w:rPr>
          <w:lang w:val="es-ES_tradnl"/>
        </w:rPr>
        <w:t>, del sistema que proporciona cobertura a todo el centro urbano puede calcularse mediante la ecuación (5):</w:t>
      </w:r>
    </w:p>
    <w:p w:rsidR="00256167" w:rsidRPr="007F0761" w:rsidRDefault="00256167" w:rsidP="00256167">
      <w:pPr>
        <w:pStyle w:val="Blanc"/>
        <w:rPr>
          <w:lang w:val="es-ES_tradnl"/>
        </w:rPr>
      </w:pPr>
      <w:bookmarkStart w:id="9" w:name="f008"/>
    </w:p>
    <w:p w:rsidR="00256167" w:rsidRPr="001D2A9C" w:rsidRDefault="00092FBD" w:rsidP="00092FBD">
      <w:pPr>
        <w:pStyle w:val="Equation"/>
        <w:jc w:val="center"/>
        <w:rPr>
          <w:lang w:val="es-ES_tradnl"/>
        </w:rPr>
      </w:pPr>
      <w:r w:rsidRPr="00092FBD">
        <w:rPr>
          <w:lang w:val="es-ES_tradnl"/>
        </w:rPr>
        <w:t>   </w:t>
      </w:r>
      <w:r w:rsidR="00256167" w:rsidRPr="00166AF9">
        <w:rPr>
          <w:position w:val="-30"/>
        </w:rPr>
        <w:object w:dxaOrig="8419" w:dyaOrig="680">
          <v:shape id="_x0000_i1028" type="#_x0000_t75" style="width:421.2pt;height:33.6pt" o:ole="">
            <v:imagedata r:id="rId19" o:title=""/>
          </v:shape>
          <o:OLEObject Type="Embed" ProgID="Equation.3" ShapeID="_x0000_i1028" DrawAspect="Content" ObjectID="_1376823602" r:id="rId20"/>
        </w:object>
      </w:r>
      <w:r w:rsidR="00256167" w:rsidRPr="007F0761">
        <w:rPr>
          <w:lang w:val="es-ES_tradnl"/>
        </w:rPr>
        <w:tab/>
        <w:t>(8)</w:t>
      </w:r>
    </w:p>
    <w:bookmarkEnd w:id="9"/>
    <w:p w:rsidR="00092FBD" w:rsidRPr="007F0761" w:rsidRDefault="00092FBD" w:rsidP="00092FBD">
      <w:pPr>
        <w:pStyle w:val="Blanc"/>
        <w:rPr>
          <w:lang w:val="es-ES_tradnl"/>
        </w:rPr>
      </w:pPr>
    </w:p>
    <w:p w:rsidR="00256167" w:rsidRDefault="00256167" w:rsidP="00256167">
      <w:pPr>
        <w:rPr>
          <w:lang w:val="es-ES_tradnl"/>
        </w:rPr>
      </w:pPr>
      <w:r>
        <w:rPr>
          <w:lang w:val="es-ES_tradnl"/>
        </w:rPr>
        <w:t>En este caso, la zona total de servicio es la superficie total de los pisos de los edificios cubiertos por el sistema picocelular.</w:t>
      </w:r>
    </w:p>
    <w:p w:rsidR="00256167" w:rsidRDefault="00256167" w:rsidP="00256167">
      <w:pPr>
        <w:rPr>
          <w:lang w:val="es-ES_tradnl"/>
        </w:rPr>
      </w:pPr>
      <w:r>
        <w:rPr>
          <w:lang w:val="es-ES_tradnl"/>
        </w:rPr>
        <w:t>Ejemplo:</w:t>
      </w:r>
    </w:p>
    <w:p w:rsidR="00256167" w:rsidRDefault="00256167" w:rsidP="00256167">
      <w:pPr>
        <w:rPr>
          <w:lang w:val="es-ES_tradnl"/>
        </w:rPr>
      </w:pPr>
      <w:r>
        <w:rPr>
          <w:i/>
          <w:lang w:val="es-ES_tradnl"/>
        </w:rPr>
        <w:t>Sistema de interior que funciona a 900 MHz:</w:t>
      </w:r>
    </w:p>
    <w:p w:rsidR="00256167" w:rsidRDefault="00256167" w:rsidP="00256167">
      <w:pPr>
        <w:pStyle w:val="enumlev1"/>
        <w:tabs>
          <w:tab w:val="clear" w:pos="1191"/>
          <w:tab w:val="clear" w:pos="1588"/>
          <w:tab w:val="clear" w:pos="1985"/>
          <w:tab w:val="left" w:pos="5103"/>
        </w:tabs>
        <w:rPr>
          <w:lang w:val="es-ES_tradnl"/>
        </w:rPr>
      </w:pPr>
      <w:r>
        <w:rPr>
          <w:lang w:val="es-ES_tradnl"/>
        </w:rPr>
        <w:tab/>
        <w:t>N.</w:t>
      </w:r>
      <w:r>
        <w:rPr>
          <w:rFonts w:ascii="Symbol" w:hAnsi="Symbol"/>
          <w:lang w:val="es-ES_tradnl"/>
        </w:rPr>
        <w:t></w:t>
      </w:r>
      <w:r>
        <w:rPr>
          <w:lang w:val="es-ES_tradnl"/>
        </w:rPr>
        <w:t xml:space="preserve"> de canales por edificio</w:t>
      </w:r>
      <w:r>
        <w:rPr>
          <w:lang w:val="es-ES_tradnl"/>
        </w:rPr>
        <w:tab/>
        <w:t>120</w:t>
      </w:r>
    </w:p>
    <w:p w:rsidR="00256167" w:rsidRDefault="00256167" w:rsidP="00256167">
      <w:pPr>
        <w:pStyle w:val="enumlev1"/>
        <w:tabs>
          <w:tab w:val="clear" w:pos="1191"/>
          <w:tab w:val="clear" w:pos="1588"/>
          <w:tab w:val="clear" w:pos="1985"/>
          <w:tab w:val="left" w:pos="5103"/>
        </w:tabs>
        <w:rPr>
          <w:lang w:val="es-ES_tradnl"/>
        </w:rPr>
      </w:pPr>
      <w:r>
        <w:rPr>
          <w:lang w:val="es-ES_tradnl"/>
        </w:rPr>
        <w:tab/>
        <w:t>N.° de edificios por agrupación</w:t>
      </w:r>
      <w:r>
        <w:rPr>
          <w:lang w:val="es-ES_tradnl"/>
        </w:rPr>
        <w:tab/>
      </w:r>
      <w:r>
        <w:rPr>
          <w:lang w:val="es-ES_tradnl"/>
        </w:rPr>
        <w:t> </w:t>
      </w:r>
      <w:r>
        <w:rPr>
          <w:lang w:val="es-ES_tradnl"/>
        </w:rPr>
        <w:t>4</w:t>
      </w:r>
    </w:p>
    <w:p w:rsidR="00256167" w:rsidRDefault="00256167" w:rsidP="00256167">
      <w:pPr>
        <w:pStyle w:val="enumlev1"/>
        <w:tabs>
          <w:tab w:val="clear" w:pos="1191"/>
          <w:tab w:val="clear" w:pos="1588"/>
          <w:tab w:val="clear" w:pos="1985"/>
          <w:tab w:val="left" w:pos="5103"/>
        </w:tabs>
        <w:rPr>
          <w:lang w:val="es-ES_tradnl"/>
        </w:rPr>
      </w:pPr>
      <w:r>
        <w:rPr>
          <w:lang w:val="es-ES_tradnl"/>
        </w:rPr>
        <w:tab/>
        <w:t>Anchura de banda de un canal (semidúplex)</w:t>
      </w:r>
      <w:r>
        <w:rPr>
          <w:lang w:val="es-ES_tradnl"/>
        </w:rPr>
        <w:tab/>
      </w:r>
      <w:r>
        <w:rPr>
          <w:lang w:val="es-ES_tradnl"/>
        </w:rPr>
        <w:t> </w:t>
      </w:r>
      <w:r>
        <w:rPr>
          <w:lang w:val="es-ES_tradnl"/>
        </w:rPr>
        <w:t>25 kHz</w:t>
      </w:r>
    </w:p>
    <w:p w:rsidR="00256167" w:rsidRDefault="00256167" w:rsidP="00256167">
      <w:pPr>
        <w:pStyle w:val="enumlev1"/>
        <w:tabs>
          <w:tab w:val="clear" w:pos="1191"/>
          <w:tab w:val="clear" w:pos="1588"/>
          <w:tab w:val="clear" w:pos="1985"/>
          <w:tab w:val="left" w:pos="5103"/>
        </w:tabs>
        <w:rPr>
          <w:lang w:val="es-ES_tradnl"/>
        </w:rPr>
      </w:pPr>
      <w:r>
        <w:rPr>
          <w:lang w:val="es-ES_tradnl"/>
        </w:rPr>
        <w:tab/>
        <w:t>N.° total de canales necesarios</w:t>
      </w:r>
      <w:r>
        <w:rPr>
          <w:lang w:val="es-ES_tradnl"/>
        </w:rPr>
        <w:tab/>
        <w:t>480</w:t>
      </w:r>
    </w:p>
    <w:p w:rsidR="00092FBD" w:rsidRPr="007F0761" w:rsidRDefault="00092FBD" w:rsidP="00092FBD">
      <w:pPr>
        <w:pStyle w:val="Blanc"/>
        <w:rPr>
          <w:lang w:val="es-ES_tradnl"/>
        </w:rPr>
      </w:pPr>
      <w:bookmarkStart w:id="10" w:name="f009"/>
    </w:p>
    <w:p w:rsidR="00256167" w:rsidRPr="001D2A9C" w:rsidRDefault="00256167" w:rsidP="00256167">
      <w:pPr>
        <w:pStyle w:val="Equation"/>
        <w:rPr>
          <w:lang w:val="es-ES_tradnl"/>
        </w:rPr>
      </w:pPr>
      <w:r w:rsidRPr="001D2A9C">
        <w:rPr>
          <w:i/>
          <w:lang w:val="es-ES_tradnl"/>
        </w:rPr>
        <w:tab/>
      </w:r>
      <w:r w:rsidRPr="001D2A9C">
        <w:rPr>
          <w:i/>
          <w:lang w:val="es-ES_tradnl"/>
        </w:rPr>
        <w:tab/>
        <w:t>EUE</w:t>
      </w:r>
      <w:r w:rsidRPr="001D2A9C">
        <w:rPr>
          <w:i/>
          <w:position w:val="-4"/>
          <w:sz w:val="16"/>
          <w:lang w:val="es-ES_tradnl"/>
        </w:rPr>
        <w:t>zona</w:t>
      </w:r>
      <w:r w:rsidRPr="001D2A9C">
        <w:rPr>
          <w:lang w:val="es-ES_tradnl"/>
        </w:rPr>
        <w:t xml:space="preserve">  </w:t>
      </w:r>
      <w:r>
        <w:rPr>
          <w:rFonts w:ascii="Symbol" w:hAnsi="Symbol"/>
        </w:rPr>
        <w:t></w:t>
      </w:r>
      <w:r w:rsidRPr="001D2A9C">
        <w:rPr>
          <w:lang w:val="es-ES_tradnl"/>
        </w:rPr>
        <w:t xml:space="preserve">  </w:t>
      </w:r>
      <w:r w:rsidRPr="006E3833">
        <w:rPr>
          <w:position w:val="-30"/>
        </w:rPr>
        <w:object w:dxaOrig="6660" w:dyaOrig="680">
          <v:shape id="_x0000_i1029" type="#_x0000_t75" style="width:333.6pt;height:33.6pt" o:ole="">
            <v:imagedata r:id="rId21" o:title=""/>
          </v:shape>
          <o:OLEObject Type="Embed" ProgID="Equation.3" ShapeID="_x0000_i1029" DrawAspect="Content" ObjectID="_1376823603" r:id="rId22"/>
        </w:object>
      </w:r>
      <w:r w:rsidRPr="001D2A9C">
        <w:rPr>
          <w:lang w:val="es-ES_tradnl"/>
        </w:rPr>
        <w:tab/>
        <w:t>(9)</w:t>
      </w:r>
    </w:p>
    <w:bookmarkEnd w:id="10"/>
    <w:p w:rsidR="00256167" w:rsidRDefault="00256167" w:rsidP="00877674">
      <w:pPr>
        <w:pStyle w:val="Note"/>
        <w:keepNext/>
        <w:keepLines/>
        <w:rPr>
          <w:lang w:val="es-ES_tradnl"/>
        </w:rPr>
      </w:pPr>
      <w:r>
        <w:rPr>
          <w:lang w:val="es-ES_tradnl"/>
        </w:rPr>
        <w:lastRenderedPageBreak/>
        <w:t>NOTA 1 – Puede encontrarse información adicional en:</w:t>
      </w:r>
    </w:p>
    <w:p w:rsidR="00256167" w:rsidRPr="001D2A9C" w:rsidRDefault="00256167" w:rsidP="00256167">
      <w:pPr>
        <w:pStyle w:val="Reftext"/>
        <w:rPr>
          <w:lang w:val="en-US"/>
        </w:rPr>
      </w:pPr>
      <w:r w:rsidRPr="001D2A9C">
        <w:rPr>
          <w:lang w:val="en-US"/>
        </w:rPr>
        <w:t>CHAN, G. y HACHEM, H. [</w:t>
      </w:r>
      <w:proofErr w:type="spellStart"/>
      <w:r w:rsidRPr="001D2A9C">
        <w:rPr>
          <w:lang w:val="en-US"/>
        </w:rPr>
        <w:t>septiembre</w:t>
      </w:r>
      <w:proofErr w:type="spellEnd"/>
      <w:r w:rsidRPr="001D2A9C">
        <w:rPr>
          <w:lang w:val="en-US"/>
        </w:rPr>
        <w:t xml:space="preserve"> de 1991] Spectrum efficiency of a </w:t>
      </w:r>
      <w:proofErr w:type="spellStart"/>
      <w:r w:rsidRPr="001D2A9C">
        <w:rPr>
          <w:lang w:val="en-US"/>
        </w:rPr>
        <w:t>pico</w:t>
      </w:r>
      <w:proofErr w:type="spellEnd"/>
      <w:r w:rsidRPr="001D2A9C">
        <w:rPr>
          <w:lang w:val="en-US"/>
        </w:rPr>
        <w:t xml:space="preserve">-cell system in an indoor environment. Canadian Conference on Electrical and Computer Engineering, Quebec City, </w:t>
      </w:r>
      <w:proofErr w:type="spellStart"/>
      <w:r w:rsidRPr="001D2A9C">
        <w:rPr>
          <w:lang w:val="en-US"/>
        </w:rPr>
        <w:t>Canadá</w:t>
      </w:r>
      <w:proofErr w:type="spellEnd"/>
      <w:r w:rsidRPr="001D2A9C">
        <w:rPr>
          <w:lang w:val="en-US"/>
        </w:rPr>
        <w:t>.</w:t>
      </w:r>
    </w:p>
    <w:p w:rsidR="00256167" w:rsidRDefault="00256167" w:rsidP="00256167">
      <w:pPr>
        <w:pStyle w:val="Reftext"/>
        <w:rPr>
          <w:lang w:val="es-ES_tradnl"/>
        </w:rPr>
      </w:pPr>
      <w:r w:rsidRPr="001D2A9C">
        <w:rPr>
          <w:lang w:val="en-US"/>
        </w:rPr>
        <w:t>HATFIELD, D.N. [</w:t>
      </w:r>
      <w:proofErr w:type="spellStart"/>
      <w:r w:rsidRPr="001D2A9C">
        <w:rPr>
          <w:lang w:val="en-US"/>
        </w:rPr>
        <w:t>agosto</w:t>
      </w:r>
      <w:proofErr w:type="spellEnd"/>
      <w:r w:rsidRPr="001D2A9C">
        <w:rPr>
          <w:lang w:val="en-US"/>
        </w:rPr>
        <w:t xml:space="preserve"> de 1977] Measures of spectral efficiency in land mobile radio. </w:t>
      </w:r>
      <w:r>
        <w:rPr>
          <w:i/>
          <w:lang w:val="es-ES_tradnl"/>
        </w:rPr>
        <w:t xml:space="preserve">IEEE </w:t>
      </w:r>
      <w:proofErr w:type="spellStart"/>
      <w:r>
        <w:rPr>
          <w:i/>
          <w:lang w:val="es-ES_tradnl"/>
        </w:rPr>
        <w:t>Trans</w:t>
      </w:r>
      <w:proofErr w:type="spellEnd"/>
      <w:r>
        <w:rPr>
          <w:i/>
          <w:lang w:val="es-ES_tradnl"/>
        </w:rPr>
        <w:t xml:space="preserve">. </w:t>
      </w:r>
      <w:proofErr w:type="spellStart"/>
      <w:r>
        <w:rPr>
          <w:i/>
          <w:lang w:val="es-ES_tradnl"/>
        </w:rPr>
        <w:t>Electromag</w:t>
      </w:r>
      <w:proofErr w:type="spellEnd"/>
      <w:r>
        <w:rPr>
          <w:i/>
          <w:lang w:val="es-ES_tradnl"/>
        </w:rPr>
        <w:t xml:space="preserve">. </w:t>
      </w:r>
      <w:proofErr w:type="spellStart"/>
      <w:r>
        <w:rPr>
          <w:i/>
          <w:lang w:val="es-ES_tradnl"/>
        </w:rPr>
        <w:t>Compt</w:t>
      </w:r>
      <w:proofErr w:type="spellEnd"/>
      <w:r>
        <w:rPr>
          <w:i/>
          <w:lang w:val="es-ES_tradnl"/>
        </w:rPr>
        <w:t>.,</w:t>
      </w:r>
      <w:r>
        <w:rPr>
          <w:lang w:val="es-ES_tradnl"/>
        </w:rPr>
        <w:t xml:space="preserve"> Vol. EMC-19, </w:t>
      </w:r>
      <w:r>
        <w:rPr>
          <w:b/>
          <w:lang w:val="es-ES_tradnl"/>
        </w:rPr>
        <w:t>3</w:t>
      </w:r>
      <w:r>
        <w:rPr>
          <w:lang w:val="es-ES_tradnl"/>
        </w:rPr>
        <w:t>, 266-268.</w:t>
      </w:r>
    </w:p>
    <w:p w:rsidR="00256167" w:rsidRDefault="00256167" w:rsidP="00256167">
      <w:pPr>
        <w:pStyle w:val="Heading2"/>
        <w:rPr>
          <w:lang w:val="es-ES_tradnl"/>
        </w:rPr>
      </w:pPr>
      <w:r>
        <w:rPr>
          <w:lang w:val="es-ES_tradnl"/>
        </w:rPr>
        <w:t>1.2</w:t>
      </w:r>
      <w:r>
        <w:rPr>
          <w:lang w:val="es-ES_tradnl"/>
        </w:rPr>
        <w:tab/>
        <w:t>ERE de los sistemas de radiocomunicaciones móviles terrestres</w:t>
      </w:r>
    </w:p>
    <w:p w:rsidR="00256167" w:rsidRDefault="00256167" w:rsidP="00256167">
      <w:pPr>
        <w:rPr>
          <w:lang w:val="es-ES_tradnl"/>
        </w:rPr>
      </w:pPr>
      <w:r>
        <w:rPr>
          <w:lang w:val="es-ES_tradnl"/>
        </w:rPr>
        <w:t>Los valores de ERE de sistemas de radiocomunicaciones móviles terrestres que emplean distintos tipos de modulación se compararon con el sistema teóricamente más eficaz (véanse el § 3 y la ecuación (4) del Anexo 1).</w:t>
      </w:r>
    </w:p>
    <w:p w:rsidR="00256167" w:rsidRDefault="00256167" w:rsidP="00256167">
      <w:pPr>
        <w:rPr>
          <w:lang w:val="es-ES_tradnl"/>
        </w:rPr>
      </w:pPr>
      <w:r>
        <w:rPr>
          <w:lang w:val="es-ES_tradnl"/>
        </w:rPr>
        <w:t>En aras de una mayor simplicidad y para obtener expresiones analíticas finitas, los cálculos corresponden al modelo más simple de red en forma de retícula rectangular teórica y en condiciones de propagación típicas de la banda de frecuencias de ondas decimétricas. Sin embargo, los mismos principios podrán aplicarse a modelos más complejos de redes reales, con modelos de propagación más sofisticados.</w:t>
      </w:r>
    </w:p>
    <w:p w:rsidR="00256167" w:rsidRDefault="00256167" w:rsidP="00256167">
      <w:pPr>
        <w:rPr>
          <w:lang w:val="es-ES_tradnl"/>
        </w:rPr>
      </w:pPr>
      <w:r>
        <w:rPr>
          <w:lang w:val="es-ES_tradnl"/>
        </w:rPr>
        <w:t xml:space="preserve">El modelo de red comprende un conjunto de cuadrados de iguales dimensiones en cuyo centro se ubica la estación central (de base) (véase la Fig. 1). El radio, </w:t>
      </w:r>
      <w:r>
        <w:rPr>
          <w:i/>
          <w:lang w:val="es-ES_tradnl"/>
        </w:rPr>
        <w:t>r</w:t>
      </w:r>
      <w:r w:rsidRPr="001D2A9C">
        <w:rPr>
          <w:lang w:val="es-ES_tradnl"/>
        </w:rPr>
        <w:t>,</w:t>
      </w:r>
      <w:r>
        <w:rPr>
          <w:lang w:val="es-ES_tradnl"/>
        </w:rPr>
        <w:t xml:space="preserve"> de la zona de servicio se da por conocido. En las zonas marcadas con la misma cifra en la Fig. 1 se puede utilizar el mismo conjunto de canales de frecuencias a condición de que la distancia, </w:t>
      </w:r>
      <w:r>
        <w:rPr>
          <w:i/>
          <w:lang w:val="es-ES_tradnl"/>
        </w:rPr>
        <w:t>R</w:t>
      </w:r>
      <w:r w:rsidRPr="001D2A9C">
        <w:rPr>
          <w:lang w:val="es-ES_tradnl"/>
        </w:rPr>
        <w:t>,</w:t>
      </w:r>
      <w:r>
        <w:rPr>
          <w:lang w:val="es-ES_tradnl"/>
        </w:rPr>
        <w:t xml:space="preserve"> entre esas zonas permita una atenuación suficiente de la interferencia. Las antenas de las estaciones de base no son directivas en el plano horizontal y utilizan únicamente un tipo de polarización.</w:t>
      </w:r>
    </w:p>
    <w:p w:rsidR="00256167" w:rsidRDefault="00256167" w:rsidP="000850AA">
      <w:pPr>
        <w:rPr>
          <w:lang w:val="es-ES_tradnl"/>
        </w:rPr>
      </w:pPr>
      <w:r>
        <w:rPr>
          <w:lang w:val="es-ES_tradnl"/>
        </w:rPr>
        <w:t>En este modelo, todos los transmisores de estación de base tienen la misma potencia y una frecuencia portadora estable y no emiten ninguna radiación fuera de banda o no esencial; las características de selectividad de los receptores de estación de base son ideales.</w:t>
      </w:r>
    </w:p>
    <w:p w:rsidR="00256167" w:rsidRDefault="00256167" w:rsidP="00256167">
      <w:pPr>
        <w:pStyle w:val="FigureNo"/>
        <w:rPr>
          <w:lang w:val="es-ES_tradnl"/>
        </w:rPr>
      </w:pPr>
      <w:r>
        <w:object w:dxaOrig="2993" w:dyaOrig="4922">
          <v:shape id="_x0000_i1030" type="#_x0000_t75" style="width:150pt;height:246pt" o:ole="" o:allowoverlap="f">
            <v:imagedata r:id="rId23" o:title=""/>
          </v:shape>
          <o:OLEObject Type="Embed" ProgID="CorelDraw.Graphic.12" ShapeID="_x0000_i1030" DrawAspect="Content" ObjectID="_1376823604" r:id="rId24"/>
        </w:object>
      </w:r>
    </w:p>
    <w:p w:rsidR="000850AA" w:rsidRDefault="000850A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0850AA" w:rsidRDefault="000850AA" w:rsidP="000850AA">
      <w:pPr>
        <w:rPr>
          <w:lang w:val="es-ES_tradnl"/>
        </w:rPr>
      </w:pPr>
      <w:r>
        <w:rPr>
          <w:lang w:val="es-ES_tradnl"/>
        </w:rPr>
        <w:lastRenderedPageBreak/>
        <w:t xml:space="preserve">En la Fig. 2 se muestran los resultados de los cálculos de ERE para varios tipos específicos de modulación y relaciones señal/ruido diferentes a la salida del receptor, </w:t>
      </w:r>
      <w:r>
        <w:rPr>
          <w:rFonts w:ascii="Symbol" w:hAnsi="Symbol"/>
        </w:rPr>
        <w:t></w:t>
      </w:r>
      <w:r>
        <w:rPr>
          <w:position w:val="-4"/>
          <w:sz w:val="16"/>
          <w:lang w:val="es-ES_tradnl"/>
        </w:rPr>
        <w:t>0</w:t>
      </w:r>
      <w:r>
        <w:rPr>
          <w:lang w:val="es-ES_tradnl"/>
        </w:rPr>
        <w:t>. Los tipos de modulación que se han considerado son:</w:t>
      </w:r>
    </w:p>
    <w:p w:rsidR="000850AA" w:rsidRDefault="000850AA" w:rsidP="000850AA">
      <w:pPr>
        <w:pStyle w:val="enumlev1"/>
        <w:rPr>
          <w:lang w:val="es-ES_tradnl"/>
        </w:rPr>
      </w:pPr>
      <w:r>
        <w:rPr>
          <w:lang w:val="es-ES_tradnl"/>
        </w:rPr>
        <w:t>–</w:t>
      </w:r>
      <w:r>
        <w:rPr>
          <w:lang w:val="es-ES_tradnl"/>
        </w:rPr>
        <w:tab/>
        <w:t>modulación de amplitud en banda lateral única (MA-BLU),</w:t>
      </w:r>
    </w:p>
    <w:p w:rsidR="000850AA" w:rsidRDefault="000850AA" w:rsidP="000850AA">
      <w:pPr>
        <w:pStyle w:val="enumlev1"/>
        <w:rPr>
          <w:lang w:val="es-ES_tradnl"/>
        </w:rPr>
      </w:pPr>
      <w:r>
        <w:rPr>
          <w:lang w:val="es-ES_tradnl"/>
        </w:rPr>
        <w:t>–</w:t>
      </w:r>
      <w:r>
        <w:rPr>
          <w:lang w:val="es-ES_tradnl"/>
        </w:rPr>
        <w:tab/>
        <w:t>modulación de frecuencia (MF),</w:t>
      </w:r>
    </w:p>
    <w:p w:rsidR="000850AA" w:rsidRDefault="000850AA" w:rsidP="000850AA">
      <w:pPr>
        <w:pStyle w:val="enumlev1"/>
        <w:rPr>
          <w:lang w:val="es-ES_tradnl"/>
        </w:rPr>
      </w:pPr>
      <w:r>
        <w:rPr>
          <w:lang w:val="es-ES_tradnl"/>
        </w:rPr>
        <w:t>–</w:t>
      </w:r>
      <w:r>
        <w:rPr>
          <w:lang w:val="es-ES_tradnl"/>
        </w:rPr>
        <w:tab/>
        <w:t>modulación por desplazamiento de fase de 4 (8) estados (MDP-4 (8)),</w:t>
      </w:r>
    </w:p>
    <w:p w:rsidR="000850AA" w:rsidRDefault="000850AA" w:rsidP="000850AA">
      <w:pPr>
        <w:pStyle w:val="enumlev1"/>
        <w:rPr>
          <w:lang w:val="es-ES_tradnl"/>
        </w:rPr>
      </w:pPr>
      <w:r>
        <w:rPr>
          <w:lang w:val="es-ES_tradnl"/>
        </w:rPr>
        <w:t>–</w:t>
      </w:r>
      <w:r>
        <w:rPr>
          <w:lang w:val="es-ES_tradnl"/>
        </w:rPr>
        <w:tab/>
        <w:t>modulación de amplitud en cuadratura de 16 estados (MAQ-16).</w:t>
      </w:r>
    </w:p>
    <w:p w:rsidR="000850AA" w:rsidRDefault="000850AA" w:rsidP="000850AA">
      <w:pPr>
        <w:rPr>
          <w:lang w:val="es-ES_tradnl"/>
        </w:rPr>
      </w:pPr>
      <w:r>
        <w:rPr>
          <w:lang w:val="es-ES_tradnl"/>
        </w:rPr>
        <w:t xml:space="preserve">De la Fig. 2 se desprende que los sistemas móviles terrestres con MF tienen la ERE más baja, dado que, cuando se utiliza este tipo de modulación, la anchura de banda necesaria para desarrollar una red es aproximadamente cinco veces mayor que en el caso del sistema teóricamente más eficaz (MTES – </w:t>
      </w:r>
      <w:proofErr w:type="spellStart"/>
      <w:r>
        <w:rPr>
          <w:lang w:val="es-ES_tradnl"/>
        </w:rPr>
        <w:t>most</w:t>
      </w:r>
      <w:proofErr w:type="spellEnd"/>
      <w:r>
        <w:rPr>
          <w:lang w:val="es-ES_tradnl"/>
        </w:rPr>
        <w:t xml:space="preserve"> </w:t>
      </w:r>
      <w:proofErr w:type="spellStart"/>
      <w:r>
        <w:rPr>
          <w:lang w:val="es-ES_tradnl"/>
        </w:rPr>
        <w:t>theoretically</w:t>
      </w:r>
      <w:proofErr w:type="spellEnd"/>
      <w:r>
        <w:rPr>
          <w:lang w:val="es-ES_tradnl"/>
        </w:rPr>
        <w:t xml:space="preserve"> </w:t>
      </w:r>
      <w:proofErr w:type="spellStart"/>
      <w:r>
        <w:rPr>
          <w:lang w:val="es-ES_tradnl"/>
        </w:rPr>
        <w:t>efficient</w:t>
      </w:r>
      <w:proofErr w:type="spellEnd"/>
      <w:r>
        <w:rPr>
          <w:lang w:val="es-ES_tradnl"/>
        </w:rPr>
        <w:t xml:space="preserve"> </w:t>
      </w:r>
      <w:proofErr w:type="spellStart"/>
      <w:r>
        <w:rPr>
          <w:lang w:val="es-ES_tradnl"/>
        </w:rPr>
        <w:t>system</w:t>
      </w:r>
      <w:proofErr w:type="spellEnd"/>
      <w:r>
        <w:rPr>
          <w:lang w:val="es-ES_tradnl"/>
        </w:rPr>
        <w:t>). Por otra parte, el tipo de modulación que más se acerca al caso del MTES para todos los valores de la relación de protección contra el ruido es MAQ</w:t>
      </w:r>
      <w:r>
        <w:rPr>
          <w:lang w:val="es-ES_tradnl"/>
        </w:rPr>
        <w:noBreakHyphen/>
        <w:t>16. Un desarrollo de red importante requiere solamente una vez y media la anchura de banda necesaria para el MTES. Si no se exige una gran calidad de recepción, el tipo de modulación más cercano al MTES es MA-BLU. Sin embargo, la ERE de la MA-BLU disminuye significativamente conforme aumentan los requisitos de calidad de recepción, especialmente si se tiene en cuenta el efecto de la inestabilidad de frecuencia de los transmisores reales.</w:t>
      </w:r>
    </w:p>
    <w:p w:rsidR="000850AA" w:rsidRDefault="000850AA" w:rsidP="000850AA">
      <w:pPr>
        <w:pStyle w:val="Note"/>
        <w:rPr>
          <w:lang w:val="es-ES_tradnl"/>
        </w:rPr>
      </w:pPr>
      <w:r>
        <w:rPr>
          <w:lang w:val="es-ES_tradnl"/>
        </w:rPr>
        <w:t>NOTA 1 – Para más información, véase el Anexo IV al Informe 662-3 (Düsseldorf, 1990).</w:t>
      </w:r>
    </w:p>
    <w:p w:rsidR="00256167" w:rsidRDefault="00256167" w:rsidP="00256167">
      <w:pPr>
        <w:pStyle w:val="Heading2"/>
        <w:rPr>
          <w:lang w:val="es-ES_tradnl"/>
        </w:rPr>
      </w:pPr>
      <w:r>
        <w:rPr>
          <w:lang w:val="es-ES_tradnl"/>
        </w:rPr>
        <w:t>1.3</w:t>
      </w:r>
      <w:r>
        <w:rPr>
          <w:lang w:val="es-ES_tradnl"/>
        </w:rPr>
        <w:tab/>
        <w:t>EUE de los sistemas de radiocomunicaciones móviles terrestres</w:t>
      </w:r>
    </w:p>
    <w:p w:rsidR="00256167" w:rsidRDefault="00256167" w:rsidP="00256167">
      <w:pPr>
        <w:rPr>
          <w:lang w:val="es-ES_tradnl"/>
        </w:rPr>
      </w:pPr>
      <w:r>
        <w:rPr>
          <w:lang w:val="es-ES_tradnl"/>
        </w:rPr>
        <w:t>Para los sistemas de radiocomunicaciones móviles terrestres de distribución general, la EUE puede obtenerse mediante la ecuación (2) de la siguiente manera:</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position w:val="-28"/>
          <w:lang w:val="es-ES_tradnl"/>
        </w:rPr>
        <w:object w:dxaOrig="2980" w:dyaOrig="639">
          <v:shape id="_x0000_i1031" type="#_x0000_t75" style="width:149.4pt;height:32.4pt" o:ole="">
            <v:imagedata r:id="rId25" o:title=""/>
          </v:shape>
          <o:OLEObject Type="Embed" ProgID="Equation.2" ShapeID="_x0000_i1031" DrawAspect="Content" ObjectID="_1376823605" r:id="rId26"/>
        </w:object>
      </w:r>
      <w:r>
        <w:rPr>
          <w:lang w:val="es-ES_tradnl"/>
        </w:rPr>
        <w:tab/>
        <w:t>(10)</w:t>
      </w:r>
    </w:p>
    <w:p w:rsidR="00256167" w:rsidRPr="007F0761" w:rsidRDefault="00256167" w:rsidP="00256167">
      <w:pPr>
        <w:pStyle w:val="Blanc"/>
        <w:rPr>
          <w:lang w:val="es-ES_tradnl"/>
        </w:rPr>
      </w:pPr>
    </w:p>
    <w:p w:rsidR="00256167" w:rsidRPr="001D2A9C" w:rsidRDefault="00256167" w:rsidP="00256167">
      <w:pPr>
        <w:rPr>
          <w:lang w:val="es-ES_tradnl"/>
        </w:rPr>
      </w:pPr>
      <w:r w:rsidRPr="001D2A9C">
        <w:rPr>
          <w:lang w:val="es-ES_tradnl"/>
        </w:rPr>
        <w:t>donde:</w:t>
      </w:r>
    </w:p>
    <w:p w:rsidR="00256167" w:rsidRPr="007F0761" w:rsidRDefault="00256167" w:rsidP="00256167">
      <w:pPr>
        <w:pStyle w:val="Equationlegend"/>
        <w:rPr>
          <w:lang w:val="es-ES_tradnl"/>
        </w:rPr>
      </w:pPr>
      <w:r w:rsidRPr="007F0761">
        <w:rPr>
          <w:lang w:val="es-ES_tradnl"/>
        </w:rPr>
        <w:tab/>
      </w:r>
      <w:r w:rsidRPr="007F0761">
        <w:rPr>
          <w:i/>
          <w:lang w:val="es-ES_tradnl"/>
        </w:rPr>
        <w:t>B</w:t>
      </w:r>
      <w:r w:rsidRPr="007F0761">
        <w:rPr>
          <w:rFonts w:ascii="Tms Rmn" w:hAnsi="Tms Rmn"/>
          <w:sz w:val="12"/>
          <w:lang w:val="es-ES_tradnl"/>
        </w:rPr>
        <w:t> </w:t>
      </w:r>
      <w:r w:rsidRPr="007F0761">
        <w:rPr>
          <w:lang w:val="es-ES_tradnl"/>
        </w:rPr>
        <w:t>:</w:t>
      </w:r>
      <w:r w:rsidRPr="007F0761">
        <w:rPr>
          <w:lang w:val="es-ES_tradnl"/>
        </w:rPr>
        <w:tab/>
        <w:t>cantidad total del espectro considerado en la banda de frecuencias de los servicios móviles terrestres</w:t>
      </w:r>
    </w:p>
    <w:p w:rsidR="00256167" w:rsidRPr="007F0761" w:rsidRDefault="00256167" w:rsidP="00256167">
      <w:pPr>
        <w:pStyle w:val="Equationlegend"/>
        <w:rPr>
          <w:lang w:val="es-ES_tradnl"/>
        </w:rPr>
      </w:pPr>
      <w:r w:rsidRPr="007F0761">
        <w:rPr>
          <w:lang w:val="es-ES_tradnl"/>
        </w:rPr>
        <w:tab/>
      </w:r>
      <w:r w:rsidRPr="007F0761">
        <w:rPr>
          <w:i/>
          <w:lang w:val="es-ES_tradnl"/>
        </w:rPr>
        <w:t>S</w:t>
      </w:r>
      <w:r w:rsidRPr="007F0761">
        <w:rPr>
          <w:rFonts w:ascii="Tms Rmn" w:hAnsi="Tms Rmn"/>
          <w:sz w:val="12"/>
          <w:lang w:val="es-ES_tradnl"/>
        </w:rPr>
        <w:t> </w:t>
      </w:r>
      <w:r w:rsidRPr="007F0761">
        <w:rPr>
          <w:lang w:val="es-ES_tradnl"/>
        </w:rPr>
        <w:t>:</w:t>
      </w:r>
      <w:r w:rsidRPr="007F0761">
        <w:rPr>
          <w:lang w:val="es-ES_tradnl"/>
        </w:rPr>
        <w:tab/>
        <w:t>zona en estudio</w:t>
      </w:r>
    </w:p>
    <w:p w:rsidR="00256167" w:rsidRPr="007F0761" w:rsidRDefault="00256167" w:rsidP="00256167">
      <w:pPr>
        <w:pStyle w:val="Equationlegend"/>
        <w:rPr>
          <w:lang w:val="es-ES_tradnl"/>
        </w:rPr>
      </w:pPr>
      <w:r w:rsidRPr="007F0761">
        <w:rPr>
          <w:lang w:val="es-ES_tradnl"/>
        </w:rPr>
        <w:tab/>
      </w:r>
      <w:proofErr w:type="spellStart"/>
      <w:r w:rsidRPr="007F0761">
        <w:rPr>
          <w:i/>
          <w:lang w:val="es-ES_tradnl"/>
        </w:rPr>
        <w:t>Occ</w:t>
      </w:r>
      <w:proofErr w:type="spellEnd"/>
      <w:r w:rsidRPr="007F0761">
        <w:rPr>
          <w:rFonts w:ascii="Tms Rmn" w:hAnsi="Tms Rmn"/>
          <w:sz w:val="12"/>
          <w:lang w:val="es-ES_tradnl"/>
        </w:rPr>
        <w:t> </w:t>
      </w:r>
      <w:r w:rsidRPr="007F0761">
        <w:rPr>
          <w:lang w:val="es-ES_tradnl"/>
        </w:rPr>
        <w:t>:</w:t>
      </w:r>
      <w:r w:rsidRPr="007F0761">
        <w:rPr>
          <w:lang w:val="es-ES_tradnl"/>
        </w:rPr>
        <w:tab/>
        <w:t>ocupación total de la zona</w:t>
      </w:r>
    </w:p>
    <w:p w:rsidR="00256167" w:rsidRPr="007F0761" w:rsidRDefault="00256167" w:rsidP="00256167">
      <w:pPr>
        <w:pStyle w:val="Equationlegend"/>
        <w:rPr>
          <w:lang w:val="es-ES_tradnl"/>
        </w:rPr>
      </w:pPr>
      <w:r w:rsidRPr="007F0761">
        <w:rPr>
          <w:lang w:val="es-ES_tradnl"/>
        </w:rPr>
        <w:tab/>
      </w:r>
      <w:r>
        <w:rPr>
          <w:rFonts w:ascii="Symbol" w:hAnsi="Symbol"/>
        </w:rPr>
        <w:t></w:t>
      </w:r>
      <w:r w:rsidRPr="007F0761">
        <w:rPr>
          <w:lang w:val="es-ES_tradnl"/>
        </w:rPr>
        <w:tab/>
        <w:t xml:space="preserve">ocupación por transmisión  </w:t>
      </w:r>
      <w:r>
        <w:rPr>
          <w:rFonts w:ascii="Symbol" w:hAnsi="Symbol"/>
        </w:rPr>
        <w:t></w:t>
      </w:r>
      <w:r w:rsidRPr="007F0761">
        <w:rPr>
          <w:lang w:val="es-ES_tradnl"/>
        </w:rPr>
        <w:t xml:space="preserve">  N.</w:t>
      </w:r>
      <w:r>
        <w:rPr>
          <w:rFonts w:ascii="Symbol" w:hAnsi="Symbol"/>
        </w:rPr>
        <w:t></w:t>
      </w:r>
      <w:r w:rsidRPr="007F0761">
        <w:rPr>
          <w:lang w:val="es-ES_tradnl"/>
        </w:rPr>
        <w:t xml:space="preserve"> de transmisiones en la zona  </w:t>
      </w:r>
      <w:r>
        <w:rPr>
          <w:rFonts w:ascii="Symbol" w:hAnsi="Symbol"/>
        </w:rPr>
        <w:t></w:t>
      </w:r>
      <w:r w:rsidRPr="007F0761">
        <w:rPr>
          <w:lang w:val="es-ES_tradnl"/>
        </w:rPr>
        <w:t xml:space="preserve">  </w:t>
      </w:r>
      <w:r w:rsidRPr="007F0761">
        <w:rPr>
          <w:i/>
          <w:lang w:val="es-ES_tradnl"/>
        </w:rPr>
        <w:t>M</w:t>
      </w:r>
      <w:r w:rsidRPr="007F0761">
        <w:rPr>
          <w:lang w:val="es-ES_tradnl"/>
        </w:rPr>
        <w:t>/</w:t>
      </w:r>
      <w:r w:rsidRPr="007F0761">
        <w:rPr>
          <w:i/>
          <w:lang w:val="es-ES_tradnl"/>
        </w:rPr>
        <w:t>T</w:t>
      </w:r>
      <w:r w:rsidRPr="007F0761">
        <w:rPr>
          <w:lang w:val="es-ES_tradnl"/>
        </w:rPr>
        <w:t>.</w:t>
      </w:r>
    </w:p>
    <w:p w:rsidR="00256167" w:rsidRDefault="00256167" w:rsidP="00256167">
      <w:pPr>
        <w:rPr>
          <w:lang w:val="es-ES_tradnl"/>
        </w:rPr>
      </w:pPr>
      <w:r>
        <w:rPr>
          <w:lang w:val="es-ES_tradnl"/>
        </w:rPr>
        <w:t>Se trata, pues, de calcular la ocupación total en la zona. El método adoptado es dividir la superficie en estudio en un cierto número de celdas en las que se sitúan las estaciones de base. Dependiendo de la potencia del transmisor y de las características de propagación, la señal transmitida abarcará una determinada zona, en este caso, un número de celdas. Así pues, añadiendo las celdas que abarca esta señal, puede calcularse la ocupación debida a esta transmisión. Sin embargo, si varias estaciones comparten la misma frecuencia, la ocupación se dividirá por el número de estaciones que comparten esa frecuencia. Se tendrán en cuenta todas las estaciones en el número total de transmisiones.</w:t>
      </w:r>
    </w:p>
    <w:p w:rsidR="00256167" w:rsidRDefault="00256167" w:rsidP="00256167">
      <w:pPr>
        <w:pStyle w:val="FigureNo"/>
        <w:rPr>
          <w:lang w:val="es-ES_tradnl"/>
        </w:rPr>
      </w:pPr>
      <w:r>
        <w:object w:dxaOrig="5876" w:dyaOrig="7459">
          <v:shape id="_x0000_i1032" type="#_x0000_t75" style="width:293.4pt;height:372.6pt" o:ole="" o:allowoverlap="f">
            <v:imagedata r:id="rId27" o:title=""/>
          </v:shape>
          <o:OLEObject Type="Embed" ProgID="CorelDraw.Graphic.12" ShapeID="_x0000_i1032" DrawAspect="Content" ObjectID="_1376823606" r:id="rId28"/>
        </w:object>
      </w:r>
    </w:p>
    <w:p w:rsidR="00256167" w:rsidRDefault="00256167" w:rsidP="00256167">
      <w:pPr>
        <w:rPr>
          <w:lang w:val="es-ES_tradnl"/>
        </w:rPr>
      </w:pPr>
      <w:r>
        <w:rPr>
          <w:lang w:val="es-ES_tradnl"/>
        </w:rPr>
        <w:t xml:space="preserve">En este ejemplo, la zona geográfica de 76 km </w:t>
      </w:r>
      <w:r>
        <w:rPr>
          <w:lang w:val="es-ES_tradnl"/>
        </w:rPr>
        <w:sym w:font="Symbol" w:char="F0B4"/>
      </w:r>
      <w:r>
        <w:rPr>
          <w:lang w:val="es-ES_tradnl"/>
        </w:rPr>
        <w:t xml:space="preserve"> 76 km se representa a efectos de cálculo como una matriz de valores de celda. Cada celda se define como una zona de 2 km </w:t>
      </w:r>
      <w:r>
        <w:rPr>
          <w:rFonts w:ascii="Symbol" w:hAnsi="Symbol"/>
          <w:lang w:val="es-ES_tradnl"/>
        </w:rPr>
        <w:t></w:t>
      </w:r>
      <w:r>
        <w:rPr>
          <w:lang w:val="es-ES_tradnl"/>
        </w:rPr>
        <w:t xml:space="preserve"> 2 km. La celda se considera ocupada si el círculo de cobertura definido por </w:t>
      </w:r>
      <w:r>
        <w:rPr>
          <w:i/>
          <w:lang w:val="es-ES_tradnl"/>
        </w:rPr>
        <w:t>d</w:t>
      </w:r>
      <w:r>
        <w:rPr>
          <w:lang w:val="es-ES_tradnl"/>
        </w:rPr>
        <w:t xml:space="preserve"> (que se explicará con más detalle en el punto siguiente) ocupa más del 10% de la superficie de la celda. La ocupación total de la celda se obtiene a partir de cada licencia o estación activa en la banda de frecuencias.</w:t>
      </w:r>
    </w:p>
    <w:p w:rsidR="00256167" w:rsidRDefault="00256167" w:rsidP="00256167">
      <w:pPr>
        <w:rPr>
          <w:lang w:val="es-ES_tradnl"/>
        </w:rPr>
      </w:pPr>
      <w:r>
        <w:rPr>
          <w:lang w:val="es-ES_tradnl"/>
        </w:rPr>
        <w:t xml:space="preserve">Si </w:t>
      </w:r>
      <w:r>
        <w:rPr>
          <w:i/>
          <w:lang w:val="es-ES_tradnl"/>
        </w:rPr>
        <w:t>F</w:t>
      </w:r>
      <w:r w:rsidRPr="001D2A9C">
        <w:rPr>
          <w:i/>
          <w:position w:val="-4"/>
          <w:sz w:val="16"/>
          <w:lang w:val="es-ES_tradnl"/>
        </w:rPr>
        <w:t>n</w:t>
      </w:r>
      <w:r>
        <w:rPr>
          <w:lang w:val="es-ES_tradnl"/>
        </w:rPr>
        <w:t xml:space="preserve"> es la ocupación total de la celda por las </w:t>
      </w:r>
      <w:r>
        <w:rPr>
          <w:i/>
          <w:lang w:val="es-ES_tradnl"/>
        </w:rPr>
        <w:t>n</w:t>
      </w:r>
      <w:r>
        <w:rPr>
          <w:lang w:val="es-ES_tradnl"/>
        </w:rPr>
        <w:t xml:space="preserve"> estaciones de la zona, la </w:t>
      </w:r>
      <w:proofErr w:type="spellStart"/>
      <w:r>
        <w:rPr>
          <w:i/>
          <w:lang w:val="es-ES_tradnl"/>
        </w:rPr>
        <w:t>Occ</w:t>
      </w:r>
      <w:proofErr w:type="spellEnd"/>
      <w:r>
        <w:rPr>
          <w:i/>
          <w:lang w:val="es-ES_tradnl"/>
        </w:rPr>
        <w:t xml:space="preserve"> </w:t>
      </w:r>
      <w:r>
        <w:rPr>
          <w:lang w:val="es-ES_tradnl"/>
        </w:rPr>
        <w:t>será entonces:</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position w:val="-34"/>
          <w:lang w:val="es-ES_tradnl"/>
        </w:rPr>
        <w:object w:dxaOrig="1359" w:dyaOrig="780">
          <v:shape id="_x0000_i1033" type="#_x0000_t75" style="width:68.4pt;height:39pt" o:ole="">
            <v:imagedata r:id="rId29" o:title=""/>
          </v:shape>
          <o:OLEObject Type="Embed" ProgID="Equation.2" ShapeID="_x0000_i1033" DrawAspect="Content" ObjectID="_1376823607" r:id="rId30"/>
        </w:object>
      </w:r>
      <w:r>
        <w:rPr>
          <w:position w:val="-10"/>
          <w:lang w:val="es-ES_tradnl"/>
        </w:rPr>
        <w:object w:dxaOrig="180" w:dyaOrig="320">
          <v:shape id="_x0000_i1034" type="#_x0000_t75" style="width:9pt;height:15.6pt" o:ole="">
            <v:imagedata r:id="rId31" o:title=""/>
          </v:shape>
          <o:OLEObject Type="Embed" ProgID="Equation.2" ShapeID="_x0000_i1034" DrawAspect="Content" ObjectID="_1376823608" r:id="rId32"/>
        </w:object>
      </w:r>
      <w:r>
        <w:rPr>
          <w:lang w:val="es-ES_tradnl"/>
        </w:rPr>
        <w:tab/>
        <w:t>(11)</w:t>
      </w:r>
    </w:p>
    <w:p w:rsidR="00256167" w:rsidRPr="007F0761" w:rsidRDefault="00256167" w:rsidP="00256167">
      <w:pPr>
        <w:pStyle w:val="Blanc"/>
        <w:rPr>
          <w:lang w:val="es-ES_tradnl"/>
        </w:rPr>
      </w:pPr>
    </w:p>
    <w:p w:rsidR="00256167" w:rsidRDefault="00256167" w:rsidP="00256167">
      <w:pPr>
        <w:rPr>
          <w:lang w:val="es-ES_tradnl"/>
        </w:rPr>
      </w:pPr>
      <w:r>
        <w:rPr>
          <w:lang w:val="es-ES_tradnl"/>
        </w:rPr>
        <w:t xml:space="preserve">donde </w:t>
      </w:r>
      <w:r>
        <w:rPr>
          <w:i/>
          <w:lang w:val="es-ES_tradnl"/>
        </w:rPr>
        <w:t>m</w:t>
      </w:r>
      <w:r>
        <w:rPr>
          <w:lang w:val="es-ES_tradnl"/>
        </w:rPr>
        <w:t xml:space="preserve"> es el tamaño de la matriz.</w:t>
      </w:r>
    </w:p>
    <w:p w:rsidR="00256167" w:rsidRDefault="00256167" w:rsidP="00256167">
      <w:pPr>
        <w:rPr>
          <w:lang w:val="es-ES_tradnl"/>
        </w:rPr>
      </w:pPr>
      <w:r>
        <w:rPr>
          <w:lang w:val="es-ES_tradnl"/>
        </w:rPr>
        <w:t xml:space="preserve">El índice  EUE de la celda se define como la ocupación total en la celda por las </w:t>
      </w:r>
      <w:r>
        <w:rPr>
          <w:i/>
          <w:lang w:val="es-ES_tradnl"/>
        </w:rPr>
        <w:t>n</w:t>
      </w:r>
      <w:r>
        <w:rPr>
          <w:lang w:val="es-ES_tradnl"/>
        </w:rPr>
        <w:t xml:space="preserve"> estaciones</w:t>
      </w:r>
      <w:r>
        <w:rPr>
          <w:i/>
          <w:lang w:val="es-ES_tradnl"/>
        </w:rPr>
        <w:t xml:space="preserve"> </w:t>
      </w:r>
      <w:r>
        <w:rPr>
          <w:lang w:val="es-ES_tradnl"/>
        </w:rPr>
        <w:t xml:space="preserve">de esa zona geográfica dividida por la cantidad total de espectro considerado, </w:t>
      </w:r>
      <w:r>
        <w:rPr>
          <w:i/>
          <w:lang w:val="es-ES_tradnl"/>
        </w:rPr>
        <w:t>B</w:t>
      </w:r>
      <w:r>
        <w:rPr>
          <w:lang w:val="es-ES_tradnl"/>
        </w:rPr>
        <w:t xml:space="preserve">, y el área de la celda, </w:t>
      </w:r>
      <w:r>
        <w:rPr>
          <w:i/>
          <w:lang w:val="es-ES_tradnl"/>
        </w:rPr>
        <w:t>a</w:t>
      </w:r>
      <w:r>
        <w:rPr>
          <w:lang w:val="es-ES_tradnl"/>
        </w:rPr>
        <w:t xml:space="preserve">. El índice medio de EUE de una zona geográfica puede obtenerse por tanto dividiendo la ocupación total de la ciudad por la cantidad total de espectro considerado y la superficie total, </w:t>
      </w:r>
      <w:r>
        <w:rPr>
          <w:i/>
          <w:lang w:val="es-ES_tradnl"/>
        </w:rPr>
        <w:t>S</w:t>
      </w:r>
      <w:r>
        <w:rPr>
          <w:lang w:val="es-ES_tradnl"/>
        </w:rPr>
        <w:t>.</w:t>
      </w:r>
    </w:p>
    <w:p w:rsidR="00256167" w:rsidRPr="007F0761" w:rsidRDefault="00256167" w:rsidP="00256167">
      <w:pPr>
        <w:pStyle w:val="Blanc"/>
        <w:rPr>
          <w:lang w:val="es-ES_tradnl"/>
        </w:rPr>
      </w:pPr>
    </w:p>
    <w:p w:rsidR="00256167" w:rsidRDefault="00256167" w:rsidP="00256167">
      <w:pPr>
        <w:pStyle w:val="Equation"/>
        <w:spacing w:before="0"/>
        <w:rPr>
          <w:lang w:val="es-ES_tradnl"/>
        </w:rPr>
      </w:pPr>
      <w:r>
        <w:rPr>
          <w:lang w:val="es-ES_tradnl"/>
        </w:rPr>
        <w:tab/>
      </w:r>
      <w:r>
        <w:rPr>
          <w:lang w:val="es-ES_tradnl"/>
        </w:rPr>
        <w:tab/>
      </w:r>
      <w:r>
        <w:rPr>
          <w:position w:val="-28"/>
          <w:lang w:val="es-ES_tradnl"/>
        </w:rPr>
        <w:object w:dxaOrig="2620" w:dyaOrig="639">
          <v:shape id="_x0000_i1035" type="#_x0000_t75" style="width:131.4pt;height:32.4pt" o:ole="">
            <v:imagedata r:id="rId33" o:title=""/>
          </v:shape>
          <o:OLEObject Type="Embed" ProgID="Equation.2" ShapeID="_x0000_i1035" DrawAspect="Content" ObjectID="_1376823609" r:id="rId34"/>
        </w:object>
      </w:r>
      <w:r>
        <w:rPr>
          <w:lang w:val="es-ES_tradnl"/>
        </w:rPr>
        <w:tab/>
        <w:t>(12)</w:t>
      </w:r>
    </w:p>
    <w:p w:rsidR="00256167" w:rsidRDefault="00256167" w:rsidP="00256167">
      <w:pPr>
        <w:pStyle w:val="Equation"/>
        <w:rPr>
          <w:lang w:val="es-ES_tradnl"/>
        </w:rPr>
      </w:pPr>
      <w:r>
        <w:rPr>
          <w:lang w:val="es-ES_tradnl"/>
        </w:rPr>
        <w:tab/>
      </w:r>
      <w:r>
        <w:rPr>
          <w:lang w:val="es-ES_tradnl"/>
        </w:rPr>
        <w:tab/>
      </w:r>
      <w:r>
        <w:rPr>
          <w:position w:val="-28"/>
          <w:lang w:val="es-ES_tradnl"/>
        </w:rPr>
        <w:object w:dxaOrig="2220" w:dyaOrig="639">
          <v:shape id="_x0000_i1036" type="#_x0000_t75" style="width:111pt;height:32.4pt" o:ole="">
            <v:imagedata r:id="rId35" o:title=""/>
          </v:shape>
          <o:OLEObject Type="Embed" ProgID="Equation.2" ShapeID="_x0000_i1036" DrawAspect="Content" ObjectID="_1376823610" r:id="rId36"/>
        </w:object>
      </w:r>
      <w:r>
        <w:rPr>
          <w:lang w:val="es-ES_tradnl"/>
        </w:rPr>
        <w:tab/>
        <w:t>(13)</w:t>
      </w:r>
    </w:p>
    <w:p w:rsidR="00256167" w:rsidRDefault="00256167" w:rsidP="00256167">
      <w:pPr>
        <w:pStyle w:val="Heading3"/>
        <w:rPr>
          <w:lang w:val="es-ES_tradnl"/>
        </w:rPr>
      </w:pPr>
      <w:r>
        <w:rPr>
          <w:lang w:val="es-ES_tradnl"/>
        </w:rPr>
        <w:lastRenderedPageBreak/>
        <w:t>1.3.1</w:t>
      </w:r>
      <w:r>
        <w:rPr>
          <w:lang w:val="es-ES_tradnl"/>
        </w:rPr>
        <w:tab/>
        <w:t>Cálculo del índice de espectro ocupado y denegado</w:t>
      </w:r>
    </w:p>
    <w:p w:rsidR="00256167" w:rsidRDefault="00256167" w:rsidP="00256167">
      <w:pPr>
        <w:rPr>
          <w:lang w:val="es-ES_tradnl"/>
        </w:rPr>
      </w:pPr>
      <w:r>
        <w:rPr>
          <w:lang w:val="es-ES_tradnl"/>
        </w:rPr>
        <w:t>En este análisis se calculan el índice de espectro ocupado y el índice compuesto de espectro ocupado y denegado. El primero da una medida de cómo se utiliza una determinada banda del espectro, mientras que el segundo es una indicación de cómo el espectro es utilizado y denegado a otros usuarios.</w:t>
      </w:r>
    </w:p>
    <w:p w:rsidR="00256167" w:rsidRDefault="00256167" w:rsidP="00256167">
      <w:pPr>
        <w:rPr>
          <w:lang w:val="es-ES_tradnl"/>
        </w:rPr>
      </w:pPr>
      <w:r>
        <w:rPr>
          <w:lang w:val="es-ES_tradnl"/>
        </w:rPr>
        <w:t xml:space="preserve">Como se describe en el último punto, al calcular el índice es necesario estimar primero el valor de la distancia de cobertura, </w:t>
      </w:r>
      <w:r>
        <w:rPr>
          <w:i/>
          <w:lang w:val="es-ES_tradnl"/>
        </w:rPr>
        <w:t>d</w:t>
      </w:r>
      <w:r>
        <w:rPr>
          <w:lang w:val="es-ES_tradnl"/>
        </w:rPr>
        <w:t>, sobre la base de la Recomendación UIT</w:t>
      </w:r>
      <w:r>
        <w:rPr>
          <w:lang w:val="es-ES_tradnl"/>
        </w:rPr>
        <w:noBreakHyphen/>
        <w:t>R P.529:</w:t>
      </w:r>
    </w:p>
    <w:p w:rsidR="00256167" w:rsidRPr="007F0761" w:rsidRDefault="00256167" w:rsidP="00256167">
      <w:pPr>
        <w:pStyle w:val="Blanc"/>
        <w:rPr>
          <w:lang w:val="es-ES_tradnl"/>
        </w:rPr>
      </w:pPr>
    </w:p>
    <w:p w:rsidR="00256167" w:rsidRDefault="00256167" w:rsidP="00256167">
      <w:pPr>
        <w:pStyle w:val="Equation"/>
        <w:rPr>
          <w:lang w:val="es-ES_tradnl"/>
        </w:rPr>
      </w:pPr>
      <w:r>
        <w:rPr>
          <w:position w:val="-32"/>
          <w:lang w:val="es-ES_tradnl"/>
        </w:rPr>
        <w:object w:dxaOrig="8720" w:dyaOrig="740">
          <v:shape id="_x0000_i1037" type="#_x0000_t75" style="width:435.6pt;height:36.6pt" o:ole="">
            <v:imagedata r:id="rId37" o:title=""/>
          </v:shape>
          <o:OLEObject Type="Embed" ProgID="Equation.2" ShapeID="_x0000_i1037" DrawAspect="Content" ObjectID="_1376823611" r:id="rId38"/>
        </w:object>
      </w:r>
      <w:r>
        <w:rPr>
          <w:lang w:val="es-ES_tradnl"/>
        </w:rPr>
        <w:tab/>
        <w:t>(14)</w:t>
      </w:r>
    </w:p>
    <w:p w:rsidR="00256167" w:rsidRDefault="00256167" w:rsidP="00256167">
      <w:pPr>
        <w:rPr>
          <w:lang w:val="es-ES_tradnl"/>
        </w:rPr>
      </w:pPr>
      <w:r>
        <w:rPr>
          <w:lang w:val="es-ES_tradnl"/>
        </w:rPr>
        <w:t>donde:</w:t>
      </w:r>
    </w:p>
    <w:p w:rsidR="00256167" w:rsidRPr="007F0761" w:rsidRDefault="00256167" w:rsidP="00256167">
      <w:pPr>
        <w:pStyle w:val="Equationlegend"/>
        <w:rPr>
          <w:lang w:val="es-ES_tradnl"/>
        </w:rPr>
      </w:pPr>
      <w:r w:rsidRPr="007F0761">
        <w:rPr>
          <w:lang w:val="es-ES_tradnl"/>
        </w:rPr>
        <w:tab/>
      </w:r>
      <w:r w:rsidRPr="007F0761">
        <w:rPr>
          <w:i/>
          <w:lang w:val="es-ES_tradnl"/>
        </w:rPr>
        <w:t>P</w:t>
      </w:r>
      <w:r w:rsidRPr="007F0761">
        <w:rPr>
          <w:i/>
          <w:position w:val="-4"/>
          <w:sz w:val="16"/>
          <w:lang w:val="es-ES_tradnl"/>
        </w:rPr>
        <w:t>t</w:t>
      </w:r>
      <w:r w:rsidRPr="007F0761">
        <w:rPr>
          <w:rFonts w:ascii="Tms Rmn" w:hAnsi="Tms Rmn"/>
          <w:sz w:val="12"/>
          <w:lang w:val="es-ES_tradnl"/>
        </w:rPr>
        <w:t> </w:t>
      </w:r>
      <w:r w:rsidRPr="007F0761">
        <w:rPr>
          <w:lang w:val="es-ES_tradnl"/>
        </w:rPr>
        <w:t>:</w:t>
      </w:r>
      <w:r w:rsidRPr="007F0761">
        <w:rPr>
          <w:lang w:val="es-ES_tradnl"/>
        </w:rPr>
        <w:tab/>
        <w:t>p.i.r.e. (</w:t>
      </w:r>
      <w:proofErr w:type="spellStart"/>
      <w:r w:rsidRPr="007F0761">
        <w:rPr>
          <w:lang w:val="es-ES_tradnl"/>
        </w:rPr>
        <w:t>dBW</w:t>
      </w:r>
      <w:proofErr w:type="spellEnd"/>
      <w:r w:rsidRPr="007F0761">
        <w:rPr>
          <w:lang w:val="es-ES_tradnl"/>
        </w:rPr>
        <w:t>)</w:t>
      </w:r>
    </w:p>
    <w:p w:rsidR="00256167" w:rsidRPr="007F0761" w:rsidRDefault="00256167" w:rsidP="00256167">
      <w:pPr>
        <w:pStyle w:val="Equationlegend"/>
        <w:rPr>
          <w:lang w:val="es-ES_tradnl"/>
        </w:rPr>
      </w:pPr>
      <w:r w:rsidRPr="007F0761">
        <w:rPr>
          <w:lang w:val="es-ES_tradnl"/>
        </w:rPr>
        <w:tab/>
      </w:r>
      <w:r w:rsidRPr="007F0761">
        <w:rPr>
          <w:i/>
          <w:lang w:val="es-ES_tradnl"/>
        </w:rPr>
        <w:t>G</w:t>
      </w:r>
      <w:r w:rsidRPr="007F0761">
        <w:rPr>
          <w:i/>
          <w:position w:val="-4"/>
          <w:sz w:val="16"/>
          <w:lang w:val="es-ES_tradnl"/>
        </w:rPr>
        <w:t>r</w:t>
      </w:r>
      <w:r w:rsidRPr="007F0761">
        <w:rPr>
          <w:rFonts w:ascii="Tms Rmn" w:hAnsi="Tms Rmn"/>
          <w:sz w:val="12"/>
          <w:lang w:val="es-ES_tradnl"/>
        </w:rPr>
        <w:t> </w:t>
      </w:r>
      <w:r w:rsidRPr="007F0761">
        <w:rPr>
          <w:lang w:val="es-ES_tradnl"/>
        </w:rPr>
        <w:t>:</w:t>
      </w:r>
      <w:r w:rsidRPr="007F0761">
        <w:rPr>
          <w:lang w:val="es-ES_tradnl"/>
        </w:rPr>
        <w:tab/>
        <w:t>ganancia de la antena receptora (dB)</w:t>
      </w:r>
    </w:p>
    <w:p w:rsidR="00256167" w:rsidRPr="007F0761" w:rsidRDefault="00256167" w:rsidP="00256167">
      <w:pPr>
        <w:pStyle w:val="Equationlegend"/>
        <w:rPr>
          <w:lang w:val="es-ES_tradnl"/>
        </w:rPr>
      </w:pPr>
      <w:r w:rsidRPr="007F0761">
        <w:rPr>
          <w:lang w:val="es-ES_tradnl"/>
        </w:rPr>
        <w:tab/>
      </w:r>
      <w:r w:rsidRPr="007F0761">
        <w:rPr>
          <w:i/>
          <w:lang w:val="es-ES_tradnl"/>
        </w:rPr>
        <w:t>P</w:t>
      </w:r>
      <w:proofErr w:type="spellStart"/>
      <w:r w:rsidRPr="007F0761">
        <w:rPr>
          <w:i/>
          <w:position w:val="-4"/>
          <w:sz w:val="16"/>
          <w:lang w:val="es-ES_tradnl"/>
        </w:rPr>
        <w:t>ibm</w:t>
      </w:r>
      <w:proofErr w:type="spellEnd"/>
      <w:r w:rsidRPr="007F0761">
        <w:rPr>
          <w:rFonts w:ascii="Tms Rmn" w:hAnsi="Tms Rmn"/>
          <w:sz w:val="12"/>
          <w:lang w:val="es-ES_tradnl"/>
        </w:rPr>
        <w:t> </w:t>
      </w:r>
      <w:r w:rsidRPr="007F0761">
        <w:rPr>
          <w:lang w:val="es-ES_tradnl"/>
        </w:rPr>
        <w:t>:</w:t>
      </w:r>
      <w:r w:rsidRPr="007F0761">
        <w:rPr>
          <w:lang w:val="es-ES_tradnl"/>
        </w:rPr>
        <w:tab/>
        <w:t>potencia media recibida en el móvil (</w:t>
      </w:r>
      <w:proofErr w:type="spellStart"/>
      <w:r w:rsidRPr="007F0761">
        <w:rPr>
          <w:lang w:val="es-ES_tradnl"/>
        </w:rPr>
        <w:t>dBW</w:t>
      </w:r>
      <w:proofErr w:type="spellEnd"/>
      <w:r w:rsidRPr="007F0761">
        <w:rPr>
          <w:lang w:val="es-ES_tradnl"/>
        </w:rPr>
        <w:t>)</w:t>
      </w:r>
    </w:p>
    <w:p w:rsidR="00256167" w:rsidRPr="007F0761" w:rsidRDefault="00256167" w:rsidP="00256167">
      <w:pPr>
        <w:pStyle w:val="Equationlegend"/>
        <w:rPr>
          <w:lang w:val="es-ES_tradnl"/>
        </w:rPr>
      </w:pPr>
      <w:r w:rsidRPr="007F0761">
        <w:rPr>
          <w:lang w:val="es-ES_tradnl"/>
        </w:rPr>
        <w:tab/>
      </w:r>
      <w:r w:rsidRPr="007F0761">
        <w:rPr>
          <w:i/>
          <w:lang w:val="es-ES_tradnl"/>
        </w:rPr>
        <w:t>OCR</w:t>
      </w:r>
      <w:r w:rsidRPr="007F0761">
        <w:rPr>
          <w:rFonts w:ascii="Tms Rmn" w:hAnsi="Tms Rmn"/>
          <w:sz w:val="12"/>
          <w:lang w:val="es-ES_tradnl"/>
        </w:rPr>
        <w:t> </w:t>
      </w:r>
      <w:r w:rsidRPr="007F0761">
        <w:rPr>
          <w:lang w:val="es-ES_tradnl"/>
        </w:rPr>
        <w:t>:</w:t>
      </w:r>
      <w:r w:rsidRPr="007F0761">
        <w:rPr>
          <w:lang w:val="es-ES_tradnl"/>
        </w:rPr>
        <w:tab/>
        <w:t>rechazo fuera del canal</w:t>
      </w:r>
    </w:p>
    <w:p w:rsidR="00256167" w:rsidRPr="007F0761" w:rsidRDefault="00256167" w:rsidP="00256167">
      <w:pPr>
        <w:pStyle w:val="Equationlegend"/>
        <w:rPr>
          <w:lang w:val="es-ES_tradnl"/>
        </w:rPr>
      </w:pPr>
      <w:r w:rsidRPr="007F0761">
        <w:rPr>
          <w:lang w:val="es-ES_tradnl"/>
        </w:rPr>
        <w:tab/>
      </w:r>
      <w:r w:rsidRPr="007F0761">
        <w:rPr>
          <w:i/>
          <w:lang w:val="es-ES_tradnl"/>
        </w:rPr>
        <w:t>f</w:t>
      </w:r>
      <w:r w:rsidRPr="007F0761">
        <w:rPr>
          <w:rFonts w:ascii="Tms Rmn" w:hAnsi="Tms Rmn"/>
          <w:sz w:val="12"/>
          <w:lang w:val="es-ES_tradnl"/>
        </w:rPr>
        <w:t> </w:t>
      </w:r>
      <w:r w:rsidRPr="007F0761">
        <w:rPr>
          <w:lang w:val="es-ES_tradnl"/>
        </w:rPr>
        <w:t>:</w:t>
      </w:r>
      <w:r w:rsidRPr="007F0761">
        <w:rPr>
          <w:lang w:val="es-ES_tradnl"/>
        </w:rPr>
        <w:tab/>
        <w:t>frecuencia del transmisor (MHz)</w:t>
      </w:r>
    </w:p>
    <w:p w:rsidR="00256167" w:rsidRPr="007F0761" w:rsidRDefault="00256167" w:rsidP="00256167">
      <w:pPr>
        <w:pStyle w:val="Equationlegend"/>
        <w:rPr>
          <w:lang w:val="es-ES_tradnl"/>
        </w:rPr>
      </w:pPr>
      <w:r w:rsidRPr="007F0761">
        <w:rPr>
          <w:lang w:val="es-ES_tradnl"/>
        </w:rPr>
        <w:tab/>
      </w:r>
      <w:r w:rsidRPr="007F0761">
        <w:rPr>
          <w:i/>
          <w:lang w:val="es-ES_tradnl"/>
        </w:rPr>
        <w:t>h</w:t>
      </w:r>
      <w:r w:rsidRPr="007F0761">
        <w:rPr>
          <w:i/>
          <w:position w:val="-4"/>
          <w:sz w:val="16"/>
          <w:lang w:val="es-ES_tradnl"/>
        </w:rPr>
        <w:t>t</w:t>
      </w:r>
      <w:r w:rsidRPr="007F0761">
        <w:rPr>
          <w:rFonts w:ascii="Tms Rmn" w:hAnsi="Tms Rmn"/>
          <w:sz w:val="12"/>
          <w:lang w:val="es-ES_tradnl"/>
        </w:rPr>
        <w:t> </w:t>
      </w:r>
      <w:r w:rsidRPr="007F0761">
        <w:rPr>
          <w:lang w:val="es-ES_tradnl"/>
        </w:rPr>
        <w:t>:</w:t>
      </w:r>
      <w:r w:rsidRPr="007F0761">
        <w:rPr>
          <w:lang w:val="es-ES_tradnl"/>
        </w:rPr>
        <w:tab/>
        <w:t>altura de la antena de la estación de base (m)</w:t>
      </w:r>
    </w:p>
    <w:p w:rsidR="00256167" w:rsidRPr="007F0761" w:rsidRDefault="00256167" w:rsidP="00256167">
      <w:pPr>
        <w:pStyle w:val="Equationlegend"/>
        <w:rPr>
          <w:lang w:val="es-ES_tradnl"/>
        </w:rPr>
      </w:pPr>
      <w:r w:rsidRPr="007F0761">
        <w:rPr>
          <w:lang w:val="es-ES_tradnl"/>
        </w:rPr>
        <w:tab/>
      </w:r>
      <w:r w:rsidRPr="007F0761">
        <w:rPr>
          <w:i/>
          <w:lang w:val="es-ES_tradnl"/>
        </w:rPr>
        <w:t>h</w:t>
      </w:r>
      <w:r w:rsidRPr="007F0761">
        <w:rPr>
          <w:i/>
          <w:position w:val="-4"/>
          <w:sz w:val="16"/>
          <w:lang w:val="es-ES_tradnl"/>
        </w:rPr>
        <w:t>r</w:t>
      </w:r>
      <w:r w:rsidRPr="007F0761">
        <w:rPr>
          <w:rFonts w:ascii="Tms Rmn" w:hAnsi="Tms Rmn"/>
          <w:sz w:val="12"/>
          <w:lang w:val="es-ES_tradnl"/>
        </w:rPr>
        <w:t> </w:t>
      </w:r>
      <w:r w:rsidRPr="007F0761">
        <w:rPr>
          <w:lang w:val="es-ES_tradnl"/>
        </w:rPr>
        <w:t>:</w:t>
      </w:r>
      <w:r w:rsidRPr="007F0761">
        <w:rPr>
          <w:lang w:val="es-ES_tradnl"/>
        </w:rPr>
        <w:tab/>
        <w:t>altura de la antena móvil (m).</w:t>
      </w:r>
    </w:p>
    <w:p w:rsidR="00256167" w:rsidRDefault="00256167" w:rsidP="00256167">
      <w:pPr>
        <w:rPr>
          <w:lang w:val="es-ES_tradnl"/>
        </w:rPr>
      </w:pPr>
      <w:r>
        <w:rPr>
          <w:lang w:val="es-ES_tradnl"/>
        </w:rPr>
        <w:t>Se supone que la antena de la estación de base es omnidireccional. También se utilizan las coordenadas de la estación de base que determinan la posición del centro del círculo de cobertura en la matriz de celdas.</w:t>
      </w:r>
    </w:p>
    <w:p w:rsidR="00256167" w:rsidRDefault="00256167" w:rsidP="00256167">
      <w:pPr>
        <w:rPr>
          <w:lang w:val="es-ES_tradnl"/>
        </w:rPr>
      </w:pPr>
      <w:r>
        <w:rPr>
          <w:lang w:val="es-ES_tradnl"/>
        </w:rPr>
        <w:t xml:space="preserve">Para obtener un índice del espectro ocupado, </w:t>
      </w:r>
      <w:r w:rsidRPr="001D2A9C">
        <w:rPr>
          <w:i/>
          <w:lang w:val="es-ES_tradnl"/>
        </w:rPr>
        <w:t>P</w:t>
      </w:r>
      <w:proofErr w:type="spellStart"/>
      <w:r w:rsidRPr="001D2A9C">
        <w:rPr>
          <w:i/>
          <w:position w:val="-4"/>
          <w:sz w:val="16"/>
          <w:lang w:val="es-ES_tradnl"/>
        </w:rPr>
        <w:t>ibm</w:t>
      </w:r>
      <w:proofErr w:type="spellEnd"/>
      <w:r w:rsidRPr="001D2A9C">
        <w:rPr>
          <w:lang w:val="es-ES_tradnl"/>
        </w:rPr>
        <w:t xml:space="preserve"> </w:t>
      </w:r>
      <w:r>
        <w:rPr>
          <w:lang w:val="es-ES_tradnl"/>
        </w:rPr>
        <w:t xml:space="preserve">es </w:t>
      </w:r>
      <w:r w:rsidRPr="001D2A9C">
        <w:rPr>
          <w:lang w:val="es-ES_tradnl"/>
        </w:rPr>
        <w:t>–</w:t>
      </w:r>
      <w:r>
        <w:rPr>
          <w:lang w:val="es-ES_tradnl"/>
        </w:rPr>
        <w:t>128 </w:t>
      </w:r>
      <w:proofErr w:type="spellStart"/>
      <w:r>
        <w:rPr>
          <w:lang w:val="es-ES_tradnl"/>
        </w:rPr>
        <w:t>dBW</w:t>
      </w:r>
      <w:proofErr w:type="spellEnd"/>
      <w:r>
        <w:rPr>
          <w:lang w:val="es-ES_tradnl"/>
        </w:rPr>
        <w:t xml:space="preserve"> y </w:t>
      </w:r>
      <w:r>
        <w:rPr>
          <w:i/>
          <w:lang w:val="es-ES_tradnl"/>
        </w:rPr>
        <w:t>OCR</w:t>
      </w:r>
      <w:r>
        <w:rPr>
          <w:sz w:val="8"/>
          <w:lang w:val="es-ES_tradnl"/>
        </w:rPr>
        <w:t> </w:t>
      </w:r>
      <w:r>
        <w:rPr>
          <w:lang w:val="es-ES_tradnl"/>
        </w:rPr>
        <w:t>(</w:t>
      </w:r>
      <w:r>
        <w:rPr>
          <w:rFonts w:ascii="Symbol" w:hAnsi="Symbol"/>
          <w:lang w:val="es-ES_tradnl"/>
        </w:rPr>
        <w:t></w:t>
      </w:r>
      <w:r>
        <w:rPr>
          <w:i/>
          <w:lang w:val="es-ES_tradnl"/>
        </w:rPr>
        <w:t>f</w:t>
      </w:r>
      <w:r>
        <w:rPr>
          <w:sz w:val="10"/>
          <w:lang w:val="es-ES_tradnl"/>
        </w:rPr>
        <w:t> </w:t>
      </w:r>
      <w:r>
        <w:rPr>
          <w:lang w:val="es-ES_tradnl"/>
        </w:rPr>
        <w:t>) es igual a cero.</w:t>
      </w:r>
    </w:p>
    <w:p w:rsidR="000850AA" w:rsidRDefault="00256167" w:rsidP="000850AA">
      <w:pPr>
        <w:rPr>
          <w:lang w:val="es-ES_tradnl"/>
        </w:rPr>
      </w:pPr>
      <w:r>
        <w:rPr>
          <w:lang w:val="es-ES_tradnl"/>
        </w:rPr>
        <w:t xml:space="preserve">En el caso de los sistemas de radiocomunicaciones móviles terrestres, no sólo nos interesa el índice de espectro ocupado, sino también el índice de espectro denegado. El espectro denegado se debe a que los canales adyacentes de las frecuencias asignadas no pueden utilizarse dentro de una determinada distancia de separación con respecto a la estación de base considerada debido a la interferencia. Esta distancia depende, entre otros parámetros, de la separación de frecuencias. A fin de calcular esta distancia para diferentes separaciones de frecuencia, se supone que </w:t>
      </w:r>
      <w:proofErr w:type="spellStart"/>
      <w:r>
        <w:rPr>
          <w:i/>
          <w:lang w:val="es-ES_tradnl"/>
        </w:rPr>
        <w:t>P</w:t>
      </w:r>
      <w:r w:rsidRPr="000850AA">
        <w:rPr>
          <w:i/>
          <w:iCs/>
          <w:vertAlign w:val="subscript"/>
          <w:lang w:val="es-ES_tradnl"/>
        </w:rPr>
        <w:t>ibm</w:t>
      </w:r>
      <w:proofErr w:type="spellEnd"/>
      <w:r w:rsidRPr="001D2A9C">
        <w:rPr>
          <w:lang w:val="es-ES_tradnl"/>
        </w:rPr>
        <w:t xml:space="preserve"> </w:t>
      </w:r>
      <w:r>
        <w:rPr>
          <w:lang w:val="es-ES_tradnl"/>
        </w:rPr>
        <w:t>e</w:t>
      </w:r>
      <w:r w:rsidR="000850AA">
        <w:rPr>
          <w:lang w:val="es-ES_tradnl"/>
        </w:rPr>
        <w:t xml:space="preserve">s </w:t>
      </w:r>
      <w:r w:rsidR="000850AA">
        <w:rPr>
          <w:lang w:val="es-ES_tradnl"/>
        </w:rPr>
        <w:fldChar w:fldCharType="begin"/>
      </w:r>
      <w:r w:rsidR="000850AA">
        <w:rPr>
          <w:lang w:val="es-ES_tradnl"/>
        </w:rPr>
        <w:instrText xml:space="preserve"> EQ  –145 dBW </w:instrText>
      </w:r>
      <w:r w:rsidR="000850AA">
        <w:rPr>
          <w:lang w:val="es-ES_tradnl"/>
        </w:rPr>
        <w:fldChar w:fldCharType="end"/>
      </w:r>
      <w:r w:rsidR="000850AA">
        <w:rPr>
          <w:lang w:val="es-ES_tradnl"/>
        </w:rPr>
        <w:t xml:space="preserve">, habiendo de utilizarse diversos valores de </w:t>
      </w:r>
      <w:r w:rsidR="000850AA">
        <w:rPr>
          <w:i/>
          <w:lang w:val="es-ES_tradnl"/>
        </w:rPr>
        <w:t xml:space="preserve">OCR </w:t>
      </w:r>
      <w:r w:rsidR="000850AA" w:rsidRPr="000850AA">
        <w:rPr>
          <w:lang w:val="es-ES_tradnl"/>
        </w:rPr>
        <w:t>(</w:t>
      </w:r>
      <w:proofErr w:type="spellStart"/>
      <w:r w:rsidR="000850AA">
        <w:rPr>
          <w:lang w:val="es-ES_tradnl"/>
        </w:rPr>
        <w:t>Δ</w:t>
      </w:r>
      <w:r w:rsidR="000850AA" w:rsidRPr="000850AA">
        <w:rPr>
          <w:i/>
          <w:iCs/>
          <w:lang w:val="es-ES_tradnl"/>
        </w:rPr>
        <w:t>f</w:t>
      </w:r>
      <w:proofErr w:type="spellEnd"/>
      <w:r w:rsidR="000850AA" w:rsidRPr="000850AA">
        <w:rPr>
          <w:lang w:val="es-ES_tradnl"/>
        </w:rPr>
        <w:t>)</w:t>
      </w:r>
      <w:r w:rsidR="000850AA">
        <w:rPr>
          <w:lang w:val="es-ES_tradnl"/>
        </w:rPr>
        <w:t>.</w:t>
      </w:r>
    </w:p>
    <w:p w:rsidR="00256167" w:rsidRDefault="00256167" w:rsidP="00256167">
      <w:pPr>
        <w:rPr>
          <w:lang w:val="es-ES_tradnl"/>
        </w:rPr>
      </w:pPr>
      <w:r>
        <w:rPr>
          <w:lang w:val="es-ES_tradnl"/>
        </w:rPr>
        <w:t xml:space="preserve">Basándose en las máscaras de las emisiones fuera de banda, los valores utilizados para el factor OCR (dB) para una separación de </w:t>
      </w:r>
      <w:r>
        <w:rPr>
          <w:rFonts w:ascii="Symbol" w:hAnsi="Symbol"/>
          <w:lang w:val="es-ES_tradnl"/>
        </w:rPr>
        <w:t></w:t>
      </w:r>
      <w:r>
        <w:rPr>
          <w:i/>
          <w:lang w:val="es-ES_tradnl"/>
        </w:rPr>
        <w:t>f</w:t>
      </w:r>
      <w:r>
        <w:rPr>
          <w:lang w:val="es-ES_tradnl"/>
        </w:rPr>
        <w:t xml:space="preserve"> (kHz) son:</w:t>
      </w:r>
    </w:p>
    <w:p w:rsidR="00256167" w:rsidRDefault="00256167" w:rsidP="00256167">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s-ES_tradnl"/>
        </w:rPr>
      </w:pPr>
      <w:r>
        <w:rPr>
          <w:lang w:val="es-ES_tradnl"/>
        </w:rPr>
        <w:tab/>
      </w:r>
      <w:r>
        <w:rPr>
          <w:rFonts w:ascii="Symbol" w:hAnsi="Symbol"/>
          <w:lang w:val="es-ES_tradnl"/>
        </w:rPr>
        <w:t></w:t>
      </w:r>
      <w:r>
        <w:rPr>
          <w:i/>
          <w:lang w:val="es-ES_tradnl"/>
        </w:rPr>
        <w:t>f</w:t>
      </w:r>
      <w:r>
        <w:rPr>
          <w:lang w:val="es-ES_tradnl"/>
        </w:rPr>
        <w:tab/>
        <w:t>0</w:t>
      </w:r>
      <w:r>
        <w:rPr>
          <w:lang w:val="es-ES_tradnl"/>
        </w:rPr>
        <w:tab/>
      </w:r>
      <w:r>
        <w:rPr>
          <w:lang w:val="es-ES_tradnl"/>
        </w:rPr>
        <w:sym w:font="Symbol" w:char="F0B1"/>
      </w:r>
      <w:r>
        <w:rPr>
          <w:lang w:val="es-ES_tradnl"/>
        </w:rPr>
        <w:t>25</w:t>
      </w:r>
      <w:r>
        <w:rPr>
          <w:lang w:val="es-ES_tradnl"/>
        </w:rPr>
        <w:tab/>
      </w:r>
      <w:r>
        <w:rPr>
          <w:lang w:val="es-ES_tradnl"/>
        </w:rPr>
        <w:sym w:font="Symbol" w:char="F0B1"/>
      </w:r>
      <w:r>
        <w:rPr>
          <w:lang w:val="es-ES_tradnl"/>
        </w:rPr>
        <w:t>50</w:t>
      </w:r>
      <w:r>
        <w:rPr>
          <w:lang w:val="es-ES_tradnl"/>
        </w:rPr>
        <w:tab/>
      </w:r>
      <w:r>
        <w:rPr>
          <w:lang w:val="es-ES_tradnl"/>
        </w:rPr>
        <w:sym w:font="Symbol" w:char="F0B1"/>
      </w:r>
      <w:r>
        <w:rPr>
          <w:lang w:val="es-ES_tradnl"/>
        </w:rPr>
        <w:t>75</w:t>
      </w:r>
      <w:r>
        <w:rPr>
          <w:lang w:val="es-ES_tradnl"/>
        </w:rPr>
        <w:tab/>
      </w:r>
      <w:r>
        <w:rPr>
          <w:lang w:val="es-ES_tradnl"/>
        </w:rPr>
        <w:sym w:font="Symbol" w:char="F0B1"/>
      </w:r>
      <w:r>
        <w:rPr>
          <w:lang w:val="es-ES_tradnl"/>
        </w:rPr>
        <w:t>100</w:t>
      </w:r>
    </w:p>
    <w:p w:rsidR="00256167" w:rsidRDefault="00256167" w:rsidP="00256167">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s-ES_tradnl"/>
        </w:rPr>
      </w:pPr>
      <w:r>
        <w:rPr>
          <w:lang w:val="es-ES_tradnl"/>
        </w:rPr>
        <w:tab/>
        <w:t>OCR</w:t>
      </w:r>
      <w:r>
        <w:rPr>
          <w:lang w:val="es-ES_tradnl"/>
        </w:rPr>
        <w:tab/>
        <w:t>0</w:t>
      </w:r>
      <w:r>
        <w:rPr>
          <w:lang w:val="es-ES_tradnl"/>
        </w:rPr>
        <w:tab/>
        <w:t>57,1</w:t>
      </w:r>
      <w:r>
        <w:rPr>
          <w:lang w:val="es-ES_tradnl"/>
        </w:rPr>
        <w:tab/>
        <w:t>58,6</w:t>
      </w:r>
      <w:r>
        <w:rPr>
          <w:lang w:val="es-ES_tradnl"/>
        </w:rPr>
        <w:tab/>
        <w:t>58,6</w:t>
      </w:r>
      <w:r>
        <w:rPr>
          <w:lang w:val="es-ES_tradnl"/>
        </w:rPr>
        <w:tab/>
        <w:t>58,6</w:t>
      </w:r>
    </w:p>
    <w:p w:rsidR="00256167" w:rsidRDefault="00256167" w:rsidP="00256167">
      <w:pPr>
        <w:rPr>
          <w:lang w:val="es-ES_tradnl"/>
        </w:rPr>
      </w:pPr>
      <w:r>
        <w:rPr>
          <w:lang w:val="es-ES_tradnl"/>
        </w:rPr>
        <w:t xml:space="preserve">Utilizando estos valores es posible obtener distancias comparables a las condiciones de propagación reales. A partir de un conjunto de datos de muestra y de acuerdo con el cálculo de las distancias de cobertura, la distancia ocupada es 21,9 km. Las distancias denegadas correspondientes para </w:t>
      </w:r>
      <w:r>
        <w:rPr>
          <w:rFonts w:ascii="Symbol" w:hAnsi="Symbol"/>
          <w:lang w:val="es-ES_tradnl"/>
        </w:rPr>
        <w:t></w:t>
      </w:r>
      <w:r>
        <w:rPr>
          <w:i/>
          <w:lang w:val="es-ES_tradnl"/>
        </w:rPr>
        <w:t>f</w:t>
      </w:r>
      <w:r>
        <w:rPr>
          <w:lang w:val="es-ES_tradnl"/>
        </w:rPr>
        <w:t xml:space="preserve"> </w:t>
      </w:r>
      <w:r>
        <w:rPr>
          <w:rFonts w:ascii="Symbol" w:hAnsi="Symbol"/>
          <w:lang w:val="es-ES_tradnl"/>
        </w:rPr>
        <w:t></w:t>
      </w:r>
      <w:r>
        <w:rPr>
          <w:lang w:val="es-ES_tradnl"/>
        </w:rPr>
        <w:t xml:space="preserve"> 0, </w:t>
      </w:r>
      <w:r>
        <w:rPr>
          <w:rFonts w:ascii="Symbol" w:hAnsi="Symbol"/>
          <w:lang w:val="es-ES_tradnl"/>
        </w:rPr>
        <w:t></w:t>
      </w:r>
      <w:r>
        <w:rPr>
          <w:rFonts w:ascii="Tms Rmn" w:hAnsi="Tms Rmn"/>
          <w:sz w:val="8"/>
          <w:lang w:val="es-ES_tradnl"/>
        </w:rPr>
        <w:t> </w:t>
      </w:r>
      <w:r>
        <w:rPr>
          <w:lang w:val="es-ES_tradnl"/>
        </w:rPr>
        <w:t xml:space="preserve">25 kHz, </w:t>
      </w:r>
      <w:r>
        <w:rPr>
          <w:rFonts w:ascii="Symbol" w:hAnsi="Symbol"/>
          <w:lang w:val="es-ES_tradnl"/>
        </w:rPr>
        <w:t></w:t>
      </w:r>
      <w:r>
        <w:rPr>
          <w:rFonts w:ascii="Tms Rmn" w:hAnsi="Tms Rmn"/>
          <w:sz w:val="8"/>
          <w:lang w:val="es-ES_tradnl"/>
        </w:rPr>
        <w:t> </w:t>
      </w:r>
      <w:r>
        <w:rPr>
          <w:lang w:val="es-ES_tradnl"/>
        </w:rPr>
        <w:t>50 kHz, y superiores son 69,2 km, 1,5 km y 1,3 km respectivamente.</w:t>
      </w:r>
    </w:p>
    <w:p w:rsidR="00E626A1" w:rsidRDefault="00E626A1">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256167" w:rsidRDefault="00256167" w:rsidP="00256167">
      <w:pPr>
        <w:pStyle w:val="Heading3"/>
        <w:rPr>
          <w:lang w:val="es-ES_tradnl"/>
        </w:rPr>
      </w:pPr>
      <w:r>
        <w:rPr>
          <w:lang w:val="es-ES_tradnl"/>
        </w:rPr>
        <w:lastRenderedPageBreak/>
        <w:t>1.3.2</w:t>
      </w:r>
      <w:r>
        <w:rPr>
          <w:lang w:val="es-ES_tradnl"/>
        </w:rPr>
        <w:tab/>
        <w:t>Resultados</w:t>
      </w:r>
    </w:p>
    <w:p w:rsidR="00256167" w:rsidRDefault="00256167" w:rsidP="00256167">
      <w:pPr>
        <w:rPr>
          <w:lang w:val="es-ES_tradnl"/>
        </w:rPr>
      </w:pPr>
      <w:r>
        <w:rPr>
          <w:lang w:val="es-ES_tradnl"/>
        </w:rPr>
        <w:t>A fin de ilustrar esta metodología para el cálculo de la EUE, se da el resultado para la zona de 5776 km</w:t>
      </w:r>
      <w:r w:rsidRPr="001D2A9C">
        <w:rPr>
          <w:position w:val="6"/>
          <w:sz w:val="16"/>
          <w:lang w:val="es-ES_tradnl"/>
        </w:rPr>
        <w:t>2</w:t>
      </w:r>
      <w:r>
        <w:rPr>
          <w:lang w:val="es-ES_tradnl"/>
        </w:rPr>
        <w:t xml:space="preserve"> en torno al núcleo de las 10 ciudades canadienses en la banda 138-174 MHz. El Cuadro 1 indica el índice de espectro ocupado y el índice de espectro denegado y ocupado.</w:t>
      </w:r>
    </w:p>
    <w:p w:rsidR="00256167" w:rsidRDefault="00256167" w:rsidP="00256167">
      <w:pPr>
        <w:rPr>
          <w:lang w:val="es-ES_tradnl"/>
        </w:rPr>
      </w:pPr>
      <w:r>
        <w:rPr>
          <w:lang w:val="es-ES_tradnl"/>
        </w:rPr>
        <w:t xml:space="preserve">Los datos utilizados para determinar la ocupación total se obtienen de la base de datos del Sistema Canadiense de Asignación y Concesión de Licencias (Canadian </w:t>
      </w:r>
      <w:proofErr w:type="spellStart"/>
      <w:r>
        <w:rPr>
          <w:lang w:val="es-ES_tradnl"/>
        </w:rPr>
        <w:t>Assignement</w:t>
      </w:r>
      <w:proofErr w:type="spellEnd"/>
      <w:r>
        <w:rPr>
          <w:lang w:val="es-ES_tradnl"/>
        </w:rPr>
        <w:t xml:space="preserve"> and </w:t>
      </w:r>
      <w:proofErr w:type="spellStart"/>
      <w:r>
        <w:rPr>
          <w:lang w:val="es-ES_tradnl"/>
        </w:rPr>
        <w:t>Licensing</w:t>
      </w:r>
      <w:proofErr w:type="spellEnd"/>
      <w:r>
        <w:rPr>
          <w:lang w:val="es-ES_tradnl"/>
        </w:rPr>
        <w:t xml:space="preserve"> </w:t>
      </w:r>
      <w:proofErr w:type="spellStart"/>
      <w:r>
        <w:rPr>
          <w:lang w:val="es-ES_tradnl"/>
        </w:rPr>
        <w:t>System</w:t>
      </w:r>
      <w:proofErr w:type="spellEnd"/>
      <w:r>
        <w:rPr>
          <w:lang w:val="es-ES_tradnl"/>
        </w:rPr>
        <w:t xml:space="preserve"> </w:t>
      </w:r>
      <w:proofErr w:type="spellStart"/>
      <w:r>
        <w:rPr>
          <w:lang w:val="es-ES_tradnl"/>
        </w:rPr>
        <w:t>database</w:t>
      </w:r>
      <w:proofErr w:type="spellEnd"/>
      <w:r>
        <w:rPr>
          <w:lang w:val="es-ES_tradnl"/>
        </w:rPr>
        <w:t>).</w:t>
      </w:r>
    </w:p>
    <w:p w:rsidR="00256167" w:rsidRDefault="00256167" w:rsidP="00256167">
      <w:pPr>
        <w:rPr>
          <w:lang w:val="es-ES_tradnl"/>
        </w:rPr>
      </w:pPr>
      <w:r>
        <w:rPr>
          <w:lang w:val="es-ES_tradnl"/>
        </w:rPr>
        <w:t>Las bandas atribuidas a los sistemas móviles terrestres consideradas en este ejemplo son la banda de ondas métricas de 138</w:t>
      </w:r>
      <w:r>
        <w:rPr>
          <w:lang w:val="es-ES_tradnl"/>
        </w:rPr>
        <w:noBreakHyphen/>
        <w:t>174 MHz y las bandas de ondas decimétricas de 406-430 MHz y 450</w:t>
      </w:r>
      <w:r>
        <w:rPr>
          <w:lang w:val="es-ES_tradnl"/>
        </w:rPr>
        <w:noBreakHyphen/>
        <w:t>470 MHz. La separación de canales para las ondas métricas es de 30 kHz y para las decimétricas de 25 kHz.</w:t>
      </w:r>
    </w:p>
    <w:p w:rsidR="00256167" w:rsidRDefault="00256167" w:rsidP="00256167">
      <w:pPr>
        <w:pStyle w:val="Table"/>
        <w:rPr>
          <w:lang w:val="es-ES_tradnl"/>
        </w:rPr>
      </w:pPr>
      <w:r>
        <w:rPr>
          <w:lang w:val="es-ES_tradnl"/>
        </w:rPr>
        <w:t>CUADRO  1</w:t>
      </w:r>
    </w:p>
    <w:p w:rsidR="00256167" w:rsidRPr="001D2A9C" w:rsidRDefault="00256167" w:rsidP="00256167">
      <w:pPr>
        <w:pStyle w:val="TableTitle0"/>
        <w:rPr>
          <w:lang w:val="es-ES_tradnl"/>
        </w:rPr>
      </w:pPr>
      <w:r w:rsidRPr="001D2A9C">
        <w:rPr>
          <w:lang w:val="es-ES_tradnl"/>
        </w:rPr>
        <w:t>Índices de espectro ocupado y denegado (138-174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gridCol w:w="1701"/>
      </w:tblGrid>
      <w:tr w:rsidR="00256167" w:rsidTr="005B580A">
        <w:trPr>
          <w:jc w:val="center"/>
        </w:trPr>
        <w:tc>
          <w:tcPr>
            <w:tcW w:w="2835" w:type="dxa"/>
          </w:tcPr>
          <w:p w:rsidR="00256167" w:rsidRDefault="00256167" w:rsidP="005B580A">
            <w:pPr>
              <w:pStyle w:val="TableText0"/>
              <w:jc w:val="center"/>
              <w:rPr>
                <w:lang w:val="es-ES_tradnl"/>
              </w:rPr>
            </w:pPr>
            <w:r>
              <w:rPr>
                <w:lang w:val="es-ES_tradnl"/>
              </w:rPr>
              <w:t>E/kHz/km</w:t>
            </w:r>
            <w:r>
              <w:rPr>
                <w:position w:val="6"/>
                <w:sz w:val="14"/>
                <w:lang w:val="es-ES_tradnl"/>
              </w:rPr>
              <w:t>2</w:t>
            </w:r>
            <w:r>
              <w:rPr>
                <w:lang w:val="es-ES_tradnl"/>
              </w:rPr>
              <w:t xml:space="preserve"> </w:t>
            </w:r>
            <w:r>
              <w:rPr>
                <w:rFonts w:ascii="Symbol" w:hAnsi="Symbol"/>
                <w:lang w:val="es-ES_tradnl"/>
              </w:rPr>
              <w:t></w:t>
            </w:r>
            <w:r>
              <w:rPr>
                <w:lang w:val="es-ES_tradnl"/>
              </w:rPr>
              <w:t xml:space="preserve"> 10</w:t>
            </w:r>
            <w:r>
              <w:rPr>
                <w:position w:val="6"/>
                <w:sz w:val="14"/>
                <w:lang w:val="es-ES_tradnl"/>
              </w:rPr>
              <w:t>–3</w:t>
            </w:r>
          </w:p>
        </w:tc>
        <w:tc>
          <w:tcPr>
            <w:tcW w:w="2835" w:type="dxa"/>
          </w:tcPr>
          <w:p w:rsidR="00256167" w:rsidRDefault="00256167" w:rsidP="005B580A">
            <w:pPr>
              <w:pStyle w:val="TableText0"/>
              <w:jc w:val="center"/>
              <w:rPr>
                <w:lang w:val="es-ES_tradnl"/>
              </w:rPr>
            </w:pPr>
            <w:r>
              <w:rPr>
                <w:lang w:val="es-ES_tradnl"/>
              </w:rPr>
              <w:t>Índice ocupado y denegado</w:t>
            </w:r>
          </w:p>
        </w:tc>
        <w:tc>
          <w:tcPr>
            <w:tcW w:w="1701" w:type="dxa"/>
          </w:tcPr>
          <w:p w:rsidR="00256167" w:rsidRDefault="00256167" w:rsidP="005B580A">
            <w:pPr>
              <w:pStyle w:val="TableText0"/>
              <w:jc w:val="center"/>
              <w:rPr>
                <w:lang w:val="es-ES_tradnl"/>
              </w:rPr>
            </w:pPr>
            <w:r>
              <w:rPr>
                <w:lang w:val="es-ES_tradnl"/>
              </w:rPr>
              <w:t>Índice ocupado</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Toronto</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4,19</w:t>
            </w:r>
          </w:p>
        </w:tc>
        <w:tc>
          <w:tcPr>
            <w:tcW w:w="1701"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1,33</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Ottawa</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4,54</w:t>
            </w:r>
          </w:p>
        </w:tc>
        <w:tc>
          <w:tcPr>
            <w:tcW w:w="1701"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1,30</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Windsor</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3,68</w:t>
            </w:r>
          </w:p>
        </w:tc>
        <w:tc>
          <w:tcPr>
            <w:tcW w:w="1701"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0,87</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Montreal</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3,56</w:t>
            </w:r>
          </w:p>
        </w:tc>
        <w:tc>
          <w:tcPr>
            <w:tcW w:w="1701"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0,88</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Saint John</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3,24</w:t>
            </w:r>
          </w:p>
        </w:tc>
        <w:tc>
          <w:tcPr>
            <w:tcW w:w="1701"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0,65</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Halifax</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3,32</w:t>
            </w:r>
          </w:p>
        </w:tc>
        <w:tc>
          <w:tcPr>
            <w:tcW w:w="1701"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0,68</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Vancouver</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3,20</w:t>
            </w:r>
          </w:p>
        </w:tc>
        <w:tc>
          <w:tcPr>
            <w:tcW w:w="1701" w:type="dxa"/>
          </w:tcPr>
          <w:p w:rsidR="00256167" w:rsidRDefault="00256167" w:rsidP="005B580A">
            <w:pPr>
              <w:pStyle w:val="TableText0"/>
              <w:spacing w:before="60" w:after="60"/>
              <w:jc w:val="center"/>
              <w:rPr>
                <w:lang w:val="es-ES_tradnl"/>
              </w:rPr>
            </w:pPr>
            <w:r>
              <w:rPr>
                <w:lang w:val="es-ES_tradnl"/>
              </w:rPr>
              <w:t>0,62</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Winnipeg</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3,31</w:t>
            </w:r>
          </w:p>
        </w:tc>
        <w:tc>
          <w:tcPr>
            <w:tcW w:w="1701" w:type="dxa"/>
          </w:tcPr>
          <w:p w:rsidR="00256167" w:rsidRDefault="00256167" w:rsidP="005B580A">
            <w:pPr>
              <w:pStyle w:val="TableText0"/>
              <w:spacing w:before="60" w:after="60"/>
              <w:jc w:val="center"/>
              <w:rPr>
                <w:lang w:val="es-ES_tradnl"/>
              </w:rPr>
            </w:pPr>
            <w:r>
              <w:rPr>
                <w:lang w:val="es-ES_tradnl"/>
              </w:rPr>
              <w:t>0,74</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Calgary</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3,05</w:t>
            </w:r>
          </w:p>
        </w:tc>
        <w:tc>
          <w:tcPr>
            <w:tcW w:w="1701" w:type="dxa"/>
          </w:tcPr>
          <w:p w:rsidR="00256167" w:rsidRDefault="00256167" w:rsidP="005B580A">
            <w:pPr>
              <w:pStyle w:val="TableText0"/>
              <w:spacing w:before="60" w:after="60"/>
              <w:jc w:val="center"/>
              <w:rPr>
                <w:lang w:val="es-ES_tradnl"/>
              </w:rPr>
            </w:pPr>
            <w:r>
              <w:rPr>
                <w:lang w:val="es-ES_tradnl"/>
              </w:rPr>
              <w:t>0,73</w:t>
            </w:r>
          </w:p>
        </w:tc>
      </w:tr>
      <w:tr w:rsidR="00256167" w:rsidTr="005B580A">
        <w:trPr>
          <w:jc w:val="center"/>
        </w:trPr>
        <w:tc>
          <w:tcPr>
            <w:tcW w:w="2835" w:type="dxa"/>
          </w:tcPr>
          <w:p w:rsidR="00256167" w:rsidRDefault="00256167" w:rsidP="005B580A">
            <w:pPr>
              <w:pStyle w:val="TableText0"/>
              <w:tabs>
                <w:tab w:val="clear" w:pos="794"/>
                <w:tab w:val="clear" w:pos="1191"/>
                <w:tab w:val="clear" w:pos="1588"/>
                <w:tab w:val="clear" w:pos="1985"/>
                <w:tab w:val="left" w:pos="454"/>
              </w:tabs>
              <w:spacing w:before="60" w:after="60"/>
              <w:rPr>
                <w:lang w:val="es-ES_tradnl"/>
              </w:rPr>
            </w:pPr>
            <w:r>
              <w:rPr>
                <w:lang w:val="es-ES_tradnl"/>
              </w:rPr>
              <w:tab/>
              <w:t>Edmonton</w:t>
            </w:r>
          </w:p>
        </w:tc>
        <w:tc>
          <w:tcPr>
            <w:tcW w:w="2835" w:type="dxa"/>
          </w:tcPr>
          <w:p w:rsidR="00256167" w:rsidRDefault="00256167" w:rsidP="005B580A">
            <w:pPr>
              <w:pStyle w:val="TableText0"/>
              <w:tabs>
                <w:tab w:val="clear" w:pos="794"/>
                <w:tab w:val="clear" w:pos="1191"/>
                <w:tab w:val="clear" w:pos="1588"/>
                <w:tab w:val="clear" w:pos="1985"/>
                <w:tab w:val="left" w:pos="454"/>
              </w:tabs>
              <w:spacing w:before="60" w:after="60"/>
              <w:jc w:val="center"/>
              <w:rPr>
                <w:lang w:val="es-ES_tradnl"/>
              </w:rPr>
            </w:pPr>
            <w:r>
              <w:rPr>
                <w:lang w:val="es-ES_tradnl"/>
              </w:rPr>
              <w:t>2,99</w:t>
            </w:r>
          </w:p>
        </w:tc>
        <w:tc>
          <w:tcPr>
            <w:tcW w:w="1701" w:type="dxa"/>
          </w:tcPr>
          <w:p w:rsidR="00256167" w:rsidRDefault="00256167" w:rsidP="005B580A">
            <w:pPr>
              <w:pStyle w:val="TableText0"/>
              <w:spacing w:before="60" w:after="60"/>
              <w:jc w:val="center"/>
              <w:rPr>
                <w:lang w:val="es-ES_tradnl"/>
              </w:rPr>
            </w:pPr>
            <w:r>
              <w:rPr>
                <w:lang w:val="es-ES_tradnl"/>
              </w:rPr>
              <w:t>0,60</w:t>
            </w:r>
          </w:p>
        </w:tc>
      </w:tr>
    </w:tbl>
    <w:p w:rsidR="00256167" w:rsidRDefault="00256167" w:rsidP="00256167">
      <w:pPr>
        <w:pStyle w:val="Tablefin"/>
        <w:rPr>
          <w:lang w:val="es-ES_tradnl"/>
        </w:rPr>
      </w:pPr>
    </w:p>
    <w:p w:rsidR="00E626A1" w:rsidRPr="00E626A1" w:rsidRDefault="00E626A1" w:rsidP="00E626A1">
      <w:pPr>
        <w:pStyle w:val="Blanc"/>
      </w:pPr>
    </w:p>
    <w:p w:rsidR="00256167" w:rsidRDefault="00256167" w:rsidP="00E626A1">
      <w:pPr>
        <w:rPr>
          <w:lang w:val="es-ES_tradnl"/>
        </w:rPr>
      </w:pPr>
      <w:r>
        <w:rPr>
          <w:lang w:val="es-ES_tradnl"/>
        </w:rPr>
        <w:t>También se presentan los resultados gráficos de la ciudad de Vancouver, igualmente en la banda 138-174 MHz. En la Fig. 3 se muestra una visualización tridimensional de una matriz de valores, en este caso el espectro denegado y ocupado. La matriz está superpuesta sobre un mapa de la ciudad a fin de presentar la información sobre la utilización con detalle cartográfico. Esta presentación mejora en gran medida nuestra capacidad para interpretar esta información. Como se muestra en la Fig.</w:t>
      </w:r>
      <w:r w:rsidR="00E626A1">
        <w:rPr>
          <w:lang w:val="es-ES_tradnl"/>
        </w:rPr>
        <w:t> </w:t>
      </w:r>
      <w:r>
        <w:rPr>
          <w:lang w:val="es-ES_tradnl"/>
        </w:rPr>
        <w:t>4, el valor máximo de una celda de espectro ocupado en el centro de la ciudad e</w:t>
      </w:r>
      <w:r w:rsidR="00E626A1">
        <w:rPr>
          <w:lang w:val="es-ES_tradnl"/>
        </w:rPr>
        <w:t xml:space="preserve">s </w:t>
      </w:r>
      <w:r w:rsidR="00E626A1">
        <w:rPr>
          <w:lang w:val="es-ES_tradnl"/>
        </w:rPr>
        <w:fldChar w:fldCharType="begin"/>
      </w:r>
      <w:r w:rsidR="00E626A1">
        <w:rPr>
          <w:lang w:val="es-ES_tradnl"/>
        </w:rPr>
        <w:instrText xml:space="preserve"> EQ  1,7 </w:instrText>
      </w:r>
      <w:r w:rsidR="00E626A1">
        <w:rPr>
          <w:rFonts w:ascii="Symbol" w:hAnsi="Symbol"/>
          <w:lang w:val="es-ES_tradnl"/>
        </w:rPr>
        <w:instrText></w:instrText>
      </w:r>
      <w:r w:rsidR="00E626A1">
        <w:rPr>
          <w:lang w:val="es-ES_tradnl"/>
        </w:rPr>
        <w:instrText> 10</w:instrText>
      </w:r>
      <w:r w:rsidR="00E626A1" w:rsidRPr="00E626A1">
        <w:rPr>
          <w:vertAlign w:val="superscript"/>
          <w:lang w:val="es-ES_tradnl"/>
        </w:rPr>
        <w:instrText>–3</w:instrText>
      </w:r>
      <w:r w:rsidR="00E626A1" w:rsidRPr="001D2A9C">
        <w:rPr>
          <w:lang w:val="es-ES_tradnl"/>
        </w:rPr>
        <w:instrText> </w:instrText>
      </w:r>
      <w:r w:rsidR="00E626A1">
        <w:rPr>
          <w:lang w:val="es-ES_tradnl"/>
        </w:rPr>
        <w:instrText>E/kHz/km</w:instrText>
      </w:r>
      <w:r w:rsidR="00E626A1" w:rsidRPr="001D2A9C">
        <w:rPr>
          <w:position w:val="6"/>
          <w:sz w:val="16"/>
          <w:lang w:val="es-ES_tradnl"/>
        </w:rPr>
        <w:instrText>2</w:instrText>
      </w:r>
      <w:r w:rsidR="00E626A1">
        <w:rPr>
          <w:lang w:val="es-ES_tradnl"/>
        </w:rPr>
        <w:fldChar w:fldCharType="end"/>
      </w:r>
      <w:r>
        <w:rPr>
          <w:lang w:val="es-ES_tradnl"/>
        </w:rPr>
        <w:t>. El valor máximo de una celda del espectro denegado y ocupado para esta banda es 4,9 </w:t>
      </w:r>
      <w:r>
        <w:rPr>
          <w:rFonts w:ascii="Symbol" w:hAnsi="Symbol"/>
          <w:lang w:val="es-ES_tradnl"/>
        </w:rPr>
        <w:t></w:t>
      </w:r>
      <w:r>
        <w:rPr>
          <w:lang w:val="es-ES_tradnl"/>
        </w:rPr>
        <w:t> 10</w:t>
      </w:r>
      <w:r w:rsidR="00E626A1" w:rsidRPr="00E626A1">
        <w:rPr>
          <w:vertAlign w:val="superscript"/>
          <w:lang w:val="es-ES_tradnl"/>
        </w:rPr>
        <w:t>–</w:t>
      </w:r>
      <w:r w:rsidRPr="00E626A1">
        <w:rPr>
          <w:vertAlign w:val="superscript"/>
          <w:lang w:val="es-ES_tradnl"/>
        </w:rPr>
        <w:t>3</w:t>
      </w:r>
      <w:r>
        <w:rPr>
          <w:lang w:val="es-ES_tradnl"/>
        </w:rPr>
        <w:t> E/kHz/km</w:t>
      </w:r>
      <w:r w:rsidRPr="001D2A9C">
        <w:rPr>
          <w:position w:val="6"/>
          <w:sz w:val="16"/>
          <w:lang w:val="es-ES_tradnl"/>
        </w:rPr>
        <w:t>2</w:t>
      </w:r>
      <w:r>
        <w:rPr>
          <w:lang w:val="es-ES_tradnl"/>
        </w:rPr>
        <w:t>, que se sitúa justo al norte y al oeste del centroide (véase la Fig. 5). Esta zona de la ciudad de Vancouver es un núcleo de gran actividad comercial.</w:t>
      </w:r>
    </w:p>
    <w:p w:rsidR="00256167" w:rsidRDefault="00256167" w:rsidP="00256167">
      <w:pPr>
        <w:spacing w:before="0"/>
        <w:rPr>
          <w:lang w:val="es-ES_tradnl"/>
        </w:rPr>
      </w:pPr>
    </w:p>
    <w:p w:rsidR="00256167" w:rsidRDefault="00E1764F" w:rsidP="00256167">
      <w:pPr>
        <w:pStyle w:val="FigureNo"/>
        <w:rPr>
          <w:lang w:val="es-ES_tradnl"/>
        </w:rPr>
      </w:pPr>
      <w:r>
        <w:object w:dxaOrig="7490" w:dyaOrig="6434">
          <v:shape id="_x0000_i1038" type="#_x0000_t75" style="width:374.4pt;height:321.6pt;mso-position-vertical:absolute" o:ole="">
            <v:imagedata r:id="rId39" o:title=""/>
          </v:shape>
          <o:OLEObject Type="Embed" ProgID="CorelDraw.Graphic.12" ShapeID="_x0000_i1038" DrawAspect="Content" ObjectID="_1376823612" r:id="rId40"/>
        </w:object>
      </w:r>
    </w:p>
    <w:p w:rsidR="00256167" w:rsidRDefault="00256167" w:rsidP="00256167">
      <w:pPr>
        <w:pStyle w:val="FigureNo"/>
        <w:rPr>
          <w:lang w:val="es-ES_tradnl"/>
        </w:rPr>
      </w:pPr>
      <w:r>
        <w:object w:dxaOrig="7522" w:dyaOrig="6943">
          <v:shape id="_x0000_i1039" type="#_x0000_t75" style="width:375.6pt;height:347.4pt" o:ole="">
            <v:imagedata r:id="rId41" o:title=""/>
          </v:shape>
          <o:OLEObject Type="Embed" ProgID="CorelDraw.Graphic.12" ShapeID="_x0000_i1039" DrawAspect="Content" ObjectID="_1376823613" r:id="rId42"/>
        </w:object>
      </w:r>
    </w:p>
    <w:p w:rsidR="00256167" w:rsidRDefault="00256167" w:rsidP="00256167">
      <w:pPr>
        <w:pStyle w:val="FigureNo"/>
        <w:rPr>
          <w:lang w:val="es-ES_tradnl"/>
        </w:rPr>
      </w:pPr>
      <w:r>
        <w:object w:dxaOrig="7483" w:dyaOrig="6577">
          <v:shape id="_x0000_i1040" type="#_x0000_t75" style="width:374.4pt;height:329.4pt" o:ole="" o:allowoverlap="f">
            <v:imagedata r:id="rId43" o:title=""/>
          </v:shape>
          <o:OLEObject Type="Embed" ProgID="CorelDraw.Graphic.12" ShapeID="_x0000_i1040" DrawAspect="Content" ObjectID="_1376823614" r:id="rId44"/>
        </w:object>
      </w:r>
    </w:p>
    <w:p w:rsidR="00256167" w:rsidRPr="00BB5F17" w:rsidRDefault="00256167" w:rsidP="00256167">
      <w:pPr>
        <w:pStyle w:val="Heading2"/>
        <w:rPr>
          <w:lang w:val="es-ES"/>
        </w:rPr>
      </w:pPr>
      <w:r w:rsidRPr="00BB5F17">
        <w:rPr>
          <w:lang w:val="es-ES"/>
        </w:rPr>
        <w:t>1.4</w:t>
      </w:r>
      <w:r w:rsidRPr="00BB5F17">
        <w:rPr>
          <w:lang w:val="es-ES"/>
        </w:rPr>
        <w:tab/>
        <w:t>EUE de los sistemas de radiocomunicaciones móviles terrestres (método alternativo)</w:t>
      </w:r>
    </w:p>
    <w:p w:rsidR="00256167" w:rsidRPr="00BB5F17" w:rsidRDefault="00256167" w:rsidP="00256167">
      <w:pPr>
        <w:pStyle w:val="Heading3"/>
        <w:rPr>
          <w:lang w:val="es-ES"/>
        </w:rPr>
      </w:pPr>
      <w:r w:rsidRPr="00BB5F17">
        <w:rPr>
          <w:lang w:val="es-ES"/>
        </w:rPr>
        <w:t>1.4.1</w:t>
      </w:r>
      <w:r w:rsidRPr="00BB5F17">
        <w:rPr>
          <w:lang w:val="es-ES"/>
        </w:rPr>
        <w:tab/>
        <w:t>Introducción</w:t>
      </w:r>
    </w:p>
    <w:p w:rsidR="00256167" w:rsidRPr="00BB5F17" w:rsidRDefault="00256167" w:rsidP="00256167">
      <w:pPr>
        <w:rPr>
          <w:lang w:val="es-ES"/>
        </w:rPr>
      </w:pPr>
      <w:r w:rsidRPr="00BB5F17">
        <w:rPr>
          <w:lang w:val="es-ES"/>
        </w:rPr>
        <w:t xml:space="preserve">Considérese el caso de un sistema móvil de radiocomunicaciones de un determinado tipo instalado en una determinada zona geográfica, con </w:t>
      </w:r>
      <w:r w:rsidRPr="00BB5F17">
        <w:rPr>
          <w:i/>
          <w:iCs/>
          <w:lang w:val="es-ES"/>
        </w:rPr>
        <w:t>J</w:t>
      </w:r>
      <w:r w:rsidRPr="00BB5F17">
        <w:rPr>
          <w:lang w:val="es-ES"/>
        </w:rPr>
        <w:t xml:space="preserve"> estaciones de base que funcionan a frecuencias fijas. Para el caso general, la eficacia de utilización del espectro viene dada por el siguiente parámetro complejo:</w:t>
      </w:r>
    </w:p>
    <w:p w:rsidR="00256167" w:rsidRPr="00BB5F17" w:rsidRDefault="00256167" w:rsidP="00256167">
      <w:pPr>
        <w:pStyle w:val="Equation"/>
        <w:rPr>
          <w:lang w:val="es-ES"/>
        </w:rPr>
      </w:pPr>
      <w:r w:rsidRPr="00BB5F17">
        <w:rPr>
          <w:lang w:val="es-ES"/>
        </w:rPr>
        <w:tab/>
      </w:r>
      <w:r w:rsidRPr="00BB5F17">
        <w:rPr>
          <w:lang w:val="es-ES"/>
        </w:rPr>
        <w:tab/>
      </w:r>
      <w:r w:rsidRPr="00BB5F17">
        <w:rPr>
          <w:position w:val="-10"/>
          <w:lang w:val="es-ES"/>
        </w:rPr>
        <w:object w:dxaOrig="1460" w:dyaOrig="340">
          <v:shape id="_x0000_i1041" type="#_x0000_t75" style="width:72.6pt;height:17.4pt" o:ole="" fillcolor="window">
            <v:imagedata r:id="rId45" o:title=""/>
          </v:shape>
          <o:OLEObject Type="Embed" ProgID="Equation.3" ShapeID="_x0000_i1041" DrawAspect="Content" ObjectID="_1376823615" r:id="rId46"/>
        </w:object>
      </w:r>
      <w:r w:rsidRPr="00BB5F17">
        <w:rPr>
          <w:lang w:val="es-ES"/>
        </w:rPr>
        <w:tab/>
        <w:t>(15)</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lang w:val="es-ES"/>
        </w:rPr>
      </w:pPr>
      <w:r w:rsidRPr="00BB5F17">
        <w:rPr>
          <w:i/>
          <w:iCs/>
          <w:lang w:val="es-ES"/>
        </w:rPr>
        <w:tab/>
        <w:t>M</w:t>
      </w:r>
      <w:r w:rsidRPr="00BB5F17">
        <w:rPr>
          <w:lang w:val="es-ES"/>
        </w:rPr>
        <w:t>:</w:t>
      </w:r>
      <w:r w:rsidRPr="00BB5F17">
        <w:rPr>
          <w:i/>
          <w:iCs/>
          <w:lang w:val="es-ES"/>
        </w:rPr>
        <w:tab/>
      </w:r>
      <w:r w:rsidRPr="00BB5F17">
        <w:rPr>
          <w:lang w:val="es-ES"/>
        </w:rPr>
        <w:t>efecto útil que se obtiene con el sistema de telecomunicaciones considerado</w:t>
      </w:r>
    </w:p>
    <w:p w:rsidR="00256167" w:rsidRPr="00BB5F17" w:rsidRDefault="00256167" w:rsidP="00256167">
      <w:pPr>
        <w:pStyle w:val="Equationlegend"/>
        <w:rPr>
          <w:iCs/>
          <w:lang w:val="es-ES"/>
        </w:rPr>
      </w:pPr>
      <w:r w:rsidRPr="00BB5F17">
        <w:rPr>
          <w:i/>
          <w:lang w:val="es-ES"/>
        </w:rPr>
        <w:tab/>
        <w:t>U</w:t>
      </w:r>
      <w:r w:rsidRPr="00BB5F17">
        <w:rPr>
          <w:lang w:val="es-ES"/>
        </w:rPr>
        <w:t>:</w:t>
      </w:r>
      <w:r w:rsidRPr="00BB5F17">
        <w:rPr>
          <w:i/>
          <w:lang w:val="es-ES"/>
        </w:rPr>
        <w:tab/>
      </w:r>
      <w:r w:rsidRPr="00BB5F17">
        <w:rPr>
          <w:iCs/>
          <w:lang w:val="es-ES"/>
        </w:rPr>
        <w:t>factor de utilización del espectro para ese sistema.</w:t>
      </w:r>
    </w:p>
    <w:p w:rsidR="00256167" w:rsidRPr="00BB5F17" w:rsidRDefault="00256167" w:rsidP="00256167">
      <w:pPr>
        <w:pStyle w:val="Heading3"/>
        <w:rPr>
          <w:lang w:val="es-ES"/>
        </w:rPr>
      </w:pPr>
      <w:r w:rsidRPr="00BB5F17">
        <w:rPr>
          <w:lang w:val="es-ES"/>
        </w:rPr>
        <w:t>1.4.2</w:t>
      </w:r>
      <w:r w:rsidRPr="00BB5F17">
        <w:rPr>
          <w:lang w:val="es-ES"/>
        </w:rPr>
        <w:tab/>
        <w:t>Definición del efecto útil</w:t>
      </w:r>
    </w:p>
    <w:p w:rsidR="00256167" w:rsidRPr="00BB5F17" w:rsidRDefault="00256167" w:rsidP="00256167">
      <w:pPr>
        <w:rPr>
          <w:lang w:val="es-ES"/>
        </w:rPr>
      </w:pPr>
      <w:r w:rsidRPr="00BB5F17">
        <w:rPr>
          <w:lang w:val="es-ES"/>
        </w:rPr>
        <w:t xml:space="preserve">La utilidad de un sistema móvil de comunicaciones está determinada por la capacidad que tienen los usuarios para enviar y recibir información cuando se encuentran en una posición arbitraria dentro de la zona geográfica. El efecto útil será mayor cuanto más importante sea la cantidad de información que se puede transferir en un momento dado (o el volumen del tráfico dentro de la zona de servicio) y cuanto mayor sea la zona realmente accesible. El efecto útil viene determinado por dos magnitudes: el total de tráfico generado dentro de los límites de la zona de servicio </w:t>
      </w:r>
      <w:r w:rsidRPr="00BB5F17">
        <w:rPr>
          <w:i/>
          <w:iCs/>
          <w:lang w:val="es-ES"/>
        </w:rPr>
        <w:t>E</w:t>
      </w:r>
      <w:r w:rsidRPr="00BB5F17">
        <w:rPr>
          <w:lang w:val="es-ES"/>
        </w:rPr>
        <w:t xml:space="preserve"> y el tamaño relativo de la zona de servicio, que es </w:t>
      </w:r>
      <w:r w:rsidRPr="00BB5F17">
        <w:rPr>
          <w:i/>
          <w:lang w:val="es-ES"/>
        </w:rPr>
        <w:t>S</w:t>
      </w:r>
      <w:r w:rsidRPr="00BB5F17">
        <w:rPr>
          <w:i/>
          <w:vertAlign w:val="subscript"/>
          <w:lang w:val="es-ES"/>
        </w:rPr>
        <w:t>r</w:t>
      </w:r>
      <w:r w:rsidRPr="00BB5F17">
        <w:rPr>
          <w:lang w:val="es-ES"/>
        </w:rPr>
        <w:t> </w:t>
      </w:r>
      <w:r w:rsidRPr="00BB5F17">
        <w:rPr>
          <w:i/>
          <w:lang w:val="es-ES"/>
        </w:rPr>
        <w:t>= </w:t>
      </w:r>
      <w:proofErr w:type="spellStart"/>
      <w:r w:rsidRPr="00BB5F17">
        <w:rPr>
          <w:i/>
          <w:lang w:val="es-ES"/>
        </w:rPr>
        <w:t>S</w:t>
      </w:r>
      <w:r w:rsidRPr="00BB5F17">
        <w:rPr>
          <w:i/>
          <w:vertAlign w:val="subscript"/>
          <w:lang w:val="es-ES"/>
        </w:rPr>
        <w:t>s</w:t>
      </w:r>
      <w:proofErr w:type="spellEnd"/>
      <w:r w:rsidRPr="00BB5F17">
        <w:rPr>
          <w:iCs/>
          <w:lang w:val="es-ES"/>
        </w:rPr>
        <w:t>/</w:t>
      </w:r>
      <w:r w:rsidRPr="00BB5F17">
        <w:rPr>
          <w:i/>
          <w:lang w:val="es-ES"/>
        </w:rPr>
        <w:t>S</w:t>
      </w:r>
      <w:r w:rsidRPr="00BB5F17">
        <w:rPr>
          <w:iCs/>
          <w:lang w:val="es-ES"/>
        </w:rPr>
        <w:t>,</w:t>
      </w:r>
      <w:r w:rsidRPr="00BB5F17">
        <w:rPr>
          <w:lang w:val="es-ES"/>
        </w:rPr>
        <w:t xml:space="preserve"> siendo </w:t>
      </w:r>
      <w:proofErr w:type="spellStart"/>
      <w:r w:rsidRPr="00BB5F17">
        <w:rPr>
          <w:i/>
          <w:lang w:val="es-ES"/>
        </w:rPr>
        <w:t>S</w:t>
      </w:r>
      <w:r w:rsidRPr="00BB5F17">
        <w:rPr>
          <w:i/>
          <w:vertAlign w:val="subscript"/>
          <w:lang w:val="es-ES"/>
        </w:rPr>
        <w:t>s</w:t>
      </w:r>
      <w:proofErr w:type="spellEnd"/>
      <w:r w:rsidRPr="00BB5F17">
        <w:rPr>
          <w:i/>
          <w:vertAlign w:val="subscript"/>
          <w:lang w:val="es-ES"/>
        </w:rPr>
        <w:t xml:space="preserve"> </w:t>
      </w:r>
      <w:r w:rsidRPr="00BB5F17">
        <w:rPr>
          <w:iCs/>
          <w:lang w:val="es-ES"/>
        </w:rPr>
        <w:t>y</w:t>
      </w:r>
      <w:r w:rsidRPr="00BB5F17">
        <w:rPr>
          <w:i/>
          <w:lang w:val="es-ES"/>
        </w:rPr>
        <w:t> S</w:t>
      </w:r>
      <w:r w:rsidRPr="00BB5F17">
        <w:rPr>
          <w:lang w:val="es-ES"/>
        </w:rPr>
        <w:t xml:space="preserve"> la zona de servicio del sistema considerado y la superficie total de la zona geográfica considerada respectivamente. El efecto útil puede calcularse con la siguiente fórmula:</w:t>
      </w:r>
    </w:p>
    <w:p w:rsidR="00256167" w:rsidRPr="00BB5F17" w:rsidRDefault="00256167" w:rsidP="00256167">
      <w:pPr>
        <w:pStyle w:val="Equation"/>
        <w:rPr>
          <w:lang w:val="es-ES"/>
        </w:rPr>
      </w:pPr>
      <w:r w:rsidRPr="00BB5F17">
        <w:rPr>
          <w:lang w:val="es-ES"/>
        </w:rPr>
        <w:tab/>
      </w:r>
      <w:r w:rsidRPr="00BB5F17">
        <w:rPr>
          <w:lang w:val="es-ES"/>
        </w:rPr>
        <w:tab/>
      </w:r>
      <w:r w:rsidRPr="00BB5F17">
        <w:rPr>
          <w:position w:val="-10"/>
          <w:lang w:val="es-ES"/>
        </w:rPr>
        <w:object w:dxaOrig="1100" w:dyaOrig="340">
          <v:shape id="_x0000_i1042" type="#_x0000_t75" style="width:55.2pt;height:17.4pt" o:ole="">
            <v:imagedata r:id="rId47" o:title=""/>
          </v:shape>
          <o:OLEObject Type="Embed" ProgID="Equation.3" ShapeID="_x0000_i1042" DrawAspect="Content" ObjectID="_1376823616" r:id="rId48"/>
        </w:object>
      </w:r>
      <w:r w:rsidRPr="00BB5F17">
        <w:rPr>
          <w:lang w:val="es-ES"/>
        </w:rPr>
        <w:tab/>
        <w:t>(16)</w:t>
      </w:r>
    </w:p>
    <w:p w:rsidR="00256167" w:rsidRPr="00BB5F17" w:rsidRDefault="00256167" w:rsidP="00256167">
      <w:pPr>
        <w:rPr>
          <w:lang w:val="es-ES"/>
        </w:rPr>
      </w:pPr>
      <w:r w:rsidRPr="00BB5F17">
        <w:rPr>
          <w:lang w:val="es-ES"/>
        </w:rPr>
        <w:lastRenderedPageBreak/>
        <w:t xml:space="preserve">Es evidente que si el valor de </w:t>
      </w:r>
      <w:proofErr w:type="spellStart"/>
      <w:r w:rsidRPr="00BB5F17">
        <w:rPr>
          <w:i/>
          <w:lang w:val="es-ES"/>
        </w:rPr>
        <w:t>S</w:t>
      </w:r>
      <w:r w:rsidRPr="00BB5F17">
        <w:rPr>
          <w:i/>
          <w:vertAlign w:val="subscript"/>
          <w:lang w:val="es-ES"/>
        </w:rPr>
        <w:t>s</w:t>
      </w:r>
      <w:proofErr w:type="spellEnd"/>
      <w:r w:rsidRPr="00BB5F17">
        <w:rPr>
          <w:lang w:val="es-ES"/>
        </w:rPr>
        <w:t xml:space="preserve"> es muy inferior a </w:t>
      </w:r>
      <w:r w:rsidRPr="00BB5F17">
        <w:rPr>
          <w:i/>
          <w:lang w:val="es-ES"/>
        </w:rPr>
        <w:t>S </w:t>
      </w:r>
      <w:r w:rsidRPr="00BB5F17">
        <w:rPr>
          <w:lang w:val="es-ES"/>
        </w:rPr>
        <w:t>(</w:t>
      </w:r>
      <w:r w:rsidRPr="00BB5F17">
        <w:rPr>
          <w:i/>
          <w:lang w:val="es-ES"/>
        </w:rPr>
        <w:t>S</w:t>
      </w:r>
      <w:r w:rsidRPr="00BB5F17">
        <w:rPr>
          <w:i/>
          <w:vertAlign w:val="subscript"/>
          <w:lang w:val="es-ES"/>
        </w:rPr>
        <w:t>r</w:t>
      </w:r>
      <w:r w:rsidRPr="00BB5F17">
        <w:rPr>
          <w:lang w:val="es-ES"/>
        </w:rPr>
        <w:t> </w:t>
      </w:r>
      <w:r w:rsidRPr="00BB5F17">
        <w:rPr>
          <w:i/>
          <w:lang w:val="es-ES"/>
        </w:rPr>
        <w:t>≈ </w:t>
      </w:r>
      <w:r w:rsidRPr="00BB5F17">
        <w:rPr>
          <w:lang w:val="es-ES"/>
        </w:rPr>
        <w:t>0), la utilidad del sistema (móvil) considerado será muy baja. No habrá una diferencia muy notoria entre los servicios de ese sistema y los que ofrece un sistema fijo de comunicaciones.</w:t>
      </w:r>
    </w:p>
    <w:p w:rsidR="00256167" w:rsidRPr="00BB5F17" w:rsidRDefault="00256167" w:rsidP="00256167">
      <w:pPr>
        <w:rPr>
          <w:lang w:val="es-ES"/>
        </w:rPr>
      </w:pPr>
      <w:r w:rsidRPr="00BB5F17">
        <w:rPr>
          <w:lang w:val="es-ES"/>
        </w:rPr>
        <w:t xml:space="preserve">El tráfico total generado dentro de la zona de servicio </w:t>
      </w:r>
      <w:r w:rsidRPr="00BB5F17">
        <w:rPr>
          <w:i/>
          <w:iCs/>
          <w:lang w:val="es-ES"/>
        </w:rPr>
        <w:t>E</w:t>
      </w:r>
      <w:r w:rsidRPr="00BB5F17">
        <w:rPr>
          <w:lang w:val="es-ES"/>
        </w:rPr>
        <w:t xml:space="preserve"> puede determinarse examinando los subsistemas de facturación del sistema móvil de comunicaciones en cuyas bases de datos se conservan registros durables de la hora inicial y final de las comunicaciones. La zona de servicio total será la suma de las distintas zonas de servicio de las estaciones de base del sistema móvil de comunicaciones, o </w:t>
      </w:r>
      <w:proofErr w:type="spellStart"/>
      <w:r w:rsidRPr="00BB5F17">
        <w:rPr>
          <w:i/>
          <w:lang w:val="es-ES"/>
        </w:rPr>
        <w:t>S</w:t>
      </w:r>
      <w:r w:rsidRPr="00BB5F17">
        <w:rPr>
          <w:i/>
          <w:vertAlign w:val="subscript"/>
          <w:lang w:val="es-ES"/>
        </w:rPr>
        <w:t>s</w:t>
      </w:r>
      <w:proofErr w:type="spellEnd"/>
      <w:r w:rsidRPr="00BB5F17">
        <w:rPr>
          <w:i/>
          <w:lang w:val="es-ES"/>
        </w:rPr>
        <w:t> = </w:t>
      </w:r>
      <w:r w:rsidRPr="00BB5F17">
        <w:rPr>
          <w:iCs/>
          <w:lang w:val="es-ES"/>
        </w:rPr>
        <w:sym w:font="Symbol" w:char="F0C8"/>
      </w:r>
      <w:r w:rsidRPr="00BB5F17">
        <w:rPr>
          <w:i/>
          <w:lang w:val="es-ES"/>
        </w:rPr>
        <w:t> </w:t>
      </w:r>
      <w:proofErr w:type="spellStart"/>
      <w:r w:rsidRPr="00BB5F17">
        <w:rPr>
          <w:i/>
          <w:lang w:val="es-ES"/>
        </w:rPr>
        <w:t>S</w:t>
      </w:r>
      <w:r w:rsidRPr="00BB5F17">
        <w:rPr>
          <w:i/>
          <w:vertAlign w:val="subscript"/>
          <w:lang w:val="es-ES"/>
        </w:rPr>
        <w:t>j</w:t>
      </w:r>
      <w:proofErr w:type="spellEnd"/>
      <w:r w:rsidRPr="00BB5F17">
        <w:rPr>
          <w:lang w:val="es-ES"/>
        </w:rPr>
        <w:t xml:space="preserve">, siendo </w:t>
      </w:r>
      <w:proofErr w:type="spellStart"/>
      <w:r w:rsidRPr="00BB5F17">
        <w:rPr>
          <w:i/>
          <w:lang w:val="es-ES"/>
        </w:rPr>
        <w:t>S</w:t>
      </w:r>
      <w:r w:rsidRPr="00BB5F17">
        <w:rPr>
          <w:i/>
          <w:vertAlign w:val="subscript"/>
          <w:lang w:val="es-ES"/>
        </w:rPr>
        <w:t>j</w:t>
      </w:r>
      <w:proofErr w:type="spellEnd"/>
      <w:r w:rsidRPr="00BB5F17">
        <w:rPr>
          <w:lang w:val="es-ES"/>
        </w:rPr>
        <w:t xml:space="preserve"> la zona de servicio de la </w:t>
      </w:r>
      <w:r w:rsidRPr="00BB5F17">
        <w:rPr>
          <w:i/>
          <w:lang w:val="es-ES"/>
        </w:rPr>
        <w:t>j</w:t>
      </w:r>
      <w:r w:rsidRPr="00BB5F17">
        <w:rPr>
          <w:i/>
          <w:lang w:val="es-ES"/>
        </w:rPr>
        <w:noBreakHyphen/>
      </w:r>
      <w:proofErr w:type="spellStart"/>
      <w:r w:rsidRPr="004620D4">
        <w:rPr>
          <w:lang w:val="es-ES"/>
        </w:rPr>
        <w:t>ésima</w:t>
      </w:r>
      <w:proofErr w:type="spellEnd"/>
      <w:r w:rsidRPr="00BB5F17">
        <w:rPr>
          <w:iCs/>
          <w:lang w:val="es-ES"/>
        </w:rPr>
        <w:t xml:space="preserve"> estación de base</w:t>
      </w:r>
      <w:r w:rsidRPr="00BB5F17">
        <w:rPr>
          <w:lang w:val="es-ES"/>
        </w:rPr>
        <w:t>.</w:t>
      </w:r>
    </w:p>
    <w:p w:rsidR="00256167" w:rsidRPr="00BB5F17" w:rsidRDefault="00256167" w:rsidP="00256167">
      <w:pPr>
        <w:rPr>
          <w:lang w:val="es-ES"/>
        </w:rPr>
      </w:pPr>
      <w:r w:rsidRPr="00BB5F17">
        <w:rPr>
          <w:lang w:val="es-ES"/>
        </w:rPr>
        <w:t>En algunos casos, cuando no se tienen los datos necesarios para calcular el volumen de tráfico generado dentro de la zona de servicio, o cuando se desea examinar el potencial de un sistema móvil de comunicaciones, el efecto útil puede calcularse r</w:t>
      </w:r>
      <w:r>
        <w:rPr>
          <w:lang w:val="es-ES"/>
        </w:rPr>
        <w:t>e</w:t>
      </w:r>
      <w:r w:rsidRPr="00BB5F17">
        <w:rPr>
          <w:lang w:val="es-ES"/>
        </w:rPr>
        <w:t xml:space="preserve">emplazando en la ecuación (16) la variable de tráfico total </w:t>
      </w:r>
      <w:r w:rsidRPr="00BB5F17">
        <w:rPr>
          <w:i/>
          <w:iCs/>
          <w:lang w:val="es-ES"/>
        </w:rPr>
        <w:t>E</w:t>
      </w:r>
      <w:r w:rsidRPr="00BB5F17">
        <w:rPr>
          <w:lang w:val="es-ES"/>
        </w:rPr>
        <w:t xml:space="preserve"> por el número relativo de abonados del sistema móvil, </w:t>
      </w:r>
      <w:proofErr w:type="spellStart"/>
      <w:r w:rsidRPr="00BB5F17">
        <w:rPr>
          <w:i/>
          <w:lang w:val="es-ES"/>
        </w:rPr>
        <w:t>N</w:t>
      </w:r>
      <w:r w:rsidRPr="00BB5F17">
        <w:rPr>
          <w:i/>
          <w:vertAlign w:val="subscript"/>
          <w:lang w:val="es-ES"/>
        </w:rPr>
        <w:t>r</w:t>
      </w:r>
      <w:proofErr w:type="spellEnd"/>
      <w:r w:rsidRPr="00BB5F17">
        <w:rPr>
          <w:i/>
          <w:lang w:val="es-ES"/>
        </w:rPr>
        <w:t> = </w:t>
      </w:r>
      <w:proofErr w:type="spellStart"/>
      <w:r w:rsidRPr="00BB5F17">
        <w:rPr>
          <w:i/>
          <w:lang w:val="es-ES"/>
        </w:rPr>
        <w:t>N</w:t>
      </w:r>
      <w:r w:rsidRPr="00BB5F17">
        <w:rPr>
          <w:i/>
          <w:vertAlign w:val="subscript"/>
          <w:lang w:val="es-ES"/>
        </w:rPr>
        <w:t>a</w:t>
      </w:r>
      <w:proofErr w:type="spellEnd"/>
      <w:r w:rsidRPr="00BB5F17">
        <w:rPr>
          <w:iCs/>
          <w:lang w:val="es-ES"/>
        </w:rPr>
        <w:t>/</w:t>
      </w:r>
      <w:r w:rsidRPr="00BB5F17">
        <w:rPr>
          <w:i/>
          <w:lang w:val="es-ES"/>
        </w:rPr>
        <w:t>N</w:t>
      </w:r>
      <w:r w:rsidRPr="00BB5F17">
        <w:rPr>
          <w:lang w:val="es-ES"/>
        </w:rPr>
        <w:t xml:space="preserve">, siendo </w:t>
      </w:r>
      <w:proofErr w:type="spellStart"/>
      <w:r w:rsidRPr="00BB5F17">
        <w:rPr>
          <w:i/>
          <w:lang w:val="es-ES"/>
        </w:rPr>
        <w:t>N</w:t>
      </w:r>
      <w:r w:rsidRPr="00BB5F17">
        <w:rPr>
          <w:i/>
          <w:vertAlign w:val="subscript"/>
          <w:lang w:val="es-ES"/>
        </w:rPr>
        <w:t>a</w:t>
      </w:r>
      <w:proofErr w:type="spellEnd"/>
      <w:r w:rsidRPr="00BB5F17">
        <w:rPr>
          <w:i/>
          <w:lang w:val="es-ES"/>
        </w:rPr>
        <w:t xml:space="preserve"> </w:t>
      </w:r>
      <w:r w:rsidRPr="00BB5F17">
        <w:rPr>
          <w:iCs/>
          <w:lang w:val="es-ES"/>
        </w:rPr>
        <w:t>y</w:t>
      </w:r>
      <w:r w:rsidRPr="00BB5F17">
        <w:rPr>
          <w:i/>
          <w:lang w:val="es-ES"/>
        </w:rPr>
        <w:t xml:space="preserve"> N</w:t>
      </w:r>
      <w:r w:rsidRPr="00BB5F17">
        <w:rPr>
          <w:lang w:val="es-ES"/>
        </w:rPr>
        <w:t>, respectivamente, el número de abonados y la población total de la zona geográfica considerada. Entonces, la fórmula de efecto útil sería la siguiente:</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10"/>
          <w:lang w:val="es-ES"/>
        </w:rPr>
        <w:object w:dxaOrig="1219" w:dyaOrig="340">
          <v:shape id="_x0000_i1043" type="#_x0000_t75" style="width:60.6pt;height:17.4pt" o:ole="">
            <v:imagedata r:id="rId49" o:title=""/>
          </v:shape>
          <o:OLEObject Type="Embed" ProgID="Equation.3" ShapeID="_x0000_i1043" DrawAspect="Content" ObjectID="_1376823617" r:id="rId50"/>
        </w:object>
      </w:r>
      <w:r w:rsidRPr="00BB5F17">
        <w:rPr>
          <w:lang w:val="es-ES"/>
        </w:rPr>
        <w:tab/>
        <w:t>(17)</w:t>
      </w:r>
    </w:p>
    <w:p w:rsidR="00256167" w:rsidRPr="007F0761" w:rsidRDefault="00256167" w:rsidP="00256167">
      <w:pPr>
        <w:pStyle w:val="Blanc"/>
        <w:rPr>
          <w:lang w:val="es-ES_tradnl"/>
        </w:rPr>
      </w:pPr>
    </w:p>
    <w:p w:rsidR="00256167" w:rsidRPr="00BB5F17" w:rsidRDefault="00256167" w:rsidP="00256167">
      <w:pPr>
        <w:rPr>
          <w:lang w:val="es-ES"/>
        </w:rPr>
      </w:pPr>
      <w:r w:rsidRPr="00BB5F17">
        <w:rPr>
          <w:lang w:val="es-ES"/>
        </w:rPr>
        <w:t>Este indicador tiene una interpretación física intuitiva. Con algunas premisas, el resultado indica la probabilidad de que un habitante de la zona geográfica considerada pueda utilizar los servicios del sistema móvil de comunicaciones desde cualquier lugar. Indica también el objetivo de la creación de sistemas móviles de comunicaciones: alcanzar el valor uno, que todos los habitantes de esta zona (</w:t>
      </w:r>
      <w:proofErr w:type="spellStart"/>
      <w:r w:rsidRPr="00BB5F17">
        <w:rPr>
          <w:i/>
          <w:lang w:val="es-ES"/>
        </w:rPr>
        <w:t>N</w:t>
      </w:r>
      <w:r w:rsidRPr="00BB5F17">
        <w:rPr>
          <w:i/>
          <w:vertAlign w:val="subscript"/>
          <w:lang w:val="es-ES"/>
        </w:rPr>
        <w:t>a</w:t>
      </w:r>
      <w:proofErr w:type="spellEnd"/>
      <w:r w:rsidRPr="00BB5F17">
        <w:rPr>
          <w:i/>
          <w:lang w:val="es-ES"/>
        </w:rPr>
        <w:t> = N</w:t>
      </w:r>
      <w:r w:rsidRPr="00BB5F17">
        <w:rPr>
          <w:lang w:val="es-ES"/>
        </w:rPr>
        <w:t>) tengan acceso al servicio en toda la zona (</w:t>
      </w:r>
      <w:proofErr w:type="spellStart"/>
      <w:r w:rsidRPr="00BB5F17">
        <w:rPr>
          <w:i/>
          <w:lang w:val="es-ES"/>
        </w:rPr>
        <w:t>S</w:t>
      </w:r>
      <w:r w:rsidRPr="00BB5F17">
        <w:rPr>
          <w:i/>
          <w:vertAlign w:val="subscript"/>
          <w:lang w:val="es-ES"/>
        </w:rPr>
        <w:t>s</w:t>
      </w:r>
      <w:proofErr w:type="spellEnd"/>
      <w:r w:rsidRPr="00BB5F17">
        <w:rPr>
          <w:i/>
          <w:lang w:val="es-ES"/>
        </w:rPr>
        <w:t> = S</w:t>
      </w:r>
      <w:r w:rsidRPr="00BB5F17">
        <w:rPr>
          <w:lang w:val="es-ES"/>
        </w:rPr>
        <w:t>). Entonces el efecto útil tendrá el valor máximo de uno (</w:t>
      </w:r>
      <w:r w:rsidRPr="00BB5F17">
        <w:rPr>
          <w:i/>
          <w:iCs/>
          <w:lang w:val="es-ES"/>
        </w:rPr>
        <w:t>M </w:t>
      </w:r>
      <w:r w:rsidRPr="00BB5F17">
        <w:rPr>
          <w:lang w:val="es-ES"/>
        </w:rPr>
        <w:t>= 1).</w:t>
      </w:r>
    </w:p>
    <w:p w:rsidR="00256167" w:rsidRPr="00BB5F17" w:rsidRDefault="00256167" w:rsidP="00256167">
      <w:pPr>
        <w:pStyle w:val="Heading3"/>
        <w:rPr>
          <w:lang w:val="es-ES"/>
        </w:rPr>
      </w:pPr>
      <w:r w:rsidRPr="00BB5F17">
        <w:rPr>
          <w:lang w:val="es-ES"/>
        </w:rPr>
        <w:t>1.4.3</w:t>
      </w:r>
      <w:r w:rsidRPr="00BB5F17">
        <w:rPr>
          <w:lang w:val="es-ES"/>
        </w:rPr>
        <w:tab/>
        <w:t>Definición de factor de utilización del espectro</w:t>
      </w:r>
    </w:p>
    <w:p w:rsidR="00256167" w:rsidRPr="00BB5F17" w:rsidRDefault="00256167" w:rsidP="00256167">
      <w:pPr>
        <w:rPr>
          <w:lang w:val="es-ES"/>
        </w:rPr>
      </w:pPr>
      <w:r w:rsidRPr="00BB5F17">
        <w:rPr>
          <w:lang w:val="es-ES"/>
        </w:rPr>
        <w:t>Para determinar la utilización del espectro hay que considera</w:t>
      </w:r>
      <w:r>
        <w:rPr>
          <w:lang w:val="es-ES"/>
        </w:rPr>
        <w:t>r</w:t>
      </w:r>
      <w:r w:rsidRPr="00BB5F17">
        <w:rPr>
          <w:lang w:val="es-ES"/>
        </w:rPr>
        <w:t xml:space="preserve"> si las características de las estaciones de radiocomunicación existentes</w:t>
      </w:r>
      <w:r w:rsidRPr="00D258EC">
        <w:rPr>
          <w:lang w:val="es-ES"/>
        </w:rPr>
        <w:t xml:space="preserve"> </w:t>
      </w:r>
      <w:r w:rsidRPr="00BB5F17">
        <w:rPr>
          <w:lang w:val="es-ES"/>
        </w:rPr>
        <w:t xml:space="preserve">limitan la utilización en nuevas estaciones. Para una estación de base situada en un punto geográfico </w:t>
      </w:r>
      <w:r w:rsidRPr="00BB5F17">
        <w:rPr>
          <w:i/>
          <w:iCs/>
          <w:lang w:val="es-ES"/>
        </w:rPr>
        <w:t>i</w:t>
      </w:r>
      <w:r w:rsidRPr="00BB5F17">
        <w:rPr>
          <w:lang w:val="es-ES"/>
        </w:rPr>
        <w:t xml:space="preserve"> en la zona, sería el número total de bandas de frecuencias </w:t>
      </w:r>
      <w:r w:rsidRPr="00BB5F17">
        <w:rPr>
          <w:i/>
          <w:lang w:val="es-ES"/>
        </w:rPr>
        <w:t>K</w:t>
      </w:r>
      <w:r w:rsidRPr="00BB5F17">
        <w:rPr>
          <w:i/>
          <w:vertAlign w:val="subscript"/>
          <w:lang w:val="es-ES"/>
        </w:rPr>
        <w:t>i</w:t>
      </w:r>
      <w:r w:rsidRPr="00BB5F17">
        <w:rPr>
          <w:lang w:val="es-ES"/>
        </w:rPr>
        <w:t xml:space="preserve"> denegadas por problemas de compatibilidad electromagnética (CEM), o el valor determinado por la relación </w:t>
      </w:r>
      <w:r w:rsidRPr="00BB5F17">
        <w:rPr>
          <w:position w:val="-24"/>
          <w:lang w:val="es-ES"/>
        </w:rPr>
        <w:object w:dxaOrig="820" w:dyaOrig="620">
          <v:shape id="_x0000_i1044" type="#_x0000_t75" style="width:41.4pt;height:30.6pt" o:ole="" fillcolor="window">
            <v:imagedata r:id="rId51" o:title=""/>
          </v:shape>
          <o:OLEObject Type="Embed" ProgID="Equation.3" ShapeID="_x0000_i1044" DrawAspect="Content" ObjectID="_1376823618" r:id="rId52"/>
        </w:object>
      </w:r>
      <w:r w:rsidRPr="00BB5F17">
        <w:rPr>
          <w:lang w:val="es-ES"/>
        </w:rPr>
        <w:t xml:space="preserve">, siendo </w:t>
      </w:r>
      <w:r w:rsidRPr="00BB5F17">
        <w:rPr>
          <w:i/>
          <w:iCs/>
          <w:lang w:val="es-ES"/>
        </w:rPr>
        <w:t>K</w:t>
      </w:r>
      <w:r w:rsidRPr="00BB5F17">
        <w:rPr>
          <w:lang w:val="es-ES"/>
        </w:rPr>
        <w:t xml:space="preserve"> el número total de bandas de frecuencias autorizadas para la utilización por los sistemas móviles de comunicaciones del tipo considerada. Se considerará que las condiciones de CEM no se cumplen en una determinada frecuencia si el transmisor de una o más estaciones de base (de un total de </w:t>
      </w:r>
      <w:r w:rsidRPr="00BB5F17">
        <w:rPr>
          <w:i/>
          <w:iCs/>
          <w:lang w:val="es-ES"/>
        </w:rPr>
        <w:t xml:space="preserve">J </w:t>
      </w:r>
      <w:r w:rsidRPr="00BB5F17">
        <w:rPr>
          <w:lang w:val="es-ES"/>
        </w:rPr>
        <w:t>estaciones de base) produce interferencia inaceptable que afecta al receptor de una estación móvil que está en comunicación con la nueva estación de base, o si un transmisor de la nueva estación de base produce interferencia inaceptable para un receptor en comunicación con cualquiera de las estaciones de base existentes.</w:t>
      </w:r>
    </w:p>
    <w:p w:rsidR="00256167" w:rsidRPr="00BB5F17" w:rsidRDefault="00256167" w:rsidP="00256167">
      <w:pPr>
        <w:rPr>
          <w:lang w:val="es-ES"/>
        </w:rPr>
      </w:pPr>
      <w:r w:rsidRPr="00BB5F17">
        <w:rPr>
          <w:lang w:val="es-ES"/>
        </w:rPr>
        <w:t>Son similares las condiciones para determinar si se niega una porción del espectro hacia la estación</w:t>
      </w:r>
      <w:r>
        <w:rPr>
          <w:lang w:val="es-ES"/>
        </w:rPr>
        <w:t xml:space="preserve"> de</w:t>
      </w:r>
      <w:r w:rsidRPr="00BB5F17">
        <w:rPr>
          <w:lang w:val="es-ES"/>
        </w:rPr>
        <w:t xml:space="preserve"> base del sistema móvil. Como las limitaciones dependen de la posición de la nueva estación de base teórica, los resultados pueden ser muy diferentes. Pueden simplificarse con un cálculo basado en las limitaciones observadas para distintas partes del territorio considerado. La mejor solución es calcular un promedio ponderado, tomando como factor de ponderación la proporción de población que vive en cada parte de esta zona, con lo que se reconoce el mayor valor del espectro en zonas densamente pobladas. Así pues, el factor de utilización del espectro se podrá determinar con la siguiente ecuación:</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30"/>
          <w:lang w:val="es-ES"/>
        </w:rPr>
        <w:object w:dxaOrig="1219" w:dyaOrig="720">
          <v:shape id="_x0000_i1045" type="#_x0000_t75" style="width:60.6pt;height:36pt" o:ole="" fillcolor="window">
            <v:imagedata r:id="rId53" o:title=""/>
          </v:shape>
          <o:OLEObject Type="Embed" ProgID="Equation.3" ShapeID="_x0000_i1045" DrawAspect="Content" ObjectID="_1376823619" r:id="rId54"/>
        </w:object>
      </w:r>
      <w:r w:rsidRPr="00BB5F17">
        <w:rPr>
          <w:lang w:val="es-ES"/>
        </w:rPr>
        <w:tab/>
        <w:t>(18)</w:t>
      </w:r>
    </w:p>
    <w:p w:rsidR="00256167" w:rsidRPr="00BB5F17" w:rsidRDefault="00256167" w:rsidP="00256167">
      <w:pPr>
        <w:keepNext/>
        <w:rPr>
          <w:lang w:val="es-ES"/>
        </w:rPr>
      </w:pPr>
      <w:r w:rsidRPr="00BB5F17">
        <w:rPr>
          <w:lang w:val="es-ES"/>
        </w:rPr>
        <w:lastRenderedPageBreak/>
        <w:t>siendo:</w:t>
      </w:r>
    </w:p>
    <w:p w:rsidR="00256167" w:rsidRPr="00BB5F17" w:rsidRDefault="00256167" w:rsidP="00256167">
      <w:pPr>
        <w:pStyle w:val="Equationlegend"/>
        <w:rPr>
          <w:lang w:val="es-ES"/>
        </w:rPr>
      </w:pPr>
      <w:r w:rsidRPr="00BB5F17">
        <w:rPr>
          <w:i/>
          <w:iCs/>
          <w:lang w:val="es-ES"/>
        </w:rPr>
        <w:tab/>
        <w:t>I</w:t>
      </w:r>
      <w:r w:rsidRPr="00BB5F17">
        <w:rPr>
          <w:lang w:val="es-ES"/>
        </w:rPr>
        <w:t xml:space="preserve">: </w:t>
      </w:r>
      <w:r w:rsidRPr="00BB5F17">
        <w:rPr>
          <w:lang w:val="es-ES"/>
        </w:rPr>
        <w:tab/>
        <w:t>número de elementos territoriales en la zona geográfica</w:t>
      </w:r>
    </w:p>
    <w:p w:rsidR="00256167" w:rsidRPr="00BB5F17" w:rsidRDefault="00256167" w:rsidP="00256167">
      <w:pPr>
        <w:pStyle w:val="Equationlegend"/>
        <w:rPr>
          <w:noProof/>
          <w:lang w:val="es-ES"/>
        </w:rPr>
      </w:pPr>
      <w:r w:rsidRPr="00BB5F17">
        <w:rPr>
          <w:noProof/>
          <w:lang w:val="es-ES"/>
        </w:rPr>
        <w:tab/>
      </w:r>
      <w:r w:rsidRPr="00BB5F17">
        <w:rPr>
          <w:noProof/>
          <w:position w:val="-24"/>
          <w:lang w:val="es-ES"/>
        </w:rPr>
        <w:object w:dxaOrig="760" w:dyaOrig="620">
          <v:shape id="_x0000_i1046" type="#_x0000_t75" style="width:38.4pt;height:30.6pt" o:ole="" fillcolor="window">
            <v:imagedata r:id="rId55" o:title=""/>
          </v:shape>
          <o:OLEObject Type="Embed" ProgID="Equation.3" ShapeID="_x0000_i1046" DrawAspect="Content" ObjectID="_1376823620" r:id="rId56"/>
        </w:object>
      </w:r>
      <w:r w:rsidRPr="00BB5F17">
        <w:rPr>
          <w:lang w:val="es-ES"/>
        </w:rPr>
        <w:t>:</w:t>
      </w:r>
      <w:r w:rsidRPr="00BB5F17">
        <w:rPr>
          <w:noProof/>
          <w:lang w:val="es-ES"/>
        </w:rPr>
        <w:t xml:space="preserve"> </w:t>
      </w:r>
      <w:r w:rsidRPr="00BB5F17">
        <w:rPr>
          <w:noProof/>
          <w:lang w:val="es-ES"/>
        </w:rPr>
        <w:tab/>
        <w:t xml:space="preserve">proporción de la población total que vive en el </w:t>
      </w:r>
      <w:r w:rsidRPr="00BB5F17">
        <w:rPr>
          <w:i/>
          <w:iCs/>
          <w:noProof/>
          <w:lang w:val="es-ES"/>
        </w:rPr>
        <w:t>i</w:t>
      </w:r>
      <w:r w:rsidRPr="00BB5F17">
        <w:rPr>
          <w:i/>
          <w:iCs/>
          <w:noProof/>
          <w:lang w:val="es-ES"/>
        </w:rPr>
        <w:noBreakHyphen/>
      </w:r>
      <w:r w:rsidRPr="004620D4">
        <w:rPr>
          <w:iCs/>
          <w:noProof/>
          <w:lang w:val="es-ES"/>
        </w:rPr>
        <w:t>ésimo</w:t>
      </w:r>
      <w:r w:rsidRPr="00BB5F17">
        <w:rPr>
          <w:noProof/>
          <w:lang w:val="es-ES"/>
        </w:rPr>
        <w:t xml:space="preserve"> elemento territorial</w:t>
      </w:r>
    </w:p>
    <w:p w:rsidR="00256167" w:rsidRPr="00BB5F17" w:rsidRDefault="00256167" w:rsidP="00256167">
      <w:pPr>
        <w:pStyle w:val="Equationlegend"/>
        <w:rPr>
          <w:i/>
          <w:lang w:val="es-ES"/>
        </w:rPr>
      </w:pPr>
      <w:r w:rsidRPr="00BB5F17">
        <w:rPr>
          <w:i/>
          <w:lang w:val="es-ES"/>
        </w:rPr>
        <w:tab/>
        <w:t>n</w:t>
      </w:r>
      <w:r w:rsidRPr="00BB5F17">
        <w:rPr>
          <w:i/>
          <w:vertAlign w:val="subscript"/>
          <w:lang w:val="es-ES"/>
        </w:rPr>
        <w:t>i</w:t>
      </w:r>
      <w:r w:rsidRPr="00BB5F17">
        <w:rPr>
          <w:lang w:val="es-ES"/>
        </w:rPr>
        <w:t xml:space="preserve">: </w:t>
      </w:r>
      <w:r w:rsidRPr="00BB5F17">
        <w:rPr>
          <w:lang w:val="es-ES"/>
        </w:rPr>
        <w:tab/>
        <w:t xml:space="preserve">número de habitantes que viven en el </w:t>
      </w:r>
      <w:r w:rsidRPr="00BB5F17">
        <w:rPr>
          <w:i/>
          <w:iCs/>
          <w:noProof/>
          <w:lang w:val="es-ES"/>
        </w:rPr>
        <w:t>i</w:t>
      </w:r>
      <w:r w:rsidRPr="00BB5F17">
        <w:rPr>
          <w:i/>
          <w:iCs/>
          <w:noProof/>
          <w:lang w:val="es-ES"/>
        </w:rPr>
        <w:noBreakHyphen/>
      </w:r>
      <w:r w:rsidRPr="004620D4">
        <w:rPr>
          <w:iCs/>
          <w:noProof/>
          <w:lang w:val="es-ES"/>
        </w:rPr>
        <w:t>ésimo</w:t>
      </w:r>
      <w:r w:rsidRPr="00BB5F17">
        <w:rPr>
          <w:noProof/>
          <w:lang w:val="es-ES"/>
        </w:rPr>
        <w:t xml:space="preserve"> elemento territorial; y</w:t>
      </w:r>
    </w:p>
    <w:p w:rsidR="00256167" w:rsidRPr="00BB5F17" w:rsidRDefault="00256167" w:rsidP="00256167">
      <w:pPr>
        <w:pStyle w:val="Equationlegend"/>
        <w:rPr>
          <w:i/>
          <w:lang w:val="es-ES"/>
        </w:rPr>
      </w:pPr>
      <w:r w:rsidRPr="00BB5F17">
        <w:rPr>
          <w:i/>
          <w:lang w:val="es-ES"/>
        </w:rPr>
        <w:tab/>
      </w:r>
      <w:proofErr w:type="spellStart"/>
      <w:r w:rsidRPr="00BB5F17">
        <w:rPr>
          <w:i/>
          <w:lang w:val="es-ES"/>
        </w:rPr>
        <w:t>U</w:t>
      </w:r>
      <w:r w:rsidRPr="00BB5F17">
        <w:rPr>
          <w:i/>
          <w:vertAlign w:val="subscript"/>
          <w:lang w:val="es-ES"/>
        </w:rPr>
        <w:t>i</w:t>
      </w:r>
      <w:proofErr w:type="spellEnd"/>
      <w:r w:rsidRPr="00BB5F17">
        <w:rPr>
          <w:lang w:val="es-ES"/>
        </w:rPr>
        <w:t>:</w:t>
      </w:r>
      <w:r w:rsidRPr="00BB5F17">
        <w:rPr>
          <w:i/>
          <w:vertAlign w:val="subscript"/>
          <w:lang w:val="es-ES"/>
        </w:rPr>
        <w:tab/>
      </w:r>
      <w:r w:rsidRPr="00BB5F17">
        <w:rPr>
          <w:iCs/>
          <w:lang w:val="es-ES"/>
        </w:rPr>
        <w:t xml:space="preserve">proporción de bandas de frecuencias denegadas a una estación de base </w:t>
      </w:r>
      <w:r w:rsidRPr="00BB5F17">
        <w:rPr>
          <w:lang w:val="es-ES"/>
        </w:rPr>
        <w:t xml:space="preserve">situada en el centro del </w:t>
      </w:r>
      <w:r w:rsidRPr="00BB5F17">
        <w:rPr>
          <w:i/>
          <w:iCs/>
          <w:lang w:val="es-ES"/>
        </w:rPr>
        <w:t>i</w:t>
      </w:r>
      <w:r w:rsidRPr="00BB5F17">
        <w:rPr>
          <w:i/>
          <w:iCs/>
          <w:lang w:val="es-ES"/>
        </w:rPr>
        <w:noBreakHyphen/>
      </w:r>
      <w:proofErr w:type="spellStart"/>
      <w:r w:rsidRPr="004620D4">
        <w:rPr>
          <w:iCs/>
          <w:lang w:val="es-ES"/>
        </w:rPr>
        <w:t>ésimo</w:t>
      </w:r>
      <w:proofErr w:type="spellEnd"/>
      <w:r w:rsidRPr="00BB5F17">
        <w:rPr>
          <w:lang w:val="es-ES"/>
        </w:rPr>
        <w:t xml:space="preserve"> elemento territorial, por no conformidad con las condiciones de CEM.</w:t>
      </w:r>
    </w:p>
    <w:p w:rsidR="00256167" w:rsidRPr="00BB5F17" w:rsidRDefault="00256167" w:rsidP="00256167">
      <w:pPr>
        <w:pStyle w:val="Heading3"/>
        <w:rPr>
          <w:lang w:val="es-ES"/>
        </w:rPr>
      </w:pPr>
      <w:r w:rsidRPr="00BB5F17">
        <w:rPr>
          <w:lang w:val="es-ES"/>
        </w:rPr>
        <w:t>1.4.4</w:t>
      </w:r>
      <w:r w:rsidRPr="00BB5F17">
        <w:rPr>
          <w:lang w:val="es-ES"/>
        </w:rPr>
        <w:tab/>
        <w:t>Cálculo de la eficacia de utilización del espectro</w:t>
      </w:r>
    </w:p>
    <w:p w:rsidR="00256167" w:rsidRPr="00BB5F17" w:rsidRDefault="00256167" w:rsidP="00256167">
      <w:pPr>
        <w:rPr>
          <w:lang w:val="es-ES"/>
        </w:rPr>
      </w:pPr>
      <w:r w:rsidRPr="00BB5F17">
        <w:rPr>
          <w:lang w:val="es-ES"/>
        </w:rPr>
        <w:t>Proceso recomendado para calcular la eficacia de utilización del espectro por los sistemas móviles de comunicaciones que utilizan la separación de frecuencias:</w:t>
      </w:r>
    </w:p>
    <w:p w:rsidR="00256167" w:rsidRPr="00BB5F17" w:rsidRDefault="00256167" w:rsidP="00256167">
      <w:pPr>
        <w:pStyle w:val="enumlev1"/>
        <w:rPr>
          <w:lang w:val="es-ES"/>
        </w:rPr>
      </w:pPr>
      <w:r w:rsidRPr="00BB5F17">
        <w:rPr>
          <w:lang w:val="es-ES"/>
        </w:rPr>
        <w:t>–</w:t>
      </w:r>
      <w:r w:rsidRPr="00BB5F17">
        <w:rPr>
          <w:lang w:val="es-ES"/>
        </w:rPr>
        <w:tab/>
        <w:t>Dividir la zona geográfica en elementos que tenga</w:t>
      </w:r>
      <w:r>
        <w:rPr>
          <w:lang w:val="es-ES"/>
        </w:rPr>
        <w:t>n</w:t>
      </w:r>
      <w:r w:rsidRPr="00BB5F17">
        <w:rPr>
          <w:lang w:val="es-ES"/>
        </w:rPr>
        <w:t xml:space="preserve"> entre 1 y 4 km de lado.</w:t>
      </w:r>
    </w:p>
    <w:p w:rsidR="00256167" w:rsidRPr="00BB5F17" w:rsidRDefault="00256167" w:rsidP="00256167">
      <w:pPr>
        <w:pStyle w:val="enumlev1"/>
        <w:rPr>
          <w:lang w:val="es-ES"/>
        </w:rPr>
      </w:pPr>
      <w:r w:rsidRPr="00BB5F17">
        <w:rPr>
          <w:lang w:val="es-ES"/>
        </w:rPr>
        <w:t>–</w:t>
      </w:r>
      <w:r w:rsidRPr="00BB5F17">
        <w:rPr>
          <w:lang w:val="es-ES"/>
        </w:rPr>
        <w:tab/>
        <w:t xml:space="preserve">Determinar los radios de zona de servicio de las estaciones de base existentes del sistema móvil de comunicaciones, </w:t>
      </w:r>
      <w:proofErr w:type="spellStart"/>
      <w:r w:rsidRPr="00BB5F17">
        <w:rPr>
          <w:i/>
          <w:lang w:val="es-ES"/>
        </w:rPr>
        <w:t>R</w:t>
      </w:r>
      <w:r w:rsidRPr="00BB5F17">
        <w:rPr>
          <w:i/>
          <w:vertAlign w:val="subscript"/>
          <w:lang w:val="es-ES"/>
        </w:rPr>
        <w:t>j</w:t>
      </w:r>
      <w:proofErr w:type="spellEnd"/>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 xml:space="preserve">Determinar la distancia entre el centro de cada elemento territorial </w:t>
      </w:r>
      <w:r w:rsidRPr="00BB5F17">
        <w:rPr>
          <w:i/>
          <w:iCs/>
          <w:lang w:val="es-ES"/>
        </w:rPr>
        <w:t>i</w:t>
      </w:r>
      <w:r w:rsidRPr="00BB5F17">
        <w:rPr>
          <w:lang w:val="es-ES"/>
        </w:rPr>
        <w:t xml:space="preserve"> y la posición de las estaciones de base existentes, </w:t>
      </w:r>
      <w:proofErr w:type="spellStart"/>
      <w:r w:rsidRPr="00BB5F17">
        <w:rPr>
          <w:i/>
          <w:lang w:val="es-ES"/>
        </w:rPr>
        <w:t>R</w:t>
      </w:r>
      <w:r w:rsidRPr="00BB5F17">
        <w:rPr>
          <w:i/>
          <w:vertAlign w:val="subscript"/>
          <w:lang w:val="es-ES"/>
        </w:rPr>
        <w:t>ij</w:t>
      </w:r>
      <w:proofErr w:type="spellEnd"/>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 xml:space="preserve">Para cada elemento territorial, determinar si está dentro de la zona de servicio de una o más estaciones de base, comparando </w:t>
      </w:r>
      <w:proofErr w:type="spellStart"/>
      <w:r w:rsidRPr="00BB5F17">
        <w:rPr>
          <w:i/>
          <w:lang w:val="es-ES"/>
        </w:rPr>
        <w:t>R</w:t>
      </w:r>
      <w:r w:rsidRPr="00BB5F17">
        <w:rPr>
          <w:i/>
          <w:vertAlign w:val="subscript"/>
          <w:lang w:val="es-ES"/>
        </w:rPr>
        <w:t>j</w:t>
      </w:r>
      <w:proofErr w:type="spellEnd"/>
      <w:r w:rsidRPr="00BB5F17">
        <w:rPr>
          <w:i/>
          <w:vertAlign w:val="subscript"/>
          <w:lang w:val="es-ES"/>
        </w:rPr>
        <w:t xml:space="preserve"> </w:t>
      </w:r>
      <w:r w:rsidRPr="00BB5F17">
        <w:rPr>
          <w:lang w:val="es-ES"/>
        </w:rPr>
        <w:t>y</w:t>
      </w:r>
      <w:r w:rsidRPr="00BB5F17">
        <w:rPr>
          <w:i/>
          <w:lang w:val="es-ES"/>
        </w:rPr>
        <w:t xml:space="preserve"> </w:t>
      </w:r>
      <w:proofErr w:type="spellStart"/>
      <w:r w:rsidRPr="00BB5F17">
        <w:rPr>
          <w:i/>
          <w:lang w:val="es-ES"/>
        </w:rPr>
        <w:t>R</w:t>
      </w:r>
      <w:r w:rsidRPr="00BB5F17">
        <w:rPr>
          <w:i/>
          <w:vertAlign w:val="subscript"/>
          <w:lang w:val="es-ES"/>
        </w:rPr>
        <w:t>ij</w:t>
      </w:r>
      <w:proofErr w:type="spellEnd"/>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Determinar las dimensiones de las zonas de servicio del sistema móvil de comunicaciones considerado, combinando todos los elementos territoriales que están dentro de las zonas de servicio de una o más estaciones de base.</w:t>
      </w:r>
    </w:p>
    <w:p w:rsidR="00256167" w:rsidRPr="00BB5F17" w:rsidRDefault="00256167" w:rsidP="00256167">
      <w:pPr>
        <w:pStyle w:val="enumlev1"/>
        <w:rPr>
          <w:lang w:val="es-ES"/>
        </w:rPr>
      </w:pPr>
      <w:r w:rsidRPr="00BB5F17">
        <w:rPr>
          <w:lang w:val="es-ES"/>
        </w:rPr>
        <w:t>–</w:t>
      </w:r>
      <w:r w:rsidRPr="00BB5F17">
        <w:rPr>
          <w:lang w:val="es-ES"/>
        </w:rPr>
        <w:tab/>
        <w:t>Calcular el indicador de efecto útil con las ecuaciones (16) o (17).</w:t>
      </w:r>
    </w:p>
    <w:p w:rsidR="00256167" w:rsidRPr="00BB5F17" w:rsidRDefault="00256167" w:rsidP="00256167">
      <w:pPr>
        <w:pStyle w:val="enumlev1"/>
        <w:rPr>
          <w:lang w:val="es-ES"/>
        </w:rPr>
      </w:pPr>
      <w:r w:rsidRPr="00BB5F17">
        <w:rPr>
          <w:lang w:val="es-ES"/>
        </w:rPr>
        <w:t>–</w:t>
      </w:r>
      <w:r w:rsidRPr="00BB5F17">
        <w:rPr>
          <w:lang w:val="es-ES"/>
        </w:rPr>
        <w:tab/>
        <w:t xml:space="preserve">Determinar </w:t>
      </w:r>
      <w:r w:rsidRPr="00BB5F17">
        <w:rPr>
          <w:lang w:val="es-ES"/>
        </w:rPr>
        <w:sym w:font="Symbol" w:char="F061"/>
      </w:r>
      <w:r w:rsidRPr="00BB5F17">
        <w:rPr>
          <w:i/>
          <w:vertAlign w:val="subscript"/>
          <w:lang w:val="es-ES"/>
        </w:rPr>
        <w:t>i</w:t>
      </w:r>
      <w:r w:rsidRPr="00BB5F17">
        <w:rPr>
          <w:lang w:val="es-ES"/>
        </w:rPr>
        <w:t>, la proporción de la población total que vive dentro de los límites de</w:t>
      </w:r>
      <w:r>
        <w:rPr>
          <w:lang w:val="es-ES"/>
        </w:rPr>
        <w:t>l</w:t>
      </w:r>
      <w:r w:rsidRPr="00BB5F17">
        <w:rPr>
          <w:lang w:val="es-ES"/>
        </w:rPr>
        <w:t xml:space="preserve"> </w:t>
      </w:r>
      <w:r w:rsidRPr="00BB5F17">
        <w:rPr>
          <w:i/>
          <w:iCs/>
          <w:lang w:val="es-ES"/>
        </w:rPr>
        <w:t>i</w:t>
      </w:r>
      <w:r w:rsidRPr="00BB5F17">
        <w:rPr>
          <w:i/>
          <w:iCs/>
          <w:lang w:val="es-ES"/>
        </w:rPr>
        <w:noBreakHyphen/>
      </w:r>
      <w:proofErr w:type="spellStart"/>
      <w:r w:rsidRPr="004620D4">
        <w:rPr>
          <w:iCs/>
          <w:lang w:val="es-ES"/>
        </w:rPr>
        <w:t>ésimo</w:t>
      </w:r>
      <w:proofErr w:type="spellEnd"/>
      <w:r w:rsidRPr="00BB5F17">
        <w:rPr>
          <w:lang w:val="es-ES"/>
        </w:rPr>
        <w:t xml:space="preserve"> elemento territorial.</w:t>
      </w:r>
    </w:p>
    <w:p w:rsidR="00256167" w:rsidRPr="00BB5F17" w:rsidRDefault="00256167" w:rsidP="00256167">
      <w:pPr>
        <w:pStyle w:val="enumlev1"/>
        <w:rPr>
          <w:lang w:val="es-ES"/>
        </w:rPr>
      </w:pPr>
      <w:r w:rsidRPr="00BB5F17">
        <w:rPr>
          <w:lang w:val="es-ES"/>
        </w:rPr>
        <w:t>–</w:t>
      </w:r>
      <w:r w:rsidRPr="00BB5F17">
        <w:rPr>
          <w:lang w:val="es-ES"/>
        </w:rPr>
        <w:tab/>
        <w:t>Determinar el radio de la zona de servicio de una nueva estación de base situada en el centro de cada (</w:t>
      </w:r>
      <w:r w:rsidRPr="00BB5F17">
        <w:rPr>
          <w:i/>
          <w:iCs/>
          <w:lang w:val="es-ES"/>
        </w:rPr>
        <w:t>i</w:t>
      </w:r>
      <w:r w:rsidRPr="00BB5F17">
        <w:rPr>
          <w:i/>
          <w:iCs/>
          <w:lang w:val="es-ES"/>
        </w:rPr>
        <w:noBreakHyphen/>
      </w:r>
      <w:proofErr w:type="spellStart"/>
      <w:r w:rsidRPr="004620D4">
        <w:rPr>
          <w:iCs/>
          <w:lang w:val="es-ES"/>
        </w:rPr>
        <w:t>ésimo</w:t>
      </w:r>
      <w:proofErr w:type="spellEnd"/>
      <w:r w:rsidRPr="00BB5F17">
        <w:rPr>
          <w:lang w:val="es-ES"/>
        </w:rPr>
        <w:t>) elemento territorial.</w:t>
      </w:r>
    </w:p>
    <w:p w:rsidR="00256167" w:rsidRPr="00BB5F17" w:rsidRDefault="00256167" w:rsidP="00256167">
      <w:pPr>
        <w:pStyle w:val="enumlev1"/>
        <w:rPr>
          <w:lang w:val="es-ES"/>
        </w:rPr>
      </w:pPr>
      <w:r w:rsidRPr="00BB5F17">
        <w:rPr>
          <w:lang w:val="es-ES"/>
        </w:rPr>
        <w:t>–</w:t>
      </w:r>
      <w:r w:rsidRPr="00BB5F17">
        <w:rPr>
          <w:lang w:val="es-ES"/>
        </w:rPr>
        <w:tab/>
        <w:t>Calcular las relaciones señal</w:t>
      </w:r>
      <w:r w:rsidRPr="00BB5F17">
        <w:rPr>
          <w:lang w:val="es-ES"/>
        </w:rPr>
        <w:noBreakHyphen/>
        <w:t xml:space="preserve">ruido en la entrada de recepción de las estaciones móviles que están en comunicación con las estaciones de base existentes y con la nueva estación de base, suponiendo que esa última se encuentra en el centro del </w:t>
      </w:r>
      <w:r w:rsidRPr="00BB5F17">
        <w:rPr>
          <w:i/>
          <w:iCs/>
          <w:lang w:val="es-ES"/>
        </w:rPr>
        <w:t>i</w:t>
      </w:r>
      <w:r w:rsidRPr="00BB5F17">
        <w:rPr>
          <w:i/>
          <w:iCs/>
          <w:lang w:val="es-ES"/>
        </w:rPr>
        <w:noBreakHyphen/>
      </w:r>
      <w:proofErr w:type="spellStart"/>
      <w:r w:rsidRPr="004620D4">
        <w:rPr>
          <w:iCs/>
          <w:lang w:val="es-ES"/>
        </w:rPr>
        <w:t>ésimo</w:t>
      </w:r>
      <w:proofErr w:type="spellEnd"/>
      <w:r w:rsidRPr="00BB5F17">
        <w:rPr>
          <w:lang w:val="es-ES"/>
        </w:rPr>
        <w:t xml:space="preserve"> elemento.</w:t>
      </w:r>
    </w:p>
    <w:p w:rsidR="00256167" w:rsidRPr="00BB5F17" w:rsidRDefault="00256167" w:rsidP="00256167">
      <w:pPr>
        <w:pStyle w:val="enumlev1"/>
        <w:rPr>
          <w:lang w:val="es-ES"/>
        </w:rPr>
      </w:pPr>
      <w:r w:rsidRPr="00BB5F17">
        <w:rPr>
          <w:lang w:val="es-ES"/>
        </w:rPr>
        <w:t>–</w:t>
      </w:r>
      <w:r w:rsidRPr="00BB5F17">
        <w:rPr>
          <w:lang w:val="es-ES"/>
        </w:rPr>
        <w:tab/>
        <w:t xml:space="preserve">Determinar las bandas de frecuencia denegadas a la nueva estación de base en el centro del </w:t>
      </w:r>
      <w:r w:rsidRPr="00BB5F17">
        <w:rPr>
          <w:i/>
          <w:iCs/>
          <w:lang w:val="es-ES"/>
        </w:rPr>
        <w:t>i</w:t>
      </w:r>
      <w:r w:rsidRPr="00BB5F17">
        <w:rPr>
          <w:i/>
          <w:iCs/>
          <w:lang w:val="es-ES"/>
        </w:rPr>
        <w:noBreakHyphen/>
      </w:r>
      <w:proofErr w:type="spellStart"/>
      <w:r w:rsidRPr="004620D4">
        <w:rPr>
          <w:iCs/>
          <w:lang w:val="es-ES"/>
        </w:rPr>
        <w:t>ésimo</w:t>
      </w:r>
      <w:proofErr w:type="spellEnd"/>
      <w:r w:rsidRPr="00BB5F17">
        <w:rPr>
          <w:lang w:val="es-ES"/>
        </w:rPr>
        <w:t xml:space="preserve"> elemento.</w:t>
      </w:r>
    </w:p>
    <w:p w:rsidR="00256167" w:rsidRDefault="00256167" w:rsidP="00256167">
      <w:pPr>
        <w:pStyle w:val="enumlev1"/>
        <w:rPr>
          <w:lang w:val="es-ES_tradnl"/>
        </w:rPr>
      </w:pPr>
      <w:r w:rsidRPr="00BB5F17">
        <w:rPr>
          <w:lang w:val="es-ES"/>
        </w:rPr>
        <w:t>–</w:t>
      </w:r>
      <w:r w:rsidRPr="00BB5F17">
        <w:rPr>
          <w:lang w:val="es-ES"/>
        </w:rPr>
        <w:tab/>
        <w:t>Generaliza</w:t>
      </w:r>
      <w:r>
        <w:rPr>
          <w:lang w:val="es-ES"/>
        </w:rPr>
        <w:t>r</w:t>
      </w:r>
      <w:r w:rsidRPr="00BB5F17">
        <w:rPr>
          <w:lang w:val="es-ES"/>
        </w:rPr>
        <w:t xml:space="preserve"> los resultados de la evaluación de utilización del espectro obtenidos para determinados elementos territoriales, y utilizar la ecuación (18) para calcular el factor de utilización del espectro.</w:t>
      </w:r>
    </w:p>
    <w:p w:rsidR="00256167" w:rsidRDefault="00256167" w:rsidP="00256167">
      <w:pPr>
        <w:pStyle w:val="Heading1"/>
        <w:rPr>
          <w:lang w:val="es-ES_tradnl"/>
        </w:rPr>
      </w:pPr>
      <w:r>
        <w:rPr>
          <w:lang w:val="es-ES_tradnl"/>
        </w:rPr>
        <w:t>2</w:t>
      </w:r>
      <w:r>
        <w:rPr>
          <w:lang w:val="es-ES_tradnl"/>
        </w:rPr>
        <w:tab/>
        <w:t>Utilización del espectro por sistemas de radioenlaces</w:t>
      </w:r>
    </w:p>
    <w:p w:rsidR="00256167" w:rsidRDefault="00256167" w:rsidP="00256167">
      <w:pPr>
        <w:pStyle w:val="Heading2"/>
        <w:rPr>
          <w:lang w:val="es-ES_tradnl"/>
        </w:rPr>
      </w:pPr>
      <w:r>
        <w:rPr>
          <w:lang w:val="es-ES_tradnl"/>
        </w:rPr>
        <w:t>2.1</w:t>
      </w:r>
      <w:r>
        <w:rPr>
          <w:lang w:val="es-ES_tradnl"/>
        </w:rPr>
        <w:tab/>
        <w:t>Introducción</w:t>
      </w:r>
    </w:p>
    <w:p w:rsidR="00256167" w:rsidRDefault="00256167" w:rsidP="00256167">
      <w:pPr>
        <w:rPr>
          <w:lang w:val="es-ES_tradnl"/>
        </w:rPr>
      </w:pPr>
      <w:r>
        <w:rPr>
          <w:lang w:val="es-ES_tradnl"/>
        </w:rPr>
        <w:t>Para los sistemas de radioenlaces que funcionan de modo permanente, puede despreciarse la dimensión temporal. Refiriéndose a la ecuación (2), la EUE, puede escribirse así:</w:t>
      </w:r>
    </w:p>
    <w:p w:rsidR="00256167" w:rsidRPr="007F0761" w:rsidRDefault="00256167" w:rsidP="00256167">
      <w:pPr>
        <w:pStyle w:val="Blanc"/>
        <w:rPr>
          <w:lang w:val="es-ES_tradnl"/>
        </w:rPr>
      </w:pPr>
    </w:p>
    <w:p w:rsidR="00256167" w:rsidRPr="001D2A9C" w:rsidRDefault="00256167" w:rsidP="00256167">
      <w:pPr>
        <w:pStyle w:val="Equation"/>
        <w:rPr>
          <w:lang w:val="es-ES_tradnl"/>
        </w:rPr>
      </w:pPr>
      <w:bookmarkStart w:id="11" w:name="f010"/>
      <w:r w:rsidRPr="001D2A9C">
        <w:rPr>
          <w:lang w:val="es-ES_tradnl"/>
        </w:rPr>
        <w:tab/>
      </w:r>
      <w:r w:rsidRPr="001D2A9C">
        <w:rPr>
          <w:lang w:val="es-ES_tradnl"/>
        </w:rPr>
        <w:tab/>
      </w:r>
      <w:r>
        <w:rPr>
          <w:position w:val="-28"/>
        </w:rPr>
        <w:object w:dxaOrig="1719" w:dyaOrig="639">
          <v:shape id="_x0000_i1047" type="#_x0000_t75" style="width:85.8pt;height:32.4pt" o:ole="">
            <v:imagedata r:id="rId57" o:title=""/>
          </v:shape>
          <o:OLEObject Type="Embed" ProgID="Equation.2" ShapeID="_x0000_i1047" DrawAspect="Content" ObjectID="_1376823621" r:id="rId58"/>
        </w:object>
      </w:r>
      <w:r w:rsidRPr="001D2A9C">
        <w:rPr>
          <w:lang w:val="es-ES_tradnl"/>
        </w:rPr>
        <w:tab/>
        <w:t>(1</w:t>
      </w:r>
      <w:r>
        <w:rPr>
          <w:lang w:val="es-ES_tradnl"/>
        </w:rPr>
        <w:t>9</w:t>
      </w:r>
      <w:r w:rsidRPr="001D2A9C">
        <w:rPr>
          <w:lang w:val="es-ES_tradnl"/>
        </w:rPr>
        <w:t>)</w:t>
      </w:r>
    </w:p>
    <w:bookmarkEnd w:id="11"/>
    <w:p w:rsidR="00256167" w:rsidRDefault="00256167" w:rsidP="00256167">
      <w:pPr>
        <w:rPr>
          <w:lang w:val="es-ES_tradnl"/>
        </w:rPr>
      </w:pPr>
      <w:r>
        <w:rPr>
          <w:lang w:val="es-ES_tradnl"/>
        </w:rPr>
        <w:lastRenderedPageBreak/>
        <w:t>donde:</w:t>
      </w:r>
    </w:p>
    <w:p w:rsidR="00256167" w:rsidRPr="007F0761" w:rsidRDefault="00256167" w:rsidP="00256167">
      <w:pPr>
        <w:pStyle w:val="Equationlegend"/>
        <w:rPr>
          <w:lang w:val="es-ES_tradnl"/>
        </w:rPr>
      </w:pPr>
      <w:r w:rsidRPr="007F0761">
        <w:rPr>
          <w:lang w:val="es-ES_tradnl"/>
        </w:rPr>
        <w:tab/>
      </w:r>
      <w:r w:rsidRPr="007F0761">
        <w:rPr>
          <w:i/>
          <w:lang w:val="es-ES_tradnl"/>
        </w:rPr>
        <w:t>C</w:t>
      </w:r>
      <w:r w:rsidRPr="007F0761">
        <w:rPr>
          <w:rFonts w:ascii="Tms Rmn" w:hAnsi="Tms Rmn"/>
          <w:sz w:val="12"/>
          <w:lang w:val="es-ES_tradnl"/>
        </w:rPr>
        <w:t> </w:t>
      </w:r>
      <w:r w:rsidRPr="007F0761">
        <w:rPr>
          <w:lang w:val="es-ES_tradnl"/>
        </w:rPr>
        <w:t>:</w:t>
      </w:r>
      <w:r w:rsidRPr="007F0761">
        <w:rPr>
          <w:lang w:val="es-ES_tradnl"/>
        </w:rPr>
        <w:tab/>
        <w:t>medida de la capacidad de comunicaciones, por ejemplo canales telefónicos o bit/s</w:t>
      </w:r>
    </w:p>
    <w:p w:rsidR="00256167" w:rsidRPr="007F0761" w:rsidRDefault="00256167" w:rsidP="00256167">
      <w:pPr>
        <w:pStyle w:val="Equationlegend"/>
        <w:rPr>
          <w:lang w:val="es-ES_tradnl"/>
        </w:rPr>
      </w:pPr>
      <w:r w:rsidRPr="007F0761">
        <w:rPr>
          <w:lang w:val="es-ES_tradnl"/>
        </w:rPr>
        <w:tab/>
      </w:r>
      <w:r w:rsidRPr="007F0761">
        <w:rPr>
          <w:i/>
          <w:lang w:val="es-ES_tradnl"/>
        </w:rPr>
        <w:t>S</w:t>
      </w:r>
      <w:r>
        <w:rPr>
          <w:rFonts w:ascii="Symbol" w:hAnsi="Symbol"/>
          <w:position w:val="-4"/>
          <w:sz w:val="16"/>
        </w:rPr>
        <w:t></w:t>
      </w:r>
      <w:r w:rsidRPr="007F0761">
        <w:rPr>
          <w:rFonts w:ascii="Tms Rmn" w:hAnsi="Tms Rmn"/>
          <w:sz w:val="12"/>
          <w:lang w:val="es-ES_tradnl"/>
        </w:rPr>
        <w:t> </w:t>
      </w:r>
      <w:r>
        <w:rPr>
          <w:rFonts w:ascii="Symbol" w:hAnsi="Symbol"/>
        </w:rPr>
        <w:t></w:t>
      </w:r>
      <w:r w:rsidRPr="007F0761">
        <w:rPr>
          <w:rFonts w:ascii="Symbol" w:hAnsi="Symbol"/>
          <w:lang w:val="es-ES_tradnl"/>
        </w:rPr>
        <w:tab/>
      </w:r>
      <w:r w:rsidRPr="007F0761">
        <w:rPr>
          <w:lang w:val="es-ES_tradnl"/>
        </w:rPr>
        <w:t>parámetro geométrico, por ejemplo una superficie o el ángulo entre los enlaces que parten de un nodo.</w:t>
      </w:r>
    </w:p>
    <w:p w:rsidR="00256167" w:rsidRDefault="00256167" w:rsidP="00256167">
      <w:pPr>
        <w:pStyle w:val="Heading2"/>
        <w:rPr>
          <w:lang w:val="es-ES_tradnl"/>
        </w:rPr>
      </w:pPr>
      <w:r>
        <w:rPr>
          <w:lang w:val="es-ES_tradnl"/>
        </w:rPr>
        <w:t>2.2</w:t>
      </w:r>
      <w:r>
        <w:rPr>
          <w:lang w:val="es-ES_tradnl"/>
        </w:rPr>
        <w:tab/>
        <w:t>EUE para una arteria larga con enlaces derivados en los nodos</w:t>
      </w:r>
    </w:p>
    <w:p w:rsidR="00256167" w:rsidRDefault="00256167" w:rsidP="00256167">
      <w:pPr>
        <w:rPr>
          <w:lang w:val="es-ES_tradnl"/>
        </w:rPr>
      </w:pPr>
      <w:r>
        <w:rPr>
          <w:lang w:val="es-ES_tradnl"/>
        </w:rPr>
        <w:t>La capacidad de comunicaciones normalizada, que da la EUE para un sistema terrenal de radioenlaces entre puntos fijos se define como:</w:t>
      </w:r>
    </w:p>
    <w:p w:rsidR="00256167" w:rsidRPr="007F0761" w:rsidRDefault="00256167" w:rsidP="00256167">
      <w:pPr>
        <w:pStyle w:val="Blanc"/>
        <w:rPr>
          <w:lang w:val="es-ES_tradnl"/>
        </w:rPr>
      </w:pPr>
      <w:bookmarkStart w:id="12" w:name="f011"/>
    </w:p>
    <w:p w:rsidR="00256167" w:rsidRPr="001D2A9C" w:rsidRDefault="00256167" w:rsidP="00256167">
      <w:pPr>
        <w:pStyle w:val="Equation"/>
        <w:rPr>
          <w:lang w:val="es-ES_tradnl"/>
        </w:rPr>
      </w:pPr>
      <w:r w:rsidRPr="001D2A9C">
        <w:rPr>
          <w:rFonts w:ascii="Symbol" w:hAnsi="Symbol"/>
          <w:lang w:val="es-ES_tradnl"/>
        </w:rPr>
        <w:tab/>
      </w:r>
      <w:r w:rsidRPr="001D2A9C">
        <w:rPr>
          <w:rFonts w:ascii="Symbol" w:hAnsi="Symbol"/>
          <w:lang w:val="es-ES_tradnl"/>
        </w:rPr>
        <w:tab/>
      </w:r>
      <w:r>
        <w:rPr>
          <w:position w:val="-22"/>
        </w:rPr>
        <w:object w:dxaOrig="1500" w:dyaOrig="520">
          <v:shape id="_x0000_i1048" type="#_x0000_t75" style="width:75pt;height:26.4pt" o:ole="">
            <v:imagedata r:id="rId59" o:title=""/>
          </v:shape>
          <o:OLEObject Type="Embed" ProgID="Equation" ShapeID="_x0000_i1048" DrawAspect="Content" ObjectID="_1376823622" r:id="rId60"/>
        </w:object>
      </w:r>
      <w:r w:rsidRPr="001D2A9C">
        <w:rPr>
          <w:lang w:val="es-ES_tradnl"/>
        </w:rPr>
        <w:tab/>
        <w:t>(</w:t>
      </w:r>
      <w:r>
        <w:rPr>
          <w:lang w:val="es-ES_tradnl"/>
        </w:rPr>
        <w:t>20</w:t>
      </w:r>
      <w:r w:rsidRPr="001D2A9C">
        <w:rPr>
          <w:lang w:val="es-ES_tradnl"/>
        </w:rPr>
        <w:t>)</w:t>
      </w:r>
    </w:p>
    <w:bookmarkEnd w:id="12"/>
    <w:p w:rsidR="00256167" w:rsidRDefault="00256167" w:rsidP="00256167">
      <w:pPr>
        <w:rPr>
          <w:lang w:val="es-ES_tradnl"/>
        </w:rPr>
      </w:pPr>
      <w:r>
        <w:rPr>
          <w:lang w:val="es-ES_tradnl"/>
        </w:rPr>
        <w:t>donde:</w:t>
      </w:r>
    </w:p>
    <w:p w:rsidR="00256167" w:rsidRPr="007F0761" w:rsidRDefault="00256167" w:rsidP="00256167">
      <w:pPr>
        <w:pStyle w:val="Equationlegend"/>
        <w:rPr>
          <w:lang w:val="es-ES_tradnl"/>
        </w:rPr>
      </w:pPr>
      <w:r w:rsidRPr="007F0761">
        <w:rPr>
          <w:lang w:val="es-ES_tradnl"/>
        </w:rPr>
        <w:tab/>
      </w:r>
      <w:r w:rsidRPr="007F0761">
        <w:rPr>
          <w:i/>
          <w:lang w:val="es-ES_tradnl"/>
        </w:rPr>
        <w:t>N</w:t>
      </w:r>
      <w:r w:rsidRPr="007F0761">
        <w:rPr>
          <w:rFonts w:ascii="Tms Rmn" w:hAnsi="Tms Rmn"/>
          <w:sz w:val="12"/>
          <w:lang w:val="es-ES_tradnl"/>
        </w:rPr>
        <w:t> </w:t>
      </w:r>
      <w:r w:rsidRPr="007F0761">
        <w:rPr>
          <w:lang w:val="es-ES_tradnl"/>
        </w:rPr>
        <w:t>:</w:t>
      </w:r>
      <w:r w:rsidRPr="007F0761">
        <w:rPr>
          <w:lang w:val="es-ES_tradnl"/>
        </w:rPr>
        <w:tab/>
        <w:t>número admisible de derivaciones (es decir, arterias radioeléctricas bilaterales) en una estación repetidora</w:t>
      </w:r>
    </w:p>
    <w:p w:rsidR="00256167" w:rsidRPr="007F0761" w:rsidRDefault="00256167" w:rsidP="00256167">
      <w:pPr>
        <w:pStyle w:val="Equationlegend"/>
        <w:rPr>
          <w:lang w:val="es-ES_tradnl"/>
        </w:rPr>
      </w:pPr>
      <w:r w:rsidRPr="007F0761">
        <w:rPr>
          <w:lang w:val="es-ES_tradnl"/>
        </w:rPr>
        <w:tab/>
      </w:r>
      <w:r w:rsidRPr="007F0761">
        <w:rPr>
          <w:i/>
          <w:lang w:val="es-ES_tradnl"/>
        </w:rPr>
        <w:t>A</w:t>
      </w:r>
      <w:r w:rsidRPr="007F0761">
        <w:rPr>
          <w:rFonts w:ascii="Tms Rmn" w:hAnsi="Tms Rmn"/>
          <w:sz w:val="12"/>
          <w:lang w:val="es-ES_tradnl"/>
        </w:rPr>
        <w:t> </w:t>
      </w:r>
      <w:r w:rsidRPr="007F0761">
        <w:rPr>
          <w:i/>
          <w:lang w:val="es-ES_tradnl"/>
        </w:rPr>
        <w:t>:</w:t>
      </w:r>
      <w:r w:rsidRPr="007F0761">
        <w:rPr>
          <w:lang w:val="es-ES_tradnl"/>
        </w:rPr>
        <w:tab/>
        <w:t>capacidad de transmisión (por ejemplo, número de canales telefónicos) por radiocanal</w:t>
      </w:r>
    </w:p>
    <w:p w:rsidR="00256167" w:rsidRPr="007F0761" w:rsidRDefault="00256167" w:rsidP="00256167">
      <w:pPr>
        <w:pStyle w:val="Equationlegend"/>
        <w:rPr>
          <w:lang w:val="es-ES_tradnl"/>
        </w:rPr>
      </w:pPr>
      <w:r w:rsidRPr="007F0761">
        <w:rPr>
          <w:lang w:val="es-ES_tradnl"/>
        </w:rPr>
        <w:tab/>
      </w:r>
      <w:r w:rsidRPr="007F0761">
        <w:rPr>
          <w:i/>
          <w:lang w:val="es-ES_tradnl"/>
        </w:rPr>
        <w:t>B</w:t>
      </w:r>
      <w:r w:rsidRPr="007F0761">
        <w:rPr>
          <w:i/>
          <w:position w:val="-4"/>
          <w:sz w:val="16"/>
          <w:lang w:val="es-ES_tradnl"/>
        </w:rPr>
        <w:t>c</w:t>
      </w:r>
      <w:r w:rsidRPr="007F0761">
        <w:rPr>
          <w:rFonts w:ascii="Tms Rmn" w:hAnsi="Tms Rmn"/>
          <w:sz w:val="12"/>
          <w:lang w:val="es-ES_tradnl"/>
        </w:rPr>
        <w:t> </w:t>
      </w:r>
      <w:r w:rsidRPr="007F0761">
        <w:rPr>
          <w:lang w:val="es-ES_tradnl"/>
        </w:rPr>
        <w:t>:</w:t>
      </w:r>
      <w:r w:rsidRPr="007F0761">
        <w:rPr>
          <w:lang w:val="es-ES_tradnl"/>
        </w:rPr>
        <w:tab/>
        <w:t>anchura de banda de radiofrecuencia necesaria por radiocanal.</w:t>
      </w:r>
    </w:p>
    <w:p w:rsidR="00256167" w:rsidRDefault="00256167" w:rsidP="00256167">
      <w:pPr>
        <w:rPr>
          <w:lang w:val="es-ES_tradnl"/>
        </w:rPr>
      </w:pPr>
      <w:r>
        <w:rPr>
          <w:lang w:val="es-ES_tradnl"/>
        </w:rPr>
        <w:t xml:space="preserve">Esta fórmula incluye la medida geométrica, </w:t>
      </w:r>
      <w:r>
        <w:rPr>
          <w:i/>
          <w:lang w:val="es-ES_tradnl"/>
        </w:rPr>
        <w:t>N</w:t>
      </w:r>
      <w:r>
        <w:rPr>
          <w:lang w:val="es-ES_tradnl"/>
        </w:rPr>
        <w:t xml:space="preserve"> (</w:t>
      </w:r>
      <w:r>
        <w:rPr>
          <w:i/>
          <w:lang w:val="es-ES_tradnl"/>
        </w:rPr>
        <w:t>N</w:t>
      </w:r>
      <w:r>
        <w:rPr>
          <w:lang w:val="es-ES_tradnl"/>
        </w:rPr>
        <w:t xml:space="preserve"> depende del ángulo admisible entre los enlaces derivados).</w:t>
      </w:r>
    </w:p>
    <w:p w:rsidR="00256167" w:rsidRDefault="00256167" w:rsidP="00256167">
      <w:pPr>
        <w:rPr>
          <w:lang w:val="es-ES_tradnl"/>
        </w:rPr>
      </w:pPr>
      <w:r>
        <w:rPr>
          <w:lang w:val="es-ES_tradnl"/>
        </w:rPr>
        <w:t>Usando la fórmula anterior se calculó la EUE para la transmisión de telefonía por un sistema terrenal de radioenlaces entre puntos fijos.</w:t>
      </w:r>
    </w:p>
    <w:p w:rsidR="00256167" w:rsidRDefault="00256167" w:rsidP="00256167">
      <w:pPr>
        <w:rPr>
          <w:lang w:val="es-ES_tradnl"/>
        </w:rPr>
      </w:pPr>
      <w:r>
        <w:rPr>
          <w:lang w:val="es-ES_tradnl"/>
        </w:rPr>
        <w:t>Se adoptan las siguientes hipótesis:</w:t>
      </w:r>
    </w:p>
    <w:p w:rsidR="00256167" w:rsidRDefault="00256167" w:rsidP="00256167">
      <w:pPr>
        <w:pStyle w:val="enumlev1"/>
        <w:rPr>
          <w:lang w:val="es-ES_tradnl"/>
        </w:rPr>
      </w:pPr>
      <w:r>
        <w:rPr>
          <w:lang w:val="es-ES_tradnl"/>
        </w:rPr>
        <w:t>–</w:t>
      </w:r>
      <w:r>
        <w:rPr>
          <w:lang w:val="es-ES_tradnl"/>
        </w:rPr>
        <w:tab/>
        <w:t>se transmiten señales telefónicas;</w:t>
      </w:r>
    </w:p>
    <w:p w:rsidR="00256167" w:rsidRDefault="00256167" w:rsidP="00256167">
      <w:pPr>
        <w:pStyle w:val="enumlev1"/>
        <w:rPr>
          <w:lang w:val="es-ES_tradnl"/>
        </w:rPr>
      </w:pPr>
      <w:r>
        <w:rPr>
          <w:lang w:val="es-ES_tradnl"/>
        </w:rPr>
        <w:t>–</w:t>
      </w:r>
      <w:r>
        <w:rPr>
          <w:lang w:val="es-ES_tradnl"/>
        </w:rPr>
        <w:tab/>
        <w:t>la probabilidad de desvanecimiento es la indicada en la Recomendación UIT-R P.530;</w:t>
      </w:r>
    </w:p>
    <w:p w:rsidR="00256167" w:rsidRDefault="00256167" w:rsidP="00256167">
      <w:pPr>
        <w:pStyle w:val="enumlev1"/>
        <w:rPr>
          <w:lang w:val="es-ES_tradnl"/>
        </w:rPr>
      </w:pPr>
      <w:r>
        <w:rPr>
          <w:lang w:val="es-ES_tradnl"/>
        </w:rPr>
        <w:t>–</w:t>
      </w:r>
      <w:r>
        <w:rPr>
          <w:lang w:val="es-ES_tradnl"/>
        </w:rPr>
        <w:tab/>
        <w:t>la longitud del circuito es de 2</w:t>
      </w:r>
      <w:r>
        <w:rPr>
          <w:sz w:val="12"/>
          <w:lang w:val="es-ES_tradnl"/>
        </w:rPr>
        <w:t> </w:t>
      </w:r>
      <w:r>
        <w:rPr>
          <w:lang w:val="es-ES_tradnl"/>
        </w:rPr>
        <w:t>500 km, y el modelo de circuito es el que se muestra en la Fig. 6:</w:t>
      </w:r>
    </w:p>
    <w:p w:rsidR="00256167" w:rsidRDefault="00256167" w:rsidP="00256167">
      <w:pPr>
        <w:pStyle w:val="FigureNo"/>
        <w:rPr>
          <w:lang w:val="es-ES_tradnl"/>
        </w:rPr>
      </w:pPr>
      <w:r>
        <w:object w:dxaOrig="6312" w:dyaOrig="2655">
          <v:shape id="_x0000_i1049" type="#_x0000_t75" style="width:315.6pt;height:132.6pt" o:ole="" o:allowoverlap="f">
            <v:imagedata r:id="rId61" o:title=""/>
          </v:shape>
          <o:OLEObject Type="Embed" ProgID="CorelDraw.Graphic.12" ShapeID="_x0000_i1049" DrawAspect="Content" ObjectID="_1376823623" r:id="rId62"/>
        </w:object>
      </w:r>
    </w:p>
    <w:p w:rsidR="00256167" w:rsidRDefault="00256167" w:rsidP="00256167">
      <w:pPr>
        <w:pStyle w:val="enumlev1"/>
        <w:rPr>
          <w:lang w:val="es-ES_tradnl"/>
        </w:rPr>
      </w:pPr>
      <w:r>
        <w:rPr>
          <w:lang w:val="es-ES_tradnl"/>
        </w:rPr>
        <w:t>–</w:t>
      </w:r>
      <w:r>
        <w:rPr>
          <w:lang w:val="es-ES_tradnl"/>
        </w:rPr>
        <w:tab/>
        <w:t xml:space="preserve">la relación portadora/ruido, </w:t>
      </w:r>
      <w:r>
        <w:rPr>
          <w:i/>
          <w:lang w:val="es-ES_tradnl"/>
        </w:rPr>
        <w:t>C</w:t>
      </w:r>
      <w:r w:rsidRPr="004620D4">
        <w:rPr>
          <w:lang w:val="es-ES_tradnl"/>
        </w:rPr>
        <w:t>/</w:t>
      </w:r>
      <w:r>
        <w:rPr>
          <w:i/>
          <w:lang w:val="es-ES_tradnl"/>
        </w:rPr>
        <w:t>N</w:t>
      </w:r>
      <w:r w:rsidRPr="001D2A9C">
        <w:rPr>
          <w:lang w:val="es-ES_tradnl"/>
        </w:rPr>
        <w:t>,</w:t>
      </w:r>
      <w:r>
        <w:rPr>
          <w:lang w:val="es-ES_tradnl"/>
        </w:rPr>
        <w:t xml:space="preserve"> requerida se expresa como:</w:t>
      </w:r>
    </w:p>
    <w:p w:rsidR="00256167" w:rsidRPr="007F0761" w:rsidRDefault="00256167" w:rsidP="00256167">
      <w:pPr>
        <w:pStyle w:val="Blanc"/>
        <w:rPr>
          <w:lang w:val="es-ES_tradnl"/>
        </w:rPr>
      </w:pPr>
      <w:bookmarkStart w:id="13" w:name="f012"/>
    </w:p>
    <w:p w:rsidR="00256167" w:rsidRPr="001D2A9C" w:rsidRDefault="00256167" w:rsidP="00256167">
      <w:pPr>
        <w:pStyle w:val="Equation"/>
        <w:rPr>
          <w:lang w:val="es-ES_tradnl"/>
        </w:rPr>
      </w:pPr>
      <w:r w:rsidRPr="001D2A9C">
        <w:rPr>
          <w:i/>
          <w:lang w:val="es-ES_tradnl"/>
        </w:rPr>
        <w:tab/>
      </w:r>
      <w:r w:rsidRPr="001D2A9C">
        <w:rPr>
          <w:i/>
          <w:lang w:val="es-ES_tradnl"/>
        </w:rPr>
        <w:tab/>
      </w:r>
      <w:r>
        <w:fldChar w:fldCharType="begin"/>
      </w:r>
      <w:r w:rsidRPr="001D2A9C">
        <w:rPr>
          <w:lang w:val="es-ES_tradnl"/>
        </w:rPr>
        <w:instrText xml:space="preserve">eq </w:instrText>
      </w:r>
      <w:r w:rsidRPr="001D2A9C">
        <w:rPr>
          <w:i/>
          <w:lang w:val="es-ES_tradnl"/>
        </w:rPr>
        <w:instrText>C</w:instrText>
      </w:r>
      <w:r w:rsidRPr="001D2A9C">
        <w:rPr>
          <w:lang w:val="es-ES_tradnl"/>
        </w:rPr>
        <w:instrText>/</w:instrText>
      </w:r>
      <w:r w:rsidRPr="001D2A9C">
        <w:rPr>
          <w:i/>
          <w:lang w:val="es-ES_tradnl"/>
        </w:rPr>
        <w:instrText>N</w:instrText>
      </w:r>
      <w:r w:rsidRPr="001D2A9C">
        <w:rPr>
          <w:lang w:val="es-ES_tradnl"/>
        </w:rPr>
        <w:instrText xml:space="preserve">  </w:instrText>
      </w:r>
      <w:r w:rsidRPr="001D2A9C">
        <w:rPr>
          <w:rFonts w:ascii="Symbol" w:hAnsi="Symbol"/>
          <w:lang w:val="es-ES_tradnl"/>
        </w:rPr>
        <w:instrText>=</w:instrText>
      </w:r>
      <w:r w:rsidRPr="001D2A9C">
        <w:rPr>
          <w:lang w:val="es-ES_tradnl"/>
        </w:rPr>
        <w:instrText xml:space="preserve">  10 log [(2</w:instrText>
      </w:r>
      <w:r w:rsidRPr="001D2A9C">
        <w:rPr>
          <w:i/>
          <w:position w:val="6"/>
          <w:sz w:val="18"/>
          <w:lang w:val="es-ES_tradnl"/>
        </w:rPr>
        <w:instrText>n</w:instrText>
      </w:r>
      <w:r w:rsidRPr="001D2A9C">
        <w:rPr>
          <w:lang w:val="es-ES_tradnl"/>
        </w:rPr>
        <w:instrText xml:space="preserve">  –  1) / 3]  </w:instrText>
      </w:r>
      <w:r w:rsidRPr="001D2A9C">
        <w:rPr>
          <w:rFonts w:ascii="Symbol" w:hAnsi="Symbol"/>
          <w:lang w:val="es-ES_tradnl"/>
        </w:rPr>
        <w:instrText>+</w:instrText>
      </w:r>
      <w:r w:rsidRPr="001D2A9C">
        <w:rPr>
          <w:lang w:val="es-ES_tradnl"/>
        </w:rPr>
        <w:instrText xml:space="preserve">  11,8</w:instrText>
      </w:r>
      <w:r>
        <w:fldChar w:fldCharType="end"/>
      </w:r>
      <w:r w:rsidRPr="001D2A9C">
        <w:rPr>
          <w:color w:val="000000"/>
          <w:lang w:val="es-ES_tradnl"/>
        </w:rPr>
        <w:t>                </w:t>
      </w:r>
      <w:r w:rsidRPr="001D2A9C">
        <w:rPr>
          <w:lang w:val="es-ES_tradnl"/>
        </w:rPr>
        <w:t>dB</w:t>
      </w:r>
      <w:r w:rsidRPr="001D2A9C">
        <w:rPr>
          <w:lang w:val="es-ES_tradnl"/>
        </w:rPr>
        <w:tab/>
        <w:t>(</w:t>
      </w:r>
      <w:r>
        <w:rPr>
          <w:lang w:val="es-ES_tradnl"/>
        </w:rPr>
        <w:t>21</w:t>
      </w:r>
      <w:r w:rsidRPr="001D2A9C">
        <w:rPr>
          <w:lang w:val="es-ES_tradnl"/>
        </w:rPr>
        <w:t>)</w:t>
      </w:r>
    </w:p>
    <w:bookmarkEnd w:id="13"/>
    <w:p w:rsidR="00256167" w:rsidRPr="007F0761" w:rsidRDefault="00256167" w:rsidP="00256167">
      <w:pPr>
        <w:pStyle w:val="Blanc"/>
        <w:rPr>
          <w:lang w:val="es-ES_tradnl"/>
        </w:rPr>
      </w:pPr>
    </w:p>
    <w:p w:rsidR="005977B7" w:rsidRDefault="005977B7">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56167" w:rsidRDefault="00256167" w:rsidP="00256167">
      <w:pPr>
        <w:keepNext/>
        <w:rPr>
          <w:lang w:val="es-ES_tradnl"/>
        </w:rPr>
      </w:pPr>
      <w:r>
        <w:rPr>
          <w:lang w:val="es-ES_tradnl"/>
        </w:rPr>
        <w:lastRenderedPageBreak/>
        <w:t xml:space="preserve">donde </w:t>
      </w:r>
      <w:r>
        <w:rPr>
          <w:i/>
          <w:lang w:val="es-ES_tradnl"/>
        </w:rPr>
        <w:t>n</w:t>
      </w:r>
      <w:r>
        <w:rPr>
          <w:lang w:val="es-ES_tradnl"/>
        </w:rPr>
        <w:t xml:space="preserve"> es el número de estados de la MAQ;</w:t>
      </w:r>
    </w:p>
    <w:p w:rsidR="00256167" w:rsidRDefault="00256167" w:rsidP="00256167">
      <w:pPr>
        <w:pStyle w:val="enumlev1"/>
        <w:rPr>
          <w:lang w:val="es-ES_tradnl"/>
        </w:rPr>
      </w:pPr>
      <w:r>
        <w:rPr>
          <w:lang w:val="es-ES_tradnl"/>
        </w:rPr>
        <w:t>–</w:t>
      </w:r>
      <w:r>
        <w:rPr>
          <w:lang w:val="es-ES_tradnl"/>
        </w:rPr>
        <w:tab/>
        <w:t>una décima parte del ruido global del circuito de radioenlaces, de 2</w:t>
      </w:r>
      <w:r>
        <w:rPr>
          <w:rFonts w:ascii="Tms Rmn" w:hAnsi="Tms Rmn"/>
          <w:sz w:val="12"/>
          <w:lang w:val="es-ES_tradnl"/>
        </w:rPr>
        <w:t> </w:t>
      </w:r>
      <w:r>
        <w:rPr>
          <w:lang w:val="es-ES_tradnl"/>
        </w:rPr>
        <w:t>500 km de longitud, se asigna al ruido debido a la interferencia procedente de otras arterias;</w:t>
      </w:r>
    </w:p>
    <w:p w:rsidR="00256167" w:rsidRDefault="00256167" w:rsidP="00256167">
      <w:pPr>
        <w:pStyle w:val="enumlev1"/>
        <w:rPr>
          <w:lang w:val="es-ES_tradnl"/>
        </w:rPr>
      </w:pPr>
      <w:r>
        <w:rPr>
          <w:lang w:val="es-ES_tradnl"/>
        </w:rPr>
        <w:t>–</w:t>
      </w:r>
      <w:r>
        <w:rPr>
          <w:lang w:val="es-ES_tradnl"/>
        </w:rPr>
        <w:tab/>
        <w:t>la interferencia debida a otras arterias tiene la misma frecuencia de la señal deseada;</w:t>
      </w:r>
    </w:p>
    <w:p w:rsidR="00256167" w:rsidRDefault="00256167" w:rsidP="00256167">
      <w:pPr>
        <w:pStyle w:val="enumlev1"/>
        <w:rPr>
          <w:lang w:val="es-ES_tradnl"/>
        </w:rPr>
      </w:pPr>
      <w:r>
        <w:rPr>
          <w:lang w:val="es-ES_tradnl"/>
        </w:rPr>
        <w:t>–</w:t>
      </w:r>
      <w:r>
        <w:rPr>
          <w:lang w:val="es-ES_tradnl"/>
        </w:rPr>
        <w:tab/>
        <w:t>se utilizó un diagrama de referencia de antena para una antena circular tal como el que figura en la Recomendación UIT</w:t>
      </w:r>
      <w:r>
        <w:rPr>
          <w:lang w:val="es-ES_tradnl"/>
        </w:rPr>
        <w:noBreakHyphen/>
        <w:t>R F.699, y una doble antena descentrada de triple reflector, empleada en Japón para radioenlaces digitales, como consta en la Fig. 7;</w:t>
      </w:r>
    </w:p>
    <w:p w:rsidR="00256167" w:rsidRDefault="00256167" w:rsidP="00256167">
      <w:pPr>
        <w:pStyle w:val="enumlev1"/>
        <w:rPr>
          <w:lang w:val="es-ES_tradnl"/>
        </w:rPr>
      </w:pPr>
      <w:r>
        <w:rPr>
          <w:lang w:val="es-ES_tradnl"/>
        </w:rPr>
        <w:t>–</w:t>
      </w:r>
      <w:r>
        <w:rPr>
          <w:lang w:val="es-ES_tradnl"/>
        </w:rPr>
        <w:tab/>
        <w:t>enlaces con circuitos en derivación de ángulos aleatorios.</w:t>
      </w:r>
    </w:p>
    <w:p w:rsidR="00256167" w:rsidRDefault="00256167" w:rsidP="00256167">
      <w:pPr>
        <w:pStyle w:val="enumlev1"/>
        <w:rPr>
          <w:lang w:val="es-ES_tradnl"/>
        </w:rPr>
      </w:pPr>
    </w:p>
    <w:p w:rsidR="00256167" w:rsidRDefault="00256167" w:rsidP="00256167">
      <w:pPr>
        <w:pStyle w:val="FigureNo"/>
        <w:rPr>
          <w:lang w:val="es-ES_tradnl"/>
        </w:rPr>
      </w:pPr>
      <w:r>
        <w:object w:dxaOrig="8599" w:dyaOrig="7356">
          <v:shape id="_x0000_i1050" type="#_x0000_t75" style="width:430.2pt;height:367.2pt" o:ole="" o:allowoverlap="f">
            <v:imagedata r:id="rId63" o:title=""/>
          </v:shape>
          <o:OLEObject Type="Embed" ProgID="CorelDraw.Graphic.12" ShapeID="_x0000_i1050" DrawAspect="Content" ObjectID="_1376823624" r:id="rId64"/>
        </w:object>
      </w:r>
    </w:p>
    <w:p w:rsidR="00256167" w:rsidRDefault="00256167" w:rsidP="00256167">
      <w:pPr>
        <w:rPr>
          <w:lang w:val="es-ES_tradnl"/>
        </w:rPr>
      </w:pPr>
    </w:p>
    <w:p w:rsidR="00256167" w:rsidRDefault="00256167" w:rsidP="00E1764F">
      <w:pPr>
        <w:rPr>
          <w:lang w:val="es-ES_tradnl"/>
        </w:rPr>
      </w:pPr>
      <w:r>
        <w:rPr>
          <w:lang w:val="es-ES_tradnl"/>
        </w:rPr>
        <w:t>Se calcularon las capacidades normalizadas de comunicación para estos dos tipos de antena y los resultados se indican en la Fig.</w:t>
      </w:r>
      <w:r w:rsidR="00E1764F">
        <w:rPr>
          <w:lang w:val="es-ES_tradnl"/>
        </w:rPr>
        <w:t> </w:t>
      </w:r>
      <w:r>
        <w:rPr>
          <w:lang w:val="es-ES_tradnl"/>
        </w:rPr>
        <w:t>8. La calidad de funcionamiento de la antena circular de la Recomendación UIT-R F.699 no es suficiente como para estimar la EUE con sistemas de modulación de un número elevado de estados. Como los resultados dependen de las características de funcionamiento de la antena, si se puede emplear una antena de alta calidad, resultaría eficaz una MAQ de muchos estados, tal como MAQ-256.</w:t>
      </w:r>
    </w:p>
    <w:p w:rsidR="00256167" w:rsidRDefault="00256167" w:rsidP="00F25608">
      <w:pPr>
        <w:pStyle w:val="FigureNo"/>
      </w:pPr>
      <w:r>
        <w:object w:dxaOrig="6359" w:dyaOrig="12029">
          <v:shape id="_x0000_i1051" type="#_x0000_t75" style="width:318pt;height:601.2pt" o:ole="" o:allowoverlap="f">
            <v:imagedata r:id="rId65" o:title=""/>
          </v:shape>
          <o:OLEObject Type="Embed" ProgID="CorelDraw.Graphic.12" ShapeID="_x0000_i1051" DrawAspect="Content" ObjectID="_1376823625" r:id="rId66"/>
        </w:object>
      </w:r>
    </w:p>
    <w:p w:rsidR="00F25608" w:rsidRDefault="00F25608" w:rsidP="00F25608">
      <w:pPr>
        <w:pStyle w:val="Heading2"/>
        <w:rPr>
          <w:lang w:val="es-ES_tradnl"/>
        </w:rPr>
      </w:pPr>
      <w:r>
        <w:rPr>
          <w:lang w:val="es-ES_tradnl"/>
        </w:rPr>
        <w:t>2.3</w:t>
      </w:r>
      <w:r>
        <w:rPr>
          <w:lang w:val="es-ES_tradnl"/>
        </w:rPr>
        <w:tab/>
        <w:t>EUE en enlaces de relevadores radioeléctricos dispuestos arbitrariamente</w:t>
      </w:r>
    </w:p>
    <w:p w:rsidR="00F25608" w:rsidRDefault="00F25608" w:rsidP="00F25608">
      <w:pPr>
        <w:pStyle w:val="Heading3"/>
        <w:rPr>
          <w:lang w:val="es-ES_tradnl"/>
        </w:rPr>
      </w:pPr>
      <w:r>
        <w:rPr>
          <w:lang w:val="es-ES_tradnl"/>
        </w:rPr>
        <w:t>2.3.1</w:t>
      </w:r>
      <w:r>
        <w:rPr>
          <w:lang w:val="es-ES_tradnl"/>
        </w:rPr>
        <w:tab/>
        <w:t>Formulación</w:t>
      </w:r>
    </w:p>
    <w:p w:rsidR="00F25608" w:rsidRDefault="00F25608" w:rsidP="00F25608">
      <w:pPr>
        <w:rPr>
          <w:lang w:val="es-ES_tradnl"/>
        </w:rPr>
      </w:pPr>
      <w:r>
        <w:rPr>
          <w:lang w:val="es-ES_tradnl"/>
        </w:rPr>
        <w:t>La Fig. 9 representa un enlace de relevadores radioeléctricos X-Y con otra estación radioeléctrica Z que funciona en la misma frecuencia. La estación Z está situada al azar dentro de un círculo que rodea a la estación Y.</w:t>
      </w:r>
    </w:p>
    <w:p w:rsidR="00F25608" w:rsidRPr="00F25608" w:rsidRDefault="00F25608" w:rsidP="00F25608">
      <w:pPr>
        <w:pStyle w:val="Figuretitle"/>
        <w:rPr>
          <w:lang w:val="es-ES_tradnl"/>
        </w:rPr>
      </w:pPr>
    </w:p>
    <w:p w:rsidR="00256167" w:rsidRDefault="00256167" w:rsidP="00256167">
      <w:pPr>
        <w:pStyle w:val="FigureNo"/>
        <w:rPr>
          <w:lang w:val="es-ES_tradnl"/>
        </w:rPr>
      </w:pPr>
      <w:r>
        <w:object w:dxaOrig="5482" w:dyaOrig="4592">
          <v:shape id="_x0000_i1052" type="#_x0000_t75" style="width:273.6pt;height:229.8pt" o:ole="" o:allowoverlap="f">
            <v:imagedata r:id="rId67" o:title=""/>
          </v:shape>
          <o:OLEObject Type="Embed" ProgID="CorelDraw.Graphic.12" ShapeID="_x0000_i1052" DrawAspect="Content" ObjectID="_1376823626" r:id="rId68"/>
        </w:object>
      </w:r>
    </w:p>
    <w:p w:rsidR="00256167" w:rsidRDefault="00256167" w:rsidP="00256167">
      <w:pPr>
        <w:rPr>
          <w:lang w:val="es-ES_tradnl"/>
        </w:rPr>
      </w:pPr>
      <w:r>
        <w:rPr>
          <w:lang w:val="es-ES_tradnl"/>
        </w:rPr>
        <w:t xml:space="preserve">La estación Y recibe en la frecuencia </w:t>
      </w:r>
      <w:r>
        <w:rPr>
          <w:i/>
          <w:lang w:val="es-ES_tradnl"/>
        </w:rPr>
        <w:t>f</w:t>
      </w:r>
      <w:r>
        <w:rPr>
          <w:position w:val="-4"/>
          <w:sz w:val="16"/>
          <w:lang w:val="es-ES_tradnl"/>
        </w:rPr>
        <w:t>1</w:t>
      </w:r>
      <w:r>
        <w:rPr>
          <w:i/>
          <w:lang w:val="es-ES_tradnl"/>
        </w:rPr>
        <w:t xml:space="preserve"> </w:t>
      </w:r>
      <w:r>
        <w:rPr>
          <w:lang w:val="es-ES_tradnl"/>
        </w:rPr>
        <w:t xml:space="preserve">una señal deseada de la estación X. La estación Z transmite una señal de la misma frecuencia </w:t>
      </w:r>
      <w:r>
        <w:rPr>
          <w:i/>
          <w:lang w:val="es-ES_tradnl"/>
        </w:rPr>
        <w:t>f</w:t>
      </w:r>
      <w:r>
        <w:rPr>
          <w:position w:val="-4"/>
          <w:sz w:val="16"/>
          <w:lang w:val="es-ES_tradnl"/>
        </w:rPr>
        <w:t>1</w:t>
      </w:r>
      <w:r>
        <w:rPr>
          <w:i/>
          <w:lang w:val="es-ES_tradnl"/>
        </w:rPr>
        <w:t xml:space="preserve"> </w:t>
      </w:r>
      <w:r>
        <w:rPr>
          <w:lang w:val="es-ES_tradnl"/>
        </w:rPr>
        <w:t>en una dirección arbitraria.</w:t>
      </w:r>
    </w:p>
    <w:p w:rsidR="00256167" w:rsidRDefault="00256167" w:rsidP="00256167">
      <w:pPr>
        <w:rPr>
          <w:lang w:val="es-ES_tradnl"/>
        </w:rPr>
      </w:pPr>
      <w:r>
        <w:rPr>
          <w:lang w:val="es-ES_tradnl"/>
        </w:rPr>
        <w:t>La capacidad de comunicación normalizada, que da la eficacia de utilización del espectro, se define como sigue:</w:t>
      </w:r>
    </w:p>
    <w:p w:rsidR="00256167" w:rsidRPr="001D2A9C" w:rsidRDefault="00256167" w:rsidP="00256167">
      <w:pPr>
        <w:pStyle w:val="Equation"/>
        <w:spacing w:before="0"/>
        <w:rPr>
          <w:lang w:val="es-ES_tradnl"/>
        </w:rPr>
      </w:pPr>
      <w:bookmarkStart w:id="14" w:name="f013"/>
      <w:r w:rsidRPr="001D2A9C">
        <w:rPr>
          <w:rFonts w:ascii="Symbol" w:hAnsi="Symbol"/>
          <w:lang w:val="es-ES_tradnl"/>
        </w:rPr>
        <w:tab/>
      </w:r>
      <w:r w:rsidRPr="001D2A9C">
        <w:rPr>
          <w:rFonts w:ascii="Symbol" w:hAnsi="Symbol"/>
          <w:lang w:val="es-ES_tradnl"/>
        </w:rPr>
        <w:tab/>
      </w:r>
      <w:r>
        <w:rPr>
          <w:position w:val="-28"/>
        </w:rPr>
        <w:object w:dxaOrig="2600" w:dyaOrig="639">
          <v:shape id="_x0000_i1053" type="#_x0000_t75" style="width:130.8pt;height:32.4pt" o:ole="">
            <v:imagedata r:id="rId69" o:title=""/>
          </v:shape>
          <o:OLEObject Type="Embed" ProgID="Equation.2" ShapeID="_x0000_i1053" DrawAspect="Content" ObjectID="_1376823627" r:id="rId70"/>
        </w:object>
      </w:r>
      <w:r w:rsidRPr="001D2A9C">
        <w:rPr>
          <w:lang w:val="es-ES_tradnl"/>
        </w:rPr>
        <w:tab/>
        <w:t>(</w:t>
      </w:r>
      <w:r>
        <w:rPr>
          <w:lang w:val="es-ES_tradnl"/>
        </w:rPr>
        <w:t>22</w:t>
      </w:r>
      <w:r w:rsidRPr="001D2A9C">
        <w:rPr>
          <w:lang w:val="es-ES_tradnl"/>
        </w:rPr>
        <w:t>)</w:t>
      </w:r>
    </w:p>
    <w:bookmarkEnd w:id="14"/>
    <w:p w:rsidR="00256167" w:rsidRDefault="00256167" w:rsidP="00256167">
      <w:pPr>
        <w:rPr>
          <w:lang w:val="es-ES_tradnl"/>
        </w:rPr>
      </w:pPr>
      <w:r>
        <w:rPr>
          <w:lang w:val="es-ES_tradnl"/>
        </w:rPr>
        <w:t>donde:</w:t>
      </w:r>
    </w:p>
    <w:p w:rsidR="00256167" w:rsidRPr="004620D4" w:rsidRDefault="00256167" w:rsidP="00256167">
      <w:pPr>
        <w:pStyle w:val="Equationlegend"/>
        <w:rPr>
          <w:lang w:val="es-ES_tradnl"/>
        </w:rPr>
      </w:pPr>
      <w:r w:rsidRPr="004620D4">
        <w:rPr>
          <w:lang w:val="es-ES_tradnl"/>
        </w:rPr>
        <w:tab/>
      </w:r>
      <w:r w:rsidRPr="004620D4">
        <w:rPr>
          <w:i/>
          <w:lang w:val="es-ES_tradnl"/>
        </w:rPr>
        <w:t>N</w:t>
      </w:r>
      <w:r w:rsidRPr="004620D4">
        <w:rPr>
          <w:rFonts w:ascii="Tms Rmn" w:hAnsi="Tms Rmn"/>
          <w:sz w:val="12"/>
          <w:lang w:val="es-ES_tradnl"/>
        </w:rPr>
        <w:t> </w:t>
      </w:r>
      <w:r w:rsidRPr="004620D4">
        <w:rPr>
          <w:lang w:val="es-ES_tradnl"/>
        </w:rPr>
        <w:t>:</w:t>
      </w:r>
      <w:r w:rsidRPr="004620D4">
        <w:rPr>
          <w:lang w:val="es-ES_tradnl"/>
        </w:rPr>
        <w:tab/>
        <w:t xml:space="preserve">número de enlaces radioeléctricos posibles que utilizan la misma frecuencia: </w:t>
      </w:r>
      <w:r>
        <w:rPr>
          <w:lang w:val="es-ES_tradnl"/>
        </w:rPr>
        <w:fldChar w:fldCharType="begin"/>
      </w:r>
      <w:r>
        <w:rPr>
          <w:lang w:val="es-ES_tradnl"/>
        </w:rPr>
        <w:instrText xml:space="preserve"> EQ  </w:instrText>
      </w:r>
      <w:r w:rsidRPr="004620D4">
        <w:rPr>
          <w:i/>
          <w:lang w:val="es-ES_tradnl"/>
        </w:rPr>
        <w:instrText>N</w:instrText>
      </w:r>
      <w:r w:rsidRPr="004620D4">
        <w:rPr>
          <w:lang w:val="es-ES_tradnl"/>
        </w:rPr>
        <w:instrText xml:space="preserve">  </w:instrText>
      </w:r>
      <w:r>
        <w:rPr>
          <w:rFonts w:ascii="Symbol" w:hAnsi="Symbol"/>
        </w:rPr>
        <w:instrText></w:instrText>
      </w:r>
      <w:r w:rsidRPr="004620D4">
        <w:rPr>
          <w:lang w:val="es-ES_tradnl"/>
        </w:rPr>
        <w:instrText xml:space="preserve">  </w:instrText>
      </w:r>
      <w:r>
        <w:fldChar w:fldCharType="begin"/>
      </w:r>
      <w:r w:rsidRPr="004620D4">
        <w:rPr>
          <w:lang w:val="es-ES_tradnl"/>
        </w:rPr>
        <w:instrText xml:space="preserve">eq </w:instrText>
      </w:r>
      <w:r w:rsidRPr="004620D4">
        <w:rPr>
          <w:i/>
          <w:lang w:val="es-ES_tradnl"/>
        </w:rPr>
        <w:instrText>p</w:instrText>
      </w:r>
      <w:r w:rsidRPr="004620D4">
        <w:rPr>
          <w:lang w:val="es-ES_tradnl"/>
        </w:rPr>
        <w:instrText>\d\ba5()\s\up5(–)</w:instrText>
      </w:r>
      <w:r w:rsidRPr="004620D4">
        <w:rPr>
          <w:rFonts w:ascii="Tms Rmn" w:hAnsi="Tms Rmn"/>
          <w:sz w:val="12"/>
          <w:lang w:val="es-ES_tradnl"/>
        </w:rPr>
        <w:instrText> </w:instrText>
      </w:r>
      <w:r w:rsidRPr="004620D4">
        <w:rPr>
          <w:lang w:val="es-ES_tradnl"/>
        </w:rPr>
        <w:instrText>/</w:instrText>
      </w:r>
      <w:r w:rsidRPr="004620D4">
        <w:rPr>
          <w:rFonts w:ascii="Tms Rmn" w:hAnsi="Tms Rmn"/>
          <w:sz w:val="12"/>
          <w:lang w:val="es-ES_tradnl"/>
        </w:rPr>
        <w:instrText> </w:instrText>
      </w:r>
      <w:r w:rsidRPr="004620D4">
        <w:rPr>
          <w:i/>
          <w:lang w:val="es-ES_tradnl"/>
        </w:rPr>
        <w:instrText>p</w:instrText>
      </w:r>
      <w:r>
        <w:fldChar w:fldCharType="end"/>
      </w:r>
      <w:r>
        <w:rPr>
          <w:lang w:val="es-ES_tradnl"/>
        </w:rPr>
        <w:fldChar w:fldCharType="end"/>
      </w:r>
    </w:p>
    <w:p w:rsidR="00256167" w:rsidRDefault="00256167" w:rsidP="00256167">
      <w:pPr>
        <w:pStyle w:val="Equationlegend"/>
        <w:rPr>
          <w:lang w:val="es-ES_tradnl"/>
        </w:rPr>
      </w:pPr>
      <w:r w:rsidRPr="004620D4">
        <w:rPr>
          <w:lang w:val="es-ES_tradnl"/>
        </w:rPr>
        <w:tab/>
      </w:r>
      <w:r w:rsidRPr="007F0761">
        <w:rPr>
          <w:i/>
          <w:lang w:val="es-ES_tradnl"/>
        </w:rPr>
        <w:t>A</w:t>
      </w:r>
      <w:r w:rsidRPr="007F0761">
        <w:rPr>
          <w:rFonts w:ascii="Tms Rmn" w:hAnsi="Tms Rmn"/>
          <w:sz w:val="12"/>
          <w:lang w:val="es-ES_tradnl"/>
        </w:rPr>
        <w:t> </w:t>
      </w:r>
      <w:r w:rsidRPr="007F0761">
        <w:rPr>
          <w:lang w:val="es-ES_tradnl"/>
        </w:rPr>
        <w:t>:</w:t>
      </w:r>
      <w:r w:rsidRPr="007F0761">
        <w:rPr>
          <w:lang w:val="es-ES_tradnl"/>
        </w:rPr>
        <w:tab/>
        <w:t>capacidad de transmisión por radiocanal.</w:t>
      </w:r>
    </w:p>
    <w:p w:rsidR="00256167" w:rsidRDefault="00256167" w:rsidP="007D53B1">
      <w:pPr>
        <w:spacing w:line="260" w:lineRule="exact"/>
        <w:rPr>
          <w:lang w:val="es-ES_tradnl"/>
        </w:rPr>
      </w:pPr>
      <w:r>
        <w:rPr>
          <w:lang w:val="es-ES_tradnl"/>
        </w:rPr>
        <w:t xml:space="preserve">La probabilidad </w:t>
      </w:r>
      <w:r>
        <w:rPr>
          <w:i/>
          <w:lang w:val="es-ES_tradnl"/>
        </w:rPr>
        <w:t>p</w:t>
      </w:r>
      <w:r>
        <w:rPr>
          <w:lang w:val="es-ES_tradnl"/>
        </w:rPr>
        <w:t xml:space="preserve"> de que la estación Y reciba una interferencia que rebase el límite admisible, se calcula considerando la combinación del diagrama de antena de las estaciones Y </w:t>
      </w:r>
      <w:proofErr w:type="spellStart"/>
      <w:r>
        <w:rPr>
          <w:lang w:val="es-ES_tradnl"/>
        </w:rPr>
        <w:t>y</w:t>
      </w:r>
      <w:proofErr w:type="spellEnd"/>
      <w:r>
        <w:rPr>
          <w:lang w:val="es-ES_tradnl"/>
        </w:rPr>
        <w:t xml:space="preserve"> Z: </w:t>
      </w:r>
      <w:r>
        <w:rPr>
          <w:lang w:val="es-ES_tradnl"/>
        </w:rPr>
        <w:fldChar w:fldCharType="begin"/>
      </w:r>
      <w:r>
        <w:rPr>
          <w:lang w:val="es-ES_tradnl"/>
        </w:rPr>
        <w:instrText xml:space="preserve">eq </w:instrText>
      </w:r>
      <w:r>
        <w:rPr>
          <w:i/>
          <w:lang w:val="es-ES_tradnl"/>
        </w:rPr>
        <w:instrText>p</w:instrText>
      </w:r>
      <w:r>
        <w:rPr>
          <w:lang w:val="es-ES_tradnl"/>
        </w:rPr>
        <w:instrText>\d\ba5()\s\up5(–)</w:instrText>
      </w:r>
      <w:r>
        <w:rPr>
          <w:lang w:val="es-ES_tradnl"/>
        </w:rPr>
        <w:fldChar w:fldCharType="end"/>
      </w:r>
      <w:r>
        <w:rPr>
          <w:lang w:val="es-ES_tradnl"/>
        </w:rPr>
        <w:t xml:space="preserve"> es la probabilidad máxima admisible de interferencia.</w:t>
      </w:r>
    </w:p>
    <w:p w:rsidR="00256167" w:rsidRDefault="00256167" w:rsidP="00256167">
      <w:pPr>
        <w:rPr>
          <w:lang w:val="es-ES_tradnl"/>
        </w:rPr>
      </w:pPr>
      <w:r>
        <w:rPr>
          <w:lang w:val="es-ES_tradnl"/>
        </w:rPr>
        <w:t>Como se ha despreciado la acumulación de interferencia procedente de dos o más estaciones, en las aplicaciones reales hay que prever un cierto margen.</w:t>
      </w:r>
    </w:p>
    <w:p w:rsidR="00256167" w:rsidRDefault="00256167" w:rsidP="00256167">
      <w:pPr>
        <w:pStyle w:val="Heading3"/>
        <w:rPr>
          <w:lang w:val="es-ES_tradnl"/>
        </w:rPr>
      </w:pPr>
      <w:r>
        <w:rPr>
          <w:lang w:val="es-ES_tradnl"/>
        </w:rPr>
        <w:t>2.3.2</w:t>
      </w:r>
      <w:r>
        <w:rPr>
          <w:lang w:val="es-ES_tradnl"/>
        </w:rPr>
        <w:tab/>
        <w:t>Aplicación: EUE en los sistemas de radioenlaces en la banda de 2 GHz</w:t>
      </w:r>
    </w:p>
    <w:p w:rsidR="00256167" w:rsidRDefault="00256167" w:rsidP="00256167">
      <w:pPr>
        <w:rPr>
          <w:lang w:val="es-ES_tradnl"/>
        </w:rPr>
      </w:pPr>
      <w:r>
        <w:rPr>
          <w:lang w:val="es-ES_tradnl"/>
        </w:rPr>
        <w:t>Con la fórmula anterior, se calculó la EUE en un sistema de radioenlaces terrenales punto a punto de pequeña capacidad, que funciona en la banda de 2 GHz.</w:t>
      </w:r>
    </w:p>
    <w:p w:rsidR="00256167" w:rsidRDefault="00256167" w:rsidP="00B30661">
      <w:pPr>
        <w:rPr>
          <w:lang w:val="es-ES_tradnl"/>
        </w:rPr>
      </w:pPr>
      <w:r>
        <w:rPr>
          <w:lang w:val="es-ES_tradnl"/>
        </w:rPr>
        <w:t>Se calculó la ERE, para antenas de 1,8</w:t>
      </w:r>
      <w:r w:rsidR="00B30661">
        <w:rPr>
          <w:lang w:val="es-ES_tradnl"/>
        </w:rPr>
        <w:t> </w:t>
      </w:r>
      <w:r>
        <w:rPr>
          <w:lang w:val="es-ES_tradnl"/>
        </w:rPr>
        <w:t>m de diámetro teniendo en cuenta la relación entre interferencia admisible y la eficacia propia para cada tipo de modulación indicada en el Cuadro</w:t>
      </w:r>
      <w:r w:rsidR="00B30661">
        <w:rPr>
          <w:lang w:val="es-ES_tradnl"/>
        </w:rPr>
        <w:t> </w:t>
      </w:r>
      <w:r>
        <w:rPr>
          <w:lang w:val="es-ES_tradnl"/>
        </w:rPr>
        <w:t>2. Los resultados se recogen en la Fig. 10.</w:t>
      </w:r>
    </w:p>
    <w:p w:rsidR="00256167" w:rsidRDefault="00256167" w:rsidP="00256167">
      <w:pPr>
        <w:rPr>
          <w:lang w:val="es-ES_tradnl"/>
        </w:rPr>
      </w:pPr>
      <w:r>
        <w:rPr>
          <w:lang w:val="es-ES_tradnl"/>
        </w:rPr>
        <w:t>Para los márgenes inferiores de desvanecimiento, el sistema digital es superior al sistema analógico. En este estudio, la atenuación debida al desvanecimiento es la misma que la degradación de la relación entre los niveles de la señal deseada y no deseada producida por la interferencia. Si se utilizan técnicas de diversidad de espacio, el margen necesario de desvanecimiento es más reducido. En general, los sistemas digitales tienden a proporcionar una mejor eficacia de utilización del espectro.</w:t>
      </w:r>
    </w:p>
    <w:p w:rsidR="00256167" w:rsidRPr="001D2A9C" w:rsidRDefault="00256167" w:rsidP="00256167">
      <w:pPr>
        <w:rPr>
          <w:lang w:val="es-ES_tradnl"/>
        </w:rPr>
        <w:sectPr w:rsidR="00256167" w:rsidRPr="001D2A9C" w:rsidSect="00083267">
          <w:headerReference w:type="even" r:id="rId71"/>
          <w:headerReference w:type="default" r:id="rId72"/>
          <w:footerReference w:type="first" r:id="rId73"/>
          <w:footnotePr>
            <w:numFmt w:val="chicago"/>
          </w:footnotePr>
          <w:pgSz w:w="11907" w:h="16834" w:code="9"/>
          <w:pgMar w:top="1418" w:right="1134" w:bottom="1134" w:left="1134" w:header="720" w:footer="482" w:gutter="0"/>
          <w:paperSrc w:first="7" w:other="7"/>
          <w:pgNumType w:start="1"/>
          <w:cols w:space="720"/>
        </w:sectPr>
      </w:pPr>
    </w:p>
    <w:p w:rsidR="00256167" w:rsidRPr="001D2A9C" w:rsidRDefault="00256167" w:rsidP="00AC0E10">
      <w:pPr>
        <w:pStyle w:val="Table"/>
        <w:spacing w:before="0"/>
        <w:rPr>
          <w:lang w:val="es-ES_tradnl"/>
        </w:rPr>
      </w:pPr>
      <w:r w:rsidRPr="001D2A9C">
        <w:rPr>
          <w:lang w:val="es-ES_tradnl"/>
        </w:rPr>
        <w:lastRenderedPageBreak/>
        <w:t>CUADRO  2</w:t>
      </w:r>
    </w:p>
    <w:p w:rsidR="00256167" w:rsidRDefault="00256167" w:rsidP="00256167">
      <w:pPr>
        <w:pStyle w:val="TableTitle0"/>
        <w:rPr>
          <w:lang w:val="es-ES_tradnl"/>
        </w:rPr>
      </w:pPr>
      <w:r w:rsidRPr="001D2A9C">
        <w:rPr>
          <w:lang w:val="es-ES_tradnl"/>
        </w:rPr>
        <w:t>Parámetros de diversos tipos de modulación en la banda de 2 GHz</w:t>
      </w:r>
    </w:p>
    <w:p w:rsidR="00AC0E10" w:rsidRPr="00AC0E10" w:rsidRDefault="00AC0E10" w:rsidP="00AC0E10">
      <w:pPr>
        <w:pStyle w:val="Blanc"/>
        <w:rPr>
          <w:lang w:val="es-ES_tradnl"/>
        </w:rPr>
      </w:pPr>
    </w:p>
    <w:tbl>
      <w:tblPr>
        <w:tblW w:w="14830" w:type="dxa"/>
        <w:jc w:val="center"/>
        <w:tblLayout w:type="fixed"/>
        <w:tblCellMar>
          <w:left w:w="0" w:type="dxa"/>
          <w:right w:w="0" w:type="dxa"/>
        </w:tblCellMar>
        <w:tblLook w:val="0000" w:firstRow="0" w:lastRow="0" w:firstColumn="0" w:lastColumn="0" w:noHBand="0" w:noVBand="0"/>
      </w:tblPr>
      <w:tblGrid>
        <w:gridCol w:w="1134"/>
        <w:gridCol w:w="1304"/>
        <w:gridCol w:w="1304"/>
        <w:gridCol w:w="1276"/>
        <w:gridCol w:w="1276"/>
        <w:gridCol w:w="1701"/>
        <w:gridCol w:w="1418"/>
        <w:gridCol w:w="1418"/>
        <w:gridCol w:w="1333"/>
        <w:gridCol w:w="1333"/>
        <w:gridCol w:w="1333"/>
      </w:tblGrid>
      <w:tr w:rsidR="00BC3250" w:rsidTr="009B5FD1">
        <w:trPr>
          <w:cantSplit/>
          <w:jc w:val="center"/>
        </w:trPr>
        <w:tc>
          <w:tcPr>
            <w:tcW w:w="2438" w:type="dxa"/>
            <w:gridSpan w:val="2"/>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jc w:val="center"/>
            </w:pPr>
            <w:proofErr w:type="spellStart"/>
            <w:r>
              <w:t>Tipo</w:t>
            </w:r>
            <w:proofErr w:type="spellEnd"/>
            <w:r>
              <w:t xml:space="preserve"> de </w:t>
            </w:r>
            <w:proofErr w:type="spellStart"/>
            <w:r>
              <w:t>modulación</w:t>
            </w:r>
            <w:proofErr w:type="spellEnd"/>
          </w:p>
        </w:tc>
        <w:tc>
          <w:tcPr>
            <w:tcW w:w="1304" w:type="dxa"/>
            <w:tcBorders>
              <w:top w:val="single" w:sz="6" w:space="0" w:color="auto"/>
              <w:left w:val="single" w:sz="6" w:space="0" w:color="auto"/>
              <w:bottom w:val="single" w:sz="6" w:space="0" w:color="auto"/>
              <w:right w:val="single" w:sz="6" w:space="0" w:color="auto"/>
            </w:tcBorders>
          </w:tcPr>
          <w:p w:rsidR="00BC3250" w:rsidRPr="00AB4521" w:rsidRDefault="00BC3250" w:rsidP="00A27FB1">
            <w:pPr>
              <w:pStyle w:val="TableText0"/>
              <w:ind w:left="86" w:right="86"/>
              <w:jc w:val="center"/>
              <w:rPr>
                <w:lang w:val="es-ES_tradnl"/>
              </w:rPr>
            </w:pPr>
            <w:r w:rsidRPr="001D2A9C">
              <w:rPr>
                <w:lang w:val="es-ES_tradnl"/>
              </w:rPr>
              <w:t xml:space="preserve">Relación </w:t>
            </w:r>
            <w:r w:rsidRPr="002E6011">
              <w:rPr>
                <w:i/>
                <w:lang w:val="es-ES_tradnl"/>
              </w:rPr>
              <w:t>S</w:t>
            </w:r>
            <w:r w:rsidRPr="002E6011">
              <w:rPr>
                <w:lang w:val="es-ES_tradnl"/>
              </w:rPr>
              <w:t>/</w:t>
            </w:r>
            <w:r w:rsidRPr="001D2A9C">
              <w:rPr>
                <w:i/>
                <w:lang w:val="es-ES_tradnl"/>
              </w:rPr>
              <w:t>N</w:t>
            </w:r>
            <w:r w:rsidRPr="001D2A9C">
              <w:rPr>
                <w:lang w:val="es-ES_tradnl"/>
              </w:rPr>
              <w:br/>
              <w:t>admisible o proporción</w:t>
            </w:r>
            <w:r w:rsidRPr="001D2A9C">
              <w:rPr>
                <w:lang w:val="es-ES_tradnl"/>
              </w:rPr>
              <w:br/>
              <w:t>de errores</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BC3250" w:rsidRPr="00AB4521" w:rsidRDefault="00BC3250" w:rsidP="00A27FB1">
            <w:pPr>
              <w:pStyle w:val="TableText0"/>
              <w:spacing w:before="180"/>
              <w:ind w:left="86" w:right="86"/>
              <w:jc w:val="center"/>
              <w:rPr>
                <w:lang w:val="es-ES_tradnl"/>
              </w:rPr>
            </w:pPr>
            <w:r w:rsidRPr="001D2A9C">
              <w:rPr>
                <w:lang w:val="es-ES_tradnl"/>
              </w:rPr>
              <w:t>Factor de reducción</w:t>
            </w:r>
            <w:r>
              <w:rPr>
                <w:lang w:val="es-ES_tradnl"/>
              </w:rPr>
              <w:br/>
              <w:t xml:space="preserve">de </w:t>
            </w:r>
            <w:r w:rsidRPr="001D2A9C">
              <w:rPr>
                <w:lang w:val="es-ES_tradnl"/>
              </w:rPr>
              <w:t>la interferencia</w:t>
            </w:r>
          </w:p>
        </w:tc>
        <w:tc>
          <w:tcPr>
            <w:tcW w:w="1701" w:type="dxa"/>
            <w:tcBorders>
              <w:top w:val="single" w:sz="6" w:space="0" w:color="auto"/>
              <w:left w:val="single" w:sz="6" w:space="0" w:color="auto"/>
              <w:bottom w:val="single" w:sz="6" w:space="0" w:color="auto"/>
              <w:right w:val="single" w:sz="6" w:space="0" w:color="auto"/>
            </w:tcBorders>
            <w:vAlign w:val="center"/>
          </w:tcPr>
          <w:p w:rsidR="00BC3250" w:rsidRPr="00AB4521" w:rsidRDefault="00BC3250" w:rsidP="00A27FB1">
            <w:pPr>
              <w:pStyle w:val="TableText0"/>
              <w:ind w:left="86" w:right="86"/>
              <w:jc w:val="center"/>
              <w:rPr>
                <w:lang w:val="es-ES_tradnl"/>
              </w:rPr>
            </w:pPr>
            <w:r w:rsidRPr="001D2A9C">
              <w:rPr>
                <w:lang w:val="es-ES_tradnl"/>
              </w:rPr>
              <w:t>Factor de reducción de</w:t>
            </w:r>
            <w:r>
              <w:rPr>
                <w:lang w:val="es-ES_tradnl"/>
              </w:rPr>
              <w:t xml:space="preserve"> </w:t>
            </w:r>
            <w:r w:rsidRPr="001D2A9C">
              <w:rPr>
                <w:lang w:val="es-ES_tradnl"/>
              </w:rPr>
              <w:t>la interferencia</w:t>
            </w:r>
          </w:p>
        </w:tc>
        <w:tc>
          <w:tcPr>
            <w:tcW w:w="2836" w:type="dxa"/>
            <w:gridSpan w:val="2"/>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proofErr w:type="spellStart"/>
            <w:r>
              <w:t>Parámetros</w:t>
            </w:r>
            <w:proofErr w:type="spellEnd"/>
            <w:r>
              <w:t xml:space="preserve"> </w:t>
            </w:r>
            <w:proofErr w:type="spellStart"/>
            <w:r>
              <w:t>relacionados</w:t>
            </w:r>
            <w:proofErr w:type="spellEnd"/>
            <w:r>
              <w:br/>
              <w:t xml:space="preserve">con </w:t>
            </w:r>
            <w:r>
              <w:rPr>
                <w:i/>
              </w:rPr>
              <w:t>B</w:t>
            </w:r>
          </w:p>
        </w:tc>
        <w:tc>
          <w:tcPr>
            <w:tcW w:w="1333" w:type="dxa"/>
            <w:tcBorders>
              <w:top w:val="single" w:sz="6" w:space="0" w:color="auto"/>
              <w:left w:val="single" w:sz="6" w:space="0" w:color="auto"/>
              <w:bottom w:val="single" w:sz="6" w:space="0" w:color="auto"/>
              <w:right w:val="single" w:sz="6" w:space="0" w:color="auto"/>
            </w:tcBorders>
          </w:tcPr>
          <w:p w:rsidR="00BC3250" w:rsidRPr="00AB4521" w:rsidRDefault="00BC3250" w:rsidP="00A27FB1">
            <w:pPr>
              <w:pStyle w:val="TableText0"/>
              <w:ind w:left="86" w:right="86"/>
              <w:jc w:val="center"/>
              <w:rPr>
                <w:lang w:val="es-ES_tradnl"/>
              </w:rPr>
            </w:pPr>
            <w:r w:rsidRPr="001D2A9C">
              <w:rPr>
                <w:lang w:val="es-ES_tradnl"/>
              </w:rPr>
              <w:t>Separación entre canales adyacentes,</w:t>
            </w:r>
            <w:r w:rsidRPr="001D2A9C">
              <w:rPr>
                <w:lang w:val="es-ES_tradnl"/>
              </w:rPr>
              <w:br/>
            </w:r>
            <w:r w:rsidRPr="001D2A9C">
              <w:rPr>
                <w:i/>
                <w:lang w:val="es-ES_tradnl"/>
              </w:rPr>
              <w:t>B</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ind w:left="86" w:right="86"/>
              <w:jc w:val="center"/>
            </w:pPr>
            <w:proofErr w:type="spellStart"/>
            <w:r>
              <w:t>Número</w:t>
            </w:r>
            <w:proofErr w:type="spellEnd"/>
            <w:r>
              <w:t xml:space="preserve"> de </w:t>
            </w:r>
            <w:proofErr w:type="spellStart"/>
            <w:r>
              <w:t>canales</w:t>
            </w:r>
            <w:proofErr w:type="spellEnd"/>
            <w:r>
              <w:t>,</w:t>
            </w:r>
            <w:r>
              <w:br/>
            </w:r>
            <w:r>
              <w:rPr>
                <w:i/>
              </w:rPr>
              <w:t>A</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rPr>
                <w:i/>
              </w:rPr>
              <w:t>A</w:t>
            </w:r>
            <w:r w:rsidRPr="002E6011">
              <w:t>/</w:t>
            </w:r>
            <w:r>
              <w:rPr>
                <w:i/>
              </w:rPr>
              <w:t>B</w:t>
            </w:r>
            <w:r>
              <w:rPr>
                <w:position w:val="6"/>
                <w:sz w:val="14"/>
              </w:rPr>
              <w:t>(1)</w:t>
            </w:r>
            <w:r>
              <w:br/>
              <w:t>(</w:t>
            </w:r>
            <w:proofErr w:type="spellStart"/>
            <w:r>
              <w:t>canales</w:t>
            </w:r>
            <w:proofErr w:type="spellEnd"/>
            <w:r>
              <w:t>/kHz)</w:t>
            </w:r>
          </w:p>
        </w:tc>
      </w:tr>
      <w:tr w:rsidR="00BC3250" w:rsidTr="009B5FD1">
        <w:trPr>
          <w:cantSplit/>
          <w:jc w:val="center"/>
        </w:trPr>
        <w:tc>
          <w:tcPr>
            <w:tcW w:w="1134" w:type="dxa"/>
            <w:vMerge w:val="restart"/>
            <w:tcBorders>
              <w:top w:val="single" w:sz="6" w:space="0" w:color="auto"/>
              <w:left w:val="single" w:sz="6" w:space="0" w:color="auto"/>
              <w:right w:val="single" w:sz="6" w:space="0" w:color="auto"/>
            </w:tcBorders>
            <w:vAlign w:val="center"/>
          </w:tcPr>
          <w:p w:rsidR="00BC3250" w:rsidRDefault="00BC3250" w:rsidP="00A27FB1">
            <w:pPr>
              <w:pStyle w:val="TableText0"/>
              <w:spacing w:before="0"/>
              <w:jc w:val="center"/>
            </w:pPr>
            <w:proofErr w:type="spellStart"/>
            <w:r>
              <w:t>Transmisión</w:t>
            </w:r>
            <w:proofErr w:type="spellEnd"/>
            <w:r>
              <w:t xml:space="preserve"> </w:t>
            </w:r>
            <w:proofErr w:type="spellStart"/>
            <w:r>
              <w:t>analógica</w:t>
            </w:r>
            <w:proofErr w:type="spellEnd"/>
          </w:p>
        </w:tc>
        <w:tc>
          <w:tcPr>
            <w:tcW w:w="1304"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jc w:val="center"/>
            </w:pPr>
            <w:r>
              <w:t>MF</w:t>
            </w:r>
          </w:p>
        </w:tc>
        <w:tc>
          <w:tcPr>
            <w:tcW w:w="1304"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t>58 dB</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t>20 dB</w:t>
            </w:r>
          </w:p>
        </w:tc>
        <w:tc>
          <w:tcPr>
            <w:tcW w:w="1701"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t>38 dB</w:t>
            </w:r>
          </w:p>
        </w:tc>
        <w:tc>
          <w:tcPr>
            <w:tcW w:w="2836" w:type="dxa"/>
            <w:gridSpan w:val="2"/>
            <w:tcBorders>
              <w:top w:val="single" w:sz="6" w:space="0" w:color="auto"/>
              <w:left w:val="single" w:sz="6" w:space="0" w:color="auto"/>
              <w:bottom w:val="single" w:sz="6" w:space="0" w:color="auto"/>
              <w:right w:val="single" w:sz="6" w:space="0" w:color="auto"/>
            </w:tcBorders>
          </w:tcPr>
          <w:p w:rsidR="00BC3250" w:rsidRPr="00AB4521" w:rsidRDefault="00BC3250" w:rsidP="00A27FB1">
            <w:pPr>
              <w:pStyle w:val="TableText0"/>
              <w:ind w:left="86" w:right="86"/>
              <w:jc w:val="center"/>
              <w:rPr>
                <w:lang w:val="es-ES_tradnl"/>
              </w:rPr>
            </w:pPr>
            <w:r w:rsidRPr="001D2A9C">
              <w:rPr>
                <w:lang w:val="es-ES_tradnl"/>
              </w:rPr>
              <w:t xml:space="preserve">Excursión de frecuencia para el tono de prueba: 100 kHz </w:t>
            </w:r>
            <w:proofErr w:type="spellStart"/>
            <w:r w:rsidRPr="001D2A9C">
              <w:rPr>
                <w:lang w:val="es-ES_tradnl"/>
              </w:rPr>
              <w:t>r.m.s</w:t>
            </w:r>
            <w:proofErr w:type="spellEnd"/>
            <w:r w:rsidRPr="001D2A9C">
              <w:rPr>
                <w:lang w:val="es-ES_tradnl"/>
              </w:rPr>
              <w:t>.</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t>520 kHz</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180"/>
              <w:ind w:left="86" w:right="86"/>
              <w:jc w:val="center"/>
            </w:pPr>
            <w:r>
              <w:t>0,046</w:t>
            </w:r>
          </w:p>
        </w:tc>
      </w:tr>
      <w:tr w:rsidR="00BC3250" w:rsidTr="009B5FD1">
        <w:trPr>
          <w:cantSplit/>
          <w:jc w:val="center"/>
        </w:trPr>
        <w:tc>
          <w:tcPr>
            <w:tcW w:w="1134" w:type="dxa"/>
            <w:vMerge/>
            <w:tcBorders>
              <w:left w:val="single" w:sz="6" w:space="0" w:color="auto"/>
              <w:bottom w:val="single" w:sz="6" w:space="0" w:color="auto"/>
              <w:right w:val="single" w:sz="6" w:space="0" w:color="auto"/>
            </w:tcBorders>
          </w:tcPr>
          <w:p w:rsidR="00BC3250" w:rsidRDefault="00BC3250" w:rsidP="00A27FB1">
            <w:pPr>
              <w:pStyle w:val="TableText0"/>
              <w:spacing w:before="0"/>
              <w:jc w:val="center"/>
            </w:pPr>
          </w:p>
        </w:tc>
        <w:tc>
          <w:tcPr>
            <w:tcW w:w="1304"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220"/>
              <w:jc w:val="center"/>
            </w:pPr>
            <w:r>
              <w:t>SSB</w:t>
            </w: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spacing w:before="220"/>
              <w:jc w:val="center"/>
            </w:pPr>
            <w:r>
              <w:br/>
              <w:t>58 dB</w:t>
            </w:r>
          </w:p>
        </w:tc>
        <w:tc>
          <w:tcPr>
            <w:tcW w:w="2552" w:type="dxa"/>
            <w:gridSpan w:val="2"/>
            <w:tcBorders>
              <w:top w:val="single" w:sz="6" w:space="0" w:color="auto"/>
              <w:left w:val="single" w:sz="6" w:space="0" w:color="auto"/>
              <w:bottom w:val="single" w:sz="6" w:space="0" w:color="auto"/>
              <w:right w:val="single" w:sz="6" w:space="0" w:color="auto"/>
            </w:tcBorders>
          </w:tcPr>
          <w:p w:rsidR="00BC3250" w:rsidRDefault="00BC3250" w:rsidP="00A27FB1">
            <w:pPr>
              <w:pStyle w:val="TableText0"/>
              <w:spacing w:before="220"/>
              <w:jc w:val="center"/>
            </w:pPr>
            <w:r>
              <w:br/>
              <w:t>9,5 dB</w:t>
            </w:r>
          </w:p>
        </w:tc>
        <w:tc>
          <w:tcPr>
            <w:tcW w:w="1701"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220"/>
              <w:jc w:val="center"/>
            </w:pPr>
            <w:r>
              <w:t>48,5 dB</w:t>
            </w:r>
          </w:p>
        </w:tc>
        <w:tc>
          <w:tcPr>
            <w:tcW w:w="2836" w:type="dxa"/>
            <w:gridSpan w:val="2"/>
            <w:tcBorders>
              <w:top w:val="single" w:sz="6" w:space="0" w:color="auto"/>
              <w:left w:val="single" w:sz="6" w:space="0" w:color="auto"/>
              <w:bottom w:val="single" w:sz="6" w:space="0" w:color="auto"/>
              <w:right w:val="single" w:sz="6" w:space="0" w:color="auto"/>
            </w:tcBorders>
          </w:tcPr>
          <w:p w:rsidR="00BC3250" w:rsidRPr="00AB4521" w:rsidRDefault="00BC3250" w:rsidP="00A27FB1">
            <w:pPr>
              <w:pStyle w:val="TableText0"/>
              <w:ind w:left="86" w:right="86"/>
              <w:jc w:val="center"/>
              <w:rPr>
                <w:lang w:val="es-ES_tradnl"/>
              </w:rPr>
            </w:pPr>
            <w:r w:rsidRPr="001D2A9C">
              <w:rPr>
                <w:lang w:val="es-ES_tradnl"/>
              </w:rPr>
              <w:t>Frecuencia límite superior de</w:t>
            </w:r>
            <w:r w:rsidRPr="001D2A9C">
              <w:rPr>
                <w:lang w:val="es-ES_tradnl"/>
              </w:rPr>
              <w:br/>
              <w:t>la banda de base: 108 kHz</w:t>
            </w:r>
            <w:r w:rsidRPr="001D2A9C">
              <w:rPr>
                <w:lang w:val="es-ES_tradnl"/>
              </w:rPr>
              <w:br/>
              <w:t xml:space="preserve">Coeficientes del filtro: </w:t>
            </w:r>
            <w:r>
              <w:rPr>
                <w:rFonts w:ascii="Symbol" w:hAnsi="Symbol"/>
              </w:rPr>
              <w:t></w:t>
            </w:r>
            <w:r w:rsidRPr="001D2A9C">
              <w:rPr>
                <w:lang w:val="es-ES_tradnl"/>
              </w:rPr>
              <w:t xml:space="preserve">  2</w:t>
            </w:r>
            <w:r w:rsidRPr="001D2A9C">
              <w:rPr>
                <w:lang w:val="es-ES_tradnl"/>
              </w:rPr>
              <w:br/>
              <w:t>Tolerancia de frecuencias: 20 kHz</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220"/>
              <w:jc w:val="center"/>
            </w:pPr>
            <w:r>
              <w:t>236 kHz</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220"/>
              <w:jc w:val="center"/>
            </w:pPr>
            <w:r>
              <w:t>24</w:t>
            </w:r>
          </w:p>
        </w:tc>
        <w:tc>
          <w:tcPr>
            <w:tcW w:w="1333" w:type="dxa"/>
            <w:tcBorders>
              <w:top w:val="single" w:sz="6" w:space="0" w:color="auto"/>
              <w:left w:val="single" w:sz="6" w:space="0" w:color="auto"/>
              <w:bottom w:val="single" w:sz="6" w:space="0" w:color="auto"/>
              <w:right w:val="single" w:sz="6" w:space="0" w:color="auto"/>
            </w:tcBorders>
            <w:vAlign w:val="center"/>
          </w:tcPr>
          <w:p w:rsidR="00BC3250" w:rsidRDefault="00BC3250" w:rsidP="00A27FB1">
            <w:pPr>
              <w:pStyle w:val="TableText0"/>
              <w:spacing w:before="220"/>
              <w:jc w:val="center"/>
            </w:pPr>
            <w:r>
              <w:t>0.1</w:t>
            </w:r>
          </w:p>
        </w:tc>
      </w:tr>
      <w:tr w:rsidR="00BC3250" w:rsidTr="009B5FD1">
        <w:trPr>
          <w:cantSplit/>
          <w:jc w:val="center"/>
        </w:trPr>
        <w:tc>
          <w:tcPr>
            <w:tcW w:w="1134" w:type="dxa"/>
            <w:tcBorders>
              <w:top w:val="single" w:sz="6" w:space="0" w:color="auto"/>
              <w:left w:val="single" w:sz="6" w:space="0" w:color="auto"/>
              <w:right w:val="single" w:sz="6" w:space="0" w:color="auto"/>
            </w:tcBorders>
          </w:tcPr>
          <w:p w:rsidR="00BC3250" w:rsidRDefault="00BC3250" w:rsidP="00A27FB1">
            <w:pPr>
              <w:pStyle w:val="TableText0"/>
              <w:jc w:val="center"/>
            </w:pPr>
          </w:p>
        </w:tc>
        <w:tc>
          <w:tcPr>
            <w:tcW w:w="1304" w:type="dxa"/>
            <w:tcBorders>
              <w:top w:val="single" w:sz="6" w:space="0" w:color="auto"/>
              <w:left w:val="single" w:sz="6" w:space="0" w:color="auto"/>
              <w:right w:val="single" w:sz="6" w:space="0" w:color="auto"/>
            </w:tcBorders>
          </w:tcPr>
          <w:p w:rsidR="00BC3250" w:rsidRDefault="00BC3250" w:rsidP="00A27FB1">
            <w:pPr>
              <w:pStyle w:val="TableText0"/>
              <w:jc w:val="center"/>
            </w:pPr>
          </w:p>
        </w:tc>
        <w:tc>
          <w:tcPr>
            <w:tcW w:w="1304" w:type="dxa"/>
            <w:tcBorders>
              <w:top w:val="single" w:sz="6" w:space="0" w:color="auto"/>
              <w:left w:val="single" w:sz="6" w:space="0" w:color="auto"/>
              <w:right w:val="single" w:sz="6" w:space="0" w:color="auto"/>
            </w:tcBorders>
          </w:tcPr>
          <w:p w:rsidR="00BC3250" w:rsidRDefault="00BC3250" w:rsidP="00A27FB1">
            <w:pPr>
              <w:pStyle w:val="TableText0"/>
              <w:ind w:left="86" w:right="86"/>
              <w:jc w:val="center"/>
            </w:pPr>
          </w:p>
        </w:tc>
        <w:tc>
          <w:tcPr>
            <w:tcW w:w="1276" w:type="dxa"/>
            <w:tcBorders>
              <w:top w:val="single" w:sz="6" w:space="0" w:color="auto"/>
              <w:left w:val="single" w:sz="6" w:space="0" w:color="auto"/>
              <w:bottom w:val="single" w:sz="6" w:space="0" w:color="auto"/>
              <w:right w:val="single" w:sz="6" w:space="0" w:color="auto"/>
            </w:tcBorders>
            <w:vAlign w:val="center"/>
          </w:tcPr>
          <w:p w:rsidR="00BC3250" w:rsidRDefault="00BC3250" w:rsidP="009B5FD1">
            <w:pPr>
              <w:pStyle w:val="TableText0"/>
              <w:ind w:left="86" w:right="86"/>
              <w:jc w:val="center"/>
            </w:pPr>
            <w:r>
              <w:rPr>
                <w:i/>
              </w:rPr>
              <w:t>(C/N)</w:t>
            </w:r>
          </w:p>
        </w:tc>
        <w:tc>
          <w:tcPr>
            <w:tcW w:w="1276" w:type="dxa"/>
            <w:tcBorders>
              <w:top w:val="single" w:sz="6" w:space="0" w:color="auto"/>
              <w:left w:val="single" w:sz="6" w:space="0" w:color="auto"/>
              <w:bottom w:val="single" w:sz="6" w:space="0" w:color="auto"/>
              <w:right w:val="single" w:sz="6" w:space="0" w:color="auto"/>
            </w:tcBorders>
            <w:vAlign w:val="center"/>
          </w:tcPr>
          <w:p w:rsidR="00BC3250" w:rsidRDefault="00BC3250" w:rsidP="009B5FD1">
            <w:pPr>
              <w:pStyle w:val="TableText0"/>
              <w:ind w:left="86" w:right="86"/>
              <w:jc w:val="center"/>
            </w:pPr>
            <w:r>
              <w:t>(</w:t>
            </w:r>
            <w:proofErr w:type="spellStart"/>
            <w:r>
              <w:t>Degradación</w:t>
            </w:r>
            <w:proofErr w:type="spellEnd"/>
            <w:r>
              <w:t>)</w:t>
            </w:r>
          </w:p>
        </w:tc>
        <w:tc>
          <w:tcPr>
            <w:tcW w:w="1701" w:type="dxa"/>
            <w:tcBorders>
              <w:top w:val="single" w:sz="6" w:space="0" w:color="auto"/>
              <w:left w:val="single" w:sz="6" w:space="0" w:color="auto"/>
              <w:right w:val="single" w:sz="6" w:space="0" w:color="auto"/>
            </w:tcBorders>
          </w:tcPr>
          <w:p w:rsidR="00BC3250" w:rsidRDefault="00BC3250" w:rsidP="00A27FB1">
            <w:pPr>
              <w:pStyle w:val="TableText0"/>
              <w:ind w:left="86" w:right="86"/>
              <w:jc w:val="center"/>
            </w:pP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proofErr w:type="spellStart"/>
            <w:r>
              <w:t>Frecuencia</w:t>
            </w:r>
            <w:proofErr w:type="spellEnd"/>
            <w:r>
              <w:br/>
              <w:t xml:space="preserve">de </w:t>
            </w:r>
            <w:proofErr w:type="spellStart"/>
            <w:r>
              <w:t>reloj</w:t>
            </w:r>
            <w:proofErr w:type="spellEnd"/>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proofErr w:type="spellStart"/>
            <w:r>
              <w:t>Frecuencia</w:t>
            </w:r>
            <w:proofErr w:type="spellEnd"/>
            <w:r>
              <w:br/>
              <w:t xml:space="preserve">de </w:t>
            </w:r>
            <w:proofErr w:type="spellStart"/>
            <w:r>
              <w:t>reloj</w:t>
            </w:r>
            <w:proofErr w:type="spellEnd"/>
          </w:p>
        </w:tc>
        <w:tc>
          <w:tcPr>
            <w:tcW w:w="1333" w:type="dxa"/>
            <w:tcBorders>
              <w:top w:val="single" w:sz="6" w:space="0" w:color="auto"/>
              <w:left w:val="single" w:sz="6" w:space="0" w:color="auto"/>
              <w:right w:val="single" w:sz="6" w:space="0" w:color="auto"/>
            </w:tcBorders>
          </w:tcPr>
          <w:p w:rsidR="00BC3250" w:rsidRDefault="00BC3250" w:rsidP="00A27FB1">
            <w:pPr>
              <w:pStyle w:val="TableText0"/>
              <w:ind w:left="86" w:right="86"/>
              <w:jc w:val="center"/>
            </w:pPr>
          </w:p>
        </w:tc>
        <w:tc>
          <w:tcPr>
            <w:tcW w:w="1333" w:type="dxa"/>
            <w:tcBorders>
              <w:top w:val="single" w:sz="6" w:space="0" w:color="auto"/>
              <w:left w:val="single" w:sz="6" w:space="0" w:color="auto"/>
              <w:right w:val="single" w:sz="6" w:space="0" w:color="auto"/>
            </w:tcBorders>
          </w:tcPr>
          <w:p w:rsidR="00BC3250" w:rsidRDefault="00BC3250" w:rsidP="00A27FB1">
            <w:pPr>
              <w:pStyle w:val="TableText0"/>
              <w:ind w:left="86" w:right="86"/>
              <w:jc w:val="center"/>
            </w:pPr>
          </w:p>
        </w:tc>
        <w:tc>
          <w:tcPr>
            <w:tcW w:w="1333" w:type="dxa"/>
            <w:tcBorders>
              <w:top w:val="single" w:sz="6" w:space="0" w:color="auto"/>
              <w:left w:val="single" w:sz="6" w:space="0" w:color="auto"/>
              <w:right w:val="single" w:sz="6" w:space="0" w:color="auto"/>
            </w:tcBorders>
          </w:tcPr>
          <w:p w:rsidR="00BC3250" w:rsidRDefault="00BC3250" w:rsidP="00A27FB1">
            <w:pPr>
              <w:pStyle w:val="TableText0"/>
              <w:ind w:left="86" w:right="86"/>
              <w:jc w:val="center"/>
            </w:pPr>
          </w:p>
        </w:tc>
      </w:tr>
      <w:tr w:rsidR="00BC3250" w:rsidTr="009B5FD1">
        <w:trPr>
          <w:cantSplit/>
          <w:jc w:val="center"/>
        </w:trPr>
        <w:tc>
          <w:tcPr>
            <w:tcW w:w="1134" w:type="dxa"/>
            <w:tcBorders>
              <w:left w:val="single" w:sz="6" w:space="0" w:color="auto"/>
              <w:right w:val="single" w:sz="6" w:space="0" w:color="auto"/>
            </w:tcBorders>
          </w:tcPr>
          <w:p w:rsidR="00BC3250" w:rsidRDefault="00BC3250" w:rsidP="00A27FB1">
            <w:pPr>
              <w:pStyle w:val="TableText0"/>
              <w:jc w:val="center"/>
            </w:pPr>
          </w:p>
        </w:tc>
        <w:tc>
          <w:tcPr>
            <w:tcW w:w="1304" w:type="dxa"/>
            <w:tcBorders>
              <w:left w:val="single" w:sz="6" w:space="0" w:color="auto"/>
              <w:bottom w:val="single" w:sz="6" w:space="0" w:color="auto"/>
              <w:right w:val="single" w:sz="6" w:space="0" w:color="auto"/>
            </w:tcBorders>
          </w:tcPr>
          <w:p w:rsidR="00BC3250" w:rsidRDefault="00BC3250" w:rsidP="00A27FB1">
            <w:pPr>
              <w:pStyle w:val="TableText0"/>
              <w:jc w:val="center"/>
            </w:pPr>
            <w:r>
              <w:t>MDP-2</w:t>
            </w:r>
          </w:p>
        </w:tc>
        <w:tc>
          <w:tcPr>
            <w:tcW w:w="1304" w:type="dxa"/>
            <w:tcBorders>
              <w:left w:val="single" w:sz="6" w:space="0" w:color="auto"/>
              <w:bottom w:val="single" w:sz="6" w:space="0" w:color="auto"/>
              <w:right w:val="single" w:sz="6" w:space="0" w:color="auto"/>
            </w:tcBorders>
          </w:tcPr>
          <w:p w:rsidR="00BC3250" w:rsidRDefault="00BC3250" w:rsidP="00A27FB1">
            <w:pPr>
              <w:pStyle w:val="TableText0"/>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10,7 dB</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5,5 dB</w:t>
            </w:r>
          </w:p>
        </w:tc>
        <w:tc>
          <w:tcPr>
            <w:tcW w:w="1701" w:type="dxa"/>
            <w:tcBorders>
              <w:left w:val="single" w:sz="6" w:space="0" w:color="auto"/>
              <w:bottom w:val="single" w:sz="6" w:space="0" w:color="auto"/>
              <w:right w:val="single" w:sz="6" w:space="0" w:color="auto"/>
            </w:tcBorders>
          </w:tcPr>
          <w:p w:rsidR="00BC3250" w:rsidRDefault="00BC3250" w:rsidP="00A27FB1">
            <w:pPr>
              <w:pStyle w:val="TableText0"/>
              <w:ind w:left="86" w:right="86"/>
              <w:jc w:val="center"/>
            </w:pPr>
            <w:r>
              <w:t>16,2 dB</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w:t>
            </w:r>
            <w:r>
              <w:rPr>
                <w:sz w:val="8"/>
              </w:rPr>
              <w:t> </w:t>
            </w:r>
            <w:r>
              <w:t>544 kHz</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rFonts w:ascii="Symbol" w:hAnsi="Symbol"/>
              </w:rPr>
              <w:t></w:t>
            </w:r>
            <w:r>
              <w:t xml:space="preserve">  1,3</w:t>
            </w:r>
          </w:p>
        </w:tc>
        <w:tc>
          <w:tcPr>
            <w:tcW w:w="1333" w:type="dxa"/>
            <w:tcBorders>
              <w:left w:val="single" w:sz="6" w:space="0" w:color="auto"/>
              <w:bottom w:val="single" w:sz="6" w:space="0" w:color="auto"/>
              <w:right w:val="single" w:sz="6" w:space="0" w:color="auto"/>
            </w:tcBorders>
          </w:tcPr>
          <w:p w:rsidR="00BC3250" w:rsidRDefault="00BC3250" w:rsidP="00A27FB1">
            <w:pPr>
              <w:pStyle w:val="TableText0"/>
              <w:ind w:left="86" w:right="86"/>
              <w:jc w:val="center"/>
            </w:pPr>
            <w:r>
              <w:t>2</w:t>
            </w:r>
            <w:r>
              <w:rPr>
                <w:color w:val="FFFFFF"/>
              </w:rPr>
              <w:t>,</w:t>
            </w:r>
            <w:r>
              <w:rPr>
                <w:color w:val="FFFFFF"/>
              </w:rPr>
              <w:t> </w:t>
            </w:r>
            <w:r>
              <w:rPr>
                <w:color w:val="FFFFFF"/>
              </w:rPr>
              <w:t> </w:t>
            </w:r>
            <w:r>
              <w:t xml:space="preserve"> MHz</w:t>
            </w:r>
          </w:p>
        </w:tc>
        <w:tc>
          <w:tcPr>
            <w:tcW w:w="1333" w:type="dxa"/>
            <w:tcBorders>
              <w:left w:val="single" w:sz="6" w:space="0" w:color="auto"/>
              <w:bottom w:val="single" w:sz="6" w:space="0" w:color="auto"/>
              <w:right w:val="single" w:sz="6" w:space="0" w:color="auto"/>
            </w:tcBorders>
          </w:tcPr>
          <w:p w:rsidR="00BC3250" w:rsidRDefault="00BC3250" w:rsidP="00A27FB1">
            <w:pPr>
              <w:pStyle w:val="TableText0"/>
              <w:ind w:left="86" w:right="86"/>
              <w:jc w:val="center"/>
            </w:pPr>
            <w:r>
              <w:t>24</w:t>
            </w:r>
          </w:p>
        </w:tc>
        <w:tc>
          <w:tcPr>
            <w:tcW w:w="1333" w:type="dxa"/>
            <w:tcBorders>
              <w:left w:val="single" w:sz="6" w:space="0" w:color="auto"/>
              <w:bottom w:val="single" w:sz="6" w:space="0" w:color="auto"/>
              <w:right w:val="single" w:sz="6" w:space="0" w:color="auto"/>
            </w:tcBorders>
          </w:tcPr>
          <w:p w:rsidR="00BC3250" w:rsidRDefault="00BC3250" w:rsidP="00A27FB1">
            <w:pPr>
              <w:pStyle w:val="TableText0"/>
              <w:ind w:left="86" w:right="86"/>
              <w:jc w:val="center"/>
            </w:pPr>
            <w:r>
              <w:t>0,012</w:t>
            </w:r>
          </w:p>
        </w:tc>
      </w:tr>
      <w:tr w:rsidR="00BC3250" w:rsidTr="009B5FD1">
        <w:trPr>
          <w:cantSplit/>
          <w:jc w:val="center"/>
        </w:trPr>
        <w:tc>
          <w:tcPr>
            <w:tcW w:w="1134" w:type="dxa"/>
            <w:vMerge w:val="restart"/>
            <w:tcBorders>
              <w:left w:val="single" w:sz="6" w:space="0" w:color="auto"/>
              <w:right w:val="single" w:sz="6" w:space="0" w:color="auto"/>
            </w:tcBorders>
          </w:tcPr>
          <w:p w:rsidR="00BC3250" w:rsidRDefault="00BC3250" w:rsidP="00A27FB1">
            <w:pPr>
              <w:pStyle w:val="TableText0"/>
              <w:spacing w:before="180" w:after="0"/>
              <w:jc w:val="center"/>
            </w:pPr>
            <w:proofErr w:type="spellStart"/>
            <w:r>
              <w:t>Transmisión</w:t>
            </w:r>
            <w:proofErr w:type="spellEnd"/>
            <w:r>
              <w:t xml:space="preserve"> digital</w:t>
            </w: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jc w:val="center"/>
            </w:pPr>
            <w:r>
              <w:t>MDP-4</w:t>
            </w: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13,7 dB</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19,2 dB</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color w:val="FFFFFF"/>
                <w:lang w:val="fr-FR"/>
              </w:rPr>
              <w:t> </w:t>
            </w:r>
            <w:r>
              <w:rPr>
                <w:sz w:val="8"/>
                <w:lang w:val="fr-FR"/>
              </w:rPr>
              <w:t> </w:t>
            </w:r>
            <w:r>
              <w:t>772 kHz</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rFonts w:ascii="Symbol" w:hAnsi="Symbol"/>
              </w:rPr>
              <w:t></w:t>
            </w:r>
            <w:r>
              <w:t xml:space="preserve">  1,4</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1,1</w:t>
            </w:r>
            <w:r>
              <w:rPr>
                <w:color w:val="FFFFFF"/>
              </w:rPr>
              <w:t> </w:t>
            </w:r>
            <w:r>
              <w:t xml:space="preserve"> MHz</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0,022</w:t>
            </w:r>
          </w:p>
        </w:tc>
      </w:tr>
      <w:tr w:rsidR="00BC3250" w:rsidTr="009B5FD1">
        <w:trPr>
          <w:cantSplit/>
          <w:jc w:val="center"/>
        </w:trPr>
        <w:tc>
          <w:tcPr>
            <w:tcW w:w="1134" w:type="dxa"/>
            <w:vMerge/>
            <w:tcBorders>
              <w:left w:val="single" w:sz="6" w:space="0" w:color="auto"/>
              <w:right w:val="single" w:sz="6" w:space="0" w:color="auto"/>
            </w:tcBorders>
          </w:tcPr>
          <w:p w:rsidR="00BC3250" w:rsidRDefault="00BC3250" w:rsidP="00A27FB1">
            <w:pPr>
              <w:pStyle w:val="TableText0"/>
              <w:spacing w:before="0"/>
              <w:jc w:val="center"/>
            </w:pP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jc w:val="center"/>
            </w:pPr>
            <w:r>
              <w:t>MDP-8</w:t>
            </w: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19,1 dB</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24,6 dB</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color w:val="FFFFFF"/>
                <w:lang w:val="fr-FR"/>
              </w:rPr>
              <w:t> </w:t>
            </w:r>
            <w:r>
              <w:rPr>
                <w:sz w:val="8"/>
                <w:lang w:val="fr-FR"/>
              </w:rPr>
              <w:t> </w:t>
            </w:r>
            <w:r>
              <w:t>515 kHz</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rFonts w:ascii="Symbol" w:hAnsi="Symbol"/>
              </w:rPr>
              <w:t></w:t>
            </w:r>
            <w:r>
              <w:t xml:space="preserve">  1,5</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0,77 MHz</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0,031</w:t>
            </w:r>
          </w:p>
        </w:tc>
      </w:tr>
      <w:tr w:rsidR="00BC3250" w:rsidTr="009B5FD1">
        <w:trPr>
          <w:cantSplit/>
          <w:jc w:val="center"/>
        </w:trPr>
        <w:tc>
          <w:tcPr>
            <w:tcW w:w="1134" w:type="dxa"/>
            <w:tcBorders>
              <w:left w:val="single" w:sz="6" w:space="0" w:color="auto"/>
              <w:right w:val="single" w:sz="6" w:space="0" w:color="auto"/>
            </w:tcBorders>
          </w:tcPr>
          <w:p w:rsidR="00BC3250" w:rsidRDefault="00BC3250" w:rsidP="00A27FB1">
            <w:pPr>
              <w:pStyle w:val="TableText0"/>
              <w:jc w:val="center"/>
            </w:pP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jc w:val="center"/>
            </w:pPr>
            <w:r>
              <w:t>QPRS</w:t>
            </w: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16,8 dB</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22,3 dB</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color w:val="FFFFFF"/>
                <w:lang w:val="fr-FR"/>
              </w:rPr>
              <w:t> </w:t>
            </w:r>
            <w:r>
              <w:rPr>
                <w:sz w:val="8"/>
                <w:lang w:val="fr-FR"/>
              </w:rPr>
              <w:t> </w:t>
            </w:r>
            <w:r>
              <w:t>722 kHz</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rFonts w:ascii="Symbol" w:hAnsi="Symbol"/>
              </w:rPr>
              <w:t></w:t>
            </w:r>
            <w:r>
              <w:t xml:space="preserve">  1,1</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0,85 MHz</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0,028</w:t>
            </w:r>
          </w:p>
        </w:tc>
      </w:tr>
      <w:tr w:rsidR="00BC3250" w:rsidTr="009B5FD1">
        <w:trPr>
          <w:cantSplit/>
          <w:jc w:val="center"/>
        </w:trPr>
        <w:tc>
          <w:tcPr>
            <w:tcW w:w="1134" w:type="dxa"/>
            <w:tcBorders>
              <w:left w:val="single" w:sz="6" w:space="0" w:color="auto"/>
              <w:bottom w:val="single" w:sz="6" w:space="0" w:color="auto"/>
              <w:right w:val="single" w:sz="6" w:space="0" w:color="auto"/>
            </w:tcBorders>
          </w:tcPr>
          <w:p w:rsidR="00BC3250" w:rsidRDefault="00BC3250" w:rsidP="00A27FB1">
            <w:pPr>
              <w:pStyle w:val="TableText0"/>
              <w:jc w:val="center"/>
            </w:pP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jc w:val="center"/>
            </w:pPr>
            <w:r>
              <w:t>MAQ-16</w:t>
            </w:r>
          </w:p>
        </w:tc>
        <w:tc>
          <w:tcPr>
            <w:tcW w:w="1304"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21,4 dB</w:t>
            </w:r>
          </w:p>
        </w:tc>
        <w:tc>
          <w:tcPr>
            <w:tcW w:w="1276"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26,9 dB</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color w:val="FFFFFF"/>
                <w:lang w:val="fr-FR"/>
              </w:rPr>
              <w:t> </w:t>
            </w:r>
            <w:r>
              <w:rPr>
                <w:sz w:val="8"/>
                <w:lang w:val="fr-FR"/>
              </w:rPr>
              <w:t> </w:t>
            </w:r>
            <w:r>
              <w:t>386 kHz</w:t>
            </w:r>
          </w:p>
        </w:tc>
        <w:tc>
          <w:tcPr>
            <w:tcW w:w="1418"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rPr>
                <w:rFonts w:ascii="Symbol" w:hAnsi="Symbol"/>
              </w:rPr>
              <w:t></w:t>
            </w:r>
            <w:r>
              <w:t xml:space="preserve">  1,6</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0,62 MHz</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BC3250" w:rsidRDefault="00BC3250" w:rsidP="00A27FB1">
            <w:pPr>
              <w:pStyle w:val="TableText0"/>
              <w:ind w:left="86" w:right="86"/>
              <w:jc w:val="center"/>
            </w:pPr>
            <w:r>
              <w:t>0,039</w:t>
            </w:r>
          </w:p>
        </w:tc>
      </w:tr>
      <w:tr w:rsidR="00256167" w:rsidRPr="00AC38FC" w:rsidTr="009B5FD1">
        <w:trPr>
          <w:cantSplit/>
          <w:jc w:val="center"/>
        </w:trPr>
        <w:tc>
          <w:tcPr>
            <w:tcW w:w="14830" w:type="dxa"/>
            <w:gridSpan w:val="11"/>
            <w:tcBorders>
              <w:top w:val="single" w:sz="6" w:space="0" w:color="auto"/>
            </w:tcBorders>
          </w:tcPr>
          <w:p w:rsidR="00256167" w:rsidRPr="001D2A9C" w:rsidRDefault="00256167" w:rsidP="001A7910">
            <w:pPr>
              <w:pStyle w:val="TableLegend0"/>
              <w:tabs>
                <w:tab w:val="clear" w:pos="794"/>
                <w:tab w:val="clear" w:pos="1191"/>
                <w:tab w:val="clear" w:pos="1588"/>
                <w:tab w:val="clear" w:pos="1985"/>
                <w:tab w:val="left" w:pos="284"/>
              </w:tabs>
              <w:ind w:left="0" w:right="0"/>
              <w:rPr>
                <w:lang w:val="es-ES_tradnl"/>
              </w:rPr>
            </w:pPr>
            <w:r w:rsidRPr="001D2A9C">
              <w:rPr>
                <w:position w:val="6"/>
                <w:sz w:val="14"/>
                <w:lang w:val="es-ES_tradnl"/>
              </w:rPr>
              <w:t>(1)</w:t>
            </w:r>
            <w:r w:rsidRPr="001D2A9C">
              <w:rPr>
                <w:lang w:val="es-ES_tradnl"/>
              </w:rPr>
              <w:tab/>
              <w:t>Eficacia propia de cada tipo de modulación.</w:t>
            </w:r>
          </w:p>
          <w:p w:rsidR="00256167" w:rsidRPr="001D2A9C" w:rsidRDefault="00256167" w:rsidP="001A7910">
            <w:pPr>
              <w:pStyle w:val="TableLegend0"/>
              <w:tabs>
                <w:tab w:val="clear" w:pos="794"/>
                <w:tab w:val="clear" w:pos="1191"/>
                <w:tab w:val="clear" w:pos="1588"/>
                <w:tab w:val="clear" w:pos="1985"/>
                <w:tab w:val="left" w:pos="709"/>
              </w:tabs>
              <w:ind w:left="0" w:right="0"/>
              <w:rPr>
                <w:lang w:val="es-ES_tradnl"/>
              </w:rPr>
            </w:pPr>
            <w:r w:rsidRPr="001D2A9C">
              <w:rPr>
                <w:lang w:val="es-ES_tradnl"/>
              </w:rPr>
              <w:t>QPRS:</w:t>
            </w:r>
            <w:r w:rsidRPr="001D2A9C">
              <w:rPr>
                <w:lang w:val="es-ES_tradnl"/>
              </w:rPr>
              <w:tab/>
              <w:t>sistema en cuadratura de respuesta parcial.</w:t>
            </w:r>
          </w:p>
          <w:p w:rsidR="00256167" w:rsidRPr="001D2A9C" w:rsidRDefault="00256167" w:rsidP="001A7910">
            <w:pPr>
              <w:pStyle w:val="TableLegend0"/>
              <w:spacing w:before="240"/>
              <w:ind w:left="0" w:right="0"/>
              <w:rPr>
                <w:lang w:val="es-ES_tradnl"/>
              </w:rPr>
            </w:pPr>
            <w:r w:rsidRPr="001D2A9C">
              <w:rPr>
                <w:i/>
                <w:lang w:val="es-ES_tradnl"/>
              </w:rPr>
              <w:t>Hipótesis:</w:t>
            </w:r>
          </w:p>
          <w:p w:rsidR="00256167" w:rsidRPr="001D2A9C" w:rsidRDefault="00256167" w:rsidP="001A7910">
            <w:pPr>
              <w:pStyle w:val="TableLegend0"/>
              <w:tabs>
                <w:tab w:val="clear" w:pos="794"/>
                <w:tab w:val="left" w:pos="426"/>
              </w:tabs>
              <w:ind w:left="425" w:right="0" w:hanging="425"/>
              <w:rPr>
                <w:lang w:val="es-ES_tradnl"/>
              </w:rPr>
            </w:pPr>
            <w:r w:rsidRPr="001D2A9C">
              <w:rPr>
                <w:lang w:val="es-ES_tradnl"/>
              </w:rPr>
              <w:t>–</w:t>
            </w:r>
            <w:r w:rsidRPr="001D2A9C">
              <w:rPr>
                <w:lang w:val="es-ES_tradnl"/>
              </w:rPr>
              <w:tab/>
              <w:t>Valores de interferencia admisible y EUE para cada tipo de modulación como los indicados en el Cuadro 1. Se atribuye a la interferencia el 80% del ruido total del circuito.</w:t>
            </w:r>
          </w:p>
          <w:p w:rsidR="00256167" w:rsidRPr="001D2A9C" w:rsidRDefault="00256167" w:rsidP="001A7910">
            <w:pPr>
              <w:pStyle w:val="TableLegend0"/>
              <w:tabs>
                <w:tab w:val="clear" w:pos="794"/>
                <w:tab w:val="left" w:pos="426"/>
              </w:tabs>
              <w:ind w:left="425" w:right="0" w:hanging="425"/>
              <w:rPr>
                <w:lang w:val="es-ES_tradnl"/>
              </w:rPr>
            </w:pPr>
            <w:r w:rsidRPr="001D2A9C">
              <w:rPr>
                <w:lang w:val="es-ES_tradnl"/>
              </w:rPr>
              <w:t>–</w:t>
            </w:r>
            <w:r w:rsidRPr="001D2A9C">
              <w:rPr>
                <w:lang w:val="es-ES_tradnl"/>
              </w:rPr>
              <w:tab/>
              <w:t>Se supone que las distancias entre la estación que experimenta la interferencia (estación Y) y las estaciones interferentes son todas iguales. Se admite que esta hipótesis produce un pequeño error en los cálculos de eficacia, ya que las pérdidas, en condiciones de espacio libre, de los dos enlaces difieren solamente en 6 dB, aun cuando sus longitudes difieran en un factor de dos.</w:t>
            </w:r>
          </w:p>
          <w:p w:rsidR="00256167" w:rsidRPr="001D2A9C" w:rsidRDefault="00256167" w:rsidP="001A7910">
            <w:pPr>
              <w:pStyle w:val="TableLegend0"/>
              <w:tabs>
                <w:tab w:val="clear" w:pos="794"/>
                <w:tab w:val="left" w:pos="426"/>
              </w:tabs>
              <w:ind w:left="0" w:right="0"/>
              <w:rPr>
                <w:lang w:val="es-ES_tradnl"/>
              </w:rPr>
            </w:pPr>
            <w:r w:rsidRPr="001D2A9C">
              <w:rPr>
                <w:lang w:val="es-ES_tradnl"/>
              </w:rPr>
              <w:t>–</w:t>
            </w:r>
            <w:r w:rsidRPr="001D2A9C">
              <w:rPr>
                <w:lang w:val="es-ES_tradnl"/>
              </w:rPr>
              <w:tab/>
              <w:t>Se supone que los desvanecimientos de la señal deseada y de las señales interferentes no están relacionados.</w:t>
            </w:r>
          </w:p>
          <w:p w:rsidR="00256167" w:rsidRPr="001D2A9C" w:rsidRDefault="00256167" w:rsidP="001A7910">
            <w:pPr>
              <w:pStyle w:val="TableLegend0"/>
              <w:tabs>
                <w:tab w:val="clear" w:pos="794"/>
                <w:tab w:val="left" w:pos="426"/>
              </w:tabs>
              <w:ind w:left="0" w:right="0"/>
              <w:rPr>
                <w:lang w:val="es-ES_tradnl"/>
              </w:rPr>
            </w:pPr>
            <w:r w:rsidRPr="001D2A9C">
              <w:rPr>
                <w:lang w:val="es-ES_tradnl"/>
              </w:rPr>
              <w:t>–</w:t>
            </w:r>
            <w:r w:rsidRPr="001D2A9C">
              <w:rPr>
                <w:lang w:val="es-ES_tradnl"/>
              </w:rPr>
              <w:tab/>
              <w:t>El diagrama de radiación de la antena, es el de referencia de la Recomendación UIT-R F.699.</w:t>
            </w:r>
          </w:p>
          <w:p w:rsidR="00256167" w:rsidRPr="001D2A9C" w:rsidRDefault="00256167" w:rsidP="001A7910">
            <w:pPr>
              <w:pStyle w:val="TableLegend0"/>
              <w:tabs>
                <w:tab w:val="clear" w:pos="794"/>
                <w:tab w:val="left" w:pos="426"/>
              </w:tabs>
              <w:ind w:left="0" w:right="0"/>
              <w:rPr>
                <w:lang w:val="es-ES_tradnl"/>
              </w:rPr>
            </w:pPr>
            <w:r w:rsidRPr="001D2A9C">
              <w:rPr>
                <w:lang w:val="es-ES_tradnl"/>
              </w:rPr>
              <w:t>–</w:t>
            </w:r>
            <w:r w:rsidRPr="001D2A9C">
              <w:rPr>
                <w:lang w:val="es-ES_tradnl"/>
              </w:rPr>
              <w:tab/>
              <w:t>Todas las estaciones tienen la misma potencia de transmisión.</w:t>
            </w:r>
          </w:p>
          <w:p w:rsidR="00256167" w:rsidRPr="001D2A9C" w:rsidRDefault="00256167" w:rsidP="001A7910">
            <w:pPr>
              <w:pStyle w:val="TableLegend0"/>
              <w:tabs>
                <w:tab w:val="left" w:pos="425"/>
              </w:tabs>
              <w:ind w:left="425" w:hanging="425"/>
              <w:rPr>
                <w:lang w:val="es-ES_tradnl"/>
              </w:rPr>
            </w:pPr>
            <w:r w:rsidRPr="001D2A9C">
              <w:rPr>
                <w:lang w:val="es-ES_tradnl"/>
              </w:rPr>
              <w:t>–</w:t>
            </w:r>
            <w:r w:rsidRPr="001D2A9C">
              <w:rPr>
                <w:lang w:val="es-ES_tradnl"/>
              </w:rPr>
              <w:tab/>
              <w:t xml:space="preserve">El límite para la probabilidad de interferencia es  </w:t>
            </w:r>
            <w:r>
              <w:fldChar w:fldCharType="begin"/>
            </w:r>
            <w:r w:rsidRPr="001D2A9C">
              <w:rPr>
                <w:lang w:val="es-ES_tradnl"/>
              </w:rPr>
              <w:instrText xml:space="preserve">eq </w:instrText>
            </w:r>
            <w:r w:rsidRPr="001D2A9C">
              <w:rPr>
                <w:i/>
                <w:lang w:val="es-ES_tradnl"/>
              </w:rPr>
              <w:instrText>p</w:instrText>
            </w:r>
            <w:r w:rsidRPr="001D2A9C">
              <w:rPr>
                <w:lang w:val="es-ES_tradnl"/>
              </w:rPr>
              <w:instrText xml:space="preserve">\d\ba5()\s\up4(–)  </w:instrText>
            </w:r>
            <w:r w:rsidRPr="001D2A9C">
              <w:rPr>
                <w:rFonts w:ascii="Symbol" w:hAnsi="Symbol"/>
                <w:lang w:val="es-ES_tradnl"/>
              </w:rPr>
              <w:instrText>=</w:instrText>
            </w:r>
            <w:r w:rsidRPr="001D2A9C">
              <w:rPr>
                <w:lang w:val="es-ES_tradnl"/>
              </w:rPr>
              <w:instrText xml:space="preserve">  0,1</w:instrText>
            </w:r>
            <w:r>
              <w:fldChar w:fldCharType="end"/>
            </w:r>
            <w:r w:rsidRPr="001D2A9C">
              <w:rPr>
                <w:lang w:val="es-ES_tradnl"/>
              </w:rPr>
              <w:t>.</w:t>
            </w:r>
          </w:p>
        </w:tc>
      </w:tr>
    </w:tbl>
    <w:p w:rsidR="00256167" w:rsidRPr="001D2A9C" w:rsidRDefault="00256167" w:rsidP="00256167">
      <w:pPr>
        <w:pStyle w:val="Tablefin"/>
        <w:rPr>
          <w:lang w:val="es-ES_tradnl"/>
        </w:rPr>
      </w:pPr>
    </w:p>
    <w:p w:rsidR="00256167" w:rsidRPr="001D2A9C" w:rsidRDefault="00256167" w:rsidP="00256167">
      <w:pPr>
        <w:rPr>
          <w:lang w:val="es-ES_tradnl"/>
        </w:rPr>
        <w:sectPr w:rsidR="00256167" w:rsidRPr="001D2A9C" w:rsidSect="00BC3250">
          <w:headerReference w:type="even" r:id="rId74"/>
          <w:headerReference w:type="default" r:id="rId75"/>
          <w:pgSz w:w="16834" w:h="11907" w:orient="landscape" w:code="9"/>
          <w:pgMar w:top="1418" w:right="1134" w:bottom="1134" w:left="1134" w:header="720" w:footer="482" w:gutter="0"/>
          <w:paperSrc w:first="7" w:other="7"/>
          <w:cols w:space="720"/>
        </w:sectPr>
      </w:pPr>
    </w:p>
    <w:p w:rsidR="00256167" w:rsidRDefault="00256167" w:rsidP="00256167">
      <w:pPr>
        <w:pStyle w:val="FigureNo"/>
        <w:rPr>
          <w:lang w:val="es-ES_tradnl"/>
        </w:rPr>
      </w:pPr>
      <w:r>
        <w:object w:dxaOrig="7737" w:dyaOrig="11500">
          <v:shape id="_x0000_i1054" type="#_x0000_t75" style="width:385.8pt;height:574.8pt" o:ole="" o:allowoverlap="f">
            <v:imagedata r:id="rId76" o:title=""/>
          </v:shape>
          <o:OLEObject Type="Embed" ProgID="CorelDraw.Graphic.12" ShapeID="_x0000_i1054" DrawAspect="Content" ObjectID="_1376823628" r:id="rId77"/>
        </w:object>
      </w:r>
    </w:p>
    <w:p w:rsidR="00256167" w:rsidRDefault="00256167" w:rsidP="00256167">
      <w:pPr>
        <w:rPr>
          <w:lang w:val="es-ES_tradnl"/>
        </w:rPr>
      </w:pPr>
      <w:r>
        <w:rPr>
          <w:lang w:val="es-ES_tradnl"/>
        </w:rPr>
        <w:t xml:space="preserve">En el caso de los sistemas de modulación digital, el paso de la modulación de dos fases a la </w:t>
      </w:r>
      <w:proofErr w:type="spellStart"/>
      <w:r>
        <w:rPr>
          <w:lang w:val="es-ES_tradnl"/>
        </w:rPr>
        <w:t>multifase</w:t>
      </w:r>
      <w:proofErr w:type="spellEnd"/>
      <w:r>
        <w:rPr>
          <w:lang w:val="es-ES_tradnl"/>
        </w:rPr>
        <w:t xml:space="preserve"> o </w:t>
      </w:r>
      <w:proofErr w:type="spellStart"/>
      <w:r>
        <w:rPr>
          <w:lang w:val="es-ES_tradnl"/>
        </w:rPr>
        <w:t>multiestado</w:t>
      </w:r>
      <w:proofErr w:type="spellEnd"/>
      <w:r>
        <w:rPr>
          <w:lang w:val="es-ES_tradnl"/>
        </w:rPr>
        <w:t xml:space="preserve"> requiere menor anchura de banda pero puede implicar una reducción de la eficacia de utilización del espectro cuando la interferencia es grande. El valor detallado depende de las características de la antena, etc., pero el sistema MDP-4 puede ser óptimo desde el punto de vista macroscópico, en aquellos casos en que otros sistemas de radioenlaces están funcionando alrededor de la estación de repetidores y están situados aleatoriamente en dicha zona.</w:t>
      </w:r>
    </w:p>
    <w:p w:rsidR="00256167" w:rsidRDefault="00256167" w:rsidP="00256167">
      <w:pPr>
        <w:pStyle w:val="Heading3"/>
        <w:rPr>
          <w:lang w:val="es-ES_tradnl"/>
        </w:rPr>
      </w:pPr>
      <w:r>
        <w:rPr>
          <w:lang w:val="es-ES_tradnl"/>
        </w:rPr>
        <w:lastRenderedPageBreak/>
        <w:t>2.3.3</w:t>
      </w:r>
      <w:r>
        <w:rPr>
          <w:lang w:val="es-ES_tradnl"/>
        </w:rPr>
        <w:tab/>
        <w:t>EUE en una red en malla aleatoria</w:t>
      </w:r>
    </w:p>
    <w:p w:rsidR="00256167" w:rsidRDefault="00256167" w:rsidP="00A27FB1">
      <w:pPr>
        <w:rPr>
          <w:lang w:val="es-ES_tradnl"/>
        </w:rPr>
      </w:pPr>
      <w:r>
        <w:rPr>
          <w:lang w:val="es-ES_tradnl"/>
        </w:rPr>
        <w:t>Con el fin de realizar una correcta comparación de los procedimientos de modulación, uno puede suponer un plan de frecuencias entrelazado con una separación entre radiocanales correspondiente a una determinada degradación de las características funcionales provocada por las interferencias de canal adyacente. El Cuadro</w:t>
      </w:r>
      <w:r w:rsidR="00A27FB1">
        <w:rPr>
          <w:lang w:val="es-ES_tradnl"/>
        </w:rPr>
        <w:t> </w:t>
      </w:r>
      <w:r>
        <w:rPr>
          <w:lang w:val="es-ES_tradnl"/>
        </w:rPr>
        <w:t xml:space="preserve">3 recoge unos valores tentativos para la separación normalizada entre radiocanales, </w:t>
      </w:r>
      <w:r>
        <w:rPr>
          <w:i/>
          <w:lang w:val="es-ES_tradnl"/>
        </w:rPr>
        <w:t>X</w:t>
      </w:r>
      <w:r w:rsidRPr="001D2A9C">
        <w:rPr>
          <w:lang w:val="es-ES_tradnl"/>
        </w:rPr>
        <w:t>,</w:t>
      </w:r>
      <w:r>
        <w:rPr>
          <w:lang w:val="es-ES_tradnl"/>
        </w:rPr>
        <w:t xml:space="preserve"> definida en el Informe 608 (Kyoto, 1978) del ex CCIR y la correspondiente eficacia espectral (bit/(s · Hz)). Aunque podrían deducirse resultados diferentes, en base a otras suposiciones, debería observarse que los resultados calculados del Cuadro 3 están muy próximos de los valores que podrían deducirse para disposiciones específicas de radiocanales como las sugeridas por las Recomendaciones UIT</w:t>
      </w:r>
      <w:r>
        <w:rPr>
          <w:lang w:val="es-ES_tradnl"/>
        </w:rPr>
        <w:noBreakHyphen/>
        <w:t>R (por ejemplo 140 Mbit/s con modulación MAQ-16 y una separación de 40</w:t>
      </w:r>
      <w:r w:rsidR="00A27FB1">
        <w:rPr>
          <w:lang w:val="es-ES_tradnl"/>
        </w:rPr>
        <w:t> </w:t>
      </w:r>
      <w:r>
        <w:rPr>
          <w:lang w:val="es-ES_tradnl"/>
        </w:rPr>
        <w:t>MHz entre radiocanales con polarización cruzada). Los valores medidos pueden ser diferentes de estos valores calculados.</w:t>
      </w:r>
    </w:p>
    <w:p w:rsidR="00256167" w:rsidRDefault="00256167" w:rsidP="00256167">
      <w:pPr>
        <w:pStyle w:val="Table"/>
      </w:pPr>
      <w:r>
        <w:t>CUADRO  3</w:t>
      </w:r>
    </w:p>
    <w:tbl>
      <w:tblPr>
        <w:tblW w:w="0" w:type="auto"/>
        <w:jc w:val="center"/>
        <w:tblLayout w:type="fixed"/>
        <w:tblLook w:val="0000" w:firstRow="0" w:lastRow="0" w:firstColumn="0" w:lastColumn="0" w:noHBand="0" w:noVBand="0"/>
      </w:tblPr>
      <w:tblGrid>
        <w:gridCol w:w="2835"/>
        <w:gridCol w:w="2835"/>
        <w:gridCol w:w="2835"/>
      </w:tblGrid>
      <w:tr w:rsidR="00256167" w:rsidRPr="00AC38FC" w:rsidTr="005B580A">
        <w:trPr>
          <w:cantSplit/>
          <w:jc w:val="center"/>
        </w:trPr>
        <w:tc>
          <w:tcPr>
            <w:tcW w:w="2835" w:type="dxa"/>
            <w:tcBorders>
              <w:top w:val="single" w:sz="6" w:space="0" w:color="auto"/>
              <w:left w:val="single" w:sz="6" w:space="0" w:color="auto"/>
              <w:right w:val="single" w:sz="6" w:space="0" w:color="auto"/>
            </w:tcBorders>
          </w:tcPr>
          <w:p w:rsidR="00256167" w:rsidRDefault="00256167" w:rsidP="00A27FB1">
            <w:pPr>
              <w:pStyle w:val="TableText0"/>
              <w:spacing w:before="180"/>
              <w:jc w:val="center"/>
            </w:pPr>
            <w:proofErr w:type="spellStart"/>
            <w:r>
              <w:t>Procedimiento</w:t>
            </w:r>
            <w:proofErr w:type="spellEnd"/>
            <w:r>
              <w:t xml:space="preserve"> de </w:t>
            </w:r>
            <w:proofErr w:type="spellStart"/>
            <w:r>
              <w:t>modulación</w:t>
            </w:r>
            <w:proofErr w:type="spellEnd"/>
          </w:p>
        </w:tc>
        <w:tc>
          <w:tcPr>
            <w:tcW w:w="2835" w:type="dxa"/>
            <w:tcBorders>
              <w:top w:val="single" w:sz="6" w:space="0" w:color="auto"/>
              <w:left w:val="single" w:sz="6" w:space="0" w:color="auto"/>
              <w:right w:val="single" w:sz="6" w:space="0" w:color="auto"/>
            </w:tcBorders>
          </w:tcPr>
          <w:p w:rsidR="00256167" w:rsidRPr="001D2A9C" w:rsidRDefault="00256167" w:rsidP="00A27FB1">
            <w:pPr>
              <w:pStyle w:val="TableText0"/>
              <w:jc w:val="center"/>
              <w:rPr>
                <w:lang w:val="es-ES_tradnl"/>
              </w:rPr>
            </w:pPr>
            <w:r w:rsidRPr="001D2A9C">
              <w:rPr>
                <w:lang w:val="es-ES_tradnl"/>
              </w:rPr>
              <w:t xml:space="preserve">Separación normalizada entre radiocanales, </w:t>
            </w:r>
            <w:r w:rsidRPr="001D2A9C">
              <w:rPr>
                <w:i/>
                <w:lang w:val="es-ES_tradnl"/>
              </w:rPr>
              <w:t>X</w:t>
            </w:r>
          </w:p>
        </w:tc>
        <w:tc>
          <w:tcPr>
            <w:tcW w:w="2835" w:type="dxa"/>
            <w:tcBorders>
              <w:top w:val="single" w:sz="6" w:space="0" w:color="auto"/>
              <w:left w:val="single" w:sz="6" w:space="0" w:color="auto"/>
              <w:right w:val="single" w:sz="6" w:space="0" w:color="auto"/>
            </w:tcBorders>
          </w:tcPr>
          <w:p w:rsidR="00256167" w:rsidRPr="001D2A9C" w:rsidRDefault="00256167" w:rsidP="00A27FB1">
            <w:pPr>
              <w:pStyle w:val="TableText0"/>
              <w:jc w:val="center"/>
              <w:rPr>
                <w:lang w:val="es-ES_tradnl"/>
              </w:rPr>
            </w:pPr>
            <w:r w:rsidRPr="001D2A9C">
              <w:rPr>
                <w:lang w:val="es-ES_tradnl"/>
              </w:rPr>
              <w:t>Eficacia espectral</w:t>
            </w:r>
            <w:r w:rsidRPr="001D2A9C">
              <w:rPr>
                <w:lang w:val="es-ES_tradnl"/>
              </w:rPr>
              <w:br/>
              <w:t xml:space="preserve">(bit/(s </w:t>
            </w:r>
            <w:r>
              <w:rPr>
                <w:rFonts w:ascii="Symbol" w:hAnsi="Symbol"/>
              </w:rPr>
              <w:t></w:t>
            </w:r>
            <w:r w:rsidRPr="001D2A9C">
              <w:rPr>
                <w:lang w:val="es-ES_tradnl"/>
              </w:rPr>
              <w:t xml:space="preserve"> Hz)</w:t>
            </w:r>
          </w:p>
        </w:tc>
      </w:tr>
      <w:tr w:rsidR="00256167" w:rsidTr="005B580A">
        <w:trPr>
          <w:cantSplit/>
          <w:jc w:val="center"/>
        </w:trPr>
        <w:tc>
          <w:tcPr>
            <w:tcW w:w="2835" w:type="dxa"/>
            <w:tcBorders>
              <w:top w:val="single" w:sz="6" w:space="0" w:color="auto"/>
              <w:left w:val="single" w:sz="6" w:space="0" w:color="auto"/>
              <w:right w:val="single" w:sz="6" w:space="0" w:color="auto"/>
            </w:tcBorders>
          </w:tcPr>
          <w:p w:rsidR="00256167" w:rsidRDefault="00256167" w:rsidP="00A27FB1">
            <w:pPr>
              <w:pStyle w:val="TableText0"/>
              <w:spacing w:before="40" w:after="40"/>
              <w:jc w:val="center"/>
            </w:pPr>
            <w:r>
              <w:t>MDP-4</w:t>
            </w:r>
          </w:p>
        </w:tc>
        <w:tc>
          <w:tcPr>
            <w:tcW w:w="2835" w:type="dxa"/>
            <w:tcBorders>
              <w:top w:val="single" w:sz="6" w:space="0" w:color="auto"/>
              <w:left w:val="single" w:sz="6" w:space="0" w:color="auto"/>
              <w:right w:val="single" w:sz="6" w:space="0" w:color="auto"/>
            </w:tcBorders>
          </w:tcPr>
          <w:p w:rsidR="00256167" w:rsidRDefault="00256167" w:rsidP="00A27FB1">
            <w:pPr>
              <w:pStyle w:val="TableText0"/>
              <w:spacing w:before="40" w:after="40"/>
              <w:jc w:val="center"/>
            </w:pPr>
            <w:r>
              <w:t>1,88</w:t>
            </w:r>
          </w:p>
        </w:tc>
        <w:tc>
          <w:tcPr>
            <w:tcW w:w="2835" w:type="dxa"/>
            <w:tcBorders>
              <w:top w:val="single" w:sz="6" w:space="0" w:color="auto"/>
              <w:left w:val="single" w:sz="6" w:space="0" w:color="auto"/>
              <w:right w:val="single" w:sz="6" w:space="0" w:color="auto"/>
            </w:tcBorders>
          </w:tcPr>
          <w:p w:rsidR="00256167" w:rsidRDefault="00256167" w:rsidP="00A27FB1">
            <w:pPr>
              <w:pStyle w:val="TableText0"/>
              <w:spacing w:before="40" w:after="40"/>
              <w:jc w:val="center"/>
            </w:pPr>
            <w:r>
              <w:t>2,13</w:t>
            </w:r>
          </w:p>
        </w:tc>
      </w:tr>
      <w:tr w:rsidR="00256167" w:rsidTr="005B580A">
        <w:trPr>
          <w:cantSplit/>
          <w:jc w:val="center"/>
        </w:trPr>
        <w:tc>
          <w:tcPr>
            <w:tcW w:w="2835" w:type="dxa"/>
            <w:tcBorders>
              <w:left w:val="single" w:sz="6" w:space="0" w:color="auto"/>
              <w:right w:val="single" w:sz="6" w:space="0" w:color="auto"/>
            </w:tcBorders>
          </w:tcPr>
          <w:p w:rsidR="00256167" w:rsidRDefault="00256167" w:rsidP="00A27FB1">
            <w:pPr>
              <w:pStyle w:val="TableText0"/>
              <w:spacing w:before="40" w:after="40"/>
              <w:jc w:val="center"/>
            </w:pPr>
            <w:r>
              <w:t>MDP-8</w:t>
            </w:r>
          </w:p>
        </w:tc>
        <w:tc>
          <w:tcPr>
            <w:tcW w:w="2835" w:type="dxa"/>
            <w:tcBorders>
              <w:left w:val="single" w:sz="6" w:space="0" w:color="auto"/>
              <w:right w:val="single" w:sz="6" w:space="0" w:color="auto"/>
            </w:tcBorders>
          </w:tcPr>
          <w:p w:rsidR="00256167" w:rsidRDefault="00256167" w:rsidP="00A27FB1">
            <w:pPr>
              <w:pStyle w:val="TableText0"/>
              <w:spacing w:before="40" w:after="40"/>
              <w:jc w:val="center"/>
            </w:pPr>
            <w:r>
              <w:t>2,16</w:t>
            </w:r>
          </w:p>
        </w:tc>
        <w:tc>
          <w:tcPr>
            <w:tcW w:w="2835" w:type="dxa"/>
            <w:tcBorders>
              <w:left w:val="single" w:sz="6" w:space="0" w:color="auto"/>
              <w:right w:val="single" w:sz="6" w:space="0" w:color="auto"/>
            </w:tcBorders>
          </w:tcPr>
          <w:p w:rsidR="00256167" w:rsidRDefault="00256167" w:rsidP="00A27FB1">
            <w:pPr>
              <w:pStyle w:val="TableText0"/>
              <w:spacing w:before="40" w:after="40"/>
              <w:jc w:val="center"/>
            </w:pPr>
            <w:r>
              <w:t>2,77</w:t>
            </w:r>
          </w:p>
        </w:tc>
      </w:tr>
      <w:tr w:rsidR="00256167" w:rsidTr="005B580A">
        <w:trPr>
          <w:cantSplit/>
          <w:jc w:val="center"/>
        </w:trPr>
        <w:tc>
          <w:tcPr>
            <w:tcW w:w="2835" w:type="dxa"/>
            <w:tcBorders>
              <w:left w:val="single" w:sz="6" w:space="0" w:color="auto"/>
              <w:right w:val="single" w:sz="6" w:space="0" w:color="auto"/>
            </w:tcBorders>
          </w:tcPr>
          <w:p w:rsidR="00256167" w:rsidRDefault="00256167" w:rsidP="00A27FB1">
            <w:pPr>
              <w:pStyle w:val="TableText0"/>
              <w:spacing w:before="40" w:after="40"/>
              <w:jc w:val="center"/>
            </w:pPr>
            <w:r>
              <w:t>MAQ-16</w:t>
            </w:r>
          </w:p>
        </w:tc>
        <w:tc>
          <w:tcPr>
            <w:tcW w:w="2835" w:type="dxa"/>
            <w:tcBorders>
              <w:left w:val="single" w:sz="6" w:space="0" w:color="auto"/>
              <w:right w:val="single" w:sz="6" w:space="0" w:color="auto"/>
            </w:tcBorders>
          </w:tcPr>
          <w:p w:rsidR="00256167" w:rsidRDefault="00256167" w:rsidP="00A27FB1">
            <w:pPr>
              <w:pStyle w:val="TableText0"/>
              <w:spacing w:before="40" w:after="40"/>
              <w:jc w:val="center"/>
            </w:pPr>
            <w:r>
              <w:t>2,23</w:t>
            </w:r>
          </w:p>
        </w:tc>
        <w:tc>
          <w:tcPr>
            <w:tcW w:w="2835" w:type="dxa"/>
            <w:tcBorders>
              <w:left w:val="single" w:sz="6" w:space="0" w:color="auto"/>
              <w:right w:val="single" w:sz="6" w:space="0" w:color="auto"/>
            </w:tcBorders>
          </w:tcPr>
          <w:p w:rsidR="00256167" w:rsidRDefault="00256167" w:rsidP="00A27FB1">
            <w:pPr>
              <w:pStyle w:val="TableText0"/>
              <w:spacing w:before="40" w:after="40"/>
              <w:jc w:val="center"/>
            </w:pPr>
            <w:r>
              <w:t>3,59</w:t>
            </w:r>
          </w:p>
        </w:tc>
      </w:tr>
      <w:tr w:rsidR="00256167" w:rsidRPr="00AC38FC" w:rsidTr="005B580A">
        <w:trPr>
          <w:cantSplit/>
          <w:jc w:val="center"/>
        </w:trPr>
        <w:tc>
          <w:tcPr>
            <w:tcW w:w="8505" w:type="dxa"/>
            <w:gridSpan w:val="3"/>
            <w:tcBorders>
              <w:top w:val="single" w:sz="6" w:space="0" w:color="auto"/>
            </w:tcBorders>
          </w:tcPr>
          <w:p w:rsidR="00256167" w:rsidRPr="001D2A9C" w:rsidRDefault="00256167" w:rsidP="00A27FB1">
            <w:pPr>
              <w:pStyle w:val="TableLegend0"/>
              <w:tabs>
                <w:tab w:val="clear" w:pos="794"/>
                <w:tab w:val="clear" w:pos="1191"/>
                <w:tab w:val="clear" w:pos="1588"/>
                <w:tab w:val="clear" w:pos="1985"/>
                <w:tab w:val="left" w:pos="567"/>
                <w:tab w:val="left" w:pos="737"/>
              </w:tabs>
              <w:spacing w:before="60"/>
              <w:rPr>
                <w:lang w:val="es-ES_tradnl"/>
              </w:rPr>
            </w:pPr>
            <w:r w:rsidRPr="001D2A9C">
              <w:rPr>
                <w:lang w:val="es-ES_tradnl"/>
              </w:rPr>
              <w:t>NOTA 1</w:t>
            </w:r>
            <w:r w:rsidRPr="001D2A9C">
              <w:rPr>
                <w:lang w:val="es-ES_tradnl"/>
              </w:rPr>
              <w:tab/>
              <w:t>–</w:t>
            </w:r>
            <w:r w:rsidRPr="001D2A9C">
              <w:rPr>
                <w:lang w:val="es-ES_tradnl"/>
              </w:rPr>
              <w:tab/>
              <w:t>Degradación debida a la interferencia de canal adyacente: 0,5 dB.</w:t>
            </w:r>
          </w:p>
          <w:p w:rsidR="00256167" w:rsidRPr="001D2A9C" w:rsidRDefault="00256167" w:rsidP="00A27FB1">
            <w:pPr>
              <w:pStyle w:val="TableLegend0"/>
              <w:tabs>
                <w:tab w:val="clear" w:pos="794"/>
                <w:tab w:val="clear" w:pos="1191"/>
                <w:tab w:val="clear" w:pos="1588"/>
                <w:tab w:val="clear" w:pos="1985"/>
                <w:tab w:val="left" w:pos="567"/>
                <w:tab w:val="left" w:pos="737"/>
              </w:tabs>
              <w:spacing w:before="60"/>
              <w:rPr>
                <w:lang w:val="es-ES_tradnl"/>
              </w:rPr>
            </w:pPr>
            <w:r w:rsidRPr="001D2A9C">
              <w:rPr>
                <w:lang w:val="es-ES_tradnl"/>
              </w:rPr>
              <w:tab/>
              <w:t>–</w:t>
            </w:r>
            <w:r w:rsidRPr="001D2A9C">
              <w:rPr>
                <w:lang w:val="es-ES_tradnl"/>
              </w:rPr>
              <w:tab/>
              <w:t>Filtros de canal: coseno alzado con factor de caída de 0,5.</w:t>
            </w:r>
          </w:p>
          <w:p w:rsidR="00256167" w:rsidRPr="001D2A9C" w:rsidRDefault="00256167" w:rsidP="00A27FB1">
            <w:pPr>
              <w:pStyle w:val="TableLegend0"/>
              <w:tabs>
                <w:tab w:val="clear" w:pos="794"/>
                <w:tab w:val="clear" w:pos="1191"/>
                <w:tab w:val="clear" w:pos="1588"/>
                <w:tab w:val="clear" w:pos="1985"/>
                <w:tab w:val="left" w:pos="567"/>
                <w:tab w:val="left" w:pos="737"/>
              </w:tabs>
              <w:spacing w:before="60"/>
              <w:ind w:left="737" w:hanging="822"/>
              <w:rPr>
                <w:lang w:val="es-ES_tradnl"/>
              </w:rPr>
            </w:pPr>
            <w:r w:rsidRPr="001D2A9C">
              <w:rPr>
                <w:lang w:val="es-ES_tradnl"/>
              </w:rPr>
              <w:tab/>
              <w:t>–</w:t>
            </w:r>
            <w:r w:rsidRPr="001D2A9C">
              <w:rPr>
                <w:lang w:val="es-ES_tradnl"/>
              </w:rPr>
              <w:tab/>
              <w:t>Aislamiento entre radiocanales con polarización cruzada (discriminación por polarización cruzada (XPD) residual): 12 dB.</w:t>
            </w:r>
          </w:p>
        </w:tc>
      </w:tr>
    </w:tbl>
    <w:p w:rsidR="00256167" w:rsidRPr="00AC38FC" w:rsidRDefault="00256167" w:rsidP="00294C53">
      <w:pPr>
        <w:pStyle w:val="Tablefin"/>
        <w:rPr>
          <w:lang w:val="es-ES_tradnl"/>
        </w:rPr>
      </w:pPr>
    </w:p>
    <w:p w:rsidR="00294C53" w:rsidRPr="00AC38FC" w:rsidRDefault="00294C53" w:rsidP="00294C53">
      <w:pPr>
        <w:pStyle w:val="Blanc"/>
        <w:rPr>
          <w:lang w:val="es-ES_tradnl"/>
        </w:rPr>
      </w:pPr>
    </w:p>
    <w:p w:rsidR="00256167" w:rsidRDefault="00256167" w:rsidP="00256167">
      <w:pPr>
        <w:rPr>
          <w:lang w:val="es-ES_tradnl"/>
        </w:rPr>
      </w:pPr>
      <w:r>
        <w:rPr>
          <w:lang w:val="es-ES_tradnl"/>
        </w:rPr>
        <w:t xml:space="preserve">El diagrama de radiación de antena utilizado en el análisis se muestra en la Fig. 11 y corresponde a una antena parabólica típica. Se ha supuesto que la degradación de la calidad de funcionamiento (para una proporción de bits erróneos (BER) de 1 </w:t>
      </w:r>
      <w:r>
        <w:rPr>
          <w:rFonts w:ascii="Symbol" w:hAnsi="Symbol"/>
          <w:lang w:val="es-ES_tradnl"/>
        </w:rPr>
        <w:t></w:t>
      </w:r>
      <w:r>
        <w:rPr>
          <w:lang w:val="es-ES_tradnl"/>
        </w:rPr>
        <w:t xml:space="preserve"> 10</w:t>
      </w:r>
      <w:r>
        <w:rPr>
          <w:position w:val="6"/>
          <w:sz w:val="16"/>
          <w:lang w:val="es-ES_tradnl"/>
        </w:rPr>
        <w:t>–3</w:t>
      </w:r>
      <w:r>
        <w:rPr>
          <w:lang w:val="es-ES_tradnl"/>
        </w:rPr>
        <w:t>) debida a la interferencia cocanal procedente de otros enlaces, no es superior a 1 dB. Se supone que el enlace interferido se encuentra en el umbral con un margen de desvanecimiento de 40 dB en tanto que el enlace interferente recibe su valor nominal.</w:t>
      </w:r>
    </w:p>
    <w:p w:rsidR="00256167" w:rsidRDefault="00256167" w:rsidP="00256167">
      <w:pPr>
        <w:pStyle w:val="FigureNo"/>
        <w:rPr>
          <w:lang w:val="es-ES_tradnl"/>
        </w:rPr>
      </w:pPr>
      <w:r>
        <w:object w:dxaOrig="7646" w:dyaOrig="7765">
          <v:shape id="_x0000_i1055" type="#_x0000_t75" style="width:382.8pt;height:388.8pt" o:ole="" o:allowoverlap="f">
            <v:imagedata r:id="rId78" o:title=""/>
          </v:shape>
          <o:OLEObject Type="Embed" ProgID="CorelDraw.Graphic.12" ShapeID="_x0000_i1055" DrawAspect="Content" ObjectID="_1376823629" r:id="rId79"/>
        </w:object>
      </w:r>
    </w:p>
    <w:p w:rsidR="00256167" w:rsidRDefault="00256167" w:rsidP="00256167">
      <w:pPr>
        <w:rPr>
          <w:lang w:val="es-ES_tradnl"/>
        </w:rPr>
      </w:pPr>
    </w:p>
    <w:p w:rsidR="00256167" w:rsidRDefault="00256167" w:rsidP="00256167">
      <w:pPr>
        <w:rPr>
          <w:lang w:val="es-ES_tradnl"/>
        </w:rPr>
      </w:pPr>
      <w:r>
        <w:rPr>
          <w:lang w:val="es-ES_tradnl"/>
        </w:rPr>
        <w:t xml:space="preserve">Se ha definido una densidad normalizada de la red, </w:t>
      </w:r>
      <w:r>
        <w:rPr>
          <w:rFonts w:ascii="Symbol" w:hAnsi="Symbol"/>
          <w:lang w:val="es-ES_tradnl"/>
        </w:rPr>
        <w:t></w:t>
      </w:r>
      <w:r w:rsidRPr="001D2A9C">
        <w:rPr>
          <w:lang w:val="es-ES_tradnl"/>
        </w:rPr>
        <w:t>,</w:t>
      </w:r>
      <w:r>
        <w:rPr>
          <w:lang w:val="es-ES_tradnl"/>
        </w:rPr>
        <w:t xml:space="preserve"> de la siguiente forma:</w:t>
      </w:r>
    </w:p>
    <w:p w:rsidR="00256167" w:rsidRPr="008F3A77" w:rsidRDefault="00256167" w:rsidP="00256167">
      <w:pPr>
        <w:pStyle w:val="Blanc"/>
        <w:rPr>
          <w:lang w:val="es-ES_tradnl"/>
        </w:rPr>
      </w:pPr>
    </w:p>
    <w:p w:rsidR="00256167" w:rsidRDefault="00256167" w:rsidP="00256167">
      <w:pPr>
        <w:pStyle w:val="Equation"/>
        <w:rPr>
          <w:lang w:val="es-ES_tradnl"/>
        </w:rPr>
      </w:pPr>
      <w:r>
        <w:rPr>
          <w:rFonts w:ascii="Symbol" w:hAnsi="Symbol"/>
          <w:lang w:val="es-ES_tradnl"/>
        </w:rPr>
        <w:tab/>
      </w:r>
      <w:r>
        <w:rPr>
          <w:rFonts w:ascii="Symbol" w:hAnsi="Symbol"/>
          <w:lang w:val="es-ES_tradnl"/>
        </w:rPr>
        <w:tab/>
      </w:r>
      <w:r>
        <w:rPr>
          <w:caps/>
          <w:position w:val="-26"/>
          <w:lang w:val="es-ES_tradnl"/>
        </w:rPr>
        <w:object w:dxaOrig="3220" w:dyaOrig="680">
          <v:shape id="_x0000_i1056" type="#_x0000_t75" style="width:161.4pt;height:33.6pt" o:ole="">
            <v:imagedata r:id="rId80" o:title=""/>
          </v:shape>
          <o:OLEObject Type="Embed" ProgID="Equation.2" ShapeID="_x0000_i1056" DrawAspect="Content" ObjectID="_1376823630" r:id="rId81"/>
        </w:object>
      </w:r>
      <w:r>
        <w:rPr>
          <w:lang w:val="es-ES_tradnl"/>
        </w:rPr>
        <w:tab/>
        <w:t>(23)</w:t>
      </w:r>
    </w:p>
    <w:p w:rsidR="00256167" w:rsidRPr="007F0761" w:rsidRDefault="00256167" w:rsidP="00256167">
      <w:pPr>
        <w:pStyle w:val="Blanc"/>
        <w:rPr>
          <w:lang w:val="es-ES_tradnl"/>
        </w:rPr>
      </w:pPr>
    </w:p>
    <w:p w:rsidR="00256167" w:rsidRDefault="00256167" w:rsidP="00256167">
      <w:pPr>
        <w:rPr>
          <w:lang w:val="es-ES_tradnl"/>
        </w:rPr>
      </w:pPr>
      <w:r>
        <w:rPr>
          <w:lang w:val="es-ES_tradnl"/>
        </w:rPr>
        <w:t>donde:</w:t>
      </w:r>
    </w:p>
    <w:p w:rsidR="00256167" w:rsidRPr="007F0761" w:rsidRDefault="00256167" w:rsidP="00256167">
      <w:pPr>
        <w:pStyle w:val="Equationlegend"/>
        <w:rPr>
          <w:lang w:val="es-ES_tradnl"/>
        </w:rPr>
      </w:pPr>
      <w:r w:rsidRPr="007F0761">
        <w:rPr>
          <w:lang w:val="es-ES_tradnl"/>
        </w:rPr>
        <w:tab/>
      </w:r>
      <w:r w:rsidRPr="007F0761">
        <w:rPr>
          <w:i/>
          <w:lang w:val="es-ES_tradnl"/>
        </w:rPr>
        <w:t>N</w:t>
      </w:r>
      <w:r w:rsidRPr="007F0761">
        <w:rPr>
          <w:rFonts w:ascii="Tms Rmn" w:hAnsi="Tms Rmn"/>
          <w:sz w:val="12"/>
          <w:lang w:val="es-ES_tradnl"/>
        </w:rPr>
        <w:t> </w:t>
      </w:r>
      <w:r w:rsidRPr="007F0761">
        <w:rPr>
          <w:lang w:val="es-ES_tradnl"/>
        </w:rPr>
        <w:t>:</w:t>
      </w:r>
      <w:r w:rsidRPr="007F0761">
        <w:rPr>
          <w:i/>
          <w:lang w:val="es-ES_tradnl"/>
        </w:rPr>
        <w:tab/>
      </w:r>
      <w:r w:rsidRPr="007F0761">
        <w:rPr>
          <w:lang w:val="es-ES_tradnl"/>
        </w:rPr>
        <w:t>número de nudos radioeléctricos en la red</w:t>
      </w:r>
    </w:p>
    <w:p w:rsidR="00256167" w:rsidRPr="007F0761" w:rsidRDefault="00256167" w:rsidP="00256167">
      <w:pPr>
        <w:pStyle w:val="Equationlegend"/>
        <w:rPr>
          <w:lang w:val="es-ES_tradnl"/>
        </w:rPr>
      </w:pPr>
      <w:r w:rsidRPr="007F0761">
        <w:rPr>
          <w:lang w:val="es-ES_tradnl"/>
        </w:rPr>
        <w:tab/>
      </w:r>
      <w:r>
        <w:rPr>
          <w:rFonts w:ascii="Symbol" w:hAnsi="Symbol"/>
        </w:rPr>
        <w:t></w:t>
      </w:r>
      <w:r w:rsidRPr="007F0761">
        <w:rPr>
          <w:rFonts w:ascii="Tms Rmn" w:hAnsi="Tms Rmn"/>
          <w:sz w:val="12"/>
          <w:lang w:val="es-ES_tradnl"/>
        </w:rPr>
        <w:t> </w:t>
      </w:r>
      <w:r w:rsidRPr="007F0761">
        <w:rPr>
          <w:lang w:val="es-ES_tradnl"/>
        </w:rPr>
        <w:t>:</w:t>
      </w:r>
      <w:r w:rsidRPr="007F0761">
        <w:rPr>
          <w:i/>
          <w:lang w:val="es-ES_tradnl"/>
        </w:rPr>
        <w:tab/>
      </w:r>
      <w:r w:rsidRPr="007F0761">
        <w:rPr>
          <w:lang w:val="es-ES_tradnl"/>
        </w:rPr>
        <w:t>valor medio cuadrático de la longitud de los tramos.</w:t>
      </w:r>
    </w:p>
    <w:p w:rsidR="00256167" w:rsidRDefault="00256167" w:rsidP="00256167">
      <w:pPr>
        <w:rPr>
          <w:lang w:val="es-ES_tradnl"/>
        </w:rPr>
      </w:pPr>
      <w:r>
        <w:rPr>
          <w:lang w:val="es-ES_tradnl"/>
        </w:rPr>
        <w:t>Los resultados de la Fig. 12, muestran que en las redes de alta densidad se consigue la máxima eficacia con la modulación MDP-4, mientras la comparación de modulaciones se desplaza a favor de la MDP-8 o incluso de la MAQ</w:t>
      </w:r>
      <w:r>
        <w:rPr>
          <w:lang w:val="es-ES_tradnl"/>
        </w:rPr>
        <w:noBreakHyphen/>
        <w:t>16 cuando la densidad de la red es inferior. Esto demuestra que la EUE por los métodos de modulación depende del entorno de interferencia.</w:t>
      </w:r>
    </w:p>
    <w:p w:rsidR="00256167" w:rsidRDefault="00256167" w:rsidP="00256167">
      <w:pPr>
        <w:pStyle w:val="FigureNo"/>
        <w:rPr>
          <w:lang w:val="es-ES_tradnl"/>
        </w:rPr>
      </w:pPr>
      <w:r>
        <w:object w:dxaOrig="4302" w:dyaOrig="6909">
          <v:shape id="_x0000_i1057" type="#_x0000_t75" style="width:215.4pt;height:345pt" o:ole="" o:allowoverlap="f">
            <v:imagedata r:id="rId82" o:title=""/>
          </v:shape>
          <o:OLEObject Type="Embed" ProgID="CorelDraw.Graphic.12" ShapeID="_x0000_i1057" DrawAspect="Content" ObjectID="_1376823631" r:id="rId83"/>
        </w:object>
      </w:r>
    </w:p>
    <w:p w:rsidR="00256167" w:rsidRDefault="00256167" w:rsidP="00256167">
      <w:pPr>
        <w:pStyle w:val="Note"/>
        <w:rPr>
          <w:lang w:val="es-ES_tradnl"/>
        </w:rPr>
      </w:pPr>
      <w:r>
        <w:rPr>
          <w:lang w:val="es-ES_tradnl"/>
        </w:rPr>
        <w:t>NOTA 1 – Puede encontrarse información adicional en:</w:t>
      </w:r>
    </w:p>
    <w:p w:rsidR="00256167" w:rsidRPr="001D2A9C" w:rsidRDefault="00256167" w:rsidP="00256167">
      <w:pPr>
        <w:pStyle w:val="Reftext"/>
        <w:rPr>
          <w:lang w:val="en-US"/>
        </w:rPr>
      </w:pPr>
      <w:r w:rsidRPr="001D2A9C">
        <w:rPr>
          <w:lang w:val="en-US"/>
        </w:rPr>
        <w:t xml:space="preserve">DODO, J., KUREMATSU, H. y NAKAZAWA, I. [8-12 de </w:t>
      </w:r>
      <w:proofErr w:type="spellStart"/>
      <w:r w:rsidRPr="001D2A9C">
        <w:rPr>
          <w:lang w:val="en-US"/>
        </w:rPr>
        <w:t>junio</w:t>
      </w:r>
      <w:proofErr w:type="spellEnd"/>
      <w:r w:rsidRPr="001D2A9C">
        <w:rPr>
          <w:lang w:val="en-US"/>
        </w:rPr>
        <w:t xml:space="preserve"> de 1980] Spectrum use efficiency and small capacity digital radio-relay system in the 2 GHz band. IEEE International Conference on Communications (ICC '80), Seattle, WA, </w:t>
      </w:r>
      <w:proofErr w:type="spellStart"/>
      <w:r w:rsidRPr="001D2A9C">
        <w:rPr>
          <w:lang w:val="en-US"/>
        </w:rPr>
        <w:t>Estados</w:t>
      </w:r>
      <w:proofErr w:type="spellEnd"/>
      <w:r w:rsidRPr="001D2A9C">
        <w:rPr>
          <w:lang w:val="en-US"/>
        </w:rPr>
        <w:t xml:space="preserve"> </w:t>
      </w:r>
      <w:proofErr w:type="spellStart"/>
      <w:r w:rsidRPr="001D2A9C">
        <w:rPr>
          <w:lang w:val="en-US"/>
        </w:rPr>
        <w:t>Unidos</w:t>
      </w:r>
      <w:proofErr w:type="spellEnd"/>
      <w:r w:rsidRPr="001D2A9C">
        <w:rPr>
          <w:lang w:val="en-US"/>
        </w:rPr>
        <w:t xml:space="preserve"> de </w:t>
      </w:r>
      <w:proofErr w:type="spellStart"/>
      <w:r w:rsidRPr="001D2A9C">
        <w:rPr>
          <w:lang w:val="en-US"/>
        </w:rPr>
        <w:t>América</w:t>
      </w:r>
      <w:proofErr w:type="spellEnd"/>
      <w:r w:rsidRPr="001D2A9C">
        <w:rPr>
          <w:lang w:val="en-US"/>
        </w:rPr>
        <w:t>.</w:t>
      </w:r>
    </w:p>
    <w:p w:rsidR="00256167" w:rsidRDefault="00256167" w:rsidP="00A1678C">
      <w:pPr>
        <w:pStyle w:val="Reftext"/>
        <w:rPr>
          <w:lang w:val="es-ES_tradnl"/>
        </w:rPr>
      </w:pPr>
      <w:r w:rsidRPr="001D2A9C">
        <w:rPr>
          <w:lang w:val="en-US"/>
        </w:rPr>
        <w:t xml:space="preserve">TILLOTSON, L. C. y </w:t>
      </w:r>
      <w:proofErr w:type="spellStart"/>
      <w:r w:rsidRPr="001D2A9C">
        <w:rPr>
          <w:lang w:val="en-US"/>
        </w:rPr>
        <w:t>otros</w:t>
      </w:r>
      <w:proofErr w:type="spellEnd"/>
      <w:r w:rsidRPr="001D2A9C">
        <w:rPr>
          <w:lang w:val="en-US"/>
        </w:rPr>
        <w:t xml:space="preserve"> [1973] Efficient use of the radio spectrum and bandwidth expansion. </w:t>
      </w:r>
      <w:proofErr w:type="spellStart"/>
      <w:r>
        <w:rPr>
          <w:i/>
          <w:lang w:val="es-ES_tradnl"/>
        </w:rPr>
        <w:t>Proc</w:t>
      </w:r>
      <w:proofErr w:type="spellEnd"/>
      <w:r>
        <w:rPr>
          <w:i/>
          <w:lang w:val="es-ES_tradnl"/>
        </w:rPr>
        <w:t>.</w:t>
      </w:r>
      <w:r w:rsidR="00A1678C">
        <w:rPr>
          <w:i/>
          <w:lang w:val="es-ES_tradnl"/>
        </w:rPr>
        <w:t> </w:t>
      </w:r>
      <w:r>
        <w:rPr>
          <w:i/>
          <w:lang w:val="es-ES_tradnl"/>
        </w:rPr>
        <w:t>IEEE</w:t>
      </w:r>
      <w:r>
        <w:rPr>
          <w:lang w:val="es-ES_tradnl"/>
        </w:rPr>
        <w:t xml:space="preserve">, 61, </w:t>
      </w:r>
      <w:r>
        <w:rPr>
          <w:b/>
          <w:lang w:val="es-ES_tradnl"/>
        </w:rPr>
        <w:t>4</w:t>
      </w:r>
      <w:r>
        <w:rPr>
          <w:lang w:val="es-ES_tradnl"/>
        </w:rPr>
        <w:t>.</w:t>
      </w:r>
    </w:p>
    <w:p w:rsidR="00256167" w:rsidRDefault="00256167" w:rsidP="00256167">
      <w:pPr>
        <w:pStyle w:val="Heading2"/>
        <w:rPr>
          <w:lang w:val="es-ES_tradnl"/>
        </w:rPr>
      </w:pPr>
      <w:r>
        <w:rPr>
          <w:lang w:val="es-ES_tradnl"/>
        </w:rPr>
        <w:t>2.4</w:t>
      </w:r>
      <w:r>
        <w:rPr>
          <w:lang w:val="es-ES_tradnl"/>
        </w:rPr>
        <w:tab/>
        <w:t>Evaluación de las propiedades de conservación del espectro de los nuevos avances tecnológicos en sistemas de radioenlaces digitales</w:t>
      </w:r>
    </w:p>
    <w:p w:rsidR="00256167" w:rsidRDefault="00256167" w:rsidP="00256167">
      <w:pPr>
        <w:pStyle w:val="Heading3"/>
        <w:rPr>
          <w:lang w:val="es-ES_tradnl"/>
        </w:rPr>
      </w:pPr>
      <w:r>
        <w:rPr>
          <w:lang w:val="es-ES_tradnl"/>
        </w:rPr>
        <w:t>2.4.1</w:t>
      </w:r>
      <w:r>
        <w:rPr>
          <w:lang w:val="es-ES_tradnl"/>
        </w:rPr>
        <w:tab/>
        <w:t>Introducción</w:t>
      </w:r>
    </w:p>
    <w:p w:rsidR="00256167" w:rsidRDefault="00256167" w:rsidP="00256167">
      <w:pPr>
        <w:rPr>
          <w:lang w:val="es-ES_tradnl"/>
        </w:rPr>
      </w:pPr>
      <w:r>
        <w:rPr>
          <w:lang w:val="es-ES_tradnl"/>
        </w:rPr>
        <w:t>Para evaluar las propiedades de conservación del espectro de diversos factores de diseño u opciones tecnológicas, se ideó un modelo informático. La EUE relativa que se puede obtener debe evaluarse cuantitativamente. El concepto de EUE puede ampliarse y definirse como:</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i/>
          <w:lang w:val="es-ES_tradnl"/>
        </w:rPr>
        <w:t>EUE</w:t>
      </w:r>
      <w:r w:rsidRPr="001D2A9C">
        <w:rPr>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CV</w:t>
      </w:r>
      <w:r>
        <w:rPr>
          <w:lang w:val="es-ES_tradnl"/>
        </w:rPr>
        <w:t>/(</w:t>
      </w:r>
      <w:r>
        <w:rPr>
          <w:i/>
          <w:lang w:val="es-ES_tradnl"/>
        </w:rPr>
        <w:t>T</w:t>
      </w:r>
      <w:r w:rsidRPr="001D2A9C">
        <w:rPr>
          <w:lang w:val="es-ES_tradnl"/>
        </w:rPr>
        <w:t xml:space="preserve"> </w:t>
      </w:r>
      <w:r>
        <w:rPr>
          <w:lang w:val="es-ES_tradnl"/>
        </w:rPr>
        <w:t xml:space="preserve"> ·  </w:t>
      </w:r>
      <w:r>
        <w:rPr>
          <w:i/>
          <w:lang w:val="es-ES_tradnl"/>
        </w:rPr>
        <w:t>A</w:t>
      </w:r>
      <w:r>
        <w:rPr>
          <w:lang w:val="es-ES_tradnl"/>
        </w:rPr>
        <w:t xml:space="preserve">  ·  </w:t>
      </w:r>
      <w:r>
        <w:rPr>
          <w:i/>
          <w:lang w:val="es-ES_tradnl"/>
        </w:rPr>
        <w:t>B</w:t>
      </w:r>
      <w:r>
        <w:rPr>
          <w:lang w:val="es-ES_tradnl"/>
        </w:rPr>
        <w:t>)</w:t>
      </w:r>
      <w:r>
        <w:rPr>
          <w:lang w:val="es-ES_tradnl"/>
        </w:rPr>
        <w:tab/>
        <w:t>(24)</w:t>
      </w:r>
    </w:p>
    <w:p w:rsidR="00256167" w:rsidRPr="007F0761" w:rsidRDefault="00256167" w:rsidP="00256167">
      <w:pPr>
        <w:pStyle w:val="Blanc"/>
        <w:rPr>
          <w:lang w:val="es-ES_tradnl"/>
        </w:rPr>
      </w:pPr>
    </w:p>
    <w:p w:rsidR="00256167" w:rsidRDefault="00256167" w:rsidP="00256167">
      <w:pPr>
        <w:rPr>
          <w:lang w:val="es-ES_tradnl"/>
        </w:rPr>
      </w:pPr>
      <w:r>
        <w:rPr>
          <w:lang w:val="es-ES_tradnl"/>
        </w:rPr>
        <w:t>siendo:</w:t>
      </w:r>
    </w:p>
    <w:p w:rsidR="00256167" w:rsidRPr="007F0761" w:rsidRDefault="00256167" w:rsidP="00256167">
      <w:pPr>
        <w:pStyle w:val="Equationlegend"/>
        <w:rPr>
          <w:lang w:val="es-ES_tradnl"/>
        </w:rPr>
      </w:pPr>
      <w:r w:rsidRPr="007F0761">
        <w:rPr>
          <w:lang w:val="es-ES_tradnl"/>
        </w:rPr>
        <w:tab/>
      </w:r>
      <w:r w:rsidRPr="007F0761">
        <w:rPr>
          <w:i/>
          <w:lang w:val="es-ES_tradnl"/>
        </w:rPr>
        <w:t>CV</w:t>
      </w:r>
      <w:r w:rsidRPr="007F0761">
        <w:rPr>
          <w:sz w:val="12"/>
          <w:lang w:val="es-ES_tradnl"/>
        </w:rPr>
        <w:t> </w:t>
      </w:r>
      <w:r w:rsidRPr="007F0761">
        <w:rPr>
          <w:lang w:val="es-ES_tradnl"/>
        </w:rPr>
        <w:t>:</w:t>
      </w:r>
      <w:r w:rsidRPr="007F0761">
        <w:rPr>
          <w:lang w:val="es-ES_tradnl"/>
        </w:rPr>
        <w:tab/>
        <w:t>número de canales vocales</w:t>
      </w:r>
    </w:p>
    <w:p w:rsidR="00256167" w:rsidRPr="007F0761" w:rsidRDefault="00256167" w:rsidP="00256167">
      <w:pPr>
        <w:pStyle w:val="Equationlegend"/>
        <w:rPr>
          <w:lang w:val="es-ES_tradnl"/>
        </w:rPr>
      </w:pPr>
      <w:r w:rsidRPr="007F0761">
        <w:rPr>
          <w:lang w:val="es-ES_tradnl"/>
        </w:rPr>
        <w:tab/>
      </w:r>
      <w:r w:rsidRPr="007F0761">
        <w:rPr>
          <w:i/>
          <w:lang w:val="es-ES_tradnl"/>
        </w:rPr>
        <w:t>T</w:t>
      </w:r>
      <w:r w:rsidRPr="007F0761">
        <w:rPr>
          <w:sz w:val="12"/>
          <w:lang w:val="es-ES_tradnl"/>
        </w:rPr>
        <w:t> </w:t>
      </w:r>
      <w:r w:rsidRPr="007F0761">
        <w:rPr>
          <w:lang w:val="es-ES_tradnl"/>
        </w:rPr>
        <w:t>:</w:t>
      </w:r>
      <w:r w:rsidRPr="007F0761">
        <w:rPr>
          <w:lang w:val="es-ES_tradnl"/>
        </w:rPr>
        <w:tab/>
        <w:t>fracción de tiempo de utilización de un sistema (definido como 1 en este análisis)</w:t>
      </w:r>
    </w:p>
    <w:p w:rsidR="00256167" w:rsidRPr="007F0761" w:rsidRDefault="00256167" w:rsidP="00256167">
      <w:pPr>
        <w:pStyle w:val="Equationlegend"/>
        <w:rPr>
          <w:lang w:val="es-ES_tradnl"/>
        </w:rPr>
      </w:pPr>
      <w:r w:rsidRPr="007F0761">
        <w:rPr>
          <w:lang w:val="es-ES_tradnl"/>
        </w:rPr>
        <w:tab/>
      </w:r>
      <w:r w:rsidRPr="007F0761">
        <w:rPr>
          <w:i/>
          <w:lang w:val="es-ES_tradnl"/>
        </w:rPr>
        <w:t>A</w:t>
      </w:r>
      <w:r w:rsidRPr="007F0761">
        <w:rPr>
          <w:sz w:val="12"/>
          <w:lang w:val="es-ES_tradnl"/>
        </w:rPr>
        <w:t> </w:t>
      </w:r>
      <w:r w:rsidRPr="007F0761">
        <w:rPr>
          <w:lang w:val="es-ES_tradnl"/>
        </w:rPr>
        <w:t>:</w:t>
      </w:r>
      <w:r w:rsidRPr="007F0761">
        <w:rPr>
          <w:lang w:val="es-ES_tradnl"/>
        </w:rPr>
        <w:tab/>
        <w:t>área denegada (km</w:t>
      </w:r>
      <w:r w:rsidRPr="007F0761">
        <w:rPr>
          <w:position w:val="6"/>
          <w:sz w:val="16"/>
          <w:lang w:val="es-ES_tradnl"/>
        </w:rPr>
        <w:t>2</w:t>
      </w:r>
      <w:r w:rsidRPr="007F0761">
        <w:rPr>
          <w:lang w:val="es-ES_tradnl"/>
        </w:rPr>
        <w:t>)</w:t>
      </w:r>
    </w:p>
    <w:p w:rsidR="00256167" w:rsidRPr="007F0761" w:rsidRDefault="00256167" w:rsidP="00256167">
      <w:pPr>
        <w:pStyle w:val="Equationlegend"/>
        <w:rPr>
          <w:lang w:val="es-ES_tradnl"/>
        </w:rPr>
      </w:pPr>
      <w:r w:rsidRPr="007F0761">
        <w:rPr>
          <w:lang w:val="es-ES_tradnl"/>
        </w:rPr>
        <w:tab/>
      </w:r>
      <w:r w:rsidRPr="007F0761">
        <w:rPr>
          <w:i/>
          <w:lang w:val="es-ES_tradnl"/>
        </w:rPr>
        <w:t>B</w:t>
      </w:r>
      <w:r w:rsidRPr="007F0761">
        <w:rPr>
          <w:sz w:val="12"/>
          <w:lang w:val="es-ES_tradnl"/>
        </w:rPr>
        <w:t> </w:t>
      </w:r>
      <w:r w:rsidRPr="007F0761">
        <w:rPr>
          <w:lang w:val="es-ES_tradnl"/>
        </w:rPr>
        <w:t>:</w:t>
      </w:r>
      <w:r w:rsidRPr="007F0761">
        <w:rPr>
          <w:lang w:val="es-ES_tradnl"/>
        </w:rPr>
        <w:tab/>
        <w:t>anchura de banda ocupada (MHz).</w:t>
      </w:r>
    </w:p>
    <w:p w:rsidR="00256167" w:rsidRDefault="00256167" w:rsidP="00256167">
      <w:pPr>
        <w:rPr>
          <w:lang w:val="es-ES_tradnl"/>
        </w:rPr>
      </w:pPr>
      <w:r>
        <w:rPr>
          <w:lang w:val="es-ES_tradnl"/>
        </w:rPr>
        <w:lastRenderedPageBreak/>
        <w:t>Se eligió la ecuación (24) porque tiene en cuenta tanto el espectro como el espacio (área) denegado en la valoración de las propiedades de conservación del espectro de un sistema. El área denegada es el área en la cual otro sistema no puede operar sin degradación de su funcionamiento por debajo de un criterio de calidad especificado. El área denegada es función de las características del diagrama de antena del sistema, de la potencia del transmisor y del umbral de interferencia del receptor.</w:t>
      </w:r>
    </w:p>
    <w:p w:rsidR="00256167" w:rsidRDefault="00256167" w:rsidP="00256167">
      <w:pPr>
        <w:rPr>
          <w:lang w:val="es-ES_tradnl"/>
        </w:rPr>
      </w:pPr>
      <w:r>
        <w:rPr>
          <w:lang w:val="es-ES_tradnl"/>
        </w:rPr>
        <w:t>El algoritmo utilizado para calcular el área denegada implica la segmentación (cuantificación) del diagrama de ganancia de la antena transmisora en varios segmentos, o sectores angulares, que representan con exactitud el diagrama de la antena. El diagrama de ganancia de la antena transmisora es un dato de entrada en el modelo que calcula el área denegada agregando las áreas denegadas de cada segmento. Geométricamente, cada segmento es un sector angular cuya área puede calcularse utilizando la siguiente fórmula:</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t xml:space="preserve">Área de sector angular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R</w:t>
      </w:r>
      <w:r w:rsidRPr="001D2A9C">
        <w:rPr>
          <w:position w:val="6"/>
          <w:sz w:val="18"/>
          <w:lang w:val="es-ES_tradnl"/>
        </w:rPr>
        <w:t>2</w:t>
      </w:r>
      <w:r w:rsidRPr="001D2A9C">
        <w:rPr>
          <w:lang w:val="es-ES_tradnl"/>
        </w:rPr>
        <w:t xml:space="preserve">  </w:t>
      </w:r>
      <w:r>
        <w:rPr>
          <w:rFonts w:ascii="Symbol" w:hAnsi="Symbol"/>
        </w:rPr>
        <w:t></w:t>
      </w:r>
      <w:r w:rsidRPr="001D2A9C">
        <w:rPr>
          <w:lang w:val="es-ES_tradnl"/>
        </w:rPr>
        <w:t xml:space="preserve"> </w:t>
      </w:r>
      <w:r>
        <w:rPr>
          <w:lang w:val="es-ES_tradnl"/>
        </w:rPr>
        <w:t>/ 360</w:t>
      </w:r>
      <w:r>
        <w:rPr>
          <w:lang w:val="es-ES_tradnl"/>
        </w:rPr>
        <w:tab/>
        <w:t>(25)</w:t>
      </w:r>
    </w:p>
    <w:p w:rsidR="00256167" w:rsidRPr="00FB0FF4" w:rsidRDefault="00256167" w:rsidP="00256167">
      <w:pPr>
        <w:pStyle w:val="Blanc"/>
        <w:rPr>
          <w:lang w:val="es-ES_tradnl"/>
        </w:rPr>
      </w:pPr>
    </w:p>
    <w:p w:rsidR="00256167" w:rsidRDefault="00256167" w:rsidP="00256167">
      <w:pPr>
        <w:rPr>
          <w:lang w:val="es-ES_tradnl"/>
        </w:rPr>
      </w:pPr>
      <w:r>
        <w:rPr>
          <w:lang w:val="es-ES_tradnl"/>
        </w:rPr>
        <w:t>siendo:</w:t>
      </w:r>
    </w:p>
    <w:p w:rsidR="00256167" w:rsidRPr="007F0761" w:rsidRDefault="00256167" w:rsidP="00256167">
      <w:pPr>
        <w:pStyle w:val="Equationlegend"/>
        <w:rPr>
          <w:lang w:val="es-ES_tradnl"/>
        </w:rPr>
      </w:pPr>
      <w:r w:rsidRPr="007F0761">
        <w:rPr>
          <w:lang w:val="es-ES_tradnl"/>
        </w:rPr>
        <w:tab/>
      </w:r>
      <w:r w:rsidRPr="007F0761">
        <w:rPr>
          <w:i/>
          <w:lang w:val="es-ES_tradnl"/>
        </w:rPr>
        <w:t>R</w:t>
      </w:r>
      <w:r w:rsidRPr="007F0761">
        <w:rPr>
          <w:sz w:val="12"/>
          <w:lang w:val="es-ES_tradnl"/>
        </w:rPr>
        <w:t> </w:t>
      </w:r>
      <w:r w:rsidRPr="007F0761">
        <w:rPr>
          <w:lang w:val="es-ES_tradnl"/>
        </w:rPr>
        <w:t>:</w:t>
      </w:r>
      <w:r w:rsidRPr="007F0761">
        <w:rPr>
          <w:lang w:val="es-ES_tradnl"/>
        </w:rPr>
        <w:tab/>
        <w:t>radio del sector (</w:t>
      </w:r>
      <w:r w:rsidRPr="007F0761">
        <w:rPr>
          <w:i/>
          <w:lang w:val="es-ES_tradnl"/>
        </w:rPr>
        <w:t>R</w:t>
      </w:r>
      <w:r w:rsidRPr="007F0761">
        <w:rPr>
          <w:position w:val="-4"/>
          <w:sz w:val="16"/>
          <w:lang w:val="es-ES_tradnl"/>
        </w:rPr>
        <w:t>1</w:t>
      </w:r>
      <w:r w:rsidRPr="007F0761">
        <w:rPr>
          <w:lang w:val="es-ES_tradnl"/>
        </w:rPr>
        <w:t xml:space="preserve">, </w:t>
      </w:r>
      <w:r w:rsidRPr="007F0761">
        <w:rPr>
          <w:i/>
          <w:lang w:val="es-ES_tradnl"/>
        </w:rPr>
        <w:t>R</w:t>
      </w:r>
      <w:r w:rsidRPr="007F0761">
        <w:rPr>
          <w:position w:val="-4"/>
          <w:sz w:val="16"/>
          <w:lang w:val="es-ES_tradnl"/>
        </w:rPr>
        <w:t>2</w:t>
      </w:r>
      <w:r w:rsidRPr="007F0761">
        <w:rPr>
          <w:lang w:val="es-ES_tradnl"/>
        </w:rPr>
        <w:t xml:space="preserve">, </w:t>
      </w:r>
      <w:r>
        <w:rPr>
          <w:rFonts w:ascii="Symbol" w:hAnsi="Symbol"/>
        </w:rPr>
        <w:t></w:t>
      </w:r>
      <w:r w:rsidRPr="007F0761">
        <w:rPr>
          <w:lang w:val="es-ES_tradnl"/>
        </w:rPr>
        <w:t xml:space="preserve">, </w:t>
      </w:r>
      <w:r w:rsidRPr="007F0761">
        <w:rPr>
          <w:i/>
          <w:lang w:val="es-ES_tradnl"/>
        </w:rPr>
        <w:t>R</w:t>
      </w:r>
      <w:r w:rsidRPr="007F0761">
        <w:rPr>
          <w:i/>
          <w:position w:val="-4"/>
          <w:sz w:val="16"/>
          <w:lang w:val="es-ES_tradnl"/>
        </w:rPr>
        <w:t>n</w:t>
      </w:r>
      <w:r w:rsidRPr="007F0761">
        <w:rPr>
          <w:lang w:val="es-ES_tradnl"/>
        </w:rPr>
        <w:t>)</w:t>
      </w:r>
    </w:p>
    <w:p w:rsidR="00256167" w:rsidRPr="007F0761" w:rsidRDefault="00256167" w:rsidP="00256167">
      <w:pPr>
        <w:pStyle w:val="Equationlegend"/>
        <w:rPr>
          <w:lang w:val="es-ES_tradnl"/>
        </w:rPr>
      </w:pPr>
      <w:r w:rsidRPr="007F0761">
        <w:rPr>
          <w:lang w:val="es-ES_tradnl"/>
        </w:rPr>
        <w:tab/>
      </w:r>
      <w:r>
        <w:rPr>
          <w:rFonts w:ascii="Symbol" w:hAnsi="Symbol"/>
        </w:rPr>
        <w:t></w:t>
      </w:r>
      <w:r w:rsidRPr="007F0761">
        <w:rPr>
          <w:sz w:val="12"/>
          <w:lang w:val="es-ES_tradnl"/>
        </w:rPr>
        <w:t> </w:t>
      </w:r>
      <w:r w:rsidRPr="007F0761">
        <w:rPr>
          <w:lang w:val="es-ES_tradnl"/>
        </w:rPr>
        <w:t>:</w:t>
      </w:r>
      <w:r w:rsidRPr="007F0761">
        <w:rPr>
          <w:lang w:val="es-ES_tradnl"/>
        </w:rPr>
        <w:tab/>
        <w:t>ángulo en el vértice del sector (</w:t>
      </w:r>
      <w:r>
        <w:rPr>
          <w:rFonts w:ascii="Symbol" w:hAnsi="Symbol"/>
        </w:rPr>
        <w:t></w:t>
      </w:r>
      <w:r w:rsidRPr="007F0761">
        <w:rPr>
          <w:position w:val="-4"/>
          <w:sz w:val="16"/>
          <w:lang w:val="es-ES_tradnl"/>
        </w:rPr>
        <w:t>1</w:t>
      </w:r>
      <w:r w:rsidRPr="007F0761">
        <w:rPr>
          <w:lang w:val="es-ES_tradnl"/>
        </w:rPr>
        <w:t xml:space="preserve">, </w:t>
      </w:r>
      <w:r>
        <w:rPr>
          <w:rFonts w:ascii="Symbol" w:hAnsi="Symbol"/>
        </w:rPr>
        <w:t></w:t>
      </w:r>
      <w:r w:rsidRPr="007F0761">
        <w:rPr>
          <w:position w:val="-4"/>
          <w:sz w:val="16"/>
          <w:lang w:val="es-ES_tradnl"/>
        </w:rPr>
        <w:t>2</w:t>
      </w:r>
      <w:r w:rsidRPr="007F0761">
        <w:rPr>
          <w:lang w:val="es-ES_tradnl"/>
        </w:rPr>
        <w:t xml:space="preserve">, </w:t>
      </w:r>
      <w:r>
        <w:rPr>
          <w:rFonts w:ascii="Symbol" w:hAnsi="Symbol"/>
        </w:rPr>
        <w:t></w:t>
      </w:r>
      <w:r w:rsidRPr="007F0761">
        <w:rPr>
          <w:lang w:val="es-ES_tradnl"/>
        </w:rPr>
        <w:t xml:space="preserve">, </w:t>
      </w:r>
      <w:r>
        <w:rPr>
          <w:rFonts w:ascii="Symbol" w:hAnsi="Symbol"/>
        </w:rPr>
        <w:t></w:t>
      </w:r>
      <w:r w:rsidRPr="007F0761">
        <w:rPr>
          <w:i/>
          <w:position w:val="-4"/>
          <w:sz w:val="16"/>
          <w:lang w:val="es-ES_tradnl"/>
        </w:rPr>
        <w:t>n</w:t>
      </w:r>
      <w:r w:rsidRPr="007F0761">
        <w:rPr>
          <w:lang w:val="es-ES_tradnl"/>
        </w:rPr>
        <w:t>)</w:t>
      </w:r>
    </w:p>
    <w:p w:rsidR="00256167" w:rsidRPr="007F0761" w:rsidRDefault="00256167" w:rsidP="00256167">
      <w:pPr>
        <w:pStyle w:val="Equationlegend"/>
        <w:rPr>
          <w:lang w:val="es-ES_tradnl"/>
        </w:rPr>
      </w:pPr>
      <w:r w:rsidRPr="007F0761">
        <w:rPr>
          <w:lang w:val="es-ES_tradnl"/>
        </w:rPr>
        <w:tab/>
      </w:r>
      <w:r w:rsidRPr="007F0761">
        <w:rPr>
          <w:i/>
          <w:lang w:val="es-ES_tradnl"/>
        </w:rPr>
        <w:t>n</w:t>
      </w:r>
      <w:r w:rsidRPr="007F0761">
        <w:rPr>
          <w:sz w:val="12"/>
          <w:lang w:val="es-ES_tradnl"/>
        </w:rPr>
        <w:t> </w:t>
      </w:r>
      <w:r w:rsidRPr="007F0761">
        <w:rPr>
          <w:lang w:val="es-ES_tradnl"/>
        </w:rPr>
        <w:t>:</w:t>
      </w:r>
      <w:r w:rsidRPr="007F0761">
        <w:rPr>
          <w:lang w:val="es-ES_tradnl"/>
        </w:rPr>
        <w:tab/>
        <w:t>número de segmentos angulares.</w:t>
      </w:r>
    </w:p>
    <w:p w:rsidR="00256167" w:rsidRDefault="00256167" w:rsidP="00256167">
      <w:pPr>
        <w:rPr>
          <w:lang w:val="es-ES_tradnl"/>
        </w:rPr>
      </w:pPr>
      <w:r>
        <w:rPr>
          <w:lang w:val="es-ES_tradnl"/>
        </w:rPr>
        <w:t xml:space="preserve">Los radios </w:t>
      </w:r>
      <w:r>
        <w:rPr>
          <w:i/>
          <w:lang w:val="es-ES_tradnl"/>
        </w:rPr>
        <w:t>R</w:t>
      </w:r>
      <w:r w:rsidRPr="001D2A9C">
        <w:rPr>
          <w:i/>
          <w:position w:val="-4"/>
          <w:sz w:val="16"/>
          <w:lang w:val="es-ES_tradnl"/>
        </w:rPr>
        <w:t>n</w:t>
      </w:r>
      <w:r>
        <w:rPr>
          <w:lang w:val="es-ES_tradnl"/>
        </w:rPr>
        <w:t xml:space="preserve"> de cada sector se calcularon utilizando la relación:</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i/>
          <w:lang w:val="es-ES_tradnl"/>
        </w:rPr>
        <w:t>L</w:t>
      </w:r>
      <w:r>
        <w:rPr>
          <w:lang w:val="es-ES_tradnl"/>
        </w:rPr>
        <w:t>(</w:t>
      </w:r>
      <w:r>
        <w:rPr>
          <w:i/>
          <w:lang w:val="es-ES_tradnl"/>
        </w:rPr>
        <w:t>R</w:t>
      </w:r>
      <w:r>
        <w:rPr>
          <w:lang w:val="es-ES_tradnl"/>
        </w:rPr>
        <w:t xml:space="preserve">)  </w:t>
      </w:r>
      <w:r>
        <w:rPr>
          <w:rFonts w:ascii="Symbol" w:hAnsi="Symbol"/>
          <w:lang w:val="es-ES_tradnl"/>
        </w:rPr>
        <w:t></w:t>
      </w:r>
      <w:r>
        <w:rPr>
          <w:lang w:val="es-ES_tradnl"/>
        </w:rPr>
        <w:t xml:space="preserve">  </w:t>
      </w:r>
      <w:r>
        <w:rPr>
          <w:i/>
          <w:lang w:val="es-ES_tradnl"/>
        </w:rPr>
        <w:t>P</w:t>
      </w:r>
      <w:r w:rsidRPr="001D2A9C">
        <w:rPr>
          <w:i/>
          <w:position w:val="-4"/>
          <w:sz w:val="18"/>
          <w:lang w:val="es-ES_tradnl"/>
        </w:rPr>
        <w:t>t</w:t>
      </w:r>
      <w:r>
        <w:rPr>
          <w:lang w:val="es-ES_tradnl"/>
        </w:rPr>
        <w:t xml:space="preserve">  </w:t>
      </w:r>
      <w:r>
        <w:rPr>
          <w:rFonts w:ascii="Symbol" w:hAnsi="Symbol"/>
        </w:rPr>
        <w:t></w:t>
      </w:r>
      <w:r>
        <w:rPr>
          <w:lang w:val="es-ES_tradnl"/>
        </w:rPr>
        <w:t xml:space="preserve">  </w:t>
      </w:r>
      <w:r>
        <w:rPr>
          <w:i/>
          <w:lang w:val="es-ES_tradnl"/>
        </w:rPr>
        <w:t>G</w:t>
      </w:r>
      <w:r w:rsidRPr="001D2A9C">
        <w:rPr>
          <w:i/>
          <w:position w:val="-4"/>
          <w:sz w:val="18"/>
          <w:lang w:val="es-ES_tradnl"/>
        </w:rPr>
        <w:t>t</w:t>
      </w:r>
      <w:r>
        <w:rPr>
          <w:lang w:val="es-ES_tradnl"/>
        </w:rPr>
        <w:t>(</w:t>
      </w:r>
      <w:r>
        <w:rPr>
          <w:i/>
          <w:lang w:val="es-ES_tradnl"/>
        </w:rPr>
        <w:t>n</w:t>
      </w:r>
      <w:r>
        <w:rPr>
          <w:lang w:val="es-ES_tradnl"/>
        </w:rPr>
        <w:t xml:space="preserve">)  </w:t>
      </w:r>
      <w:r>
        <w:rPr>
          <w:rFonts w:ascii="Symbol" w:hAnsi="Symbol"/>
          <w:lang w:val="es-ES_tradnl"/>
        </w:rPr>
        <w:t></w:t>
      </w:r>
      <w:r>
        <w:rPr>
          <w:lang w:val="es-ES_tradnl"/>
        </w:rPr>
        <w:t xml:space="preserve">  </w:t>
      </w:r>
      <w:r>
        <w:rPr>
          <w:i/>
          <w:lang w:val="es-ES_tradnl"/>
        </w:rPr>
        <w:t>G</w:t>
      </w:r>
      <w:r w:rsidRPr="001D2A9C">
        <w:rPr>
          <w:i/>
          <w:position w:val="-4"/>
          <w:sz w:val="18"/>
          <w:lang w:val="es-ES_tradnl"/>
        </w:rPr>
        <w:t>r</w:t>
      </w:r>
      <w:r>
        <w:rPr>
          <w:lang w:val="es-ES_tradnl"/>
        </w:rPr>
        <w:t xml:space="preserve">  –  </w:t>
      </w:r>
      <w:r>
        <w:rPr>
          <w:i/>
          <w:lang w:val="es-ES_tradnl"/>
        </w:rPr>
        <w:t>I</w:t>
      </w:r>
      <w:proofErr w:type="spellStart"/>
      <w:r>
        <w:rPr>
          <w:i/>
          <w:position w:val="-4"/>
          <w:sz w:val="18"/>
          <w:lang w:val="es-ES_tradnl"/>
        </w:rPr>
        <w:t>máx</w:t>
      </w:r>
      <w:proofErr w:type="spellEnd"/>
      <w:r>
        <w:rPr>
          <w:lang w:val="es-ES_tradnl"/>
        </w:rPr>
        <w:tab/>
        <w:t>(26)</w:t>
      </w:r>
    </w:p>
    <w:p w:rsidR="00256167" w:rsidRPr="00FB0FF4" w:rsidRDefault="00256167" w:rsidP="00256167">
      <w:pPr>
        <w:pStyle w:val="Blanc"/>
        <w:rPr>
          <w:lang w:val="es-ES_tradnl"/>
        </w:rPr>
      </w:pPr>
    </w:p>
    <w:p w:rsidR="00256167" w:rsidRDefault="00256167" w:rsidP="00256167">
      <w:pPr>
        <w:rPr>
          <w:lang w:val="es-ES_tradnl"/>
        </w:rPr>
      </w:pPr>
      <w:r>
        <w:rPr>
          <w:lang w:val="es-ES_tradnl"/>
        </w:rPr>
        <w:t>siendo:</w:t>
      </w:r>
    </w:p>
    <w:p w:rsidR="00256167" w:rsidRPr="007F0761" w:rsidRDefault="00256167" w:rsidP="00256167">
      <w:pPr>
        <w:pStyle w:val="Equationlegend"/>
        <w:rPr>
          <w:lang w:val="es-ES_tradnl"/>
        </w:rPr>
      </w:pPr>
      <w:r w:rsidRPr="007F0761">
        <w:rPr>
          <w:lang w:val="es-ES_tradnl"/>
        </w:rPr>
        <w:tab/>
      </w:r>
      <w:r w:rsidRPr="007F0761">
        <w:rPr>
          <w:i/>
          <w:lang w:val="es-ES_tradnl"/>
        </w:rPr>
        <w:t>L</w:t>
      </w:r>
      <w:r w:rsidRPr="007F0761">
        <w:rPr>
          <w:lang w:val="es-ES_tradnl"/>
        </w:rPr>
        <w:t>(</w:t>
      </w:r>
      <w:r w:rsidRPr="007F0761">
        <w:rPr>
          <w:i/>
          <w:lang w:val="es-ES_tradnl"/>
        </w:rPr>
        <w:t>R</w:t>
      </w:r>
      <w:r w:rsidRPr="007F0761">
        <w:rPr>
          <w:lang w:val="es-ES_tradnl"/>
        </w:rPr>
        <w:t>):</w:t>
      </w:r>
      <w:r w:rsidRPr="007F0761">
        <w:rPr>
          <w:lang w:val="es-ES_tradnl"/>
        </w:rPr>
        <w:tab/>
        <w:t>pérdida de propagación necesaria (dB)</w:t>
      </w:r>
    </w:p>
    <w:p w:rsidR="00256167" w:rsidRPr="007F0761" w:rsidRDefault="00256167" w:rsidP="00256167">
      <w:pPr>
        <w:pStyle w:val="Equationlegend"/>
        <w:rPr>
          <w:lang w:val="es-ES_tradnl"/>
        </w:rPr>
      </w:pPr>
      <w:r w:rsidRPr="007F0761">
        <w:rPr>
          <w:lang w:val="es-ES_tradnl"/>
        </w:rPr>
        <w:tab/>
      </w:r>
      <w:r w:rsidRPr="007F0761">
        <w:rPr>
          <w:i/>
          <w:lang w:val="es-ES_tradnl"/>
        </w:rPr>
        <w:t>P</w:t>
      </w:r>
      <w:r w:rsidRPr="007F0761">
        <w:rPr>
          <w:i/>
          <w:position w:val="-4"/>
          <w:sz w:val="16"/>
          <w:lang w:val="es-ES_tradnl"/>
        </w:rPr>
        <w:t>t</w:t>
      </w:r>
      <w:r w:rsidRPr="007F0761">
        <w:rPr>
          <w:sz w:val="12"/>
          <w:lang w:val="es-ES_tradnl"/>
        </w:rPr>
        <w:t> </w:t>
      </w:r>
      <w:r w:rsidRPr="007F0761">
        <w:rPr>
          <w:lang w:val="es-ES_tradnl"/>
        </w:rPr>
        <w:t>:</w:t>
      </w:r>
      <w:r w:rsidRPr="007F0761">
        <w:rPr>
          <w:lang w:val="es-ES_tradnl"/>
        </w:rPr>
        <w:tab/>
        <w:t>potencia de salida del transmisor (</w:t>
      </w:r>
      <w:proofErr w:type="spellStart"/>
      <w:r w:rsidRPr="007F0761">
        <w:rPr>
          <w:lang w:val="es-ES_tradnl"/>
        </w:rPr>
        <w:t>dBm</w:t>
      </w:r>
      <w:proofErr w:type="spellEnd"/>
      <w:r w:rsidRPr="007F0761">
        <w:rPr>
          <w:lang w:val="es-ES_tradnl"/>
        </w:rPr>
        <w:t>)</w:t>
      </w:r>
    </w:p>
    <w:p w:rsidR="00256167" w:rsidRPr="007F0761" w:rsidRDefault="00256167" w:rsidP="00256167">
      <w:pPr>
        <w:pStyle w:val="Equationlegend"/>
        <w:rPr>
          <w:lang w:val="es-ES_tradnl"/>
        </w:rPr>
      </w:pPr>
      <w:r w:rsidRPr="007F0761">
        <w:rPr>
          <w:lang w:val="es-ES_tradnl"/>
        </w:rPr>
        <w:tab/>
      </w:r>
      <w:r w:rsidRPr="007F0761">
        <w:rPr>
          <w:i/>
          <w:lang w:val="es-ES_tradnl"/>
        </w:rPr>
        <w:t>G</w:t>
      </w:r>
      <w:r w:rsidRPr="007F0761">
        <w:rPr>
          <w:i/>
          <w:position w:val="-4"/>
          <w:sz w:val="16"/>
          <w:lang w:val="es-ES_tradnl"/>
        </w:rPr>
        <w:t>t</w:t>
      </w:r>
      <w:r w:rsidRPr="007F0761">
        <w:rPr>
          <w:lang w:val="es-ES_tradnl"/>
        </w:rPr>
        <w:t>(</w:t>
      </w:r>
      <w:r w:rsidRPr="007F0761">
        <w:rPr>
          <w:i/>
          <w:lang w:val="es-ES_tradnl"/>
        </w:rPr>
        <w:t>n</w:t>
      </w:r>
      <w:r w:rsidRPr="007F0761">
        <w:rPr>
          <w:lang w:val="es-ES_tradnl"/>
        </w:rPr>
        <w:t>)</w:t>
      </w:r>
      <w:r w:rsidRPr="007F0761">
        <w:rPr>
          <w:sz w:val="12"/>
          <w:lang w:val="es-ES_tradnl"/>
        </w:rPr>
        <w:t> </w:t>
      </w:r>
      <w:r w:rsidRPr="007F0761">
        <w:rPr>
          <w:lang w:val="es-ES_tradnl"/>
        </w:rPr>
        <w:t>:</w:t>
      </w:r>
      <w:r w:rsidRPr="007F0761">
        <w:rPr>
          <w:lang w:val="es-ES_tradnl"/>
        </w:rPr>
        <w:tab/>
        <w:t xml:space="preserve">ganancia de la antena transmisora para el sector </w:t>
      </w:r>
      <w:r w:rsidRPr="007F0761">
        <w:rPr>
          <w:i/>
          <w:lang w:val="es-ES_tradnl"/>
        </w:rPr>
        <w:t>n</w:t>
      </w:r>
      <w:r w:rsidRPr="007F0761">
        <w:rPr>
          <w:lang w:val="es-ES_tradnl"/>
        </w:rPr>
        <w:t xml:space="preserve"> (</w:t>
      </w:r>
      <w:proofErr w:type="spellStart"/>
      <w:r w:rsidRPr="007F0761">
        <w:rPr>
          <w:lang w:val="es-ES_tradnl"/>
        </w:rPr>
        <w:t>dBi</w:t>
      </w:r>
      <w:proofErr w:type="spellEnd"/>
      <w:r w:rsidRPr="007F0761">
        <w:rPr>
          <w:lang w:val="es-ES_tradnl"/>
        </w:rPr>
        <w:t>)</w:t>
      </w:r>
    </w:p>
    <w:p w:rsidR="00256167" w:rsidRPr="007F0761" w:rsidRDefault="00256167" w:rsidP="00256167">
      <w:pPr>
        <w:pStyle w:val="Equationlegend"/>
        <w:rPr>
          <w:lang w:val="es-ES_tradnl"/>
        </w:rPr>
      </w:pPr>
      <w:r w:rsidRPr="007F0761">
        <w:rPr>
          <w:lang w:val="es-ES_tradnl"/>
        </w:rPr>
        <w:tab/>
      </w:r>
      <w:r w:rsidRPr="007F0761">
        <w:rPr>
          <w:i/>
          <w:lang w:val="es-ES_tradnl"/>
        </w:rPr>
        <w:t>G</w:t>
      </w:r>
      <w:r w:rsidRPr="007F0761">
        <w:rPr>
          <w:i/>
          <w:position w:val="-4"/>
          <w:sz w:val="16"/>
          <w:lang w:val="es-ES_tradnl"/>
        </w:rPr>
        <w:t>r</w:t>
      </w:r>
      <w:r w:rsidRPr="007F0761">
        <w:rPr>
          <w:sz w:val="12"/>
          <w:lang w:val="es-ES_tradnl"/>
        </w:rPr>
        <w:t> </w:t>
      </w:r>
      <w:r w:rsidRPr="007F0761">
        <w:rPr>
          <w:lang w:val="es-ES_tradnl"/>
        </w:rPr>
        <w:t>:</w:t>
      </w:r>
      <w:r w:rsidRPr="007F0761">
        <w:rPr>
          <w:lang w:val="es-ES_tradnl"/>
        </w:rPr>
        <w:tab/>
        <w:t xml:space="preserve">ganancia de la antena receptora, –10 </w:t>
      </w:r>
      <w:proofErr w:type="spellStart"/>
      <w:r w:rsidRPr="007F0761">
        <w:rPr>
          <w:lang w:val="es-ES_tradnl"/>
        </w:rPr>
        <w:t>dBi</w:t>
      </w:r>
      <w:proofErr w:type="spellEnd"/>
    </w:p>
    <w:p w:rsidR="00256167" w:rsidRPr="007F0761" w:rsidRDefault="00256167" w:rsidP="00256167">
      <w:pPr>
        <w:pStyle w:val="Equationlegend"/>
        <w:rPr>
          <w:lang w:val="es-ES_tradnl"/>
        </w:rPr>
      </w:pPr>
      <w:r w:rsidRPr="007F0761">
        <w:rPr>
          <w:lang w:val="es-ES_tradnl"/>
        </w:rPr>
        <w:tab/>
      </w:r>
      <w:r w:rsidRPr="007F0761">
        <w:rPr>
          <w:i/>
          <w:lang w:val="es-ES_tradnl"/>
        </w:rPr>
        <w:t>I</w:t>
      </w:r>
      <w:proofErr w:type="spellStart"/>
      <w:r w:rsidRPr="007F0761">
        <w:rPr>
          <w:i/>
          <w:position w:val="-4"/>
          <w:sz w:val="16"/>
          <w:lang w:val="es-ES_tradnl"/>
        </w:rPr>
        <w:t>máx</w:t>
      </w:r>
      <w:proofErr w:type="spellEnd"/>
      <w:r w:rsidRPr="007F0761">
        <w:rPr>
          <w:sz w:val="12"/>
          <w:lang w:val="es-ES_tradnl"/>
        </w:rPr>
        <w:t> </w:t>
      </w:r>
      <w:r w:rsidRPr="007F0761">
        <w:rPr>
          <w:lang w:val="es-ES_tradnl"/>
        </w:rPr>
        <w:t>:</w:t>
      </w:r>
      <w:r w:rsidRPr="007F0761">
        <w:rPr>
          <w:lang w:val="es-ES_tradnl"/>
        </w:rPr>
        <w:tab/>
        <w:t>nivel de interferencia admisible máxima (</w:t>
      </w:r>
      <w:proofErr w:type="spellStart"/>
      <w:r w:rsidRPr="007F0761">
        <w:rPr>
          <w:lang w:val="es-ES_tradnl"/>
        </w:rPr>
        <w:t>dBm</w:t>
      </w:r>
      <w:proofErr w:type="spellEnd"/>
      <w:r w:rsidRPr="007F0761">
        <w:rPr>
          <w:lang w:val="es-ES_tradnl"/>
        </w:rPr>
        <w:t>).</w:t>
      </w:r>
    </w:p>
    <w:p w:rsidR="00256167" w:rsidRDefault="00256167" w:rsidP="00256167">
      <w:pPr>
        <w:rPr>
          <w:lang w:val="es-ES_tradnl"/>
        </w:rPr>
      </w:pPr>
      <w:r>
        <w:rPr>
          <w:lang w:val="es-ES_tradnl"/>
        </w:rPr>
        <w:t xml:space="preserve">A continuación se determina la distancia </w:t>
      </w:r>
      <w:r>
        <w:rPr>
          <w:i/>
          <w:lang w:val="es-ES_tradnl"/>
        </w:rPr>
        <w:t>R</w:t>
      </w:r>
      <w:r>
        <w:rPr>
          <w:lang w:val="es-ES_tradnl"/>
        </w:rPr>
        <w:t xml:space="preserve"> correspondiente a la atenuación requerida, utilizando un modelo de propagación inversa en tierra lisa. Esto facilita la evaluación del área denegada para cada sector angular (véase la ecuación (25)).</w:t>
      </w:r>
    </w:p>
    <w:p w:rsidR="00256167" w:rsidRDefault="00256167" w:rsidP="00256167">
      <w:pPr>
        <w:rPr>
          <w:lang w:val="es-ES_tradnl"/>
        </w:rPr>
      </w:pPr>
      <w:r>
        <w:rPr>
          <w:lang w:val="es-ES_tradnl"/>
        </w:rPr>
        <w:t>Para aplicar la ecuación (24) a sistemas de radioenlaces punto a punto, es necesario establecer las características de un sistema de referencia entre dos estaciones de microondas. Estas características incluyen la longitud del trayecto, la atenuación del trayecto, la ganancia de las antenas, las pérdidas de inserción, el margen de desvanecimiento y la ganancia del sistema. También es necesario establecer algunas características para los tipos de modulación en cuestión. Las modulaciones digitales consideradas en esta investigación son las MAQ-16, MAQ-64 y MAQ-256. Las características supuestas de los sistemas de radioenlaces digitales se basan en la norma norteamericana y son las que siguen:</w:t>
      </w:r>
    </w:p>
    <w:p w:rsidR="00B33282" w:rsidRDefault="00B33282">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256167" w:rsidRPr="001D2A9C" w:rsidRDefault="00256167" w:rsidP="00256167">
      <w:pPr>
        <w:pStyle w:val="Headingb"/>
        <w:rPr>
          <w:lang w:val="es-ES_tradnl"/>
        </w:rPr>
      </w:pPr>
      <w:r w:rsidRPr="001D2A9C">
        <w:rPr>
          <w:lang w:val="es-ES_tradnl"/>
        </w:rPr>
        <w:lastRenderedPageBreak/>
        <w:t>Parámetros (véase la Nota 1) del sistema de radioenlace digital</w:t>
      </w:r>
    </w:p>
    <w:p w:rsidR="00256167" w:rsidRPr="001D2A9C" w:rsidRDefault="00256167" w:rsidP="00256167">
      <w:pPr>
        <w:pStyle w:val="enumlev1"/>
        <w:tabs>
          <w:tab w:val="clear" w:pos="1191"/>
          <w:tab w:val="clear" w:pos="1588"/>
          <w:tab w:val="clear" w:pos="1985"/>
          <w:tab w:val="left" w:pos="4253"/>
        </w:tabs>
        <w:ind w:left="4253" w:hanging="4253"/>
        <w:jc w:val="left"/>
        <w:rPr>
          <w:lang w:val="es-ES_tradnl"/>
        </w:rPr>
      </w:pPr>
      <w:r>
        <w:rPr>
          <w:lang w:val="es-ES_tradnl"/>
        </w:rPr>
        <w:t>–</w:t>
      </w:r>
      <w:r>
        <w:rPr>
          <w:lang w:val="es-ES_tradnl"/>
        </w:rPr>
        <w:tab/>
        <w:t>Canales de voz:</w:t>
      </w:r>
      <w:r>
        <w:rPr>
          <w:lang w:val="es-ES_tradnl"/>
        </w:rPr>
        <w:tab/>
        <w:t>1</w:t>
      </w:r>
      <w:r>
        <w:rPr>
          <w:rFonts w:ascii="Tms Rmn" w:hAnsi="Tms Rmn"/>
          <w:sz w:val="12"/>
          <w:lang w:val="es-ES_tradnl"/>
        </w:rPr>
        <w:t> </w:t>
      </w:r>
      <w:r>
        <w:rPr>
          <w:lang w:val="es-ES_tradnl"/>
        </w:rPr>
        <w:t>344 para MAQ-16</w:t>
      </w:r>
      <w:r>
        <w:rPr>
          <w:lang w:val="es-ES_tradnl"/>
        </w:rPr>
        <w:br/>
        <w:t>2</w:t>
      </w:r>
      <w:r>
        <w:rPr>
          <w:rFonts w:ascii="Tms Rmn" w:hAnsi="Tms Rmn"/>
          <w:sz w:val="12"/>
          <w:lang w:val="es-ES_tradnl"/>
        </w:rPr>
        <w:t> </w:t>
      </w:r>
      <w:r>
        <w:rPr>
          <w:lang w:val="es-ES_tradnl"/>
        </w:rPr>
        <w:t>016 para MAQ-64</w:t>
      </w:r>
      <w:r>
        <w:rPr>
          <w:lang w:val="es-ES_tradnl"/>
        </w:rPr>
        <w:br/>
        <w:t>2</w:t>
      </w:r>
      <w:r>
        <w:rPr>
          <w:rFonts w:ascii="Tms Rmn" w:hAnsi="Tms Rmn"/>
          <w:sz w:val="12"/>
          <w:lang w:val="es-ES_tradnl"/>
        </w:rPr>
        <w:t> </w:t>
      </w:r>
      <w:r>
        <w:rPr>
          <w:lang w:val="es-ES_tradnl"/>
        </w:rPr>
        <w:t>688 para MAQ-256</w:t>
      </w:r>
    </w:p>
    <w:p w:rsidR="00256167" w:rsidRDefault="00256167" w:rsidP="00256167">
      <w:pPr>
        <w:pStyle w:val="enumlev1"/>
        <w:tabs>
          <w:tab w:val="clear" w:pos="1191"/>
          <w:tab w:val="clear" w:pos="1588"/>
          <w:tab w:val="clear" w:pos="1985"/>
          <w:tab w:val="left" w:pos="4253"/>
        </w:tabs>
        <w:ind w:left="4253" w:hanging="4253"/>
        <w:jc w:val="left"/>
        <w:rPr>
          <w:lang w:val="es-ES_tradnl"/>
        </w:rPr>
      </w:pPr>
      <w:r>
        <w:rPr>
          <w:lang w:val="es-ES_tradnl"/>
        </w:rPr>
        <w:t>–</w:t>
      </w:r>
      <w:r>
        <w:rPr>
          <w:lang w:val="es-ES_tradnl"/>
        </w:rPr>
        <w:tab/>
        <w:t>Velocidad binaria:</w:t>
      </w:r>
      <w:r>
        <w:rPr>
          <w:lang w:val="es-ES_tradnl"/>
        </w:rPr>
        <w:tab/>
      </w:r>
      <w:r>
        <w:rPr>
          <w:rFonts w:ascii="MS Mincho" w:eastAsia="MS Mincho" w:hAnsi="MS Mincho" w:cs="MS Mincho" w:hint="eastAsia"/>
          <w:lang w:val="es-ES_tradnl"/>
        </w:rPr>
        <w:t> </w:t>
      </w:r>
      <w:r>
        <w:rPr>
          <w:lang w:val="es-ES_tradnl"/>
        </w:rPr>
        <w:t>90 Mbit/s para MAQ-16</w:t>
      </w:r>
      <w:r>
        <w:rPr>
          <w:lang w:val="es-ES_tradnl"/>
        </w:rPr>
        <w:br/>
        <w:t>135 Mbit/s para MAQ-64</w:t>
      </w:r>
      <w:r>
        <w:rPr>
          <w:lang w:val="es-ES_tradnl"/>
        </w:rPr>
        <w:br/>
        <w:t>180 Mbit/s para MAQ-256</w:t>
      </w:r>
    </w:p>
    <w:p w:rsidR="00256167" w:rsidRPr="001D2A9C" w:rsidRDefault="00256167" w:rsidP="00256167">
      <w:pPr>
        <w:pStyle w:val="enumlev1"/>
        <w:tabs>
          <w:tab w:val="clear" w:pos="1191"/>
          <w:tab w:val="clear" w:pos="1588"/>
          <w:tab w:val="clear" w:pos="1985"/>
          <w:tab w:val="left" w:pos="4253"/>
        </w:tabs>
        <w:ind w:left="4253" w:hanging="4253"/>
        <w:jc w:val="left"/>
        <w:rPr>
          <w:lang w:val="es-ES_tradnl"/>
        </w:rPr>
      </w:pPr>
      <w:r>
        <w:rPr>
          <w:lang w:val="es-ES_tradnl"/>
        </w:rPr>
        <w:t>–</w:t>
      </w:r>
      <w:r>
        <w:rPr>
          <w:lang w:val="es-ES_tradnl"/>
        </w:rPr>
        <w:tab/>
        <w:t>BER:</w:t>
      </w:r>
      <w:r>
        <w:rPr>
          <w:lang w:val="es-ES_tradnl"/>
        </w:rPr>
        <w:tab/>
        <w:t xml:space="preserve">1 </w:t>
      </w:r>
      <w:r>
        <w:rPr>
          <w:rFonts w:ascii="Symbol" w:hAnsi="Symbol"/>
          <w:lang w:val="es-ES_tradnl"/>
        </w:rPr>
        <w:t></w:t>
      </w:r>
      <w:r>
        <w:rPr>
          <w:lang w:val="es-ES_tradnl"/>
        </w:rPr>
        <w:t xml:space="preserve"> 10</w:t>
      </w:r>
      <w:r>
        <w:rPr>
          <w:position w:val="6"/>
          <w:sz w:val="16"/>
          <w:lang w:val="es-ES_tradnl"/>
        </w:rPr>
        <w:t>–</w:t>
      </w:r>
      <w:r>
        <w:rPr>
          <w:rFonts w:ascii="Tms Rmn" w:hAnsi="Tms Rmn"/>
          <w:position w:val="6"/>
          <w:sz w:val="8"/>
          <w:lang w:val="es-ES_tradnl"/>
        </w:rPr>
        <w:t> </w:t>
      </w:r>
      <w:r>
        <w:rPr>
          <w:position w:val="6"/>
          <w:sz w:val="16"/>
          <w:lang w:val="es-ES_tradnl"/>
        </w:rPr>
        <w:t>6</w:t>
      </w:r>
    </w:p>
    <w:p w:rsidR="00256167" w:rsidRPr="001D2A9C" w:rsidRDefault="00256167" w:rsidP="00256167">
      <w:pPr>
        <w:pStyle w:val="enumlev1"/>
        <w:tabs>
          <w:tab w:val="clear" w:pos="1191"/>
          <w:tab w:val="clear" w:pos="1588"/>
          <w:tab w:val="clear" w:pos="1985"/>
          <w:tab w:val="left" w:pos="4253"/>
        </w:tabs>
        <w:ind w:left="4253" w:hanging="4253"/>
        <w:jc w:val="left"/>
        <w:rPr>
          <w:lang w:val="es-ES_tradnl"/>
        </w:rPr>
      </w:pPr>
      <w:r>
        <w:rPr>
          <w:lang w:val="es-ES_tradnl"/>
        </w:rPr>
        <w:t>–</w:t>
      </w:r>
      <w:r>
        <w:rPr>
          <w:lang w:val="es-ES_tradnl"/>
        </w:rPr>
        <w:tab/>
        <w:t xml:space="preserve">Factor de ruido del receptor, </w:t>
      </w:r>
      <w:r>
        <w:rPr>
          <w:i/>
          <w:lang w:val="es-ES_tradnl"/>
        </w:rPr>
        <w:t>F</w:t>
      </w:r>
      <w:r w:rsidRPr="001D2A9C">
        <w:rPr>
          <w:rFonts w:ascii="Tms Rmn" w:hAnsi="Tms Rmn"/>
          <w:sz w:val="12"/>
          <w:lang w:val="es-ES_tradnl"/>
        </w:rPr>
        <w:t> </w:t>
      </w:r>
      <w:r w:rsidRPr="001D2A9C">
        <w:rPr>
          <w:lang w:val="es-ES_tradnl"/>
        </w:rPr>
        <w:t>:</w:t>
      </w:r>
      <w:r w:rsidRPr="001D2A9C">
        <w:rPr>
          <w:lang w:val="es-ES_tradnl"/>
        </w:rPr>
        <w:tab/>
        <w:t>4 dB</w:t>
      </w:r>
    </w:p>
    <w:p w:rsidR="00256167" w:rsidRPr="001D2A9C" w:rsidRDefault="00256167" w:rsidP="00256167">
      <w:pPr>
        <w:pStyle w:val="enumlev1"/>
        <w:tabs>
          <w:tab w:val="clear" w:pos="1191"/>
          <w:tab w:val="clear" w:pos="1588"/>
          <w:tab w:val="clear" w:pos="1985"/>
          <w:tab w:val="left" w:pos="4253"/>
        </w:tabs>
        <w:ind w:left="4253" w:hanging="4253"/>
        <w:jc w:val="left"/>
        <w:rPr>
          <w:lang w:val="es-ES_tradnl"/>
        </w:rPr>
      </w:pPr>
      <w:r w:rsidRPr="001D2A9C">
        <w:rPr>
          <w:lang w:val="es-ES_tradnl"/>
        </w:rPr>
        <w:t>–</w:t>
      </w:r>
      <w:r w:rsidRPr="001D2A9C">
        <w:rPr>
          <w:lang w:val="es-ES_tradnl"/>
        </w:rPr>
        <w:tab/>
      </w:r>
      <w:r>
        <w:rPr>
          <w:lang w:val="es-ES_tradnl"/>
        </w:rPr>
        <w:t xml:space="preserve">Ganancia del sistema, </w:t>
      </w:r>
      <w:r>
        <w:rPr>
          <w:i/>
          <w:lang w:val="es-ES_tradnl"/>
        </w:rPr>
        <w:t>G</w:t>
      </w:r>
      <w:r w:rsidRPr="001D2A9C">
        <w:rPr>
          <w:i/>
          <w:position w:val="-4"/>
          <w:sz w:val="16"/>
          <w:lang w:val="es-ES_tradnl"/>
        </w:rPr>
        <w:t>s</w:t>
      </w:r>
      <w:r w:rsidRPr="001D2A9C">
        <w:rPr>
          <w:rFonts w:ascii="Tms Rmn" w:hAnsi="Tms Rmn"/>
          <w:sz w:val="12"/>
          <w:lang w:val="es-ES_tradnl"/>
        </w:rPr>
        <w:t> </w:t>
      </w:r>
      <w:r w:rsidRPr="001D2A9C">
        <w:rPr>
          <w:lang w:val="es-ES_tradnl"/>
        </w:rPr>
        <w:t>:</w:t>
      </w:r>
      <w:r>
        <w:rPr>
          <w:lang w:val="es-ES_tradnl"/>
        </w:rPr>
        <w:tab/>
        <w:t>103 dB.</w:t>
      </w:r>
    </w:p>
    <w:p w:rsidR="00256167" w:rsidRDefault="00256167" w:rsidP="00256167">
      <w:pPr>
        <w:rPr>
          <w:lang w:val="es-ES_tradnl"/>
        </w:rPr>
      </w:pPr>
      <w:r>
        <w:rPr>
          <w:lang w:val="es-ES_tradnl"/>
        </w:rPr>
        <w:t>En el análisis se utilizan los valores teóricos de eficiencia de transmisión y relación portadora/ruido a la entrada del receptor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para los diferentes tipos de modulación, de manera que se asegure una comparación justa.</w:t>
      </w:r>
    </w:p>
    <w:p w:rsidR="00256167" w:rsidRDefault="00256167" w:rsidP="00256167">
      <w:pPr>
        <w:rPr>
          <w:lang w:val="es-ES_tradnl"/>
        </w:rPr>
      </w:pPr>
      <w:r>
        <w:rPr>
          <w:lang w:val="es-ES_tradnl"/>
        </w:rPr>
        <w:t>A continuación se analiza la aplicación de la ecuación (24) a los principales puntos del diseño de las antenas, la modulación y el procesamiento de señal.</w:t>
      </w:r>
    </w:p>
    <w:p w:rsidR="00256167" w:rsidRDefault="00256167" w:rsidP="00256167">
      <w:pPr>
        <w:pStyle w:val="Note"/>
        <w:rPr>
          <w:lang w:val="es-ES_tradnl"/>
        </w:rPr>
      </w:pPr>
      <w:r>
        <w:rPr>
          <w:lang w:val="es-ES_tradnl"/>
        </w:rPr>
        <w:t>NOTA 1 – </w:t>
      </w:r>
      <w:r w:rsidRPr="001D2A9C">
        <w:rPr>
          <w:lang w:val="es-ES_tradnl"/>
        </w:rPr>
        <w:t>Los parámetros de sistema se han seleccionado para dar una indicación de un análisis en un solo trayecto de la eficacia de utilización del espectro en los varios casos considerados. De ese modo, los parámetros pueden no ser representativos de sistemas realizables, particularmente los que emplean esquemas de modulación de orden superior. En consecuencia, los resultados constituyen un ejemplo de la aplicación del concepto de la utilización eficaz del espectro a sistemas de radioenlace y se aconseja a las administraciones que empleen parámetros representativos en los análisis de eficacia de utilización del espectro.</w:t>
      </w:r>
    </w:p>
    <w:p w:rsidR="00256167" w:rsidRDefault="00256167" w:rsidP="00256167">
      <w:pPr>
        <w:pStyle w:val="Heading3"/>
        <w:rPr>
          <w:lang w:val="es-ES_tradnl"/>
        </w:rPr>
      </w:pPr>
      <w:r>
        <w:rPr>
          <w:lang w:val="es-ES_tradnl"/>
        </w:rPr>
        <w:t>2.4.2</w:t>
      </w:r>
      <w:r>
        <w:rPr>
          <w:lang w:val="es-ES_tradnl"/>
        </w:rPr>
        <w:tab/>
        <w:t>Antenas</w:t>
      </w:r>
    </w:p>
    <w:p w:rsidR="00256167" w:rsidRDefault="00256167" w:rsidP="00256167">
      <w:pPr>
        <w:rPr>
          <w:lang w:val="es-ES_tradnl"/>
        </w:rPr>
      </w:pPr>
      <w:r>
        <w:rPr>
          <w:lang w:val="es-ES_tradnl"/>
        </w:rPr>
        <w:t>La denegación espacial es un factor primordial en el tratamiento de la conservación del espectro. Uno de los componentes principales de los sistemas de radiocomunicaciones que contribuye a la denegación espacial es su antena. En los últimos años, los significativos avances en el diseño de antenas, relativos a la discriminación de polarización y la reducción de lóbulos laterales, han proporcionado la posibilidad de mejorar la eficacia del espectro en las radiocomunicaciones de microondas punto a punto.</w:t>
      </w:r>
    </w:p>
    <w:p w:rsidR="00256167" w:rsidRDefault="00256167" w:rsidP="00256167">
      <w:pPr>
        <w:rPr>
          <w:lang w:val="es-ES_tradnl"/>
        </w:rPr>
      </w:pPr>
      <w:r>
        <w:rPr>
          <w:lang w:val="es-ES_tradnl"/>
        </w:rPr>
        <w:t>La reutilización de frecuencias se puede conseguir con la aplicación de técnicas de conservación de espectro en el diseño de las antenas. La denegación espacial se puede minimizar si se hacen mínimos los niveles de lóbulos laterales. Los diagramas de radiación, y por tanto las distribuciones de lóbulos laterales, varían con el tipo de antena. Los tres tipos comúnmente utilizados en la transmisión por microondas punto a punto son:</w:t>
      </w:r>
    </w:p>
    <w:p w:rsidR="00256167" w:rsidRDefault="00256167" w:rsidP="00256167">
      <w:pPr>
        <w:pStyle w:val="enumlev1"/>
        <w:rPr>
          <w:lang w:val="es-ES_tradnl"/>
        </w:rPr>
      </w:pPr>
      <w:r>
        <w:rPr>
          <w:lang w:val="es-ES_tradnl"/>
        </w:rPr>
        <w:t>–</w:t>
      </w:r>
      <w:r>
        <w:rPr>
          <w:lang w:val="es-ES_tradnl"/>
        </w:rPr>
        <w:tab/>
        <w:t xml:space="preserve">parábola normalizada (STD – </w:t>
      </w:r>
      <w:proofErr w:type="spellStart"/>
      <w:r>
        <w:rPr>
          <w:lang w:val="es-ES_tradnl"/>
        </w:rPr>
        <w:t>standard-dish</w:t>
      </w:r>
      <w:proofErr w:type="spellEnd"/>
      <w:r>
        <w:rPr>
          <w:lang w:val="es-ES_tradnl"/>
        </w:rPr>
        <w:t>)</w:t>
      </w:r>
    </w:p>
    <w:p w:rsidR="00256167" w:rsidRDefault="00256167" w:rsidP="00256167">
      <w:pPr>
        <w:pStyle w:val="enumlev1"/>
        <w:rPr>
          <w:lang w:val="es-ES_tradnl"/>
        </w:rPr>
      </w:pPr>
      <w:r>
        <w:rPr>
          <w:lang w:val="es-ES_tradnl"/>
        </w:rPr>
        <w:t>–</w:t>
      </w:r>
      <w:r>
        <w:rPr>
          <w:lang w:val="es-ES_tradnl"/>
        </w:rPr>
        <w:tab/>
        <w:t xml:space="preserve">parábola con visera circular (SHD – </w:t>
      </w:r>
      <w:proofErr w:type="spellStart"/>
      <w:r>
        <w:rPr>
          <w:lang w:val="es-ES_tradnl"/>
        </w:rPr>
        <w:t>shrouded-dish</w:t>
      </w:r>
      <w:proofErr w:type="spellEnd"/>
      <w:r>
        <w:rPr>
          <w:lang w:val="es-ES_tradnl"/>
        </w:rPr>
        <w:t>)</w:t>
      </w:r>
    </w:p>
    <w:p w:rsidR="00256167" w:rsidRDefault="00256167" w:rsidP="00256167">
      <w:pPr>
        <w:pStyle w:val="enumlev1"/>
        <w:rPr>
          <w:lang w:val="es-ES_tradnl"/>
        </w:rPr>
      </w:pPr>
      <w:r>
        <w:rPr>
          <w:lang w:val="es-ES_tradnl"/>
        </w:rPr>
        <w:t>–</w:t>
      </w:r>
      <w:r>
        <w:rPr>
          <w:lang w:val="es-ES_tradnl"/>
        </w:rPr>
        <w:tab/>
        <w:t xml:space="preserve">reflector con bocina cónica (CHR – </w:t>
      </w:r>
      <w:proofErr w:type="spellStart"/>
      <w:r>
        <w:rPr>
          <w:lang w:val="es-ES_tradnl"/>
        </w:rPr>
        <w:t>conical</w:t>
      </w:r>
      <w:proofErr w:type="spellEnd"/>
      <w:r>
        <w:rPr>
          <w:lang w:val="es-ES_tradnl"/>
        </w:rPr>
        <w:t xml:space="preserve"> </w:t>
      </w:r>
      <w:proofErr w:type="spellStart"/>
      <w:r>
        <w:rPr>
          <w:lang w:val="es-ES_tradnl"/>
        </w:rPr>
        <w:t>horn</w:t>
      </w:r>
      <w:proofErr w:type="spellEnd"/>
      <w:r>
        <w:rPr>
          <w:lang w:val="es-ES_tradnl"/>
        </w:rPr>
        <w:t xml:space="preserve"> reflector).</w:t>
      </w:r>
    </w:p>
    <w:p w:rsidR="00256167" w:rsidRDefault="00256167" w:rsidP="00256167">
      <w:pPr>
        <w:rPr>
          <w:lang w:val="es-ES_tradnl"/>
        </w:rPr>
      </w:pPr>
      <w:r>
        <w:rPr>
          <w:lang w:val="es-ES_tradnl"/>
        </w:rPr>
        <w:t>En la Fig. 13 se muestran los diagramas de radiación típicos de estas antenas, con una ganancia de 43 </w:t>
      </w:r>
      <w:proofErr w:type="spellStart"/>
      <w:r>
        <w:rPr>
          <w:lang w:val="es-ES_tradnl"/>
        </w:rPr>
        <w:t>dBi</w:t>
      </w:r>
      <w:proofErr w:type="spellEnd"/>
      <w:r>
        <w:rPr>
          <w:lang w:val="es-ES_tradnl"/>
        </w:rPr>
        <w:t>. En el modelo se han utilizado los diagramas de antena mostrados en la Fig. 13.</w:t>
      </w:r>
    </w:p>
    <w:p w:rsidR="00256167" w:rsidRDefault="00256167" w:rsidP="00256167">
      <w:pPr>
        <w:rPr>
          <w:lang w:val="es-ES_tradnl"/>
        </w:rPr>
      </w:pPr>
      <w:r>
        <w:rPr>
          <w:lang w:val="es-ES_tradnl"/>
        </w:rPr>
        <w:t xml:space="preserve">En la Fig. 14 se muestra una representación gráfica de la potencia de salida del transmisor en relación con el área denegada para un umbral de interferencia en el receptor de –102,5 </w:t>
      </w:r>
      <w:proofErr w:type="spellStart"/>
      <w:r>
        <w:rPr>
          <w:lang w:val="es-ES_tradnl"/>
        </w:rPr>
        <w:t>dBm</w:t>
      </w:r>
      <w:proofErr w:type="spellEnd"/>
      <w:r>
        <w:rPr>
          <w:lang w:val="es-ES_tradnl"/>
        </w:rPr>
        <w:t xml:space="preserve"> y para los tres tipos de antena. Aunque la ganancia del haz principal de todas las antenas es la misma, los resultados de la Fig. 14 indican que la antena CHR tiene menos área denegada que los otros dos tipos. Asimismo, la diferencia de área denegada para los tres tipos de antena es pequeña hasta que la potencia del transmisor supera los 30 </w:t>
      </w:r>
      <w:proofErr w:type="spellStart"/>
      <w:r>
        <w:rPr>
          <w:lang w:val="es-ES_tradnl"/>
        </w:rPr>
        <w:t>dBm</w:t>
      </w:r>
      <w:proofErr w:type="spellEnd"/>
      <w:r>
        <w:rPr>
          <w:lang w:val="es-ES_tradnl"/>
        </w:rPr>
        <w:t xml:space="preserve">. Esto es fácil de entender, ya que la contribución al área denegada de la característica de lóbulos laterales/lóbulo posterior de la antena es pequeña hasta que </w:t>
      </w:r>
      <w:r>
        <w:rPr>
          <w:lang w:val="es-ES_tradnl"/>
        </w:rPr>
        <w:lastRenderedPageBreak/>
        <w:t xml:space="preserve">la potencia transmitida aumenta más allá de los 30 </w:t>
      </w:r>
      <w:proofErr w:type="spellStart"/>
      <w:r>
        <w:rPr>
          <w:lang w:val="es-ES_tradnl"/>
        </w:rPr>
        <w:t>dBm</w:t>
      </w:r>
      <w:proofErr w:type="spellEnd"/>
      <w:r>
        <w:rPr>
          <w:lang w:val="es-ES_tradnl"/>
        </w:rPr>
        <w:t xml:space="preserve">. A potencias de salida del transmisor mayores que 30 </w:t>
      </w:r>
      <w:proofErr w:type="spellStart"/>
      <w:r>
        <w:rPr>
          <w:lang w:val="es-ES_tradnl"/>
        </w:rPr>
        <w:t>dBm</w:t>
      </w:r>
      <w:proofErr w:type="spellEnd"/>
      <w:r>
        <w:rPr>
          <w:lang w:val="es-ES_tradnl"/>
        </w:rPr>
        <w:t>, la diferencia de área denegada para los tres tipos de antena es importante. El área denegada es también función del umbral de interferencia del receptor.</w:t>
      </w:r>
    </w:p>
    <w:p w:rsidR="00B33282" w:rsidRDefault="00B33282" w:rsidP="00256167">
      <w:pPr>
        <w:rPr>
          <w:lang w:val="es-ES_tradnl"/>
        </w:rPr>
      </w:pPr>
    </w:p>
    <w:p w:rsidR="00256167" w:rsidRDefault="00256167" w:rsidP="00B33282">
      <w:pPr>
        <w:pStyle w:val="FigureNo"/>
        <w:keepNext w:val="0"/>
        <w:keepLines w:val="0"/>
        <w:rPr>
          <w:lang w:val="es-ES_tradnl"/>
        </w:rPr>
      </w:pPr>
      <w:r>
        <w:object w:dxaOrig="7720" w:dyaOrig="8709">
          <v:shape id="_x0000_i1058" type="#_x0000_t75" style="width:387pt;height:435.6pt" o:ole="" o:allowoverlap="f">
            <v:imagedata r:id="rId84" o:title=""/>
          </v:shape>
          <o:OLEObject Type="Embed" ProgID="CorelDraw.Graphic.12" ShapeID="_x0000_i1058" DrawAspect="Content" ObjectID="_1376823632" r:id="rId85"/>
        </w:object>
      </w:r>
    </w:p>
    <w:p w:rsidR="00256167" w:rsidRDefault="00256167" w:rsidP="00256167">
      <w:pPr>
        <w:pStyle w:val="FigureNo"/>
      </w:pPr>
      <w:r>
        <w:object w:dxaOrig="7095" w:dyaOrig="10925">
          <v:shape id="_x0000_i1059" type="#_x0000_t75" style="width:354.6pt;height:546pt" o:ole="" o:allowoverlap="f">
            <v:imagedata r:id="rId86" o:title=""/>
          </v:shape>
          <o:OLEObject Type="Embed" ProgID="CorelDraw.Graphic.12" ShapeID="_x0000_i1059" DrawAspect="Content" ObjectID="_1376823633" r:id="rId87"/>
        </w:object>
      </w:r>
    </w:p>
    <w:p w:rsidR="00B33282" w:rsidRPr="00B33282" w:rsidRDefault="00B33282" w:rsidP="00B33282">
      <w:pPr>
        <w:pStyle w:val="Blanc"/>
      </w:pPr>
    </w:p>
    <w:p w:rsidR="00256167" w:rsidRDefault="00256167" w:rsidP="00256167">
      <w:pPr>
        <w:rPr>
          <w:lang w:val="es-ES_tradnl"/>
        </w:rPr>
      </w:pPr>
      <w:r>
        <w:rPr>
          <w:lang w:val="es-ES_tradnl"/>
        </w:rPr>
        <w:t xml:space="preserve">Ya que el área denegada para los tres tipos de antena es una función de la </w:t>
      </w:r>
      <w:r w:rsidRPr="001D2A9C">
        <w:rPr>
          <w:i/>
          <w:lang w:val="es-ES_tradnl"/>
        </w:rPr>
        <w:t>P</w:t>
      </w:r>
      <w:r w:rsidRPr="001D2A9C">
        <w:rPr>
          <w:i/>
          <w:position w:val="-4"/>
          <w:sz w:val="16"/>
          <w:lang w:val="es-ES_tradnl"/>
        </w:rPr>
        <w:t>t</w:t>
      </w:r>
      <w:r w:rsidRPr="001D2A9C">
        <w:rPr>
          <w:lang w:val="es-ES_tradnl"/>
        </w:rPr>
        <w:t xml:space="preserve"> y del</w:t>
      </w:r>
      <w:r>
        <w:rPr>
          <w:lang w:val="es-ES_tradnl"/>
        </w:rPr>
        <w:t xml:space="preserve"> (</w:t>
      </w:r>
      <w:r>
        <w:rPr>
          <w:i/>
          <w:lang w:val="es-ES_tradnl"/>
        </w:rPr>
        <w:t>I</w:t>
      </w:r>
      <w:proofErr w:type="spellStart"/>
      <w:r w:rsidRPr="001D2A9C">
        <w:rPr>
          <w:i/>
          <w:position w:val="-4"/>
          <w:sz w:val="16"/>
          <w:lang w:val="es-ES_tradnl"/>
        </w:rPr>
        <w:t>máx</w:t>
      </w:r>
      <w:proofErr w:type="spellEnd"/>
      <w:r>
        <w:rPr>
          <w:lang w:val="es-ES_tradnl"/>
        </w:rPr>
        <w:t>), las propiedades de conser</w:t>
      </w:r>
      <w:r>
        <w:rPr>
          <w:lang w:val="es-ES_tradnl"/>
        </w:rPr>
        <w:softHyphen/>
        <w:t>vación del espectro para los tres tipos de antena deben también relacionarse con el tipo de modulación del sistema. Por tanto, las propiedades de mejora de la eficacia del espectro de las antenas STD, SHD y CHR se tratarán en la sección sobre la modulación.</w:t>
      </w:r>
    </w:p>
    <w:p w:rsidR="00256167" w:rsidRDefault="00256167" w:rsidP="00256167">
      <w:pPr>
        <w:pStyle w:val="Heading3"/>
        <w:rPr>
          <w:lang w:val="es-ES_tradnl"/>
        </w:rPr>
      </w:pPr>
      <w:r>
        <w:rPr>
          <w:lang w:val="es-ES_tradnl"/>
        </w:rPr>
        <w:t>2.4.3</w:t>
      </w:r>
      <w:r>
        <w:rPr>
          <w:lang w:val="es-ES_tradnl"/>
        </w:rPr>
        <w:tab/>
        <w:t>Modulación</w:t>
      </w:r>
    </w:p>
    <w:p w:rsidR="00256167" w:rsidRDefault="00256167" w:rsidP="00256167">
      <w:pPr>
        <w:rPr>
          <w:lang w:val="es-ES_tradnl"/>
        </w:rPr>
      </w:pPr>
      <w:r>
        <w:rPr>
          <w:lang w:val="es-ES_tradnl"/>
        </w:rPr>
        <w:t xml:space="preserve">La evaluación de las propiedades de conservación del espectro para esquemas de modulación diferentes es muy compleja, ya que tanto el espectro como la denegación espacial se ven afectados por la elección del tipo de modulación utilizado en el sistema. En general, los parámetros del sistema, tales como la anchura de banda ocupada, la relación portadora/ruido necesaria a la entrada </w:t>
      </w:r>
      <w:r>
        <w:rPr>
          <w:lang w:val="es-ES_tradnl"/>
        </w:rPr>
        <w:lastRenderedPageBreak/>
        <w:t>del receptor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y el </w:t>
      </w:r>
      <w:r>
        <w:rPr>
          <w:i/>
          <w:lang w:val="es-ES_tradnl"/>
        </w:rPr>
        <w:t>I</w:t>
      </w:r>
      <w:proofErr w:type="spellStart"/>
      <w:r w:rsidRPr="001D2A9C">
        <w:rPr>
          <w:i/>
          <w:position w:val="-4"/>
          <w:sz w:val="16"/>
          <w:lang w:val="es-ES_tradnl"/>
        </w:rPr>
        <w:t>máx</w:t>
      </w:r>
      <w:proofErr w:type="spellEnd"/>
      <w:r>
        <w:rPr>
          <w:lang w:val="es-ES_tradnl"/>
        </w:rPr>
        <w:t>, son funciones del tipo de modulación y tienen una repercusión directa en la utilización del espectro.</w:t>
      </w:r>
    </w:p>
    <w:p w:rsidR="00256167" w:rsidRDefault="00256167" w:rsidP="00256167">
      <w:pPr>
        <w:rPr>
          <w:lang w:val="es-ES_tradnl"/>
        </w:rPr>
      </w:pPr>
      <w:r>
        <w:rPr>
          <w:lang w:val="es-ES_tradnl"/>
        </w:rPr>
        <w:t>El análisis se basa en los valores teóricos de la eficacia de transmisión y de (</w:t>
      </w:r>
      <w:r>
        <w:rPr>
          <w:i/>
          <w:lang w:val="es-ES_tradnl"/>
        </w:rPr>
        <w:t>C</w:t>
      </w:r>
      <w:r>
        <w:rPr>
          <w:lang w:val="es-ES_tradnl"/>
        </w:rPr>
        <w:t>/</w:t>
      </w:r>
      <w:r>
        <w:rPr>
          <w:i/>
          <w:lang w:val="es-ES_tradnl"/>
        </w:rPr>
        <w:t>N</w:t>
      </w:r>
      <w:r>
        <w:rPr>
          <w:lang w:val="es-ES_tradnl"/>
        </w:rPr>
        <w:t>)</w:t>
      </w:r>
      <w:r>
        <w:rPr>
          <w:i/>
          <w:position w:val="-4"/>
          <w:sz w:val="16"/>
          <w:lang w:val="es-ES_tradnl"/>
        </w:rPr>
        <w:t>i</w:t>
      </w:r>
      <w:r>
        <w:rPr>
          <w:lang w:val="es-ES_tradnl"/>
        </w:rPr>
        <w:t xml:space="preserve"> para los diferentes tipos de modulación, de manera que se asegure una comparación justa. A fin de evaluar las propiedades de conservación del espectro para los diferentes tipos de modulación, se determinaron para cada uno de ellos, la anchura de banda ocupada, </w:t>
      </w:r>
      <w:r>
        <w:rPr>
          <w:i/>
          <w:lang w:val="es-ES_tradnl"/>
        </w:rPr>
        <w:t>B</w:t>
      </w:r>
      <w:r>
        <w:rPr>
          <w:lang w:val="es-ES_tradnl"/>
        </w:rPr>
        <w:t xml:space="preserve">, y la potencia de salida del transmisor necesaria </w:t>
      </w:r>
      <w:r>
        <w:rPr>
          <w:i/>
          <w:lang w:val="es-ES_tradnl"/>
        </w:rPr>
        <w:t>P</w:t>
      </w:r>
      <w:r w:rsidRPr="001D2A9C">
        <w:rPr>
          <w:i/>
          <w:position w:val="-4"/>
          <w:sz w:val="16"/>
          <w:lang w:val="es-ES_tradnl"/>
        </w:rPr>
        <w:t>t</w:t>
      </w:r>
      <w:r>
        <w:rPr>
          <w:lang w:val="es-ES_tradnl"/>
        </w:rPr>
        <w:t>. Estos parámetros se dan en el Cuadro 4.</w:t>
      </w:r>
    </w:p>
    <w:p w:rsidR="00256167" w:rsidRDefault="00256167" w:rsidP="00256167">
      <w:pPr>
        <w:pStyle w:val="Table"/>
        <w:rPr>
          <w:lang w:val="es-ES_tradnl"/>
        </w:rPr>
      </w:pPr>
      <w:r>
        <w:rPr>
          <w:lang w:val="es-ES_tradnl"/>
        </w:rPr>
        <w:t>CUADRO  4</w:t>
      </w:r>
    </w:p>
    <w:p w:rsidR="00256167" w:rsidRDefault="00256167" w:rsidP="00256167">
      <w:pPr>
        <w:pStyle w:val="TableTitle0"/>
        <w:rPr>
          <w:lang w:val="es-ES_tradnl"/>
        </w:rPr>
      </w:pPr>
      <w:r>
        <w:rPr>
          <w:lang w:val="es-ES_tradnl"/>
        </w:rPr>
        <w:t>Parámetros del sistema digital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92"/>
        <w:gridCol w:w="1292"/>
        <w:gridCol w:w="1433"/>
        <w:gridCol w:w="1718"/>
        <w:gridCol w:w="1292"/>
        <w:gridCol w:w="1292"/>
        <w:gridCol w:w="1320"/>
      </w:tblGrid>
      <w:tr w:rsidR="00256167" w:rsidRPr="00AC38FC" w:rsidTr="00294C53">
        <w:trPr>
          <w:jc w:val="center"/>
        </w:trPr>
        <w:tc>
          <w:tcPr>
            <w:tcW w:w="1292" w:type="dxa"/>
            <w:tcBorders>
              <w:bottom w:val="nil"/>
            </w:tcBorders>
          </w:tcPr>
          <w:p w:rsidR="00256167" w:rsidRDefault="00256167" w:rsidP="005B580A">
            <w:pPr>
              <w:pStyle w:val="TableText0"/>
              <w:spacing w:before="200"/>
              <w:jc w:val="center"/>
            </w:pPr>
            <w:r w:rsidRPr="001D2A9C">
              <w:rPr>
                <w:lang w:val="es-ES_tradnl"/>
              </w:rPr>
              <w:br/>
            </w:r>
            <w:proofErr w:type="spellStart"/>
            <w:r>
              <w:t>Tipo</w:t>
            </w:r>
            <w:proofErr w:type="spellEnd"/>
            <w:r>
              <w:t xml:space="preserve"> de </w:t>
            </w:r>
            <w:proofErr w:type="spellStart"/>
            <w:r>
              <w:t>modulación</w:t>
            </w:r>
            <w:proofErr w:type="spellEnd"/>
          </w:p>
        </w:tc>
        <w:tc>
          <w:tcPr>
            <w:tcW w:w="1292" w:type="dxa"/>
            <w:tcBorders>
              <w:bottom w:val="nil"/>
            </w:tcBorders>
          </w:tcPr>
          <w:p w:rsidR="00256167" w:rsidRPr="001D2A9C" w:rsidRDefault="00256167" w:rsidP="005B580A">
            <w:pPr>
              <w:pStyle w:val="TableText0"/>
              <w:jc w:val="center"/>
              <w:rPr>
                <w:lang w:val="es-ES_tradnl"/>
              </w:rPr>
            </w:pPr>
            <w:r w:rsidRPr="001D2A9C">
              <w:rPr>
                <w:lang w:val="es-ES_tradnl"/>
              </w:rPr>
              <w:br/>
              <w:t>Eficacia de la transmisión</w:t>
            </w:r>
            <w:r w:rsidRPr="001D2A9C">
              <w:rPr>
                <w:lang w:val="es-ES_tradnl"/>
              </w:rPr>
              <w:br/>
              <w:t>(bit/(s · Hz))</w:t>
            </w:r>
          </w:p>
        </w:tc>
        <w:tc>
          <w:tcPr>
            <w:tcW w:w="1433" w:type="dxa"/>
            <w:tcBorders>
              <w:bottom w:val="nil"/>
            </w:tcBorders>
          </w:tcPr>
          <w:p w:rsidR="00256167" w:rsidRPr="001D2A9C" w:rsidRDefault="00256167" w:rsidP="005B580A">
            <w:pPr>
              <w:pStyle w:val="TableText0"/>
              <w:ind w:left="-57" w:right="-57"/>
              <w:jc w:val="center"/>
              <w:rPr>
                <w:lang w:val="es-ES_tradnl"/>
              </w:rPr>
            </w:pPr>
            <w:r w:rsidRPr="001D2A9C">
              <w:rPr>
                <w:lang w:val="es-ES_tradnl"/>
              </w:rPr>
              <w:br/>
              <w:t>Anchura de banda ocupada, </w:t>
            </w:r>
            <w:r w:rsidRPr="001D2A9C">
              <w:rPr>
                <w:i/>
                <w:lang w:val="es-ES_tradnl"/>
              </w:rPr>
              <w:t>B</w:t>
            </w:r>
            <w:r w:rsidRPr="001D2A9C">
              <w:rPr>
                <w:i/>
                <w:lang w:val="es-ES_tradnl"/>
              </w:rPr>
              <w:br/>
            </w:r>
            <w:r w:rsidRPr="001D2A9C">
              <w:rPr>
                <w:lang w:val="es-ES_tradnl"/>
              </w:rPr>
              <w:t>(MHz)</w:t>
            </w:r>
          </w:p>
        </w:tc>
        <w:tc>
          <w:tcPr>
            <w:tcW w:w="1718" w:type="dxa"/>
            <w:tcBorders>
              <w:bottom w:val="nil"/>
            </w:tcBorders>
          </w:tcPr>
          <w:p w:rsidR="00256167" w:rsidRPr="001D2A9C" w:rsidRDefault="00256167" w:rsidP="005B580A">
            <w:pPr>
              <w:pStyle w:val="TableText0"/>
              <w:ind w:left="-57" w:right="-57"/>
              <w:jc w:val="center"/>
              <w:rPr>
                <w:lang w:val="es-ES_tradnl"/>
              </w:rPr>
            </w:pPr>
            <w:r w:rsidRPr="001D2A9C">
              <w:rPr>
                <w:lang w:val="es-ES_tradnl"/>
              </w:rPr>
              <w:t>Relación portadora/ruido necesaria a la entrada del receptor, (</w:t>
            </w:r>
            <w:r w:rsidRPr="001D2A9C">
              <w:rPr>
                <w:i/>
                <w:lang w:val="es-ES_tradnl"/>
              </w:rPr>
              <w:t>C</w:t>
            </w:r>
            <w:r w:rsidRPr="001D2A9C">
              <w:rPr>
                <w:lang w:val="es-ES_tradnl"/>
              </w:rPr>
              <w:t>/</w:t>
            </w:r>
            <w:r w:rsidRPr="001D2A9C">
              <w:rPr>
                <w:i/>
                <w:lang w:val="es-ES_tradnl"/>
              </w:rPr>
              <w:t>N</w:t>
            </w:r>
            <w:r w:rsidRPr="001D2A9C">
              <w:rPr>
                <w:lang w:val="es-ES_tradnl"/>
              </w:rPr>
              <w:t>)</w:t>
            </w:r>
            <w:r w:rsidRPr="001D2A9C">
              <w:rPr>
                <w:i/>
                <w:position w:val="-4"/>
                <w:sz w:val="14"/>
                <w:lang w:val="es-ES_tradnl"/>
              </w:rPr>
              <w:t>i</w:t>
            </w:r>
            <w:r w:rsidRPr="001D2A9C">
              <w:rPr>
                <w:lang w:val="es-ES_tradnl"/>
              </w:rPr>
              <w:br/>
              <w:t>(dB)</w:t>
            </w:r>
          </w:p>
        </w:tc>
        <w:tc>
          <w:tcPr>
            <w:tcW w:w="1292" w:type="dxa"/>
            <w:tcBorders>
              <w:bottom w:val="nil"/>
            </w:tcBorders>
          </w:tcPr>
          <w:p w:rsidR="00256167" w:rsidRDefault="00256167" w:rsidP="005B580A">
            <w:pPr>
              <w:pStyle w:val="TableText0"/>
              <w:spacing w:before="200"/>
              <w:jc w:val="center"/>
            </w:pPr>
            <w:r w:rsidRPr="001D2A9C">
              <w:rPr>
                <w:lang w:val="es-ES_tradnl"/>
              </w:rPr>
              <w:br/>
            </w:r>
            <w:proofErr w:type="spellStart"/>
            <w:r>
              <w:t>Nivel</w:t>
            </w:r>
            <w:proofErr w:type="spellEnd"/>
            <w:r>
              <w:t xml:space="preserve"> de </w:t>
            </w:r>
            <w:proofErr w:type="spellStart"/>
            <w:r>
              <w:t>ruido</w:t>
            </w:r>
            <w:proofErr w:type="spellEnd"/>
            <w:r>
              <w:br/>
              <w:t>(</w:t>
            </w:r>
            <w:proofErr w:type="spellStart"/>
            <w:r>
              <w:t>dBm</w:t>
            </w:r>
            <w:proofErr w:type="spellEnd"/>
            <w:r>
              <w:t>)</w:t>
            </w:r>
          </w:p>
        </w:tc>
        <w:tc>
          <w:tcPr>
            <w:tcW w:w="1292" w:type="dxa"/>
            <w:tcBorders>
              <w:bottom w:val="nil"/>
            </w:tcBorders>
          </w:tcPr>
          <w:p w:rsidR="00256167" w:rsidRPr="001D2A9C" w:rsidRDefault="00256167" w:rsidP="005B580A">
            <w:pPr>
              <w:pStyle w:val="TableText0"/>
              <w:jc w:val="center"/>
              <w:rPr>
                <w:lang w:val="es-ES_tradnl"/>
              </w:rPr>
            </w:pPr>
            <w:r w:rsidRPr="001D2A9C">
              <w:rPr>
                <w:lang w:val="es-ES_tradnl"/>
              </w:rPr>
              <w:br/>
              <w:t>Nivel mínimo de portadora</w:t>
            </w:r>
            <w:r w:rsidRPr="001D2A9C">
              <w:rPr>
                <w:lang w:val="es-ES_tradnl"/>
              </w:rPr>
              <w:br/>
              <w:t>(</w:t>
            </w:r>
            <w:proofErr w:type="spellStart"/>
            <w:r w:rsidRPr="001D2A9C">
              <w:rPr>
                <w:lang w:val="es-ES_tradnl"/>
              </w:rPr>
              <w:t>dBm</w:t>
            </w:r>
            <w:proofErr w:type="spellEnd"/>
            <w:r w:rsidRPr="001D2A9C">
              <w:rPr>
                <w:lang w:val="es-ES_tradnl"/>
              </w:rPr>
              <w:t>)</w:t>
            </w:r>
          </w:p>
        </w:tc>
        <w:tc>
          <w:tcPr>
            <w:tcW w:w="1320" w:type="dxa"/>
            <w:tcBorders>
              <w:bottom w:val="nil"/>
            </w:tcBorders>
          </w:tcPr>
          <w:p w:rsidR="00256167" w:rsidRPr="001D2A9C" w:rsidRDefault="00256167" w:rsidP="005B580A">
            <w:pPr>
              <w:pStyle w:val="TableText0"/>
              <w:spacing w:before="200"/>
              <w:jc w:val="center"/>
              <w:rPr>
                <w:lang w:val="es-ES_tradnl"/>
              </w:rPr>
            </w:pPr>
            <w:r w:rsidRPr="001D2A9C">
              <w:rPr>
                <w:lang w:val="es-ES_tradnl"/>
              </w:rPr>
              <w:t xml:space="preserve">Potencia de salida del transmisor, </w:t>
            </w:r>
            <w:r w:rsidRPr="001D2A9C">
              <w:rPr>
                <w:i/>
                <w:lang w:val="es-ES_tradnl"/>
              </w:rPr>
              <w:t>P</w:t>
            </w:r>
            <w:r w:rsidRPr="001D2A9C">
              <w:rPr>
                <w:i/>
                <w:position w:val="-4"/>
                <w:sz w:val="14"/>
                <w:lang w:val="es-ES_tradnl"/>
              </w:rPr>
              <w:t>t</w:t>
            </w:r>
            <w:r w:rsidRPr="001D2A9C">
              <w:rPr>
                <w:lang w:val="es-ES_tradnl"/>
              </w:rPr>
              <w:br/>
              <w:t>(</w:t>
            </w:r>
            <w:proofErr w:type="spellStart"/>
            <w:r w:rsidRPr="001D2A9C">
              <w:rPr>
                <w:lang w:val="es-ES_tradnl"/>
              </w:rPr>
              <w:t>dBm</w:t>
            </w:r>
            <w:proofErr w:type="spellEnd"/>
            <w:r w:rsidRPr="001D2A9C">
              <w:rPr>
                <w:lang w:val="es-ES_tradnl"/>
              </w:rPr>
              <w:t>)</w:t>
            </w:r>
          </w:p>
        </w:tc>
      </w:tr>
      <w:tr w:rsidR="00256167" w:rsidTr="00294C53">
        <w:trPr>
          <w:jc w:val="center"/>
        </w:trPr>
        <w:tc>
          <w:tcPr>
            <w:tcW w:w="1292" w:type="dxa"/>
            <w:tcBorders>
              <w:bottom w:val="nil"/>
            </w:tcBorders>
          </w:tcPr>
          <w:p w:rsidR="00256167" w:rsidRDefault="00256167" w:rsidP="005B580A">
            <w:pPr>
              <w:pStyle w:val="TableText0"/>
              <w:spacing w:before="60" w:after="60"/>
              <w:jc w:val="center"/>
              <w:rPr>
                <w:lang w:val="es-ES_tradnl"/>
              </w:rPr>
            </w:pPr>
            <w:r>
              <w:rPr>
                <w:lang w:val="es-ES_tradnl"/>
              </w:rPr>
              <w:t>MAQ-16</w:t>
            </w:r>
          </w:p>
        </w:tc>
        <w:tc>
          <w:tcPr>
            <w:tcW w:w="1292" w:type="dxa"/>
            <w:tcBorders>
              <w:bottom w:val="nil"/>
            </w:tcBorders>
          </w:tcPr>
          <w:p w:rsidR="00256167" w:rsidRDefault="00256167" w:rsidP="005B580A">
            <w:pPr>
              <w:pStyle w:val="TableText0"/>
              <w:spacing w:before="60" w:after="60"/>
              <w:jc w:val="center"/>
              <w:rPr>
                <w:lang w:val="es-ES_tradnl"/>
              </w:rPr>
            </w:pPr>
            <w:r>
              <w:rPr>
                <w:lang w:val="es-ES_tradnl"/>
              </w:rPr>
              <w:t>4</w:t>
            </w:r>
          </w:p>
        </w:tc>
        <w:tc>
          <w:tcPr>
            <w:tcW w:w="1433" w:type="dxa"/>
            <w:tcBorders>
              <w:bottom w:val="nil"/>
            </w:tcBorders>
          </w:tcPr>
          <w:p w:rsidR="00256167" w:rsidRDefault="00256167" w:rsidP="005B580A">
            <w:pPr>
              <w:pStyle w:val="TableText0"/>
              <w:spacing w:before="60" w:after="60"/>
              <w:jc w:val="center"/>
              <w:rPr>
                <w:lang w:val="es-ES_tradnl"/>
              </w:rPr>
            </w:pPr>
            <w:r>
              <w:rPr>
                <w:lang w:val="es-ES_tradnl"/>
              </w:rPr>
              <w:t>22,5</w:t>
            </w:r>
          </w:p>
        </w:tc>
        <w:tc>
          <w:tcPr>
            <w:tcW w:w="1718" w:type="dxa"/>
            <w:tcBorders>
              <w:bottom w:val="nil"/>
            </w:tcBorders>
          </w:tcPr>
          <w:p w:rsidR="00256167" w:rsidRDefault="00256167" w:rsidP="005B580A">
            <w:pPr>
              <w:pStyle w:val="TableText0"/>
              <w:spacing w:before="60" w:after="60"/>
              <w:jc w:val="center"/>
              <w:rPr>
                <w:lang w:val="es-ES_tradnl"/>
              </w:rPr>
            </w:pPr>
            <w:r>
              <w:rPr>
                <w:lang w:val="es-ES_tradnl"/>
              </w:rPr>
              <w:t>21,0</w:t>
            </w:r>
          </w:p>
        </w:tc>
        <w:tc>
          <w:tcPr>
            <w:tcW w:w="1292" w:type="dxa"/>
            <w:tcBorders>
              <w:bottom w:val="nil"/>
            </w:tcBorders>
          </w:tcPr>
          <w:p w:rsidR="00256167" w:rsidRDefault="00256167" w:rsidP="005B580A">
            <w:pPr>
              <w:pStyle w:val="TableText0"/>
              <w:spacing w:before="60" w:after="60"/>
              <w:jc w:val="center"/>
              <w:rPr>
                <w:lang w:val="es-ES_tradnl"/>
              </w:rPr>
            </w:pPr>
            <w:r>
              <w:rPr>
                <w:lang w:val="es-ES_tradnl"/>
              </w:rPr>
              <w:t>–96,5</w:t>
            </w:r>
          </w:p>
        </w:tc>
        <w:tc>
          <w:tcPr>
            <w:tcW w:w="1292" w:type="dxa"/>
            <w:tcBorders>
              <w:bottom w:val="nil"/>
            </w:tcBorders>
          </w:tcPr>
          <w:p w:rsidR="00256167" w:rsidRDefault="00256167" w:rsidP="005B580A">
            <w:pPr>
              <w:pStyle w:val="TableText0"/>
              <w:spacing w:before="60" w:after="60"/>
              <w:jc w:val="center"/>
              <w:rPr>
                <w:lang w:val="es-ES_tradnl"/>
              </w:rPr>
            </w:pPr>
            <w:r>
              <w:rPr>
                <w:lang w:val="es-ES_tradnl"/>
              </w:rPr>
              <w:t>–</w:t>
            </w:r>
            <w:r>
              <w:rPr>
                <w:sz w:val="8"/>
                <w:lang w:val="es-ES_tradnl"/>
              </w:rPr>
              <w:t> </w:t>
            </w:r>
            <w:r>
              <w:rPr>
                <w:lang w:val="es-ES_tradnl"/>
              </w:rPr>
              <w:t>75,5</w:t>
            </w:r>
          </w:p>
        </w:tc>
        <w:tc>
          <w:tcPr>
            <w:tcW w:w="1320" w:type="dxa"/>
            <w:tcBorders>
              <w:bottom w:val="nil"/>
            </w:tcBorders>
          </w:tcPr>
          <w:p w:rsidR="00256167" w:rsidRDefault="00256167" w:rsidP="005B580A">
            <w:pPr>
              <w:pStyle w:val="TableText0"/>
              <w:spacing w:before="60" w:after="60"/>
              <w:jc w:val="center"/>
              <w:rPr>
                <w:lang w:val="es-ES_tradnl"/>
              </w:rPr>
            </w:pPr>
            <w:r>
              <w:rPr>
                <w:lang w:val="es-ES_tradnl"/>
              </w:rPr>
              <w:t>27,5</w:t>
            </w:r>
          </w:p>
        </w:tc>
      </w:tr>
      <w:tr w:rsidR="00256167" w:rsidTr="00294C53">
        <w:trPr>
          <w:jc w:val="center"/>
        </w:trPr>
        <w:tc>
          <w:tcPr>
            <w:tcW w:w="1292" w:type="dxa"/>
            <w:tcBorders>
              <w:top w:val="nil"/>
              <w:bottom w:val="nil"/>
            </w:tcBorders>
          </w:tcPr>
          <w:p w:rsidR="00256167" w:rsidRDefault="00256167" w:rsidP="005B580A">
            <w:pPr>
              <w:pStyle w:val="TableText0"/>
              <w:spacing w:before="60" w:after="60"/>
              <w:jc w:val="center"/>
              <w:rPr>
                <w:lang w:val="es-ES_tradnl"/>
              </w:rPr>
            </w:pPr>
            <w:r>
              <w:rPr>
                <w:lang w:val="es-ES_tradnl"/>
              </w:rPr>
              <w:t>MAQ-64</w:t>
            </w:r>
          </w:p>
        </w:tc>
        <w:tc>
          <w:tcPr>
            <w:tcW w:w="1292" w:type="dxa"/>
            <w:tcBorders>
              <w:top w:val="nil"/>
              <w:bottom w:val="nil"/>
            </w:tcBorders>
          </w:tcPr>
          <w:p w:rsidR="00256167" w:rsidRDefault="00256167" w:rsidP="005B580A">
            <w:pPr>
              <w:pStyle w:val="TableText0"/>
              <w:spacing w:before="60" w:after="60"/>
              <w:jc w:val="center"/>
              <w:rPr>
                <w:lang w:val="es-ES_tradnl"/>
              </w:rPr>
            </w:pPr>
            <w:r>
              <w:rPr>
                <w:lang w:val="es-ES_tradnl"/>
              </w:rPr>
              <w:t>6</w:t>
            </w:r>
          </w:p>
        </w:tc>
        <w:tc>
          <w:tcPr>
            <w:tcW w:w="1433" w:type="dxa"/>
            <w:tcBorders>
              <w:top w:val="nil"/>
              <w:bottom w:val="nil"/>
            </w:tcBorders>
          </w:tcPr>
          <w:p w:rsidR="00256167" w:rsidRDefault="00256167" w:rsidP="005B580A">
            <w:pPr>
              <w:pStyle w:val="TableText0"/>
              <w:spacing w:before="60" w:after="60"/>
              <w:jc w:val="center"/>
              <w:rPr>
                <w:lang w:val="es-ES_tradnl"/>
              </w:rPr>
            </w:pPr>
            <w:r>
              <w:rPr>
                <w:lang w:val="es-ES_tradnl"/>
              </w:rPr>
              <w:t>22,5</w:t>
            </w:r>
          </w:p>
        </w:tc>
        <w:tc>
          <w:tcPr>
            <w:tcW w:w="1718" w:type="dxa"/>
            <w:tcBorders>
              <w:top w:val="nil"/>
              <w:bottom w:val="nil"/>
            </w:tcBorders>
          </w:tcPr>
          <w:p w:rsidR="00256167" w:rsidRDefault="00256167" w:rsidP="005B580A">
            <w:pPr>
              <w:pStyle w:val="TableText0"/>
              <w:spacing w:before="60" w:after="60"/>
              <w:jc w:val="center"/>
              <w:rPr>
                <w:lang w:val="es-ES_tradnl"/>
              </w:rPr>
            </w:pPr>
            <w:r>
              <w:rPr>
                <w:lang w:val="es-ES_tradnl"/>
              </w:rPr>
              <w:t>27,0</w:t>
            </w:r>
          </w:p>
        </w:tc>
        <w:tc>
          <w:tcPr>
            <w:tcW w:w="1292" w:type="dxa"/>
            <w:tcBorders>
              <w:top w:val="nil"/>
              <w:bottom w:val="nil"/>
            </w:tcBorders>
          </w:tcPr>
          <w:p w:rsidR="00256167" w:rsidRDefault="00256167" w:rsidP="005B580A">
            <w:pPr>
              <w:pStyle w:val="TableText0"/>
              <w:spacing w:before="60" w:after="60"/>
              <w:jc w:val="center"/>
              <w:rPr>
                <w:lang w:val="es-ES_tradnl"/>
              </w:rPr>
            </w:pPr>
            <w:r>
              <w:rPr>
                <w:lang w:val="es-ES_tradnl"/>
              </w:rPr>
              <w:t>–96,5</w:t>
            </w:r>
          </w:p>
        </w:tc>
        <w:tc>
          <w:tcPr>
            <w:tcW w:w="1292" w:type="dxa"/>
            <w:tcBorders>
              <w:top w:val="nil"/>
              <w:bottom w:val="nil"/>
            </w:tcBorders>
          </w:tcPr>
          <w:p w:rsidR="00256167" w:rsidRDefault="00256167" w:rsidP="005B580A">
            <w:pPr>
              <w:pStyle w:val="TableText0"/>
              <w:spacing w:before="60" w:after="60"/>
              <w:jc w:val="center"/>
              <w:rPr>
                <w:lang w:val="es-ES_tradnl"/>
              </w:rPr>
            </w:pPr>
            <w:r>
              <w:rPr>
                <w:lang w:val="es-ES_tradnl"/>
              </w:rPr>
              <w:t>–</w:t>
            </w:r>
            <w:r>
              <w:rPr>
                <w:sz w:val="8"/>
                <w:lang w:val="es-ES_tradnl"/>
              </w:rPr>
              <w:t> </w:t>
            </w:r>
            <w:r>
              <w:rPr>
                <w:lang w:val="es-ES_tradnl"/>
              </w:rPr>
              <w:t>69,5</w:t>
            </w:r>
          </w:p>
        </w:tc>
        <w:tc>
          <w:tcPr>
            <w:tcW w:w="1320" w:type="dxa"/>
            <w:tcBorders>
              <w:top w:val="nil"/>
              <w:bottom w:val="nil"/>
            </w:tcBorders>
          </w:tcPr>
          <w:p w:rsidR="00256167" w:rsidRDefault="00256167" w:rsidP="005B580A">
            <w:pPr>
              <w:pStyle w:val="TableText0"/>
              <w:spacing w:before="60" w:after="60"/>
              <w:jc w:val="center"/>
              <w:rPr>
                <w:lang w:val="es-ES_tradnl"/>
              </w:rPr>
            </w:pPr>
            <w:r>
              <w:rPr>
                <w:lang w:val="es-ES_tradnl"/>
              </w:rPr>
              <w:t>33,5</w:t>
            </w:r>
          </w:p>
        </w:tc>
      </w:tr>
      <w:tr w:rsidR="00256167" w:rsidTr="00294C53">
        <w:trPr>
          <w:jc w:val="center"/>
        </w:trPr>
        <w:tc>
          <w:tcPr>
            <w:tcW w:w="1292" w:type="dxa"/>
            <w:tcBorders>
              <w:top w:val="nil"/>
            </w:tcBorders>
          </w:tcPr>
          <w:p w:rsidR="00256167" w:rsidRDefault="00256167" w:rsidP="005B580A">
            <w:pPr>
              <w:pStyle w:val="TableText0"/>
              <w:spacing w:before="60" w:after="60"/>
              <w:jc w:val="center"/>
              <w:rPr>
                <w:lang w:val="es-ES_tradnl"/>
              </w:rPr>
            </w:pPr>
            <w:r>
              <w:rPr>
                <w:lang w:val="es-ES_tradnl"/>
              </w:rPr>
              <w:t>MAQ-256</w:t>
            </w:r>
          </w:p>
        </w:tc>
        <w:tc>
          <w:tcPr>
            <w:tcW w:w="1292" w:type="dxa"/>
            <w:tcBorders>
              <w:top w:val="nil"/>
            </w:tcBorders>
          </w:tcPr>
          <w:p w:rsidR="00256167" w:rsidRDefault="00256167" w:rsidP="005B580A">
            <w:pPr>
              <w:pStyle w:val="TableText0"/>
              <w:spacing w:before="60" w:after="60"/>
              <w:jc w:val="center"/>
              <w:rPr>
                <w:lang w:val="es-ES_tradnl"/>
              </w:rPr>
            </w:pPr>
            <w:r>
              <w:rPr>
                <w:lang w:val="es-ES_tradnl"/>
              </w:rPr>
              <w:t>8</w:t>
            </w:r>
          </w:p>
        </w:tc>
        <w:tc>
          <w:tcPr>
            <w:tcW w:w="1433" w:type="dxa"/>
            <w:tcBorders>
              <w:top w:val="nil"/>
            </w:tcBorders>
          </w:tcPr>
          <w:p w:rsidR="00256167" w:rsidRDefault="00256167" w:rsidP="005B580A">
            <w:pPr>
              <w:pStyle w:val="TableText0"/>
              <w:spacing w:before="60" w:after="60"/>
              <w:jc w:val="center"/>
              <w:rPr>
                <w:lang w:val="es-ES_tradnl"/>
              </w:rPr>
            </w:pPr>
            <w:r>
              <w:rPr>
                <w:lang w:val="es-ES_tradnl"/>
              </w:rPr>
              <w:t>22,5</w:t>
            </w:r>
          </w:p>
        </w:tc>
        <w:tc>
          <w:tcPr>
            <w:tcW w:w="1718" w:type="dxa"/>
            <w:tcBorders>
              <w:top w:val="nil"/>
            </w:tcBorders>
          </w:tcPr>
          <w:p w:rsidR="00256167" w:rsidRDefault="00256167" w:rsidP="005B580A">
            <w:pPr>
              <w:pStyle w:val="TableText0"/>
              <w:spacing w:before="60" w:after="60"/>
              <w:jc w:val="center"/>
              <w:rPr>
                <w:lang w:val="es-ES_tradnl"/>
              </w:rPr>
            </w:pPr>
            <w:r>
              <w:rPr>
                <w:lang w:val="es-ES_tradnl"/>
              </w:rPr>
              <w:t>33,0</w:t>
            </w:r>
          </w:p>
        </w:tc>
        <w:tc>
          <w:tcPr>
            <w:tcW w:w="1292" w:type="dxa"/>
            <w:tcBorders>
              <w:top w:val="nil"/>
            </w:tcBorders>
          </w:tcPr>
          <w:p w:rsidR="00256167" w:rsidRDefault="00256167" w:rsidP="005B580A">
            <w:pPr>
              <w:pStyle w:val="TableText0"/>
              <w:spacing w:before="60" w:after="60"/>
              <w:jc w:val="center"/>
              <w:rPr>
                <w:lang w:val="es-ES_tradnl"/>
              </w:rPr>
            </w:pPr>
            <w:r>
              <w:rPr>
                <w:lang w:val="es-ES_tradnl"/>
              </w:rPr>
              <w:t>–96,5</w:t>
            </w:r>
          </w:p>
        </w:tc>
        <w:tc>
          <w:tcPr>
            <w:tcW w:w="1292" w:type="dxa"/>
            <w:tcBorders>
              <w:top w:val="nil"/>
            </w:tcBorders>
          </w:tcPr>
          <w:p w:rsidR="00256167" w:rsidRDefault="00256167" w:rsidP="005B580A">
            <w:pPr>
              <w:pStyle w:val="TableText0"/>
              <w:spacing w:before="60" w:after="60"/>
              <w:jc w:val="center"/>
              <w:rPr>
                <w:lang w:val="es-ES_tradnl"/>
              </w:rPr>
            </w:pPr>
            <w:r>
              <w:rPr>
                <w:lang w:val="es-ES_tradnl"/>
              </w:rPr>
              <w:t>–</w:t>
            </w:r>
            <w:r>
              <w:rPr>
                <w:sz w:val="8"/>
                <w:lang w:val="es-ES_tradnl"/>
              </w:rPr>
              <w:t> </w:t>
            </w:r>
            <w:r>
              <w:rPr>
                <w:lang w:val="es-ES_tradnl"/>
              </w:rPr>
              <w:t>63,4</w:t>
            </w:r>
          </w:p>
        </w:tc>
        <w:tc>
          <w:tcPr>
            <w:tcW w:w="1320" w:type="dxa"/>
            <w:tcBorders>
              <w:top w:val="nil"/>
            </w:tcBorders>
          </w:tcPr>
          <w:p w:rsidR="00256167" w:rsidRDefault="00256167" w:rsidP="005B580A">
            <w:pPr>
              <w:pStyle w:val="TableText0"/>
              <w:spacing w:before="60" w:after="60"/>
              <w:jc w:val="center"/>
              <w:rPr>
                <w:lang w:val="es-ES_tradnl"/>
              </w:rPr>
            </w:pPr>
            <w:r>
              <w:rPr>
                <w:lang w:val="es-ES_tradnl"/>
              </w:rPr>
              <w:t>39,5</w:t>
            </w:r>
          </w:p>
        </w:tc>
      </w:tr>
    </w:tbl>
    <w:p w:rsidR="00294C53" w:rsidRDefault="00294C53" w:rsidP="00294C53">
      <w:pPr>
        <w:pStyle w:val="Tablefin"/>
      </w:pPr>
    </w:p>
    <w:p w:rsidR="00294C53" w:rsidRPr="00294C53" w:rsidRDefault="00294C53" w:rsidP="00294C53">
      <w:pPr>
        <w:pStyle w:val="Blanc"/>
      </w:pPr>
    </w:p>
    <w:p w:rsidR="00256167" w:rsidRDefault="00256167" w:rsidP="00256167">
      <w:pPr>
        <w:rPr>
          <w:lang w:val="es-ES_tradnl"/>
        </w:rPr>
      </w:pPr>
      <w:r>
        <w:rPr>
          <w:lang w:val="es-ES_tradnl"/>
        </w:rPr>
        <w:t xml:space="preserve">La anchura de banda ocupada, </w:t>
      </w:r>
      <w:r>
        <w:rPr>
          <w:i/>
          <w:lang w:val="es-ES_tradnl"/>
        </w:rPr>
        <w:t>B</w:t>
      </w:r>
      <w:r>
        <w:rPr>
          <w:lang w:val="es-ES_tradnl"/>
        </w:rPr>
        <w:t>, para las modulaciones digitales se determinó utilizando la relación:</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i/>
          <w:lang w:val="es-ES_tradnl"/>
        </w:rPr>
        <w:t>B</w:t>
      </w:r>
      <w:r>
        <w:rPr>
          <w:lang w:val="es-ES_tradnl"/>
        </w:rPr>
        <w:t xml:space="preserve"> (MHz)  </w:t>
      </w:r>
      <w:r>
        <w:rPr>
          <w:rFonts w:ascii="Symbol" w:hAnsi="Symbol"/>
          <w:lang w:val="es-ES_tradnl"/>
        </w:rPr>
        <w:t></w:t>
      </w:r>
      <w:r>
        <w:rPr>
          <w:lang w:val="es-ES_tradnl"/>
        </w:rPr>
        <w:t xml:space="preserve">  Velocidad binaria (Mbit/s)/eficacia de transmisión (bit/(s </w:t>
      </w:r>
      <w:r w:rsidRPr="001D2A9C">
        <w:rPr>
          <w:lang w:val="es-ES_tradnl"/>
        </w:rPr>
        <w:t>·</w:t>
      </w:r>
      <w:r>
        <w:rPr>
          <w:lang w:val="es-ES_tradnl"/>
        </w:rPr>
        <w:t> Hz))</w:t>
      </w:r>
      <w:r>
        <w:rPr>
          <w:lang w:val="es-ES_tradnl"/>
        </w:rPr>
        <w:tab/>
        <w:t>(27)</w:t>
      </w:r>
    </w:p>
    <w:p w:rsidR="00256167" w:rsidRPr="002F4173" w:rsidRDefault="00256167" w:rsidP="00256167">
      <w:pPr>
        <w:pStyle w:val="Blanc"/>
        <w:rPr>
          <w:lang w:val="es-ES_tradnl"/>
        </w:rPr>
      </w:pPr>
    </w:p>
    <w:p w:rsidR="00256167" w:rsidRDefault="00256167" w:rsidP="00256167">
      <w:pPr>
        <w:rPr>
          <w:lang w:val="es-ES_tradnl"/>
        </w:rPr>
      </w:pPr>
      <w:r>
        <w:rPr>
          <w:lang w:val="es-ES_tradnl"/>
        </w:rPr>
        <w:t>donde la velocidad binaria (véanse los parámetros del sistema digital) y la eficacia de transmisión (véase el Cuadro 4) son funciones del tipo de modulación.</w:t>
      </w:r>
    </w:p>
    <w:p w:rsidR="00256167" w:rsidRDefault="00256167" w:rsidP="00256167">
      <w:pPr>
        <w:rPr>
          <w:lang w:val="es-ES_tradnl"/>
        </w:rPr>
      </w:pPr>
      <w:r>
        <w:rPr>
          <w:lang w:val="es-ES_tradnl"/>
        </w:rPr>
        <w:t xml:space="preserve">Para establecer la </w:t>
      </w:r>
      <w:r>
        <w:rPr>
          <w:i/>
          <w:lang w:val="es-ES_tradnl"/>
        </w:rPr>
        <w:t>P</w:t>
      </w:r>
      <w:r w:rsidRPr="001D2A9C">
        <w:rPr>
          <w:i/>
          <w:position w:val="-4"/>
          <w:sz w:val="16"/>
          <w:lang w:val="es-ES_tradnl"/>
        </w:rPr>
        <w:t>t</w:t>
      </w:r>
      <w:r>
        <w:rPr>
          <w:lang w:val="es-ES_tradnl"/>
        </w:rPr>
        <w:t xml:space="preserve"> necesaria para cada tipo de modulación, se determinó la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necesaria en el receptor, para criterios de calidad específicos. Se utilizó una BER de 1 </w:t>
      </w:r>
      <w:r>
        <w:rPr>
          <w:rFonts w:ascii="Symbol" w:hAnsi="Symbol"/>
          <w:lang w:val="es-ES_tradnl"/>
        </w:rPr>
        <w:t></w:t>
      </w:r>
      <w:r>
        <w:rPr>
          <w:lang w:val="es-ES_tradnl"/>
        </w:rPr>
        <w:t xml:space="preserve"> 10</w:t>
      </w:r>
      <w:r w:rsidRPr="001D2A9C">
        <w:rPr>
          <w:position w:val="6"/>
          <w:sz w:val="16"/>
          <w:lang w:val="es-ES_tradnl"/>
        </w:rPr>
        <w:t>–</w:t>
      </w:r>
      <w:r w:rsidRPr="001D2A9C">
        <w:rPr>
          <w:position w:val="6"/>
          <w:sz w:val="8"/>
          <w:lang w:val="es-ES_tradnl"/>
        </w:rPr>
        <w:t> </w:t>
      </w:r>
      <w:r w:rsidRPr="001D2A9C">
        <w:rPr>
          <w:position w:val="6"/>
          <w:sz w:val="16"/>
          <w:lang w:val="es-ES_tradnl"/>
        </w:rPr>
        <w:t>6</w:t>
      </w:r>
      <w:r>
        <w:rPr>
          <w:lang w:val="es-ES_tradnl"/>
        </w:rPr>
        <w:t xml:space="preserve"> como criterio de calidad y la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teórica necesaria se obtuvo de textos técnicos sobre el tema.</w:t>
      </w:r>
    </w:p>
    <w:p w:rsidR="00256167" w:rsidRDefault="00256167" w:rsidP="00256167">
      <w:pPr>
        <w:rPr>
          <w:lang w:val="es-ES_tradnl"/>
        </w:rPr>
      </w:pPr>
      <w:r>
        <w:rPr>
          <w:lang w:val="es-ES_tradnl"/>
        </w:rPr>
        <w:t xml:space="preserve">Los niveles de ruido a la entrada del receptor, </w:t>
      </w:r>
      <w:r w:rsidRPr="001D2A9C">
        <w:rPr>
          <w:i/>
          <w:lang w:val="es-ES_tradnl"/>
        </w:rPr>
        <w:t>N</w:t>
      </w:r>
      <w:r w:rsidRPr="001D2A9C">
        <w:rPr>
          <w:i/>
          <w:position w:val="-4"/>
          <w:sz w:val="16"/>
          <w:lang w:val="es-ES_tradnl"/>
        </w:rPr>
        <w:t>i</w:t>
      </w:r>
      <w:r>
        <w:rPr>
          <w:lang w:val="es-ES_tradnl"/>
        </w:rPr>
        <w:t xml:space="preserve">, dados en el Cuadro 4 (–96,5 </w:t>
      </w:r>
      <w:proofErr w:type="spellStart"/>
      <w:r>
        <w:rPr>
          <w:lang w:val="es-ES_tradnl"/>
        </w:rPr>
        <w:t>dBm</w:t>
      </w:r>
      <w:proofErr w:type="spellEnd"/>
      <w:r>
        <w:rPr>
          <w:lang w:val="es-ES_tradnl"/>
        </w:rPr>
        <w:t xml:space="preserve">), se determinaron utilizando una anchura de banda del receptor de 22,5 MHz y un factor de ruido en el receptor de 4 dB. El nivel mínimo necesario de portadora, </w:t>
      </w:r>
      <w:r>
        <w:rPr>
          <w:i/>
          <w:lang w:val="es-ES_tradnl"/>
        </w:rPr>
        <w:t>C</w:t>
      </w:r>
      <w:proofErr w:type="spellStart"/>
      <w:r w:rsidRPr="001D2A9C">
        <w:rPr>
          <w:i/>
          <w:position w:val="-4"/>
          <w:sz w:val="16"/>
          <w:lang w:val="es-ES_tradnl"/>
        </w:rPr>
        <w:t>mín</w:t>
      </w:r>
      <w:proofErr w:type="spellEnd"/>
      <w:r>
        <w:rPr>
          <w:lang w:val="es-ES_tradnl"/>
        </w:rPr>
        <w:t>, a la entrada del receptor se determinó a partir de la relación:</w:t>
      </w:r>
    </w:p>
    <w:p w:rsidR="00256167" w:rsidRPr="007F076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i/>
          <w:lang w:val="es-ES_tradnl"/>
        </w:rPr>
        <w:t>C</w:t>
      </w:r>
      <w:proofErr w:type="spellStart"/>
      <w:r w:rsidRPr="001D2A9C">
        <w:rPr>
          <w:i/>
          <w:position w:val="-4"/>
          <w:sz w:val="18"/>
          <w:lang w:val="es-ES_tradnl"/>
        </w:rPr>
        <w:t>mín</w:t>
      </w:r>
      <w:proofErr w:type="spellEnd"/>
      <w:r w:rsidRPr="001D2A9C">
        <w:rPr>
          <w:lang w:val="es-ES_tradnl"/>
        </w:rPr>
        <w:t xml:space="preserve"> </w:t>
      </w:r>
      <w:r>
        <w:rPr>
          <w:lang w:val="es-ES_tradnl"/>
        </w:rPr>
        <w:t>(</w:t>
      </w:r>
      <w:proofErr w:type="spellStart"/>
      <w:r>
        <w:rPr>
          <w:lang w:val="es-ES_tradnl"/>
        </w:rPr>
        <w:t>dBm</w:t>
      </w:r>
      <w:proofErr w:type="spellEnd"/>
      <w:r>
        <w:rPr>
          <w:lang w:val="es-ES_tradnl"/>
        </w:rPr>
        <w:t xml:space="preserve">)  </w:t>
      </w:r>
      <w:r>
        <w:rPr>
          <w:rFonts w:ascii="Symbol" w:hAnsi="Symbol"/>
          <w:lang w:val="es-ES_tradnl"/>
        </w:rPr>
        <w:t></w:t>
      </w:r>
      <w:r>
        <w:rPr>
          <w:lang w:val="es-ES_tradnl"/>
        </w:rPr>
        <w:t xml:space="preserve">  (</w:t>
      </w:r>
      <w:r>
        <w:rPr>
          <w:i/>
          <w:lang w:val="es-ES_tradnl"/>
        </w:rPr>
        <w:t>C</w:t>
      </w:r>
      <w:r>
        <w:rPr>
          <w:lang w:val="es-ES_tradnl"/>
        </w:rPr>
        <w:t>/</w:t>
      </w:r>
      <w:r>
        <w:rPr>
          <w:i/>
          <w:lang w:val="es-ES_tradnl"/>
        </w:rPr>
        <w:t>N</w:t>
      </w:r>
      <w:r>
        <w:rPr>
          <w:lang w:val="es-ES_tradnl"/>
        </w:rPr>
        <w:t>)</w:t>
      </w:r>
      <w:r w:rsidRPr="001D2A9C">
        <w:rPr>
          <w:i/>
          <w:position w:val="-4"/>
          <w:sz w:val="18"/>
          <w:lang w:val="es-ES_tradnl"/>
        </w:rPr>
        <w:t>i</w:t>
      </w:r>
      <w:r>
        <w:rPr>
          <w:lang w:val="es-ES_tradnl"/>
        </w:rPr>
        <w:t xml:space="preserve">  </w:t>
      </w:r>
      <w:r>
        <w:rPr>
          <w:rFonts w:ascii="Symbol" w:hAnsi="Symbol"/>
          <w:lang w:val="es-ES_tradnl"/>
        </w:rPr>
        <w:t></w:t>
      </w:r>
      <w:r>
        <w:rPr>
          <w:lang w:val="es-ES_tradnl"/>
        </w:rPr>
        <w:t xml:space="preserve">  </w:t>
      </w:r>
      <w:r w:rsidRPr="001D2A9C">
        <w:rPr>
          <w:i/>
          <w:lang w:val="es-ES_tradnl"/>
        </w:rPr>
        <w:t>N</w:t>
      </w:r>
      <w:r w:rsidRPr="001D2A9C">
        <w:rPr>
          <w:i/>
          <w:position w:val="-4"/>
          <w:sz w:val="18"/>
          <w:lang w:val="es-ES_tradnl"/>
        </w:rPr>
        <w:t>i</w:t>
      </w:r>
      <w:r>
        <w:rPr>
          <w:lang w:val="es-ES_tradnl"/>
        </w:rPr>
        <w:tab/>
        <w:t>(28)</w:t>
      </w:r>
    </w:p>
    <w:p w:rsidR="00256167" w:rsidRPr="002E6011" w:rsidRDefault="00256167" w:rsidP="00256167">
      <w:pPr>
        <w:pStyle w:val="Blanc"/>
        <w:rPr>
          <w:lang w:val="es-ES_tradnl"/>
        </w:rPr>
      </w:pPr>
    </w:p>
    <w:p w:rsidR="00256167" w:rsidRDefault="00256167" w:rsidP="00256167">
      <w:pPr>
        <w:rPr>
          <w:position w:val="-4"/>
          <w:sz w:val="16"/>
          <w:lang w:val="es-ES_tradnl"/>
        </w:rPr>
      </w:pPr>
      <w:r>
        <w:rPr>
          <w:lang w:val="es-ES_tradnl"/>
        </w:rPr>
        <w:t xml:space="preserve">La potencia necesaria en el transmisor, </w:t>
      </w:r>
      <w:r>
        <w:rPr>
          <w:i/>
          <w:lang w:val="es-ES_tradnl"/>
        </w:rPr>
        <w:t>P</w:t>
      </w:r>
      <w:r w:rsidRPr="001D2A9C">
        <w:rPr>
          <w:i/>
          <w:position w:val="-4"/>
          <w:sz w:val="16"/>
          <w:lang w:val="es-ES_tradnl"/>
        </w:rPr>
        <w:t>t</w:t>
      </w:r>
      <w:r w:rsidRPr="001D2A9C">
        <w:rPr>
          <w:lang w:val="es-ES_tradnl"/>
        </w:rPr>
        <w:t>,</w:t>
      </w:r>
      <w:r>
        <w:rPr>
          <w:lang w:val="es-ES_tradnl"/>
        </w:rPr>
        <w:t xml:space="preserve"> dada en el Cuadro 4 se determinó utilizando la expresión:</w:t>
      </w:r>
    </w:p>
    <w:p w:rsidR="00256167" w:rsidRPr="002E6011" w:rsidRDefault="00256167" w:rsidP="00256167">
      <w:pPr>
        <w:pStyle w:val="Blanc"/>
        <w:rPr>
          <w:lang w:val="es-ES_tradnl"/>
        </w:rPr>
      </w:pPr>
    </w:p>
    <w:p w:rsidR="00256167" w:rsidRDefault="00256167" w:rsidP="00256167">
      <w:pPr>
        <w:pStyle w:val="Equation"/>
        <w:rPr>
          <w:lang w:val="es-ES_tradnl"/>
        </w:rPr>
      </w:pPr>
      <w:r>
        <w:rPr>
          <w:lang w:val="es-ES_tradnl"/>
        </w:rPr>
        <w:tab/>
      </w:r>
      <w:r>
        <w:rPr>
          <w:lang w:val="es-ES_tradnl"/>
        </w:rPr>
        <w:tab/>
      </w:r>
      <w:r>
        <w:rPr>
          <w:i/>
          <w:lang w:val="es-ES_tradnl"/>
        </w:rPr>
        <w:t>P</w:t>
      </w:r>
      <w:r w:rsidRPr="001D2A9C">
        <w:rPr>
          <w:i/>
          <w:position w:val="-4"/>
          <w:sz w:val="18"/>
          <w:lang w:val="es-ES_tradnl"/>
        </w:rPr>
        <w:t>t</w:t>
      </w:r>
      <w:r w:rsidRPr="001D2A9C">
        <w:rPr>
          <w:lang w:val="es-ES_tradnl"/>
        </w:rPr>
        <w:t xml:space="preserve"> </w:t>
      </w:r>
      <w:r>
        <w:rPr>
          <w:lang w:val="es-ES_tradnl"/>
        </w:rPr>
        <w:t>(</w:t>
      </w:r>
      <w:proofErr w:type="spellStart"/>
      <w:r>
        <w:rPr>
          <w:lang w:val="es-ES_tradnl"/>
        </w:rPr>
        <w:t>dBm</w:t>
      </w:r>
      <w:proofErr w:type="spellEnd"/>
      <w:r>
        <w:rPr>
          <w:lang w:val="es-ES_tradnl"/>
        </w:rPr>
        <w:t xml:space="preserve">)  </w:t>
      </w:r>
      <w:r>
        <w:rPr>
          <w:rFonts w:ascii="Symbol" w:hAnsi="Symbol"/>
          <w:lang w:val="es-ES_tradnl"/>
        </w:rPr>
        <w:t></w:t>
      </w:r>
      <w:r>
        <w:rPr>
          <w:lang w:val="es-ES_tradnl"/>
        </w:rPr>
        <w:t xml:space="preserve">  </w:t>
      </w:r>
      <w:r>
        <w:rPr>
          <w:i/>
          <w:lang w:val="es-ES_tradnl"/>
        </w:rPr>
        <w:t>C</w:t>
      </w:r>
      <w:proofErr w:type="spellStart"/>
      <w:r w:rsidRPr="001D2A9C">
        <w:rPr>
          <w:i/>
          <w:position w:val="-4"/>
          <w:sz w:val="18"/>
          <w:lang w:val="es-ES_tradnl"/>
        </w:rPr>
        <w:t>mín</w:t>
      </w:r>
      <w:proofErr w:type="spellEnd"/>
      <w:r w:rsidRPr="001D2A9C">
        <w:rPr>
          <w:lang w:val="es-ES_tradnl"/>
        </w:rPr>
        <w:t xml:space="preserve">  </w:t>
      </w:r>
      <w:r>
        <w:rPr>
          <w:rFonts w:ascii="Symbol" w:hAnsi="Symbol"/>
          <w:lang w:val="es-ES_tradnl"/>
        </w:rPr>
        <w:t></w:t>
      </w:r>
      <w:r w:rsidRPr="001D2A9C">
        <w:rPr>
          <w:lang w:val="es-ES_tradnl"/>
        </w:rPr>
        <w:t xml:space="preserve">  </w:t>
      </w:r>
      <w:r>
        <w:rPr>
          <w:i/>
          <w:lang w:val="es-ES_tradnl"/>
        </w:rPr>
        <w:t>G</w:t>
      </w:r>
      <w:r w:rsidRPr="001D2A9C">
        <w:rPr>
          <w:i/>
          <w:position w:val="-4"/>
          <w:sz w:val="18"/>
          <w:lang w:val="es-ES_tradnl"/>
        </w:rPr>
        <w:t>s</w:t>
      </w:r>
      <w:r>
        <w:rPr>
          <w:lang w:val="es-ES_tradnl"/>
        </w:rPr>
        <w:tab/>
        <w:t>(29)</w:t>
      </w:r>
    </w:p>
    <w:p w:rsidR="00256167" w:rsidRPr="002E6011" w:rsidRDefault="00256167" w:rsidP="00256167">
      <w:pPr>
        <w:pStyle w:val="Blanc"/>
        <w:rPr>
          <w:lang w:val="es-ES_tradnl"/>
        </w:rPr>
      </w:pPr>
    </w:p>
    <w:p w:rsidR="00256167" w:rsidRDefault="00256167" w:rsidP="00256167">
      <w:pPr>
        <w:rPr>
          <w:lang w:val="es-ES_tradnl"/>
        </w:rPr>
      </w:pPr>
      <w:r>
        <w:rPr>
          <w:lang w:val="es-ES_tradnl"/>
        </w:rPr>
        <w:t xml:space="preserve">donde </w:t>
      </w:r>
      <w:r>
        <w:rPr>
          <w:i/>
          <w:lang w:val="es-ES_tradnl"/>
        </w:rPr>
        <w:t>G</w:t>
      </w:r>
      <w:r w:rsidRPr="001D2A9C">
        <w:rPr>
          <w:i/>
          <w:position w:val="-4"/>
          <w:sz w:val="16"/>
          <w:lang w:val="es-ES_tradnl"/>
        </w:rPr>
        <w:t>s</w:t>
      </w:r>
      <w:r>
        <w:rPr>
          <w:lang w:val="es-ES_tradnl"/>
        </w:rPr>
        <w:t xml:space="preserve"> representa la ganancia del sistema, que se fijó en 103 dB.</w:t>
      </w:r>
    </w:p>
    <w:p w:rsidR="00256167" w:rsidRDefault="00256167" w:rsidP="00256167">
      <w:pPr>
        <w:rPr>
          <w:lang w:val="es-ES_tradnl"/>
        </w:rPr>
      </w:pPr>
      <w:r>
        <w:rPr>
          <w:lang w:val="es-ES_tradnl"/>
        </w:rPr>
        <w:t xml:space="preserve">El área denegada también es función del nivel de interferencia máximo admisible en el receptor víctima, </w:t>
      </w:r>
      <w:r>
        <w:rPr>
          <w:i/>
          <w:lang w:val="es-ES_tradnl"/>
        </w:rPr>
        <w:t>I</w:t>
      </w:r>
      <w:proofErr w:type="spellStart"/>
      <w:r w:rsidRPr="001D2A9C">
        <w:rPr>
          <w:i/>
          <w:position w:val="-4"/>
          <w:sz w:val="16"/>
          <w:lang w:val="es-ES_tradnl"/>
        </w:rPr>
        <w:t>máx</w:t>
      </w:r>
      <w:proofErr w:type="spellEnd"/>
      <w:r w:rsidRPr="001D2A9C">
        <w:rPr>
          <w:lang w:val="es-ES_tradnl"/>
        </w:rPr>
        <w:t>.</w:t>
      </w:r>
      <w:r>
        <w:rPr>
          <w:lang w:val="es-ES_tradnl"/>
        </w:rPr>
        <w:t xml:space="preserve"> El nivel de </w:t>
      </w:r>
      <w:r>
        <w:rPr>
          <w:i/>
          <w:lang w:val="es-ES_tradnl"/>
        </w:rPr>
        <w:t>I</w:t>
      </w:r>
      <w:proofErr w:type="spellStart"/>
      <w:r w:rsidRPr="001D2A9C">
        <w:rPr>
          <w:i/>
          <w:position w:val="-4"/>
          <w:sz w:val="16"/>
          <w:lang w:val="es-ES_tradnl"/>
        </w:rPr>
        <w:t>máx</w:t>
      </w:r>
      <w:proofErr w:type="spellEnd"/>
      <w:r>
        <w:rPr>
          <w:lang w:val="es-ES_tradnl"/>
        </w:rPr>
        <w:t xml:space="preserve">, asociado con cada modulación, se determinó suponiendo que el receptor víctima tenía el mismo tipo de modulación que el transmisor interferente. En este análisis, el nivel de </w:t>
      </w:r>
      <w:r>
        <w:rPr>
          <w:i/>
          <w:lang w:val="es-ES_tradnl"/>
        </w:rPr>
        <w:t>I</w:t>
      </w:r>
      <w:proofErr w:type="spellStart"/>
      <w:r w:rsidRPr="001D2A9C">
        <w:rPr>
          <w:i/>
          <w:position w:val="-4"/>
          <w:sz w:val="16"/>
          <w:lang w:val="es-ES_tradnl"/>
        </w:rPr>
        <w:t>máx</w:t>
      </w:r>
      <w:proofErr w:type="spellEnd"/>
      <w:r>
        <w:rPr>
          <w:lang w:val="es-ES_tradnl"/>
        </w:rPr>
        <w:t xml:space="preserve"> se determinó utilizando el criterio establecido en el Boletín N.</w:t>
      </w:r>
      <w:r>
        <w:rPr>
          <w:rFonts w:ascii="Symbol" w:hAnsi="Symbol"/>
          <w:lang w:val="es-ES_tradnl"/>
        </w:rPr>
        <w:t></w:t>
      </w:r>
      <w:r>
        <w:rPr>
          <w:lang w:val="es-ES_tradnl"/>
        </w:rPr>
        <w:t xml:space="preserve"> 10-E sobre sistemas </w:t>
      </w:r>
      <w:r>
        <w:rPr>
          <w:lang w:val="es-ES_tradnl"/>
        </w:rPr>
        <w:lastRenderedPageBreak/>
        <w:t xml:space="preserve">de telecomunicaciones de la </w:t>
      </w:r>
      <w:proofErr w:type="spellStart"/>
      <w:r>
        <w:rPr>
          <w:lang w:val="es-ES_tradnl"/>
        </w:rPr>
        <w:t>Telecommunications</w:t>
      </w:r>
      <w:proofErr w:type="spellEnd"/>
      <w:r>
        <w:rPr>
          <w:lang w:val="es-ES_tradnl"/>
        </w:rPr>
        <w:t xml:space="preserve"> </w:t>
      </w:r>
      <w:proofErr w:type="spellStart"/>
      <w:r>
        <w:rPr>
          <w:lang w:val="es-ES_tradnl"/>
        </w:rPr>
        <w:t>Industry</w:t>
      </w:r>
      <w:proofErr w:type="spellEnd"/>
      <w:r>
        <w:rPr>
          <w:lang w:val="es-ES_tradnl"/>
        </w:rPr>
        <w:t xml:space="preserve"> </w:t>
      </w:r>
      <w:proofErr w:type="spellStart"/>
      <w:r>
        <w:rPr>
          <w:lang w:val="es-ES_tradnl"/>
        </w:rPr>
        <w:t>Association</w:t>
      </w:r>
      <w:proofErr w:type="spellEnd"/>
      <w:r>
        <w:rPr>
          <w:lang w:val="es-ES_tradnl"/>
        </w:rPr>
        <w:t xml:space="preserve"> (TIA). Para los sistemas digitales el criterio de calidad de funcionamiento fue un aumento en la BER de 1 </w:t>
      </w:r>
      <w:r>
        <w:rPr>
          <w:rFonts w:ascii="Symbol" w:hAnsi="Symbol"/>
          <w:lang w:val="es-ES_tradnl"/>
        </w:rPr>
        <w:t></w:t>
      </w:r>
      <w:r w:rsidRPr="001D2A9C">
        <w:rPr>
          <w:lang w:val="es-ES_tradnl"/>
        </w:rPr>
        <w:t xml:space="preserve"> </w:t>
      </w:r>
      <w:r>
        <w:rPr>
          <w:lang w:val="es-ES_tradnl"/>
        </w:rPr>
        <w:t>10</w:t>
      </w:r>
      <w:r w:rsidRPr="001D2A9C">
        <w:rPr>
          <w:position w:val="6"/>
          <w:sz w:val="16"/>
          <w:lang w:val="es-ES_tradnl"/>
        </w:rPr>
        <w:t>–</w:t>
      </w:r>
      <w:r w:rsidRPr="001D2A9C">
        <w:rPr>
          <w:position w:val="6"/>
          <w:sz w:val="8"/>
          <w:lang w:val="es-ES_tradnl"/>
        </w:rPr>
        <w:t> </w:t>
      </w:r>
      <w:r w:rsidRPr="001D2A9C">
        <w:rPr>
          <w:position w:val="6"/>
          <w:sz w:val="16"/>
          <w:lang w:val="es-ES_tradnl"/>
        </w:rPr>
        <w:t>6</w:t>
      </w:r>
      <w:r>
        <w:rPr>
          <w:lang w:val="es-ES_tradnl"/>
        </w:rPr>
        <w:t xml:space="preserve"> a 1 </w:t>
      </w:r>
      <w:r>
        <w:rPr>
          <w:rFonts w:ascii="Symbol" w:hAnsi="Symbol"/>
          <w:lang w:val="es-ES_tradnl"/>
        </w:rPr>
        <w:t></w:t>
      </w:r>
      <w:r w:rsidRPr="001D2A9C">
        <w:rPr>
          <w:lang w:val="es-ES_tradnl"/>
        </w:rPr>
        <w:t xml:space="preserve"> </w:t>
      </w:r>
      <w:r>
        <w:rPr>
          <w:lang w:val="es-ES_tradnl"/>
        </w:rPr>
        <w:t>10</w:t>
      </w:r>
      <w:r w:rsidRPr="001D2A9C">
        <w:rPr>
          <w:position w:val="6"/>
          <w:sz w:val="16"/>
          <w:lang w:val="es-ES_tradnl"/>
        </w:rPr>
        <w:t>–5</w:t>
      </w:r>
      <w:r>
        <w:rPr>
          <w:lang w:val="es-ES_tradnl"/>
        </w:rPr>
        <w:t>, que corresponde aproximadamente a un aumento de 1 dB del nivel de ruido del receptor. Esto equivale a una relación interferencia/ruido a la entrada del receptor, (</w:t>
      </w:r>
      <w:r>
        <w:rPr>
          <w:i/>
          <w:lang w:val="es-ES_tradnl"/>
        </w:rPr>
        <w:t>I</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w:t>
      </w:r>
      <w:r>
        <w:rPr>
          <w:rFonts w:ascii="Symbol" w:hAnsi="Symbol"/>
          <w:lang w:val="es-ES_tradnl"/>
        </w:rPr>
        <w:t></w:t>
      </w:r>
      <w:r>
        <w:rPr>
          <w:lang w:val="es-ES_tradnl"/>
        </w:rPr>
        <w:t xml:space="preserve"> –6 dB (es decir </w:t>
      </w:r>
      <w:r>
        <w:rPr>
          <w:lang w:val="es-ES_tradnl"/>
        </w:rPr>
        <w:fldChar w:fldCharType="begin"/>
      </w:r>
      <w:r>
        <w:rPr>
          <w:lang w:val="es-ES_tradnl"/>
        </w:rPr>
        <w:instrText xml:space="preserve"> EQ  </w:instrText>
      </w:r>
      <w:r>
        <w:rPr>
          <w:i/>
          <w:lang w:val="es-ES_tradnl"/>
        </w:rPr>
        <w:instrText>I</w:instrText>
      </w:r>
      <w:r w:rsidRPr="001D2A9C">
        <w:rPr>
          <w:i/>
          <w:position w:val="-4"/>
          <w:sz w:val="16"/>
          <w:lang w:val="es-ES_tradnl"/>
        </w:rPr>
        <w:instrText>máx</w:instrText>
      </w:r>
      <w:r>
        <w:rPr>
          <w:lang w:val="es-ES_tradnl"/>
        </w:rPr>
        <w:instrText> </w:instrText>
      </w:r>
      <w:r>
        <w:rPr>
          <w:rFonts w:ascii="Symbol" w:hAnsi="Symbol"/>
          <w:lang w:val="es-ES_tradnl"/>
        </w:rPr>
        <w:instrText></w:instrText>
      </w:r>
      <w:r>
        <w:rPr>
          <w:lang w:val="es-ES_tradnl"/>
        </w:rPr>
        <w:instrText> –96,5 dBm – 6 dB </w:instrText>
      </w:r>
      <w:r>
        <w:rPr>
          <w:rFonts w:ascii="Symbol" w:hAnsi="Symbol"/>
          <w:lang w:val="es-ES_tradnl"/>
        </w:rPr>
        <w:instrText></w:instrText>
      </w:r>
      <w:r>
        <w:rPr>
          <w:lang w:val="es-ES_tradnl"/>
        </w:rPr>
        <w:instrText> –102,5 dBm</w:instrText>
      </w:r>
      <w:r>
        <w:rPr>
          <w:lang w:val="es-ES_tradnl"/>
        </w:rPr>
        <w:fldChar w:fldCharType="end"/>
      </w:r>
      <w:r>
        <w:rPr>
          <w:lang w:val="es-ES_tradnl"/>
        </w:rPr>
        <w:t xml:space="preserve"> para MAQ</w:t>
      </w:r>
      <w:r>
        <w:rPr>
          <w:lang w:val="es-ES_tradnl"/>
        </w:rPr>
        <w:noBreakHyphen/>
        <w:t>16, MAQ-64 y MAQ-256).</w:t>
      </w:r>
    </w:p>
    <w:p w:rsidR="00256167" w:rsidRDefault="00256167" w:rsidP="00256167">
      <w:pPr>
        <w:rPr>
          <w:lang w:val="es-ES_tradnl"/>
        </w:rPr>
      </w:pPr>
      <w:r>
        <w:rPr>
          <w:lang w:val="es-ES_tradnl"/>
        </w:rPr>
        <w:t xml:space="preserve">El Cuadro 5 contiene los valores de EUE calculados utilizando la anchura de banda y la potencia de salida del transmisor dados en el Cuadro 4 y el nivel de interferencia máximo admisible de –102,5 </w:t>
      </w:r>
      <w:proofErr w:type="spellStart"/>
      <w:r>
        <w:rPr>
          <w:lang w:val="es-ES_tradnl"/>
        </w:rPr>
        <w:t>dBm</w:t>
      </w:r>
      <w:proofErr w:type="spellEnd"/>
      <w:r>
        <w:rPr>
          <w:lang w:val="es-ES_tradnl"/>
        </w:rPr>
        <w:t>. En el Cuadro 5 se dan valores de EUE para los tres tipos de modulación diferentes y los tres tipos de antenas. Los sistemas con valores de EUE superiores son más eficientes en términos de utilización del espectro. Debe señalarse que los resultados calculados indican claramente que la EUE varía considerablemente de un tipo de antena a otro. Por ejemplo, la EUE para MAQ-64 es 0,201 para la antena STD, comparada con 0,212 y 0,811 para las antenas SHD y CHR, respectivamente. Por lo tanto, los resultados del Cuadro 5 muestran claramente que la EUE se puede optimizar sólo cuando se consideran tanto los efectos de la antena como los de la modulación.</w:t>
      </w:r>
    </w:p>
    <w:p w:rsidR="00256167" w:rsidRDefault="00256167" w:rsidP="00256167">
      <w:pPr>
        <w:pStyle w:val="Table"/>
        <w:rPr>
          <w:lang w:val="es-ES_tradnl"/>
        </w:rPr>
      </w:pPr>
      <w:r>
        <w:rPr>
          <w:lang w:val="es-ES_tradnl"/>
        </w:rPr>
        <w:t>CUADRO  5</w:t>
      </w:r>
    </w:p>
    <w:p w:rsidR="00256167" w:rsidRDefault="00256167" w:rsidP="00256167">
      <w:pPr>
        <w:pStyle w:val="TableTitle0"/>
        <w:rPr>
          <w:lang w:val="es-ES_tradnl"/>
        </w:rPr>
      </w:pPr>
      <w:r>
        <w:rPr>
          <w:lang w:val="es-ES_tradnl"/>
        </w:rPr>
        <w:t>Eficacia de utilización del espectro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1701"/>
        <w:gridCol w:w="1701"/>
        <w:gridCol w:w="1701"/>
      </w:tblGrid>
      <w:tr w:rsidR="00256167" w:rsidRPr="00AC38FC" w:rsidTr="005B580A">
        <w:trPr>
          <w:jc w:val="center"/>
        </w:trPr>
        <w:tc>
          <w:tcPr>
            <w:tcW w:w="2268" w:type="dxa"/>
            <w:tcBorders>
              <w:bottom w:val="nil"/>
            </w:tcBorders>
          </w:tcPr>
          <w:p w:rsidR="00256167" w:rsidRDefault="00256167" w:rsidP="005B580A">
            <w:pPr>
              <w:pStyle w:val="TableText0"/>
              <w:spacing w:before="580" w:after="0"/>
              <w:jc w:val="center"/>
            </w:pPr>
            <w:proofErr w:type="spellStart"/>
            <w:r>
              <w:t>Clasificación</w:t>
            </w:r>
            <w:proofErr w:type="spellEnd"/>
            <w:r>
              <w:t xml:space="preserve"> </w:t>
            </w:r>
            <w:proofErr w:type="spellStart"/>
            <w:r>
              <w:t>por</w:t>
            </w:r>
            <w:proofErr w:type="spellEnd"/>
          </w:p>
        </w:tc>
        <w:tc>
          <w:tcPr>
            <w:tcW w:w="5103" w:type="dxa"/>
            <w:gridSpan w:val="3"/>
          </w:tcPr>
          <w:p w:rsidR="00256167" w:rsidRPr="001D2A9C" w:rsidRDefault="00256167" w:rsidP="005B580A">
            <w:pPr>
              <w:pStyle w:val="TableText0"/>
              <w:spacing w:before="200" w:after="200"/>
              <w:jc w:val="center"/>
              <w:rPr>
                <w:b/>
                <w:lang w:val="es-ES_tradnl"/>
              </w:rPr>
            </w:pPr>
            <w:r w:rsidRPr="001D2A9C">
              <w:rPr>
                <w:lang w:val="es-ES_tradnl"/>
              </w:rPr>
              <w:t>EUE para diferentes tipos de antena</w:t>
            </w:r>
          </w:p>
        </w:tc>
      </w:tr>
      <w:tr w:rsidR="00256167" w:rsidTr="005B580A">
        <w:trPr>
          <w:jc w:val="center"/>
        </w:trPr>
        <w:tc>
          <w:tcPr>
            <w:tcW w:w="2268" w:type="dxa"/>
            <w:tcBorders>
              <w:top w:val="nil"/>
              <w:bottom w:val="nil"/>
            </w:tcBorders>
          </w:tcPr>
          <w:p w:rsidR="00256167" w:rsidRDefault="00256167" w:rsidP="005B580A">
            <w:pPr>
              <w:pStyle w:val="TableText0"/>
              <w:spacing w:before="0" w:after="200"/>
              <w:jc w:val="center"/>
            </w:pPr>
            <w:proofErr w:type="spellStart"/>
            <w:r>
              <w:t>orden</w:t>
            </w:r>
            <w:proofErr w:type="spellEnd"/>
            <w:r>
              <w:t xml:space="preserve"> </w:t>
            </w:r>
            <w:proofErr w:type="spellStart"/>
            <w:r>
              <w:t>decreciente</w:t>
            </w:r>
            <w:proofErr w:type="spellEnd"/>
          </w:p>
        </w:tc>
        <w:tc>
          <w:tcPr>
            <w:tcW w:w="1701" w:type="dxa"/>
            <w:tcBorders>
              <w:bottom w:val="nil"/>
            </w:tcBorders>
          </w:tcPr>
          <w:p w:rsidR="00256167" w:rsidRDefault="00256167" w:rsidP="005B580A">
            <w:pPr>
              <w:pStyle w:val="TableText0"/>
              <w:spacing w:before="200" w:after="200"/>
              <w:jc w:val="center"/>
            </w:pPr>
            <w:r>
              <w:t>STD</w:t>
            </w:r>
          </w:p>
        </w:tc>
        <w:tc>
          <w:tcPr>
            <w:tcW w:w="1701" w:type="dxa"/>
            <w:tcBorders>
              <w:bottom w:val="nil"/>
            </w:tcBorders>
          </w:tcPr>
          <w:p w:rsidR="00256167" w:rsidRDefault="00256167" w:rsidP="005B580A">
            <w:pPr>
              <w:pStyle w:val="TableText0"/>
              <w:spacing w:before="200" w:after="200"/>
              <w:jc w:val="center"/>
            </w:pPr>
            <w:r>
              <w:t>SHD</w:t>
            </w:r>
          </w:p>
        </w:tc>
        <w:tc>
          <w:tcPr>
            <w:tcW w:w="1701" w:type="dxa"/>
            <w:tcBorders>
              <w:bottom w:val="nil"/>
            </w:tcBorders>
          </w:tcPr>
          <w:p w:rsidR="00256167" w:rsidRDefault="00256167" w:rsidP="005B580A">
            <w:pPr>
              <w:pStyle w:val="TableText0"/>
              <w:spacing w:before="200" w:after="200"/>
              <w:jc w:val="center"/>
            </w:pPr>
            <w:r>
              <w:t>CHR</w:t>
            </w:r>
          </w:p>
        </w:tc>
      </w:tr>
      <w:tr w:rsidR="00256167" w:rsidTr="005B580A">
        <w:trPr>
          <w:jc w:val="center"/>
        </w:trPr>
        <w:tc>
          <w:tcPr>
            <w:tcW w:w="2268" w:type="dxa"/>
            <w:tcBorders>
              <w:bottom w:val="single" w:sz="6" w:space="0" w:color="auto"/>
            </w:tcBorders>
          </w:tcPr>
          <w:p w:rsidR="00256167" w:rsidRDefault="00256167" w:rsidP="005B580A">
            <w:pPr>
              <w:pStyle w:val="TableText0"/>
              <w:spacing w:before="60" w:after="60"/>
              <w:jc w:val="center"/>
              <w:rPr>
                <w:lang w:val="es-ES_tradnl"/>
              </w:rPr>
            </w:pPr>
            <w:r>
              <w:rPr>
                <w:lang w:val="es-ES_tradnl"/>
              </w:rPr>
              <w:t>1</w:t>
            </w:r>
          </w:p>
        </w:tc>
        <w:tc>
          <w:tcPr>
            <w:tcW w:w="1701" w:type="dxa"/>
            <w:tcBorders>
              <w:bottom w:val="single" w:sz="6" w:space="0" w:color="auto"/>
            </w:tcBorders>
          </w:tcPr>
          <w:p w:rsidR="00256167" w:rsidRDefault="00256167" w:rsidP="005B580A">
            <w:pPr>
              <w:pStyle w:val="TableText0"/>
              <w:spacing w:before="60" w:after="60"/>
              <w:jc w:val="center"/>
              <w:rPr>
                <w:lang w:val="es-ES_tradnl"/>
              </w:rPr>
            </w:pPr>
            <w:r>
              <w:rPr>
                <w:lang w:val="es-ES_tradnl"/>
              </w:rPr>
              <w:t>MAQ-16</w:t>
            </w:r>
            <w:r>
              <w:rPr>
                <w:lang w:val="es-ES_tradnl"/>
              </w:rPr>
              <w:br/>
              <w:t>(0,307)</w:t>
            </w:r>
          </w:p>
        </w:tc>
        <w:tc>
          <w:tcPr>
            <w:tcW w:w="1701" w:type="dxa"/>
            <w:tcBorders>
              <w:bottom w:val="single" w:sz="6" w:space="0" w:color="auto"/>
            </w:tcBorders>
          </w:tcPr>
          <w:p w:rsidR="00256167" w:rsidRDefault="00256167" w:rsidP="005B580A">
            <w:pPr>
              <w:pStyle w:val="TableText0"/>
              <w:spacing w:before="60" w:after="60"/>
              <w:jc w:val="center"/>
              <w:rPr>
                <w:lang w:val="es-ES_tradnl"/>
              </w:rPr>
            </w:pPr>
            <w:r>
              <w:rPr>
                <w:lang w:val="es-ES_tradnl"/>
              </w:rPr>
              <w:t>MAQ-16</w:t>
            </w:r>
            <w:r>
              <w:rPr>
                <w:lang w:val="es-ES_tradnl"/>
              </w:rPr>
              <w:br/>
              <w:t>(0,282)</w:t>
            </w:r>
          </w:p>
        </w:tc>
        <w:tc>
          <w:tcPr>
            <w:tcW w:w="1701" w:type="dxa"/>
            <w:tcBorders>
              <w:bottom w:val="single" w:sz="6" w:space="0" w:color="auto"/>
            </w:tcBorders>
          </w:tcPr>
          <w:p w:rsidR="00256167" w:rsidRDefault="00256167" w:rsidP="005B580A">
            <w:pPr>
              <w:pStyle w:val="TableText0"/>
              <w:spacing w:before="60" w:after="60"/>
              <w:jc w:val="center"/>
              <w:rPr>
                <w:lang w:val="es-ES_tradnl"/>
              </w:rPr>
            </w:pPr>
            <w:r>
              <w:rPr>
                <w:lang w:val="es-ES_tradnl"/>
              </w:rPr>
              <w:t>MAQ-256</w:t>
            </w:r>
            <w:r>
              <w:rPr>
                <w:lang w:val="es-ES_tradnl"/>
              </w:rPr>
              <w:br/>
              <w:t>(0,841)</w:t>
            </w:r>
          </w:p>
        </w:tc>
      </w:tr>
      <w:tr w:rsidR="00256167" w:rsidTr="005B580A">
        <w:trPr>
          <w:jc w:val="center"/>
        </w:trPr>
        <w:tc>
          <w:tcPr>
            <w:tcW w:w="2268" w:type="dxa"/>
            <w:tcBorders>
              <w:top w:val="single" w:sz="6" w:space="0" w:color="auto"/>
              <w:bottom w:val="single" w:sz="6" w:space="0" w:color="auto"/>
            </w:tcBorders>
          </w:tcPr>
          <w:p w:rsidR="00256167" w:rsidRDefault="00256167" w:rsidP="005B580A">
            <w:pPr>
              <w:pStyle w:val="TableText0"/>
              <w:spacing w:before="60" w:after="60"/>
              <w:jc w:val="center"/>
              <w:rPr>
                <w:lang w:val="es-ES_tradnl"/>
              </w:rPr>
            </w:pPr>
            <w:r>
              <w:rPr>
                <w:lang w:val="es-ES_tradnl"/>
              </w:rPr>
              <w:t>2</w:t>
            </w:r>
          </w:p>
        </w:tc>
        <w:tc>
          <w:tcPr>
            <w:tcW w:w="1701" w:type="dxa"/>
            <w:tcBorders>
              <w:top w:val="single" w:sz="6" w:space="0" w:color="auto"/>
              <w:bottom w:val="single" w:sz="6" w:space="0" w:color="auto"/>
            </w:tcBorders>
          </w:tcPr>
          <w:p w:rsidR="00256167" w:rsidRDefault="00256167" w:rsidP="005B580A">
            <w:pPr>
              <w:pStyle w:val="TableText0"/>
              <w:spacing w:before="60" w:after="60"/>
              <w:jc w:val="center"/>
              <w:rPr>
                <w:lang w:val="es-ES_tradnl"/>
              </w:rPr>
            </w:pPr>
            <w:r>
              <w:rPr>
                <w:lang w:val="es-ES_tradnl"/>
              </w:rPr>
              <w:t>MAQ-64</w:t>
            </w:r>
            <w:r>
              <w:rPr>
                <w:lang w:val="es-ES_tradnl"/>
              </w:rPr>
              <w:br/>
              <w:t>(0,201)</w:t>
            </w:r>
          </w:p>
        </w:tc>
        <w:tc>
          <w:tcPr>
            <w:tcW w:w="1701" w:type="dxa"/>
            <w:tcBorders>
              <w:top w:val="single" w:sz="6" w:space="0" w:color="auto"/>
              <w:bottom w:val="single" w:sz="6" w:space="0" w:color="auto"/>
            </w:tcBorders>
          </w:tcPr>
          <w:p w:rsidR="00256167" w:rsidRDefault="00256167" w:rsidP="005B580A">
            <w:pPr>
              <w:pStyle w:val="TableText0"/>
              <w:spacing w:before="60" w:after="60"/>
              <w:jc w:val="center"/>
              <w:rPr>
                <w:lang w:val="es-ES_tradnl"/>
              </w:rPr>
            </w:pPr>
            <w:r>
              <w:rPr>
                <w:lang w:val="es-ES_tradnl"/>
              </w:rPr>
              <w:t>MAQ-64</w:t>
            </w:r>
            <w:r>
              <w:rPr>
                <w:lang w:val="es-ES_tradnl"/>
              </w:rPr>
              <w:br/>
              <w:t>(0,212)</w:t>
            </w:r>
          </w:p>
        </w:tc>
        <w:tc>
          <w:tcPr>
            <w:tcW w:w="1701" w:type="dxa"/>
            <w:tcBorders>
              <w:top w:val="single" w:sz="6" w:space="0" w:color="auto"/>
              <w:bottom w:val="single" w:sz="6" w:space="0" w:color="auto"/>
            </w:tcBorders>
          </w:tcPr>
          <w:p w:rsidR="00256167" w:rsidRDefault="00256167" w:rsidP="005B580A">
            <w:pPr>
              <w:pStyle w:val="TableText0"/>
              <w:spacing w:before="60" w:after="60"/>
              <w:jc w:val="center"/>
              <w:rPr>
                <w:lang w:val="es-ES_tradnl"/>
              </w:rPr>
            </w:pPr>
            <w:r>
              <w:rPr>
                <w:lang w:val="es-ES_tradnl"/>
              </w:rPr>
              <w:t>MAQ-64</w:t>
            </w:r>
            <w:r>
              <w:rPr>
                <w:lang w:val="es-ES_tradnl"/>
              </w:rPr>
              <w:br/>
              <w:t>(0,811)</w:t>
            </w:r>
          </w:p>
        </w:tc>
      </w:tr>
      <w:tr w:rsidR="00256167" w:rsidTr="005B580A">
        <w:trPr>
          <w:jc w:val="center"/>
        </w:trPr>
        <w:tc>
          <w:tcPr>
            <w:tcW w:w="2268" w:type="dxa"/>
            <w:tcBorders>
              <w:top w:val="single" w:sz="6" w:space="0" w:color="auto"/>
            </w:tcBorders>
          </w:tcPr>
          <w:p w:rsidR="00256167" w:rsidRDefault="00256167" w:rsidP="005B580A">
            <w:pPr>
              <w:pStyle w:val="TableText0"/>
              <w:spacing w:before="60" w:after="60"/>
              <w:jc w:val="center"/>
              <w:rPr>
                <w:lang w:val="es-ES_tradnl"/>
              </w:rPr>
            </w:pPr>
            <w:r>
              <w:rPr>
                <w:lang w:val="es-ES_tradnl"/>
              </w:rPr>
              <w:t>3</w:t>
            </w:r>
          </w:p>
        </w:tc>
        <w:tc>
          <w:tcPr>
            <w:tcW w:w="1701" w:type="dxa"/>
            <w:tcBorders>
              <w:top w:val="single" w:sz="6" w:space="0" w:color="auto"/>
            </w:tcBorders>
          </w:tcPr>
          <w:p w:rsidR="00256167" w:rsidRDefault="00256167" w:rsidP="005B580A">
            <w:pPr>
              <w:pStyle w:val="TableText0"/>
              <w:spacing w:before="60" w:after="60"/>
              <w:jc w:val="center"/>
              <w:rPr>
                <w:lang w:val="es-ES_tradnl"/>
              </w:rPr>
            </w:pPr>
            <w:r>
              <w:rPr>
                <w:lang w:val="es-ES_tradnl"/>
              </w:rPr>
              <w:t>MAQ-256</w:t>
            </w:r>
            <w:r>
              <w:rPr>
                <w:lang w:val="es-ES_tradnl"/>
              </w:rPr>
              <w:br/>
              <w:t>(0,112)</w:t>
            </w:r>
          </w:p>
        </w:tc>
        <w:tc>
          <w:tcPr>
            <w:tcW w:w="1701" w:type="dxa"/>
            <w:tcBorders>
              <w:top w:val="single" w:sz="6" w:space="0" w:color="auto"/>
            </w:tcBorders>
          </w:tcPr>
          <w:p w:rsidR="00256167" w:rsidRDefault="00256167" w:rsidP="005B580A">
            <w:pPr>
              <w:pStyle w:val="TableText0"/>
              <w:spacing w:before="60" w:after="60"/>
              <w:jc w:val="center"/>
              <w:rPr>
                <w:lang w:val="es-ES_tradnl"/>
              </w:rPr>
            </w:pPr>
            <w:r>
              <w:rPr>
                <w:lang w:val="es-ES_tradnl"/>
              </w:rPr>
              <w:t>MAQ-256</w:t>
            </w:r>
            <w:r>
              <w:rPr>
                <w:lang w:val="es-ES_tradnl"/>
              </w:rPr>
              <w:br/>
              <w:t>(0,144)</w:t>
            </w:r>
          </w:p>
        </w:tc>
        <w:tc>
          <w:tcPr>
            <w:tcW w:w="1701" w:type="dxa"/>
            <w:tcBorders>
              <w:top w:val="single" w:sz="6" w:space="0" w:color="auto"/>
            </w:tcBorders>
          </w:tcPr>
          <w:p w:rsidR="00256167" w:rsidRDefault="00256167" w:rsidP="005B580A">
            <w:pPr>
              <w:pStyle w:val="TableText0"/>
              <w:spacing w:before="60" w:after="60"/>
              <w:jc w:val="center"/>
              <w:rPr>
                <w:lang w:val="es-ES_tradnl"/>
              </w:rPr>
            </w:pPr>
            <w:r>
              <w:rPr>
                <w:lang w:val="es-ES_tradnl"/>
              </w:rPr>
              <w:t>MAQ-16</w:t>
            </w:r>
            <w:r>
              <w:rPr>
                <w:lang w:val="es-ES_tradnl"/>
              </w:rPr>
              <w:br/>
              <w:t>(0,709)</w:t>
            </w:r>
          </w:p>
        </w:tc>
      </w:tr>
    </w:tbl>
    <w:p w:rsidR="00294C53" w:rsidRDefault="00294C53" w:rsidP="00294C53">
      <w:pPr>
        <w:pStyle w:val="Tablefin"/>
      </w:pPr>
    </w:p>
    <w:p w:rsidR="00294C53" w:rsidRPr="00294C53" w:rsidRDefault="00294C53" w:rsidP="00294C53">
      <w:pPr>
        <w:pStyle w:val="Blanc"/>
      </w:pPr>
    </w:p>
    <w:p w:rsidR="00256167" w:rsidRDefault="00256167" w:rsidP="00256167">
      <w:pPr>
        <w:rPr>
          <w:lang w:val="es-ES_tradnl"/>
        </w:rPr>
      </w:pPr>
      <w:r>
        <w:rPr>
          <w:lang w:val="es-ES_tradnl"/>
        </w:rPr>
        <w:t>Asimismo, los resultados del análisis muestran que la EUE para MAQ</w:t>
      </w:r>
      <w:r>
        <w:rPr>
          <w:lang w:val="es-ES_tradnl"/>
        </w:rPr>
        <w:noBreakHyphen/>
        <w:t>64 es mayor que para MAQ</w:t>
      </w:r>
      <w:r>
        <w:rPr>
          <w:lang w:val="es-ES_tradnl"/>
        </w:rPr>
        <w:noBreakHyphen/>
        <w:t>256 para las antenas STD y SHD pero no para la CHR. El Cuadro 6 ayuda a entender por qué la MAQ</w:t>
      </w:r>
      <w:r>
        <w:rPr>
          <w:lang w:val="es-ES_tradnl"/>
        </w:rPr>
        <w:noBreakHyphen/>
        <w:t xml:space="preserve">64 es más «eficaz en espectro» que la MAQ-256 para una antena de características ultra elevadas SHD. Los parámetros de entrada del modelo se suministran en dicho Cuadro. El número de CV es 2016 para la MAQ-64 y 2688 para la MAQ-256. La anchura de banda necesaria del sistema, </w:t>
      </w:r>
      <w:r>
        <w:rPr>
          <w:i/>
          <w:lang w:val="es-ES_tradnl"/>
        </w:rPr>
        <w:t>B</w:t>
      </w:r>
      <w:r>
        <w:rPr>
          <w:lang w:val="es-ES_tradnl"/>
        </w:rPr>
        <w:t>, es la misma tanto para la MAQ-64 como para la MAQ-256 (</w:t>
      </w:r>
      <w:r>
        <w:rPr>
          <w:i/>
          <w:lang w:val="es-ES_tradnl"/>
        </w:rPr>
        <w:t>B</w:t>
      </w:r>
      <w:r>
        <w:rPr>
          <w:lang w:val="es-ES_tradnl"/>
        </w:rPr>
        <w:t xml:space="preserve"> </w:t>
      </w:r>
      <w:r>
        <w:rPr>
          <w:rFonts w:ascii="Symbol" w:hAnsi="Symbol"/>
          <w:lang w:val="es-ES_tradnl"/>
        </w:rPr>
        <w:t></w:t>
      </w:r>
      <w:r>
        <w:rPr>
          <w:lang w:val="es-ES_tradnl"/>
        </w:rPr>
        <w:t xml:space="preserve"> 22,5 MHz). Sin embargo, el nivel necesario de </w:t>
      </w:r>
      <w:r>
        <w:rPr>
          <w:i/>
          <w:lang w:val="es-ES_tradnl"/>
        </w:rPr>
        <w:t>P</w:t>
      </w:r>
      <w:r w:rsidRPr="001D2A9C">
        <w:rPr>
          <w:i/>
          <w:position w:val="-4"/>
          <w:sz w:val="16"/>
          <w:lang w:val="es-ES_tradnl"/>
        </w:rPr>
        <w:t>t</w:t>
      </w:r>
      <w:r>
        <w:rPr>
          <w:lang w:val="es-ES_tradnl"/>
        </w:rPr>
        <w:t>, para la MAQ-256 es significativamente mayor que para la MAQ</w:t>
      </w:r>
      <w:r>
        <w:rPr>
          <w:lang w:val="es-ES_tradnl"/>
        </w:rPr>
        <w:noBreakHyphen/>
        <w:t xml:space="preserve">64 (39,6 </w:t>
      </w:r>
      <w:proofErr w:type="spellStart"/>
      <w:r>
        <w:rPr>
          <w:lang w:val="es-ES_tradnl"/>
        </w:rPr>
        <w:t>dBm</w:t>
      </w:r>
      <w:proofErr w:type="spellEnd"/>
      <w:r>
        <w:rPr>
          <w:lang w:val="es-ES_tradnl"/>
        </w:rPr>
        <w:t xml:space="preserve"> comparados con 33,5 </w:t>
      </w:r>
      <w:proofErr w:type="spellStart"/>
      <w:r>
        <w:rPr>
          <w:lang w:val="es-ES_tradnl"/>
        </w:rPr>
        <w:t>dBm</w:t>
      </w:r>
      <w:proofErr w:type="spellEnd"/>
      <w:r>
        <w:rPr>
          <w:lang w:val="es-ES_tradnl"/>
        </w:rPr>
        <w:t>). Ya que la potencia en el transmisor tiene un efecto primordial en el área denegada a otro usuario (véase la Fig. 14), el área denegada para la MAQ-256 es significativamente mayor que para la modulación MAQ-64, y eso hace por lo tanto que la modulación MAQ-64 sea más eficaz en espectro que la MAQ</w:t>
      </w:r>
      <w:r>
        <w:rPr>
          <w:lang w:val="es-ES_tradnl"/>
        </w:rPr>
        <w:noBreakHyphen/>
        <w:t>256.</w:t>
      </w:r>
    </w:p>
    <w:p w:rsidR="00256167" w:rsidRDefault="00256167" w:rsidP="00256167">
      <w:pPr>
        <w:pStyle w:val="Table"/>
        <w:rPr>
          <w:lang w:val="es-ES_tradnl"/>
        </w:rPr>
      </w:pPr>
      <w:r>
        <w:rPr>
          <w:lang w:val="es-ES_tradnl"/>
        </w:rPr>
        <w:lastRenderedPageBreak/>
        <w:t>CUADRO  6</w:t>
      </w:r>
    </w:p>
    <w:p w:rsidR="00256167" w:rsidRDefault="00256167" w:rsidP="00256167">
      <w:pPr>
        <w:pStyle w:val="TableTitle0"/>
        <w:rPr>
          <w:lang w:val="es-ES_tradnl"/>
        </w:rPr>
      </w:pPr>
      <w:r>
        <w:rPr>
          <w:lang w:val="es-ES_tradnl"/>
        </w:rPr>
        <w:t>Comparación de la EUE con MAQ-64 y MAQ-256 para una antena SHD</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651"/>
        <w:gridCol w:w="1701"/>
        <w:gridCol w:w="1701"/>
      </w:tblGrid>
      <w:tr w:rsidR="00256167" w:rsidTr="005B580A">
        <w:trPr>
          <w:jc w:val="center"/>
        </w:trPr>
        <w:tc>
          <w:tcPr>
            <w:tcW w:w="3651" w:type="dxa"/>
            <w:tcBorders>
              <w:top w:val="single" w:sz="6" w:space="0" w:color="auto"/>
              <w:bottom w:val="single" w:sz="6" w:space="0" w:color="auto"/>
              <w:right w:val="single" w:sz="6" w:space="0" w:color="auto"/>
            </w:tcBorders>
          </w:tcPr>
          <w:p w:rsidR="00256167" w:rsidRDefault="00256167" w:rsidP="005B580A">
            <w:pPr>
              <w:pStyle w:val="TableText0"/>
              <w:jc w:val="center"/>
            </w:pPr>
            <w:proofErr w:type="spellStart"/>
            <w:r>
              <w:t>Parámetro</w:t>
            </w:r>
            <w:proofErr w:type="spellEnd"/>
          </w:p>
        </w:tc>
        <w:tc>
          <w:tcPr>
            <w:tcW w:w="1701" w:type="dxa"/>
            <w:tcBorders>
              <w:top w:val="single" w:sz="6" w:space="0" w:color="auto"/>
              <w:left w:val="nil"/>
              <w:bottom w:val="single" w:sz="6" w:space="0" w:color="auto"/>
              <w:right w:val="single" w:sz="6" w:space="0" w:color="auto"/>
            </w:tcBorders>
          </w:tcPr>
          <w:p w:rsidR="00256167" w:rsidRDefault="00256167" w:rsidP="005B580A">
            <w:pPr>
              <w:pStyle w:val="TableText0"/>
              <w:jc w:val="center"/>
            </w:pPr>
            <w:r>
              <w:t>MAQ-64</w:t>
            </w:r>
          </w:p>
        </w:tc>
        <w:tc>
          <w:tcPr>
            <w:tcW w:w="1701" w:type="dxa"/>
            <w:tcBorders>
              <w:top w:val="single" w:sz="6" w:space="0" w:color="auto"/>
              <w:left w:val="nil"/>
              <w:bottom w:val="single" w:sz="6" w:space="0" w:color="auto"/>
            </w:tcBorders>
          </w:tcPr>
          <w:p w:rsidR="00256167" w:rsidRDefault="00256167" w:rsidP="005B580A">
            <w:pPr>
              <w:pStyle w:val="TableText0"/>
              <w:tabs>
                <w:tab w:val="clear" w:pos="794"/>
                <w:tab w:val="clear" w:pos="1191"/>
                <w:tab w:val="clear" w:pos="1588"/>
                <w:tab w:val="clear" w:pos="1985"/>
                <w:tab w:val="left" w:pos="573"/>
              </w:tabs>
              <w:jc w:val="center"/>
            </w:pPr>
            <w:r>
              <w:t>MAQ-256</w:t>
            </w:r>
          </w:p>
        </w:tc>
      </w:tr>
      <w:tr w:rsidR="00256167" w:rsidTr="005B580A">
        <w:trPr>
          <w:jc w:val="center"/>
        </w:trPr>
        <w:tc>
          <w:tcPr>
            <w:tcW w:w="3651" w:type="dxa"/>
            <w:tcBorders>
              <w:top w:val="nil"/>
              <w:right w:val="single" w:sz="6" w:space="0" w:color="auto"/>
            </w:tcBorders>
          </w:tcPr>
          <w:p w:rsidR="00256167" w:rsidRDefault="00256167" w:rsidP="005B580A">
            <w:pPr>
              <w:pStyle w:val="TableText0"/>
              <w:spacing w:before="60" w:after="60"/>
              <w:rPr>
                <w:lang w:val="es-ES_tradnl"/>
              </w:rPr>
            </w:pPr>
            <w:r>
              <w:rPr>
                <w:lang w:val="es-ES_tradnl"/>
              </w:rPr>
              <w:t>CV</w:t>
            </w:r>
          </w:p>
        </w:tc>
        <w:tc>
          <w:tcPr>
            <w:tcW w:w="1701" w:type="dxa"/>
            <w:tcBorders>
              <w:top w:val="nil"/>
              <w:left w:val="nil"/>
              <w:right w:val="single" w:sz="6" w:space="0" w:color="auto"/>
            </w:tcBorders>
          </w:tcPr>
          <w:p w:rsidR="00256167" w:rsidRDefault="00256167" w:rsidP="005B580A">
            <w:pPr>
              <w:pStyle w:val="TableText0"/>
              <w:tabs>
                <w:tab w:val="clear" w:pos="794"/>
                <w:tab w:val="left" w:pos="574"/>
              </w:tabs>
              <w:spacing w:before="60" w:after="60"/>
              <w:rPr>
                <w:lang w:val="es-ES_tradnl"/>
              </w:rPr>
            </w:pPr>
            <w:r>
              <w:rPr>
                <w:lang w:val="es-ES_tradnl"/>
              </w:rPr>
              <w:tab/>
              <w:t>2016</w:t>
            </w:r>
          </w:p>
        </w:tc>
        <w:tc>
          <w:tcPr>
            <w:tcW w:w="1701" w:type="dxa"/>
            <w:tcBorders>
              <w:top w:val="nil"/>
              <w:left w:val="nil"/>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t>2688</w:t>
            </w:r>
          </w:p>
        </w:tc>
      </w:tr>
      <w:tr w:rsidR="00256167" w:rsidTr="005B580A">
        <w:trPr>
          <w:jc w:val="center"/>
        </w:trPr>
        <w:tc>
          <w:tcPr>
            <w:tcW w:w="3651" w:type="dxa"/>
            <w:tcBorders>
              <w:right w:val="single" w:sz="6" w:space="0" w:color="auto"/>
            </w:tcBorders>
          </w:tcPr>
          <w:p w:rsidR="00256167" w:rsidRDefault="00256167" w:rsidP="005B580A">
            <w:pPr>
              <w:pStyle w:val="TableText0"/>
              <w:spacing w:before="60" w:after="60"/>
              <w:rPr>
                <w:lang w:val="es-ES_tradnl"/>
              </w:rPr>
            </w:pPr>
            <w:r>
              <w:rPr>
                <w:i/>
                <w:lang w:val="es-ES_tradnl"/>
              </w:rPr>
              <w:t>B</w:t>
            </w:r>
            <w:r>
              <w:rPr>
                <w:lang w:val="es-ES_tradnl"/>
              </w:rPr>
              <w:t xml:space="preserve"> (MHz) (véase el Cuadro 4)</w:t>
            </w:r>
          </w:p>
        </w:tc>
        <w:tc>
          <w:tcPr>
            <w:tcW w:w="1701" w:type="dxa"/>
            <w:tcBorders>
              <w:left w:val="nil"/>
              <w:right w:val="single" w:sz="6" w:space="0" w:color="auto"/>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22,5</w:t>
            </w:r>
          </w:p>
        </w:tc>
        <w:tc>
          <w:tcPr>
            <w:tcW w:w="1701" w:type="dxa"/>
            <w:tcBorders>
              <w:left w:val="nil"/>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22,5</w:t>
            </w:r>
          </w:p>
        </w:tc>
      </w:tr>
      <w:tr w:rsidR="00256167" w:rsidTr="005B580A">
        <w:trPr>
          <w:jc w:val="center"/>
        </w:trPr>
        <w:tc>
          <w:tcPr>
            <w:tcW w:w="3651" w:type="dxa"/>
            <w:tcBorders>
              <w:right w:val="single" w:sz="6" w:space="0" w:color="auto"/>
            </w:tcBorders>
          </w:tcPr>
          <w:p w:rsidR="00256167" w:rsidRDefault="00256167" w:rsidP="005B580A">
            <w:pPr>
              <w:pStyle w:val="TableText0"/>
              <w:spacing w:before="60" w:after="60"/>
              <w:rPr>
                <w:lang w:val="es-ES_tradnl"/>
              </w:rPr>
            </w:pPr>
            <w:r>
              <w:rPr>
                <w:i/>
                <w:lang w:val="es-ES_tradnl"/>
              </w:rPr>
              <w:t>P</w:t>
            </w:r>
            <w:r w:rsidRPr="001D2A9C">
              <w:rPr>
                <w:i/>
                <w:position w:val="-4"/>
                <w:sz w:val="14"/>
                <w:lang w:val="es-ES_tradnl"/>
              </w:rPr>
              <w:t>t</w:t>
            </w:r>
            <w:r>
              <w:rPr>
                <w:lang w:val="es-ES_tradnl"/>
              </w:rPr>
              <w:t xml:space="preserve"> (</w:t>
            </w:r>
            <w:proofErr w:type="spellStart"/>
            <w:r>
              <w:rPr>
                <w:lang w:val="es-ES_tradnl"/>
              </w:rPr>
              <w:t>dBm</w:t>
            </w:r>
            <w:proofErr w:type="spellEnd"/>
            <w:r>
              <w:rPr>
                <w:lang w:val="es-ES_tradnl"/>
              </w:rPr>
              <w:t>) (véase el Cuadro 4)</w:t>
            </w:r>
          </w:p>
        </w:tc>
        <w:tc>
          <w:tcPr>
            <w:tcW w:w="1701" w:type="dxa"/>
            <w:tcBorders>
              <w:left w:val="nil"/>
              <w:right w:val="single" w:sz="6" w:space="0" w:color="auto"/>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33,5</w:t>
            </w:r>
          </w:p>
        </w:tc>
        <w:tc>
          <w:tcPr>
            <w:tcW w:w="1701" w:type="dxa"/>
            <w:tcBorders>
              <w:left w:val="nil"/>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39,5</w:t>
            </w:r>
          </w:p>
        </w:tc>
      </w:tr>
      <w:tr w:rsidR="00256167" w:rsidTr="005B580A">
        <w:trPr>
          <w:jc w:val="center"/>
        </w:trPr>
        <w:tc>
          <w:tcPr>
            <w:tcW w:w="3651" w:type="dxa"/>
            <w:tcBorders>
              <w:right w:val="single" w:sz="6" w:space="0" w:color="auto"/>
            </w:tcBorders>
          </w:tcPr>
          <w:p w:rsidR="00256167" w:rsidRDefault="00256167" w:rsidP="005B580A">
            <w:pPr>
              <w:pStyle w:val="TableText0"/>
              <w:spacing w:before="60" w:after="60"/>
              <w:rPr>
                <w:lang w:val="es-ES_tradnl"/>
              </w:rPr>
            </w:pPr>
            <w:r>
              <w:rPr>
                <w:i/>
                <w:lang w:val="es-ES_tradnl"/>
              </w:rPr>
              <w:t>I</w:t>
            </w:r>
            <w:proofErr w:type="spellStart"/>
            <w:r>
              <w:rPr>
                <w:i/>
                <w:position w:val="-4"/>
                <w:sz w:val="14"/>
              </w:rPr>
              <w:t>máx</w:t>
            </w:r>
            <w:proofErr w:type="spellEnd"/>
            <w:r>
              <w:rPr>
                <w:lang w:val="es-ES_tradnl"/>
              </w:rPr>
              <w:t xml:space="preserve"> (</w:t>
            </w:r>
            <w:proofErr w:type="spellStart"/>
            <w:r>
              <w:rPr>
                <w:lang w:val="es-ES_tradnl"/>
              </w:rPr>
              <w:t>dBm</w:t>
            </w:r>
            <w:proofErr w:type="spellEnd"/>
            <w:r>
              <w:rPr>
                <w:lang w:val="es-ES_tradnl"/>
              </w:rPr>
              <w:t>)</w:t>
            </w:r>
          </w:p>
        </w:tc>
        <w:tc>
          <w:tcPr>
            <w:tcW w:w="1701" w:type="dxa"/>
            <w:tcBorders>
              <w:left w:val="nil"/>
              <w:right w:val="single" w:sz="6" w:space="0" w:color="auto"/>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t>–102,5</w:t>
            </w:r>
          </w:p>
        </w:tc>
        <w:tc>
          <w:tcPr>
            <w:tcW w:w="1701" w:type="dxa"/>
            <w:tcBorders>
              <w:left w:val="nil"/>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t>–102,5</w:t>
            </w:r>
          </w:p>
        </w:tc>
      </w:tr>
      <w:tr w:rsidR="00256167" w:rsidTr="005B580A">
        <w:trPr>
          <w:jc w:val="center"/>
        </w:trPr>
        <w:tc>
          <w:tcPr>
            <w:tcW w:w="3651" w:type="dxa"/>
            <w:tcBorders>
              <w:right w:val="single" w:sz="6" w:space="0" w:color="auto"/>
            </w:tcBorders>
          </w:tcPr>
          <w:p w:rsidR="00256167" w:rsidRDefault="00256167" w:rsidP="005B580A">
            <w:pPr>
              <w:pStyle w:val="TableText0"/>
              <w:spacing w:before="60" w:after="60"/>
              <w:rPr>
                <w:lang w:val="es-ES_tradnl"/>
              </w:rPr>
            </w:pPr>
            <w:r>
              <w:rPr>
                <w:i/>
                <w:lang w:val="es-ES_tradnl"/>
              </w:rPr>
              <w:t>A</w:t>
            </w:r>
            <w:r>
              <w:rPr>
                <w:lang w:val="es-ES_tradnl"/>
              </w:rPr>
              <w:t xml:space="preserve"> (km</w:t>
            </w:r>
            <w:r>
              <w:rPr>
                <w:position w:val="6"/>
                <w:sz w:val="14"/>
              </w:rPr>
              <w:t>2</w:t>
            </w:r>
            <w:r>
              <w:rPr>
                <w:lang w:val="es-ES_tradnl"/>
              </w:rPr>
              <w:t>) (véase la Fig. 11)</w:t>
            </w:r>
          </w:p>
        </w:tc>
        <w:tc>
          <w:tcPr>
            <w:tcW w:w="1701" w:type="dxa"/>
            <w:tcBorders>
              <w:left w:val="nil"/>
              <w:right w:val="single" w:sz="6" w:space="0" w:color="auto"/>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421</w:t>
            </w:r>
          </w:p>
        </w:tc>
        <w:tc>
          <w:tcPr>
            <w:tcW w:w="1701" w:type="dxa"/>
            <w:tcBorders>
              <w:left w:val="nil"/>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830</w:t>
            </w:r>
          </w:p>
        </w:tc>
      </w:tr>
      <w:tr w:rsidR="00256167" w:rsidTr="005B580A">
        <w:trPr>
          <w:jc w:val="center"/>
        </w:trPr>
        <w:tc>
          <w:tcPr>
            <w:tcW w:w="3651" w:type="dxa"/>
            <w:tcBorders>
              <w:bottom w:val="single" w:sz="6" w:space="0" w:color="auto"/>
              <w:right w:val="single" w:sz="6" w:space="0" w:color="auto"/>
            </w:tcBorders>
          </w:tcPr>
          <w:p w:rsidR="00256167" w:rsidRDefault="00256167" w:rsidP="005B580A">
            <w:pPr>
              <w:pStyle w:val="TableText0"/>
              <w:spacing w:before="60" w:after="60"/>
              <w:rPr>
                <w:lang w:val="es-ES_tradnl"/>
              </w:rPr>
            </w:pPr>
            <w:r>
              <w:rPr>
                <w:lang w:val="es-ES_tradnl"/>
              </w:rPr>
              <w:t>EUE (véase el Cuadro 5)</w:t>
            </w:r>
          </w:p>
        </w:tc>
        <w:tc>
          <w:tcPr>
            <w:tcW w:w="1701" w:type="dxa"/>
            <w:tcBorders>
              <w:left w:val="nil"/>
              <w:bottom w:val="single" w:sz="6" w:space="0" w:color="auto"/>
              <w:right w:val="single" w:sz="6" w:space="0" w:color="auto"/>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 </w:t>
            </w:r>
            <w:r>
              <w:rPr>
                <w:lang w:val="es-ES_tradnl"/>
              </w:rPr>
              <w:t>0,212</w:t>
            </w:r>
          </w:p>
        </w:tc>
        <w:tc>
          <w:tcPr>
            <w:tcW w:w="1701" w:type="dxa"/>
            <w:tcBorders>
              <w:left w:val="nil"/>
            </w:tcBorders>
          </w:tcPr>
          <w:p w:rsidR="00256167" w:rsidRDefault="00256167" w:rsidP="005B580A">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 </w:t>
            </w:r>
            <w:r>
              <w:rPr>
                <w:lang w:val="es-ES_tradnl"/>
              </w:rPr>
              <w:t>0,144</w:t>
            </w:r>
          </w:p>
        </w:tc>
      </w:tr>
    </w:tbl>
    <w:p w:rsidR="00256167" w:rsidRDefault="00256167" w:rsidP="00256167">
      <w:pPr>
        <w:pStyle w:val="Tablefin"/>
        <w:rPr>
          <w:lang w:val="es-ES_tradnl"/>
        </w:rPr>
      </w:pPr>
    </w:p>
    <w:p w:rsidR="00256167" w:rsidRDefault="00256167" w:rsidP="00256167">
      <w:pPr>
        <w:rPr>
          <w:lang w:val="es-ES_tradnl"/>
        </w:rPr>
      </w:pPr>
      <w:r>
        <w:rPr>
          <w:lang w:val="es-ES_tradnl"/>
        </w:rPr>
        <w:t>Sin embargo, el potencial de conservación del espectro de un sistema es función de varios factores de diseño, todos los cuales se deben tomar en consideración al evaluar la eficacia espectral de un sistema. Es decir, no puede afirmarse que un sistema con una modulación determinada conserve mejor el espectro que otro sistema con otra modulación, sin tener en cuenta todos los factores de diseño (por ejemplo, las antenas, el tratamiento de las señales, los filtros de radiofrecuencia (RF), etc.).</w:t>
      </w:r>
    </w:p>
    <w:p w:rsidR="00256167" w:rsidRDefault="00256167" w:rsidP="00256167">
      <w:pPr>
        <w:rPr>
          <w:lang w:val="es-ES_tradnl"/>
        </w:rPr>
      </w:pPr>
      <w:r>
        <w:rPr>
          <w:lang w:val="es-ES_tradnl"/>
        </w:rPr>
        <w:t xml:space="preserve">El Cuadro 5 se puede utilizar también para determinar la mejora relativa en la conservación del espectro al utilizar una antena SHD o una antena CHR en relación con la antena STD. Como se indicó anteriormente, la mejora en la conservación del espectro para las antenas CHR y SHD depende del tipo de modulación. Esto se debe al hecho de que el área denegada producida por un tipo de antena determinado es una función de la </w:t>
      </w:r>
      <w:r>
        <w:rPr>
          <w:i/>
          <w:lang w:val="es-ES_tradnl"/>
        </w:rPr>
        <w:t>P</w:t>
      </w:r>
      <w:r w:rsidRPr="001D2A9C">
        <w:rPr>
          <w:i/>
          <w:position w:val="-4"/>
          <w:sz w:val="16"/>
          <w:lang w:val="es-ES_tradnl"/>
        </w:rPr>
        <w:t>t</w:t>
      </w:r>
      <w:r>
        <w:rPr>
          <w:lang w:val="es-ES_tradnl"/>
        </w:rPr>
        <w:t xml:space="preserve"> la cual depende de la modulación (véase la Fig. 14). El Cuadro 7 muestra el porcentaje de mejora en la EUE para las diversas modulaciones citadas, utilizando los datos de EUE del Cuadro 5. En el caso de las modulaciones digitales, la mayor mejora se produce en la modulación MAQ-256, con un aumento del 28% y del 533% para las antenas SHD y CHR, respectivamente.</w:t>
      </w:r>
    </w:p>
    <w:p w:rsidR="00256167" w:rsidRDefault="00256167" w:rsidP="00256167">
      <w:pPr>
        <w:pStyle w:val="Table"/>
        <w:rPr>
          <w:lang w:val="es-ES_tradnl"/>
        </w:rPr>
      </w:pPr>
      <w:r>
        <w:rPr>
          <w:lang w:val="es-ES_tradnl"/>
        </w:rPr>
        <w:t>CUADRO  7</w:t>
      </w:r>
    </w:p>
    <w:p w:rsidR="00256167" w:rsidRDefault="00256167" w:rsidP="00256167">
      <w:pPr>
        <w:pStyle w:val="TableTitle0"/>
        <w:rPr>
          <w:lang w:val="es-ES_tradnl"/>
        </w:rPr>
      </w:pPr>
      <w:r>
        <w:rPr>
          <w:lang w:val="es-ES_tradnl"/>
        </w:rPr>
        <w:t>Mejora en la EUE de antenas SHD y CHR según el tipo de modulación</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256167" w:rsidTr="005B580A">
        <w:trPr>
          <w:jc w:val="center"/>
        </w:trPr>
        <w:tc>
          <w:tcPr>
            <w:tcW w:w="2268" w:type="dxa"/>
            <w:tcBorders>
              <w:top w:val="single" w:sz="6" w:space="0" w:color="auto"/>
              <w:bottom w:val="nil"/>
              <w:right w:val="single" w:sz="6" w:space="0" w:color="auto"/>
            </w:tcBorders>
          </w:tcPr>
          <w:p w:rsidR="00256167" w:rsidRPr="001D2A9C" w:rsidRDefault="00256167" w:rsidP="00A1678C">
            <w:pPr>
              <w:pStyle w:val="TableText0"/>
              <w:jc w:val="center"/>
              <w:rPr>
                <w:lang w:val="es-ES_tradnl"/>
              </w:rPr>
            </w:pPr>
          </w:p>
        </w:tc>
        <w:tc>
          <w:tcPr>
            <w:tcW w:w="4536" w:type="dxa"/>
            <w:gridSpan w:val="2"/>
            <w:tcBorders>
              <w:top w:val="single" w:sz="6" w:space="0" w:color="auto"/>
              <w:left w:val="nil"/>
              <w:bottom w:val="single" w:sz="6" w:space="0" w:color="auto"/>
            </w:tcBorders>
          </w:tcPr>
          <w:p w:rsidR="00256167" w:rsidRDefault="00256167" w:rsidP="00A1678C">
            <w:pPr>
              <w:pStyle w:val="TableText0"/>
              <w:jc w:val="center"/>
            </w:pPr>
            <w:proofErr w:type="spellStart"/>
            <w:r>
              <w:t>Mejora</w:t>
            </w:r>
            <w:proofErr w:type="spellEnd"/>
            <w:r>
              <w:t xml:space="preserve"> en la EUE</w:t>
            </w:r>
          </w:p>
        </w:tc>
      </w:tr>
      <w:tr w:rsidR="00256167" w:rsidTr="005B580A">
        <w:trPr>
          <w:jc w:val="center"/>
        </w:trPr>
        <w:tc>
          <w:tcPr>
            <w:tcW w:w="2268" w:type="dxa"/>
            <w:tcBorders>
              <w:top w:val="nil"/>
              <w:bottom w:val="single" w:sz="6" w:space="0" w:color="auto"/>
              <w:right w:val="nil"/>
            </w:tcBorders>
          </w:tcPr>
          <w:p w:rsidR="00256167" w:rsidRDefault="00256167" w:rsidP="00A1678C">
            <w:pPr>
              <w:pStyle w:val="TableText0"/>
              <w:spacing w:before="0"/>
              <w:jc w:val="center"/>
            </w:pPr>
            <w:proofErr w:type="spellStart"/>
            <w:r>
              <w:t>Tipo</w:t>
            </w:r>
            <w:proofErr w:type="spellEnd"/>
            <w:r>
              <w:t xml:space="preserve"> de </w:t>
            </w:r>
            <w:proofErr w:type="spellStart"/>
            <w:r>
              <w:t>modulación</w:t>
            </w:r>
            <w:proofErr w:type="spellEnd"/>
          </w:p>
        </w:tc>
        <w:tc>
          <w:tcPr>
            <w:tcW w:w="2268" w:type="dxa"/>
            <w:tcBorders>
              <w:top w:val="nil"/>
              <w:left w:val="single" w:sz="6" w:space="0" w:color="auto"/>
              <w:bottom w:val="nil"/>
              <w:right w:val="single" w:sz="6" w:space="0" w:color="auto"/>
            </w:tcBorders>
          </w:tcPr>
          <w:p w:rsidR="00256167" w:rsidRDefault="00256167" w:rsidP="00A1678C">
            <w:pPr>
              <w:pStyle w:val="TableText0"/>
              <w:jc w:val="center"/>
            </w:pPr>
            <w:proofErr w:type="spellStart"/>
            <w:r>
              <w:t>Antena</w:t>
            </w:r>
            <w:proofErr w:type="spellEnd"/>
            <w:r>
              <w:br/>
              <w:t>SHD</w:t>
            </w:r>
          </w:p>
        </w:tc>
        <w:tc>
          <w:tcPr>
            <w:tcW w:w="2268" w:type="dxa"/>
            <w:tcBorders>
              <w:top w:val="nil"/>
              <w:left w:val="single" w:sz="6" w:space="0" w:color="auto"/>
              <w:bottom w:val="single" w:sz="6" w:space="0" w:color="auto"/>
              <w:right w:val="single" w:sz="6" w:space="0" w:color="auto"/>
            </w:tcBorders>
          </w:tcPr>
          <w:p w:rsidR="00256167" w:rsidRDefault="00256167" w:rsidP="00A1678C">
            <w:pPr>
              <w:pStyle w:val="TableText0"/>
              <w:jc w:val="center"/>
            </w:pPr>
            <w:proofErr w:type="spellStart"/>
            <w:r>
              <w:t>Antena</w:t>
            </w:r>
            <w:proofErr w:type="spellEnd"/>
            <w:r>
              <w:br/>
              <w:t>CHR</w:t>
            </w:r>
          </w:p>
        </w:tc>
      </w:tr>
      <w:tr w:rsidR="00256167" w:rsidTr="005B580A">
        <w:trPr>
          <w:jc w:val="center"/>
        </w:trPr>
        <w:tc>
          <w:tcPr>
            <w:tcW w:w="2268" w:type="dxa"/>
            <w:tcBorders>
              <w:top w:val="nil"/>
              <w:bottom w:val="nil"/>
              <w:right w:val="single" w:sz="6" w:space="0" w:color="auto"/>
            </w:tcBorders>
          </w:tcPr>
          <w:p w:rsidR="00256167" w:rsidRDefault="00256167" w:rsidP="00A1678C">
            <w:pPr>
              <w:pStyle w:val="TableText0"/>
              <w:jc w:val="center"/>
              <w:rPr>
                <w:lang w:val="es-ES_tradnl"/>
              </w:rPr>
            </w:pPr>
            <w:r>
              <w:rPr>
                <w:lang w:val="es-ES_tradnl"/>
              </w:rPr>
              <w:t>MAQ-16</w:t>
            </w:r>
          </w:p>
        </w:tc>
        <w:tc>
          <w:tcPr>
            <w:tcW w:w="2268" w:type="dxa"/>
            <w:tcBorders>
              <w:top w:val="single" w:sz="6" w:space="0" w:color="auto"/>
              <w:left w:val="nil"/>
              <w:bottom w:val="nil"/>
              <w:right w:val="single" w:sz="6" w:space="0" w:color="auto"/>
            </w:tcBorders>
          </w:tcPr>
          <w:p w:rsidR="00256167" w:rsidRDefault="00256167" w:rsidP="00A1678C">
            <w:pPr>
              <w:pStyle w:val="TableText0"/>
              <w:jc w:val="center"/>
              <w:rPr>
                <w:lang w:val="es-ES_tradnl"/>
              </w:rPr>
            </w:pPr>
            <w:r>
              <w:rPr>
                <w:lang w:val="es-ES_tradnl"/>
              </w:rPr>
              <w:t>–8%</w:t>
            </w:r>
          </w:p>
        </w:tc>
        <w:tc>
          <w:tcPr>
            <w:tcW w:w="2268" w:type="dxa"/>
            <w:tcBorders>
              <w:top w:val="nil"/>
              <w:left w:val="nil"/>
            </w:tcBorders>
          </w:tcPr>
          <w:p w:rsidR="00256167" w:rsidRDefault="00256167" w:rsidP="00A1678C">
            <w:pPr>
              <w:pStyle w:val="TableText0"/>
              <w:jc w:val="center"/>
              <w:rPr>
                <w:lang w:val="es-ES_tradnl"/>
              </w:rPr>
            </w:pPr>
            <w:r>
              <w:rPr>
                <w:lang w:val="es-ES_tradnl"/>
              </w:rPr>
              <w:t>130%</w:t>
            </w:r>
          </w:p>
        </w:tc>
      </w:tr>
      <w:tr w:rsidR="00256167" w:rsidTr="005B580A">
        <w:trPr>
          <w:jc w:val="center"/>
        </w:trPr>
        <w:tc>
          <w:tcPr>
            <w:tcW w:w="2268" w:type="dxa"/>
            <w:tcBorders>
              <w:top w:val="nil"/>
              <w:bottom w:val="nil"/>
              <w:right w:val="single" w:sz="6" w:space="0" w:color="auto"/>
            </w:tcBorders>
          </w:tcPr>
          <w:p w:rsidR="00256167" w:rsidRDefault="00256167" w:rsidP="00A1678C">
            <w:pPr>
              <w:pStyle w:val="TableText0"/>
              <w:jc w:val="center"/>
              <w:rPr>
                <w:lang w:val="es-ES_tradnl"/>
              </w:rPr>
            </w:pPr>
            <w:r>
              <w:rPr>
                <w:lang w:val="es-ES_tradnl"/>
              </w:rPr>
              <w:t>MAQ-64</w:t>
            </w:r>
          </w:p>
        </w:tc>
        <w:tc>
          <w:tcPr>
            <w:tcW w:w="2268" w:type="dxa"/>
            <w:tcBorders>
              <w:top w:val="nil"/>
              <w:left w:val="nil"/>
              <w:bottom w:val="nil"/>
              <w:right w:val="single" w:sz="6" w:space="0" w:color="auto"/>
            </w:tcBorders>
          </w:tcPr>
          <w:p w:rsidR="00256167" w:rsidRDefault="00256167" w:rsidP="00A1678C">
            <w:pPr>
              <w:pStyle w:val="TableText0"/>
              <w:jc w:val="center"/>
              <w:rPr>
                <w:lang w:val="es-ES_tradnl"/>
              </w:rPr>
            </w:pPr>
            <w:r>
              <w:rPr>
                <w:lang w:val="es-ES_tradnl"/>
              </w:rPr>
              <w:t> </w:t>
            </w:r>
            <w:r>
              <w:rPr>
                <w:lang w:val="es-ES_tradnl"/>
              </w:rPr>
              <w:t>6%</w:t>
            </w:r>
          </w:p>
        </w:tc>
        <w:tc>
          <w:tcPr>
            <w:tcW w:w="2268" w:type="dxa"/>
            <w:tcBorders>
              <w:left w:val="nil"/>
            </w:tcBorders>
          </w:tcPr>
          <w:p w:rsidR="00256167" w:rsidRDefault="00256167" w:rsidP="00A1678C">
            <w:pPr>
              <w:pStyle w:val="TableText0"/>
              <w:jc w:val="center"/>
              <w:rPr>
                <w:lang w:val="es-ES_tradnl"/>
              </w:rPr>
            </w:pPr>
            <w:r>
              <w:rPr>
                <w:lang w:val="es-ES_tradnl"/>
              </w:rPr>
              <w:t>338%</w:t>
            </w:r>
          </w:p>
        </w:tc>
      </w:tr>
      <w:tr w:rsidR="00256167" w:rsidTr="005B580A">
        <w:trPr>
          <w:jc w:val="center"/>
        </w:trPr>
        <w:tc>
          <w:tcPr>
            <w:tcW w:w="2268" w:type="dxa"/>
            <w:tcBorders>
              <w:top w:val="nil"/>
              <w:bottom w:val="single" w:sz="6" w:space="0" w:color="auto"/>
              <w:right w:val="single" w:sz="6" w:space="0" w:color="auto"/>
            </w:tcBorders>
          </w:tcPr>
          <w:p w:rsidR="00256167" w:rsidRDefault="00256167" w:rsidP="00A1678C">
            <w:pPr>
              <w:pStyle w:val="TableText0"/>
              <w:jc w:val="center"/>
              <w:rPr>
                <w:lang w:val="es-ES_tradnl"/>
              </w:rPr>
            </w:pPr>
            <w:r>
              <w:rPr>
                <w:lang w:val="es-ES_tradnl"/>
              </w:rPr>
              <w:t>MAQ-256</w:t>
            </w:r>
          </w:p>
        </w:tc>
        <w:tc>
          <w:tcPr>
            <w:tcW w:w="2268" w:type="dxa"/>
            <w:tcBorders>
              <w:top w:val="nil"/>
              <w:left w:val="nil"/>
              <w:bottom w:val="single" w:sz="6" w:space="0" w:color="auto"/>
              <w:right w:val="single" w:sz="6" w:space="0" w:color="auto"/>
            </w:tcBorders>
          </w:tcPr>
          <w:p w:rsidR="00256167" w:rsidRDefault="00256167" w:rsidP="00A1678C">
            <w:pPr>
              <w:pStyle w:val="TableText0"/>
              <w:jc w:val="center"/>
              <w:rPr>
                <w:lang w:val="es-ES_tradnl"/>
              </w:rPr>
            </w:pPr>
            <w:r>
              <w:rPr>
                <w:lang w:val="es-ES_tradnl"/>
              </w:rPr>
              <w:t>28%</w:t>
            </w:r>
          </w:p>
        </w:tc>
        <w:tc>
          <w:tcPr>
            <w:tcW w:w="2268" w:type="dxa"/>
            <w:tcBorders>
              <w:left w:val="nil"/>
            </w:tcBorders>
          </w:tcPr>
          <w:p w:rsidR="00256167" w:rsidRDefault="00256167" w:rsidP="00A1678C">
            <w:pPr>
              <w:pStyle w:val="TableText0"/>
              <w:jc w:val="center"/>
              <w:rPr>
                <w:lang w:val="es-ES_tradnl"/>
              </w:rPr>
            </w:pPr>
            <w:r>
              <w:rPr>
                <w:lang w:val="es-ES_tradnl"/>
              </w:rPr>
              <w:t>533%</w:t>
            </w:r>
          </w:p>
        </w:tc>
      </w:tr>
    </w:tbl>
    <w:p w:rsidR="00256167" w:rsidRDefault="00256167" w:rsidP="00256167">
      <w:pPr>
        <w:pStyle w:val="Tablefin"/>
        <w:rPr>
          <w:lang w:val="es-ES_tradnl"/>
        </w:rPr>
      </w:pPr>
    </w:p>
    <w:p w:rsidR="00256167" w:rsidRDefault="00256167" w:rsidP="00256167">
      <w:pPr>
        <w:pStyle w:val="Heading3"/>
        <w:rPr>
          <w:lang w:val="es-ES_tradnl"/>
        </w:rPr>
      </w:pPr>
      <w:r>
        <w:rPr>
          <w:lang w:val="es-ES_tradnl"/>
        </w:rPr>
        <w:t>2.4.4</w:t>
      </w:r>
      <w:r>
        <w:rPr>
          <w:lang w:val="es-ES_tradnl"/>
        </w:rPr>
        <w:tab/>
        <w:t>Procesamiento de la señal</w:t>
      </w:r>
    </w:p>
    <w:p w:rsidR="00256167" w:rsidRDefault="00256167" w:rsidP="00256167">
      <w:pPr>
        <w:rPr>
          <w:lang w:val="es-ES_tradnl"/>
        </w:rPr>
      </w:pPr>
      <w:r>
        <w:rPr>
          <w:lang w:val="es-ES_tradnl"/>
        </w:rPr>
        <w:t xml:space="preserve">En un sistema de radioenlace fijo, el procesamiento de la señal se lleva a cabo en los terminales transmisores y receptores. El procesamiento consiste en efectuar operaciones eléctricas sobre la señal para producir ciertos efectos deseados. El procesamiento de la señal puede afectar a parámetros tales como la amplitud, la frecuencia, la fase, el nivel de la señal y la fiabilidad. La utilización de técnicas de procesamiento de señal pueden mejorar la ganancia de un sistema, permitiendo niveles de </w:t>
      </w:r>
      <w:r>
        <w:rPr>
          <w:i/>
          <w:lang w:val="es-ES_tradnl"/>
        </w:rPr>
        <w:t>P</w:t>
      </w:r>
      <w:r>
        <w:rPr>
          <w:i/>
          <w:position w:val="-4"/>
          <w:sz w:val="16"/>
          <w:lang w:val="es-ES_tradnl"/>
        </w:rPr>
        <w:t>t</w:t>
      </w:r>
      <w:r>
        <w:rPr>
          <w:lang w:val="es-ES_tradnl"/>
        </w:rPr>
        <w:t xml:space="preserve"> menores para criterios de calidad de funcionamiento en la salida del receptor especificados. Por lo tanto, mediante el uso de técnicas de procesamiento de la señal, se puede disminuir la </w:t>
      </w:r>
      <w:r>
        <w:rPr>
          <w:i/>
          <w:lang w:val="es-ES_tradnl"/>
        </w:rPr>
        <w:t>P</w:t>
      </w:r>
      <w:r>
        <w:rPr>
          <w:i/>
          <w:position w:val="-4"/>
          <w:sz w:val="16"/>
          <w:lang w:val="es-ES_tradnl"/>
        </w:rPr>
        <w:t>t</w:t>
      </w:r>
      <w:r>
        <w:rPr>
          <w:lang w:val="es-ES_tradnl"/>
        </w:rPr>
        <w:t xml:space="preserve"> reduciendo la denegación espacial (área) a otros sistemas. Sin embargo, debe </w:t>
      </w:r>
      <w:r>
        <w:rPr>
          <w:lang w:val="es-ES_tradnl"/>
        </w:rPr>
        <w:lastRenderedPageBreak/>
        <w:t>señalarse, que las técnicas de procesamiento de señal son utilizadas por los diseñadores de enlaces de microondas para mejorar la fiabilidad del enlace y generalmente no se toman en consideración a los efectos de la conservación del espectro.</w:t>
      </w:r>
    </w:p>
    <w:p w:rsidR="00256167" w:rsidRDefault="00256167" w:rsidP="00256167">
      <w:pPr>
        <w:pStyle w:val="Heading3"/>
        <w:rPr>
          <w:lang w:val="es-ES_tradnl"/>
        </w:rPr>
      </w:pPr>
      <w:r>
        <w:rPr>
          <w:lang w:val="es-ES_tradnl"/>
        </w:rPr>
        <w:t>2.4.5</w:t>
      </w:r>
      <w:r>
        <w:rPr>
          <w:lang w:val="es-ES_tradnl"/>
        </w:rPr>
        <w:tab/>
        <w:t>Codificación/corrección de errores</w:t>
      </w:r>
    </w:p>
    <w:p w:rsidR="00256167" w:rsidRDefault="00256167" w:rsidP="00256167">
      <w:pPr>
        <w:rPr>
          <w:lang w:val="es-ES_tradnl"/>
        </w:rPr>
      </w:pPr>
      <w:r>
        <w:rPr>
          <w:lang w:val="es-ES_tradnl"/>
        </w:rPr>
        <w:t xml:space="preserve">La codificación/corrección de errores sin canal de retorno (FEC) es un método para mejorar la característica de BER de los sistemas de microondas digitales, particularmente cuando el sistema es de potencia limitada. La utilización de técnicas de codificación con FEC permite que se corrija un número limitado de errores en el extremo receptor por medio de una codificación especial y de realizaciones de soporte lógico (o de soporte físico) en ambos extremos del circuito. Se puede llegar a un compromiso entre la mejora de la BER y una reducción en la relación, </w:t>
      </w:r>
      <w:r>
        <w:rPr>
          <w:i/>
          <w:lang w:val="es-ES_tradnl"/>
        </w:rPr>
        <w:t>C</w:t>
      </w:r>
      <w:r>
        <w:rPr>
          <w:lang w:val="es-ES_tradnl"/>
        </w:rPr>
        <w:t>/</w:t>
      </w:r>
      <w:r>
        <w:rPr>
          <w:i/>
          <w:lang w:val="es-ES_tradnl"/>
        </w:rPr>
        <w:t>N</w:t>
      </w:r>
      <w:r w:rsidRPr="001D2A9C">
        <w:rPr>
          <w:i/>
          <w:position w:val="-4"/>
          <w:sz w:val="16"/>
          <w:lang w:val="es-ES_tradnl"/>
        </w:rPr>
        <w:t>i</w:t>
      </w:r>
      <w:r w:rsidRPr="001D2A9C">
        <w:rPr>
          <w:lang w:val="es-ES_tradnl"/>
        </w:rPr>
        <w:t>,</w:t>
      </w:r>
      <w:r>
        <w:rPr>
          <w:lang w:val="es-ES_tradnl"/>
        </w:rPr>
        <w:t xml:space="preserve"> para cumplir una calidad de BER especificada, reduciendo así el área denegada a otros sistemas. La reducción de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se llama ganancia de codificación. La calidad de una técnica de codificación se describe por medio de la ganancia de codificación y la velocidad de codificación. Sin embargo, la velocidad de codificación repercute en la anchura de banda ocupada por el sistema, aumentando por consiguiente el espectro denegado a otros usuarios del mismo.</w:t>
      </w:r>
    </w:p>
    <w:p w:rsidR="00256167" w:rsidRDefault="00256167" w:rsidP="00256167">
      <w:pPr>
        <w:rPr>
          <w:lang w:val="es-ES_tradnl"/>
        </w:rPr>
      </w:pPr>
      <w:r>
        <w:rPr>
          <w:lang w:val="es-ES_tradnl"/>
        </w:rPr>
        <w:t xml:space="preserve">Para mostrar el efecto de la codificación en la conservación del espectro, se seleccionó la MAQ-64 como la modulación de estudio. Se seleccionaron cuatro tipos de códigos de FEC. El Cuadro 8 muestra la velocidad de codificación, el factor de expansión de la anchura de banda (1/velocidad de codificación), la anchura de banda ocupada, </w:t>
      </w:r>
      <w:r>
        <w:rPr>
          <w:i/>
          <w:lang w:val="es-ES_tradnl"/>
        </w:rPr>
        <w:t>B</w:t>
      </w:r>
      <w:r w:rsidRPr="001D2A9C">
        <w:rPr>
          <w:lang w:val="es-ES_tradnl"/>
        </w:rPr>
        <w:t>,</w:t>
      </w:r>
      <w:r>
        <w:rPr>
          <w:lang w:val="es-ES_tradnl"/>
        </w:rPr>
        <w:t xml:space="preserve"> después de la codifi</w:t>
      </w:r>
      <w:r>
        <w:rPr>
          <w:lang w:val="es-ES_tradnl"/>
        </w:rPr>
        <w:softHyphen/>
        <w:t>cación, la reducción obtenible de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xml:space="preserve"> para una BER de 1 </w:t>
      </w:r>
      <w:r>
        <w:rPr>
          <w:rFonts w:ascii="Symbol" w:hAnsi="Symbol"/>
          <w:lang w:val="es-ES_tradnl"/>
        </w:rPr>
        <w:t></w:t>
      </w:r>
      <w:r>
        <w:rPr>
          <w:lang w:val="es-ES_tradnl"/>
        </w:rPr>
        <w:t xml:space="preserve"> 10</w:t>
      </w:r>
      <w:r w:rsidRPr="001D2A9C">
        <w:rPr>
          <w:position w:val="6"/>
          <w:sz w:val="16"/>
          <w:lang w:val="es-ES_tradnl"/>
        </w:rPr>
        <w:t>–</w:t>
      </w:r>
      <w:r w:rsidRPr="001D2A9C">
        <w:rPr>
          <w:position w:val="6"/>
          <w:sz w:val="8"/>
          <w:lang w:val="es-ES_tradnl"/>
        </w:rPr>
        <w:t> </w:t>
      </w:r>
      <w:r w:rsidRPr="001D2A9C">
        <w:rPr>
          <w:position w:val="6"/>
          <w:sz w:val="16"/>
          <w:lang w:val="es-ES_tradnl"/>
        </w:rPr>
        <w:t>6</w:t>
      </w:r>
      <w:r>
        <w:rPr>
          <w:lang w:val="es-ES_tradnl"/>
        </w:rPr>
        <w:t xml:space="preserve">, y la </w:t>
      </w:r>
      <w:r>
        <w:rPr>
          <w:i/>
          <w:lang w:val="es-ES_tradnl"/>
        </w:rPr>
        <w:t>P</w:t>
      </w:r>
      <w:r>
        <w:rPr>
          <w:i/>
          <w:position w:val="-4"/>
          <w:sz w:val="16"/>
          <w:lang w:val="es-ES_tradnl"/>
        </w:rPr>
        <w:t>t</w:t>
      </w:r>
      <w:r>
        <w:rPr>
          <w:lang w:val="es-ES_tradnl"/>
        </w:rPr>
        <w:t xml:space="preserve"> necesaria después de tomar en consideración la reducción obtenible de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Pr>
          <w:lang w:val="es-ES_tradnl"/>
        </w:rPr>
        <w:t>. Los valores de la anchura de banda y de la potencia mostrados en el Cuadro 8, se utilizaron como datos de entrada del modelo de EUE para evaluar la codificación como una técnica de conservación de espectro. El Cuadro 9 muestra la EUE para los tres tipos de antena: STD, SHD y CHR. En el Cuadro 9 se presenta también la EUE para MAQ</w:t>
      </w:r>
      <w:r>
        <w:rPr>
          <w:lang w:val="es-ES_tradnl"/>
        </w:rPr>
        <w:noBreakHyphen/>
        <w:t>64 sin codificación, como una base de comparación de los resultados con y sin codificación.</w:t>
      </w:r>
    </w:p>
    <w:p w:rsidR="00256167" w:rsidRDefault="00256167" w:rsidP="00256167">
      <w:pPr>
        <w:pStyle w:val="Table"/>
        <w:rPr>
          <w:lang w:val="es-ES_tradnl"/>
        </w:rPr>
      </w:pPr>
      <w:r>
        <w:rPr>
          <w:lang w:val="es-ES_tradnl"/>
        </w:rPr>
        <w:t>CUADRO  8</w:t>
      </w:r>
    </w:p>
    <w:p w:rsidR="00256167" w:rsidRDefault="00256167" w:rsidP="00256167">
      <w:pPr>
        <w:pStyle w:val="TableTitle0"/>
        <w:rPr>
          <w:lang w:val="es-ES_tradnl"/>
        </w:rPr>
      </w:pPr>
      <w:r>
        <w:rPr>
          <w:lang w:val="es-ES_tradnl"/>
        </w:rPr>
        <w:t>Codificación/corrección de errores (modulación MAQ-64)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84"/>
        <w:gridCol w:w="1450"/>
        <w:gridCol w:w="1685"/>
        <w:gridCol w:w="1685"/>
        <w:gridCol w:w="1450"/>
        <w:gridCol w:w="1685"/>
      </w:tblGrid>
      <w:tr w:rsidR="00256167" w:rsidRPr="00AC38FC" w:rsidTr="00294C53">
        <w:trPr>
          <w:jc w:val="center"/>
        </w:trPr>
        <w:tc>
          <w:tcPr>
            <w:tcW w:w="1684" w:type="dxa"/>
          </w:tcPr>
          <w:p w:rsidR="00256167" w:rsidRDefault="00256167" w:rsidP="00C33027">
            <w:pPr>
              <w:pStyle w:val="TableText0"/>
              <w:spacing w:before="200"/>
              <w:jc w:val="center"/>
            </w:pPr>
            <w:proofErr w:type="spellStart"/>
            <w:r>
              <w:t>Procesamiento</w:t>
            </w:r>
            <w:proofErr w:type="spellEnd"/>
            <w:r>
              <w:t xml:space="preserve"> de</w:t>
            </w:r>
            <w:r w:rsidR="00C33027">
              <w:t> </w:t>
            </w:r>
            <w:proofErr w:type="spellStart"/>
            <w:r>
              <w:t>señal</w:t>
            </w:r>
            <w:proofErr w:type="spellEnd"/>
          </w:p>
        </w:tc>
        <w:tc>
          <w:tcPr>
            <w:tcW w:w="1450" w:type="dxa"/>
          </w:tcPr>
          <w:p w:rsidR="00256167" w:rsidRDefault="00256167" w:rsidP="005B580A">
            <w:pPr>
              <w:pStyle w:val="TableText0"/>
              <w:spacing w:before="200"/>
              <w:jc w:val="center"/>
            </w:pPr>
            <w:proofErr w:type="spellStart"/>
            <w:r>
              <w:t>Velocidad</w:t>
            </w:r>
            <w:proofErr w:type="spellEnd"/>
            <w:r>
              <w:t xml:space="preserve"> de </w:t>
            </w:r>
            <w:proofErr w:type="spellStart"/>
            <w:r>
              <w:t>codificación</w:t>
            </w:r>
            <w:proofErr w:type="spellEnd"/>
          </w:p>
        </w:tc>
        <w:tc>
          <w:tcPr>
            <w:tcW w:w="1685" w:type="dxa"/>
          </w:tcPr>
          <w:p w:rsidR="00256167" w:rsidRPr="001D2A9C" w:rsidRDefault="00256167" w:rsidP="005B580A">
            <w:pPr>
              <w:pStyle w:val="TableText0"/>
              <w:jc w:val="center"/>
              <w:rPr>
                <w:lang w:val="es-ES_tradnl"/>
              </w:rPr>
            </w:pPr>
            <w:r w:rsidRPr="001D2A9C">
              <w:rPr>
                <w:lang w:val="es-ES_tradnl"/>
              </w:rPr>
              <w:t>Factor de expansión de la anchura de banda</w:t>
            </w:r>
          </w:p>
        </w:tc>
        <w:tc>
          <w:tcPr>
            <w:tcW w:w="1685" w:type="dxa"/>
          </w:tcPr>
          <w:p w:rsidR="00256167" w:rsidRPr="001D2A9C" w:rsidRDefault="00256167" w:rsidP="005B580A">
            <w:pPr>
              <w:pStyle w:val="TableText0"/>
              <w:jc w:val="center"/>
              <w:rPr>
                <w:lang w:val="es-ES_tradnl"/>
              </w:rPr>
            </w:pPr>
            <w:r w:rsidRPr="001D2A9C">
              <w:rPr>
                <w:lang w:val="es-ES_tradnl"/>
              </w:rPr>
              <w:t xml:space="preserve">Anchura de banda ocupada, </w:t>
            </w:r>
            <w:r w:rsidRPr="001D2A9C">
              <w:rPr>
                <w:i/>
                <w:lang w:val="es-ES_tradnl"/>
              </w:rPr>
              <w:t>B</w:t>
            </w:r>
            <w:r w:rsidRPr="001D2A9C">
              <w:rPr>
                <w:lang w:val="es-ES_tradnl"/>
              </w:rPr>
              <w:br/>
              <w:t>(MHz)</w:t>
            </w:r>
          </w:p>
        </w:tc>
        <w:tc>
          <w:tcPr>
            <w:tcW w:w="1450" w:type="dxa"/>
          </w:tcPr>
          <w:p w:rsidR="00256167" w:rsidRPr="001D2A9C" w:rsidRDefault="00256167" w:rsidP="005B580A">
            <w:pPr>
              <w:pStyle w:val="TableText0"/>
              <w:jc w:val="center"/>
              <w:rPr>
                <w:lang w:val="es-ES_tradnl"/>
              </w:rPr>
            </w:pPr>
            <w:r w:rsidRPr="001D2A9C">
              <w:rPr>
                <w:lang w:val="es-ES_tradnl"/>
              </w:rPr>
              <w:t>Reducción de </w:t>
            </w:r>
            <w:r w:rsidRPr="001D2A9C">
              <w:rPr>
                <w:i/>
                <w:lang w:val="es-ES_tradnl"/>
              </w:rPr>
              <w:t>C</w:t>
            </w:r>
            <w:r w:rsidRPr="001D2A9C">
              <w:rPr>
                <w:lang w:val="es-ES_tradnl"/>
              </w:rPr>
              <w:t>/</w:t>
            </w:r>
            <w:r w:rsidRPr="001D2A9C">
              <w:rPr>
                <w:i/>
                <w:lang w:val="es-ES_tradnl"/>
              </w:rPr>
              <w:t>N</w:t>
            </w:r>
            <w:r w:rsidRPr="001D2A9C">
              <w:rPr>
                <w:lang w:val="es-ES_tradnl"/>
              </w:rPr>
              <w:br/>
              <w:t>(dB)</w:t>
            </w:r>
          </w:p>
        </w:tc>
        <w:tc>
          <w:tcPr>
            <w:tcW w:w="1685" w:type="dxa"/>
          </w:tcPr>
          <w:p w:rsidR="00256167" w:rsidRPr="001D2A9C" w:rsidRDefault="00256167" w:rsidP="005B580A">
            <w:pPr>
              <w:pStyle w:val="TableText0"/>
              <w:jc w:val="center"/>
              <w:rPr>
                <w:lang w:val="es-ES_tradnl"/>
              </w:rPr>
            </w:pPr>
            <w:r w:rsidRPr="001D2A9C">
              <w:rPr>
                <w:lang w:val="es-ES_tradnl"/>
              </w:rPr>
              <w:t xml:space="preserve">Potencia de salida del transmisor, </w:t>
            </w:r>
            <w:r w:rsidRPr="001D2A9C">
              <w:rPr>
                <w:i/>
                <w:lang w:val="es-ES_tradnl"/>
              </w:rPr>
              <w:t>P</w:t>
            </w:r>
            <w:r w:rsidRPr="001D2A9C">
              <w:rPr>
                <w:i/>
                <w:position w:val="-4"/>
                <w:sz w:val="14"/>
                <w:lang w:val="es-ES_tradnl"/>
              </w:rPr>
              <w:t>t</w:t>
            </w:r>
            <w:r w:rsidRPr="001D2A9C">
              <w:rPr>
                <w:lang w:val="es-ES_tradnl"/>
              </w:rPr>
              <w:br/>
              <w:t>(</w:t>
            </w:r>
            <w:proofErr w:type="spellStart"/>
            <w:r w:rsidRPr="001D2A9C">
              <w:rPr>
                <w:lang w:val="es-ES_tradnl"/>
              </w:rPr>
              <w:t>dBm</w:t>
            </w:r>
            <w:proofErr w:type="spellEnd"/>
            <w:r w:rsidRPr="001D2A9C">
              <w:rPr>
                <w:lang w:val="es-ES_tradnl"/>
              </w:rPr>
              <w:t>)</w:t>
            </w:r>
          </w:p>
        </w:tc>
      </w:tr>
      <w:tr w:rsidR="00256167" w:rsidTr="00294C53">
        <w:trPr>
          <w:jc w:val="center"/>
        </w:trPr>
        <w:tc>
          <w:tcPr>
            <w:tcW w:w="1684" w:type="dxa"/>
          </w:tcPr>
          <w:p w:rsidR="00256167" w:rsidRDefault="00256167" w:rsidP="005B580A">
            <w:pPr>
              <w:pStyle w:val="TableText0"/>
              <w:jc w:val="center"/>
              <w:rPr>
                <w:lang w:val="es-ES_tradnl"/>
              </w:rPr>
            </w:pPr>
            <w:r>
              <w:rPr>
                <w:lang w:val="es-ES_tradnl"/>
              </w:rPr>
              <w:t>Codificación con corrección de errores</w:t>
            </w:r>
          </w:p>
        </w:tc>
        <w:tc>
          <w:tcPr>
            <w:tcW w:w="1450" w:type="dxa"/>
          </w:tcPr>
          <w:p w:rsidR="00256167" w:rsidRDefault="00256167" w:rsidP="005B580A">
            <w:pPr>
              <w:pStyle w:val="TableText0"/>
              <w:jc w:val="center"/>
              <w:rPr>
                <w:lang w:val="es-ES_tradnl"/>
              </w:rPr>
            </w:pPr>
            <w:r>
              <w:rPr>
                <w:lang w:val="es-ES_tradnl"/>
              </w:rPr>
              <w:t>1/2</w:t>
            </w:r>
            <w:r>
              <w:rPr>
                <w:lang w:val="es-ES_tradnl"/>
              </w:rPr>
              <w:br/>
              <w:t>3/4</w:t>
            </w:r>
            <w:r>
              <w:rPr>
                <w:lang w:val="es-ES_tradnl"/>
              </w:rPr>
              <w:br/>
              <w:t>7/8</w:t>
            </w:r>
            <w:r>
              <w:rPr>
                <w:lang w:val="es-ES_tradnl"/>
              </w:rPr>
              <w:br/>
              <w:t>18/19</w:t>
            </w:r>
          </w:p>
        </w:tc>
        <w:tc>
          <w:tcPr>
            <w:tcW w:w="1685" w:type="dxa"/>
          </w:tcPr>
          <w:p w:rsidR="00256167" w:rsidRDefault="00256167" w:rsidP="005B580A">
            <w:pPr>
              <w:pStyle w:val="TableText0"/>
              <w:tabs>
                <w:tab w:val="clear" w:pos="794"/>
                <w:tab w:val="clear" w:pos="1191"/>
                <w:tab w:val="clear" w:pos="1588"/>
                <w:tab w:val="clear" w:pos="1985"/>
                <w:tab w:val="left" w:pos="556"/>
              </w:tabs>
              <w:jc w:val="left"/>
              <w:rPr>
                <w:lang w:val="es-ES_tradnl"/>
              </w:rPr>
            </w:pPr>
            <w:r>
              <w:rPr>
                <w:lang w:val="es-ES_tradnl"/>
              </w:rPr>
              <w:tab/>
              <w:t>2</w:t>
            </w:r>
            <w:r>
              <w:rPr>
                <w:lang w:val="es-ES_tradnl"/>
              </w:rPr>
              <w:br/>
            </w:r>
            <w:r>
              <w:rPr>
                <w:lang w:val="es-ES_tradnl"/>
              </w:rPr>
              <w:tab/>
              <w:t>1,333</w:t>
            </w:r>
            <w:r>
              <w:rPr>
                <w:lang w:val="es-ES_tradnl"/>
              </w:rPr>
              <w:br/>
            </w:r>
            <w:r>
              <w:rPr>
                <w:lang w:val="es-ES_tradnl"/>
              </w:rPr>
              <w:tab/>
              <w:t>1,142</w:t>
            </w:r>
            <w:r>
              <w:rPr>
                <w:lang w:val="es-ES_tradnl"/>
              </w:rPr>
              <w:br/>
            </w:r>
            <w:r>
              <w:rPr>
                <w:lang w:val="es-ES_tradnl"/>
              </w:rPr>
              <w:tab/>
              <w:t>1,055</w:t>
            </w:r>
          </w:p>
        </w:tc>
        <w:tc>
          <w:tcPr>
            <w:tcW w:w="1685" w:type="dxa"/>
          </w:tcPr>
          <w:p w:rsidR="00256167" w:rsidRDefault="00256167" w:rsidP="005B580A">
            <w:pPr>
              <w:pStyle w:val="TableText0"/>
              <w:tabs>
                <w:tab w:val="clear" w:pos="794"/>
                <w:tab w:val="clear" w:pos="1191"/>
                <w:tab w:val="clear" w:pos="1588"/>
                <w:tab w:val="clear" w:pos="1985"/>
                <w:tab w:val="left" w:pos="556"/>
              </w:tabs>
              <w:jc w:val="left"/>
              <w:rPr>
                <w:lang w:val="es-ES_tradnl"/>
              </w:rPr>
            </w:pPr>
            <w:r>
              <w:rPr>
                <w:lang w:val="es-ES_tradnl"/>
              </w:rPr>
              <w:tab/>
              <w:t>45,00</w:t>
            </w:r>
            <w:r>
              <w:rPr>
                <w:lang w:val="es-ES_tradnl"/>
              </w:rPr>
              <w:br/>
            </w:r>
            <w:r>
              <w:rPr>
                <w:lang w:val="es-ES_tradnl"/>
              </w:rPr>
              <w:tab/>
              <w:t>30,00</w:t>
            </w:r>
            <w:r>
              <w:rPr>
                <w:lang w:val="es-ES_tradnl"/>
              </w:rPr>
              <w:br/>
            </w:r>
            <w:r>
              <w:rPr>
                <w:lang w:val="es-ES_tradnl"/>
              </w:rPr>
              <w:tab/>
              <w:t>25,70</w:t>
            </w:r>
            <w:r>
              <w:rPr>
                <w:lang w:val="es-ES_tradnl"/>
              </w:rPr>
              <w:br/>
            </w:r>
            <w:r>
              <w:rPr>
                <w:lang w:val="es-ES_tradnl"/>
              </w:rPr>
              <w:tab/>
              <w:t>23,74</w:t>
            </w:r>
          </w:p>
        </w:tc>
        <w:tc>
          <w:tcPr>
            <w:tcW w:w="1450" w:type="dxa"/>
          </w:tcPr>
          <w:p w:rsidR="00256167" w:rsidRDefault="00256167" w:rsidP="005B580A">
            <w:pPr>
              <w:pStyle w:val="TableText0"/>
              <w:tabs>
                <w:tab w:val="clear" w:pos="794"/>
                <w:tab w:val="clear" w:pos="1191"/>
                <w:tab w:val="clear" w:pos="1588"/>
                <w:tab w:val="clear" w:pos="1985"/>
                <w:tab w:val="left" w:pos="556"/>
              </w:tabs>
              <w:jc w:val="left"/>
              <w:rPr>
                <w:lang w:val="es-ES_tradnl"/>
              </w:rPr>
            </w:pPr>
            <w:r>
              <w:rPr>
                <w:lang w:val="es-ES_tradnl"/>
              </w:rPr>
              <w:tab/>
              <w:t>6,0</w:t>
            </w:r>
            <w:r>
              <w:rPr>
                <w:lang w:val="es-ES_tradnl"/>
              </w:rPr>
              <w:br/>
            </w:r>
            <w:r>
              <w:rPr>
                <w:lang w:val="es-ES_tradnl"/>
              </w:rPr>
              <w:tab/>
              <w:t>3,5</w:t>
            </w:r>
            <w:r>
              <w:rPr>
                <w:lang w:val="es-ES_tradnl"/>
              </w:rPr>
              <w:br/>
            </w:r>
            <w:r>
              <w:rPr>
                <w:lang w:val="es-ES_tradnl"/>
              </w:rPr>
              <w:tab/>
              <w:t>2,0</w:t>
            </w:r>
            <w:r>
              <w:rPr>
                <w:lang w:val="es-ES_tradnl"/>
              </w:rPr>
              <w:br/>
            </w:r>
            <w:r>
              <w:rPr>
                <w:lang w:val="es-ES_tradnl"/>
              </w:rPr>
              <w:tab/>
              <w:t>3,0</w:t>
            </w:r>
          </w:p>
        </w:tc>
        <w:tc>
          <w:tcPr>
            <w:tcW w:w="1685" w:type="dxa"/>
          </w:tcPr>
          <w:p w:rsidR="00256167" w:rsidRDefault="00256167" w:rsidP="005B580A">
            <w:pPr>
              <w:pStyle w:val="TableText0"/>
              <w:tabs>
                <w:tab w:val="clear" w:pos="794"/>
                <w:tab w:val="clear" w:pos="1191"/>
                <w:tab w:val="clear" w:pos="1588"/>
                <w:tab w:val="clear" w:pos="1985"/>
                <w:tab w:val="center" w:pos="113"/>
              </w:tabs>
              <w:jc w:val="center"/>
              <w:rPr>
                <w:lang w:val="es-ES_tradnl"/>
              </w:rPr>
            </w:pPr>
            <w:r>
              <w:rPr>
                <w:lang w:val="es-ES_tradnl"/>
              </w:rPr>
              <w:tab/>
              <w:t>27,5</w:t>
            </w:r>
            <w:r>
              <w:rPr>
                <w:lang w:val="es-ES_tradnl"/>
              </w:rPr>
              <w:br/>
            </w:r>
            <w:r>
              <w:rPr>
                <w:lang w:val="es-ES_tradnl"/>
              </w:rPr>
              <w:tab/>
              <w:t>30,0</w:t>
            </w:r>
            <w:r>
              <w:rPr>
                <w:lang w:val="es-ES_tradnl"/>
              </w:rPr>
              <w:br/>
            </w:r>
            <w:r>
              <w:rPr>
                <w:lang w:val="es-ES_tradnl"/>
              </w:rPr>
              <w:tab/>
              <w:t>31,5</w:t>
            </w:r>
            <w:r>
              <w:rPr>
                <w:lang w:val="es-ES_tradnl"/>
              </w:rPr>
              <w:br/>
            </w:r>
            <w:r>
              <w:rPr>
                <w:lang w:val="es-ES_tradnl"/>
              </w:rPr>
              <w:tab/>
              <w:t>30,5</w:t>
            </w:r>
          </w:p>
        </w:tc>
      </w:tr>
    </w:tbl>
    <w:p w:rsidR="00294C53" w:rsidRDefault="00294C53" w:rsidP="00294C53">
      <w:pPr>
        <w:pStyle w:val="Tablefin"/>
      </w:pPr>
    </w:p>
    <w:p w:rsidR="00294C53" w:rsidRPr="00294C53" w:rsidRDefault="00294C53" w:rsidP="00294C53">
      <w:pPr>
        <w:pStyle w:val="Blanc"/>
      </w:pPr>
    </w:p>
    <w:p w:rsidR="00256167" w:rsidRDefault="00256167" w:rsidP="00256167">
      <w:pPr>
        <w:rPr>
          <w:lang w:val="es-ES_tradnl"/>
        </w:rPr>
      </w:pPr>
      <w:r>
        <w:rPr>
          <w:lang w:val="es-ES_tradnl"/>
        </w:rPr>
        <w:t xml:space="preserve">En resumen, los valores de la EUE dados en el Cuadro 9 indican que las técnicas de procesamiento de la señal, tales como la codificación/corrección de errores que utilizan compromisos entre la anchura de banda de RF y la relación </w:t>
      </w:r>
      <w:r>
        <w:rPr>
          <w:i/>
          <w:lang w:val="es-ES_tradnl"/>
        </w:rPr>
        <w:t>C</w:t>
      </w:r>
      <w:r>
        <w:rPr>
          <w:lang w:val="es-ES_tradnl"/>
        </w:rPr>
        <w:t>/</w:t>
      </w:r>
      <w:r>
        <w:rPr>
          <w:i/>
          <w:lang w:val="es-ES_tradnl"/>
        </w:rPr>
        <w:t>N</w:t>
      </w:r>
      <w:r>
        <w:rPr>
          <w:lang w:val="es-ES_tradnl"/>
        </w:rPr>
        <w:t>, sólo aportan mejoras significativas en la conservación del espectro (valores de EUE superiores) cuando se utilizan técnicas de codificación de alta eficacia (es decir, técnicas de codificación con altas velocidades y ganancia de codificación). Asimismo la mejora relativa en la conservación del espectro es mayor cuando el sistema está dotado de una antena del tipo STD en vez del tipo SHD o CHR. Esto se debe a que la reducción del área denegada es mayor para antenas STD por sus mejores características de lóbulos laterales/lóbulo posterior.</w:t>
      </w:r>
    </w:p>
    <w:p w:rsidR="00256167" w:rsidRDefault="00256167" w:rsidP="00256167">
      <w:pPr>
        <w:pStyle w:val="Table"/>
        <w:rPr>
          <w:lang w:val="es-ES_tradnl"/>
        </w:rPr>
      </w:pPr>
      <w:r>
        <w:rPr>
          <w:lang w:val="es-ES_tradnl"/>
        </w:rPr>
        <w:lastRenderedPageBreak/>
        <w:t>CUADRO  9</w:t>
      </w:r>
    </w:p>
    <w:p w:rsidR="00256167" w:rsidRDefault="00256167" w:rsidP="00256167">
      <w:pPr>
        <w:pStyle w:val="TableTitle0"/>
        <w:rPr>
          <w:lang w:val="es-ES_tradnl"/>
        </w:rPr>
      </w:pPr>
      <w:r>
        <w:rPr>
          <w:lang w:val="es-ES_tradnl"/>
        </w:rPr>
        <w:t>EUE para codificación/corrección de errores (modulación MAQ</w:t>
      </w:r>
      <w:r>
        <w:rPr>
          <w:lang w:val="es-ES_tradnl"/>
        </w:rPr>
        <w:noBreakHyphen/>
        <w:t>64)</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075"/>
        <w:gridCol w:w="1701"/>
        <w:gridCol w:w="1701"/>
        <w:gridCol w:w="1701"/>
        <w:gridCol w:w="1701"/>
      </w:tblGrid>
      <w:tr w:rsidR="00A1678C" w:rsidRPr="00AC38FC" w:rsidTr="005B580A">
        <w:trPr>
          <w:jc w:val="center"/>
        </w:trPr>
        <w:tc>
          <w:tcPr>
            <w:tcW w:w="3776" w:type="dxa"/>
            <w:gridSpan w:val="2"/>
            <w:vMerge w:val="restart"/>
            <w:tcBorders>
              <w:right w:val="nil"/>
            </w:tcBorders>
          </w:tcPr>
          <w:p w:rsidR="00A1678C" w:rsidRDefault="00A1678C" w:rsidP="00A1678C">
            <w:pPr>
              <w:pStyle w:val="TableText0"/>
              <w:spacing w:before="400" w:after="0"/>
              <w:jc w:val="center"/>
              <w:rPr>
                <w:lang w:val="es-ES_tradnl"/>
              </w:rPr>
            </w:pPr>
            <w:r>
              <w:rPr>
                <w:lang w:val="es-ES_tradnl"/>
              </w:rPr>
              <w:t>Tipo de procesamiento de señal</w:t>
            </w:r>
          </w:p>
        </w:tc>
        <w:tc>
          <w:tcPr>
            <w:tcW w:w="5103" w:type="dxa"/>
            <w:gridSpan w:val="3"/>
            <w:tcBorders>
              <w:top w:val="single" w:sz="6" w:space="0" w:color="auto"/>
              <w:left w:val="single" w:sz="6" w:space="0" w:color="auto"/>
              <w:bottom w:val="single" w:sz="6" w:space="0" w:color="auto"/>
            </w:tcBorders>
          </w:tcPr>
          <w:p w:rsidR="00A1678C" w:rsidRPr="001D2A9C" w:rsidRDefault="00A1678C" w:rsidP="005B580A">
            <w:pPr>
              <w:pStyle w:val="TableText0"/>
              <w:spacing w:before="200" w:after="200"/>
              <w:jc w:val="center"/>
              <w:rPr>
                <w:lang w:val="es-ES_tradnl"/>
              </w:rPr>
            </w:pPr>
            <w:r w:rsidRPr="001D2A9C">
              <w:rPr>
                <w:lang w:val="es-ES_tradnl"/>
              </w:rPr>
              <w:t>EUE para diferentes tipos de antena</w:t>
            </w:r>
          </w:p>
        </w:tc>
      </w:tr>
      <w:tr w:rsidR="00A1678C" w:rsidTr="005B580A">
        <w:trPr>
          <w:jc w:val="center"/>
        </w:trPr>
        <w:tc>
          <w:tcPr>
            <w:tcW w:w="3776" w:type="dxa"/>
            <w:gridSpan w:val="2"/>
            <w:vMerge/>
            <w:tcBorders>
              <w:bottom w:val="nil"/>
              <w:right w:val="single" w:sz="6" w:space="0" w:color="auto"/>
            </w:tcBorders>
          </w:tcPr>
          <w:p w:rsidR="00A1678C" w:rsidRDefault="00A1678C" w:rsidP="005B580A">
            <w:pPr>
              <w:pStyle w:val="TableText0"/>
              <w:spacing w:before="0"/>
              <w:jc w:val="center"/>
              <w:rPr>
                <w:lang w:val="es-ES_tradnl"/>
              </w:rPr>
            </w:pPr>
          </w:p>
        </w:tc>
        <w:tc>
          <w:tcPr>
            <w:tcW w:w="1701"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STD</w:t>
            </w:r>
          </w:p>
        </w:tc>
        <w:tc>
          <w:tcPr>
            <w:tcW w:w="1701"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SHD</w:t>
            </w:r>
          </w:p>
        </w:tc>
        <w:tc>
          <w:tcPr>
            <w:tcW w:w="1701" w:type="dxa"/>
            <w:tcBorders>
              <w:top w:val="single" w:sz="6" w:space="0" w:color="auto"/>
              <w:left w:val="single" w:sz="6" w:space="0" w:color="auto"/>
              <w:bottom w:val="nil"/>
            </w:tcBorders>
          </w:tcPr>
          <w:p w:rsidR="00A1678C" w:rsidRDefault="00A1678C" w:rsidP="005B580A">
            <w:pPr>
              <w:pStyle w:val="TableText0"/>
              <w:jc w:val="center"/>
              <w:rPr>
                <w:lang w:val="es-ES_tradnl"/>
              </w:rPr>
            </w:pPr>
            <w:r>
              <w:rPr>
                <w:lang w:val="es-ES_tradnl"/>
              </w:rPr>
              <w:t>CHR</w:t>
            </w:r>
          </w:p>
        </w:tc>
      </w:tr>
      <w:tr w:rsidR="00256167" w:rsidTr="005B580A">
        <w:trPr>
          <w:jc w:val="center"/>
        </w:trPr>
        <w:tc>
          <w:tcPr>
            <w:tcW w:w="3776" w:type="dxa"/>
            <w:gridSpan w:val="2"/>
            <w:tcBorders>
              <w:top w:val="single" w:sz="6" w:space="0" w:color="auto"/>
              <w:bottom w:val="single" w:sz="6" w:space="0" w:color="auto"/>
              <w:right w:val="single" w:sz="6" w:space="0" w:color="auto"/>
            </w:tcBorders>
          </w:tcPr>
          <w:p w:rsidR="00256167" w:rsidRDefault="00256167" w:rsidP="005B580A">
            <w:pPr>
              <w:pStyle w:val="TableText0"/>
              <w:rPr>
                <w:lang w:val="es-ES_tradnl"/>
              </w:rPr>
            </w:pPr>
            <w:r>
              <w:rPr>
                <w:lang w:val="es-ES_tradnl"/>
              </w:rPr>
              <w:t>Sin procesamiento de señal</w:t>
            </w:r>
          </w:p>
        </w:tc>
        <w:tc>
          <w:tcPr>
            <w:tcW w:w="1701" w:type="dxa"/>
            <w:tcBorders>
              <w:top w:val="single" w:sz="6" w:space="0" w:color="auto"/>
              <w:left w:val="single" w:sz="6" w:space="0" w:color="auto"/>
              <w:bottom w:val="single" w:sz="6" w:space="0" w:color="auto"/>
              <w:right w:val="single" w:sz="6" w:space="0" w:color="auto"/>
            </w:tcBorders>
          </w:tcPr>
          <w:p w:rsidR="00256167" w:rsidRDefault="00256167" w:rsidP="005B580A">
            <w:pPr>
              <w:pStyle w:val="TableText0"/>
              <w:jc w:val="center"/>
              <w:rPr>
                <w:lang w:val="es-ES_tradnl"/>
              </w:rPr>
            </w:pPr>
            <w:r>
              <w:rPr>
                <w:lang w:val="es-ES_tradnl"/>
              </w:rPr>
              <w:t>0,201</w:t>
            </w:r>
          </w:p>
        </w:tc>
        <w:tc>
          <w:tcPr>
            <w:tcW w:w="1701" w:type="dxa"/>
            <w:tcBorders>
              <w:top w:val="single" w:sz="6" w:space="0" w:color="auto"/>
              <w:left w:val="single" w:sz="6" w:space="0" w:color="auto"/>
              <w:bottom w:val="single" w:sz="6" w:space="0" w:color="auto"/>
              <w:right w:val="single" w:sz="6" w:space="0" w:color="auto"/>
            </w:tcBorders>
          </w:tcPr>
          <w:p w:rsidR="00256167" w:rsidRDefault="00256167" w:rsidP="005B580A">
            <w:pPr>
              <w:pStyle w:val="TableText0"/>
              <w:jc w:val="center"/>
              <w:rPr>
                <w:lang w:val="es-ES_tradnl"/>
              </w:rPr>
            </w:pPr>
            <w:r>
              <w:rPr>
                <w:lang w:val="es-ES_tradnl"/>
              </w:rPr>
              <w:t>0,212</w:t>
            </w:r>
          </w:p>
        </w:tc>
        <w:tc>
          <w:tcPr>
            <w:tcW w:w="1701" w:type="dxa"/>
            <w:tcBorders>
              <w:top w:val="single" w:sz="6" w:space="0" w:color="auto"/>
              <w:left w:val="single" w:sz="6" w:space="0" w:color="auto"/>
              <w:bottom w:val="single" w:sz="6" w:space="0" w:color="auto"/>
            </w:tcBorders>
          </w:tcPr>
          <w:p w:rsidR="00256167" w:rsidRDefault="00256167" w:rsidP="005B580A">
            <w:pPr>
              <w:pStyle w:val="TableText0"/>
              <w:jc w:val="center"/>
              <w:rPr>
                <w:lang w:val="es-ES_tradnl"/>
              </w:rPr>
            </w:pPr>
            <w:r>
              <w:rPr>
                <w:lang w:val="es-ES_tradnl"/>
              </w:rPr>
              <w:t>0,811</w:t>
            </w:r>
          </w:p>
        </w:tc>
      </w:tr>
      <w:tr w:rsidR="00036A82" w:rsidTr="00036A82">
        <w:trPr>
          <w:jc w:val="center"/>
        </w:trPr>
        <w:tc>
          <w:tcPr>
            <w:tcW w:w="2075" w:type="dxa"/>
            <w:vMerge w:val="restart"/>
            <w:tcBorders>
              <w:right w:val="nil"/>
            </w:tcBorders>
            <w:vAlign w:val="center"/>
          </w:tcPr>
          <w:p w:rsidR="00036A82" w:rsidRDefault="00036A82" w:rsidP="00036A82">
            <w:pPr>
              <w:pStyle w:val="TableText0"/>
              <w:jc w:val="center"/>
              <w:rPr>
                <w:lang w:val="es-ES_tradnl"/>
              </w:rPr>
            </w:pPr>
            <w:r>
              <w:rPr>
                <w:lang w:val="es-ES_tradnl"/>
              </w:rPr>
              <w:t>Codificación/corrección de errores</w:t>
            </w:r>
          </w:p>
        </w:tc>
        <w:tc>
          <w:tcPr>
            <w:tcW w:w="1701" w:type="dxa"/>
            <w:tcBorders>
              <w:top w:val="single" w:sz="6" w:space="0" w:color="auto"/>
              <w:left w:val="single" w:sz="6" w:space="0" w:color="auto"/>
              <w:bottom w:val="single" w:sz="6" w:space="0" w:color="auto"/>
              <w:right w:val="single" w:sz="6" w:space="0" w:color="auto"/>
            </w:tcBorders>
          </w:tcPr>
          <w:p w:rsidR="00036A82" w:rsidRDefault="00036A82" w:rsidP="005B580A">
            <w:pPr>
              <w:pStyle w:val="TableText0"/>
              <w:jc w:val="center"/>
              <w:rPr>
                <w:lang w:val="es-ES_tradnl"/>
              </w:rPr>
            </w:pPr>
            <w:r>
              <w:rPr>
                <w:lang w:val="es-ES_tradnl"/>
              </w:rPr>
              <w:t>Velocidad de codificación</w:t>
            </w:r>
          </w:p>
        </w:tc>
        <w:tc>
          <w:tcPr>
            <w:tcW w:w="1701" w:type="dxa"/>
            <w:tcBorders>
              <w:top w:val="nil"/>
              <w:left w:val="nil"/>
              <w:bottom w:val="nil"/>
              <w:right w:val="single" w:sz="6" w:space="0" w:color="auto"/>
            </w:tcBorders>
          </w:tcPr>
          <w:p w:rsidR="00036A82" w:rsidRDefault="00036A82" w:rsidP="005B580A">
            <w:pPr>
              <w:pStyle w:val="TableText0"/>
              <w:jc w:val="center"/>
              <w:rPr>
                <w:lang w:val="es-ES_tradnl"/>
              </w:rPr>
            </w:pPr>
          </w:p>
        </w:tc>
        <w:tc>
          <w:tcPr>
            <w:tcW w:w="1701" w:type="dxa"/>
            <w:tcBorders>
              <w:top w:val="nil"/>
              <w:left w:val="single" w:sz="6" w:space="0" w:color="auto"/>
              <w:bottom w:val="nil"/>
              <w:right w:val="single" w:sz="6" w:space="0" w:color="auto"/>
            </w:tcBorders>
          </w:tcPr>
          <w:p w:rsidR="00036A82" w:rsidRDefault="00036A82" w:rsidP="005B580A">
            <w:pPr>
              <w:pStyle w:val="TableText0"/>
              <w:jc w:val="center"/>
              <w:rPr>
                <w:lang w:val="es-ES_tradnl"/>
              </w:rPr>
            </w:pPr>
          </w:p>
        </w:tc>
        <w:tc>
          <w:tcPr>
            <w:tcW w:w="1701" w:type="dxa"/>
            <w:tcBorders>
              <w:top w:val="nil"/>
              <w:left w:val="single" w:sz="6" w:space="0" w:color="auto"/>
              <w:bottom w:val="nil"/>
            </w:tcBorders>
          </w:tcPr>
          <w:p w:rsidR="00036A82" w:rsidRDefault="00036A82" w:rsidP="005B580A">
            <w:pPr>
              <w:pStyle w:val="TableText0"/>
              <w:jc w:val="center"/>
              <w:rPr>
                <w:lang w:val="es-ES_tradnl"/>
              </w:rPr>
            </w:pPr>
          </w:p>
        </w:tc>
      </w:tr>
      <w:tr w:rsidR="00036A82" w:rsidTr="005B580A">
        <w:trPr>
          <w:jc w:val="center"/>
        </w:trPr>
        <w:tc>
          <w:tcPr>
            <w:tcW w:w="2075" w:type="dxa"/>
            <w:vMerge/>
            <w:tcBorders>
              <w:right w:val="nil"/>
            </w:tcBorders>
          </w:tcPr>
          <w:p w:rsidR="00036A82" w:rsidRDefault="00036A82" w:rsidP="005B580A">
            <w:pPr>
              <w:pStyle w:val="TableText0"/>
              <w:spacing w:before="0"/>
              <w:jc w:val="center"/>
              <w:rPr>
                <w:lang w:val="es-ES_tradnl"/>
              </w:rPr>
            </w:pPr>
          </w:p>
        </w:tc>
        <w:tc>
          <w:tcPr>
            <w:tcW w:w="1701" w:type="dxa"/>
            <w:tcBorders>
              <w:top w:val="nil"/>
              <w:left w:val="single" w:sz="6" w:space="0" w:color="auto"/>
              <w:bottom w:val="single" w:sz="6" w:space="0" w:color="auto"/>
              <w:right w:val="single" w:sz="6" w:space="0" w:color="auto"/>
            </w:tcBorders>
          </w:tcPr>
          <w:p w:rsidR="00036A82" w:rsidRDefault="00036A82" w:rsidP="005B580A">
            <w:pPr>
              <w:pStyle w:val="TableText0"/>
              <w:jc w:val="center"/>
              <w:rPr>
                <w:lang w:val="es-ES_tradnl"/>
              </w:rPr>
            </w:pPr>
            <w:r>
              <w:rPr>
                <w:lang w:val="es-ES_tradnl"/>
              </w:rPr>
              <w:t>1/2</w:t>
            </w:r>
            <w:r>
              <w:rPr>
                <w:lang w:val="es-ES_tradnl"/>
              </w:rPr>
              <w:br/>
              <w:t>3/4</w:t>
            </w:r>
            <w:r>
              <w:rPr>
                <w:lang w:val="es-ES_tradnl"/>
              </w:rPr>
              <w:br/>
              <w:t>7/8</w:t>
            </w:r>
            <w:r>
              <w:rPr>
                <w:lang w:val="es-ES_tradnl"/>
              </w:rPr>
              <w:br/>
              <w:t>18/19</w:t>
            </w:r>
          </w:p>
        </w:tc>
        <w:tc>
          <w:tcPr>
            <w:tcW w:w="1701" w:type="dxa"/>
            <w:tcBorders>
              <w:top w:val="nil"/>
              <w:left w:val="single" w:sz="6" w:space="0" w:color="auto"/>
              <w:bottom w:val="single" w:sz="6" w:space="0" w:color="auto"/>
              <w:right w:val="single" w:sz="6" w:space="0" w:color="auto"/>
            </w:tcBorders>
          </w:tcPr>
          <w:p w:rsidR="00036A82" w:rsidRDefault="00036A82" w:rsidP="005B580A">
            <w:pPr>
              <w:pStyle w:val="TableText0"/>
              <w:jc w:val="center"/>
              <w:rPr>
                <w:lang w:val="es-ES_tradnl"/>
              </w:rPr>
            </w:pPr>
            <w:r>
              <w:rPr>
                <w:lang w:val="es-ES_tradnl"/>
              </w:rPr>
              <w:t>0,230</w:t>
            </w:r>
            <w:r>
              <w:rPr>
                <w:lang w:val="es-ES_tradnl"/>
              </w:rPr>
              <w:br/>
              <w:t>0,249</w:t>
            </w:r>
            <w:r>
              <w:rPr>
                <w:lang w:val="es-ES_tradnl"/>
              </w:rPr>
              <w:br/>
              <w:t>0,235</w:t>
            </w:r>
            <w:r>
              <w:rPr>
                <w:lang w:val="es-ES_tradnl"/>
              </w:rPr>
              <w:br/>
              <w:t>0,294</w:t>
            </w:r>
          </w:p>
        </w:tc>
        <w:tc>
          <w:tcPr>
            <w:tcW w:w="1701" w:type="dxa"/>
            <w:tcBorders>
              <w:top w:val="nil"/>
              <w:left w:val="single" w:sz="6" w:space="0" w:color="auto"/>
              <w:bottom w:val="single" w:sz="6" w:space="0" w:color="auto"/>
              <w:right w:val="single" w:sz="6" w:space="0" w:color="auto"/>
            </w:tcBorders>
          </w:tcPr>
          <w:p w:rsidR="00036A82" w:rsidRDefault="00036A82" w:rsidP="005B580A">
            <w:pPr>
              <w:pStyle w:val="TableText0"/>
              <w:jc w:val="center"/>
              <w:rPr>
                <w:lang w:val="es-ES_tradnl"/>
              </w:rPr>
            </w:pPr>
            <w:r>
              <w:rPr>
                <w:lang w:val="es-ES_tradnl"/>
              </w:rPr>
              <w:t>0,211</w:t>
            </w:r>
            <w:r>
              <w:rPr>
                <w:lang w:val="es-ES_tradnl"/>
              </w:rPr>
              <w:br/>
              <w:t>0,240</w:t>
            </w:r>
            <w:r>
              <w:rPr>
                <w:lang w:val="es-ES_tradnl"/>
              </w:rPr>
              <w:br/>
              <w:t>0,237</w:t>
            </w:r>
            <w:r>
              <w:rPr>
                <w:lang w:val="es-ES_tradnl"/>
              </w:rPr>
              <w:br/>
              <w:t>0,285</w:t>
            </w:r>
          </w:p>
        </w:tc>
        <w:tc>
          <w:tcPr>
            <w:tcW w:w="1701" w:type="dxa"/>
            <w:tcBorders>
              <w:top w:val="nil"/>
              <w:left w:val="single" w:sz="6" w:space="0" w:color="auto"/>
              <w:bottom w:val="single" w:sz="6" w:space="0" w:color="auto"/>
            </w:tcBorders>
          </w:tcPr>
          <w:p w:rsidR="00036A82" w:rsidRDefault="00036A82" w:rsidP="005B580A">
            <w:pPr>
              <w:pStyle w:val="TableText0"/>
              <w:jc w:val="center"/>
              <w:rPr>
                <w:lang w:val="es-ES_tradnl"/>
              </w:rPr>
            </w:pPr>
            <w:r>
              <w:rPr>
                <w:lang w:val="es-ES_tradnl"/>
              </w:rPr>
              <w:t>0,532</w:t>
            </w:r>
            <w:r>
              <w:rPr>
                <w:lang w:val="es-ES_tradnl"/>
              </w:rPr>
              <w:br/>
              <w:t>0,673</w:t>
            </w:r>
            <w:r>
              <w:rPr>
                <w:lang w:val="es-ES_tradnl"/>
              </w:rPr>
              <w:br/>
              <w:t>0,754</w:t>
            </w:r>
            <w:r>
              <w:rPr>
                <w:lang w:val="es-ES_tradnl"/>
              </w:rPr>
              <w:br/>
              <w:t>0,838</w:t>
            </w:r>
          </w:p>
        </w:tc>
      </w:tr>
    </w:tbl>
    <w:p w:rsidR="00256167" w:rsidRDefault="00256167" w:rsidP="00256167">
      <w:pPr>
        <w:pStyle w:val="Tablefin"/>
        <w:rPr>
          <w:lang w:val="es-ES_tradnl"/>
        </w:rPr>
      </w:pPr>
    </w:p>
    <w:p w:rsidR="00256167" w:rsidRDefault="00256167" w:rsidP="00256167">
      <w:pPr>
        <w:pStyle w:val="Heading3"/>
        <w:rPr>
          <w:lang w:val="es-ES_tradnl"/>
        </w:rPr>
      </w:pPr>
      <w:r>
        <w:rPr>
          <w:lang w:val="es-ES_tradnl"/>
        </w:rPr>
        <w:t>2.4.6</w:t>
      </w:r>
      <w:r>
        <w:rPr>
          <w:lang w:val="es-ES_tradnl"/>
        </w:rPr>
        <w:tab/>
        <w:t>Ecualizadores adaptables/transversales</w:t>
      </w:r>
    </w:p>
    <w:p w:rsidR="00256167" w:rsidRDefault="00256167" w:rsidP="00256167">
      <w:pPr>
        <w:rPr>
          <w:lang w:val="es-ES_tradnl"/>
        </w:rPr>
      </w:pPr>
      <w:r>
        <w:rPr>
          <w:lang w:val="es-ES_tradnl"/>
        </w:rPr>
        <w:t xml:space="preserve">Los ecualizadores adaptables/transversales mejoran las características del sistema digital en presencia de desvanecimientos por trayectos múltiples, distorsión lineal, o ambos. Los ecualizadores sólo pueden mitigar los aspectos dispersivos del desvanecimiento por trayectos múltiples. Estos ecualizadores adaptables reconfiguran el impulso para minimizar la interferencia entre símbolos. Con dichas ecualizaciones se puede obtener una mejora de aproximadamente 4 dB a 6 dB en el margen de desvanecimiento compuesto en los receptores de MAQ-64. El mayor inconveniente de los ecualizadores adaptables es su coste. El modelo se hizo funcionar con una anchura de banda del sistema de 22,5 MHz y un nivel de </w:t>
      </w:r>
      <w:r>
        <w:rPr>
          <w:i/>
          <w:lang w:val="es-ES_tradnl"/>
        </w:rPr>
        <w:t>P</w:t>
      </w:r>
      <w:r>
        <w:rPr>
          <w:i/>
          <w:position w:val="-4"/>
          <w:sz w:val="16"/>
          <w:lang w:val="es-ES_tradnl"/>
        </w:rPr>
        <w:t>t</w:t>
      </w:r>
      <w:r>
        <w:rPr>
          <w:lang w:val="es-ES_tradnl"/>
        </w:rPr>
        <w:t xml:space="preserve"> de 29,5 </w:t>
      </w:r>
      <w:proofErr w:type="spellStart"/>
      <w:r>
        <w:rPr>
          <w:lang w:val="es-ES_tradnl"/>
        </w:rPr>
        <w:t>dBm</w:t>
      </w:r>
      <w:proofErr w:type="spellEnd"/>
      <w:r>
        <w:rPr>
          <w:lang w:val="es-ES_tradnl"/>
        </w:rPr>
        <w:t xml:space="preserve"> (una reducción de 4 dB de la </w:t>
      </w:r>
      <w:r>
        <w:rPr>
          <w:i/>
          <w:lang w:val="es-ES_tradnl"/>
        </w:rPr>
        <w:t>P</w:t>
      </w:r>
      <w:r>
        <w:rPr>
          <w:i/>
          <w:position w:val="-4"/>
          <w:sz w:val="16"/>
          <w:lang w:val="es-ES_tradnl"/>
        </w:rPr>
        <w:t>t</w:t>
      </w:r>
      <w:r>
        <w:rPr>
          <w:lang w:val="es-ES_tradnl"/>
        </w:rPr>
        <w:t xml:space="preserve"> para MAQ-64). El Cuadro 10 muestra la EUE para los tres tipos de antenas. También se presentan en el Cuadro los valores de la EUE sin ecualizadores adaptables a modo de comparación con los de ecualizadores adaptables.</w:t>
      </w:r>
    </w:p>
    <w:p w:rsidR="00256167" w:rsidRDefault="00256167" w:rsidP="00256167">
      <w:pPr>
        <w:pStyle w:val="Table"/>
        <w:rPr>
          <w:lang w:val="es-ES_tradnl"/>
        </w:rPr>
      </w:pPr>
      <w:r>
        <w:rPr>
          <w:lang w:val="es-ES_tradnl"/>
        </w:rPr>
        <w:t>CUADRO  10</w:t>
      </w:r>
    </w:p>
    <w:p w:rsidR="00256167" w:rsidRDefault="00256167" w:rsidP="00256167">
      <w:pPr>
        <w:pStyle w:val="TableTitle0"/>
        <w:rPr>
          <w:lang w:val="es-ES_tradnl"/>
        </w:rPr>
      </w:pPr>
      <w:r>
        <w:rPr>
          <w:lang w:val="es-ES_tradnl"/>
        </w:rPr>
        <w:t>Mejora de la EUE con ecualizador adaptable (modulación MAQ-64)</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A1678C" w:rsidRPr="00AC38FC" w:rsidTr="005B580A">
        <w:trPr>
          <w:jc w:val="center"/>
        </w:trPr>
        <w:tc>
          <w:tcPr>
            <w:tcW w:w="3776" w:type="dxa"/>
            <w:vMerge w:val="restart"/>
            <w:tcBorders>
              <w:right w:val="nil"/>
            </w:tcBorders>
          </w:tcPr>
          <w:p w:rsidR="00A1678C" w:rsidRDefault="00A1678C" w:rsidP="00A1678C">
            <w:pPr>
              <w:pStyle w:val="TableText0"/>
              <w:spacing w:before="400" w:after="0"/>
              <w:jc w:val="center"/>
              <w:rPr>
                <w:lang w:val="es-ES_tradnl"/>
              </w:rPr>
            </w:pPr>
            <w:r>
              <w:rPr>
                <w:lang w:val="es-ES_tradnl"/>
              </w:rPr>
              <w:t>Tipo de procesamiento de señal</w:t>
            </w:r>
          </w:p>
        </w:tc>
        <w:tc>
          <w:tcPr>
            <w:tcW w:w="5103" w:type="dxa"/>
            <w:gridSpan w:val="3"/>
            <w:tcBorders>
              <w:top w:val="single" w:sz="6" w:space="0" w:color="auto"/>
              <w:left w:val="single" w:sz="6" w:space="0" w:color="auto"/>
              <w:bottom w:val="single" w:sz="6" w:space="0" w:color="auto"/>
            </w:tcBorders>
          </w:tcPr>
          <w:p w:rsidR="00A1678C" w:rsidRPr="001D2A9C" w:rsidRDefault="00A1678C" w:rsidP="005B580A">
            <w:pPr>
              <w:pStyle w:val="TableText0"/>
              <w:spacing w:before="200" w:after="200"/>
              <w:jc w:val="center"/>
              <w:rPr>
                <w:lang w:val="es-ES_tradnl"/>
              </w:rPr>
            </w:pPr>
            <w:r w:rsidRPr="001D2A9C">
              <w:rPr>
                <w:lang w:val="es-ES_tradnl"/>
              </w:rPr>
              <w:t>EUE para diferentes tipos de antena</w:t>
            </w:r>
          </w:p>
        </w:tc>
      </w:tr>
      <w:tr w:rsidR="00A1678C" w:rsidTr="005B580A">
        <w:trPr>
          <w:jc w:val="center"/>
        </w:trPr>
        <w:tc>
          <w:tcPr>
            <w:tcW w:w="3776" w:type="dxa"/>
            <w:vMerge/>
            <w:tcBorders>
              <w:bottom w:val="nil"/>
              <w:right w:val="single" w:sz="6" w:space="0" w:color="auto"/>
            </w:tcBorders>
          </w:tcPr>
          <w:p w:rsidR="00A1678C" w:rsidRDefault="00A1678C" w:rsidP="005B580A">
            <w:pPr>
              <w:pStyle w:val="TableText0"/>
              <w:spacing w:before="0"/>
              <w:jc w:val="center"/>
              <w:rPr>
                <w:lang w:val="es-ES_tradnl"/>
              </w:rPr>
            </w:pPr>
          </w:p>
        </w:tc>
        <w:tc>
          <w:tcPr>
            <w:tcW w:w="1701"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STD</w:t>
            </w:r>
          </w:p>
        </w:tc>
        <w:tc>
          <w:tcPr>
            <w:tcW w:w="1701"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SHD</w:t>
            </w:r>
          </w:p>
        </w:tc>
        <w:tc>
          <w:tcPr>
            <w:tcW w:w="1701" w:type="dxa"/>
            <w:tcBorders>
              <w:top w:val="single" w:sz="6" w:space="0" w:color="auto"/>
              <w:left w:val="single" w:sz="6" w:space="0" w:color="auto"/>
              <w:bottom w:val="nil"/>
            </w:tcBorders>
          </w:tcPr>
          <w:p w:rsidR="00A1678C" w:rsidRDefault="00A1678C" w:rsidP="005B580A">
            <w:pPr>
              <w:pStyle w:val="TableText0"/>
              <w:jc w:val="center"/>
              <w:rPr>
                <w:lang w:val="es-ES_tradnl"/>
              </w:rPr>
            </w:pPr>
            <w:r>
              <w:rPr>
                <w:lang w:val="es-ES_tradnl"/>
              </w:rPr>
              <w:t>CHR</w:t>
            </w:r>
          </w:p>
        </w:tc>
      </w:tr>
      <w:tr w:rsidR="00256167" w:rsidTr="005B580A">
        <w:trPr>
          <w:jc w:val="center"/>
        </w:trPr>
        <w:tc>
          <w:tcPr>
            <w:tcW w:w="3776" w:type="dxa"/>
            <w:tcBorders>
              <w:top w:val="single" w:sz="6" w:space="0" w:color="auto"/>
              <w:bottom w:val="nil"/>
              <w:right w:val="single" w:sz="6" w:space="0" w:color="auto"/>
            </w:tcBorders>
          </w:tcPr>
          <w:p w:rsidR="00256167" w:rsidRDefault="00256167" w:rsidP="005B580A">
            <w:pPr>
              <w:pStyle w:val="TableText0"/>
              <w:rPr>
                <w:lang w:val="es-ES_tradnl"/>
              </w:rPr>
            </w:pPr>
            <w:r>
              <w:rPr>
                <w:lang w:val="es-ES_tradnl"/>
              </w:rPr>
              <w:t>Sin procesamiento de señal</w:t>
            </w:r>
          </w:p>
        </w:tc>
        <w:tc>
          <w:tcPr>
            <w:tcW w:w="1701" w:type="dxa"/>
            <w:tcBorders>
              <w:top w:val="single" w:sz="6" w:space="0" w:color="auto"/>
              <w:left w:val="single" w:sz="6" w:space="0" w:color="auto"/>
              <w:bottom w:val="nil"/>
              <w:right w:val="single" w:sz="6" w:space="0" w:color="auto"/>
            </w:tcBorders>
          </w:tcPr>
          <w:p w:rsidR="00256167" w:rsidRDefault="00256167" w:rsidP="005B580A">
            <w:pPr>
              <w:pStyle w:val="TableText0"/>
              <w:jc w:val="center"/>
              <w:rPr>
                <w:lang w:val="es-ES_tradnl"/>
              </w:rPr>
            </w:pPr>
            <w:r>
              <w:rPr>
                <w:lang w:val="es-ES_tradnl"/>
              </w:rPr>
              <w:t>0,201</w:t>
            </w:r>
          </w:p>
        </w:tc>
        <w:tc>
          <w:tcPr>
            <w:tcW w:w="1701" w:type="dxa"/>
            <w:tcBorders>
              <w:top w:val="single" w:sz="6" w:space="0" w:color="auto"/>
              <w:left w:val="single" w:sz="6" w:space="0" w:color="auto"/>
              <w:bottom w:val="nil"/>
              <w:right w:val="single" w:sz="6" w:space="0" w:color="auto"/>
            </w:tcBorders>
          </w:tcPr>
          <w:p w:rsidR="00256167" w:rsidRDefault="00256167" w:rsidP="005B580A">
            <w:pPr>
              <w:pStyle w:val="TableText0"/>
              <w:jc w:val="center"/>
              <w:rPr>
                <w:lang w:val="es-ES_tradnl"/>
              </w:rPr>
            </w:pPr>
            <w:r>
              <w:rPr>
                <w:lang w:val="es-ES_tradnl"/>
              </w:rPr>
              <w:t>0,212</w:t>
            </w:r>
          </w:p>
        </w:tc>
        <w:tc>
          <w:tcPr>
            <w:tcW w:w="1701" w:type="dxa"/>
            <w:tcBorders>
              <w:top w:val="single" w:sz="6" w:space="0" w:color="auto"/>
              <w:left w:val="single" w:sz="6" w:space="0" w:color="auto"/>
              <w:bottom w:val="nil"/>
            </w:tcBorders>
          </w:tcPr>
          <w:p w:rsidR="00256167" w:rsidRDefault="00256167" w:rsidP="005B580A">
            <w:pPr>
              <w:pStyle w:val="TableText0"/>
              <w:jc w:val="center"/>
              <w:rPr>
                <w:lang w:val="es-ES_tradnl"/>
              </w:rPr>
            </w:pPr>
            <w:r>
              <w:rPr>
                <w:lang w:val="es-ES_tradnl"/>
              </w:rPr>
              <w:t>0,811</w:t>
            </w:r>
          </w:p>
        </w:tc>
      </w:tr>
      <w:tr w:rsidR="00256167" w:rsidTr="005B580A">
        <w:trPr>
          <w:jc w:val="center"/>
        </w:trPr>
        <w:tc>
          <w:tcPr>
            <w:tcW w:w="3776" w:type="dxa"/>
            <w:tcBorders>
              <w:top w:val="single" w:sz="6" w:space="0" w:color="auto"/>
              <w:bottom w:val="single" w:sz="6" w:space="0" w:color="auto"/>
              <w:right w:val="single" w:sz="6" w:space="0" w:color="auto"/>
            </w:tcBorders>
          </w:tcPr>
          <w:p w:rsidR="00256167" w:rsidRDefault="00256167" w:rsidP="005B580A">
            <w:pPr>
              <w:pStyle w:val="TableText0"/>
              <w:rPr>
                <w:lang w:val="es-ES_tradnl"/>
              </w:rPr>
            </w:pPr>
            <w:r>
              <w:rPr>
                <w:lang w:val="es-ES_tradnl"/>
              </w:rPr>
              <w:t>Con ecualizadores adaptables</w:t>
            </w:r>
          </w:p>
        </w:tc>
        <w:tc>
          <w:tcPr>
            <w:tcW w:w="1701" w:type="dxa"/>
            <w:tcBorders>
              <w:top w:val="single" w:sz="6" w:space="0" w:color="auto"/>
              <w:left w:val="single" w:sz="6" w:space="0" w:color="auto"/>
              <w:bottom w:val="single" w:sz="6" w:space="0" w:color="auto"/>
              <w:right w:val="single" w:sz="6" w:space="0" w:color="auto"/>
            </w:tcBorders>
          </w:tcPr>
          <w:p w:rsidR="00256167" w:rsidRDefault="00256167" w:rsidP="005B580A">
            <w:pPr>
              <w:pStyle w:val="TableText0"/>
              <w:jc w:val="center"/>
              <w:rPr>
                <w:lang w:val="es-ES_tradnl"/>
              </w:rPr>
            </w:pPr>
            <w:r>
              <w:rPr>
                <w:lang w:val="es-ES_tradnl"/>
              </w:rPr>
              <w:t>0,355</w:t>
            </w:r>
          </w:p>
        </w:tc>
        <w:tc>
          <w:tcPr>
            <w:tcW w:w="1701" w:type="dxa"/>
            <w:tcBorders>
              <w:top w:val="single" w:sz="6" w:space="0" w:color="auto"/>
              <w:left w:val="single" w:sz="6" w:space="0" w:color="auto"/>
              <w:bottom w:val="single" w:sz="6" w:space="0" w:color="auto"/>
              <w:right w:val="single" w:sz="6" w:space="0" w:color="auto"/>
            </w:tcBorders>
          </w:tcPr>
          <w:p w:rsidR="00256167" w:rsidRDefault="00256167" w:rsidP="005B580A">
            <w:pPr>
              <w:pStyle w:val="TableText0"/>
              <w:jc w:val="center"/>
              <w:rPr>
                <w:lang w:val="es-ES_tradnl"/>
              </w:rPr>
            </w:pPr>
            <w:r>
              <w:rPr>
                <w:lang w:val="es-ES_tradnl"/>
              </w:rPr>
              <w:t>0,337</w:t>
            </w:r>
          </w:p>
        </w:tc>
        <w:tc>
          <w:tcPr>
            <w:tcW w:w="1701" w:type="dxa"/>
            <w:tcBorders>
              <w:top w:val="single" w:sz="6" w:space="0" w:color="auto"/>
              <w:left w:val="single" w:sz="6" w:space="0" w:color="auto"/>
              <w:bottom w:val="single" w:sz="6" w:space="0" w:color="auto"/>
            </w:tcBorders>
          </w:tcPr>
          <w:p w:rsidR="00256167" w:rsidRDefault="00256167" w:rsidP="005B580A">
            <w:pPr>
              <w:pStyle w:val="TableText0"/>
              <w:jc w:val="center"/>
              <w:rPr>
                <w:lang w:val="es-ES_tradnl"/>
              </w:rPr>
            </w:pPr>
            <w:r>
              <w:rPr>
                <w:lang w:val="es-ES_tradnl"/>
              </w:rPr>
              <w:t>0,930</w:t>
            </w:r>
          </w:p>
        </w:tc>
      </w:tr>
    </w:tbl>
    <w:p w:rsidR="00256167" w:rsidRDefault="00256167" w:rsidP="00256167">
      <w:pPr>
        <w:pStyle w:val="Tablefin"/>
        <w:rPr>
          <w:lang w:val="es-ES_tradnl"/>
        </w:rPr>
      </w:pPr>
    </w:p>
    <w:p w:rsidR="00256167" w:rsidRDefault="00256167" w:rsidP="00256167">
      <w:pPr>
        <w:rPr>
          <w:lang w:val="es-ES_tradnl"/>
        </w:rPr>
      </w:pPr>
      <w:r>
        <w:rPr>
          <w:lang w:val="es-ES_tradnl"/>
        </w:rPr>
        <w:t>Para la modulación MAQ</w:t>
      </w:r>
      <w:r>
        <w:rPr>
          <w:lang w:val="es-ES_tradnl"/>
        </w:rPr>
        <w:noBreakHyphen/>
        <w:t>64 el empleo de ecualizadores adaptables puede mejorar las propiedades de conservación del espectro de un sistema, de un 15% a un 75% aproximadamente, dándose la mayor mejora en sistemas que utilizan antenas STD.</w:t>
      </w:r>
    </w:p>
    <w:p w:rsidR="00256167" w:rsidRDefault="00256167" w:rsidP="00256167">
      <w:pPr>
        <w:pStyle w:val="Heading3"/>
        <w:rPr>
          <w:lang w:val="es-ES_tradnl"/>
        </w:rPr>
      </w:pPr>
      <w:r>
        <w:rPr>
          <w:lang w:val="es-ES_tradnl"/>
        </w:rPr>
        <w:t>2.4.7</w:t>
      </w:r>
      <w:r>
        <w:rPr>
          <w:lang w:val="es-ES_tradnl"/>
        </w:rPr>
        <w:tab/>
        <w:t>Codificación/corrección de errores y ecualizadores adaptables</w:t>
      </w:r>
    </w:p>
    <w:p w:rsidR="00256167" w:rsidRDefault="00256167" w:rsidP="00256167">
      <w:pPr>
        <w:rPr>
          <w:lang w:val="es-ES_tradnl"/>
        </w:rPr>
      </w:pPr>
      <w:r>
        <w:rPr>
          <w:lang w:val="es-ES_tradnl"/>
        </w:rPr>
        <w:t>Algunos sistemas digitales utilizan tanto la codificación/corrección de errores como los ecualizadores adaptables para mejorar las características del sistema. Para la modulación MAQ-64 la utilización de la codificación/corrección de errores (velocidad de codificación 18/19) y de ecualizadores adaptables puede reducir la relación (</w:t>
      </w:r>
      <w:r>
        <w:rPr>
          <w:i/>
          <w:lang w:val="es-ES_tradnl"/>
        </w:rPr>
        <w:t>C</w:t>
      </w:r>
      <w:r>
        <w:rPr>
          <w:lang w:val="es-ES_tradnl"/>
        </w:rPr>
        <w:t>/</w:t>
      </w:r>
      <w:r>
        <w:rPr>
          <w:i/>
          <w:lang w:val="es-ES_tradnl"/>
        </w:rPr>
        <w:t>N</w:t>
      </w:r>
      <w:r>
        <w:rPr>
          <w:lang w:val="es-ES_tradnl"/>
        </w:rPr>
        <w:t>)</w:t>
      </w:r>
      <w:r w:rsidRPr="001D2A9C">
        <w:rPr>
          <w:i/>
          <w:position w:val="-4"/>
          <w:sz w:val="16"/>
          <w:lang w:val="es-ES_tradnl"/>
        </w:rPr>
        <w:t>i</w:t>
      </w:r>
      <w:r w:rsidRPr="001D2A9C">
        <w:rPr>
          <w:lang w:val="es-ES_tradnl"/>
        </w:rPr>
        <w:t>,</w:t>
      </w:r>
      <w:r>
        <w:rPr>
          <w:lang w:val="es-ES_tradnl"/>
        </w:rPr>
        <w:t xml:space="preserve"> en 7 dB para una BER </w:t>
      </w:r>
      <w:r>
        <w:rPr>
          <w:rFonts w:ascii="Symbol" w:hAnsi="Symbol"/>
          <w:lang w:val="es-ES_tradnl"/>
        </w:rPr>
        <w:t></w:t>
      </w:r>
      <w:r>
        <w:rPr>
          <w:lang w:val="es-ES_tradnl"/>
        </w:rPr>
        <w:t xml:space="preserve"> 1 </w:t>
      </w:r>
      <w:r>
        <w:rPr>
          <w:rFonts w:ascii="Symbol" w:hAnsi="Symbol"/>
          <w:lang w:val="es-ES_tradnl"/>
        </w:rPr>
        <w:t></w:t>
      </w:r>
      <w:r>
        <w:rPr>
          <w:lang w:val="es-ES_tradnl"/>
        </w:rPr>
        <w:t xml:space="preserve"> 10</w:t>
      </w:r>
      <w:r w:rsidRPr="00AD4944">
        <w:rPr>
          <w:szCs w:val="24"/>
          <w:vertAlign w:val="superscript"/>
          <w:lang w:val="es-ES_tradnl"/>
        </w:rPr>
        <w:t>–6</w:t>
      </w:r>
      <w:r>
        <w:rPr>
          <w:lang w:val="es-ES_tradnl"/>
        </w:rPr>
        <w:t xml:space="preserve">. En el Cuadro 11 se muestra la aplicación de un modelo de EUE para una anchura de banda ocupada, </w:t>
      </w:r>
      <w:r>
        <w:rPr>
          <w:i/>
          <w:lang w:val="es-ES_tradnl"/>
        </w:rPr>
        <w:t>B</w:t>
      </w:r>
      <w:r>
        <w:rPr>
          <w:lang w:val="es-ES_tradnl"/>
        </w:rPr>
        <w:t xml:space="preserve">, de 23,74 MHz y una </w:t>
      </w:r>
      <w:r>
        <w:rPr>
          <w:i/>
          <w:lang w:val="es-ES_tradnl"/>
        </w:rPr>
        <w:t>P</w:t>
      </w:r>
      <w:r>
        <w:rPr>
          <w:i/>
          <w:position w:val="-4"/>
          <w:sz w:val="16"/>
          <w:lang w:val="es-ES_tradnl"/>
        </w:rPr>
        <w:t>t</w:t>
      </w:r>
      <w:r>
        <w:rPr>
          <w:lang w:val="es-ES_tradnl"/>
        </w:rPr>
        <w:t xml:space="preserve"> de 26,5 </w:t>
      </w:r>
      <w:proofErr w:type="spellStart"/>
      <w:r>
        <w:rPr>
          <w:lang w:val="es-ES_tradnl"/>
        </w:rPr>
        <w:t>dBm</w:t>
      </w:r>
      <w:proofErr w:type="spellEnd"/>
      <w:r>
        <w:rPr>
          <w:lang w:val="es-ES_tradnl"/>
        </w:rPr>
        <w:t xml:space="preserve"> (una reducción de 7 dB en la </w:t>
      </w:r>
      <w:r>
        <w:rPr>
          <w:i/>
          <w:lang w:val="es-ES_tradnl"/>
        </w:rPr>
        <w:t>P</w:t>
      </w:r>
      <w:r>
        <w:rPr>
          <w:i/>
          <w:position w:val="-4"/>
          <w:sz w:val="16"/>
          <w:lang w:val="es-ES_tradnl"/>
        </w:rPr>
        <w:t>t</w:t>
      </w:r>
      <w:r>
        <w:rPr>
          <w:lang w:val="es-ES_tradnl"/>
        </w:rPr>
        <w:t xml:space="preserve"> para la MAQ-64). También se </w:t>
      </w:r>
      <w:r>
        <w:rPr>
          <w:lang w:val="es-ES_tradnl"/>
        </w:rPr>
        <w:lastRenderedPageBreak/>
        <w:t>muestra que la utilización de codificación con corrección de errores y ecualizadores adaptables pueden mejorar las propiedades de conservación del espectro de un sistema de un 30% a un 150%, dándose la mayor mejora en los sistemas que utilizan antenas parabólicas.</w:t>
      </w:r>
    </w:p>
    <w:p w:rsidR="00256167" w:rsidRDefault="00256167" w:rsidP="00256167">
      <w:pPr>
        <w:pStyle w:val="Table"/>
        <w:rPr>
          <w:lang w:val="es-ES_tradnl"/>
        </w:rPr>
      </w:pPr>
      <w:r>
        <w:rPr>
          <w:lang w:val="es-ES_tradnl"/>
        </w:rPr>
        <w:t>CUADRO  11</w:t>
      </w:r>
    </w:p>
    <w:p w:rsidR="00256167" w:rsidRDefault="00256167" w:rsidP="00256167">
      <w:pPr>
        <w:pStyle w:val="TableTitle0"/>
        <w:rPr>
          <w:lang w:val="es-ES_tradnl"/>
        </w:rPr>
      </w:pPr>
      <w:r>
        <w:rPr>
          <w:lang w:val="es-ES_tradnl"/>
        </w:rPr>
        <w:t>EUE, para la codificación/corrección de errores y ecualizadores adaptables (modulación MAQ-64)</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969"/>
        <w:gridCol w:w="1701"/>
        <w:gridCol w:w="1701"/>
        <w:gridCol w:w="1701"/>
      </w:tblGrid>
      <w:tr w:rsidR="00A1678C" w:rsidRPr="00AC38FC" w:rsidTr="00036A82">
        <w:trPr>
          <w:jc w:val="center"/>
        </w:trPr>
        <w:tc>
          <w:tcPr>
            <w:tcW w:w="3969" w:type="dxa"/>
            <w:vMerge w:val="restart"/>
            <w:tcBorders>
              <w:right w:val="nil"/>
            </w:tcBorders>
          </w:tcPr>
          <w:p w:rsidR="00A1678C" w:rsidRDefault="00A1678C" w:rsidP="00A1678C">
            <w:pPr>
              <w:pStyle w:val="TableText0"/>
              <w:spacing w:before="400" w:after="0"/>
              <w:jc w:val="center"/>
              <w:rPr>
                <w:lang w:val="es-ES_tradnl"/>
              </w:rPr>
            </w:pPr>
            <w:r>
              <w:rPr>
                <w:lang w:val="es-ES_tradnl"/>
              </w:rPr>
              <w:t>Tipo de procesamiento de señal</w:t>
            </w:r>
          </w:p>
        </w:tc>
        <w:tc>
          <w:tcPr>
            <w:tcW w:w="5103" w:type="dxa"/>
            <w:gridSpan w:val="3"/>
            <w:tcBorders>
              <w:top w:val="single" w:sz="6" w:space="0" w:color="auto"/>
              <w:left w:val="single" w:sz="6" w:space="0" w:color="auto"/>
              <w:bottom w:val="single" w:sz="6" w:space="0" w:color="auto"/>
            </w:tcBorders>
          </w:tcPr>
          <w:p w:rsidR="00A1678C" w:rsidRPr="001D2A9C" w:rsidRDefault="00A1678C" w:rsidP="005B580A">
            <w:pPr>
              <w:pStyle w:val="TableText0"/>
              <w:spacing w:before="200" w:after="200"/>
              <w:jc w:val="center"/>
              <w:rPr>
                <w:lang w:val="es-ES_tradnl"/>
              </w:rPr>
            </w:pPr>
            <w:r w:rsidRPr="001D2A9C">
              <w:rPr>
                <w:lang w:val="es-ES_tradnl"/>
              </w:rPr>
              <w:t>EUE para diferentes tipos de antena</w:t>
            </w:r>
          </w:p>
        </w:tc>
      </w:tr>
      <w:tr w:rsidR="00A1678C" w:rsidTr="00036A82">
        <w:trPr>
          <w:jc w:val="center"/>
        </w:trPr>
        <w:tc>
          <w:tcPr>
            <w:tcW w:w="3969" w:type="dxa"/>
            <w:vMerge/>
            <w:tcBorders>
              <w:bottom w:val="nil"/>
              <w:right w:val="single" w:sz="6" w:space="0" w:color="auto"/>
            </w:tcBorders>
          </w:tcPr>
          <w:p w:rsidR="00A1678C" w:rsidRDefault="00A1678C" w:rsidP="005B580A">
            <w:pPr>
              <w:pStyle w:val="TableText0"/>
              <w:spacing w:before="0"/>
              <w:jc w:val="center"/>
              <w:rPr>
                <w:lang w:val="es-ES_tradnl"/>
              </w:rPr>
            </w:pPr>
          </w:p>
        </w:tc>
        <w:tc>
          <w:tcPr>
            <w:tcW w:w="1701"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STD</w:t>
            </w:r>
          </w:p>
        </w:tc>
        <w:tc>
          <w:tcPr>
            <w:tcW w:w="1701"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SHD</w:t>
            </w:r>
          </w:p>
        </w:tc>
        <w:tc>
          <w:tcPr>
            <w:tcW w:w="1701" w:type="dxa"/>
            <w:tcBorders>
              <w:top w:val="single" w:sz="6" w:space="0" w:color="auto"/>
              <w:left w:val="single" w:sz="6" w:space="0" w:color="auto"/>
              <w:bottom w:val="nil"/>
            </w:tcBorders>
          </w:tcPr>
          <w:p w:rsidR="00A1678C" w:rsidRDefault="00A1678C" w:rsidP="005B580A">
            <w:pPr>
              <w:pStyle w:val="TableText0"/>
              <w:jc w:val="center"/>
              <w:rPr>
                <w:lang w:val="es-ES_tradnl"/>
              </w:rPr>
            </w:pPr>
            <w:r>
              <w:rPr>
                <w:lang w:val="es-ES_tradnl"/>
              </w:rPr>
              <w:t>CHR</w:t>
            </w:r>
          </w:p>
        </w:tc>
      </w:tr>
      <w:tr w:rsidR="00256167" w:rsidTr="00036A82">
        <w:trPr>
          <w:jc w:val="center"/>
        </w:trPr>
        <w:tc>
          <w:tcPr>
            <w:tcW w:w="3969" w:type="dxa"/>
            <w:tcBorders>
              <w:top w:val="single" w:sz="6" w:space="0" w:color="auto"/>
              <w:bottom w:val="nil"/>
              <w:right w:val="single" w:sz="6" w:space="0" w:color="auto"/>
            </w:tcBorders>
          </w:tcPr>
          <w:p w:rsidR="00256167" w:rsidRDefault="00256167" w:rsidP="005B580A">
            <w:pPr>
              <w:pStyle w:val="TableText0"/>
              <w:rPr>
                <w:lang w:val="es-ES_tradnl"/>
              </w:rPr>
            </w:pPr>
            <w:r>
              <w:rPr>
                <w:lang w:val="es-ES_tradnl"/>
              </w:rPr>
              <w:t>Sin procesamiento de señal</w:t>
            </w:r>
          </w:p>
        </w:tc>
        <w:tc>
          <w:tcPr>
            <w:tcW w:w="1701" w:type="dxa"/>
            <w:tcBorders>
              <w:top w:val="single" w:sz="6" w:space="0" w:color="auto"/>
              <w:left w:val="single" w:sz="6" w:space="0" w:color="auto"/>
              <w:bottom w:val="nil"/>
              <w:right w:val="single" w:sz="6" w:space="0" w:color="auto"/>
            </w:tcBorders>
          </w:tcPr>
          <w:p w:rsidR="00256167" w:rsidRDefault="00256167" w:rsidP="005B580A">
            <w:pPr>
              <w:pStyle w:val="TableText0"/>
              <w:jc w:val="center"/>
              <w:rPr>
                <w:lang w:val="es-ES_tradnl"/>
              </w:rPr>
            </w:pPr>
            <w:r>
              <w:rPr>
                <w:lang w:val="es-ES_tradnl"/>
              </w:rPr>
              <w:t>0,201</w:t>
            </w:r>
          </w:p>
        </w:tc>
        <w:tc>
          <w:tcPr>
            <w:tcW w:w="1701" w:type="dxa"/>
            <w:tcBorders>
              <w:top w:val="single" w:sz="6" w:space="0" w:color="auto"/>
              <w:left w:val="single" w:sz="6" w:space="0" w:color="auto"/>
              <w:bottom w:val="nil"/>
              <w:right w:val="single" w:sz="6" w:space="0" w:color="auto"/>
            </w:tcBorders>
          </w:tcPr>
          <w:p w:rsidR="00256167" w:rsidRDefault="00256167" w:rsidP="005B580A">
            <w:pPr>
              <w:pStyle w:val="TableText0"/>
              <w:jc w:val="center"/>
              <w:rPr>
                <w:lang w:val="es-ES_tradnl"/>
              </w:rPr>
            </w:pPr>
            <w:r>
              <w:rPr>
                <w:lang w:val="es-ES_tradnl"/>
              </w:rPr>
              <w:t>0,212</w:t>
            </w:r>
          </w:p>
        </w:tc>
        <w:tc>
          <w:tcPr>
            <w:tcW w:w="1701" w:type="dxa"/>
            <w:tcBorders>
              <w:top w:val="single" w:sz="6" w:space="0" w:color="auto"/>
              <w:left w:val="single" w:sz="6" w:space="0" w:color="auto"/>
              <w:bottom w:val="nil"/>
            </w:tcBorders>
          </w:tcPr>
          <w:p w:rsidR="00256167" w:rsidRDefault="00256167" w:rsidP="005B580A">
            <w:pPr>
              <w:pStyle w:val="TableText0"/>
              <w:jc w:val="center"/>
              <w:rPr>
                <w:lang w:val="es-ES_tradnl"/>
              </w:rPr>
            </w:pPr>
            <w:r>
              <w:rPr>
                <w:lang w:val="es-ES_tradnl"/>
              </w:rPr>
              <w:t>0,811</w:t>
            </w:r>
          </w:p>
        </w:tc>
      </w:tr>
      <w:tr w:rsidR="00256167" w:rsidTr="00036A82">
        <w:trPr>
          <w:jc w:val="center"/>
        </w:trPr>
        <w:tc>
          <w:tcPr>
            <w:tcW w:w="3969" w:type="dxa"/>
            <w:tcBorders>
              <w:top w:val="single" w:sz="6" w:space="0" w:color="auto"/>
              <w:bottom w:val="single" w:sz="6" w:space="0" w:color="auto"/>
              <w:right w:val="single" w:sz="6" w:space="0" w:color="auto"/>
            </w:tcBorders>
          </w:tcPr>
          <w:p w:rsidR="00256167" w:rsidRDefault="00256167" w:rsidP="005B580A">
            <w:pPr>
              <w:pStyle w:val="TableText0"/>
              <w:jc w:val="left"/>
              <w:rPr>
                <w:lang w:val="es-ES_tradnl"/>
              </w:rPr>
            </w:pPr>
            <w:r>
              <w:rPr>
                <w:lang w:val="es-ES_tradnl"/>
              </w:rPr>
              <w:t>Codificación/corrección de errores y ecualizadores</w:t>
            </w:r>
          </w:p>
        </w:tc>
        <w:tc>
          <w:tcPr>
            <w:tcW w:w="1701" w:type="dxa"/>
            <w:tcBorders>
              <w:top w:val="single" w:sz="6" w:space="0" w:color="auto"/>
              <w:left w:val="single" w:sz="6" w:space="0" w:color="auto"/>
              <w:bottom w:val="single" w:sz="6" w:space="0" w:color="auto"/>
              <w:right w:val="single" w:sz="6" w:space="0" w:color="auto"/>
            </w:tcBorders>
          </w:tcPr>
          <w:p w:rsidR="00256167" w:rsidRDefault="00256167" w:rsidP="005B580A">
            <w:pPr>
              <w:pStyle w:val="TableText0"/>
              <w:jc w:val="center"/>
              <w:rPr>
                <w:lang w:val="es-ES_tradnl"/>
              </w:rPr>
            </w:pPr>
            <w:r>
              <w:rPr>
                <w:lang w:val="es-ES_tradnl"/>
              </w:rPr>
              <w:t>0,503</w:t>
            </w:r>
          </w:p>
        </w:tc>
        <w:tc>
          <w:tcPr>
            <w:tcW w:w="1701" w:type="dxa"/>
            <w:tcBorders>
              <w:top w:val="single" w:sz="6" w:space="0" w:color="auto"/>
              <w:left w:val="single" w:sz="6" w:space="0" w:color="auto"/>
              <w:bottom w:val="single" w:sz="6" w:space="0" w:color="auto"/>
              <w:right w:val="single" w:sz="6" w:space="0" w:color="auto"/>
            </w:tcBorders>
          </w:tcPr>
          <w:p w:rsidR="00256167" w:rsidRDefault="00256167" w:rsidP="005B580A">
            <w:pPr>
              <w:pStyle w:val="TableText0"/>
              <w:jc w:val="center"/>
              <w:rPr>
                <w:lang w:val="es-ES_tradnl"/>
              </w:rPr>
            </w:pPr>
            <w:r>
              <w:rPr>
                <w:lang w:val="es-ES_tradnl"/>
              </w:rPr>
              <w:t>0,441</w:t>
            </w:r>
          </w:p>
        </w:tc>
        <w:tc>
          <w:tcPr>
            <w:tcW w:w="1701" w:type="dxa"/>
            <w:tcBorders>
              <w:top w:val="single" w:sz="6" w:space="0" w:color="auto"/>
              <w:left w:val="single" w:sz="6" w:space="0" w:color="auto"/>
              <w:bottom w:val="single" w:sz="6" w:space="0" w:color="auto"/>
            </w:tcBorders>
          </w:tcPr>
          <w:p w:rsidR="00256167" w:rsidRDefault="00256167" w:rsidP="005B580A">
            <w:pPr>
              <w:pStyle w:val="TableText0"/>
              <w:jc w:val="center"/>
              <w:rPr>
                <w:lang w:val="es-ES_tradnl"/>
              </w:rPr>
            </w:pPr>
            <w:r>
              <w:rPr>
                <w:lang w:val="es-ES_tradnl"/>
              </w:rPr>
              <w:t>1,066</w:t>
            </w:r>
          </w:p>
        </w:tc>
      </w:tr>
    </w:tbl>
    <w:p w:rsidR="00256167" w:rsidRDefault="00256167" w:rsidP="00256167">
      <w:pPr>
        <w:pStyle w:val="Tablefin"/>
        <w:rPr>
          <w:lang w:val="es-ES_tradnl"/>
        </w:rPr>
      </w:pPr>
    </w:p>
    <w:p w:rsidR="00256167" w:rsidRDefault="00256167" w:rsidP="00256167">
      <w:pPr>
        <w:pStyle w:val="Heading3"/>
        <w:rPr>
          <w:lang w:val="es-ES_tradnl"/>
        </w:rPr>
      </w:pPr>
      <w:r>
        <w:rPr>
          <w:lang w:val="es-ES_tradnl"/>
        </w:rPr>
        <w:t>2.4.8</w:t>
      </w:r>
      <w:r>
        <w:rPr>
          <w:lang w:val="es-ES_tradnl"/>
        </w:rPr>
        <w:tab/>
        <w:t>Resumen</w:t>
      </w:r>
    </w:p>
    <w:p w:rsidR="00256167" w:rsidRDefault="00256167" w:rsidP="00256167">
      <w:pPr>
        <w:rPr>
          <w:lang w:val="es-ES_tradnl"/>
        </w:rPr>
      </w:pPr>
      <w:r>
        <w:rPr>
          <w:b/>
          <w:lang w:val="es-ES_tradnl"/>
        </w:rPr>
        <w:t>2.4.8.1</w:t>
      </w:r>
      <w:r>
        <w:rPr>
          <w:lang w:val="es-ES_tradnl"/>
        </w:rPr>
        <w:tab/>
        <w:t>En un sistema, el potencial de conservación del espectro es función de diversos factores de diseño, todos los cuales deben ser tenidos en cuenta en la evaluación de la EUE del sistema. No se puede decir que un sistema con una modulación particular conserva más el espectro que un sistema con otra modulación, sin considerar los otros factores de diseño, como las antenas, el procesamiento de señal, los filtros de RF, etc.</w:t>
      </w:r>
    </w:p>
    <w:p w:rsidR="00256167" w:rsidRDefault="00256167" w:rsidP="00256167">
      <w:pPr>
        <w:rPr>
          <w:lang w:val="es-ES_tradnl"/>
        </w:rPr>
      </w:pPr>
      <w:r>
        <w:rPr>
          <w:b/>
          <w:lang w:val="es-ES_tradnl"/>
        </w:rPr>
        <w:t>2.4.8.2</w:t>
      </w:r>
      <w:r>
        <w:rPr>
          <w:lang w:val="es-ES_tradnl"/>
        </w:rPr>
        <w:tab/>
        <w:t xml:space="preserve">Las modulaciones digitales de orden superior (modulaciones con eficacia de transmisión superior, bit/(s · Hz) necesitan niveles de </w:t>
      </w:r>
      <w:r>
        <w:rPr>
          <w:i/>
          <w:lang w:val="es-ES_tradnl"/>
        </w:rPr>
        <w:t>P</w:t>
      </w:r>
      <w:r>
        <w:rPr>
          <w:i/>
          <w:position w:val="-4"/>
          <w:sz w:val="16"/>
          <w:lang w:val="es-ES_tradnl"/>
        </w:rPr>
        <w:t>t</w:t>
      </w:r>
      <w:r>
        <w:rPr>
          <w:lang w:val="es-ES_tradnl"/>
        </w:rPr>
        <w:t xml:space="preserve"> superiores. Por ello, cuando se utiliza la definición de eficacia y utilización del espectro, que toma en consideración el área denegada, las modulaciones con mayor eficacia de transmisión bit/(s · Hz) pueden no ser necesariamente las que mejor conserven el espectro. Por consiguiente, la eficacia de transmisión bit/(s · Hz) de la modulación digital puede no ser suficiente como indicador de la eficacia del espectro.</w:t>
      </w:r>
    </w:p>
    <w:p w:rsidR="00256167" w:rsidRDefault="00256167" w:rsidP="00256167">
      <w:pPr>
        <w:pStyle w:val="Note"/>
        <w:rPr>
          <w:lang w:val="es-ES_tradnl"/>
        </w:rPr>
      </w:pPr>
      <w:r>
        <w:rPr>
          <w:lang w:val="es-ES_tradnl"/>
        </w:rPr>
        <w:t>NOTA 1 – Para más información, véase:</w:t>
      </w:r>
    </w:p>
    <w:p w:rsidR="00256167" w:rsidRPr="001D2A9C" w:rsidRDefault="00256167" w:rsidP="00256167">
      <w:pPr>
        <w:pStyle w:val="Reftext"/>
        <w:rPr>
          <w:lang w:val="en-US"/>
        </w:rPr>
      </w:pPr>
      <w:r w:rsidRPr="001D2A9C">
        <w:rPr>
          <w:lang w:val="en-US"/>
        </w:rPr>
        <w:t>HINKLE, R.L. y FARRAR, A.A. [mayo de 1989] Spectrum-conservation techniques for fixed microwave systems. NTIA Report TR</w:t>
      </w:r>
      <w:r w:rsidRPr="001D2A9C">
        <w:rPr>
          <w:lang w:val="en-US"/>
        </w:rPr>
        <w:noBreakHyphen/>
        <w:t xml:space="preserve">89-243. National Telecommunications and Information Administration. US Dept. of Commerce, National </w:t>
      </w:r>
      <w:r w:rsidRPr="007F0761">
        <w:rPr>
          <w:lang w:val="en-US"/>
        </w:rPr>
        <w:t>Telecommuni</w:t>
      </w:r>
      <w:r w:rsidRPr="007F0761">
        <w:rPr>
          <w:lang w:val="en-US"/>
        </w:rPr>
        <w:softHyphen/>
        <w:t>cations</w:t>
      </w:r>
      <w:r w:rsidRPr="001D2A9C">
        <w:rPr>
          <w:lang w:val="en-US"/>
        </w:rPr>
        <w:t xml:space="preserve"> and Information Administration, </w:t>
      </w:r>
      <w:proofErr w:type="spellStart"/>
      <w:r w:rsidRPr="001D2A9C">
        <w:rPr>
          <w:lang w:val="en-US"/>
        </w:rPr>
        <w:t>Estados</w:t>
      </w:r>
      <w:proofErr w:type="spellEnd"/>
      <w:r w:rsidRPr="001D2A9C">
        <w:rPr>
          <w:lang w:val="en-US"/>
        </w:rPr>
        <w:t xml:space="preserve"> </w:t>
      </w:r>
      <w:proofErr w:type="spellStart"/>
      <w:r w:rsidRPr="001D2A9C">
        <w:rPr>
          <w:lang w:val="en-US"/>
        </w:rPr>
        <w:t>Unido</w:t>
      </w:r>
      <w:r>
        <w:rPr>
          <w:lang w:val="en-US"/>
        </w:rPr>
        <w:t>s</w:t>
      </w:r>
      <w:proofErr w:type="spellEnd"/>
      <w:r w:rsidRPr="001D2A9C">
        <w:rPr>
          <w:lang w:val="en-US"/>
        </w:rPr>
        <w:t xml:space="preserve"> de </w:t>
      </w:r>
      <w:proofErr w:type="spellStart"/>
      <w:r w:rsidRPr="001D2A9C">
        <w:rPr>
          <w:lang w:val="en-US"/>
        </w:rPr>
        <w:t>América</w:t>
      </w:r>
      <w:proofErr w:type="spellEnd"/>
      <w:r w:rsidRPr="001D2A9C">
        <w:rPr>
          <w:lang w:val="en-US"/>
        </w:rPr>
        <w:t>.</w:t>
      </w:r>
    </w:p>
    <w:p w:rsidR="00256167" w:rsidRDefault="00256167" w:rsidP="00256167">
      <w:pPr>
        <w:pStyle w:val="Heading2"/>
        <w:rPr>
          <w:lang w:val="es-ES_tradnl"/>
        </w:rPr>
      </w:pPr>
      <w:r>
        <w:rPr>
          <w:lang w:val="es-ES_tradnl"/>
        </w:rPr>
        <w:t>2.5</w:t>
      </w:r>
      <w:r>
        <w:rPr>
          <w:lang w:val="es-ES_tradnl"/>
        </w:rPr>
        <w:tab/>
        <w:t>ERE de radioenlaces rurales de un solo salto</w:t>
      </w:r>
    </w:p>
    <w:p w:rsidR="00256167" w:rsidRDefault="00256167" w:rsidP="00E92013">
      <w:pPr>
        <w:rPr>
          <w:lang w:val="es-ES_tradnl"/>
        </w:rPr>
      </w:pPr>
      <w:r>
        <w:rPr>
          <w:lang w:val="es-ES_tradnl"/>
        </w:rPr>
        <w:t>Los valores de ERE de sistemas de radioenlace punto a multipunto rurales de un solo salto se</w:t>
      </w:r>
      <w:r w:rsidR="00E92013">
        <w:rPr>
          <w:lang w:val="es-ES_tradnl"/>
        </w:rPr>
        <w:t> </w:t>
      </w:r>
      <w:r>
        <w:rPr>
          <w:lang w:val="es-ES_tradnl"/>
        </w:rPr>
        <w:t>compararon con el MTES empleando diferentes tipos de modulación (véanse el §</w:t>
      </w:r>
      <w:r w:rsidR="00E92013">
        <w:rPr>
          <w:lang w:val="es-ES_tradnl"/>
        </w:rPr>
        <w:t> </w:t>
      </w:r>
      <w:r>
        <w:rPr>
          <w:lang w:val="es-ES_tradnl"/>
        </w:rPr>
        <w:t>3 y la ecuación</w:t>
      </w:r>
      <w:r w:rsidR="00E92013">
        <w:rPr>
          <w:lang w:val="es-ES_tradnl"/>
        </w:rPr>
        <w:t> </w:t>
      </w:r>
      <w:r>
        <w:rPr>
          <w:lang w:val="es-ES_tradnl"/>
        </w:rPr>
        <w:t>(4) del Anexo 1).</w:t>
      </w:r>
    </w:p>
    <w:p w:rsidR="00256167" w:rsidRDefault="00256167" w:rsidP="00256167">
      <w:pPr>
        <w:rPr>
          <w:lang w:val="es-ES_tradnl"/>
        </w:rPr>
      </w:pPr>
      <w:r>
        <w:rPr>
          <w:lang w:val="es-ES_tradnl"/>
        </w:rPr>
        <w:t>En el modelo adoptado para dicha red, cada estación central tiene un área de servicio específica dentro de la cual se comunica por enlaces radioeléctricos de sección única con cuatro estaciones locales situadas en emplazamientos rurales diferentes.</w:t>
      </w:r>
    </w:p>
    <w:p w:rsidR="00256167" w:rsidRDefault="00256167" w:rsidP="00256167">
      <w:pPr>
        <w:rPr>
          <w:lang w:val="es-ES_tradnl"/>
        </w:rPr>
      </w:pPr>
      <w:r>
        <w:rPr>
          <w:lang w:val="es-ES_tradnl"/>
        </w:rPr>
        <w:t>Se calculó la ERE de dicha red en relación con el MTES, en función de un amplio número de parámetros: la banda de frecuencias empleada, el tipo de frecuencia y la planificación del espacio de polarización de la red, la altura a la que se suspende la antena y el diámetro de la antena según diferentes tipos y parámetros de modulación (MF y modulación por impulsos codificados (MIC) con MDP-</w:t>
      </w:r>
      <w:r>
        <w:rPr>
          <w:i/>
          <w:lang w:val="es-ES_tradnl"/>
        </w:rPr>
        <w:t>M</w:t>
      </w:r>
      <w:r>
        <w:rPr>
          <w:lang w:val="es-ES_tradnl"/>
        </w:rPr>
        <w:t>-aria).</w:t>
      </w:r>
    </w:p>
    <w:p w:rsidR="00B33282" w:rsidRDefault="00B33282">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256167" w:rsidRDefault="00256167" w:rsidP="00B33282">
      <w:pPr>
        <w:rPr>
          <w:lang w:val="es-ES_tradnl"/>
        </w:rPr>
      </w:pPr>
      <w:r>
        <w:rPr>
          <w:lang w:val="es-ES_tradnl"/>
        </w:rPr>
        <w:lastRenderedPageBreak/>
        <w:t xml:space="preserve">En el Cuadro 12 se presentan los resultados de dichos cálculos con un funcionamiento de red en la banda de frecuencias de 8 GHz, una antena suspendida a 45 m, diámetros de antena, </w:t>
      </w:r>
      <w:r>
        <w:rPr>
          <w:i/>
          <w:lang w:val="es-ES_tradnl"/>
        </w:rPr>
        <w:t>D</w:t>
      </w:r>
      <w:r>
        <w:rPr>
          <w:lang w:val="es-ES_tradnl"/>
        </w:rPr>
        <w:t>, de 1,5</w:t>
      </w:r>
      <w:r w:rsidR="00B33282">
        <w:rPr>
          <w:lang w:val="es-ES_tradnl"/>
        </w:rPr>
        <w:t> </w:t>
      </w:r>
      <w:r>
        <w:rPr>
          <w:lang w:val="es-ES_tradnl"/>
        </w:rPr>
        <w:t>m a 3,0 m, explotaciones con 2 y 4 frecuencias (</w:t>
      </w:r>
      <w:r>
        <w:rPr>
          <w:i/>
          <w:lang w:val="es-ES_tradnl"/>
        </w:rPr>
        <w:t>K</w:t>
      </w:r>
      <w:r>
        <w:rPr>
          <w:b/>
          <w:lang w:val="es-ES_tradnl"/>
        </w:rPr>
        <w:t> </w:t>
      </w:r>
      <w:r>
        <w:rPr>
          <w:rFonts w:ascii="Symbol" w:hAnsi="Symbol"/>
          <w:lang w:val="es-ES_tradnl"/>
        </w:rPr>
        <w:t></w:t>
      </w:r>
      <w:r>
        <w:rPr>
          <w:lang w:val="es-ES_tradnl"/>
        </w:rPr>
        <w:t xml:space="preserve"> 2 y </w:t>
      </w:r>
      <w:r>
        <w:rPr>
          <w:i/>
          <w:lang w:val="es-ES_tradnl"/>
        </w:rPr>
        <w:t>K</w:t>
      </w:r>
      <w:r>
        <w:rPr>
          <w:b/>
          <w:lang w:val="es-ES_tradnl"/>
        </w:rPr>
        <w:t> </w:t>
      </w:r>
      <w:r>
        <w:rPr>
          <w:rFonts w:ascii="Symbol" w:hAnsi="Symbol"/>
          <w:lang w:val="es-ES_tradnl"/>
        </w:rPr>
        <w:t></w:t>
      </w:r>
      <w:r>
        <w:rPr>
          <w:lang w:val="es-ES_tradnl"/>
        </w:rPr>
        <w:t> 4, respectivamente) y dos tipos de planos de polarización, utilizando en la red un solo tipo (1</w:t>
      </w:r>
      <w:r>
        <w:rPr>
          <w:i/>
          <w:lang w:val="es-ES_tradnl"/>
        </w:rPr>
        <w:t>P</w:t>
      </w:r>
      <w:r>
        <w:rPr>
          <w:lang w:val="es-ES_tradnl"/>
        </w:rPr>
        <w:t>) y dos (2</w:t>
      </w:r>
      <w:r>
        <w:rPr>
          <w:i/>
          <w:lang w:val="es-ES_tradnl"/>
        </w:rPr>
        <w:t>P</w:t>
      </w:r>
      <w:r>
        <w:rPr>
          <w:lang w:val="es-ES_tradnl"/>
        </w:rPr>
        <w:t>) tipos de polarización. Para la MIC, se muestran los datos correspondientes a MDP-2 (</w:t>
      </w:r>
      <w:r>
        <w:rPr>
          <w:i/>
          <w:lang w:val="es-ES_tradnl"/>
        </w:rPr>
        <w:t>M</w:t>
      </w:r>
      <w:r>
        <w:rPr>
          <w:b/>
          <w:lang w:val="es-ES_tradnl"/>
        </w:rPr>
        <w:t> </w:t>
      </w:r>
      <w:r>
        <w:rPr>
          <w:rFonts w:ascii="Symbol" w:hAnsi="Symbol"/>
          <w:lang w:val="es-ES_tradnl"/>
        </w:rPr>
        <w:t></w:t>
      </w:r>
      <w:r>
        <w:rPr>
          <w:lang w:val="es-ES_tradnl"/>
        </w:rPr>
        <w:t> 2), MDP-4 (</w:t>
      </w:r>
      <w:r>
        <w:rPr>
          <w:i/>
          <w:lang w:val="es-ES_tradnl"/>
        </w:rPr>
        <w:t>M</w:t>
      </w:r>
      <w:r>
        <w:rPr>
          <w:b/>
          <w:lang w:val="es-ES_tradnl"/>
        </w:rPr>
        <w:t> </w:t>
      </w:r>
      <w:r>
        <w:rPr>
          <w:rFonts w:ascii="Symbol" w:hAnsi="Symbol"/>
          <w:lang w:val="es-ES_tradnl"/>
        </w:rPr>
        <w:t></w:t>
      </w:r>
      <w:r>
        <w:rPr>
          <w:lang w:val="es-ES_tradnl"/>
        </w:rPr>
        <w:t> 4) y a un valor (</w:t>
      </w:r>
      <w:r>
        <w:rPr>
          <w:i/>
          <w:lang w:val="es-ES_tradnl"/>
        </w:rPr>
        <w:t>M</w:t>
      </w:r>
      <w:proofErr w:type="spellStart"/>
      <w:r w:rsidRPr="001D2A9C">
        <w:rPr>
          <w:i/>
          <w:position w:val="-4"/>
          <w:sz w:val="16"/>
          <w:lang w:val="es-ES_tradnl"/>
        </w:rPr>
        <w:t>máx</w:t>
      </w:r>
      <w:proofErr w:type="spellEnd"/>
      <w:r>
        <w:rPr>
          <w:lang w:val="es-ES_tradnl"/>
        </w:rPr>
        <w:t>) que determina el valor máximo de ERE. Los guiones en el Cuadro 12 indican que en la configuración de parámetros dada, las normas de calidad características no se cumplen. Como se desprende del Cuadro 12, la utilización de MIC con MDP sólo produce un aumento de la ERE cuando las condiciones de modulación son óptimas (</w:t>
      </w:r>
      <w:r>
        <w:rPr>
          <w:i/>
          <w:lang w:val="es-ES_tradnl"/>
        </w:rPr>
        <w:t>M</w:t>
      </w:r>
      <w:proofErr w:type="spellStart"/>
      <w:r w:rsidRPr="001D2A9C">
        <w:rPr>
          <w:i/>
          <w:position w:val="-4"/>
          <w:sz w:val="16"/>
          <w:lang w:val="es-ES_tradnl"/>
        </w:rPr>
        <w:t>máx</w:t>
      </w:r>
      <w:proofErr w:type="spellEnd"/>
      <w:r w:rsidRPr="001D2A9C">
        <w:rPr>
          <w:lang w:val="es-ES_tradnl"/>
        </w:rPr>
        <w:t xml:space="preserve"> </w:t>
      </w:r>
      <w:r>
        <w:rPr>
          <w:rFonts w:ascii="Symbol" w:hAnsi="Symbol"/>
          <w:lang w:val="es-ES_tradnl"/>
        </w:rPr>
        <w:t></w:t>
      </w:r>
      <w:r>
        <w:rPr>
          <w:lang w:val="es-ES_tradnl"/>
        </w:rPr>
        <w:t xml:space="preserve"> 8) y las antenas tienen un diámetro de 3 m.</w:t>
      </w:r>
    </w:p>
    <w:p w:rsidR="00256167" w:rsidRDefault="00256167" w:rsidP="00256167">
      <w:pPr>
        <w:pStyle w:val="Note"/>
        <w:rPr>
          <w:lang w:val="es-ES_tradnl"/>
        </w:rPr>
      </w:pPr>
      <w:r>
        <w:rPr>
          <w:lang w:val="es-ES_tradnl"/>
        </w:rPr>
        <w:t>NOTA 1 – Para más información, véase el Anexo IV al Informe 662-3 (Düsseldorf, 1990).</w:t>
      </w:r>
    </w:p>
    <w:p w:rsidR="00256167" w:rsidRDefault="00256167" w:rsidP="00256167">
      <w:pPr>
        <w:pStyle w:val="Table"/>
        <w:rPr>
          <w:lang w:val="es-ES_tradnl"/>
        </w:rPr>
      </w:pPr>
      <w:r>
        <w:rPr>
          <w:lang w:val="es-ES_tradnl"/>
        </w:rPr>
        <w:t>CUADRO  12</w:t>
      </w:r>
    </w:p>
    <w:p w:rsidR="00256167" w:rsidRDefault="00256167" w:rsidP="00256167">
      <w:pPr>
        <w:pStyle w:val="TableTitle0"/>
        <w:rPr>
          <w:lang w:val="es-ES_tradnl"/>
        </w:rPr>
      </w:pPr>
      <w:r>
        <w:rPr>
          <w:lang w:val="es-ES_tradnl"/>
        </w:rPr>
        <w:t>ERE de radioenlaces rurales de un solo salto</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134"/>
        <w:gridCol w:w="1134"/>
        <w:gridCol w:w="1134"/>
        <w:gridCol w:w="1134"/>
      </w:tblGrid>
      <w:tr w:rsidR="00A1678C" w:rsidTr="00A1678C">
        <w:trPr>
          <w:jc w:val="center"/>
        </w:trPr>
        <w:tc>
          <w:tcPr>
            <w:tcW w:w="1701" w:type="dxa"/>
            <w:vMerge w:val="restart"/>
            <w:tcBorders>
              <w:top w:val="single" w:sz="6" w:space="0" w:color="auto"/>
              <w:right w:val="single" w:sz="6" w:space="0" w:color="auto"/>
            </w:tcBorders>
            <w:vAlign w:val="center"/>
          </w:tcPr>
          <w:p w:rsidR="00A1678C" w:rsidRDefault="00A1678C" w:rsidP="00B33282">
            <w:pPr>
              <w:pStyle w:val="TableText0"/>
              <w:jc w:val="center"/>
            </w:pPr>
            <w:proofErr w:type="spellStart"/>
            <w:r>
              <w:t>Modulación</w:t>
            </w:r>
            <w:proofErr w:type="spellEnd"/>
          </w:p>
        </w:tc>
        <w:tc>
          <w:tcPr>
            <w:tcW w:w="1701" w:type="dxa"/>
            <w:vMerge w:val="restart"/>
            <w:tcBorders>
              <w:top w:val="single" w:sz="6" w:space="0" w:color="auto"/>
              <w:left w:val="nil"/>
              <w:right w:val="single" w:sz="6" w:space="0" w:color="auto"/>
            </w:tcBorders>
            <w:vAlign w:val="center"/>
          </w:tcPr>
          <w:p w:rsidR="00A1678C" w:rsidRDefault="00A1678C" w:rsidP="00B33282">
            <w:pPr>
              <w:pStyle w:val="TableText0"/>
              <w:jc w:val="center"/>
            </w:pPr>
            <w:r>
              <w:t xml:space="preserve">Plan de </w:t>
            </w:r>
            <w:proofErr w:type="spellStart"/>
            <w:r>
              <w:t>frecuencias</w:t>
            </w:r>
            <w:proofErr w:type="spellEnd"/>
          </w:p>
        </w:tc>
        <w:tc>
          <w:tcPr>
            <w:tcW w:w="1701" w:type="dxa"/>
            <w:vMerge w:val="restart"/>
            <w:tcBorders>
              <w:top w:val="single" w:sz="6" w:space="0" w:color="auto"/>
              <w:left w:val="nil"/>
              <w:right w:val="nil"/>
            </w:tcBorders>
            <w:vAlign w:val="center"/>
          </w:tcPr>
          <w:p w:rsidR="00A1678C" w:rsidRDefault="00A1678C" w:rsidP="00B33282">
            <w:pPr>
              <w:pStyle w:val="TableText0"/>
              <w:jc w:val="center"/>
            </w:pPr>
            <w:proofErr w:type="spellStart"/>
            <w:r>
              <w:t>Parámetros</w:t>
            </w:r>
            <w:proofErr w:type="spellEnd"/>
            <w:r>
              <w:t xml:space="preserve"> de </w:t>
            </w:r>
            <w:proofErr w:type="spellStart"/>
            <w:r>
              <w:t>modulación</w:t>
            </w:r>
            <w:proofErr w:type="spellEnd"/>
          </w:p>
        </w:tc>
        <w:tc>
          <w:tcPr>
            <w:tcW w:w="4536" w:type="dxa"/>
            <w:gridSpan w:val="4"/>
            <w:tcBorders>
              <w:top w:val="single" w:sz="6" w:space="0" w:color="auto"/>
              <w:left w:val="single" w:sz="6" w:space="0" w:color="auto"/>
              <w:bottom w:val="single" w:sz="6" w:space="0" w:color="auto"/>
            </w:tcBorders>
          </w:tcPr>
          <w:p w:rsidR="00A1678C" w:rsidRDefault="00A1678C" w:rsidP="00A1678C">
            <w:pPr>
              <w:pStyle w:val="TableText0"/>
              <w:jc w:val="center"/>
            </w:pPr>
            <w:r>
              <w:t>ERE</w:t>
            </w:r>
          </w:p>
        </w:tc>
      </w:tr>
      <w:tr w:rsidR="00A1678C" w:rsidTr="005B580A">
        <w:trPr>
          <w:jc w:val="center"/>
        </w:trPr>
        <w:tc>
          <w:tcPr>
            <w:tcW w:w="1701" w:type="dxa"/>
            <w:vMerge/>
            <w:tcBorders>
              <w:right w:val="single" w:sz="6" w:space="0" w:color="auto"/>
            </w:tcBorders>
          </w:tcPr>
          <w:p w:rsidR="00A1678C" w:rsidRDefault="00A1678C" w:rsidP="005B580A">
            <w:pPr>
              <w:pStyle w:val="TableText0"/>
              <w:jc w:val="center"/>
            </w:pPr>
          </w:p>
        </w:tc>
        <w:tc>
          <w:tcPr>
            <w:tcW w:w="1701" w:type="dxa"/>
            <w:vMerge/>
            <w:tcBorders>
              <w:left w:val="nil"/>
              <w:right w:val="single" w:sz="6" w:space="0" w:color="auto"/>
            </w:tcBorders>
          </w:tcPr>
          <w:p w:rsidR="00A1678C" w:rsidRDefault="00A1678C" w:rsidP="005B580A">
            <w:pPr>
              <w:pStyle w:val="TableText0"/>
              <w:spacing w:before="0"/>
              <w:jc w:val="center"/>
            </w:pPr>
          </w:p>
        </w:tc>
        <w:tc>
          <w:tcPr>
            <w:tcW w:w="1701" w:type="dxa"/>
            <w:vMerge/>
            <w:tcBorders>
              <w:left w:val="nil"/>
              <w:right w:val="nil"/>
            </w:tcBorders>
          </w:tcPr>
          <w:p w:rsidR="00A1678C" w:rsidRDefault="00A1678C" w:rsidP="005B580A">
            <w:pPr>
              <w:pStyle w:val="TableText0"/>
              <w:spacing w:before="0"/>
              <w:jc w:val="center"/>
            </w:pPr>
          </w:p>
        </w:tc>
        <w:tc>
          <w:tcPr>
            <w:tcW w:w="2268" w:type="dxa"/>
            <w:gridSpan w:val="2"/>
            <w:tcBorders>
              <w:top w:val="single" w:sz="6" w:space="0" w:color="auto"/>
              <w:left w:val="single" w:sz="6" w:space="0" w:color="auto"/>
              <w:bottom w:val="single" w:sz="6" w:space="0" w:color="auto"/>
              <w:right w:val="single" w:sz="6" w:space="0" w:color="auto"/>
            </w:tcBorders>
          </w:tcPr>
          <w:p w:rsidR="00A1678C" w:rsidRDefault="00A1678C" w:rsidP="005B580A">
            <w:pPr>
              <w:pStyle w:val="TableText0"/>
              <w:jc w:val="center"/>
            </w:pPr>
            <w:r>
              <w:rPr>
                <w:i/>
              </w:rPr>
              <w:t>D</w:t>
            </w:r>
            <w:r>
              <w:t xml:space="preserve">  </w:t>
            </w:r>
            <w:r>
              <w:rPr>
                <w:rFonts w:ascii="Symbol" w:hAnsi="Symbol"/>
              </w:rPr>
              <w:t></w:t>
            </w:r>
            <w:r>
              <w:t xml:space="preserve">  1,5 m</w:t>
            </w:r>
          </w:p>
        </w:tc>
        <w:tc>
          <w:tcPr>
            <w:tcW w:w="2268" w:type="dxa"/>
            <w:gridSpan w:val="2"/>
            <w:tcBorders>
              <w:top w:val="single" w:sz="6" w:space="0" w:color="auto"/>
              <w:left w:val="single" w:sz="6" w:space="0" w:color="auto"/>
              <w:bottom w:val="single" w:sz="6" w:space="0" w:color="auto"/>
            </w:tcBorders>
          </w:tcPr>
          <w:p w:rsidR="00A1678C" w:rsidRDefault="00A1678C" w:rsidP="005B580A">
            <w:pPr>
              <w:pStyle w:val="TableText0"/>
              <w:jc w:val="center"/>
            </w:pPr>
            <w:r>
              <w:rPr>
                <w:i/>
              </w:rPr>
              <w:t>D</w:t>
            </w:r>
            <w:r>
              <w:t xml:space="preserve">  </w:t>
            </w:r>
            <w:r>
              <w:rPr>
                <w:rFonts w:ascii="Symbol" w:hAnsi="Symbol"/>
              </w:rPr>
              <w:t></w:t>
            </w:r>
            <w:r>
              <w:t xml:space="preserve">  3,0 m</w:t>
            </w:r>
          </w:p>
        </w:tc>
      </w:tr>
      <w:tr w:rsidR="00A1678C" w:rsidTr="005B580A">
        <w:trPr>
          <w:jc w:val="center"/>
        </w:trPr>
        <w:tc>
          <w:tcPr>
            <w:tcW w:w="1701" w:type="dxa"/>
            <w:vMerge/>
            <w:tcBorders>
              <w:bottom w:val="nil"/>
              <w:right w:val="single" w:sz="6" w:space="0" w:color="auto"/>
            </w:tcBorders>
          </w:tcPr>
          <w:p w:rsidR="00A1678C" w:rsidRDefault="00A1678C" w:rsidP="005B580A">
            <w:pPr>
              <w:pStyle w:val="TableText0"/>
              <w:jc w:val="center"/>
              <w:rPr>
                <w:lang w:val="es-ES_tradnl"/>
              </w:rPr>
            </w:pPr>
          </w:p>
        </w:tc>
        <w:tc>
          <w:tcPr>
            <w:tcW w:w="1701" w:type="dxa"/>
            <w:vMerge/>
            <w:tcBorders>
              <w:left w:val="nil"/>
              <w:bottom w:val="nil"/>
              <w:right w:val="single" w:sz="6" w:space="0" w:color="auto"/>
            </w:tcBorders>
          </w:tcPr>
          <w:p w:rsidR="00A1678C" w:rsidRDefault="00A1678C" w:rsidP="005B580A">
            <w:pPr>
              <w:pStyle w:val="TableText0"/>
              <w:jc w:val="center"/>
              <w:rPr>
                <w:lang w:val="es-ES_tradnl"/>
              </w:rPr>
            </w:pPr>
          </w:p>
        </w:tc>
        <w:tc>
          <w:tcPr>
            <w:tcW w:w="1701" w:type="dxa"/>
            <w:vMerge/>
            <w:tcBorders>
              <w:left w:val="nil"/>
              <w:bottom w:val="nil"/>
              <w:right w:val="nil"/>
            </w:tcBorders>
          </w:tcPr>
          <w:p w:rsidR="00A1678C" w:rsidRDefault="00A1678C" w:rsidP="005B580A">
            <w:pPr>
              <w:pStyle w:val="TableText0"/>
              <w:jc w:val="center"/>
              <w:rPr>
                <w:lang w:val="es-ES_tradnl"/>
              </w:rPr>
            </w:pPr>
          </w:p>
        </w:tc>
        <w:tc>
          <w:tcPr>
            <w:tcW w:w="1134"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1P</w:t>
            </w:r>
          </w:p>
        </w:tc>
        <w:tc>
          <w:tcPr>
            <w:tcW w:w="1134"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2P</w:t>
            </w:r>
          </w:p>
        </w:tc>
        <w:tc>
          <w:tcPr>
            <w:tcW w:w="1134" w:type="dxa"/>
            <w:tcBorders>
              <w:top w:val="single" w:sz="6" w:space="0" w:color="auto"/>
              <w:left w:val="single" w:sz="6" w:space="0" w:color="auto"/>
              <w:bottom w:val="nil"/>
              <w:right w:val="single" w:sz="6" w:space="0" w:color="auto"/>
            </w:tcBorders>
          </w:tcPr>
          <w:p w:rsidR="00A1678C" w:rsidRDefault="00A1678C" w:rsidP="005B580A">
            <w:pPr>
              <w:pStyle w:val="TableText0"/>
              <w:jc w:val="center"/>
              <w:rPr>
                <w:lang w:val="es-ES_tradnl"/>
              </w:rPr>
            </w:pPr>
            <w:r>
              <w:rPr>
                <w:lang w:val="es-ES_tradnl"/>
              </w:rPr>
              <w:t>1P</w:t>
            </w:r>
          </w:p>
        </w:tc>
        <w:tc>
          <w:tcPr>
            <w:tcW w:w="1134" w:type="dxa"/>
            <w:tcBorders>
              <w:top w:val="single" w:sz="6" w:space="0" w:color="auto"/>
              <w:left w:val="single" w:sz="6" w:space="0" w:color="auto"/>
              <w:bottom w:val="nil"/>
            </w:tcBorders>
          </w:tcPr>
          <w:p w:rsidR="00A1678C" w:rsidRDefault="00A1678C" w:rsidP="005B580A">
            <w:pPr>
              <w:pStyle w:val="TableText0"/>
              <w:jc w:val="center"/>
              <w:rPr>
                <w:lang w:val="es-ES_tradnl"/>
              </w:rPr>
            </w:pPr>
            <w:r>
              <w:rPr>
                <w:lang w:val="es-ES_tradnl"/>
              </w:rPr>
              <w:t>2P</w:t>
            </w:r>
          </w:p>
        </w:tc>
      </w:tr>
      <w:tr w:rsidR="00A1678C" w:rsidTr="00A1678C">
        <w:trPr>
          <w:jc w:val="center"/>
        </w:trPr>
        <w:tc>
          <w:tcPr>
            <w:tcW w:w="1701" w:type="dxa"/>
            <w:vMerge w:val="restart"/>
            <w:tcBorders>
              <w:top w:val="single" w:sz="6" w:space="0" w:color="auto"/>
              <w:right w:val="single" w:sz="6" w:space="0" w:color="auto"/>
            </w:tcBorders>
            <w:vAlign w:val="center"/>
          </w:tcPr>
          <w:p w:rsidR="00A1678C" w:rsidRDefault="00A1678C" w:rsidP="00B33282">
            <w:pPr>
              <w:pStyle w:val="TableText0"/>
              <w:spacing w:before="80" w:after="80"/>
              <w:jc w:val="center"/>
              <w:rPr>
                <w:lang w:val="es-ES_tradnl"/>
              </w:rPr>
            </w:pPr>
            <w:r>
              <w:rPr>
                <w:lang w:val="es-ES_tradnl"/>
              </w:rPr>
              <w:t>MF</w:t>
            </w: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spacing w:before="80" w:after="80"/>
              <w:jc w:val="center"/>
              <w:rPr>
                <w:lang w:val="es-ES_tradnl"/>
              </w:rPr>
            </w:pPr>
            <w:r>
              <w:rPr>
                <w:i/>
                <w:lang w:val="es-ES_tradnl"/>
              </w:rPr>
              <w:t>K</w:t>
            </w:r>
            <w:r>
              <w:rPr>
                <w:lang w:val="es-ES_tradnl"/>
              </w:rPr>
              <w:t xml:space="preserve">  </w:t>
            </w:r>
            <w:r>
              <w:rPr>
                <w:rFonts w:ascii="Symbol" w:hAnsi="Symbol"/>
                <w:lang w:val="es-ES_tradnl"/>
              </w:rPr>
              <w:t></w:t>
            </w:r>
            <w:r>
              <w:rPr>
                <w:lang w:val="es-ES_tradnl"/>
              </w:rPr>
              <w:t xml:space="preserve">  2</w:t>
            </w: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spacing w:before="80" w:after="80"/>
              <w:jc w:val="center"/>
              <w:rPr>
                <w:lang w:val="es-ES_tradnl"/>
              </w:rPr>
            </w:pPr>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0,27</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0,3</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0,285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0,285</w:t>
            </w:r>
          </w:p>
        </w:tc>
      </w:tr>
      <w:tr w:rsidR="00A1678C" w:rsidTr="005B580A">
        <w:trPr>
          <w:jc w:val="center"/>
        </w:trPr>
        <w:tc>
          <w:tcPr>
            <w:tcW w:w="1701" w:type="dxa"/>
            <w:vMerge/>
            <w:tcBorders>
              <w:bottom w:val="single" w:sz="6" w:space="0" w:color="auto"/>
              <w:right w:val="single" w:sz="6" w:space="0" w:color="auto"/>
            </w:tcBorders>
          </w:tcPr>
          <w:p w:rsidR="00A1678C" w:rsidRDefault="00A1678C" w:rsidP="00B33282">
            <w:pPr>
              <w:pStyle w:val="TableText0"/>
              <w:spacing w:before="80" w:after="80"/>
              <w:jc w:val="center"/>
              <w:rPr>
                <w:lang w:val="es-ES_tradnl"/>
              </w:rPr>
            </w:pP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spacing w:before="80" w:after="80"/>
              <w:jc w:val="center"/>
              <w:rPr>
                <w:lang w:val="es-ES_tradnl"/>
              </w:rPr>
            </w:pPr>
            <w:r>
              <w:rPr>
                <w:i/>
                <w:lang w:val="es-ES_tradnl"/>
              </w:rPr>
              <w:t>K</w:t>
            </w:r>
            <w:r>
              <w:rPr>
                <w:lang w:val="es-ES_tradnl"/>
              </w:rPr>
              <w:t xml:space="preserve"> </w:t>
            </w:r>
            <w:r>
              <w:t xml:space="preserve"> </w:t>
            </w:r>
            <w:r>
              <w:rPr>
                <w:rFonts w:ascii="Symbol" w:hAnsi="Symbol"/>
                <w:lang w:val="es-ES_tradnl"/>
              </w:rPr>
              <w:t></w:t>
            </w:r>
            <w:r>
              <w:rPr>
                <w:lang w:val="es-ES_tradnl"/>
              </w:rPr>
              <w:t xml:space="preserve">  4</w:t>
            </w:r>
          </w:p>
        </w:tc>
        <w:tc>
          <w:tcPr>
            <w:tcW w:w="1701" w:type="dxa"/>
            <w:tcBorders>
              <w:top w:val="single" w:sz="6" w:space="0" w:color="auto"/>
              <w:left w:val="nil"/>
              <w:bottom w:val="nil"/>
              <w:right w:val="single" w:sz="6" w:space="0" w:color="auto"/>
            </w:tcBorders>
          </w:tcPr>
          <w:p w:rsidR="00A1678C" w:rsidRDefault="00A1678C" w:rsidP="00B33282">
            <w:pPr>
              <w:pStyle w:val="TableText0"/>
              <w:spacing w:before="80" w:after="80"/>
              <w:jc w:val="center"/>
              <w:rPr>
                <w:lang w:val="es-ES_tradnl"/>
              </w:rPr>
            </w:pPr>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0,25</w:t>
            </w:r>
          </w:p>
        </w:tc>
      </w:tr>
      <w:tr w:rsidR="00A1678C" w:rsidTr="00A1678C">
        <w:trPr>
          <w:jc w:val="center"/>
        </w:trPr>
        <w:tc>
          <w:tcPr>
            <w:tcW w:w="1701" w:type="dxa"/>
            <w:vMerge w:val="restart"/>
            <w:tcBorders>
              <w:top w:val="nil"/>
              <w:right w:val="single" w:sz="6" w:space="0" w:color="auto"/>
            </w:tcBorders>
            <w:vAlign w:val="center"/>
          </w:tcPr>
          <w:p w:rsidR="00A1678C" w:rsidRDefault="00A1678C" w:rsidP="00B33282">
            <w:pPr>
              <w:pStyle w:val="TableText0"/>
              <w:spacing w:before="80" w:after="80"/>
              <w:jc w:val="center"/>
              <w:rPr>
                <w:lang w:val="es-ES_tradnl"/>
              </w:rPr>
            </w:pPr>
            <w:r>
              <w:rPr>
                <w:lang w:val="es-ES_tradnl"/>
              </w:rPr>
              <w:t>MIC</w:t>
            </w:r>
          </w:p>
        </w:tc>
        <w:tc>
          <w:tcPr>
            <w:tcW w:w="1701" w:type="dxa"/>
            <w:vMerge w:val="restart"/>
            <w:tcBorders>
              <w:top w:val="nil"/>
              <w:left w:val="nil"/>
              <w:right w:val="single" w:sz="6" w:space="0" w:color="auto"/>
            </w:tcBorders>
            <w:vAlign w:val="center"/>
          </w:tcPr>
          <w:p w:rsidR="00A1678C" w:rsidRDefault="00A1678C" w:rsidP="00B33282">
            <w:pPr>
              <w:pStyle w:val="TableText0"/>
              <w:spacing w:before="80" w:after="80"/>
              <w:jc w:val="center"/>
              <w:rPr>
                <w:lang w:val="es-ES_tradnl"/>
              </w:rPr>
            </w:pPr>
            <w:r>
              <w:rPr>
                <w:i/>
                <w:lang w:val="es-ES_tradnl"/>
              </w:rPr>
              <w:t>K</w:t>
            </w:r>
            <w:r>
              <w:rPr>
                <w:lang w:val="es-ES_tradnl"/>
              </w:rPr>
              <w:t xml:space="preserve"> </w:t>
            </w:r>
            <w:r>
              <w:t xml:space="preserve"> </w:t>
            </w:r>
            <w:r>
              <w:rPr>
                <w:rFonts w:ascii="Symbol" w:hAnsi="Symbol"/>
                <w:lang w:val="es-ES_tradnl"/>
              </w:rPr>
              <w:t></w:t>
            </w:r>
            <w:r>
              <w:rPr>
                <w:lang w:val="es-ES_tradnl"/>
              </w:rPr>
              <w:t xml:space="preserve">  2</w:t>
            </w: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539"/>
              </w:tabs>
              <w:spacing w:before="80" w:after="80"/>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2</w:t>
            </w:r>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0,055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0,049</w:t>
            </w:r>
          </w:p>
        </w:tc>
      </w:tr>
      <w:tr w:rsidR="00A1678C" w:rsidTr="005B580A">
        <w:trPr>
          <w:jc w:val="center"/>
        </w:trPr>
        <w:tc>
          <w:tcPr>
            <w:tcW w:w="1701" w:type="dxa"/>
            <w:vMerge/>
            <w:tcBorders>
              <w:right w:val="single" w:sz="6" w:space="0" w:color="auto"/>
            </w:tcBorders>
          </w:tcPr>
          <w:p w:rsidR="00A1678C" w:rsidRDefault="00A1678C" w:rsidP="00B33282">
            <w:pPr>
              <w:pStyle w:val="TableText0"/>
              <w:spacing w:before="80" w:after="80"/>
              <w:jc w:val="center"/>
              <w:rPr>
                <w:lang w:val="es-ES_tradnl"/>
              </w:rPr>
            </w:pPr>
          </w:p>
        </w:tc>
        <w:tc>
          <w:tcPr>
            <w:tcW w:w="1701" w:type="dxa"/>
            <w:vMerge/>
            <w:tcBorders>
              <w:left w:val="nil"/>
              <w:right w:val="single" w:sz="6" w:space="0" w:color="auto"/>
            </w:tcBorders>
          </w:tcPr>
          <w:p w:rsidR="00A1678C" w:rsidRDefault="00A1678C" w:rsidP="00B33282">
            <w:pPr>
              <w:pStyle w:val="TableText0"/>
              <w:spacing w:before="80" w:after="80"/>
              <w:jc w:val="center"/>
              <w:rPr>
                <w:lang w:val="es-ES_tradnl"/>
              </w:rPr>
            </w:pP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539"/>
              </w:tabs>
              <w:spacing w:before="80" w:after="80"/>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4</w:t>
            </w:r>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r>
      <w:tr w:rsidR="00A1678C" w:rsidTr="005B580A">
        <w:trPr>
          <w:jc w:val="center"/>
        </w:trPr>
        <w:tc>
          <w:tcPr>
            <w:tcW w:w="1701" w:type="dxa"/>
            <w:vMerge/>
            <w:tcBorders>
              <w:right w:val="single" w:sz="6" w:space="0" w:color="auto"/>
            </w:tcBorders>
          </w:tcPr>
          <w:p w:rsidR="00A1678C" w:rsidRDefault="00A1678C" w:rsidP="00B33282">
            <w:pPr>
              <w:pStyle w:val="TableText0"/>
              <w:spacing w:before="80" w:after="80"/>
              <w:jc w:val="center"/>
              <w:rPr>
                <w:lang w:val="es-ES_tradnl"/>
              </w:rPr>
            </w:pPr>
          </w:p>
        </w:tc>
        <w:tc>
          <w:tcPr>
            <w:tcW w:w="1701" w:type="dxa"/>
            <w:vMerge/>
            <w:tcBorders>
              <w:left w:val="nil"/>
              <w:bottom w:val="single" w:sz="6" w:space="0" w:color="auto"/>
              <w:right w:val="single" w:sz="6" w:space="0" w:color="auto"/>
            </w:tcBorders>
          </w:tcPr>
          <w:p w:rsidR="00A1678C" w:rsidRDefault="00A1678C" w:rsidP="00B33282">
            <w:pPr>
              <w:pStyle w:val="TableText0"/>
              <w:spacing w:before="80" w:after="80"/>
              <w:jc w:val="center"/>
              <w:rPr>
                <w:lang w:val="es-ES_tradnl"/>
              </w:rPr>
            </w:pP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539"/>
              </w:tabs>
              <w:spacing w:before="80" w:after="80"/>
              <w:jc w:val="left"/>
              <w:rPr>
                <w:lang w:val="es-ES_tradnl"/>
              </w:rPr>
            </w:pPr>
            <w:r>
              <w:rPr>
                <w:i/>
                <w:lang w:val="es-ES_tradnl"/>
              </w:rPr>
              <w:tab/>
              <w:t>M</w:t>
            </w:r>
            <w:proofErr w:type="spellStart"/>
            <w:r>
              <w:rPr>
                <w:i/>
                <w:position w:val="-4"/>
                <w:sz w:val="14"/>
              </w:rPr>
              <w:t>máx</w:t>
            </w:r>
            <w:proofErr w:type="spellEnd"/>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0,055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0,055</w:t>
            </w:r>
          </w:p>
        </w:tc>
      </w:tr>
      <w:tr w:rsidR="00A1678C" w:rsidTr="00A1678C">
        <w:trPr>
          <w:jc w:val="center"/>
        </w:trPr>
        <w:tc>
          <w:tcPr>
            <w:tcW w:w="1701" w:type="dxa"/>
            <w:vMerge/>
            <w:tcBorders>
              <w:right w:val="single" w:sz="6" w:space="0" w:color="auto"/>
            </w:tcBorders>
          </w:tcPr>
          <w:p w:rsidR="00A1678C" w:rsidRDefault="00A1678C" w:rsidP="00B33282">
            <w:pPr>
              <w:pStyle w:val="TableText0"/>
              <w:spacing w:before="80" w:after="80"/>
              <w:jc w:val="center"/>
              <w:rPr>
                <w:lang w:val="es-ES_tradnl"/>
              </w:rPr>
            </w:pPr>
          </w:p>
        </w:tc>
        <w:tc>
          <w:tcPr>
            <w:tcW w:w="1701" w:type="dxa"/>
            <w:vMerge w:val="restart"/>
            <w:tcBorders>
              <w:top w:val="nil"/>
              <w:left w:val="nil"/>
              <w:right w:val="single" w:sz="6" w:space="0" w:color="auto"/>
            </w:tcBorders>
            <w:vAlign w:val="center"/>
          </w:tcPr>
          <w:p w:rsidR="00A1678C" w:rsidRDefault="00A1678C" w:rsidP="00B33282">
            <w:pPr>
              <w:pStyle w:val="TableText0"/>
              <w:spacing w:before="80" w:after="80"/>
              <w:jc w:val="center"/>
              <w:rPr>
                <w:lang w:val="es-ES_tradnl"/>
              </w:rPr>
            </w:pPr>
            <w:r>
              <w:rPr>
                <w:i/>
                <w:lang w:val="es-ES_tradnl"/>
              </w:rPr>
              <w:t>K</w:t>
            </w:r>
            <w:r>
              <w:rPr>
                <w:lang w:val="es-ES_tradnl"/>
              </w:rPr>
              <w:t xml:space="preserve"> </w:t>
            </w:r>
            <w:r>
              <w:t xml:space="preserve"> </w:t>
            </w:r>
            <w:r>
              <w:rPr>
                <w:rFonts w:ascii="Symbol" w:hAnsi="Symbol"/>
                <w:lang w:val="es-ES_tradnl"/>
              </w:rPr>
              <w:t></w:t>
            </w:r>
            <w:r>
              <w:rPr>
                <w:lang w:val="es-ES_tradnl"/>
              </w:rPr>
              <w:t xml:space="preserve">  4</w:t>
            </w: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539"/>
              </w:tabs>
              <w:spacing w:before="80" w:after="80"/>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2</w:t>
            </w:r>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0,125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0,0625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0,0625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0,0625</w:t>
            </w:r>
          </w:p>
        </w:tc>
      </w:tr>
      <w:tr w:rsidR="00A1678C" w:rsidTr="005B580A">
        <w:trPr>
          <w:jc w:val="center"/>
        </w:trPr>
        <w:tc>
          <w:tcPr>
            <w:tcW w:w="1701" w:type="dxa"/>
            <w:vMerge/>
            <w:tcBorders>
              <w:right w:val="single" w:sz="6" w:space="0" w:color="auto"/>
            </w:tcBorders>
          </w:tcPr>
          <w:p w:rsidR="00A1678C" w:rsidRDefault="00A1678C" w:rsidP="00B33282">
            <w:pPr>
              <w:pStyle w:val="TableText0"/>
              <w:spacing w:before="80" w:after="80"/>
              <w:jc w:val="center"/>
              <w:rPr>
                <w:lang w:val="es-ES_tradnl"/>
              </w:rPr>
            </w:pPr>
          </w:p>
        </w:tc>
        <w:tc>
          <w:tcPr>
            <w:tcW w:w="1701" w:type="dxa"/>
            <w:vMerge/>
            <w:tcBorders>
              <w:left w:val="nil"/>
              <w:right w:val="single" w:sz="6" w:space="0" w:color="auto"/>
            </w:tcBorders>
          </w:tcPr>
          <w:p w:rsidR="00A1678C" w:rsidRDefault="00A1678C" w:rsidP="00B33282">
            <w:pPr>
              <w:pStyle w:val="TableText0"/>
              <w:spacing w:before="80" w:after="80"/>
              <w:jc w:val="center"/>
              <w:rPr>
                <w:lang w:val="es-ES_tradnl"/>
              </w:rPr>
            </w:pP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539"/>
              </w:tabs>
              <w:spacing w:before="80" w:after="80"/>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4</w:t>
            </w:r>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0,125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0,125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0,125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0,125</w:t>
            </w:r>
          </w:p>
        </w:tc>
      </w:tr>
      <w:tr w:rsidR="00A1678C" w:rsidTr="005B580A">
        <w:trPr>
          <w:jc w:val="center"/>
        </w:trPr>
        <w:tc>
          <w:tcPr>
            <w:tcW w:w="1701" w:type="dxa"/>
            <w:vMerge/>
            <w:tcBorders>
              <w:bottom w:val="single" w:sz="6" w:space="0" w:color="auto"/>
              <w:right w:val="single" w:sz="6" w:space="0" w:color="auto"/>
            </w:tcBorders>
          </w:tcPr>
          <w:p w:rsidR="00A1678C" w:rsidRDefault="00A1678C" w:rsidP="00B33282">
            <w:pPr>
              <w:pStyle w:val="TableText0"/>
              <w:spacing w:before="80" w:after="80"/>
              <w:jc w:val="center"/>
              <w:rPr>
                <w:lang w:val="es-ES_tradnl"/>
              </w:rPr>
            </w:pPr>
          </w:p>
        </w:tc>
        <w:tc>
          <w:tcPr>
            <w:tcW w:w="1701" w:type="dxa"/>
            <w:vMerge/>
            <w:tcBorders>
              <w:left w:val="nil"/>
              <w:bottom w:val="single" w:sz="6" w:space="0" w:color="auto"/>
              <w:right w:val="single" w:sz="6" w:space="0" w:color="auto"/>
            </w:tcBorders>
          </w:tcPr>
          <w:p w:rsidR="00A1678C" w:rsidRDefault="00A1678C" w:rsidP="00B33282">
            <w:pPr>
              <w:pStyle w:val="TableText0"/>
              <w:spacing w:before="80" w:after="80"/>
              <w:jc w:val="center"/>
              <w:rPr>
                <w:lang w:val="es-ES_tradnl"/>
              </w:rPr>
            </w:pPr>
          </w:p>
        </w:tc>
        <w:tc>
          <w:tcPr>
            <w:tcW w:w="1701"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539"/>
              </w:tabs>
              <w:spacing w:before="80" w:after="80"/>
              <w:jc w:val="left"/>
              <w:rPr>
                <w:lang w:val="es-ES_tradnl"/>
              </w:rPr>
            </w:pPr>
            <w:r>
              <w:rPr>
                <w:i/>
                <w:lang w:val="es-ES_tradnl"/>
              </w:rPr>
              <w:tab/>
              <w:t>M</w:t>
            </w:r>
            <w:proofErr w:type="spellStart"/>
            <w:r>
              <w:rPr>
                <w:i/>
                <w:position w:val="-4"/>
                <w:sz w:val="14"/>
              </w:rPr>
              <w:t>máx</w:t>
            </w:r>
            <w:proofErr w:type="spellEnd"/>
          </w:p>
        </w:tc>
        <w:tc>
          <w:tcPr>
            <w:tcW w:w="1134" w:type="dxa"/>
            <w:tcBorders>
              <w:top w:val="single" w:sz="6" w:space="0" w:color="auto"/>
              <w:left w:val="nil"/>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0,25</w:t>
            </w:r>
          </w:p>
        </w:tc>
        <w:tc>
          <w:tcPr>
            <w:tcW w:w="1134" w:type="dxa"/>
            <w:tcBorders>
              <w:top w:val="single" w:sz="6" w:space="0" w:color="auto"/>
              <w:left w:val="single" w:sz="6" w:space="0" w:color="auto"/>
              <w:bottom w:val="single" w:sz="6" w:space="0" w:color="auto"/>
              <w:right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0,25</w:t>
            </w:r>
          </w:p>
        </w:tc>
        <w:tc>
          <w:tcPr>
            <w:tcW w:w="1134" w:type="dxa"/>
            <w:tcBorders>
              <w:top w:val="single" w:sz="6" w:space="0" w:color="auto"/>
              <w:left w:val="single" w:sz="6" w:space="0" w:color="auto"/>
              <w:bottom w:val="single" w:sz="6" w:space="0" w:color="auto"/>
            </w:tcBorders>
          </w:tcPr>
          <w:p w:rsidR="00A1678C" w:rsidRDefault="00A1678C" w:rsidP="00B33282">
            <w:pPr>
              <w:pStyle w:val="TableText0"/>
              <w:tabs>
                <w:tab w:val="clear" w:pos="794"/>
                <w:tab w:val="clear" w:pos="1191"/>
                <w:tab w:val="clear" w:pos="1588"/>
                <w:tab w:val="clear" w:pos="1985"/>
                <w:tab w:val="left" w:pos="284"/>
              </w:tabs>
              <w:spacing w:before="80" w:after="80"/>
              <w:jc w:val="left"/>
              <w:rPr>
                <w:lang w:val="es-ES_tradnl"/>
              </w:rPr>
            </w:pPr>
            <w:r>
              <w:rPr>
                <w:lang w:val="es-ES_tradnl"/>
              </w:rPr>
              <w:tab/>
              <w:t>0,5</w:t>
            </w:r>
          </w:p>
        </w:tc>
      </w:tr>
    </w:tbl>
    <w:p w:rsidR="00256167" w:rsidRDefault="00256167" w:rsidP="00256167">
      <w:pPr>
        <w:pStyle w:val="Tablefin"/>
        <w:rPr>
          <w:lang w:val="es-ES_tradnl"/>
        </w:rPr>
      </w:pPr>
    </w:p>
    <w:p w:rsidR="00256167" w:rsidRPr="00BB5F17" w:rsidRDefault="00256167" w:rsidP="00256167">
      <w:pPr>
        <w:pStyle w:val="Heading2"/>
        <w:rPr>
          <w:lang w:val="es-ES"/>
        </w:rPr>
      </w:pPr>
      <w:r w:rsidRPr="00BB5F17">
        <w:rPr>
          <w:lang w:val="es-ES"/>
        </w:rPr>
        <w:t>2.6</w:t>
      </w:r>
      <w:r w:rsidRPr="00BB5F17">
        <w:rPr>
          <w:lang w:val="es-ES"/>
        </w:rPr>
        <w:tab/>
        <w:t>Utilización del espectro por los sistemas punto a punto</w:t>
      </w:r>
      <w:r>
        <w:rPr>
          <w:lang w:val="es-ES"/>
        </w:rPr>
        <w:t xml:space="preserve"> (P-P)</w:t>
      </w:r>
    </w:p>
    <w:p w:rsidR="00256167" w:rsidRPr="00BB5F17" w:rsidRDefault="00256167" w:rsidP="00256167">
      <w:pPr>
        <w:pStyle w:val="Heading3"/>
        <w:rPr>
          <w:lang w:val="es-ES"/>
        </w:rPr>
      </w:pPr>
      <w:r w:rsidRPr="00BB5F17">
        <w:rPr>
          <w:lang w:val="es-ES"/>
        </w:rPr>
        <w:t>2.6.1</w:t>
      </w:r>
      <w:r w:rsidRPr="00BB5F17">
        <w:rPr>
          <w:lang w:val="es-ES"/>
        </w:rPr>
        <w:tab/>
        <w:t>Introducción</w:t>
      </w:r>
    </w:p>
    <w:p w:rsidR="00256167" w:rsidRPr="00BB5F17" w:rsidRDefault="00256167" w:rsidP="00256167">
      <w:pPr>
        <w:rPr>
          <w:lang w:val="es-ES"/>
        </w:rPr>
      </w:pPr>
      <w:r w:rsidRPr="00BB5F17">
        <w:rPr>
          <w:lang w:val="es-ES"/>
        </w:rPr>
        <w:t>Para el caso general, la eficiencia de utilización del espectro para un sistema punto a punto viene dada por el parámetro complejo:</w:t>
      </w:r>
    </w:p>
    <w:p w:rsidR="00256167" w:rsidRPr="00BB5F17" w:rsidRDefault="00256167" w:rsidP="00256167">
      <w:pPr>
        <w:pStyle w:val="Equation"/>
        <w:rPr>
          <w:lang w:val="es-ES"/>
        </w:rPr>
      </w:pPr>
      <w:r w:rsidRPr="00BB5F17">
        <w:rPr>
          <w:lang w:val="es-ES"/>
        </w:rPr>
        <w:tab/>
      </w:r>
      <w:r w:rsidRPr="00BB5F17">
        <w:rPr>
          <w:lang w:val="es-ES"/>
        </w:rPr>
        <w:tab/>
      </w:r>
      <w:r w:rsidRPr="00BB5F17">
        <w:rPr>
          <w:position w:val="-10"/>
          <w:lang w:val="es-ES"/>
        </w:rPr>
        <w:object w:dxaOrig="1460" w:dyaOrig="340">
          <v:shape id="_x0000_i1060" type="#_x0000_t75" style="width:72.6pt;height:17.4pt" o:ole="">
            <v:imagedata r:id="rId88" o:title=""/>
          </v:shape>
          <o:OLEObject Type="Embed" ProgID="Equation.3" ShapeID="_x0000_i1060" DrawAspect="Content" ObjectID="_1376823634" r:id="rId89"/>
        </w:object>
      </w:r>
      <w:r w:rsidRPr="00BB5F17">
        <w:rPr>
          <w:lang w:val="es-ES"/>
        </w:rPr>
        <w:tab/>
        <w:t>(30)</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lang w:val="es-ES"/>
        </w:rPr>
      </w:pPr>
      <w:r w:rsidRPr="00BB5F17">
        <w:rPr>
          <w:lang w:val="es-ES"/>
        </w:rPr>
        <w:tab/>
      </w:r>
      <w:r w:rsidRPr="00BB5F17">
        <w:rPr>
          <w:i/>
          <w:lang w:val="es-ES"/>
        </w:rPr>
        <w:t>M</w:t>
      </w:r>
      <w:r w:rsidRPr="00BB5F17">
        <w:rPr>
          <w:iCs/>
          <w:lang w:val="es-ES"/>
        </w:rPr>
        <w:t>:</w:t>
      </w:r>
      <w:r w:rsidRPr="00BB5F17">
        <w:rPr>
          <w:lang w:val="es-ES"/>
        </w:rPr>
        <w:tab/>
        <w:t xml:space="preserve">efecto útil obtenido con el sistema </w:t>
      </w:r>
      <w:r>
        <w:rPr>
          <w:lang w:val="es-ES"/>
        </w:rPr>
        <w:t>P-P</w:t>
      </w:r>
      <w:r w:rsidRPr="00BB5F17">
        <w:rPr>
          <w:lang w:val="es-ES"/>
        </w:rPr>
        <w:t xml:space="preserve"> considerado; y</w:t>
      </w:r>
    </w:p>
    <w:p w:rsidR="00256167" w:rsidRPr="00BB5F17" w:rsidRDefault="00256167" w:rsidP="00256167">
      <w:pPr>
        <w:pStyle w:val="Equationlegend"/>
        <w:rPr>
          <w:lang w:val="es-ES"/>
        </w:rPr>
      </w:pPr>
      <w:r w:rsidRPr="00BB5F17">
        <w:rPr>
          <w:lang w:val="es-ES"/>
        </w:rPr>
        <w:tab/>
      </w:r>
      <w:r w:rsidRPr="00BB5F17">
        <w:rPr>
          <w:i/>
          <w:lang w:val="es-ES"/>
        </w:rPr>
        <w:t>U</w:t>
      </w:r>
      <w:r w:rsidRPr="00BB5F17">
        <w:rPr>
          <w:iCs/>
          <w:lang w:val="es-ES"/>
        </w:rPr>
        <w:t>:</w:t>
      </w:r>
      <w:r w:rsidRPr="00BB5F17">
        <w:rPr>
          <w:lang w:val="es-ES"/>
        </w:rPr>
        <w:tab/>
        <w:t>factor de utilización del espectro para ese sistema.</w:t>
      </w:r>
    </w:p>
    <w:p w:rsidR="00256167" w:rsidRPr="00BB5F17" w:rsidRDefault="00256167" w:rsidP="00256167">
      <w:pPr>
        <w:pStyle w:val="Heading3"/>
        <w:rPr>
          <w:lang w:val="es-ES"/>
        </w:rPr>
      </w:pPr>
      <w:r w:rsidRPr="00BB5F17">
        <w:rPr>
          <w:lang w:val="es-ES"/>
        </w:rPr>
        <w:t>2.6.2</w:t>
      </w:r>
      <w:r w:rsidRPr="00BB5F17">
        <w:rPr>
          <w:lang w:val="es-ES"/>
        </w:rPr>
        <w:tab/>
        <w:t xml:space="preserve">Definición del efecto útil para un sistema </w:t>
      </w:r>
      <w:r>
        <w:rPr>
          <w:lang w:val="es-ES"/>
        </w:rPr>
        <w:t>P-P</w:t>
      </w:r>
    </w:p>
    <w:p w:rsidR="00256167" w:rsidRPr="00BB5F17" w:rsidRDefault="00256167" w:rsidP="00256167">
      <w:pPr>
        <w:rPr>
          <w:lang w:val="es-ES"/>
        </w:rPr>
      </w:pPr>
      <w:r w:rsidRPr="00BB5F17">
        <w:rPr>
          <w:lang w:val="es-ES"/>
        </w:rPr>
        <w:t xml:space="preserve">Puede considerarse el efecto útil de un sistema </w:t>
      </w:r>
      <w:r>
        <w:rPr>
          <w:lang w:val="es-ES"/>
        </w:rPr>
        <w:t>P-P</w:t>
      </w:r>
      <w:r w:rsidRPr="00BB5F17">
        <w:rPr>
          <w:lang w:val="es-ES"/>
        </w:rPr>
        <w:t xml:space="preserve"> analógico o digital. En el caso de un sistema analógico, podría considerarse simplemente que el número de canales de voz transmitidos determina el efecto útil. Sin embargo, en los sistemas P</w:t>
      </w:r>
      <w:r>
        <w:rPr>
          <w:lang w:val="es-ES"/>
        </w:rPr>
        <w:t>-</w:t>
      </w:r>
      <w:r w:rsidRPr="00BB5F17">
        <w:rPr>
          <w:lang w:val="es-ES"/>
        </w:rPr>
        <w:t>P también es interesante considerar la distancia total de transmisión de la información. Por tanto, el efecto útil de los sistemas P</w:t>
      </w:r>
      <w:r>
        <w:rPr>
          <w:lang w:val="es-ES"/>
        </w:rPr>
        <w:t>-</w:t>
      </w:r>
      <w:r w:rsidRPr="00BB5F17">
        <w:rPr>
          <w:lang w:val="es-ES"/>
        </w:rPr>
        <w:t>P analógicos puede definirse así:</w:t>
      </w:r>
    </w:p>
    <w:p w:rsidR="00256167" w:rsidRPr="00BB5F17" w:rsidRDefault="00256167" w:rsidP="00256167">
      <w:pPr>
        <w:pStyle w:val="Equation"/>
        <w:rPr>
          <w:lang w:val="es-ES"/>
        </w:rPr>
      </w:pPr>
      <w:r w:rsidRPr="00BB5F17">
        <w:rPr>
          <w:lang w:val="es-ES"/>
        </w:rPr>
        <w:tab/>
      </w:r>
      <w:r w:rsidRPr="00BB5F17">
        <w:rPr>
          <w:lang w:val="es-ES"/>
        </w:rPr>
        <w:tab/>
      </w:r>
      <w:r w:rsidRPr="00BB5F17">
        <w:rPr>
          <w:position w:val="-12"/>
          <w:lang w:val="es-ES"/>
        </w:rPr>
        <w:object w:dxaOrig="1240" w:dyaOrig="360">
          <v:shape id="_x0000_i1061" type="#_x0000_t75" style="width:62.4pt;height:18pt" o:ole="">
            <v:imagedata r:id="rId90" o:title=""/>
          </v:shape>
          <o:OLEObject Type="Embed" ProgID="Equation.3" ShapeID="_x0000_i1061" DrawAspect="Content" ObjectID="_1376823635" r:id="rId91"/>
        </w:object>
      </w:r>
      <w:r w:rsidRPr="00BB5F17">
        <w:rPr>
          <w:lang w:val="es-ES"/>
        </w:rPr>
        <w:tab/>
        <w:t>(31)</w:t>
      </w:r>
    </w:p>
    <w:p w:rsidR="00256167" w:rsidRPr="00BB5F17" w:rsidRDefault="00256167" w:rsidP="00256167">
      <w:pPr>
        <w:rPr>
          <w:lang w:val="es-ES"/>
        </w:rPr>
      </w:pPr>
      <w:r w:rsidRPr="00BB5F17">
        <w:rPr>
          <w:lang w:val="es-ES"/>
        </w:rPr>
        <w:lastRenderedPageBreak/>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M</w:t>
      </w:r>
      <w:r w:rsidRPr="00BB5F17">
        <w:rPr>
          <w:iCs/>
          <w:lang w:val="es-ES"/>
        </w:rPr>
        <w:t>:</w:t>
      </w:r>
      <w:r w:rsidRPr="00BB5F17">
        <w:rPr>
          <w:szCs w:val="24"/>
          <w:lang w:val="es-ES"/>
        </w:rPr>
        <w:tab/>
        <w:t>efecto útil obtenido con un sistema analógico P</w:t>
      </w:r>
      <w:r>
        <w:rPr>
          <w:szCs w:val="24"/>
          <w:lang w:val="es-ES"/>
        </w:rPr>
        <w:t>-P</w:t>
      </w:r>
    </w:p>
    <w:p w:rsidR="00256167" w:rsidRPr="00BB5F17" w:rsidRDefault="00256167" w:rsidP="00256167">
      <w:pPr>
        <w:pStyle w:val="Equationlegend"/>
        <w:rPr>
          <w:szCs w:val="24"/>
          <w:lang w:val="es-ES"/>
        </w:rPr>
      </w:pPr>
      <w:r w:rsidRPr="00BB5F17">
        <w:rPr>
          <w:szCs w:val="24"/>
          <w:lang w:val="es-ES"/>
        </w:rPr>
        <w:tab/>
      </w:r>
      <w:proofErr w:type="spellStart"/>
      <w:r w:rsidRPr="00BB5F17">
        <w:rPr>
          <w:i/>
          <w:iCs/>
          <w:szCs w:val="24"/>
          <w:lang w:val="es-ES"/>
        </w:rPr>
        <w:t>n</w:t>
      </w:r>
      <w:r w:rsidRPr="00BB5F17">
        <w:rPr>
          <w:i/>
          <w:iCs/>
          <w:szCs w:val="24"/>
          <w:vertAlign w:val="subscript"/>
          <w:lang w:val="es-ES"/>
        </w:rPr>
        <w:t>vc</w:t>
      </w:r>
      <w:proofErr w:type="spellEnd"/>
      <w:r w:rsidRPr="00BB5F17">
        <w:rPr>
          <w:iCs/>
          <w:lang w:val="es-ES"/>
        </w:rPr>
        <w:t>:</w:t>
      </w:r>
      <w:r w:rsidRPr="00BB5F17">
        <w:rPr>
          <w:szCs w:val="24"/>
          <w:lang w:val="es-ES"/>
        </w:rPr>
        <w:tab/>
        <w:t>número de canales de voz transmitidos por el enlace</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D</w:t>
      </w:r>
      <w:r w:rsidRPr="00BB5F17">
        <w:rPr>
          <w:iCs/>
          <w:lang w:val="es-ES"/>
        </w:rPr>
        <w:t>:</w:t>
      </w:r>
      <w:r w:rsidRPr="00BB5F17">
        <w:rPr>
          <w:szCs w:val="24"/>
          <w:lang w:val="es-ES"/>
        </w:rPr>
        <w:tab/>
        <w:t>distancia de transmisión de la información.</w:t>
      </w:r>
    </w:p>
    <w:p w:rsidR="00256167" w:rsidRPr="00BB5F17" w:rsidRDefault="00256167" w:rsidP="00256167">
      <w:pPr>
        <w:rPr>
          <w:lang w:val="es-ES"/>
        </w:rPr>
      </w:pPr>
      <w:r w:rsidRPr="00BB5F17">
        <w:rPr>
          <w:lang w:val="es-ES"/>
        </w:rPr>
        <w:t xml:space="preserve">Para un determinado enlace, la distancia </w:t>
      </w:r>
      <w:r w:rsidRPr="00BB5F17">
        <w:rPr>
          <w:i/>
          <w:iCs/>
          <w:lang w:val="es-ES"/>
        </w:rPr>
        <w:t>D</w:t>
      </w:r>
      <w:r w:rsidRPr="00BB5F17">
        <w:rPr>
          <w:lang w:val="es-ES"/>
        </w:rPr>
        <w:t xml:space="preserve"> considerada es la longitud del enlace real. Sin embargo, para la evaluación de un sistema genérico se utilizan valores típicos de </w:t>
      </w:r>
      <w:r w:rsidRPr="00BB5F17">
        <w:rPr>
          <w:i/>
          <w:iCs/>
          <w:lang w:val="es-ES"/>
        </w:rPr>
        <w:t>D</w:t>
      </w:r>
      <w:r w:rsidRPr="002F4173">
        <w:rPr>
          <w:iCs/>
          <w:lang w:val="es-ES"/>
        </w:rPr>
        <w:t>,</w:t>
      </w:r>
      <w:r w:rsidRPr="00BB5F17">
        <w:rPr>
          <w:lang w:val="es-ES"/>
        </w:rPr>
        <w:t xml:space="preserve"> según la frecuencia de funcionamiento del sistema.</w:t>
      </w:r>
    </w:p>
    <w:p w:rsidR="00256167" w:rsidRPr="00BB5F17" w:rsidRDefault="00256167" w:rsidP="00256167">
      <w:pPr>
        <w:rPr>
          <w:lang w:val="es-ES"/>
        </w:rPr>
      </w:pPr>
      <w:r w:rsidRPr="00BB5F17">
        <w:rPr>
          <w:lang w:val="es-ES"/>
        </w:rPr>
        <w:t>En el caso de los sistemas digitales, el efecto útil puede calcularse multiplicando la tasa de transmisión por la distancia total de transmisión de la información.</w:t>
      </w:r>
    </w:p>
    <w:p w:rsidR="00256167" w:rsidRPr="00BB5F17" w:rsidRDefault="00256167" w:rsidP="00256167">
      <w:pPr>
        <w:rPr>
          <w:lang w:val="es-ES"/>
        </w:rPr>
      </w:pPr>
      <w:r w:rsidRPr="00BB5F17">
        <w:rPr>
          <w:lang w:val="es-ES"/>
        </w:rPr>
        <w:t>En la información transmitida por un sistema digital hay muchos datos que se suman a los datos útiles (tara). La tara incluye los protocolos de control, los códigos de detección y corrección de errores y la información de gestión del sistema. Para determinar la tasa total de transmisión del sistema hay que considerar tanto la tara como los datos útiles. Se propone utilizar un factor de tara para calcular la cantidad de datos útiles transmitidos.</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14"/>
          <w:lang w:val="es-ES"/>
        </w:rPr>
        <w:object w:dxaOrig="1800" w:dyaOrig="380">
          <v:shape id="_x0000_i1062" type="#_x0000_t75" style="width:90pt;height:19.2pt" o:ole="">
            <v:imagedata r:id="rId92" o:title=""/>
          </v:shape>
          <o:OLEObject Type="Embed" ProgID="Equation.3" ShapeID="_x0000_i1062" DrawAspect="Content" ObjectID="_1376823636" r:id="rId93"/>
        </w:object>
      </w:r>
      <w:r w:rsidRPr="00BB5F17">
        <w:rPr>
          <w:lang w:val="es-ES"/>
        </w:rPr>
        <w:tab/>
        <w:t>(32)</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M</w:t>
      </w:r>
      <w:r w:rsidRPr="00BB5F17">
        <w:rPr>
          <w:iCs/>
          <w:lang w:val="es-ES"/>
        </w:rPr>
        <w:t>:</w:t>
      </w:r>
      <w:r w:rsidRPr="00BB5F17">
        <w:rPr>
          <w:szCs w:val="24"/>
          <w:lang w:val="es-ES"/>
        </w:rPr>
        <w:tab/>
        <w:t>efecto útil obtenido con un sistema P</w:t>
      </w:r>
      <w:r>
        <w:rPr>
          <w:szCs w:val="24"/>
          <w:lang w:val="es-ES"/>
        </w:rPr>
        <w:t>-P</w:t>
      </w:r>
      <w:r w:rsidRPr="00BB5F17">
        <w:rPr>
          <w:szCs w:val="24"/>
          <w:lang w:val="es-ES"/>
        </w:rPr>
        <w:t xml:space="preserve"> digital</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T</w:t>
      </w:r>
      <w:r w:rsidRPr="00BB5F17">
        <w:rPr>
          <w:i/>
          <w:iCs/>
          <w:szCs w:val="24"/>
          <w:vertAlign w:val="subscript"/>
          <w:lang w:val="es-ES"/>
        </w:rPr>
        <w:t>TR</w:t>
      </w:r>
      <w:r w:rsidRPr="00BB5F17">
        <w:rPr>
          <w:iCs/>
          <w:lang w:val="es-ES"/>
        </w:rPr>
        <w:t>:</w:t>
      </w:r>
      <w:r w:rsidRPr="00BB5F17">
        <w:rPr>
          <w:szCs w:val="24"/>
          <w:lang w:val="es-ES"/>
        </w:rPr>
        <w:tab/>
        <w:t>tasa de transmisión total del sistema</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O</w:t>
      </w:r>
      <w:r w:rsidRPr="00BB5F17">
        <w:rPr>
          <w:i/>
          <w:iCs/>
          <w:szCs w:val="24"/>
          <w:vertAlign w:val="subscript"/>
          <w:lang w:val="es-ES"/>
        </w:rPr>
        <w:t>F</w:t>
      </w:r>
      <w:r w:rsidRPr="00BB5F17">
        <w:rPr>
          <w:iCs/>
          <w:lang w:val="es-ES"/>
        </w:rPr>
        <w:t>:</w:t>
      </w:r>
      <w:r w:rsidRPr="00BB5F17">
        <w:rPr>
          <w:szCs w:val="24"/>
          <w:lang w:val="es-ES"/>
        </w:rPr>
        <w:tab/>
        <w:t>factor de tara, que será un número entre 0 y 1</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D</w:t>
      </w:r>
      <w:r w:rsidRPr="00BB5F17">
        <w:rPr>
          <w:iCs/>
          <w:lang w:val="es-ES"/>
        </w:rPr>
        <w:t>:</w:t>
      </w:r>
      <w:r w:rsidRPr="00BB5F17">
        <w:rPr>
          <w:szCs w:val="24"/>
          <w:lang w:val="es-ES"/>
        </w:rPr>
        <w:tab/>
        <w:t>distancia de transmisión de la información.</w:t>
      </w:r>
    </w:p>
    <w:p w:rsidR="00256167" w:rsidRPr="00BB5F17" w:rsidRDefault="00256167" w:rsidP="00256167">
      <w:pPr>
        <w:rPr>
          <w:lang w:val="es-ES"/>
        </w:rPr>
      </w:pPr>
      <w:r w:rsidRPr="00BB5F17">
        <w:rPr>
          <w:lang w:val="es-ES"/>
        </w:rPr>
        <w:t>Si se conoce la tasa de transmisión del mensaje de usuario, se podrá utiliza esta tasa de transmisión efectiva en lugar del factor de tara.</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10"/>
          <w:lang w:val="es-ES"/>
        </w:rPr>
        <w:object w:dxaOrig="1320" w:dyaOrig="340">
          <v:shape id="_x0000_i1063" type="#_x0000_t75" style="width:66pt;height:17.4pt" o:ole="">
            <v:imagedata r:id="rId94" o:title=""/>
          </v:shape>
          <o:OLEObject Type="Embed" ProgID="Equation.3" ShapeID="_x0000_i1063" DrawAspect="Content" ObjectID="_1376823637" r:id="rId95"/>
        </w:object>
      </w:r>
      <w:r w:rsidRPr="00BB5F17">
        <w:rPr>
          <w:lang w:val="es-ES"/>
        </w:rPr>
        <w:tab/>
        <w:t>(33)</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M</w:t>
      </w:r>
      <w:r w:rsidRPr="00BB5F17">
        <w:rPr>
          <w:iCs/>
          <w:lang w:val="es-ES"/>
        </w:rPr>
        <w:t>:</w:t>
      </w:r>
      <w:r w:rsidRPr="00BB5F17">
        <w:rPr>
          <w:szCs w:val="24"/>
          <w:lang w:val="es-ES"/>
        </w:rPr>
        <w:tab/>
        <w:t>efecto útil obtenido con un sistema P</w:t>
      </w:r>
      <w:r>
        <w:rPr>
          <w:szCs w:val="24"/>
          <w:lang w:val="es-ES"/>
        </w:rPr>
        <w:t>-P</w:t>
      </w:r>
      <w:r w:rsidRPr="00BB5F17">
        <w:rPr>
          <w:szCs w:val="24"/>
          <w:lang w:val="es-ES"/>
        </w:rPr>
        <w:t xml:space="preserve"> digital</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E</w:t>
      </w:r>
      <w:r w:rsidRPr="00BB5F17">
        <w:rPr>
          <w:i/>
          <w:iCs/>
          <w:szCs w:val="24"/>
          <w:vertAlign w:val="subscript"/>
          <w:lang w:val="es-ES"/>
        </w:rPr>
        <w:t>TR</w:t>
      </w:r>
      <w:r w:rsidRPr="00BB5F17">
        <w:rPr>
          <w:iCs/>
          <w:lang w:val="es-ES"/>
        </w:rPr>
        <w:t>:</w:t>
      </w:r>
      <w:r w:rsidRPr="00BB5F17">
        <w:rPr>
          <w:szCs w:val="24"/>
          <w:lang w:val="es-ES"/>
        </w:rPr>
        <w:tab/>
        <w:t>tasa de transmisión efectiva del sistema</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D</w:t>
      </w:r>
      <w:r w:rsidRPr="00BB5F17">
        <w:rPr>
          <w:iCs/>
          <w:lang w:val="es-ES"/>
        </w:rPr>
        <w:t>:</w:t>
      </w:r>
      <w:r w:rsidRPr="00BB5F17">
        <w:rPr>
          <w:szCs w:val="24"/>
          <w:lang w:val="es-ES"/>
        </w:rPr>
        <w:tab/>
        <w:t>distancia de transmisión de la información.</w:t>
      </w:r>
    </w:p>
    <w:p w:rsidR="00256167" w:rsidRPr="00BB5F17" w:rsidRDefault="00256167" w:rsidP="00256167">
      <w:pPr>
        <w:rPr>
          <w:lang w:val="es-ES"/>
        </w:rPr>
      </w:pPr>
      <w:r w:rsidRPr="00BB5F17">
        <w:rPr>
          <w:lang w:val="es-ES"/>
        </w:rPr>
        <w:t>Cuando no se pueda determinar la tasa de transmisión total o efectiva, se podría utilizar la tasa de transmisión mínima necesaria para las frecuencias de radiocomunicación del equipo.</w:t>
      </w:r>
    </w:p>
    <w:p w:rsidR="00256167" w:rsidRPr="00BB5F17" w:rsidRDefault="00256167" w:rsidP="00256167">
      <w:pPr>
        <w:pStyle w:val="Heading3"/>
        <w:rPr>
          <w:lang w:val="es-ES"/>
        </w:rPr>
      </w:pPr>
      <w:r w:rsidRPr="00BB5F17">
        <w:rPr>
          <w:lang w:val="es-ES"/>
        </w:rPr>
        <w:t>2.6.3</w:t>
      </w:r>
      <w:r w:rsidRPr="00BB5F17">
        <w:rPr>
          <w:lang w:val="es-ES"/>
        </w:rPr>
        <w:tab/>
        <w:t xml:space="preserve">Definición del factor de utilización del espectro para sistemas </w:t>
      </w:r>
      <w:r>
        <w:rPr>
          <w:lang w:val="es-ES"/>
        </w:rPr>
        <w:t>P-P</w:t>
      </w:r>
    </w:p>
    <w:p w:rsidR="00256167" w:rsidRPr="00BB5F17" w:rsidRDefault="00256167" w:rsidP="00256167">
      <w:pPr>
        <w:rPr>
          <w:lang w:val="es-ES"/>
        </w:rPr>
      </w:pPr>
      <w:r w:rsidRPr="00BB5F17">
        <w:rPr>
          <w:lang w:val="es-ES"/>
        </w:rPr>
        <w:t>El factor de utilización del espectro para un sistema P</w:t>
      </w:r>
      <w:r>
        <w:rPr>
          <w:lang w:val="es-ES"/>
        </w:rPr>
        <w:t>-P</w:t>
      </w:r>
      <w:r w:rsidRPr="00BB5F17">
        <w:rPr>
          <w:lang w:val="es-ES"/>
        </w:rPr>
        <w:t xml:space="preserve"> puede determinarse con la siguiente ecuación:</w:t>
      </w:r>
    </w:p>
    <w:p w:rsidR="00256167" w:rsidRPr="007F0761" w:rsidRDefault="00256167" w:rsidP="00256167">
      <w:pPr>
        <w:pStyle w:val="Blanc"/>
        <w:rPr>
          <w:lang w:val="es-ES_tradnl"/>
        </w:rPr>
      </w:pPr>
    </w:p>
    <w:p w:rsidR="00256167" w:rsidRPr="00BB5F17" w:rsidRDefault="00256167" w:rsidP="00256167">
      <w:pPr>
        <w:tabs>
          <w:tab w:val="clear" w:pos="794"/>
          <w:tab w:val="clear" w:pos="1191"/>
          <w:tab w:val="clear" w:pos="1588"/>
          <w:tab w:val="clear" w:pos="1985"/>
          <w:tab w:val="center" w:pos="4678"/>
          <w:tab w:val="right" w:pos="9639"/>
        </w:tabs>
        <w:rPr>
          <w:lang w:val="es-ES"/>
        </w:rPr>
      </w:pPr>
      <w:r w:rsidRPr="00BB5F17">
        <w:rPr>
          <w:lang w:val="es-ES"/>
        </w:rPr>
        <w:tab/>
      </w:r>
      <w:r w:rsidRPr="00BB5F17">
        <w:rPr>
          <w:position w:val="-10"/>
          <w:lang w:val="es-ES"/>
        </w:rPr>
        <w:object w:dxaOrig="1359" w:dyaOrig="320">
          <v:shape id="_x0000_i1064" type="#_x0000_t75" style="width:67.2pt;height:16.2pt" o:ole="">
            <v:imagedata r:id="rId96" o:title=""/>
          </v:shape>
          <o:OLEObject Type="Embed" ProgID="Equation.3" ShapeID="_x0000_i1064" DrawAspect="Content" ObjectID="_1376823638" r:id="rId97"/>
        </w:object>
      </w:r>
      <w:r w:rsidRPr="00BB5F17">
        <w:rPr>
          <w:lang w:val="es-ES"/>
        </w:rPr>
        <w:tab/>
        <w:t>(34)</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U</w:t>
      </w:r>
      <w:r w:rsidRPr="00BB5F17">
        <w:rPr>
          <w:iCs/>
          <w:lang w:val="es-ES"/>
        </w:rPr>
        <w:t>:</w:t>
      </w:r>
      <w:r w:rsidRPr="00BB5F17">
        <w:rPr>
          <w:szCs w:val="24"/>
          <w:lang w:val="es-ES"/>
        </w:rPr>
        <w:tab/>
        <w:t xml:space="preserve">factor de utilización del espectro para un sistema </w:t>
      </w:r>
      <w:r>
        <w:rPr>
          <w:szCs w:val="24"/>
          <w:lang w:val="es-ES"/>
        </w:rPr>
        <w:t>P-P</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B</w:t>
      </w:r>
      <w:r w:rsidRPr="00BB5F17">
        <w:rPr>
          <w:iCs/>
          <w:lang w:val="es-ES"/>
        </w:rPr>
        <w:t>:</w:t>
      </w:r>
      <w:r w:rsidRPr="00BB5F17">
        <w:rPr>
          <w:szCs w:val="24"/>
          <w:lang w:val="es-ES"/>
        </w:rPr>
        <w:tab/>
        <w:t>ancho de banda de radiofrecuencias denegadas</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S</w:t>
      </w:r>
      <w:r w:rsidRPr="00BB5F17">
        <w:rPr>
          <w:iCs/>
          <w:lang w:val="es-ES"/>
        </w:rPr>
        <w:t>:</w:t>
      </w:r>
      <w:r w:rsidRPr="00BB5F17">
        <w:rPr>
          <w:szCs w:val="24"/>
          <w:lang w:val="es-ES"/>
        </w:rPr>
        <w:tab/>
        <w:t>espacio geométrico denegado (zona)</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T</w:t>
      </w:r>
      <w:r w:rsidRPr="00BB5F17">
        <w:rPr>
          <w:iCs/>
          <w:lang w:val="es-ES"/>
        </w:rPr>
        <w:t>:</w:t>
      </w:r>
      <w:r w:rsidRPr="00BB5F17">
        <w:rPr>
          <w:szCs w:val="24"/>
          <w:lang w:val="es-ES"/>
        </w:rPr>
        <w:tab/>
        <w:t>tiempo denegado, que puede ser un valor entre 0 y 1.</w:t>
      </w:r>
    </w:p>
    <w:p w:rsidR="00256167" w:rsidRPr="00BB5F17" w:rsidRDefault="00256167" w:rsidP="00256167">
      <w:pPr>
        <w:rPr>
          <w:lang w:val="es-ES"/>
        </w:rPr>
      </w:pPr>
      <w:r w:rsidRPr="00BB5F17">
        <w:rPr>
          <w:lang w:val="es-ES"/>
        </w:rPr>
        <w:lastRenderedPageBreak/>
        <w:t>El ancho de banda de frecuencias radioeléctricas</w:t>
      </w:r>
      <w:r>
        <w:rPr>
          <w:lang w:val="es-ES"/>
        </w:rPr>
        <w:t>,</w:t>
      </w:r>
      <w:r w:rsidRPr="00BB5F17">
        <w:rPr>
          <w:lang w:val="es-ES"/>
        </w:rPr>
        <w:t xml:space="preserve"> </w:t>
      </w:r>
      <w:r w:rsidRPr="00BB5F17">
        <w:rPr>
          <w:i/>
          <w:iCs/>
          <w:lang w:val="es-ES"/>
        </w:rPr>
        <w:t>B</w:t>
      </w:r>
      <w:r w:rsidRPr="002F4173">
        <w:rPr>
          <w:iCs/>
          <w:lang w:val="es-ES"/>
        </w:rPr>
        <w:t>,</w:t>
      </w:r>
      <w:r w:rsidRPr="00BB5F17">
        <w:rPr>
          <w:lang w:val="es-ES"/>
        </w:rPr>
        <w:t xml:space="preserve"> es la máscara definida por el reglamento específico de frecuencias radioeléctricas. Cuando no se conozca la máscara se podrá utilizar la anchura del canal.</w:t>
      </w:r>
    </w:p>
    <w:p w:rsidR="00256167" w:rsidRPr="00BB5F17" w:rsidRDefault="00256167" w:rsidP="00256167">
      <w:pPr>
        <w:rPr>
          <w:lang w:val="es-ES"/>
        </w:rPr>
      </w:pPr>
      <w:r w:rsidRPr="00BB5F17">
        <w:rPr>
          <w:lang w:val="es-ES"/>
        </w:rPr>
        <w:t>Para calcular el espacio geométrico denegado</w:t>
      </w:r>
      <w:r>
        <w:rPr>
          <w:lang w:val="es-ES"/>
        </w:rPr>
        <w:t>,</w:t>
      </w:r>
      <w:r w:rsidRPr="00BB5F17">
        <w:rPr>
          <w:lang w:val="es-ES"/>
        </w:rPr>
        <w:t xml:space="preserve"> </w:t>
      </w:r>
      <w:r w:rsidRPr="00BB5F17">
        <w:rPr>
          <w:i/>
          <w:iCs/>
          <w:lang w:val="es-ES"/>
        </w:rPr>
        <w:t>S</w:t>
      </w:r>
      <w:r w:rsidRPr="00BB5F17">
        <w:rPr>
          <w:lang w:val="es-ES"/>
        </w:rPr>
        <w:t>, deberían considerarse las zonas denegadas del transmisor y del receptor, que están basadas en parámetros reales del enlace en ambos casos. El espacio geométrico denegado será la suma de las zonas sector</w:t>
      </w:r>
      <w:r>
        <w:rPr>
          <w:lang w:val="es-ES"/>
        </w:rPr>
        <w:t>,</w:t>
      </w:r>
      <w:r w:rsidRPr="00BB5F17">
        <w:rPr>
          <w:lang w:val="es-ES"/>
        </w:rPr>
        <w:t xml:space="preserve"> </w:t>
      </w:r>
      <w:r w:rsidRPr="00BB5F17">
        <w:rPr>
          <w:i/>
          <w:iCs/>
          <w:lang w:val="es-ES"/>
        </w:rPr>
        <w:t>A</w:t>
      </w:r>
      <w:r w:rsidRPr="00BB5F17">
        <w:rPr>
          <w:i/>
          <w:iCs/>
          <w:vertAlign w:val="subscript"/>
          <w:lang w:val="es-ES"/>
        </w:rPr>
        <w:t>S</w:t>
      </w:r>
      <w:r>
        <w:rPr>
          <w:lang w:val="es-ES"/>
        </w:rPr>
        <w:t>,</w:t>
      </w:r>
      <w:r w:rsidRPr="00BB5F17">
        <w:rPr>
          <w:lang w:val="es-ES"/>
        </w:rPr>
        <w:t xml:space="preserve"> denegadas por el transmisor y el receptor. Si la zona denegada del transmisor incluye toda la zona denegada del receptor, no es necesario calcular esta zona denegada del receptor. En otros casos, la porción de la zona del receptor que esté fuera de la zona del transmisor debería añadirse a esta última para obtener la zona denegada total</w:t>
      </w:r>
      <w:r>
        <w:rPr>
          <w:lang w:val="es-ES"/>
        </w:rPr>
        <w:t>,</w:t>
      </w:r>
      <w:r w:rsidRPr="00BB5F17">
        <w:rPr>
          <w:lang w:val="es-ES"/>
        </w:rPr>
        <w:t xml:space="preserve"> </w:t>
      </w:r>
      <w:r w:rsidRPr="00BB5F17">
        <w:rPr>
          <w:i/>
          <w:iCs/>
          <w:lang w:val="es-ES"/>
        </w:rPr>
        <w:t>S</w:t>
      </w:r>
      <w:r w:rsidRPr="00BB5F17">
        <w:rPr>
          <w:lang w:val="es-ES"/>
        </w:rPr>
        <w:t>.</w:t>
      </w:r>
    </w:p>
    <w:p w:rsidR="00256167" w:rsidRPr="00BB5F17" w:rsidRDefault="00256167" w:rsidP="00256167">
      <w:pPr>
        <w:rPr>
          <w:lang w:val="es-ES"/>
        </w:rPr>
      </w:pPr>
      <w:r w:rsidRPr="00BB5F17">
        <w:rPr>
          <w:lang w:val="es-ES"/>
        </w:rPr>
        <w:t>Para calcular la zona denegada por un transmisor o un receptor hay que considerar el diagrama de antena. La zona denegada es la suma de las áreas de sectores angulares en los que la ganancia de antena es aproximadamente constante.</w:t>
      </w:r>
    </w:p>
    <w:p w:rsidR="00256167" w:rsidRPr="00BB5F17" w:rsidRDefault="00256167" w:rsidP="00256167">
      <w:pPr>
        <w:pStyle w:val="Equation"/>
        <w:rPr>
          <w:b/>
          <w:bCs/>
          <w:lang w:val="es-ES"/>
        </w:rPr>
      </w:pPr>
      <w:r w:rsidRPr="00BB5F17">
        <w:rPr>
          <w:lang w:val="es-ES"/>
        </w:rPr>
        <w:tab/>
      </w:r>
      <w:r w:rsidRPr="00BB5F17">
        <w:rPr>
          <w:lang w:val="es-ES"/>
        </w:rPr>
        <w:tab/>
      </w:r>
      <w:r w:rsidRPr="00BB5F17">
        <w:rPr>
          <w:position w:val="-38"/>
          <w:lang w:val="es-ES"/>
        </w:rPr>
        <w:object w:dxaOrig="1060" w:dyaOrig="840">
          <v:shape id="_x0000_i1065" type="#_x0000_t75" style="width:53.4pt;height:42pt" o:ole="">
            <v:imagedata r:id="rId98" o:title=""/>
          </v:shape>
          <o:OLEObject Type="Embed" ProgID="Equation.3" ShapeID="_x0000_i1065" DrawAspect="Content" ObjectID="_1376823639" r:id="rId99"/>
        </w:object>
      </w:r>
      <w:r w:rsidRPr="00BB5F17">
        <w:rPr>
          <w:lang w:val="es-ES"/>
        </w:rPr>
        <w:tab/>
        <w:t>(35)</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S</w:t>
      </w:r>
      <w:r w:rsidRPr="00BB5F17">
        <w:rPr>
          <w:lang w:val="es-ES"/>
        </w:rPr>
        <w:t>:</w:t>
      </w:r>
      <w:r w:rsidRPr="00BB5F17">
        <w:rPr>
          <w:szCs w:val="24"/>
          <w:lang w:val="es-ES"/>
        </w:rPr>
        <w:tab/>
        <w:t>espacio geométrico denegado (km</w:t>
      </w:r>
      <w:r w:rsidRPr="00BB5F17">
        <w:rPr>
          <w:szCs w:val="24"/>
          <w:vertAlign w:val="superscript"/>
          <w:lang w:val="es-ES"/>
        </w:rPr>
        <w:t>2</w:t>
      </w:r>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proofErr w:type="spellStart"/>
      <w:r w:rsidRPr="00BB5F17">
        <w:rPr>
          <w:i/>
          <w:iCs/>
          <w:szCs w:val="24"/>
          <w:lang w:val="es-ES"/>
        </w:rPr>
        <w:t>A</w:t>
      </w:r>
      <w:r w:rsidRPr="00BB5F17">
        <w:rPr>
          <w:i/>
          <w:iCs/>
          <w:szCs w:val="24"/>
          <w:vertAlign w:val="subscript"/>
          <w:lang w:val="es-ES"/>
        </w:rPr>
        <w:t>Si</w:t>
      </w:r>
      <w:proofErr w:type="spellEnd"/>
      <w:r w:rsidRPr="00BB5F17">
        <w:rPr>
          <w:lang w:val="es-ES"/>
        </w:rPr>
        <w:t>:</w:t>
      </w:r>
      <w:r w:rsidRPr="00BB5F17">
        <w:rPr>
          <w:szCs w:val="24"/>
          <w:lang w:val="es-ES"/>
        </w:rPr>
        <w:tab/>
        <w:t xml:space="preserve">zona denegada del </w:t>
      </w:r>
      <w:r w:rsidRPr="00BB5F17">
        <w:rPr>
          <w:i/>
          <w:szCs w:val="24"/>
          <w:lang w:val="es-ES"/>
        </w:rPr>
        <w:t>i</w:t>
      </w:r>
      <w:r w:rsidRPr="00BB5F17">
        <w:rPr>
          <w:i/>
          <w:szCs w:val="24"/>
          <w:lang w:val="es-ES"/>
        </w:rPr>
        <w:noBreakHyphen/>
      </w:r>
      <w:proofErr w:type="spellStart"/>
      <w:r w:rsidRPr="002F4173">
        <w:rPr>
          <w:szCs w:val="24"/>
          <w:lang w:val="es-ES"/>
        </w:rPr>
        <w:t>ésimo</w:t>
      </w:r>
      <w:proofErr w:type="spellEnd"/>
      <w:r w:rsidRPr="00BB5F17">
        <w:rPr>
          <w:iCs/>
          <w:szCs w:val="24"/>
          <w:lang w:val="es-ES"/>
        </w:rPr>
        <w:t xml:space="preserve"> sector</w:t>
      </w:r>
      <w:r w:rsidRPr="00BB5F17">
        <w:rPr>
          <w:szCs w:val="24"/>
          <w:lang w:val="es-ES"/>
        </w:rPr>
        <w:t xml:space="preserve"> (km</w:t>
      </w:r>
      <w:r w:rsidRPr="00BB5F17">
        <w:rPr>
          <w:szCs w:val="24"/>
          <w:vertAlign w:val="superscript"/>
          <w:lang w:val="es-ES"/>
        </w:rPr>
        <w:t>2</w:t>
      </w:r>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n</w:t>
      </w:r>
      <w:r w:rsidRPr="00BB5F17">
        <w:rPr>
          <w:lang w:val="es-ES"/>
        </w:rPr>
        <w:t>:</w:t>
      </w:r>
      <w:r w:rsidRPr="00BB5F17">
        <w:rPr>
          <w:szCs w:val="24"/>
          <w:lang w:val="es-ES"/>
        </w:rPr>
        <w:tab/>
        <w:t>número de sectores.</w:t>
      </w:r>
    </w:p>
    <w:p w:rsidR="00256167" w:rsidRPr="00BB5F17" w:rsidRDefault="00256167" w:rsidP="00256167">
      <w:pPr>
        <w:rPr>
          <w:lang w:val="es-ES"/>
        </w:rPr>
      </w:pPr>
      <w:r w:rsidRPr="00BB5F17">
        <w:rPr>
          <w:lang w:val="es-ES"/>
        </w:rPr>
        <w:t>Las zonas sector (</w:t>
      </w:r>
      <w:r w:rsidRPr="00BB5F17">
        <w:rPr>
          <w:i/>
          <w:iCs/>
          <w:lang w:val="es-ES"/>
        </w:rPr>
        <w:t>A</w:t>
      </w:r>
      <w:r w:rsidRPr="00BB5F17">
        <w:rPr>
          <w:i/>
          <w:iCs/>
          <w:vertAlign w:val="subscript"/>
          <w:lang w:val="es-ES"/>
        </w:rPr>
        <w:t>S</w:t>
      </w:r>
      <w:r w:rsidRPr="00BB5F17">
        <w:rPr>
          <w:lang w:val="es-ES"/>
        </w:rPr>
        <w:t>) se pueden calcular así:</w:t>
      </w:r>
    </w:p>
    <w:p w:rsidR="00256167" w:rsidRPr="00BB5F17" w:rsidRDefault="00256167" w:rsidP="00256167">
      <w:pPr>
        <w:pStyle w:val="Equation"/>
        <w:rPr>
          <w:b/>
          <w:bCs/>
          <w:lang w:val="es-ES"/>
        </w:rPr>
      </w:pPr>
      <w:r w:rsidRPr="00BB5F17">
        <w:rPr>
          <w:lang w:val="es-ES"/>
        </w:rPr>
        <w:tab/>
      </w:r>
      <w:r w:rsidRPr="00BB5F17">
        <w:rPr>
          <w:lang w:val="es-ES"/>
        </w:rPr>
        <w:tab/>
      </w:r>
      <w:r w:rsidRPr="00BB5F17">
        <w:rPr>
          <w:position w:val="-24"/>
          <w:lang w:val="es-ES"/>
        </w:rPr>
        <w:object w:dxaOrig="1420" w:dyaOrig="700">
          <v:shape id="_x0000_i1066" type="#_x0000_t75" style="width:71.4pt;height:35.4pt" o:ole="">
            <v:imagedata r:id="rId100" o:title=""/>
          </v:shape>
          <o:OLEObject Type="Embed" ProgID="Equation.3" ShapeID="_x0000_i1066" DrawAspect="Content" ObjectID="_1376823640" r:id="rId101"/>
        </w:object>
      </w:r>
      <w:r w:rsidRPr="00BB5F17">
        <w:rPr>
          <w:lang w:val="es-ES"/>
        </w:rPr>
        <w:tab/>
        <w:t>(36)</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A</w:t>
      </w:r>
      <w:r w:rsidRPr="00BB5F17">
        <w:rPr>
          <w:i/>
          <w:iCs/>
          <w:szCs w:val="24"/>
          <w:vertAlign w:val="subscript"/>
          <w:lang w:val="es-ES"/>
        </w:rPr>
        <w:t>S</w:t>
      </w:r>
      <w:r w:rsidRPr="00BB5F17">
        <w:rPr>
          <w:lang w:val="es-ES"/>
        </w:rPr>
        <w:t>:</w:t>
      </w:r>
      <w:r w:rsidRPr="00BB5F17">
        <w:rPr>
          <w:szCs w:val="24"/>
          <w:lang w:val="es-ES"/>
        </w:rPr>
        <w:tab/>
        <w:t>superficie del sector (km</w:t>
      </w:r>
      <w:r w:rsidRPr="00BB5F17">
        <w:rPr>
          <w:szCs w:val="24"/>
          <w:vertAlign w:val="superscript"/>
          <w:lang w:val="es-ES"/>
        </w:rPr>
        <w:t>2</w:t>
      </w:r>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R</w:t>
      </w:r>
      <w:r w:rsidRPr="00BB5F17">
        <w:rPr>
          <w:lang w:val="es-ES"/>
        </w:rPr>
        <w:t>:</w:t>
      </w:r>
      <w:r w:rsidRPr="00BB5F17">
        <w:rPr>
          <w:szCs w:val="24"/>
          <w:lang w:val="es-ES"/>
        </w:rPr>
        <w:tab/>
        <w:t>radio del sector (km)</w:t>
      </w:r>
    </w:p>
    <w:p w:rsidR="00256167" w:rsidRPr="00BB5F17" w:rsidRDefault="00256167" w:rsidP="00256167">
      <w:pPr>
        <w:pStyle w:val="Equationlegend"/>
        <w:rPr>
          <w:szCs w:val="24"/>
          <w:lang w:val="es-ES"/>
        </w:rPr>
      </w:pPr>
      <w:r w:rsidRPr="00BB5F17">
        <w:rPr>
          <w:szCs w:val="24"/>
          <w:lang w:val="es-ES"/>
        </w:rPr>
        <w:tab/>
      </w:r>
      <w:r w:rsidRPr="00BB5F17">
        <w:rPr>
          <w:iCs/>
          <w:szCs w:val="24"/>
          <w:lang w:val="es-ES"/>
        </w:rPr>
        <w:sym w:font="Symbol" w:char="F071"/>
      </w:r>
      <w:r w:rsidRPr="00BB5F17">
        <w:rPr>
          <w:lang w:val="es-ES"/>
        </w:rPr>
        <w:t>:</w:t>
      </w:r>
      <w:r w:rsidRPr="00BB5F17">
        <w:rPr>
          <w:szCs w:val="24"/>
          <w:lang w:val="es-ES"/>
        </w:rPr>
        <w:tab/>
        <w:t>anchura del sector (grados).</w:t>
      </w:r>
    </w:p>
    <w:p w:rsidR="00256167" w:rsidRPr="00BB5F17" w:rsidRDefault="00256167" w:rsidP="00256167">
      <w:pPr>
        <w:rPr>
          <w:lang w:val="es-ES"/>
        </w:rPr>
      </w:pPr>
      <w:r w:rsidRPr="00BB5F17">
        <w:rPr>
          <w:lang w:val="es-ES"/>
        </w:rPr>
        <w:t xml:space="preserve">En principio, y por regla general, se analizará toda la circunferencia alrededor del transmisor (360°) para conocer la zona denegada. En la práctica se comprobará seguramente que sólo son significativas determinadas porciones que tienen una determinada orientación (acimut). Por tanto, en muchos casos será suficiente considerar un solo sector de anchura igual al ancho del haz a media potencia de la antena para el diagrama de envolvente de radiación de la antena considerada. Así simplificado, el espacio geométrico denegado </w:t>
      </w:r>
      <w:r w:rsidRPr="00BB5F17">
        <w:rPr>
          <w:i/>
          <w:lang w:val="es-ES"/>
        </w:rPr>
        <w:t>S</w:t>
      </w:r>
      <w:r w:rsidRPr="00BB5F17">
        <w:rPr>
          <w:lang w:val="es-ES"/>
        </w:rPr>
        <w:t xml:space="preserve"> se podrá calcular con la siguiente </w:t>
      </w:r>
      <w:r>
        <w:rPr>
          <w:lang w:val="es-ES"/>
        </w:rPr>
        <w:t>ecuación</w:t>
      </w:r>
      <w:r w:rsidRPr="00BB5F17">
        <w:rPr>
          <w:lang w:val="es-ES"/>
        </w:rPr>
        <w:t>:</w:t>
      </w:r>
    </w:p>
    <w:p w:rsidR="00256167" w:rsidRPr="00BB5F17" w:rsidRDefault="00256167" w:rsidP="00256167">
      <w:pPr>
        <w:pStyle w:val="Equation"/>
        <w:rPr>
          <w:b/>
          <w:bCs/>
          <w:lang w:val="es-ES"/>
        </w:rPr>
      </w:pPr>
      <w:r w:rsidRPr="00BB5F17">
        <w:rPr>
          <w:lang w:val="es-ES"/>
        </w:rPr>
        <w:tab/>
      </w:r>
      <w:r w:rsidRPr="00BB5F17">
        <w:rPr>
          <w:lang w:val="es-ES"/>
        </w:rPr>
        <w:tab/>
      </w:r>
      <w:r w:rsidRPr="00BB5F17">
        <w:rPr>
          <w:position w:val="-24"/>
          <w:lang w:val="es-ES"/>
        </w:rPr>
        <w:object w:dxaOrig="1579" w:dyaOrig="700">
          <v:shape id="_x0000_i1067" type="#_x0000_t75" style="width:79.8pt;height:35.4pt" o:ole="">
            <v:imagedata r:id="rId102" o:title=""/>
          </v:shape>
          <o:OLEObject Type="Embed" ProgID="Equation.3" ShapeID="_x0000_i1067" DrawAspect="Content" ObjectID="_1376823641" r:id="rId103"/>
        </w:object>
      </w:r>
      <w:r w:rsidRPr="00BB5F17">
        <w:rPr>
          <w:lang w:val="es-ES"/>
        </w:rPr>
        <w:tab/>
        <w:t>(37)</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S</w:t>
      </w:r>
      <w:r w:rsidRPr="00BB5F17">
        <w:rPr>
          <w:lang w:val="es-ES"/>
        </w:rPr>
        <w:t>:</w:t>
      </w:r>
      <w:r w:rsidRPr="00BB5F17">
        <w:rPr>
          <w:szCs w:val="24"/>
          <w:lang w:val="es-ES"/>
        </w:rPr>
        <w:tab/>
        <w:t>espacio geométrico denegado (km</w:t>
      </w:r>
      <w:r w:rsidRPr="00BB5F17">
        <w:rPr>
          <w:szCs w:val="24"/>
          <w:vertAlign w:val="superscript"/>
          <w:lang w:val="es-ES"/>
        </w:rPr>
        <w:t>2</w:t>
      </w:r>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R</w:t>
      </w:r>
      <w:r w:rsidRPr="00BB5F17">
        <w:rPr>
          <w:lang w:val="es-ES"/>
        </w:rPr>
        <w:t>:</w:t>
      </w:r>
      <w:r w:rsidRPr="00BB5F17">
        <w:rPr>
          <w:szCs w:val="24"/>
          <w:lang w:val="es-ES"/>
        </w:rPr>
        <w:tab/>
        <w:t>radio del sector (km)</w:t>
      </w:r>
    </w:p>
    <w:p w:rsidR="00256167" w:rsidRPr="00BB5F17" w:rsidRDefault="00256167" w:rsidP="00256167">
      <w:pPr>
        <w:pStyle w:val="Equationlegend"/>
        <w:rPr>
          <w:szCs w:val="24"/>
          <w:lang w:val="es-ES"/>
        </w:rPr>
      </w:pPr>
      <w:r w:rsidRPr="00BB5F17">
        <w:rPr>
          <w:szCs w:val="24"/>
          <w:lang w:val="es-ES"/>
        </w:rPr>
        <w:tab/>
      </w:r>
      <w:r w:rsidRPr="00BB5F17">
        <w:rPr>
          <w:szCs w:val="24"/>
          <w:lang w:val="es-ES"/>
        </w:rPr>
        <w:sym w:font="Symbol" w:char="F071"/>
      </w:r>
      <w:r w:rsidRPr="00BB5F17">
        <w:rPr>
          <w:i/>
          <w:iCs/>
          <w:szCs w:val="24"/>
          <w:vertAlign w:val="subscript"/>
          <w:lang w:val="es-ES"/>
        </w:rPr>
        <w:t>HP</w:t>
      </w:r>
      <w:r w:rsidRPr="00BB5F17">
        <w:rPr>
          <w:lang w:val="es-ES"/>
        </w:rPr>
        <w:t>:</w:t>
      </w:r>
      <w:r w:rsidRPr="00BB5F17">
        <w:rPr>
          <w:szCs w:val="24"/>
          <w:lang w:val="es-ES"/>
        </w:rPr>
        <w:tab/>
        <w:t>abertura del haz de potencia mitad (grados).</w:t>
      </w:r>
    </w:p>
    <w:p w:rsidR="00256167" w:rsidRPr="00BB5F17" w:rsidRDefault="00256167" w:rsidP="00256167">
      <w:pPr>
        <w:rPr>
          <w:lang w:val="es-ES"/>
        </w:rPr>
      </w:pPr>
      <w:r w:rsidRPr="00BB5F17">
        <w:rPr>
          <w:lang w:val="es-ES"/>
        </w:rPr>
        <w:t xml:space="preserve">Cuando se calcula el radio del sector de la zona denegada del transmisor, se considera que hay un receptor apuntando al transmisor en el sentido de abertura del haz de cada sector. Asimismo, cuando se calcula el radio del sector de la zona de recepción denegada, se considera que hay un </w:t>
      </w:r>
      <w:r w:rsidRPr="00BB5F17">
        <w:rPr>
          <w:lang w:val="es-ES"/>
        </w:rPr>
        <w:lastRenderedPageBreak/>
        <w:t xml:space="preserve">transmisor apuntando al receptor en el sentido de abertura del haz de cada sector. El radio del sector puede calcularse con la siguiente </w:t>
      </w:r>
      <w:r>
        <w:rPr>
          <w:lang w:val="es-ES"/>
        </w:rPr>
        <w:t>ecuación:</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6"/>
          <w:lang w:val="es-ES"/>
        </w:rPr>
        <w:object w:dxaOrig="1080" w:dyaOrig="380">
          <v:shape id="_x0000_i1068" type="#_x0000_t75" style="width:54pt;height:18.6pt" o:ole="">
            <v:imagedata r:id="rId104" o:title=""/>
          </v:shape>
          <o:OLEObject Type="Embed" ProgID="Equation.3" ShapeID="_x0000_i1068" DrawAspect="Content" ObjectID="_1376823642" r:id="rId105"/>
        </w:object>
      </w:r>
      <w:r w:rsidRPr="00BB5F17">
        <w:rPr>
          <w:lang w:val="es-ES"/>
        </w:rPr>
        <w:tab/>
        <w:t>(38)</w:t>
      </w:r>
    </w:p>
    <w:p w:rsidR="00256167" w:rsidRPr="00BB5F17" w:rsidRDefault="00256167" w:rsidP="00256167">
      <w:pPr>
        <w:pStyle w:val="Equation"/>
        <w:rPr>
          <w:b/>
          <w:bCs/>
          <w:lang w:val="es-ES"/>
        </w:rPr>
      </w:pPr>
      <w:r w:rsidRPr="00BB5F17">
        <w:rPr>
          <w:lang w:val="es-ES"/>
        </w:rPr>
        <w:tab/>
      </w:r>
      <w:r w:rsidRPr="00BB5F17">
        <w:rPr>
          <w:lang w:val="es-ES"/>
        </w:rPr>
        <w:tab/>
      </w:r>
      <w:r w:rsidRPr="00BB5F17">
        <w:rPr>
          <w:i/>
          <w:szCs w:val="24"/>
          <w:lang w:val="es-ES"/>
        </w:rPr>
        <w:t>A</w:t>
      </w:r>
      <w:r w:rsidRPr="00BB5F17">
        <w:rPr>
          <w:szCs w:val="24"/>
          <w:lang w:val="es-ES"/>
        </w:rPr>
        <w:t xml:space="preserve"> = </w:t>
      </w:r>
      <w:r w:rsidRPr="00BB5F17">
        <w:rPr>
          <w:i/>
          <w:szCs w:val="24"/>
          <w:lang w:val="es-ES"/>
        </w:rPr>
        <w:t>P</w:t>
      </w:r>
      <w:r w:rsidRPr="00BB5F17">
        <w:rPr>
          <w:i/>
          <w:szCs w:val="24"/>
          <w:vertAlign w:val="subscript"/>
          <w:lang w:val="es-ES"/>
        </w:rPr>
        <w:t>TX</w:t>
      </w:r>
      <w:r w:rsidRPr="00BB5F17">
        <w:rPr>
          <w:szCs w:val="24"/>
          <w:vertAlign w:val="subscript"/>
          <w:lang w:val="es-ES"/>
        </w:rPr>
        <w:t xml:space="preserve">  </w:t>
      </w:r>
      <w:r w:rsidRPr="00BB5F17">
        <w:rPr>
          <w:szCs w:val="24"/>
          <w:lang w:val="es-ES"/>
        </w:rPr>
        <w:t xml:space="preserve">– </w:t>
      </w:r>
      <w:r w:rsidRPr="00BB5F17">
        <w:rPr>
          <w:i/>
          <w:szCs w:val="24"/>
          <w:lang w:val="es-ES"/>
        </w:rPr>
        <w:t>L</w:t>
      </w:r>
      <w:r w:rsidRPr="00BB5F17">
        <w:rPr>
          <w:i/>
          <w:szCs w:val="24"/>
          <w:vertAlign w:val="subscript"/>
          <w:lang w:val="es-ES"/>
        </w:rPr>
        <w:t>C TX</w:t>
      </w:r>
      <w:r w:rsidRPr="00BB5F17">
        <w:rPr>
          <w:szCs w:val="24"/>
          <w:vertAlign w:val="subscript"/>
          <w:lang w:val="es-ES"/>
        </w:rPr>
        <w:t xml:space="preserve">  </w:t>
      </w:r>
      <w:r w:rsidRPr="00BB5F17">
        <w:rPr>
          <w:szCs w:val="24"/>
          <w:lang w:val="es-ES"/>
        </w:rPr>
        <w:t xml:space="preserve">+ </w:t>
      </w:r>
      <w:r w:rsidRPr="00BB5F17">
        <w:rPr>
          <w:i/>
          <w:szCs w:val="24"/>
          <w:lang w:val="es-ES"/>
        </w:rPr>
        <w:t>G</w:t>
      </w:r>
      <w:r w:rsidRPr="00BB5F17">
        <w:rPr>
          <w:i/>
          <w:szCs w:val="24"/>
          <w:vertAlign w:val="subscript"/>
          <w:lang w:val="es-ES"/>
        </w:rPr>
        <w:t>TX</w:t>
      </w:r>
      <w:r w:rsidRPr="00BB5F17">
        <w:rPr>
          <w:szCs w:val="24"/>
          <w:lang w:val="es-ES"/>
        </w:rPr>
        <w:t xml:space="preserve"> + </w:t>
      </w:r>
      <w:r w:rsidRPr="00BB5F17">
        <w:rPr>
          <w:i/>
          <w:szCs w:val="24"/>
          <w:lang w:val="es-ES"/>
        </w:rPr>
        <w:t>G</w:t>
      </w:r>
      <w:r w:rsidRPr="00BB5F17">
        <w:rPr>
          <w:i/>
          <w:szCs w:val="24"/>
          <w:vertAlign w:val="subscript"/>
          <w:lang w:val="es-ES"/>
        </w:rPr>
        <w:t>RX</w:t>
      </w:r>
      <w:r w:rsidRPr="00BB5F17">
        <w:rPr>
          <w:szCs w:val="24"/>
          <w:lang w:val="es-ES"/>
        </w:rPr>
        <w:t xml:space="preserve">  – </w:t>
      </w:r>
      <w:r w:rsidRPr="00BB5F17">
        <w:rPr>
          <w:i/>
          <w:szCs w:val="24"/>
          <w:lang w:val="es-ES"/>
        </w:rPr>
        <w:t>L</w:t>
      </w:r>
      <w:r w:rsidRPr="00BB5F17">
        <w:rPr>
          <w:i/>
          <w:szCs w:val="24"/>
          <w:vertAlign w:val="subscript"/>
          <w:lang w:val="es-ES"/>
        </w:rPr>
        <w:t>C RX</w:t>
      </w:r>
      <w:r w:rsidRPr="00BB5F17">
        <w:rPr>
          <w:szCs w:val="24"/>
          <w:lang w:val="es-ES"/>
        </w:rPr>
        <w:t xml:space="preserve">  – </w:t>
      </w:r>
      <w:r w:rsidRPr="00BB5F17">
        <w:rPr>
          <w:i/>
          <w:szCs w:val="24"/>
          <w:lang w:val="es-ES"/>
        </w:rPr>
        <w:t>I</w:t>
      </w:r>
      <w:r w:rsidRPr="00BB5F17">
        <w:rPr>
          <w:i/>
          <w:szCs w:val="24"/>
          <w:vertAlign w:val="subscript"/>
          <w:lang w:val="es-ES"/>
        </w:rPr>
        <w:t>RX</w:t>
      </w:r>
      <w:r w:rsidRPr="00BB5F17">
        <w:rPr>
          <w:szCs w:val="24"/>
          <w:lang w:val="es-ES"/>
        </w:rPr>
        <w:t xml:space="preserve">  – 20 log (</w:t>
      </w:r>
      <w:r w:rsidRPr="00BB5F17">
        <w:rPr>
          <w:i/>
          <w:szCs w:val="24"/>
          <w:lang w:val="es-ES"/>
        </w:rPr>
        <w:t>f</w:t>
      </w:r>
      <w:r w:rsidRPr="00BB5F17">
        <w:rPr>
          <w:szCs w:val="24"/>
          <w:lang w:val="es-ES"/>
        </w:rPr>
        <w:t>) – 32</w:t>
      </w:r>
      <w:r>
        <w:rPr>
          <w:szCs w:val="24"/>
          <w:lang w:val="es-ES"/>
        </w:rPr>
        <w:t>,</w:t>
      </w:r>
      <w:r w:rsidRPr="00BB5F17">
        <w:rPr>
          <w:szCs w:val="24"/>
          <w:lang w:val="es-ES"/>
        </w:rPr>
        <w:t xml:space="preserve">44 – </w:t>
      </w:r>
      <w:r w:rsidRPr="00BB5F17">
        <w:rPr>
          <w:i/>
          <w:szCs w:val="24"/>
          <w:lang w:val="es-ES"/>
        </w:rPr>
        <w:t>A</w:t>
      </w:r>
      <w:r w:rsidRPr="00BB5F17">
        <w:rPr>
          <w:i/>
          <w:szCs w:val="24"/>
          <w:vertAlign w:val="subscript"/>
          <w:lang w:val="es-ES"/>
        </w:rPr>
        <w:t>D</w:t>
      </w:r>
      <w:r w:rsidRPr="00BB5F17">
        <w:rPr>
          <w:lang w:val="es-ES"/>
        </w:rPr>
        <w:tab/>
        <w:t>(39)</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lang w:val="es-ES"/>
        </w:rPr>
        <w:tab/>
      </w:r>
      <w:r w:rsidRPr="00BB5F17">
        <w:rPr>
          <w:i/>
          <w:iCs/>
          <w:szCs w:val="24"/>
          <w:lang w:val="es-ES"/>
        </w:rPr>
        <w:t>P</w:t>
      </w:r>
      <w:r w:rsidRPr="00BB5F17">
        <w:rPr>
          <w:i/>
          <w:iCs/>
          <w:szCs w:val="24"/>
          <w:vertAlign w:val="subscript"/>
          <w:lang w:val="es-ES"/>
        </w:rPr>
        <w:t>TX</w:t>
      </w:r>
      <w:r w:rsidRPr="00BB5F17">
        <w:rPr>
          <w:lang w:val="es-ES"/>
        </w:rPr>
        <w:t>:</w:t>
      </w:r>
      <w:r w:rsidRPr="00BB5F17">
        <w:rPr>
          <w:szCs w:val="24"/>
          <w:lang w:val="es-ES"/>
        </w:rPr>
        <w:tab/>
        <w:t>potencia de transmisión (</w:t>
      </w:r>
      <w:proofErr w:type="spellStart"/>
      <w:r w:rsidRPr="00BB5F17">
        <w:rPr>
          <w:szCs w:val="24"/>
          <w:lang w:val="es-ES"/>
        </w:rPr>
        <w:t>dBm</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L</w:t>
      </w:r>
      <w:r w:rsidRPr="00BB5F17">
        <w:rPr>
          <w:i/>
          <w:iCs/>
          <w:szCs w:val="24"/>
          <w:vertAlign w:val="subscript"/>
          <w:lang w:val="es-ES"/>
        </w:rPr>
        <w:t>C TX</w:t>
      </w:r>
      <w:r w:rsidRPr="00BB5F17">
        <w:rPr>
          <w:lang w:val="es-ES"/>
        </w:rPr>
        <w:t>:</w:t>
      </w:r>
      <w:r w:rsidRPr="00BB5F17">
        <w:rPr>
          <w:szCs w:val="24"/>
          <w:lang w:val="es-ES"/>
        </w:rPr>
        <w:tab/>
        <w:t>atenuación del circuito de transmisión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G</w:t>
      </w:r>
      <w:r w:rsidRPr="00BB5F17">
        <w:rPr>
          <w:i/>
          <w:iCs/>
          <w:szCs w:val="24"/>
          <w:vertAlign w:val="subscript"/>
          <w:lang w:val="es-ES"/>
        </w:rPr>
        <w:t>TX</w:t>
      </w:r>
      <w:r w:rsidRPr="00BB5F17">
        <w:rPr>
          <w:lang w:val="es-ES"/>
        </w:rPr>
        <w:t>:</w:t>
      </w:r>
      <w:r w:rsidRPr="00BB5F17">
        <w:rPr>
          <w:szCs w:val="24"/>
          <w:lang w:val="es-ES"/>
        </w:rPr>
        <w:tab/>
        <w:t>ganancia de la antena de transmisión en el centro de la abertura del haz del sector (</w:t>
      </w:r>
      <w:proofErr w:type="spellStart"/>
      <w:r w:rsidRPr="00BB5F17">
        <w:rPr>
          <w:szCs w:val="24"/>
          <w:lang w:val="es-ES"/>
        </w:rPr>
        <w:t>dBi</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G</w:t>
      </w:r>
      <w:r w:rsidRPr="00BB5F17">
        <w:rPr>
          <w:i/>
          <w:iCs/>
          <w:szCs w:val="24"/>
          <w:vertAlign w:val="subscript"/>
          <w:lang w:val="es-ES"/>
        </w:rPr>
        <w:t>RX</w:t>
      </w:r>
      <w:r w:rsidRPr="00BB5F17">
        <w:rPr>
          <w:lang w:val="es-ES"/>
        </w:rPr>
        <w:t>:</w:t>
      </w:r>
      <w:r w:rsidRPr="00BB5F17">
        <w:rPr>
          <w:szCs w:val="24"/>
          <w:lang w:val="es-ES"/>
        </w:rPr>
        <w:tab/>
        <w:t>ganancia de la antena de receptor en el sentido del transmisor (acimut) (</w:t>
      </w:r>
      <w:proofErr w:type="spellStart"/>
      <w:r w:rsidRPr="00BB5F17">
        <w:rPr>
          <w:szCs w:val="24"/>
          <w:lang w:val="es-ES"/>
        </w:rPr>
        <w:t>dBi</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L</w:t>
      </w:r>
      <w:r w:rsidRPr="00BB5F17">
        <w:rPr>
          <w:i/>
          <w:iCs/>
          <w:szCs w:val="24"/>
          <w:vertAlign w:val="subscript"/>
          <w:lang w:val="es-ES"/>
        </w:rPr>
        <w:t>C RX</w:t>
      </w:r>
      <w:r w:rsidRPr="00BB5F17">
        <w:rPr>
          <w:lang w:val="es-ES"/>
        </w:rPr>
        <w:t>:</w:t>
      </w:r>
      <w:r w:rsidRPr="00BB5F17">
        <w:rPr>
          <w:szCs w:val="24"/>
          <w:lang w:val="es-ES"/>
        </w:rPr>
        <w:tab/>
        <w:t>atenuación del circuito receptor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I</w:t>
      </w:r>
      <w:r w:rsidRPr="00BB5F17">
        <w:rPr>
          <w:i/>
          <w:iCs/>
          <w:szCs w:val="24"/>
          <w:vertAlign w:val="subscript"/>
          <w:lang w:val="es-ES"/>
        </w:rPr>
        <w:t>RX</w:t>
      </w:r>
      <w:r w:rsidRPr="00BB5F17">
        <w:rPr>
          <w:lang w:val="es-ES"/>
        </w:rPr>
        <w:t>:</w:t>
      </w:r>
      <w:r w:rsidRPr="00BB5F17">
        <w:rPr>
          <w:szCs w:val="24"/>
          <w:lang w:val="es-ES"/>
        </w:rPr>
        <w:tab/>
        <w:t>umbral de interferencia del receptor (</w:t>
      </w:r>
      <w:proofErr w:type="spellStart"/>
      <w:r w:rsidRPr="00BB5F17">
        <w:rPr>
          <w:szCs w:val="24"/>
          <w:lang w:val="es-ES"/>
        </w:rPr>
        <w:t>dBm</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f</w:t>
      </w:r>
      <w:r w:rsidRPr="00BB5F17">
        <w:rPr>
          <w:lang w:val="es-ES"/>
        </w:rPr>
        <w:t>:</w:t>
      </w:r>
      <w:r w:rsidRPr="00BB5F17">
        <w:rPr>
          <w:szCs w:val="24"/>
          <w:lang w:val="es-ES"/>
        </w:rPr>
        <w:tab/>
        <w:t>frecuencia central de funcionamiento (MHz)</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A</w:t>
      </w:r>
      <w:r w:rsidRPr="00BB5F17">
        <w:rPr>
          <w:i/>
          <w:iCs/>
          <w:szCs w:val="24"/>
          <w:vertAlign w:val="subscript"/>
          <w:lang w:val="es-ES"/>
        </w:rPr>
        <w:t>D</w:t>
      </w:r>
      <w:r w:rsidRPr="00BB5F17">
        <w:rPr>
          <w:lang w:val="es-ES"/>
        </w:rPr>
        <w:t>:</w:t>
      </w:r>
      <w:r w:rsidRPr="00BB5F17">
        <w:rPr>
          <w:szCs w:val="24"/>
          <w:lang w:val="es-ES"/>
        </w:rPr>
        <w:tab/>
        <w:t>atenuación de difracción adicional (dB).</w:t>
      </w:r>
    </w:p>
    <w:p w:rsidR="00256167" w:rsidRPr="00BB5F17" w:rsidRDefault="00256167" w:rsidP="00256167">
      <w:pPr>
        <w:rPr>
          <w:lang w:val="es-ES"/>
        </w:rPr>
      </w:pPr>
      <w:r w:rsidRPr="00BB5F17">
        <w:rPr>
          <w:lang w:val="es-ES"/>
        </w:rPr>
        <w:t xml:space="preserve">En el caso de enlaces de difracción, la atenuación de difracción adicional </w:t>
      </w:r>
      <w:r w:rsidRPr="00BB5F17">
        <w:rPr>
          <w:i/>
          <w:iCs/>
          <w:szCs w:val="24"/>
          <w:lang w:val="es-ES"/>
        </w:rPr>
        <w:t>A</w:t>
      </w:r>
      <w:r w:rsidRPr="00BB5F17">
        <w:rPr>
          <w:i/>
          <w:iCs/>
          <w:szCs w:val="24"/>
          <w:vertAlign w:val="subscript"/>
          <w:lang w:val="es-ES"/>
        </w:rPr>
        <w:t>D</w:t>
      </w:r>
      <w:r w:rsidRPr="00BB5F17">
        <w:rPr>
          <w:lang w:val="es-ES"/>
        </w:rPr>
        <w:t xml:space="preserve"> puede calcularse con la siguiente </w:t>
      </w:r>
      <w:r>
        <w:rPr>
          <w:lang w:val="es-ES"/>
        </w:rPr>
        <w:t>ecuación</w:t>
      </w:r>
      <w:r w:rsidRPr="00BB5F17">
        <w:rPr>
          <w:lang w:val="es-ES"/>
        </w:rPr>
        <w:t>:</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i/>
          <w:iCs/>
          <w:sz w:val="28"/>
          <w:szCs w:val="28"/>
          <w:lang w:val="es-ES"/>
        </w:rPr>
        <w:tab/>
      </w:r>
      <w:r w:rsidRPr="00BB5F17">
        <w:rPr>
          <w:i/>
          <w:iCs/>
          <w:sz w:val="28"/>
          <w:szCs w:val="28"/>
          <w:lang w:val="es-ES"/>
        </w:rPr>
        <w:tab/>
      </w:r>
      <w:r w:rsidRPr="00BB5F17">
        <w:rPr>
          <w:position w:val="-30"/>
          <w:lang w:val="es-ES"/>
        </w:rPr>
        <w:object w:dxaOrig="1440" w:dyaOrig="680">
          <v:shape id="_x0000_i1069" type="#_x0000_t75" style="width:1in;height:33.6pt" o:ole="">
            <v:imagedata r:id="rId106" o:title=""/>
          </v:shape>
          <o:OLEObject Type="Embed" ProgID="Equation.3" ShapeID="_x0000_i1069" DrawAspect="Content" ObjectID="_1376823643" r:id="rId107"/>
        </w:object>
      </w:r>
      <w:r w:rsidRPr="00BB5F17">
        <w:rPr>
          <w:i/>
          <w:iCs/>
          <w:sz w:val="28"/>
          <w:szCs w:val="28"/>
          <w:lang w:val="es-ES"/>
        </w:rPr>
        <w:tab/>
      </w:r>
      <w:r w:rsidRPr="00BB5F17">
        <w:rPr>
          <w:lang w:val="es-ES"/>
        </w:rPr>
        <w:t>(40)</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A</w:t>
      </w:r>
      <w:r w:rsidRPr="00BB5F17">
        <w:rPr>
          <w:i/>
          <w:iCs/>
          <w:szCs w:val="24"/>
          <w:vertAlign w:val="subscript"/>
          <w:lang w:val="es-ES"/>
        </w:rPr>
        <w:t>D</w:t>
      </w:r>
      <w:r w:rsidRPr="00BB5F17">
        <w:rPr>
          <w:lang w:val="es-ES"/>
        </w:rPr>
        <w:t>:</w:t>
      </w:r>
      <w:r w:rsidRPr="00BB5F17">
        <w:rPr>
          <w:szCs w:val="24"/>
          <w:lang w:val="es-ES"/>
        </w:rPr>
        <w:tab/>
        <w:t>atenuación de difracción adicional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h</w:t>
      </w:r>
      <w:r w:rsidRPr="00BB5F17">
        <w:rPr>
          <w:lang w:val="es-ES"/>
        </w:rPr>
        <w:t>:</w:t>
      </w:r>
      <w:r w:rsidRPr="00BB5F17">
        <w:rPr>
          <w:szCs w:val="24"/>
          <w:lang w:val="es-ES"/>
        </w:rPr>
        <w:tab/>
        <w:t>distancia entre el obstáculo más perjudicial y la línea de visibilidad directa (</w:t>
      </w:r>
      <w:r w:rsidRPr="00BB5F17">
        <w:rPr>
          <w:i/>
          <w:iCs/>
          <w:szCs w:val="24"/>
          <w:lang w:val="es-ES"/>
        </w:rPr>
        <w:t>h</w:t>
      </w:r>
      <w:r>
        <w:rPr>
          <w:i/>
          <w:iCs/>
          <w:szCs w:val="24"/>
          <w:lang w:val="es-ES"/>
        </w:rPr>
        <w:t> </w:t>
      </w:r>
      <w:r w:rsidRPr="00BB5F17">
        <w:rPr>
          <w:szCs w:val="24"/>
          <w:lang w:val="es-ES"/>
        </w:rPr>
        <w:t>es negativo si la línea de visibilidad está obstruida) (m)</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F</w:t>
      </w:r>
      <w:r w:rsidRPr="00BB5F17">
        <w:rPr>
          <w:iCs/>
          <w:szCs w:val="24"/>
          <w:vertAlign w:val="subscript"/>
          <w:lang w:val="es-ES"/>
        </w:rPr>
        <w:t>1</w:t>
      </w:r>
      <w:r w:rsidRPr="00BB5F17">
        <w:rPr>
          <w:lang w:val="es-ES"/>
        </w:rPr>
        <w:t>:</w:t>
      </w:r>
      <w:r w:rsidRPr="00BB5F17">
        <w:rPr>
          <w:szCs w:val="24"/>
          <w:lang w:val="es-ES"/>
        </w:rPr>
        <w:tab/>
        <w:t xml:space="preserve">primer radio del elipsoide de </w:t>
      </w:r>
      <w:proofErr w:type="spellStart"/>
      <w:r w:rsidRPr="00BB5F17">
        <w:rPr>
          <w:szCs w:val="24"/>
          <w:lang w:val="es-ES"/>
        </w:rPr>
        <w:t>Fresnel</w:t>
      </w:r>
      <w:proofErr w:type="spellEnd"/>
      <w:r w:rsidRPr="00BB5F17">
        <w:rPr>
          <w:szCs w:val="24"/>
          <w:lang w:val="es-ES"/>
        </w:rPr>
        <w:t xml:space="preserve"> en </w:t>
      </w:r>
      <w:r w:rsidRPr="00BB5F17">
        <w:rPr>
          <w:i/>
          <w:iCs/>
          <w:szCs w:val="24"/>
          <w:lang w:val="es-ES"/>
        </w:rPr>
        <w:t>h</w:t>
      </w:r>
      <w:r w:rsidRPr="00BB5F17">
        <w:rPr>
          <w:szCs w:val="24"/>
          <w:lang w:val="es-ES"/>
        </w:rPr>
        <w:t xml:space="preserve"> (m).</w:t>
      </w:r>
    </w:p>
    <w:p w:rsidR="00256167" w:rsidRPr="00BB5F17" w:rsidRDefault="00256167" w:rsidP="00256167">
      <w:pPr>
        <w:pStyle w:val="Note"/>
        <w:rPr>
          <w:lang w:val="es-ES"/>
        </w:rPr>
      </w:pPr>
      <w:r w:rsidRPr="00BB5F17">
        <w:rPr>
          <w:lang w:val="es-ES"/>
        </w:rPr>
        <w:t>NOTA</w:t>
      </w:r>
      <w:r>
        <w:rPr>
          <w:lang w:val="es-ES"/>
        </w:rPr>
        <w:t> </w:t>
      </w:r>
      <w:r w:rsidRPr="00BB5F17">
        <w:rPr>
          <w:lang w:val="es-ES"/>
        </w:rPr>
        <w:t>1</w:t>
      </w:r>
      <w:r>
        <w:rPr>
          <w:lang w:val="es-ES"/>
        </w:rPr>
        <w:t> </w:t>
      </w:r>
      <w:r w:rsidRPr="00BB5F17">
        <w:rPr>
          <w:lang w:val="es-ES"/>
        </w:rPr>
        <w:t>–</w:t>
      </w:r>
      <w:r>
        <w:rPr>
          <w:lang w:val="es-ES"/>
        </w:rPr>
        <w:t> </w:t>
      </w:r>
      <w:r w:rsidRPr="00BB5F17">
        <w:rPr>
          <w:lang w:val="es-ES"/>
        </w:rPr>
        <w:t>En la atenuación de difracción adicional adoptada sólo se considera el peor obstáculo. Pueden adoptarse otros modelos más realistas.</w:t>
      </w:r>
    </w:p>
    <w:p w:rsidR="00256167" w:rsidRPr="00BB5F17" w:rsidRDefault="00256167" w:rsidP="00256167">
      <w:pPr>
        <w:rPr>
          <w:lang w:val="es-ES"/>
        </w:rPr>
      </w:pPr>
      <w:r w:rsidRPr="00BB5F17">
        <w:rPr>
          <w:lang w:val="es-ES"/>
        </w:rPr>
        <w:t xml:space="preserve">El modelo de propagación adoptado para el análisis de un sistema genérico era de propagación en espacio libre. Si se conoce la posición del sistema se podrán adoptar otros modelos de propagación menos prudentes. </w:t>
      </w:r>
    </w:p>
    <w:p w:rsidR="00256167" w:rsidRPr="00BB5F17" w:rsidRDefault="00256167" w:rsidP="00256167">
      <w:pPr>
        <w:rPr>
          <w:lang w:val="es-ES"/>
        </w:rPr>
      </w:pPr>
      <w:r w:rsidRPr="00BB5F17">
        <w:rPr>
          <w:lang w:val="es-ES"/>
        </w:rPr>
        <w:t>El nivel umbral de interferencia del receptor</w:t>
      </w:r>
      <w:r>
        <w:rPr>
          <w:lang w:val="es-ES"/>
        </w:rPr>
        <w:t>,</w:t>
      </w:r>
      <w:r w:rsidRPr="00BB5F17">
        <w:rPr>
          <w:lang w:val="es-ES"/>
        </w:rPr>
        <w:t xml:space="preserve"> </w:t>
      </w:r>
      <w:r w:rsidRPr="00BB5F17">
        <w:rPr>
          <w:i/>
          <w:iCs/>
          <w:lang w:val="es-ES"/>
        </w:rPr>
        <w:t>I</w:t>
      </w:r>
      <w:r w:rsidRPr="00BB5F17">
        <w:rPr>
          <w:i/>
          <w:iCs/>
          <w:vertAlign w:val="subscript"/>
          <w:lang w:val="es-ES"/>
        </w:rPr>
        <w:t>RX</w:t>
      </w:r>
      <w:r>
        <w:rPr>
          <w:lang w:val="es-ES"/>
        </w:rPr>
        <w:t>,</w:t>
      </w:r>
      <w:r w:rsidRPr="00BB5F17">
        <w:rPr>
          <w:lang w:val="es-ES"/>
        </w:rPr>
        <w:t xml:space="preserve"> puede calcularse de dos formas:</w:t>
      </w:r>
    </w:p>
    <w:p w:rsidR="00256167" w:rsidRPr="00BB5F17" w:rsidRDefault="00256167" w:rsidP="00256167">
      <w:pPr>
        <w:pStyle w:val="Headingi"/>
        <w:rPr>
          <w:lang w:val="es-ES"/>
        </w:rPr>
      </w:pPr>
      <w:r w:rsidRPr="00BB5F17">
        <w:rPr>
          <w:lang w:val="es-ES"/>
        </w:rPr>
        <w:t>Método A</w:t>
      </w:r>
    </w:p>
    <w:p w:rsidR="00256167" w:rsidRPr="00BB5F17" w:rsidRDefault="00256167" w:rsidP="00256167">
      <w:pPr>
        <w:rPr>
          <w:lang w:val="es-ES"/>
        </w:rPr>
      </w:pPr>
      <w:r w:rsidRPr="00BB5F17">
        <w:rPr>
          <w:lang w:val="es-ES"/>
        </w:rPr>
        <w:t xml:space="preserve">Si se conoce el valor máximo de la relación portadora/interferencia para el receptor del sistema interferido, puede considerarse que la señal </w:t>
      </w:r>
      <w:r w:rsidRPr="00BB5F17">
        <w:rPr>
          <w:i/>
          <w:lang w:val="es-ES"/>
        </w:rPr>
        <w:t>C</w:t>
      </w:r>
      <w:r w:rsidRPr="00BB5F17">
        <w:rPr>
          <w:lang w:val="es-ES"/>
        </w:rPr>
        <w:t xml:space="preserve"> recibida por los receptores del enlace interferido es igual a la sensibilidad del equipo de recepción, con lo que se conoce directamente</w:t>
      </w:r>
      <w:r>
        <w:rPr>
          <w:lang w:val="es-ES"/>
        </w:rPr>
        <w:t>,</w:t>
      </w:r>
      <w:r w:rsidRPr="00BB5F17">
        <w:rPr>
          <w:lang w:val="es-ES"/>
        </w:rPr>
        <w:t xml:space="preserve"> </w:t>
      </w:r>
      <w:r w:rsidRPr="00BB5F17">
        <w:rPr>
          <w:i/>
          <w:iCs/>
          <w:lang w:val="es-ES"/>
        </w:rPr>
        <w:t>I</w:t>
      </w:r>
      <w:r w:rsidRPr="00BB5F17">
        <w:rPr>
          <w:i/>
          <w:iCs/>
          <w:vertAlign w:val="subscript"/>
          <w:lang w:val="es-ES"/>
        </w:rPr>
        <w:t>RX</w:t>
      </w:r>
      <w:r w:rsidRPr="00BB5F17">
        <w:rPr>
          <w:lang w:val="es-ES"/>
        </w:rPr>
        <w:t>:</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i/>
          <w:lang w:val="es-ES"/>
        </w:rPr>
        <w:t>I</w:t>
      </w:r>
      <w:r w:rsidRPr="00BB5F17">
        <w:rPr>
          <w:i/>
          <w:vertAlign w:val="subscript"/>
          <w:lang w:val="es-ES"/>
        </w:rPr>
        <w:t>RX</w:t>
      </w:r>
      <w:r w:rsidRPr="00BB5F17">
        <w:rPr>
          <w:lang w:val="es-ES"/>
        </w:rPr>
        <w:t xml:space="preserve"> = </w:t>
      </w:r>
      <w:r w:rsidRPr="00BB5F17">
        <w:rPr>
          <w:i/>
          <w:lang w:val="es-ES"/>
        </w:rPr>
        <w:t>C</w:t>
      </w:r>
      <w:r w:rsidRPr="00BB5F17">
        <w:rPr>
          <w:lang w:val="es-ES"/>
        </w:rPr>
        <w:t xml:space="preserve"> – </w:t>
      </w:r>
      <w:r w:rsidRPr="00BB5F17">
        <w:rPr>
          <w:i/>
          <w:lang w:val="es-ES"/>
        </w:rPr>
        <w:t>C</w:t>
      </w:r>
      <w:r w:rsidRPr="00BB5F17">
        <w:rPr>
          <w:lang w:val="es-ES"/>
        </w:rPr>
        <w:t>/</w:t>
      </w:r>
      <w:r w:rsidRPr="00BB5F17">
        <w:rPr>
          <w:i/>
          <w:lang w:val="es-ES"/>
        </w:rPr>
        <w:t>I</w:t>
      </w:r>
      <w:r w:rsidRPr="00BB5F17">
        <w:rPr>
          <w:i/>
          <w:vertAlign w:val="subscript"/>
          <w:lang w:val="es-ES"/>
        </w:rPr>
        <w:t>M</w:t>
      </w:r>
      <w:r>
        <w:rPr>
          <w:i/>
          <w:vertAlign w:val="subscript"/>
          <w:lang w:val="es-ES"/>
        </w:rPr>
        <w:t>Á</w:t>
      </w:r>
      <w:r w:rsidRPr="00BB5F17">
        <w:rPr>
          <w:i/>
          <w:vertAlign w:val="subscript"/>
          <w:lang w:val="es-ES"/>
        </w:rPr>
        <w:t>X</w:t>
      </w:r>
      <w:r w:rsidRPr="00BB5F17">
        <w:rPr>
          <w:lang w:val="es-ES"/>
        </w:rPr>
        <w:tab/>
        <w:t>(41)</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lang w:val="es-ES"/>
        </w:rPr>
        <w:tab/>
      </w:r>
      <w:r w:rsidRPr="00BB5F17">
        <w:rPr>
          <w:i/>
          <w:iCs/>
          <w:szCs w:val="24"/>
          <w:lang w:val="es-ES"/>
        </w:rPr>
        <w:t>I</w:t>
      </w:r>
      <w:r w:rsidRPr="00BB5F17">
        <w:rPr>
          <w:i/>
          <w:iCs/>
          <w:szCs w:val="24"/>
          <w:vertAlign w:val="subscript"/>
          <w:lang w:val="es-ES"/>
        </w:rPr>
        <w:t>RX</w:t>
      </w:r>
      <w:r w:rsidRPr="00BB5F17">
        <w:rPr>
          <w:lang w:val="es-ES"/>
        </w:rPr>
        <w:t>:</w:t>
      </w:r>
      <w:r w:rsidRPr="00BB5F17">
        <w:rPr>
          <w:szCs w:val="24"/>
          <w:lang w:val="es-ES"/>
        </w:rPr>
        <w:tab/>
        <w:t>nivel umbral de interferencia del receptor (</w:t>
      </w:r>
      <w:proofErr w:type="spellStart"/>
      <w:r w:rsidRPr="00BB5F17">
        <w:rPr>
          <w:szCs w:val="24"/>
          <w:lang w:val="es-ES"/>
        </w:rPr>
        <w:t>dBm</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C</w:t>
      </w:r>
      <w:r w:rsidRPr="00BB5F17">
        <w:rPr>
          <w:lang w:val="es-ES"/>
        </w:rPr>
        <w:t>:</w:t>
      </w:r>
      <w:r w:rsidRPr="00BB5F17">
        <w:rPr>
          <w:szCs w:val="24"/>
          <w:lang w:val="es-ES"/>
        </w:rPr>
        <w:tab/>
        <w:t>nivel de señal en los receptores según la sensi</w:t>
      </w:r>
      <w:r w:rsidR="00BB37EC">
        <w:rPr>
          <w:szCs w:val="24"/>
          <w:lang w:val="es-ES"/>
        </w:rPr>
        <w:t xml:space="preserve">bilidad del equipo de recepción </w:t>
      </w:r>
      <w:r w:rsidRPr="00BB5F17">
        <w:rPr>
          <w:szCs w:val="24"/>
          <w:lang w:val="es-ES"/>
        </w:rPr>
        <w:t>(</w:t>
      </w:r>
      <w:proofErr w:type="spellStart"/>
      <w:r w:rsidRPr="00BB5F17">
        <w:rPr>
          <w:szCs w:val="24"/>
          <w:lang w:val="es-ES"/>
        </w:rPr>
        <w:t>dBm</w:t>
      </w:r>
      <w:proofErr w:type="spellEnd"/>
      <w:r w:rsidRPr="00BB5F17">
        <w:rPr>
          <w:szCs w:val="24"/>
          <w:lang w:val="es-ES"/>
        </w:rPr>
        <w:t>)</w:t>
      </w:r>
    </w:p>
    <w:p w:rsidR="00256167" w:rsidRPr="00BB5F17" w:rsidRDefault="00256167" w:rsidP="00D65300">
      <w:pPr>
        <w:pStyle w:val="Equationlegend"/>
        <w:rPr>
          <w:szCs w:val="24"/>
          <w:lang w:val="es-ES"/>
        </w:rPr>
      </w:pPr>
      <w:r w:rsidRPr="00BB5F17">
        <w:rPr>
          <w:szCs w:val="24"/>
          <w:lang w:val="es-ES"/>
        </w:rPr>
        <w:tab/>
      </w:r>
      <w:r w:rsidRPr="00BB5F17">
        <w:rPr>
          <w:i/>
          <w:iCs/>
          <w:szCs w:val="24"/>
          <w:lang w:val="es-ES"/>
        </w:rPr>
        <w:t>I</w:t>
      </w:r>
      <w:r w:rsidRPr="00BB5F17">
        <w:rPr>
          <w:i/>
          <w:iCs/>
          <w:szCs w:val="24"/>
          <w:vertAlign w:val="subscript"/>
          <w:lang w:val="es-ES"/>
        </w:rPr>
        <w:t>M</w:t>
      </w:r>
      <w:r w:rsidR="00D65300">
        <w:rPr>
          <w:i/>
          <w:iCs/>
          <w:szCs w:val="24"/>
          <w:vertAlign w:val="subscript"/>
          <w:lang w:val="es-ES"/>
        </w:rPr>
        <w:t>Á</w:t>
      </w:r>
      <w:r w:rsidRPr="00BB5F17">
        <w:rPr>
          <w:i/>
          <w:iCs/>
          <w:szCs w:val="24"/>
          <w:vertAlign w:val="subscript"/>
          <w:lang w:val="es-ES"/>
        </w:rPr>
        <w:t>X</w:t>
      </w:r>
      <w:r w:rsidRPr="00BB5F17">
        <w:rPr>
          <w:lang w:val="es-ES"/>
        </w:rPr>
        <w:t>:</w:t>
      </w:r>
      <w:r w:rsidRPr="00BB5F17">
        <w:rPr>
          <w:szCs w:val="24"/>
          <w:lang w:val="es-ES"/>
        </w:rPr>
        <w:tab/>
        <w:t>nivel de interferencia máximo en el receptor.</w:t>
      </w:r>
    </w:p>
    <w:p w:rsidR="00256167" w:rsidRPr="00BB5F17" w:rsidRDefault="00256167" w:rsidP="00256167">
      <w:pPr>
        <w:pStyle w:val="Headingi"/>
        <w:rPr>
          <w:lang w:val="es-ES"/>
        </w:rPr>
      </w:pPr>
      <w:r w:rsidRPr="00BB5F17">
        <w:rPr>
          <w:lang w:val="es-ES"/>
        </w:rPr>
        <w:lastRenderedPageBreak/>
        <w:t>Método B</w:t>
      </w:r>
    </w:p>
    <w:p w:rsidR="00256167" w:rsidRPr="00BB5F17" w:rsidRDefault="00256167" w:rsidP="00256167">
      <w:pPr>
        <w:rPr>
          <w:lang w:val="es-ES"/>
        </w:rPr>
      </w:pPr>
      <w:r w:rsidRPr="00BB5F17">
        <w:rPr>
          <w:lang w:val="es-ES"/>
        </w:rPr>
        <w:t xml:space="preserve">Cuando no se conoce el valor de la relación </w:t>
      </w:r>
      <w:r w:rsidRPr="00BB5F17">
        <w:rPr>
          <w:i/>
          <w:lang w:val="es-ES"/>
        </w:rPr>
        <w:t>C/I</w:t>
      </w:r>
      <w:r w:rsidRPr="00BB5F17">
        <w:rPr>
          <w:i/>
          <w:vertAlign w:val="subscript"/>
          <w:lang w:val="es-ES"/>
        </w:rPr>
        <w:t>M</w:t>
      </w:r>
      <w:r>
        <w:rPr>
          <w:i/>
          <w:vertAlign w:val="subscript"/>
          <w:lang w:val="es-ES"/>
        </w:rPr>
        <w:t>Á</w:t>
      </w:r>
      <w:r w:rsidRPr="00BB5F17">
        <w:rPr>
          <w:i/>
          <w:vertAlign w:val="subscript"/>
          <w:lang w:val="es-ES"/>
        </w:rPr>
        <w:t>X</w:t>
      </w:r>
      <w:r w:rsidRPr="00BB5F17">
        <w:rPr>
          <w:lang w:val="es-ES"/>
        </w:rPr>
        <w:t xml:space="preserve">, hay que definir el margen mínimo necesario en el receptor para poder calcular </w:t>
      </w:r>
      <w:r w:rsidRPr="00BB5F17">
        <w:rPr>
          <w:i/>
          <w:lang w:val="es-ES"/>
        </w:rPr>
        <w:t>I</w:t>
      </w:r>
      <w:r w:rsidRPr="00BB5F17">
        <w:rPr>
          <w:i/>
          <w:vertAlign w:val="subscript"/>
          <w:lang w:val="es-ES"/>
        </w:rPr>
        <w:t>RX</w:t>
      </w:r>
      <w:r w:rsidRPr="00BB5F17">
        <w:rPr>
          <w:lang w:val="es-ES"/>
        </w:rPr>
        <w:t>. En este caso:</w:t>
      </w:r>
    </w:p>
    <w:p w:rsidR="00256167" w:rsidRPr="00BB5F17" w:rsidRDefault="00256167" w:rsidP="00256167">
      <w:pPr>
        <w:pStyle w:val="Equation"/>
        <w:rPr>
          <w:lang w:val="es-ES"/>
        </w:rPr>
      </w:pPr>
      <w:r w:rsidRPr="00BB5F17">
        <w:rPr>
          <w:lang w:val="es-ES"/>
        </w:rPr>
        <w:tab/>
      </w:r>
      <w:r w:rsidRPr="00BB5F17">
        <w:rPr>
          <w:lang w:val="es-ES"/>
        </w:rPr>
        <w:tab/>
      </w:r>
      <w:r w:rsidRPr="00BB5F17">
        <w:rPr>
          <w:position w:val="-24"/>
          <w:lang w:val="es-ES"/>
        </w:rPr>
        <w:object w:dxaOrig="3800" w:dyaOrig="600">
          <v:shape id="_x0000_i1070" type="#_x0000_t75" style="width:189.6pt;height:30pt" o:ole="">
            <v:imagedata r:id="rId108" o:title=""/>
          </v:shape>
          <o:OLEObject Type="Embed" ProgID="Equation.3" ShapeID="_x0000_i1070" DrawAspect="Content" ObjectID="_1376823644" r:id="rId109"/>
        </w:object>
      </w:r>
      <w:r w:rsidRPr="00BB5F17">
        <w:rPr>
          <w:lang w:val="es-ES"/>
        </w:rPr>
        <w:tab/>
        <w:t>(42)</w:t>
      </w:r>
    </w:p>
    <w:p w:rsidR="00256167" w:rsidRPr="00BB5F17" w:rsidRDefault="00256167" w:rsidP="00256167">
      <w:pPr>
        <w:pStyle w:val="Equation"/>
        <w:rPr>
          <w:lang w:val="es-ES"/>
        </w:rPr>
      </w:pPr>
      <w:r w:rsidRPr="00BB5F17">
        <w:rPr>
          <w:i/>
          <w:iCs/>
          <w:szCs w:val="24"/>
          <w:lang w:val="es-ES"/>
        </w:rPr>
        <w:tab/>
      </w:r>
      <w:r w:rsidRPr="00BB5F17">
        <w:rPr>
          <w:i/>
          <w:iCs/>
          <w:szCs w:val="24"/>
          <w:lang w:val="es-ES"/>
        </w:rPr>
        <w:tab/>
        <w:t>D = D</w:t>
      </w:r>
      <w:r w:rsidRPr="00BB5F17">
        <w:rPr>
          <w:i/>
          <w:iCs/>
          <w:szCs w:val="24"/>
          <w:vertAlign w:val="subscript"/>
          <w:lang w:val="es-ES"/>
        </w:rPr>
        <w:t>M</w:t>
      </w:r>
      <w:r w:rsidRPr="00BB5F17">
        <w:rPr>
          <w:i/>
          <w:iCs/>
          <w:szCs w:val="24"/>
          <w:lang w:val="es-ES"/>
        </w:rPr>
        <w:t xml:space="preserve"> – D</w:t>
      </w:r>
      <w:r w:rsidRPr="00BB5F17">
        <w:rPr>
          <w:i/>
          <w:iCs/>
          <w:szCs w:val="24"/>
          <w:vertAlign w:val="subscript"/>
          <w:lang w:val="es-ES"/>
        </w:rPr>
        <w:t>S</w:t>
      </w:r>
      <w:r w:rsidRPr="00BB5F17">
        <w:rPr>
          <w:i/>
          <w:iCs/>
          <w:sz w:val="28"/>
          <w:szCs w:val="28"/>
          <w:lang w:val="es-ES"/>
        </w:rPr>
        <w:tab/>
      </w:r>
      <w:r w:rsidRPr="00BB5F17">
        <w:rPr>
          <w:lang w:val="es-ES"/>
        </w:rPr>
        <w:t>(43)</w:t>
      </w:r>
    </w:p>
    <w:p w:rsidR="00256167" w:rsidRPr="00BB5F17" w:rsidRDefault="00256167" w:rsidP="00256167">
      <w:pPr>
        <w:pStyle w:val="Equation"/>
        <w:rPr>
          <w:lang w:val="es-ES"/>
        </w:rPr>
      </w:pPr>
      <w:r w:rsidRPr="00BB5F17">
        <w:rPr>
          <w:i/>
          <w:iCs/>
          <w:sz w:val="28"/>
          <w:szCs w:val="28"/>
          <w:lang w:val="es-ES"/>
        </w:rPr>
        <w:tab/>
      </w:r>
      <w:r w:rsidRPr="00BB5F17">
        <w:rPr>
          <w:i/>
          <w:iCs/>
          <w:sz w:val="28"/>
          <w:szCs w:val="28"/>
          <w:lang w:val="es-ES"/>
        </w:rPr>
        <w:tab/>
      </w:r>
      <w:r w:rsidRPr="00BB5F17">
        <w:rPr>
          <w:i/>
          <w:iCs/>
          <w:szCs w:val="24"/>
          <w:lang w:val="es-ES"/>
        </w:rPr>
        <w:t>D</w:t>
      </w:r>
      <w:r w:rsidRPr="00BB5F17">
        <w:rPr>
          <w:i/>
          <w:iCs/>
          <w:szCs w:val="24"/>
          <w:vertAlign w:val="subscript"/>
          <w:lang w:val="es-ES"/>
        </w:rPr>
        <w:t>M</w:t>
      </w:r>
      <w:r w:rsidRPr="00BB5F17">
        <w:rPr>
          <w:i/>
          <w:iCs/>
          <w:szCs w:val="24"/>
          <w:lang w:val="es-ES"/>
        </w:rPr>
        <w:t xml:space="preserve"> = M</w:t>
      </w:r>
      <w:r w:rsidRPr="00BB5F17">
        <w:rPr>
          <w:i/>
          <w:iCs/>
          <w:szCs w:val="24"/>
          <w:vertAlign w:val="subscript"/>
          <w:lang w:val="es-ES"/>
        </w:rPr>
        <w:t>C</w:t>
      </w:r>
      <w:r w:rsidRPr="00BB5F17">
        <w:rPr>
          <w:i/>
          <w:iCs/>
          <w:szCs w:val="24"/>
          <w:lang w:val="es-ES"/>
        </w:rPr>
        <w:t xml:space="preserve"> – M</w:t>
      </w:r>
      <w:r w:rsidRPr="00BB5F17">
        <w:rPr>
          <w:i/>
          <w:iCs/>
          <w:szCs w:val="24"/>
          <w:vertAlign w:val="subscript"/>
          <w:lang w:val="es-ES"/>
        </w:rPr>
        <w:t>M</w:t>
      </w:r>
      <w:r w:rsidRPr="00BB5F17">
        <w:rPr>
          <w:i/>
          <w:iCs/>
          <w:sz w:val="28"/>
          <w:szCs w:val="28"/>
          <w:lang w:val="es-ES"/>
        </w:rPr>
        <w:tab/>
      </w:r>
      <w:r w:rsidRPr="00BB5F17">
        <w:rPr>
          <w:lang w:val="es-ES"/>
        </w:rPr>
        <w:t>(44)</w:t>
      </w: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I</w:t>
      </w:r>
      <w:r w:rsidRPr="00BB5F17">
        <w:rPr>
          <w:i/>
          <w:iCs/>
          <w:szCs w:val="24"/>
          <w:vertAlign w:val="subscript"/>
          <w:lang w:val="es-ES"/>
        </w:rPr>
        <w:t>RX</w:t>
      </w:r>
      <w:r w:rsidRPr="00BB5F17">
        <w:rPr>
          <w:lang w:val="es-ES"/>
        </w:rPr>
        <w:t>:</w:t>
      </w:r>
      <w:r w:rsidRPr="00BB5F17">
        <w:rPr>
          <w:szCs w:val="24"/>
          <w:lang w:val="es-ES"/>
        </w:rPr>
        <w:tab/>
        <w:t>nivel umbral del interferencia del receptor (</w:t>
      </w:r>
      <w:proofErr w:type="spellStart"/>
      <w:r w:rsidRPr="00BB5F17">
        <w:rPr>
          <w:szCs w:val="24"/>
          <w:lang w:val="es-ES"/>
        </w:rPr>
        <w:t>dBm</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I</w:t>
      </w:r>
      <w:r w:rsidRPr="00BB5F17">
        <w:rPr>
          <w:i/>
          <w:iCs/>
          <w:szCs w:val="24"/>
          <w:vertAlign w:val="subscript"/>
          <w:lang w:val="es-ES"/>
        </w:rPr>
        <w:t>EQ</w:t>
      </w:r>
      <w:r w:rsidRPr="00BB5F17">
        <w:rPr>
          <w:lang w:val="es-ES"/>
        </w:rPr>
        <w:t>:</w:t>
      </w:r>
      <w:r w:rsidRPr="00BB5F17">
        <w:rPr>
          <w:szCs w:val="24"/>
          <w:lang w:val="es-ES"/>
        </w:rPr>
        <w:tab/>
        <w:t xml:space="preserve">nivel de referencia de la interferencia, calculado a partir de la relación </w:t>
      </w:r>
      <w:r w:rsidRPr="00BB5F17">
        <w:rPr>
          <w:i/>
          <w:iCs/>
          <w:szCs w:val="24"/>
          <w:lang w:val="es-ES"/>
        </w:rPr>
        <w:t>C/I</w:t>
      </w:r>
      <w:r w:rsidRPr="00BB5F17">
        <w:rPr>
          <w:i/>
          <w:iCs/>
          <w:szCs w:val="24"/>
          <w:vertAlign w:val="subscript"/>
          <w:lang w:val="es-ES"/>
        </w:rPr>
        <w:t>M</w:t>
      </w:r>
      <w:r>
        <w:rPr>
          <w:i/>
          <w:iCs/>
          <w:szCs w:val="24"/>
          <w:vertAlign w:val="subscript"/>
          <w:lang w:val="es-ES"/>
        </w:rPr>
        <w:t>Á</w:t>
      </w:r>
      <w:r w:rsidRPr="00BB5F17">
        <w:rPr>
          <w:i/>
          <w:iCs/>
          <w:szCs w:val="24"/>
          <w:vertAlign w:val="subscript"/>
          <w:lang w:val="es-ES"/>
        </w:rPr>
        <w:t>X</w:t>
      </w:r>
      <w:r w:rsidRPr="00BB5F17">
        <w:rPr>
          <w:szCs w:val="24"/>
          <w:lang w:val="es-ES"/>
        </w:rPr>
        <w:t xml:space="preserve"> del receptor interferido, con </w:t>
      </w:r>
      <w:r w:rsidRPr="00BB5F17">
        <w:rPr>
          <w:i/>
          <w:iCs/>
          <w:szCs w:val="24"/>
          <w:lang w:val="es-ES"/>
        </w:rPr>
        <w:t>C</w:t>
      </w:r>
      <w:r w:rsidRPr="00BB5F17">
        <w:rPr>
          <w:szCs w:val="24"/>
          <w:lang w:val="es-ES"/>
        </w:rPr>
        <w:t xml:space="preserve"> igual a la sensibilidad del receptor (</w:t>
      </w:r>
      <w:proofErr w:type="spellStart"/>
      <w:r w:rsidRPr="00BB5F17">
        <w:rPr>
          <w:szCs w:val="24"/>
          <w:lang w:val="es-ES"/>
        </w:rPr>
        <w:t>dBm</w:t>
      </w:r>
      <w:proofErr w:type="spellEnd"/>
      <w:r w:rsidRPr="00BB5F17">
        <w:rPr>
          <w:szCs w:val="24"/>
          <w:lang w:val="es-ES"/>
        </w:rPr>
        <w:t>)</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D</w:t>
      </w:r>
      <w:r w:rsidRPr="00BB5F17">
        <w:rPr>
          <w:lang w:val="es-ES"/>
        </w:rPr>
        <w:t>:</w:t>
      </w:r>
      <w:r w:rsidRPr="00BB5F17">
        <w:rPr>
          <w:szCs w:val="24"/>
          <w:lang w:val="es-ES"/>
        </w:rPr>
        <w:tab/>
        <w:t>degradación máxima que puede producir el transmisor analizado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D</w:t>
      </w:r>
      <w:r w:rsidRPr="00BB5F17">
        <w:rPr>
          <w:i/>
          <w:iCs/>
          <w:szCs w:val="24"/>
          <w:vertAlign w:val="subscript"/>
          <w:lang w:val="es-ES"/>
        </w:rPr>
        <w:t>M</w:t>
      </w:r>
      <w:r w:rsidRPr="00BB5F17">
        <w:rPr>
          <w:lang w:val="es-ES"/>
        </w:rPr>
        <w:t>:</w:t>
      </w:r>
      <w:r w:rsidRPr="00BB5F17">
        <w:rPr>
          <w:szCs w:val="24"/>
          <w:lang w:val="es-ES"/>
        </w:rPr>
        <w:tab/>
        <w:t>degradación máxima permitida por el receptor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D</w:t>
      </w:r>
      <w:r w:rsidRPr="00BB5F17">
        <w:rPr>
          <w:i/>
          <w:iCs/>
          <w:szCs w:val="24"/>
          <w:vertAlign w:val="subscript"/>
          <w:lang w:val="es-ES"/>
        </w:rPr>
        <w:t>S</w:t>
      </w:r>
      <w:r w:rsidRPr="00BB5F17">
        <w:rPr>
          <w:lang w:val="es-ES"/>
        </w:rPr>
        <w:t>:</w:t>
      </w:r>
      <w:r w:rsidRPr="00BB5F17">
        <w:rPr>
          <w:szCs w:val="24"/>
          <w:lang w:val="es-ES"/>
        </w:rPr>
        <w:tab/>
        <w:t>degradación estimada presente en el receptor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M</w:t>
      </w:r>
      <w:r w:rsidRPr="00BB5F17">
        <w:rPr>
          <w:i/>
          <w:iCs/>
          <w:szCs w:val="24"/>
          <w:vertAlign w:val="subscript"/>
          <w:lang w:val="es-ES"/>
        </w:rPr>
        <w:t>M</w:t>
      </w:r>
      <w:r w:rsidRPr="00BB5F17">
        <w:rPr>
          <w:lang w:val="es-ES"/>
        </w:rPr>
        <w:t>:</w:t>
      </w:r>
      <w:r w:rsidRPr="00BB5F17">
        <w:rPr>
          <w:szCs w:val="24"/>
          <w:lang w:val="es-ES"/>
        </w:rPr>
        <w:tab/>
        <w:t>margen mínimo permitido (dB)</w:t>
      </w:r>
    </w:p>
    <w:p w:rsidR="00256167" w:rsidRPr="00BB5F17" w:rsidRDefault="00256167" w:rsidP="00256167">
      <w:pPr>
        <w:pStyle w:val="Equationlegend"/>
        <w:rPr>
          <w:szCs w:val="24"/>
          <w:lang w:val="es-ES"/>
        </w:rPr>
      </w:pPr>
      <w:r w:rsidRPr="00BB5F17">
        <w:rPr>
          <w:szCs w:val="24"/>
          <w:lang w:val="es-ES"/>
        </w:rPr>
        <w:tab/>
      </w:r>
      <w:r w:rsidRPr="00BB5F17">
        <w:rPr>
          <w:i/>
          <w:iCs/>
          <w:szCs w:val="24"/>
          <w:lang w:val="es-ES"/>
        </w:rPr>
        <w:t>M</w:t>
      </w:r>
      <w:r w:rsidRPr="00BB5F17">
        <w:rPr>
          <w:i/>
          <w:iCs/>
          <w:szCs w:val="24"/>
          <w:vertAlign w:val="subscript"/>
          <w:lang w:val="es-ES"/>
        </w:rPr>
        <w:t>C</w:t>
      </w:r>
      <w:r w:rsidRPr="00BB5F17">
        <w:rPr>
          <w:lang w:val="es-ES"/>
        </w:rPr>
        <w:t>:</w:t>
      </w:r>
      <w:r w:rsidRPr="00BB5F17">
        <w:rPr>
          <w:szCs w:val="24"/>
          <w:lang w:val="es-ES"/>
        </w:rPr>
        <w:tab/>
        <w:t>margen calculado del sistema (dB).</w:t>
      </w:r>
    </w:p>
    <w:p w:rsidR="00256167" w:rsidRPr="00BB5F17" w:rsidRDefault="00256167" w:rsidP="00256167">
      <w:pPr>
        <w:pStyle w:val="Note"/>
        <w:tabs>
          <w:tab w:val="left" w:pos="426"/>
        </w:tabs>
        <w:rPr>
          <w:lang w:val="es-ES"/>
        </w:rPr>
      </w:pPr>
      <w:r w:rsidRPr="00BB5F17">
        <w:rPr>
          <w:lang w:val="es-ES"/>
        </w:rPr>
        <w:t>NOTA</w:t>
      </w:r>
      <w:r>
        <w:rPr>
          <w:lang w:val="es-ES"/>
        </w:rPr>
        <w:t> </w:t>
      </w:r>
      <w:r w:rsidRPr="00BB5F17">
        <w:rPr>
          <w:lang w:val="es-ES"/>
        </w:rPr>
        <w:t>1</w:t>
      </w:r>
      <w:r>
        <w:rPr>
          <w:lang w:val="es-ES"/>
        </w:rPr>
        <w:t> </w:t>
      </w:r>
      <w:r w:rsidRPr="00BB5F17">
        <w:rPr>
          <w:lang w:val="es-ES"/>
        </w:rPr>
        <w:t>–</w:t>
      </w:r>
      <w:r>
        <w:rPr>
          <w:lang w:val="es-ES"/>
        </w:rPr>
        <w:t> </w:t>
      </w:r>
      <w:r w:rsidRPr="00BB5F17">
        <w:rPr>
          <w:lang w:val="es-ES"/>
        </w:rPr>
        <w:t xml:space="preserve">En el caso de un sistema genérico para el que no se puede definir precisamente el margen necesario, el valor de </w:t>
      </w:r>
      <w:r w:rsidRPr="00BB5F17">
        <w:rPr>
          <w:i/>
          <w:iCs/>
          <w:lang w:val="es-ES"/>
        </w:rPr>
        <w:t>M</w:t>
      </w:r>
      <w:r w:rsidRPr="00BB5F17">
        <w:rPr>
          <w:i/>
          <w:iCs/>
          <w:vertAlign w:val="subscript"/>
          <w:lang w:val="es-ES"/>
        </w:rPr>
        <w:t>C</w:t>
      </w:r>
      <w:r w:rsidRPr="00BB5F17">
        <w:rPr>
          <w:lang w:val="es-ES"/>
        </w:rPr>
        <w:t xml:space="preserve"> es el margen deseado del sistema.</w:t>
      </w:r>
    </w:p>
    <w:p w:rsidR="00256167" w:rsidRPr="00BB5F17" w:rsidRDefault="00256167" w:rsidP="00256167">
      <w:pPr>
        <w:pStyle w:val="Note"/>
        <w:tabs>
          <w:tab w:val="left" w:pos="426"/>
        </w:tabs>
        <w:rPr>
          <w:lang w:val="es-ES"/>
        </w:rPr>
      </w:pPr>
      <w:r w:rsidRPr="00BB5F17">
        <w:rPr>
          <w:lang w:val="es-ES"/>
        </w:rPr>
        <w:t>NOTA</w:t>
      </w:r>
      <w:r>
        <w:rPr>
          <w:lang w:val="es-ES"/>
        </w:rPr>
        <w:t> </w:t>
      </w:r>
      <w:r w:rsidRPr="00BB5F17">
        <w:rPr>
          <w:lang w:val="es-ES"/>
        </w:rPr>
        <w:t>2</w:t>
      </w:r>
      <w:r>
        <w:rPr>
          <w:lang w:val="es-ES"/>
        </w:rPr>
        <w:t> </w:t>
      </w:r>
      <w:r w:rsidRPr="00BB5F17">
        <w:rPr>
          <w:lang w:val="es-ES"/>
        </w:rPr>
        <w:t>–</w:t>
      </w:r>
      <w:r>
        <w:rPr>
          <w:lang w:val="es-ES"/>
        </w:rPr>
        <w:t> </w:t>
      </w:r>
      <w:r w:rsidRPr="00BB5F17">
        <w:rPr>
          <w:lang w:val="es-ES"/>
        </w:rPr>
        <w:t xml:space="preserve">La degradación estimada </w:t>
      </w:r>
      <w:r w:rsidRPr="00BB5F17">
        <w:rPr>
          <w:i/>
          <w:iCs/>
          <w:lang w:val="es-ES"/>
        </w:rPr>
        <w:t>D</w:t>
      </w:r>
      <w:r w:rsidRPr="00BB5F17">
        <w:rPr>
          <w:i/>
          <w:iCs/>
          <w:vertAlign w:val="subscript"/>
          <w:lang w:val="es-ES"/>
        </w:rPr>
        <w:t>S</w:t>
      </w:r>
      <w:r w:rsidRPr="00BB5F17">
        <w:rPr>
          <w:i/>
          <w:iCs/>
          <w:lang w:val="es-ES"/>
        </w:rPr>
        <w:t xml:space="preserve"> </w:t>
      </w:r>
      <w:r w:rsidRPr="00BB5F17">
        <w:rPr>
          <w:lang w:val="es-ES"/>
        </w:rPr>
        <w:t>se determinará calculando la interferencia combinada de otros transmisores cerca del receptor que se analiza.</w:t>
      </w:r>
    </w:p>
    <w:p w:rsidR="00256167" w:rsidRPr="00BB5F17" w:rsidRDefault="00256167" w:rsidP="00256167">
      <w:pPr>
        <w:pStyle w:val="Note"/>
        <w:tabs>
          <w:tab w:val="left" w:pos="426"/>
        </w:tabs>
        <w:rPr>
          <w:lang w:val="es-ES"/>
        </w:rPr>
      </w:pPr>
      <w:r w:rsidRPr="00BB5F17">
        <w:rPr>
          <w:lang w:val="es-ES"/>
        </w:rPr>
        <w:t>NOTA</w:t>
      </w:r>
      <w:r>
        <w:rPr>
          <w:lang w:val="es-ES"/>
        </w:rPr>
        <w:t> </w:t>
      </w:r>
      <w:r w:rsidRPr="00BB5F17">
        <w:rPr>
          <w:lang w:val="es-ES"/>
        </w:rPr>
        <w:t>3</w:t>
      </w:r>
      <w:r>
        <w:rPr>
          <w:lang w:val="es-ES"/>
        </w:rPr>
        <w:t> </w:t>
      </w:r>
      <w:r w:rsidRPr="00BB5F17">
        <w:rPr>
          <w:lang w:val="es-ES"/>
        </w:rPr>
        <w:t>–</w:t>
      </w:r>
      <w:r>
        <w:rPr>
          <w:lang w:val="es-ES"/>
        </w:rPr>
        <w:t> </w:t>
      </w:r>
      <w:r w:rsidRPr="00BB5F17">
        <w:rPr>
          <w:lang w:val="es-ES"/>
        </w:rPr>
        <w:t>Cuando no se tenga información sobre otros sistemas interferentes, se adoptará un valor de degradación de 3 dB.</w:t>
      </w:r>
    </w:p>
    <w:p w:rsidR="00256167" w:rsidRPr="00BB5F17" w:rsidRDefault="00256167" w:rsidP="00256167">
      <w:pPr>
        <w:pStyle w:val="Heading3"/>
        <w:rPr>
          <w:lang w:val="es-ES"/>
        </w:rPr>
      </w:pPr>
      <w:r w:rsidRPr="00BB5F17">
        <w:rPr>
          <w:lang w:val="es-ES"/>
        </w:rPr>
        <w:t>2.6.4</w:t>
      </w:r>
      <w:r w:rsidRPr="00BB5F17">
        <w:rPr>
          <w:lang w:val="es-ES"/>
        </w:rPr>
        <w:tab/>
        <w:t>Cálculo de la EUE para sistemas P</w:t>
      </w:r>
      <w:r>
        <w:rPr>
          <w:lang w:val="es-ES"/>
        </w:rPr>
        <w:t>-P</w:t>
      </w:r>
    </w:p>
    <w:p w:rsidR="00256167" w:rsidRPr="00BB5F17" w:rsidRDefault="00256167" w:rsidP="00256167">
      <w:pPr>
        <w:rPr>
          <w:lang w:val="es-ES"/>
        </w:rPr>
      </w:pPr>
      <w:r w:rsidRPr="00BB5F17">
        <w:rPr>
          <w:lang w:val="es-ES"/>
        </w:rPr>
        <w:t>En este ejemplo se analiza un sistema P</w:t>
      </w:r>
      <w:r>
        <w:rPr>
          <w:lang w:val="es-ES"/>
        </w:rPr>
        <w:t>-P</w:t>
      </w:r>
      <w:r w:rsidRPr="00BB5F17">
        <w:rPr>
          <w:lang w:val="es-ES"/>
        </w:rPr>
        <w:t>, considerando que la zona denegada del transmisor incluye totalmente la zona denegada del receptor. Si la zona denegada del transmisor no incluyera toda la zona denegada del receptor, la porción de la zona de receptor que queda fuera de la zona de transmisor debería sumarse a esta última para obtener la zona total denegada</w:t>
      </w:r>
      <w:r>
        <w:rPr>
          <w:lang w:val="es-ES"/>
        </w:rPr>
        <w:t>,</w:t>
      </w:r>
      <w:r w:rsidRPr="00BB5F17">
        <w:rPr>
          <w:lang w:val="es-ES"/>
        </w:rPr>
        <w:t xml:space="preserve"> </w:t>
      </w:r>
      <w:r w:rsidRPr="00BB5F17">
        <w:rPr>
          <w:i/>
          <w:lang w:val="es-ES"/>
        </w:rPr>
        <w:t>S</w:t>
      </w:r>
      <w:r w:rsidRPr="00BB5F17">
        <w:rPr>
          <w:lang w:val="es-ES"/>
        </w:rPr>
        <w:t>. El cálculo de la zona denegada del receptor es similar al cálculo del transmisor.</w:t>
      </w:r>
    </w:p>
    <w:p w:rsidR="00256167" w:rsidRDefault="00256167" w:rsidP="00256167">
      <w:pPr>
        <w:rPr>
          <w:lang w:val="es-ES"/>
        </w:rPr>
      </w:pPr>
      <w:r w:rsidRPr="00BB5F17">
        <w:rPr>
          <w:lang w:val="es-ES"/>
        </w:rPr>
        <w:t>En el Cuadro 13 se indican las características de un sistema digital que se utilizará como ejemplo para el cálculo de la EUE para sistemas P</w:t>
      </w:r>
      <w:r>
        <w:rPr>
          <w:lang w:val="es-ES"/>
        </w:rPr>
        <w:t>-P</w:t>
      </w:r>
      <w:r w:rsidRPr="00BB5F17">
        <w:rPr>
          <w:lang w:val="es-ES"/>
        </w:rPr>
        <w:t>. El efecto útil también se puede calcular con estos parámetros.</w:t>
      </w:r>
    </w:p>
    <w:p w:rsidR="00256167" w:rsidRPr="00BB5F17" w:rsidRDefault="00256167" w:rsidP="00256167">
      <w:pPr>
        <w:pStyle w:val="TableNo"/>
        <w:rPr>
          <w:lang w:val="es-ES"/>
        </w:rPr>
      </w:pPr>
      <w:r w:rsidRPr="00BB5F17">
        <w:rPr>
          <w:lang w:val="es-ES"/>
        </w:rPr>
        <w:t>CUADRO 13</w:t>
      </w:r>
    </w:p>
    <w:p w:rsidR="00256167" w:rsidRPr="00BB5F17" w:rsidRDefault="00256167" w:rsidP="00256167">
      <w:pPr>
        <w:pStyle w:val="Tabletitle"/>
        <w:rPr>
          <w:lang w:val="es-ES"/>
        </w:rPr>
      </w:pPr>
      <w:r w:rsidRPr="00BB5F17">
        <w:rPr>
          <w:lang w:val="es-ES"/>
        </w:rPr>
        <w:t>Velocidad de transmisión y factor de tara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175"/>
      </w:tblGrid>
      <w:tr w:rsidR="00256167" w:rsidRPr="00BB5F17" w:rsidTr="005B580A">
        <w:trPr>
          <w:jc w:val="center"/>
        </w:trPr>
        <w:tc>
          <w:tcPr>
            <w:tcW w:w="323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BB37EC">
            <w:pPr>
              <w:pStyle w:val="Tablehead"/>
              <w:rPr>
                <w:lang w:val="es-ES"/>
              </w:rPr>
            </w:pPr>
            <w:r w:rsidRPr="00BB5F17">
              <w:rPr>
                <w:lang w:val="es-ES"/>
              </w:rPr>
              <w:t>Banda de frecuencias radioeléctricas</w:t>
            </w:r>
            <w:r>
              <w:rPr>
                <w:lang w:val="es-ES"/>
              </w:rPr>
              <w:br/>
              <w:t>(GHz)</w:t>
            </w:r>
          </w:p>
        </w:tc>
        <w:tc>
          <w:tcPr>
            <w:tcW w:w="323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BB37EC">
            <w:pPr>
              <w:pStyle w:val="Tablehead"/>
              <w:rPr>
                <w:lang w:val="es-ES"/>
              </w:rPr>
            </w:pPr>
            <w:r w:rsidRPr="00BB5F17">
              <w:rPr>
                <w:lang w:val="es-ES"/>
              </w:rPr>
              <w:t xml:space="preserve">Velocidad de transmisión total </w:t>
            </w:r>
            <w:r w:rsidRPr="00BB5F17">
              <w:rPr>
                <w:lang w:val="es-ES"/>
              </w:rPr>
              <w:br/>
              <w:t>(Mbit/s)</w:t>
            </w:r>
          </w:p>
        </w:tc>
        <w:tc>
          <w:tcPr>
            <w:tcW w:w="3175"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BB37EC">
            <w:pPr>
              <w:pStyle w:val="Tablehead"/>
              <w:rPr>
                <w:lang w:val="es-ES"/>
              </w:rPr>
            </w:pPr>
            <w:r w:rsidRPr="00BB5F17">
              <w:rPr>
                <w:i/>
                <w:iCs/>
                <w:lang w:val="es-ES"/>
              </w:rPr>
              <w:t>O</w:t>
            </w:r>
            <w:r w:rsidRPr="00BB5F17">
              <w:rPr>
                <w:i/>
                <w:iCs/>
                <w:vertAlign w:val="subscript"/>
                <w:lang w:val="es-ES"/>
              </w:rPr>
              <w:t>F</w:t>
            </w:r>
            <w:r w:rsidR="00D65300">
              <w:rPr>
                <w:lang w:val="es-ES"/>
              </w:rPr>
              <w:t xml:space="preserve"> </w:t>
            </w:r>
            <w:r w:rsidRPr="00BB5F17">
              <w:rPr>
                <w:lang w:val="es-ES"/>
              </w:rPr>
              <w:t>del sistema</w:t>
            </w:r>
          </w:p>
        </w:tc>
      </w:tr>
      <w:tr w:rsidR="00256167" w:rsidRPr="00BB5F17" w:rsidTr="005B580A">
        <w:trPr>
          <w:jc w:val="center"/>
        </w:trPr>
        <w:tc>
          <w:tcPr>
            <w:tcW w:w="323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BB37EC">
            <w:pPr>
              <w:pStyle w:val="Tabletext"/>
              <w:jc w:val="center"/>
              <w:rPr>
                <w:lang w:val="es-ES"/>
              </w:rPr>
            </w:pPr>
            <w:r w:rsidRPr="00BB5F17">
              <w:rPr>
                <w:lang w:val="es-ES"/>
              </w:rPr>
              <w:t>8,5</w:t>
            </w:r>
          </w:p>
        </w:tc>
        <w:tc>
          <w:tcPr>
            <w:tcW w:w="323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BB37EC">
            <w:pPr>
              <w:pStyle w:val="Tabletext"/>
              <w:jc w:val="center"/>
              <w:rPr>
                <w:lang w:val="es-ES"/>
              </w:rPr>
            </w:pPr>
            <w:r w:rsidRPr="00BB5F17">
              <w:rPr>
                <w:lang w:val="es-ES"/>
              </w:rPr>
              <w:t>17 (8E1)</w:t>
            </w:r>
          </w:p>
        </w:tc>
        <w:tc>
          <w:tcPr>
            <w:tcW w:w="3175"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BB37EC">
            <w:pPr>
              <w:pStyle w:val="Tabletext"/>
              <w:jc w:val="center"/>
              <w:rPr>
                <w:lang w:val="es-ES"/>
              </w:rPr>
            </w:pPr>
            <w:r w:rsidRPr="00BB5F17">
              <w:rPr>
                <w:lang w:val="es-ES"/>
              </w:rPr>
              <w:t>0,9035</w:t>
            </w:r>
          </w:p>
        </w:tc>
      </w:tr>
    </w:tbl>
    <w:p w:rsidR="00256167" w:rsidRDefault="00256167" w:rsidP="00256167">
      <w:pPr>
        <w:pStyle w:val="Tablefin"/>
      </w:pPr>
    </w:p>
    <w:p w:rsidR="00256167" w:rsidRDefault="00256167" w:rsidP="00256167">
      <w:pPr>
        <w:rPr>
          <w:lang w:val="es-ES"/>
        </w:rPr>
      </w:pPr>
      <w:r w:rsidRPr="00BB5F17">
        <w:rPr>
          <w:lang w:val="es-ES"/>
        </w:rPr>
        <w:t>El efecto útil para este sistema del ejemplo será la velocidad de transmisión efectiva, que se obtiene multiplicando la velocidad de transmisión total por el factor de tara (ecuaciones (32) y (33)). En el Cuadro 14 se indican los valores calculados de velocidad de transmisión efectiva</w:t>
      </w:r>
      <w:r>
        <w:rPr>
          <w:lang w:val="es-ES"/>
        </w:rPr>
        <w:t>,</w:t>
      </w:r>
      <w:r w:rsidRPr="00BB5F17">
        <w:rPr>
          <w:lang w:val="es-ES"/>
        </w:rPr>
        <w:t xml:space="preserve"> </w:t>
      </w:r>
      <w:r w:rsidRPr="00BB5F17">
        <w:rPr>
          <w:i/>
          <w:lang w:val="es-ES"/>
        </w:rPr>
        <w:t>M</w:t>
      </w:r>
      <w:r w:rsidRPr="00BB5F17">
        <w:rPr>
          <w:lang w:val="es-ES"/>
        </w:rPr>
        <w:t>.</w:t>
      </w:r>
    </w:p>
    <w:p w:rsidR="00256167" w:rsidRPr="00BB5F17" w:rsidRDefault="00256167" w:rsidP="00256167">
      <w:pPr>
        <w:pStyle w:val="TableNo"/>
        <w:rPr>
          <w:lang w:val="es-ES"/>
        </w:rPr>
      </w:pPr>
      <w:r w:rsidRPr="00BB5F17">
        <w:rPr>
          <w:lang w:val="es-ES"/>
        </w:rPr>
        <w:lastRenderedPageBreak/>
        <w:t>CUADRO 14</w:t>
      </w:r>
    </w:p>
    <w:p w:rsidR="00256167" w:rsidRPr="00BB5F17" w:rsidRDefault="00256167" w:rsidP="00256167">
      <w:pPr>
        <w:pStyle w:val="Tabletitle"/>
        <w:rPr>
          <w:lang w:val="es-ES"/>
        </w:rPr>
      </w:pPr>
      <w:r w:rsidRPr="00BB5F17">
        <w:rPr>
          <w:lang w:val="es-ES"/>
        </w:rPr>
        <w:t>Velocidad de transmisión efectiva</w:t>
      </w:r>
      <w:r>
        <w:rPr>
          <w:lang w:val="es-ES"/>
        </w:rPr>
        <w:t>,</w:t>
      </w:r>
      <w:r w:rsidRPr="00BB5F17">
        <w:rPr>
          <w:lang w:val="es-ES"/>
        </w:rPr>
        <w:t xml:space="preserve"> </w:t>
      </w:r>
      <w:r w:rsidRPr="00BB5F17">
        <w:rPr>
          <w:i/>
          <w:iCs/>
          <w:lang w:val="es-ES"/>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256167" w:rsidRPr="00AC38FC"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lang w:val="es-ES"/>
              </w:rPr>
            </w:pPr>
            <w:r w:rsidRPr="00BB5F17">
              <w:rPr>
                <w:lang w:val="es-ES"/>
              </w:rPr>
              <w:t>Velocidad de transmisión efectiva</w:t>
            </w:r>
            <w:r>
              <w:rPr>
                <w:lang w:val="es-ES"/>
              </w:rPr>
              <w:br/>
            </w:r>
            <w:r w:rsidRPr="00BB5F17">
              <w:rPr>
                <w:lang w:val="es-ES"/>
              </w:rPr>
              <w:t>(Mbit/s)</w:t>
            </w:r>
          </w:p>
        </w:tc>
      </w:tr>
      <w:tr w:rsidR="00256167" w:rsidRPr="00BB5F17"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15,36</w:t>
            </w:r>
          </w:p>
        </w:tc>
      </w:tr>
    </w:tbl>
    <w:p w:rsidR="00256167" w:rsidRPr="002E6011" w:rsidRDefault="00256167" w:rsidP="00256167">
      <w:pPr>
        <w:pStyle w:val="Tablefin"/>
        <w:rPr>
          <w:lang w:val="es-ES_tradnl"/>
        </w:rPr>
      </w:pPr>
    </w:p>
    <w:p w:rsidR="00256167" w:rsidRPr="00BB5F17" w:rsidRDefault="00256167" w:rsidP="00256167">
      <w:pPr>
        <w:rPr>
          <w:lang w:val="es-ES"/>
        </w:rPr>
      </w:pPr>
      <w:r w:rsidRPr="00BB5F17">
        <w:rPr>
          <w:lang w:val="es-ES"/>
        </w:rPr>
        <w:t>En el Cuadro 15 se indica la longitud de trayecto típica</w:t>
      </w:r>
      <w:r>
        <w:rPr>
          <w:lang w:val="es-ES"/>
        </w:rPr>
        <w:t>,</w:t>
      </w:r>
      <w:r w:rsidRPr="00BB5F17">
        <w:rPr>
          <w:lang w:val="es-ES"/>
        </w:rPr>
        <w:t xml:space="preserve"> </w:t>
      </w:r>
      <w:r w:rsidRPr="00BB5F17">
        <w:rPr>
          <w:i/>
          <w:iCs/>
          <w:lang w:val="es-ES"/>
        </w:rPr>
        <w:t>D</w:t>
      </w:r>
      <w:r>
        <w:rPr>
          <w:lang w:val="es-ES"/>
        </w:rPr>
        <w:t>,</w:t>
      </w:r>
      <w:r w:rsidRPr="00BB5F17">
        <w:rPr>
          <w:lang w:val="es-ES"/>
        </w:rPr>
        <w:t xml:space="preserve"> para enlaces que funcionan en la banda de frecuencias específica.</w:t>
      </w:r>
    </w:p>
    <w:p w:rsidR="00256167" w:rsidRPr="00BB5F17" w:rsidRDefault="00256167" w:rsidP="00256167">
      <w:pPr>
        <w:pStyle w:val="TableNo"/>
        <w:rPr>
          <w:lang w:val="es-ES"/>
        </w:rPr>
      </w:pPr>
      <w:r w:rsidRPr="00BB5F17">
        <w:rPr>
          <w:lang w:val="es-ES"/>
        </w:rPr>
        <w:t>CUADRO 15</w:t>
      </w:r>
    </w:p>
    <w:p w:rsidR="00256167" w:rsidRPr="00BB5F17" w:rsidRDefault="00256167" w:rsidP="00256167">
      <w:pPr>
        <w:pStyle w:val="Tabletitle"/>
        <w:rPr>
          <w:lang w:val="es-ES"/>
        </w:rPr>
      </w:pPr>
      <w:r w:rsidRPr="00BB5F17">
        <w:rPr>
          <w:lang w:val="es-ES"/>
        </w:rPr>
        <w:t>Distancia de transmisión de la información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256167" w:rsidRPr="00BB5F17"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lang w:val="es-ES"/>
              </w:rPr>
            </w:pPr>
            <w:r w:rsidRPr="00BB5F17">
              <w:rPr>
                <w:lang w:val="es-ES"/>
              </w:rPr>
              <w:t xml:space="preserve">Distancia </w:t>
            </w:r>
            <w:r w:rsidRPr="00BB5F17">
              <w:rPr>
                <w:lang w:val="es-ES"/>
              </w:rPr>
              <w:br/>
              <w:t>(km)</w:t>
            </w:r>
          </w:p>
        </w:tc>
      </w:tr>
      <w:tr w:rsidR="00256167" w:rsidRPr="00BB5F17"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20,1</w:t>
            </w:r>
          </w:p>
        </w:tc>
      </w:tr>
    </w:tbl>
    <w:p w:rsidR="00256167" w:rsidRDefault="00256167" w:rsidP="00256167">
      <w:pPr>
        <w:pStyle w:val="Tablefin"/>
      </w:pPr>
    </w:p>
    <w:p w:rsidR="00256167" w:rsidRPr="00BB5F17" w:rsidRDefault="00256167" w:rsidP="00256167">
      <w:pPr>
        <w:rPr>
          <w:lang w:val="es-ES"/>
        </w:rPr>
      </w:pPr>
      <w:r w:rsidRPr="00BB5F17">
        <w:rPr>
          <w:lang w:val="es-ES"/>
        </w:rPr>
        <w:t>En el Cuadro 16 se indica el ancho de banda de radiofrecuencias denegado por el sistema.</w:t>
      </w:r>
    </w:p>
    <w:p w:rsidR="00256167" w:rsidRPr="00BB5F17" w:rsidRDefault="00256167" w:rsidP="00256167">
      <w:pPr>
        <w:pStyle w:val="TableNo"/>
        <w:rPr>
          <w:lang w:val="es-ES"/>
        </w:rPr>
      </w:pPr>
      <w:r w:rsidRPr="00BB5F17">
        <w:rPr>
          <w:lang w:val="es-ES"/>
        </w:rPr>
        <w:t>CUADRO 16</w:t>
      </w:r>
    </w:p>
    <w:p w:rsidR="00256167" w:rsidRPr="00BB5F17" w:rsidRDefault="00256167" w:rsidP="00256167">
      <w:pPr>
        <w:pStyle w:val="Tabletitle"/>
        <w:rPr>
          <w:lang w:val="es-ES"/>
        </w:rPr>
      </w:pPr>
      <w:r w:rsidRPr="00BB5F17">
        <w:rPr>
          <w:lang w:val="es-ES"/>
        </w:rPr>
        <w:t>Ancho de banda de radiofrecuencias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256167" w:rsidRPr="00AC38FC"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lang w:val="es-ES"/>
              </w:rPr>
            </w:pPr>
            <w:r w:rsidRPr="00BB5F17">
              <w:rPr>
                <w:lang w:val="es-ES"/>
              </w:rPr>
              <w:t>Ancho de banda de radiofrecuencias</w:t>
            </w:r>
            <w:r>
              <w:rPr>
                <w:lang w:val="es-ES"/>
              </w:rPr>
              <w:br/>
            </w:r>
            <w:r w:rsidRPr="00BB5F17">
              <w:rPr>
                <w:lang w:val="es-ES"/>
              </w:rPr>
              <w:t>(MHz)</w:t>
            </w:r>
          </w:p>
        </w:tc>
      </w:tr>
      <w:tr w:rsidR="00256167" w:rsidRPr="00BB5F17"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7</w:t>
            </w:r>
          </w:p>
        </w:tc>
      </w:tr>
    </w:tbl>
    <w:p w:rsidR="00256167" w:rsidRDefault="00256167" w:rsidP="00256167">
      <w:pPr>
        <w:pStyle w:val="Tablefin"/>
      </w:pPr>
    </w:p>
    <w:p w:rsidR="00256167" w:rsidRPr="00BB5F17" w:rsidRDefault="00256167" w:rsidP="00256167">
      <w:pPr>
        <w:rPr>
          <w:lang w:val="es-ES"/>
        </w:rPr>
      </w:pPr>
      <w:r w:rsidRPr="00BB5F17">
        <w:rPr>
          <w:lang w:val="es-ES"/>
        </w:rPr>
        <w:t>En este ejemplo de cálculo se considera que el sistema siempre está activo. Por tanto, el parámetro tiempo</w:t>
      </w:r>
      <w:r>
        <w:rPr>
          <w:lang w:val="es-ES"/>
        </w:rPr>
        <w:t>,</w:t>
      </w:r>
      <w:r w:rsidRPr="00BB5F17">
        <w:rPr>
          <w:lang w:val="es-ES"/>
        </w:rPr>
        <w:t xml:space="preserve"> </w:t>
      </w:r>
      <w:r w:rsidRPr="00BB5F17">
        <w:rPr>
          <w:i/>
          <w:lang w:val="es-ES"/>
        </w:rPr>
        <w:t>T</w:t>
      </w:r>
      <w:r>
        <w:rPr>
          <w:lang w:val="es-ES"/>
        </w:rPr>
        <w:t>,</w:t>
      </w:r>
      <w:r w:rsidRPr="00BB5F17">
        <w:rPr>
          <w:lang w:val="es-ES"/>
        </w:rPr>
        <w:t xml:space="preserve"> de la ecuación (34) es 1.</w:t>
      </w:r>
    </w:p>
    <w:p w:rsidR="00256167" w:rsidRPr="00BB5F17" w:rsidRDefault="00256167" w:rsidP="00256167">
      <w:pPr>
        <w:rPr>
          <w:lang w:val="es-ES"/>
        </w:rPr>
      </w:pPr>
      <w:r w:rsidRPr="00BB5F17">
        <w:rPr>
          <w:lang w:val="es-ES"/>
        </w:rPr>
        <w:t>En los siguientes cuadros se indican los resultados de los cálculos necesarios para determinar el espacio geométrico denegado para el transmisor y el receptor de sistemas P</w:t>
      </w:r>
      <w:r>
        <w:rPr>
          <w:lang w:val="es-ES"/>
        </w:rPr>
        <w:t>-P</w:t>
      </w:r>
      <w:r w:rsidRPr="00BB5F17">
        <w:rPr>
          <w:lang w:val="es-ES"/>
        </w:rPr>
        <w:t>. Se ha</w:t>
      </w:r>
      <w:r>
        <w:rPr>
          <w:lang w:val="es-ES"/>
        </w:rPr>
        <w:t>n</w:t>
      </w:r>
      <w:r w:rsidRPr="00BB5F17">
        <w:rPr>
          <w:lang w:val="es-ES"/>
        </w:rPr>
        <w:t xml:space="preserve"> numerado las distintas operaciones para mayor claridad.</w:t>
      </w:r>
    </w:p>
    <w:p w:rsidR="00256167" w:rsidRPr="00BB5F17" w:rsidRDefault="00256167" w:rsidP="00256167">
      <w:pPr>
        <w:pStyle w:val="Headingi"/>
        <w:rPr>
          <w:i w:val="0"/>
          <w:lang w:val="es-ES"/>
        </w:rPr>
      </w:pPr>
      <w:r w:rsidRPr="00BB5F17">
        <w:rPr>
          <w:lang w:val="es-ES"/>
        </w:rPr>
        <w:t>a)</w:t>
      </w:r>
      <w:r w:rsidRPr="00BB5F17">
        <w:rPr>
          <w:lang w:val="es-ES"/>
        </w:rPr>
        <w:tab/>
        <w:t>Anchura del sector</w:t>
      </w:r>
      <w:r>
        <w:rPr>
          <w:lang w:val="es-ES"/>
        </w:rPr>
        <w:t>,</w:t>
      </w:r>
      <w:r w:rsidRPr="00BB5F17">
        <w:rPr>
          <w:lang w:val="es-ES"/>
        </w:rPr>
        <w:t xml:space="preserve"> </w:t>
      </w:r>
      <w:r w:rsidRPr="00BB5F17">
        <w:rPr>
          <w:i w:val="0"/>
          <w:szCs w:val="28"/>
          <w:lang w:val="es-ES"/>
        </w:rPr>
        <w:sym w:font="Symbol" w:char="F071"/>
      </w:r>
    </w:p>
    <w:p w:rsidR="00256167" w:rsidRPr="00BB5F17" w:rsidRDefault="00256167" w:rsidP="00256167">
      <w:pPr>
        <w:rPr>
          <w:lang w:val="es-ES"/>
        </w:rPr>
      </w:pPr>
      <w:r w:rsidRPr="00BB5F17">
        <w:rPr>
          <w:lang w:val="es-ES"/>
        </w:rPr>
        <w:t>Para cada banda de frecuencias se utiliza una antena con determinadas características. Por tanto, el parámetro</w:t>
      </w:r>
      <w:r>
        <w:rPr>
          <w:lang w:val="es-ES"/>
        </w:rPr>
        <w:t>,</w:t>
      </w:r>
      <w:r w:rsidRPr="00BB5F17">
        <w:rPr>
          <w:lang w:val="es-ES"/>
        </w:rPr>
        <w:t xml:space="preserve"> </w:t>
      </w:r>
      <w:r w:rsidRPr="00BB5F17">
        <w:rPr>
          <w:iCs/>
          <w:lang w:val="es-ES"/>
        </w:rPr>
        <w:sym w:font="Symbol" w:char="F071"/>
      </w:r>
      <w:r>
        <w:rPr>
          <w:iCs/>
          <w:lang w:val="es-ES"/>
        </w:rPr>
        <w:t>,</w:t>
      </w:r>
      <w:r w:rsidRPr="00BB5F17">
        <w:rPr>
          <w:lang w:val="es-ES"/>
        </w:rPr>
        <w:t xml:space="preserve"> tendrá valores diferentes para cada banda. En el Cuadro 17 se indica el ancho del sector y el número de sectores adoptados para el sistema del ejemplo.</w:t>
      </w:r>
    </w:p>
    <w:p w:rsidR="00256167" w:rsidRPr="00BB5F17" w:rsidRDefault="00256167" w:rsidP="00256167">
      <w:pPr>
        <w:pStyle w:val="TableNo"/>
        <w:rPr>
          <w:lang w:val="es-ES"/>
        </w:rPr>
      </w:pPr>
      <w:r w:rsidRPr="00BB5F17">
        <w:rPr>
          <w:lang w:val="es-ES"/>
        </w:rPr>
        <w:t>CUADRO 17</w:t>
      </w:r>
    </w:p>
    <w:p w:rsidR="00256167" w:rsidRPr="00BB5F17" w:rsidRDefault="00256167" w:rsidP="00256167">
      <w:pPr>
        <w:pStyle w:val="Tabletitle"/>
        <w:rPr>
          <w:lang w:val="es-ES"/>
        </w:rPr>
      </w:pPr>
      <w:r w:rsidRPr="00BB5F17">
        <w:rPr>
          <w:lang w:val="es-ES"/>
        </w:rPr>
        <w:t>Ancho del sector</w:t>
      </w:r>
      <w:r>
        <w:rPr>
          <w:lang w:val="es-ES"/>
        </w:rPr>
        <w:t>,</w:t>
      </w:r>
      <w:r w:rsidRPr="00BB5F17">
        <w:rPr>
          <w:lang w:val="es-ES"/>
        </w:rPr>
        <w:t xml:space="preserve"> </w:t>
      </w:r>
      <w:r w:rsidRPr="00BB5F17">
        <w:rPr>
          <w:iCs/>
          <w:szCs w:val="24"/>
          <w:lang w:val="es-ES"/>
        </w:rPr>
        <w:sym w:font="Symbol" w:char="F071"/>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256167" w:rsidRPr="00BB5F17" w:rsidTr="00BB37EC">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vertAlign w:val="superscript"/>
                <w:lang w:val="es-ES"/>
              </w:rPr>
            </w:pPr>
            <w:r w:rsidRPr="00BB5F17">
              <w:rPr>
                <w:lang w:val="es-ES"/>
              </w:rPr>
              <w:t>Ancho del sector (grados)</w:t>
            </w:r>
            <w:r w:rsidRPr="00BB5F17">
              <w:rPr>
                <w:vertAlign w:val="superscript"/>
                <w:lang w:val="es-ES"/>
              </w:rPr>
              <w:t>(1)</w:t>
            </w:r>
          </w:p>
        </w:tc>
        <w:tc>
          <w:tcPr>
            <w:tcW w:w="340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vertAlign w:val="superscript"/>
                <w:lang w:val="es-ES"/>
              </w:rPr>
            </w:pPr>
            <w:r w:rsidRPr="00BB5F17">
              <w:rPr>
                <w:lang w:val="es-ES"/>
              </w:rPr>
              <w:t>Número de sectores adoptado</w:t>
            </w:r>
            <w:r w:rsidRPr="00BB5F17">
              <w:rPr>
                <w:vertAlign w:val="superscript"/>
                <w:lang w:val="es-ES"/>
              </w:rPr>
              <w:t>(2)</w:t>
            </w:r>
          </w:p>
        </w:tc>
      </w:tr>
      <w:tr w:rsidR="00256167" w:rsidRPr="00BB5F17" w:rsidTr="00BB37EC">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10</w:t>
            </w:r>
          </w:p>
        </w:tc>
        <w:tc>
          <w:tcPr>
            <w:tcW w:w="340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3</w:t>
            </w:r>
          </w:p>
        </w:tc>
      </w:tr>
      <w:tr w:rsidR="00256167" w:rsidRPr="00AC38FC" w:rsidTr="00BB37EC">
        <w:trPr>
          <w:jc w:val="center"/>
        </w:trPr>
        <w:tc>
          <w:tcPr>
            <w:tcW w:w="6803" w:type="dxa"/>
            <w:gridSpan w:val="2"/>
            <w:tcBorders>
              <w:top w:val="single" w:sz="4" w:space="0" w:color="auto"/>
              <w:left w:val="nil"/>
              <w:bottom w:val="nil"/>
              <w:right w:val="nil"/>
            </w:tcBorders>
            <w:vAlign w:val="center"/>
          </w:tcPr>
          <w:p w:rsidR="00256167" w:rsidRPr="00BB5F17" w:rsidRDefault="00256167" w:rsidP="005B580A">
            <w:pPr>
              <w:pStyle w:val="Tablelegend"/>
              <w:ind w:left="199" w:hanging="284"/>
              <w:rPr>
                <w:lang w:val="es-ES"/>
              </w:rPr>
            </w:pPr>
            <w:r w:rsidRPr="00BB5F17">
              <w:rPr>
                <w:vertAlign w:val="superscript"/>
                <w:lang w:val="es-ES"/>
              </w:rPr>
              <w:t>(1)</w:t>
            </w:r>
            <w:r w:rsidRPr="00BB5F17">
              <w:rPr>
                <w:lang w:val="es-ES"/>
              </w:rPr>
              <w:tab/>
              <w:t>Corresponde aproximadamente a la abertura del haz de potencia mitad para el diagrama de envolvente de radiación de la antena considerada.</w:t>
            </w:r>
          </w:p>
          <w:p w:rsidR="00256167" w:rsidRPr="00BB5F17" w:rsidRDefault="00256167" w:rsidP="005B580A">
            <w:pPr>
              <w:pStyle w:val="Tabletext"/>
              <w:ind w:left="199" w:right="-85" w:hanging="284"/>
              <w:rPr>
                <w:lang w:val="es-ES"/>
              </w:rPr>
            </w:pPr>
            <w:r w:rsidRPr="00BB5F17">
              <w:rPr>
                <w:vertAlign w:val="superscript"/>
                <w:lang w:val="es-ES"/>
              </w:rPr>
              <w:t>(2)</w:t>
            </w:r>
            <w:r w:rsidRPr="00BB5F17">
              <w:rPr>
                <w:vertAlign w:val="superscript"/>
                <w:lang w:val="es-ES"/>
              </w:rPr>
              <w:tab/>
            </w:r>
            <w:r w:rsidRPr="00BB5F17">
              <w:rPr>
                <w:lang w:val="es-ES"/>
              </w:rPr>
              <w:t>El número de sectores considerado.</w:t>
            </w:r>
          </w:p>
        </w:tc>
      </w:tr>
    </w:tbl>
    <w:p w:rsidR="00256167" w:rsidRPr="007F0761" w:rsidRDefault="00256167" w:rsidP="00256167">
      <w:pPr>
        <w:pStyle w:val="Tablefin"/>
        <w:rPr>
          <w:lang w:val="es-ES_tradnl"/>
        </w:rPr>
      </w:pPr>
    </w:p>
    <w:p w:rsidR="00256167" w:rsidRPr="00BB5F17" w:rsidRDefault="00256167" w:rsidP="00256167">
      <w:pPr>
        <w:pStyle w:val="Headingi"/>
        <w:rPr>
          <w:lang w:val="es-ES"/>
        </w:rPr>
      </w:pPr>
      <w:r w:rsidRPr="00BB5F17">
        <w:rPr>
          <w:lang w:val="es-ES"/>
        </w:rPr>
        <w:lastRenderedPageBreak/>
        <w:t>b)</w:t>
      </w:r>
      <w:r w:rsidRPr="00BB5F17">
        <w:rPr>
          <w:lang w:val="es-ES"/>
        </w:rPr>
        <w:tab/>
        <w:t>Radio del sector</w:t>
      </w:r>
      <w:r>
        <w:rPr>
          <w:lang w:val="es-ES"/>
        </w:rPr>
        <w:t>,</w:t>
      </w:r>
      <w:r w:rsidRPr="00BB5F17">
        <w:rPr>
          <w:lang w:val="es-ES"/>
        </w:rPr>
        <w:t xml:space="preserve"> R</w:t>
      </w:r>
    </w:p>
    <w:p w:rsidR="00256167" w:rsidRDefault="00256167" w:rsidP="00256167">
      <w:pPr>
        <w:rPr>
          <w:lang w:val="es-ES"/>
        </w:rPr>
      </w:pPr>
      <w:r w:rsidRPr="00BB5F17">
        <w:rPr>
          <w:lang w:val="es-ES"/>
        </w:rPr>
        <w:t>En el Cuadro 18 se indican los valores de los parámetros que pueden determinarse directamente a partir de las especificaciones del sistema si</w:t>
      </w:r>
      <w:r>
        <w:rPr>
          <w:lang w:val="es-ES"/>
        </w:rPr>
        <w:t>n</w:t>
      </w:r>
      <w:r w:rsidRPr="00BB5F17">
        <w:rPr>
          <w:lang w:val="es-ES"/>
        </w:rPr>
        <w:t xml:space="preserve"> ningún otro cálculo.</w:t>
      </w:r>
    </w:p>
    <w:p w:rsidR="00256167" w:rsidRPr="00BB5F17" w:rsidRDefault="00256167" w:rsidP="00256167">
      <w:pPr>
        <w:pStyle w:val="TableNo"/>
        <w:rPr>
          <w:lang w:val="es-ES"/>
        </w:rPr>
      </w:pPr>
      <w:r w:rsidRPr="00BB5F17">
        <w:rPr>
          <w:lang w:val="es-ES"/>
        </w:rPr>
        <w:t>CUADRO 18</w:t>
      </w:r>
    </w:p>
    <w:p w:rsidR="00256167" w:rsidRPr="00BB5F17" w:rsidRDefault="00256167" w:rsidP="00256167">
      <w:pPr>
        <w:pStyle w:val="Tabletitle"/>
        <w:rPr>
          <w:lang w:val="es-ES"/>
        </w:rPr>
      </w:pPr>
      <w:r w:rsidRPr="00BB5F17">
        <w:rPr>
          <w:lang w:val="es-ES"/>
        </w:rPr>
        <w:t>Frecuencia central y parámetros de radiación del 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559"/>
        <w:gridCol w:w="1560"/>
      </w:tblGrid>
      <w:tr w:rsidR="00D65300" w:rsidRPr="00ED2F9B" w:rsidTr="00213B1E">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head"/>
              <w:rPr>
                <w:lang w:val="en-US"/>
              </w:rPr>
            </w:pPr>
            <w:r w:rsidRPr="00ED2F9B">
              <w:rPr>
                <w:i/>
                <w:iCs/>
                <w:lang w:val="en-US"/>
              </w:rPr>
              <w:t>P</w:t>
            </w:r>
            <w:r w:rsidRPr="00ED2F9B">
              <w:rPr>
                <w:i/>
                <w:iCs/>
                <w:vertAlign w:val="subscript"/>
                <w:lang w:val="en-US"/>
              </w:rPr>
              <w:t>TX</w:t>
            </w:r>
            <w:r w:rsidRPr="00ED2F9B">
              <w:rPr>
                <w:lang w:val="en-US"/>
              </w:rPr>
              <w:br/>
              <w:t>(</w:t>
            </w:r>
            <w:proofErr w:type="spellStart"/>
            <w:r w:rsidRPr="00ED2F9B">
              <w:rPr>
                <w:lang w:val="en-US"/>
              </w:rPr>
              <w:t>dBm</w:t>
            </w:r>
            <w:proofErr w:type="spellEnd"/>
            <w:r w:rsidRPr="00ED2F9B">
              <w:rPr>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head"/>
              <w:rPr>
                <w:lang w:val="en-US"/>
              </w:rPr>
            </w:pPr>
            <w:r w:rsidRPr="00ED2F9B">
              <w:rPr>
                <w:i/>
                <w:iCs/>
                <w:lang w:val="en-US"/>
              </w:rPr>
              <w:t>L</w:t>
            </w:r>
            <w:r w:rsidRPr="00ED2F9B">
              <w:rPr>
                <w:i/>
                <w:iCs/>
                <w:vertAlign w:val="subscript"/>
                <w:lang w:val="en-US"/>
              </w:rPr>
              <w:t>C TX</w:t>
            </w:r>
            <w:r>
              <w:rPr>
                <w:lang w:val="en-US"/>
              </w:rPr>
              <w:br/>
            </w:r>
            <w:r w:rsidRPr="00ED2F9B">
              <w:rPr>
                <w:lang w:val="en-US"/>
              </w:rPr>
              <w:t>(dB)</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head"/>
              <w:rPr>
                <w:lang w:val="en-US"/>
              </w:rPr>
            </w:pPr>
            <w:r w:rsidRPr="00ED2F9B">
              <w:rPr>
                <w:i/>
                <w:iCs/>
                <w:lang w:val="en-US"/>
              </w:rPr>
              <w:t>L</w:t>
            </w:r>
            <w:r w:rsidRPr="00ED2F9B">
              <w:rPr>
                <w:i/>
                <w:iCs/>
                <w:vertAlign w:val="subscript"/>
                <w:lang w:val="en-US"/>
              </w:rPr>
              <w:t>C RX</w:t>
            </w:r>
            <w:r>
              <w:rPr>
                <w:lang w:val="en-US"/>
              </w:rPr>
              <w:br/>
            </w:r>
            <w:r w:rsidRPr="00ED2F9B">
              <w:rPr>
                <w:lang w:val="en-US"/>
              </w:rPr>
              <w:t>(dB)</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head"/>
              <w:rPr>
                <w:lang w:val="en-US"/>
              </w:rPr>
            </w:pPr>
            <w:r w:rsidRPr="00ED2F9B">
              <w:rPr>
                <w:i/>
                <w:iCs/>
                <w:lang w:val="en-US"/>
              </w:rPr>
              <w:t>G</w:t>
            </w:r>
            <w:r w:rsidRPr="00ED2F9B">
              <w:rPr>
                <w:i/>
                <w:iCs/>
                <w:vertAlign w:val="subscript"/>
                <w:lang w:val="en-US"/>
              </w:rPr>
              <w:t>RX</w:t>
            </w:r>
            <w:r>
              <w:rPr>
                <w:lang w:val="en-US"/>
              </w:rPr>
              <w:br/>
            </w:r>
            <w:r w:rsidRPr="00ED2F9B">
              <w:rPr>
                <w:lang w:val="en-US"/>
              </w:rPr>
              <w:t>(</w:t>
            </w:r>
            <w:proofErr w:type="spellStart"/>
            <w:r w:rsidRPr="00ED2F9B">
              <w:rPr>
                <w:lang w:val="en-US"/>
              </w:rPr>
              <w:t>dBi</w:t>
            </w:r>
            <w:proofErr w:type="spellEnd"/>
            <w:r w:rsidRPr="00ED2F9B">
              <w:rPr>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head"/>
              <w:rPr>
                <w:vertAlign w:val="subscript"/>
                <w:lang w:val="en-US"/>
              </w:rPr>
            </w:pPr>
            <w:r w:rsidRPr="00ED2F9B">
              <w:rPr>
                <w:i/>
                <w:iCs/>
                <w:lang w:val="en-US"/>
              </w:rPr>
              <w:t>f</w:t>
            </w:r>
            <w:r w:rsidRPr="004F0EE7">
              <w:rPr>
                <w:vertAlign w:val="superscript"/>
                <w:lang w:val="en-US"/>
              </w:rPr>
              <w:t xml:space="preserve"> </w:t>
            </w:r>
            <w:r w:rsidRPr="00ED2F9B">
              <w:rPr>
                <w:vertAlign w:val="superscript"/>
                <w:lang w:val="en-US"/>
              </w:rPr>
              <w:t>(1)</w:t>
            </w:r>
            <w:r>
              <w:rPr>
                <w:lang w:val="en-US"/>
              </w:rPr>
              <w:br/>
            </w:r>
            <w:r w:rsidRPr="00ED2F9B">
              <w:rPr>
                <w:lang w:val="en-US"/>
              </w:rPr>
              <w:t>(GHz)</w:t>
            </w:r>
          </w:p>
        </w:tc>
      </w:tr>
      <w:tr w:rsidR="00D65300" w:rsidRPr="00ED2F9B" w:rsidTr="00213B1E">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text"/>
              <w:jc w:val="center"/>
              <w:rPr>
                <w:lang w:val="en-US"/>
              </w:rPr>
            </w:pPr>
            <w:r w:rsidRPr="00ED2F9B">
              <w:rPr>
                <w:lang w:val="en-US"/>
              </w:rPr>
              <w:t>24.5</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text"/>
              <w:jc w:val="center"/>
              <w:rPr>
                <w:lang w:val="en-US"/>
              </w:rPr>
            </w:pPr>
            <w:r w:rsidRPr="00ED2F9B">
              <w:rPr>
                <w:lang w:val="en-US"/>
              </w:rPr>
              <w:t>4.4</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text"/>
              <w:jc w:val="center"/>
              <w:rPr>
                <w:lang w:val="en-US"/>
              </w:rPr>
            </w:pPr>
            <w:r w:rsidRPr="00ED2F9B">
              <w:rPr>
                <w:lang w:val="en-US"/>
              </w:rPr>
              <w:t>4.2</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text"/>
              <w:jc w:val="center"/>
              <w:rPr>
                <w:lang w:val="en-US"/>
              </w:rPr>
            </w:pPr>
            <w:r w:rsidRPr="00ED2F9B">
              <w:rPr>
                <w:lang w:val="en-US"/>
              </w:rPr>
              <w:t>36.7</w:t>
            </w:r>
          </w:p>
        </w:tc>
        <w:tc>
          <w:tcPr>
            <w:tcW w:w="1559" w:type="dxa"/>
            <w:tcBorders>
              <w:top w:val="single" w:sz="4" w:space="0" w:color="auto"/>
              <w:left w:val="single" w:sz="4" w:space="0" w:color="auto"/>
              <w:bottom w:val="single" w:sz="4" w:space="0" w:color="auto"/>
              <w:right w:val="single" w:sz="4" w:space="0" w:color="auto"/>
            </w:tcBorders>
            <w:vAlign w:val="center"/>
          </w:tcPr>
          <w:p w:rsidR="00D65300" w:rsidRPr="00ED2F9B" w:rsidRDefault="00D65300" w:rsidP="00213B1E">
            <w:pPr>
              <w:pStyle w:val="Tabletext"/>
              <w:jc w:val="center"/>
              <w:rPr>
                <w:lang w:val="en-US"/>
              </w:rPr>
            </w:pPr>
            <w:r w:rsidRPr="00ED2F9B">
              <w:rPr>
                <w:lang w:val="en-US"/>
              </w:rPr>
              <w:t>8.45</w:t>
            </w:r>
          </w:p>
        </w:tc>
      </w:tr>
      <w:tr w:rsidR="00D65300" w:rsidRPr="00AC38FC" w:rsidTr="00213B1E">
        <w:trPr>
          <w:cantSplit/>
          <w:jc w:val="center"/>
        </w:trPr>
        <w:tc>
          <w:tcPr>
            <w:tcW w:w="7796" w:type="dxa"/>
            <w:gridSpan w:val="5"/>
            <w:tcBorders>
              <w:top w:val="single" w:sz="4" w:space="0" w:color="auto"/>
              <w:left w:val="nil"/>
              <w:bottom w:val="nil"/>
              <w:right w:val="nil"/>
            </w:tcBorders>
            <w:vAlign w:val="center"/>
          </w:tcPr>
          <w:p w:rsidR="00D65300" w:rsidRPr="00332EC1" w:rsidRDefault="00D65300" w:rsidP="00213B1E">
            <w:pPr>
              <w:pStyle w:val="Tablelegend"/>
              <w:rPr>
                <w:lang w:val="es-ES_tradnl"/>
              </w:rPr>
            </w:pPr>
            <w:r w:rsidRPr="00332EC1">
              <w:rPr>
                <w:vertAlign w:val="superscript"/>
                <w:lang w:val="es-ES_tradnl"/>
              </w:rPr>
              <w:t>(1)</w:t>
            </w:r>
            <w:r w:rsidRPr="00332EC1">
              <w:rPr>
                <w:lang w:val="es-ES_tradnl"/>
              </w:rPr>
              <w:tab/>
            </w:r>
            <w:r w:rsidRPr="00BB5F17">
              <w:rPr>
                <w:lang w:val="es-ES"/>
              </w:rPr>
              <w:t>Frecuencia central en la banda superior de frecuencias radioeléctricas.</w:t>
            </w:r>
          </w:p>
        </w:tc>
      </w:tr>
    </w:tbl>
    <w:p w:rsidR="00256167" w:rsidRPr="002E6011" w:rsidRDefault="00256167" w:rsidP="00256167">
      <w:pPr>
        <w:pStyle w:val="Tablefin"/>
        <w:rPr>
          <w:lang w:val="es-ES_tradnl"/>
        </w:rPr>
      </w:pPr>
    </w:p>
    <w:p w:rsidR="00256167" w:rsidRPr="00BB5F17" w:rsidRDefault="00256167" w:rsidP="00256167">
      <w:pPr>
        <w:pStyle w:val="Headingi"/>
        <w:rPr>
          <w:lang w:val="es-ES"/>
        </w:rPr>
      </w:pPr>
      <w:r w:rsidRPr="00BB5F17">
        <w:rPr>
          <w:lang w:val="es-ES"/>
        </w:rPr>
        <w:t>c)</w:t>
      </w:r>
      <w:r w:rsidRPr="00BB5F17">
        <w:rPr>
          <w:lang w:val="es-ES"/>
        </w:rPr>
        <w:tab/>
        <w:t>Ganancia de la antena del transmisor</w:t>
      </w:r>
      <w:r>
        <w:rPr>
          <w:lang w:val="es-ES"/>
        </w:rPr>
        <w:t>,</w:t>
      </w:r>
      <w:r w:rsidRPr="00BB5F17">
        <w:rPr>
          <w:lang w:val="es-ES"/>
        </w:rPr>
        <w:t xml:space="preserve"> G</w:t>
      </w:r>
      <w:r w:rsidRPr="00BB5F17">
        <w:rPr>
          <w:vertAlign w:val="subscript"/>
          <w:lang w:val="es-ES"/>
        </w:rPr>
        <w:t>TX</w:t>
      </w:r>
    </w:p>
    <w:p w:rsidR="00256167" w:rsidRPr="00BB5F17" w:rsidRDefault="00256167" w:rsidP="00256167">
      <w:pPr>
        <w:rPr>
          <w:lang w:val="es-ES"/>
        </w:rPr>
      </w:pPr>
      <w:r w:rsidRPr="00BB5F17">
        <w:rPr>
          <w:i/>
          <w:iCs/>
          <w:lang w:val="es-ES"/>
        </w:rPr>
        <w:t>G</w:t>
      </w:r>
      <w:r w:rsidRPr="00BB5F17">
        <w:rPr>
          <w:i/>
          <w:iCs/>
          <w:vertAlign w:val="subscript"/>
          <w:lang w:val="es-ES"/>
        </w:rPr>
        <w:t>TX</w:t>
      </w:r>
      <w:r w:rsidRPr="00BB5F17">
        <w:rPr>
          <w:i/>
          <w:iCs/>
          <w:lang w:val="es-ES"/>
        </w:rPr>
        <w:t xml:space="preserve"> </w:t>
      </w:r>
      <w:r w:rsidRPr="00BB5F17">
        <w:rPr>
          <w:lang w:val="es-ES"/>
        </w:rPr>
        <w:t>es la ganancia de la antena del transmisor en el centro de un determinado sector. En el Cuadro 19 se indican los valores calculados</w:t>
      </w:r>
      <w:r>
        <w:rPr>
          <w:lang w:val="es-ES"/>
        </w:rPr>
        <w:t>,</w:t>
      </w:r>
      <w:r w:rsidRPr="00BB5F17">
        <w:rPr>
          <w:lang w:val="es-ES"/>
        </w:rPr>
        <w:t xml:space="preserve"> </w:t>
      </w:r>
      <w:r w:rsidRPr="00BB5F17">
        <w:rPr>
          <w:i/>
          <w:iCs/>
          <w:lang w:val="es-ES"/>
        </w:rPr>
        <w:t>G</w:t>
      </w:r>
      <w:r w:rsidRPr="00BB5F17">
        <w:rPr>
          <w:i/>
          <w:iCs/>
          <w:vertAlign w:val="subscript"/>
          <w:lang w:val="es-ES"/>
        </w:rPr>
        <w:t>TX</w:t>
      </w:r>
      <w:r>
        <w:rPr>
          <w:lang w:val="es-ES"/>
        </w:rPr>
        <w:t xml:space="preserve">, </w:t>
      </w:r>
      <w:r w:rsidRPr="00BB5F17">
        <w:rPr>
          <w:lang w:val="es-ES"/>
        </w:rPr>
        <w:t xml:space="preserve">para cada </w:t>
      </w:r>
      <w:r>
        <w:rPr>
          <w:lang w:val="es-ES"/>
        </w:rPr>
        <w:t xml:space="preserve">uno de los </w:t>
      </w:r>
      <w:r w:rsidRPr="00BB5F17">
        <w:rPr>
          <w:lang w:val="es-ES"/>
        </w:rPr>
        <w:t>sectores</w:t>
      </w:r>
      <w:r>
        <w:rPr>
          <w:lang w:val="es-ES"/>
        </w:rPr>
        <w:t>,</w:t>
      </w:r>
      <w:r w:rsidRPr="00BB5F17">
        <w:rPr>
          <w:lang w:val="es-ES"/>
        </w:rPr>
        <w:t> </w:t>
      </w:r>
      <w:r w:rsidRPr="00BB5F17">
        <w:rPr>
          <w:iCs/>
          <w:lang w:val="es-ES"/>
        </w:rPr>
        <w:sym w:font="Symbol" w:char="F071"/>
      </w:r>
      <w:r>
        <w:rPr>
          <w:lang w:val="es-ES"/>
        </w:rPr>
        <w:t>,</w:t>
      </w:r>
      <w:r w:rsidRPr="00BB5F17">
        <w:rPr>
          <w:lang w:val="es-ES"/>
        </w:rPr>
        <w:t xml:space="preserve"> definidos en el Cuadro 17.</w:t>
      </w:r>
    </w:p>
    <w:p w:rsidR="00256167" w:rsidRPr="00BB5F17" w:rsidRDefault="00256167" w:rsidP="00256167">
      <w:pPr>
        <w:pStyle w:val="TableNo"/>
        <w:rPr>
          <w:lang w:val="es-ES"/>
        </w:rPr>
      </w:pPr>
      <w:r w:rsidRPr="00BB5F17">
        <w:rPr>
          <w:lang w:val="es-ES"/>
        </w:rPr>
        <w:t>CUADRO 19</w:t>
      </w:r>
    </w:p>
    <w:p w:rsidR="00256167" w:rsidRPr="002F4173" w:rsidRDefault="00256167" w:rsidP="00256167">
      <w:pPr>
        <w:pStyle w:val="Tabletitle"/>
        <w:rPr>
          <w:rFonts w:ascii="Times New Roman Bold" w:hAnsi="Times New Roman Bold"/>
          <w:szCs w:val="24"/>
          <w:lang w:val="es-ES"/>
        </w:rPr>
      </w:pPr>
      <w:r w:rsidRPr="00BB5F17">
        <w:rPr>
          <w:lang w:val="es-ES"/>
        </w:rPr>
        <w:t>Ganancia de la antena de</w:t>
      </w:r>
      <w:r>
        <w:rPr>
          <w:lang w:val="es-ES"/>
        </w:rPr>
        <w:t>l</w:t>
      </w:r>
      <w:r w:rsidRPr="00BB5F17">
        <w:rPr>
          <w:lang w:val="es-ES"/>
        </w:rPr>
        <w:t xml:space="preserve"> transmisor según la anchura del sector*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2608"/>
        <w:gridCol w:w="2608"/>
      </w:tblGrid>
      <w:tr w:rsidR="00D65300" w:rsidRPr="00C12926" w:rsidTr="00213B1E">
        <w:trPr>
          <w:cantSplit/>
          <w:trHeight w:val="503"/>
          <w:jc w:val="center"/>
        </w:trPr>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head"/>
            </w:pPr>
            <w:r w:rsidRPr="00BB5F17">
              <w:rPr>
                <w:lang w:val="es-ES"/>
              </w:rPr>
              <w:t>Anchura de sector</w:t>
            </w:r>
            <w:r w:rsidRPr="00C12926">
              <w:t xml:space="preserve"> </w:t>
            </w:r>
            <w:r w:rsidRPr="00C12926">
              <w:rPr>
                <w:iCs/>
              </w:rPr>
              <w:sym w:font="Symbol" w:char="F071"/>
            </w:r>
            <w:r w:rsidRPr="00C12926">
              <w:rPr>
                <w:vertAlign w:val="subscript"/>
              </w:rPr>
              <w:t>1</w:t>
            </w:r>
          </w:p>
        </w:tc>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head"/>
              <w:rPr>
                <w:vertAlign w:val="superscript"/>
              </w:rPr>
            </w:pPr>
            <w:r w:rsidRPr="00BB5F17">
              <w:rPr>
                <w:lang w:val="es-ES"/>
              </w:rPr>
              <w:t>Anchura de sector</w:t>
            </w:r>
            <w:r w:rsidRPr="00C12926">
              <w:t xml:space="preserve"> </w:t>
            </w:r>
            <w:r w:rsidRPr="00C12926">
              <w:rPr>
                <w:iCs/>
              </w:rPr>
              <w:sym w:font="Symbol" w:char="F071"/>
            </w:r>
            <w:r w:rsidRPr="00C12926">
              <w:rPr>
                <w:vertAlign w:val="subscript"/>
              </w:rPr>
              <w:t>2</w:t>
            </w:r>
            <w:r w:rsidRPr="00C12926">
              <w:rPr>
                <w:vertAlign w:val="superscript"/>
              </w:rPr>
              <w:t>(1)</w:t>
            </w:r>
          </w:p>
        </w:tc>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head"/>
            </w:pPr>
            <w:r w:rsidRPr="00BB5F17">
              <w:rPr>
                <w:lang w:val="es-ES"/>
              </w:rPr>
              <w:t>Anchura de sector</w:t>
            </w:r>
            <w:r w:rsidRPr="00C12926">
              <w:t xml:space="preserve"> </w:t>
            </w:r>
            <w:r w:rsidRPr="00C12926">
              <w:rPr>
                <w:iCs/>
              </w:rPr>
              <w:sym w:font="Symbol" w:char="F071"/>
            </w:r>
            <w:r w:rsidRPr="00C12926">
              <w:rPr>
                <w:vertAlign w:val="subscript"/>
              </w:rPr>
              <w:t>3</w:t>
            </w:r>
          </w:p>
        </w:tc>
      </w:tr>
      <w:tr w:rsidR="00D65300" w:rsidRPr="00C12926" w:rsidTr="00213B1E">
        <w:trPr>
          <w:cantSplit/>
          <w:trHeight w:val="244"/>
          <w:jc w:val="center"/>
        </w:trPr>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text"/>
              <w:jc w:val="center"/>
            </w:pPr>
            <w:r w:rsidRPr="00C12926">
              <w:rPr>
                <w:i/>
              </w:rPr>
              <w:t>G</w:t>
            </w:r>
            <w:r w:rsidRPr="00C12926">
              <w:rPr>
                <w:i/>
                <w:vertAlign w:val="subscript"/>
              </w:rPr>
              <w:t>TX</w:t>
            </w:r>
            <w:r w:rsidRPr="00C12926">
              <w:rPr>
                <w:vertAlign w:val="subscript"/>
              </w:rPr>
              <w:t xml:space="preserve"> 1</w:t>
            </w:r>
          </w:p>
        </w:tc>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text"/>
              <w:jc w:val="center"/>
            </w:pPr>
            <w:r w:rsidRPr="00C12926">
              <w:rPr>
                <w:i/>
              </w:rPr>
              <w:t>G</w:t>
            </w:r>
            <w:r w:rsidRPr="00C12926">
              <w:rPr>
                <w:i/>
                <w:vertAlign w:val="subscript"/>
              </w:rPr>
              <w:t xml:space="preserve">TX </w:t>
            </w:r>
            <w:r w:rsidRPr="00C12926">
              <w:rPr>
                <w:vertAlign w:val="subscript"/>
              </w:rPr>
              <w:t>2</w:t>
            </w:r>
          </w:p>
        </w:tc>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text"/>
              <w:jc w:val="center"/>
            </w:pPr>
            <w:r w:rsidRPr="00C12926">
              <w:rPr>
                <w:i/>
              </w:rPr>
              <w:t>G</w:t>
            </w:r>
            <w:r w:rsidRPr="00C12926">
              <w:rPr>
                <w:i/>
                <w:vertAlign w:val="subscript"/>
              </w:rPr>
              <w:t>TX</w:t>
            </w:r>
            <w:r w:rsidRPr="00C12926">
              <w:rPr>
                <w:vertAlign w:val="subscript"/>
              </w:rPr>
              <w:t xml:space="preserve"> 3</w:t>
            </w:r>
          </w:p>
        </w:tc>
      </w:tr>
      <w:tr w:rsidR="00D65300" w:rsidRPr="00C12926" w:rsidTr="00213B1E">
        <w:trPr>
          <w:cantSplit/>
          <w:jc w:val="center"/>
        </w:trPr>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text"/>
              <w:jc w:val="center"/>
            </w:pPr>
            <w:r w:rsidRPr="00C12926">
              <w:t>14.7</w:t>
            </w:r>
          </w:p>
        </w:tc>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text"/>
              <w:jc w:val="center"/>
            </w:pPr>
            <w:r w:rsidRPr="00C12926">
              <w:t>36.7</w:t>
            </w:r>
          </w:p>
        </w:tc>
        <w:tc>
          <w:tcPr>
            <w:tcW w:w="2608" w:type="dxa"/>
            <w:tcBorders>
              <w:top w:val="single" w:sz="4" w:space="0" w:color="auto"/>
              <w:left w:val="single" w:sz="4" w:space="0" w:color="auto"/>
              <w:bottom w:val="single" w:sz="4" w:space="0" w:color="auto"/>
              <w:right w:val="single" w:sz="4" w:space="0" w:color="auto"/>
            </w:tcBorders>
            <w:vAlign w:val="center"/>
          </w:tcPr>
          <w:p w:rsidR="00D65300" w:rsidRPr="00C12926" w:rsidRDefault="00D65300" w:rsidP="00213B1E">
            <w:pPr>
              <w:pStyle w:val="Tabletext"/>
              <w:jc w:val="center"/>
            </w:pPr>
            <w:r w:rsidRPr="00C12926">
              <w:t>14.7</w:t>
            </w:r>
          </w:p>
        </w:tc>
      </w:tr>
      <w:tr w:rsidR="00D65300" w:rsidRPr="00AB4521" w:rsidTr="00213B1E">
        <w:trPr>
          <w:cantSplit/>
          <w:jc w:val="center"/>
        </w:trPr>
        <w:tc>
          <w:tcPr>
            <w:tcW w:w="7824" w:type="dxa"/>
            <w:gridSpan w:val="3"/>
            <w:tcBorders>
              <w:top w:val="single" w:sz="4" w:space="0" w:color="auto"/>
              <w:left w:val="nil"/>
              <w:bottom w:val="nil"/>
              <w:right w:val="nil"/>
            </w:tcBorders>
            <w:vAlign w:val="center"/>
          </w:tcPr>
          <w:p w:rsidR="00D65300" w:rsidRPr="00332EC1" w:rsidRDefault="00D65300" w:rsidP="00213B1E">
            <w:pPr>
              <w:pStyle w:val="Tablelegend"/>
              <w:rPr>
                <w:lang w:val="es-ES_tradnl"/>
              </w:rPr>
            </w:pPr>
            <w:r w:rsidRPr="00332EC1">
              <w:rPr>
                <w:lang w:val="es-ES_tradnl"/>
              </w:rPr>
              <w:t>*</w:t>
            </w:r>
            <w:r w:rsidRPr="00332EC1">
              <w:rPr>
                <w:lang w:val="es-ES_tradnl"/>
              </w:rPr>
              <w:tab/>
            </w:r>
            <w:r w:rsidRPr="00BB5F17">
              <w:rPr>
                <w:lang w:val="es-ES"/>
              </w:rPr>
              <w:t>Calculado con el diagrama de envolvente de radiación de la antena.</w:t>
            </w:r>
          </w:p>
          <w:p w:rsidR="00D65300" w:rsidRPr="00E15FCC" w:rsidRDefault="00D65300" w:rsidP="00213B1E">
            <w:pPr>
              <w:pStyle w:val="Tablelegend"/>
              <w:jc w:val="left"/>
              <w:rPr>
                <w:lang w:val="en-US"/>
              </w:rPr>
            </w:pPr>
            <w:r w:rsidRPr="00332EC1">
              <w:rPr>
                <w:vertAlign w:val="superscript"/>
                <w:lang w:val="es-ES_tradnl"/>
              </w:rPr>
              <w:t>(1)</w:t>
            </w:r>
            <w:r w:rsidRPr="00332EC1">
              <w:rPr>
                <w:lang w:val="es-ES_tradnl"/>
              </w:rPr>
              <w:tab/>
            </w:r>
            <w:r w:rsidRPr="00BB5F17">
              <w:rPr>
                <w:lang w:val="es-ES"/>
              </w:rPr>
              <w:t xml:space="preserve">El sector de ancho </w:t>
            </w:r>
            <w:r w:rsidRPr="00BB5F17">
              <w:rPr>
                <w:iCs/>
                <w:lang w:val="es-ES"/>
              </w:rPr>
              <w:sym w:font="Symbol" w:char="F071"/>
            </w:r>
            <w:r w:rsidRPr="00BB5F17">
              <w:rPr>
                <w:vertAlign w:val="subscript"/>
                <w:lang w:val="es-ES"/>
              </w:rPr>
              <w:t>2</w:t>
            </w:r>
            <w:r w:rsidRPr="00BB5F17">
              <w:rPr>
                <w:lang w:val="es-ES"/>
              </w:rPr>
              <w:t xml:space="preserve"> está centrado en el lóbulo principal de la antena. Las aberturas de haz </w:t>
            </w:r>
            <w:r w:rsidRPr="00BB5F17">
              <w:rPr>
                <w:iCs/>
                <w:lang w:val="es-ES"/>
              </w:rPr>
              <w:sym w:font="Symbol" w:char="F071"/>
            </w:r>
            <w:r w:rsidRPr="00BB5F17">
              <w:rPr>
                <w:vertAlign w:val="subscript"/>
                <w:lang w:val="es-ES"/>
              </w:rPr>
              <w:t>1</w:t>
            </w:r>
            <w:r w:rsidRPr="00BB5F17">
              <w:rPr>
                <w:lang w:val="es-ES"/>
              </w:rPr>
              <w:t xml:space="preserve"> y </w:t>
            </w:r>
            <w:r w:rsidRPr="00BB5F17">
              <w:rPr>
                <w:iCs/>
                <w:lang w:val="es-ES"/>
              </w:rPr>
              <w:sym w:font="Symbol" w:char="F071"/>
            </w:r>
            <w:r w:rsidRPr="00BB5F17">
              <w:rPr>
                <w:vertAlign w:val="subscript"/>
                <w:lang w:val="es-ES"/>
              </w:rPr>
              <w:t>3</w:t>
            </w:r>
            <w:r w:rsidRPr="00BB5F17">
              <w:rPr>
                <w:lang w:val="es-ES"/>
              </w:rPr>
              <w:t xml:space="preserve"> son adyacentes a </w:t>
            </w:r>
            <w:r w:rsidRPr="00BB5F17">
              <w:rPr>
                <w:iCs/>
                <w:lang w:val="es-ES"/>
              </w:rPr>
              <w:sym w:font="Symbol" w:char="F071"/>
            </w:r>
            <w:r w:rsidRPr="00BB5F17">
              <w:rPr>
                <w:vertAlign w:val="subscript"/>
                <w:lang w:val="es-ES"/>
              </w:rPr>
              <w:t>2</w:t>
            </w:r>
            <w:r w:rsidRPr="00BB5F17">
              <w:rPr>
                <w:lang w:val="es-ES"/>
              </w:rPr>
              <w:t>.</w:t>
            </w:r>
          </w:p>
        </w:tc>
      </w:tr>
    </w:tbl>
    <w:p w:rsidR="00256167" w:rsidRPr="002F4173" w:rsidRDefault="00256167" w:rsidP="00256167">
      <w:pPr>
        <w:pStyle w:val="Tablefin"/>
      </w:pPr>
    </w:p>
    <w:p w:rsidR="00256167" w:rsidRPr="00BB5F17" w:rsidRDefault="00256167" w:rsidP="00256167">
      <w:pPr>
        <w:rPr>
          <w:lang w:val="es-ES"/>
        </w:rPr>
      </w:pPr>
      <w:r w:rsidRPr="00BB5F17">
        <w:rPr>
          <w:lang w:val="es-ES"/>
        </w:rPr>
        <w:t xml:space="preserve">Las ecuaciones (38) y (39) indican que cada valor de </w:t>
      </w:r>
      <w:r w:rsidRPr="00BB5F17">
        <w:rPr>
          <w:i/>
          <w:iCs/>
          <w:lang w:val="es-ES"/>
        </w:rPr>
        <w:t>G</w:t>
      </w:r>
      <w:r w:rsidRPr="00BB5F17">
        <w:rPr>
          <w:i/>
          <w:iCs/>
          <w:vertAlign w:val="subscript"/>
          <w:lang w:val="es-ES"/>
        </w:rPr>
        <w:t>TX</w:t>
      </w:r>
      <w:r w:rsidRPr="00BB5F17">
        <w:rPr>
          <w:lang w:val="es-ES"/>
        </w:rPr>
        <w:t xml:space="preserve"> tiene un valor correspondiente </w:t>
      </w:r>
      <w:r w:rsidRPr="00BB5F17">
        <w:rPr>
          <w:i/>
          <w:lang w:val="es-ES"/>
        </w:rPr>
        <w:t>R</w:t>
      </w:r>
      <w:r w:rsidRPr="00BB5F17">
        <w:rPr>
          <w:lang w:val="es-ES"/>
        </w:rPr>
        <w:t xml:space="preserve">, </w:t>
      </w:r>
      <w:r>
        <w:rPr>
          <w:lang w:val="es-ES"/>
        </w:rPr>
        <w:t xml:space="preserve">considerando </w:t>
      </w:r>
      <w:r w:rsidRPr="00BB5F17">
        <w:rPr>
          <w:lang w:val="es-ES"/>
        </w:rPr>
        <w:t>que para cada sector sólo cambiará la ganancia de la antena del transmisor.</w:t>
      </w:r>
    </w:p>
    <w:p w:rsidR="00256167" w:rsidRPr="00BB5F17" w:rsidRDefault="00256167" w:rsidP="00256167">
      <w:pPr>
        <w:pStyle w:val="Headingi"/>
        <w:rPr>
          <w:lang w:val="es-ES"/>
        </w:rPr>
      </w:pPr>
      <w:r w:rsidRPr="00BB5F17">
        <w:rPr>
          <w:lang w:val="es-ES"/>
        </w:rPr>
        <w:t>d)</w:t>
      </w:r>
      <w:r w:rsidRPr="00BB5F17">
        <w:rPr>
          <w:lang w:val="es-ES"/>
        </w:rPr>
        <w:tab/>
        <w:t>Umbral de interferencia del receptor</w:t>
      </w:r>
      <w:r>
        <w:rPr>
          <w:lang w:val="es-ES"/>
        </w:rPr>
        <w:t>,</w:t>
      </w:r>
      <w:r w:rsidRPr="00BB5F17">
        <w:rPr>
          <w:lang w:val="es-ES"/>
        </w:rPr>
        <w:t xml:space="preserve"> </w:t>
      </w:r>
      <w:r w:rsidRPr="00BB5F17">
        <w:rPr>
          <w:sz w:val="28"/>
          <w:lang w:val="es-ES"/>
        </w:rPr>
        <w:t>I</w:t>
      </w:r>
      <w:r w:rsidRPr="00BB5F17">
        <w:rPr>
          <w:sz w:val="28"/>
          <w:vertAlign w:val="subscript"/>
          <w:lang w:val="es-ES"/>
        </w:rPr>
        <w:t>RX</w:t>
      </w:r>
    </w:p>
    <w:p w:rsidR="00256167" w:rsidRPr="00BB5F17" w:rsidRDefault="00256167" w:rsidP="00256167">
      <w:pPr>
        <w:rPr>
          <w:lang w:val="es-ES"/>
        </w:rPr>
      </w:pPr>
      <w:r w:rsidRPr="00BB5F17">
        <w:rPr>
          <w:lang w:val="es-ES"/>
        </w:rPr>
        <w:t xml:space="preserve">Hay dos formas de calcular el umbral de interferencia del receptor: cálculo directo a partir de la relación </w:t>
      </w:r>
      <w:r w:rsidRPr="00BB5F17">
        <w:rPr>
          <w:i/>
          <w:iCs/>
          <w:lang w:val="es-ES"/>
        </w:rPr>
        <w:t>C</w:t>
      </w:r>
      <w:r w:rsidRPr="002F4173">
        <w:rPr>
          <w:iCs/>
          <w:lang w:val="es-ES"/>
        </w:rPr>
        <w:t>/</w:t>
      </w:r>
      <w:r w:rsidRPr="00BB5F17">
        <w:rPr>
          <w:i/>
          <w:iCs/>
          <w:lang w:val="es-ES"/>
        </w:rPr>
        <w:t>I</w:t>
      </w:r>
      <w:r w:rsidRPr="00BB5F17">
        <w:rPr>
          <w:i/>
          <w:iCs/>
          <w:vertAlign w:val="subscript"/>
          <w:lang w:val="es-ES"/>
        </w:rPr>
        <w:t>M</w:t>
      </w:r>
      <w:r>
        <w:rPr>
          <w:i/>
          <w:iCs/>
          <w:vertAlign w:val="subscript"/>
          <w:lang w:val="es-ES"/>
        </w:rPr>
        <w:t>Á</w:t>
      </w:r>
      <w:r w:rsidRPr="00BB5F17">
        <w:rPr>
          <w:i/>
          <w:iCs/>
          <w:vertAlign w:val="subscript"/>
          <w:lang w:val="es-ES"/>
        </w:rPr>
        <w:t>X</w:t>
      </w:r>
      <w:r w:rsidRPr="00BB5F17">
        <w:rPr>
          <w:lang w:val="es-ES"/>
        </w:rPr>
        <w:t xml:space="preserve"> del receptor o cálculo a partir del margen mínimo necesario del receptor. En este ejemplo de cálculo se utilizará el segundo método porque supone un mayor número de operaciones.</w:t>
      </w:r>
    </w:p>
    <w:p w:rsidR="00256167" w:rsidRPr="00BB5F17" w:rsidRDefault="00256167" w:rsidP="00256167">
      <w:pPr>
        <w:rPr>
          <w:lang w:val="es-ES"/>
        </w:rPr>
      </w:pPr>
      <w:r w:rsidRPr="00BB5F17">
        <w:rPr>
          <w:lang w:val="es-ES"/>
        </w:rPr>
        <w:t xml:space="preserve">En el Cuadro 20 se indican los valores característicos de </w:t>
      </w:r>
      <w:r w:rsidRPr="00BB5F17">
        <w:rPr>
          <w:i/>
          <w:iCs/>
          <w:lang w:val="es-ES"/>
        </w:rPr>
        <w:t>C/I</w:t>
      </w:r>
      <w:r w:rsidRPr="00BB5F17">
        <w:rPr>
          <w:i/>
          <w:iCs/>
          <w:vertAlign w:val="subscript"/>
          <w:lang w:val="es-ES"/>
        </w:rPr>
        <w:t>M</w:t>
      </w:r>
      <w:r>
        <w:rPr>
          <w:i/>
          <w:iCs/>
          <w:vertAlign w:val="subscript"/>
          <w:lang w:val="es-ES"/>
        </w:rPr>
        <w:t>Á</w:t>
      </w:r>
      <w:r w:rsidRPr="00BB5F17">
        <w:rPr>
          <w:i/>
          <w:iCs/>
          <w:vertAlign w:val="subscript"/>
          <w:lang w:val="es-ES"/>
        </w:rPr>
        <w:t>X</w:t>
      </w:r>
      <w:r w:rsidRPr="00BB5F17">
        <w:rPr>
          <w:lang w:val="es-ES"/>
        </w:rPr>
        <w:t xml:space="preserve"> y </w:t>
      </w:r>
      <w:r w:rsidRPr="00BB5F17">
        <w:rPr>
          <w:i/>
          <w:iCs/>
          <w:lang w:val="es-ES"/>
        </w:rPr>
        <w:t>I</w:t>
      </w:r>
      <w:r w:rsidRPr="00BB5F17">
        <w:rPr>
          <w:i/>
          <w:iCs/>
          <w:vertAlign w:val="subscript"/>
          <w:lang w:val="es-ES"/>
        </w:rPr>
        <w:t>EQ</w:t>
      </w:r>
      <w:r w:rsidRPr="00BB5F17">
        <w:rPr>
          <w:lang w:val="es-ES"/>
        </w:rPr>
        <w:t>, obtenidos de las especificaciones del equipo. Estos valores se utilizan en la ecuación (42).</w:t>
      </w:r>
    </w:p>
    <w:p w:rsidR="00256167" w:rsidRPr="00BB5F17" w:rsidRDefault="00256167" w:rsidP="00256167">
      <w:pPr>
        <w:pStyle w:val="TableNo"/>
        <w:rPr>
          <w:lang w:val="es-ES"/>
        </w:rPr>
      </w:pPr>
      <w:r w:rsidRPr="00BB5F17">
        <w:rPr>
          <w:lang w:val="es-ES"/>
        </w:rPr>
        <w:t>CUADRO 20</w:t>
      </w:r>
    </w:p>
    <w:p w:rsidR="00256167" w:rsidRPr="00BB5F17" w:rsidRDefault="00256167" w:rsidP="00256167">
      <w:pPr>
        <w:pStyle w:val="Tabletitle"/>
        <w:rPr>
          <w:vertAlign w:val="subscript"/>
          <w:lang w:val="es-ES"/>
        </w:rPr>
      </w:pPr>
      <w:r w:rsidRPr="00BB5F17">
        <w:rPr>
          <w:lang w:val="es-ES"/>
        </w:rPr>
        <w:t xml:space="preserve">Valores de </w:t>
      </w:r>
      <w:r w:rsidRPr="00BB5F17">
        <w:rPr>
          <w:i/>
          <w:iCs/>
          <w:lang w:val="es-ES"/>
        </w:rPr>
        <w:t>C</w:t>
      </w:r>
      <w:r w:rsidRPr="00BB5F17">
        <w:rPr>
          <w:lang w:val="es-ES"/>
        </w:rPr>
        <w:t>/</w:t>
      </w:r>
      <w:r w:rsidRPr="00BB5F17">
        <w:rPr>
          <w:i/>
          <w:iCs/>
          <w:lang w:val="es-ES"/>
        </w:rPr>
        <w:t>I</w:t>
      </w:r>
      <w:r w:rsidRPr="00BB5F17">
        <w:rPr>
          <w:i/>
          <w:iCs/>
          <w:vertAlign w:val="subscript"/>
          <w:lang w:val="es-ES"/>
        </w:rPr>
        <w:t>M</w:t>
      </w:r>
      <w:r>
        <w:rPr>
          <w:i/>
          <w:iCs/>
          <w:vertAlign w:val="subscript"/>
          <w:lang w:val="es-ES"/>
        </w:rPr>
        <w:t>Á</w:t>
      </w:r>
      <w:r w:rsidRPr="00BB5F17">
        <w:rPr>
          <w:i/>
          <w:iCs/>
          <w:vertAlign w:val="subscript"/>
          <w:lang w:val="es-ES"/>
        </w:rPr>
        <w:t>X</w:t>
      </w:r>
      <w:r w:rsidRPr="00BB5F17">
        <w:rPr>
          <w:lang w:val="es-ES"/>
        </w:rPr>
        <w:t xml:space="preserve"> </w:t>
      </w:r>
      <w:r>
        <w:rPr>
          <w:lang w:val="es-ES"/>
        </w:rPr>
        <w:t>e</w:t>
      </w:r>
      <w:r w:rsidRPr="00BB5F17">
        <w:rPr>
          <w:lang w:val="es-ES"/>
        </w:rPr>
        <w:t xml:space="preserve"> </w:t>
      </w:r>
      <w:r w:rsidRPr="00BB5F17">
        <w:rPr>
          <w:i/>
          <w:iCs/>
          <w:lang w:val="es-ES"/>
        </w:rPr>
        <w:t>I</w:t>
      </w:r>
      <w:r w:rsidRPr="00BB5F17">
        <w:rPr>
          <w:i/>
          <w:iCs/>
          <w:vertAlign w:val="subscript"/>
          <w:lang w:val="es-ES"/>
        </w:rPr>
        <w:t>EQ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256167" w:rsidRPr="00BB5F17" w:rsidTr="007056F5">
        <w:trPr>
          <w:jc w:val="center"/>
        </w:trPr>
        <w:tc>
          <w:tcPr>
            <w:tcW w:w="3402" w:type="dxa"/>
            <w:tcBorders>
              <w:top w:val="single" w:sz="4" w:space="0" w:color="auto"/>
              <w:left w:val="single" w:sz="4" w:space="0" w:color="auto"/>
              <w:bottom w:val="single" w:sz="4" w:space="0" w:color="auto"/>
              <w:right w:val="single" w:sz="4" w:space="0" w:color="auto"/>
            </w:tcBorders>
          </w:tcPr>
          <w:p w:rsidR="00256167" w:rsidRPr="00BB5F17" w:rsidRDefault="00256167" w:rsidP="005B580A">
            <w:pPr>
              <w:pStyle w:val="Tablehead"/>
              <w:rPr>
                <w:lang w:val="es-ES"/>
              </w:rPr>
            </w:pPr>
            <w:r w:rsidRPr="00BB5F17">
              <w:rPr>
                <w:i/>
                <w:lang w:val="es-ES"/>
              </w:rPr>
              <w:t>C</w:t>
            </w:r>
            <w:r w:rsidRPr="00BB5F17">
              <w:rPr>
                <w:lang w:val="es-ES"/>
              </w:rPr>
              <w:t>/</w:t>
            </w:r>
            <w:r w:rsidRPr="00BB5F17">
              <w:rPr>
                <w:i/>
                <w:lang w:val="es-ES"/>
              </w:rPr>
              <w:t>I</w:t>
            </w:r>
            <w:r w:rsidRPr="00BB5F17">
              <w:rPr>
                <w:i/>
                <w:vertAlign w:val="subscript"/>
                <w:lang w:val="es-ES"/>
              </w:rPr>
              <w:t>M</w:t>
            </w:r>
            <w:r>
              <w:rPr>
                <w:i/>
                <w:iCs/>
                <w:vertAlign w:val="subscript"/>
                <w:lang w:val="es-ES"/>
              </w:rPr>
              <w:t>Á</w:t>
            </w:r>
            <w:r w:rsidRPr="00BB5F17">
              <w:rPr>
                <w:i/>
                <w:vertAlign w:val="subscript"/>
                <w:lang w:val="es-ES"/>
              </w:rPr>
              <w:t>X</w:t>
            </w:r>
            <w:r w:rsidRPr="00BB5F17">
              <w:rPr>
                <w:i/>
                <w:lang w:val="es-ES"/>
              </w:rPr>
              <w:t xml:space="preserve"> </w:t>
            </w:r>
            <w:r w:rsidRPr="00BB5F17">
              <w:rPr>
                <w:i/>
                <w:lang w:val="es-ES"/>
              </w:rPr>
              <w:br/>
            </w:r>
            <w:r w:rsidRPr="00BB5F17">
              <w:rPr>
                <w:lang w:val="es-ES"/>
              </w:rPr>
              <w:t>(dB)</w:t>
            </w:r>
          </w:p>
        </w:tc>
        <w:tc>
          <w:tcPr>
            <w:tcW w:w="340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vertAlign w:val="superscript"/>
                <w:lang w:val="es-ES"/>
              </w:rPr>
            </w:pPr>
            <w:r w:rsidRPr="00BB5F17">
              <w:rPr>
                <w:lang w:val="es-ES"/>
              </w:rPr>
              <w:t>I</w:t>
            </w:r>
            <w:r w:rsidRPr="00BB5F17">
              <w:rPr>
                <w:i/>
                <w:vertAlign w:val="subscript"/>
                <w:lang w:val="es-ES"/>
              </w:rPr>
              <w:t>EQ</w:t>
            </w:r>
            <w:r w:rsidRPr="00BB5F17">
              <w:rPr>
                <w:i/>
                <w:lang w:val="es-ES"/>
              </w:rPr>
              <w:t xml:space="preserve"> </w:t>
            </w:r>
            <w:r w:rsidRPr="00BB5F17">
              <w:rPr>
                <w:lang w:val="es-ES"/>
              </w:rPr>
              <w:t>del sistema</w:t>
            </w:r>
            <w:r w:rsidRPr="00BB5F17">
              <w:rPr>
                <w:vertAlign w:val="superscript"/>
                <w:lang w:val="es-ES"/>
              </w:rPr>
              <w:t>(1)</w:t>
            </w:r>
            <w:r>
              <w:rPr>
                <w:lang w:val="es-ES"/>
              </w:rPr>
              <w:br/>
            </w:r>
            <w:r w:rsidRPr="00BB5F17">
              <w:rPr>
                <w:lang w:val="es-ES"/>
              </w:rPr>
              <w:t>(</w:t>
            </w:r>
            <w:proofErr w:type="spellStart"/>
            <w:r w:rsidRPr="00BB5F17">
              <w:rPr>
                <w:lang w:val="es-ES"/>
              </w:rPr>
              <w:t>dBm</w:t>
            </w:r>
            <w:proofErr w:type="spellEnd"/>
            <w:r w:rsidRPr="00BB5F17">
              <w:rPr>
                <w:lang w:val="es-ES"/>
              </w:rPr>
              <w:t>)</w:t>
            </w:r>
          </w:p>
        </w:tc>
      </w:tr>
      <w:tr w:rsidR="00256167" w:rsidRPr="00BB5F17" w:rsidTr="007056F5">
        <w:trPr>
          <w:jc w:val="center"/>
        </w:trPr>
        <w:tc>
          <w:tcPr>
            <w:tcW w:w="3402" w:type="dxa"/>
            <w:tcBorders>
              <w:top w:val="single" w:sz="4" w:space="0" w:color="auto"/>
              <w:left w:val="single" w:sz="4" w:space="0" w:color="auto"/>
              <w:bottom w:val="single" w:sz="4" w:space="0" w:color="auto"/>
              <w:right w:val="single" w:sz="4" w:space="0" w:color="auto"/>
            </w:tcBorders>
          </w:tcPr>
          <w:p w:rsidR="00256167" w:rsidRPr="00BB5F17" w:rsidRDefault="00256167" w:rsidP="005B580A">
            <w:pPr>
              <w:pStyle w:val="Tabletext"/>
              <w:jc w:val="center"/>
              <w:rPr>
                <w:lang w:val="es-ES"/>
              </w:rPr>
            </w:pPr>
            <w:r w:rsidRPr="00BB5F17">
              <w:rPr>
                <w:lang w:val="es-ES"/>
              </w:rPr>
              <w:t>17,0</w:t>
            </w:r>
          </w:p>
        </w:tc>
        <w:tc>
          <w:tcPr>
            <w:tcW w:w="3402"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–105,0</w:t>
            </w:r>
          </w:p>
        </w:tc>
      </w:tr>
      <w:tr w:rsidR="00256167" w:rsidRPr="00AC38FC" w:rsidTr="007056F5">
        <w:trPr>
          <w:jc w:val="center"/>
        </w:trPr>
        <w:tc>
          <w:tcPr>
            <w:tcW w:w="6803" w:type="dxa"/>
            <w:gridSpan w:val="2"/>
            <w:tcBorders>
              <w:top w:val="single" w:sz="4" w:space="0" w:color="auto"/>
              <w:left w:val="nil"/>
              <w:bottom w:val="nil"/>
              <w:right w:val="nil"/>
            </w:tcBorders>
          </w:tcPr>
          <w:p w:rsidR="00256167" w:rsidRPr="00BB5F17" w:rsidRDefault="00256167" w:rsidP="005B580A">
            <w:pPr>
              <w:pStyle w:val="Tablelegend"/>
              <w:rPr>
                <w:lang w:val="es-ES"/>
              </w:rPr>
            </w:pPr>
            <w:r w:rsidRPr="00BB5F17">
              <w:rPr>
                <w:vertAlign w:val="superscript"/>
                <w:lang w:val="es-ES"/>
              </w:rPr>
              <w:t>(1)</w:t>
            </w:r>
            <w:r w:rsidRPr="00BB5F17">
              <w:rPr>
                <w:lang w:val="es-ES"/>
              </w:rPr>
              <w:tab/>
              <w:t xml:space="preserve">Valores obtenidos considerando que </w:t>
            </w:r>
            <w:r w:rsidRPr="00BB5F17">
              <w:rPr>
                <w:i/>
                <w:lang w:val="es-ES"/>
              </w:rPr>
              <w:t>C</w:t>
            </w:r>
            <w:r w:rsidRPr="002E6011">
              <w:rPr>
                <w:lang w:val="es-ES"/>
              </w:rPr>
              <w:t>,</w:t>
            </w:r>
            <w:r w:rsidRPr="00BB5F17">
              <w:rPr>
                <w:lang w:val="es-ES"/>
              </w:rPr>
              <w:t xml:space="preserve"> es igual al umbral del receptor.</w:t>
            </w:r>
          </w:p>
        </w:tc>
      </w:tr>
    </w:tbl>
    <w:p w:rsidR="00256167" w:rsidRPr="00E5328B" w:rsidRDefault="00256167" w:rsidP="00256167">
      <w:pPr>
        <w:pStyle w:val="Tablefin"/>
        <w:rPr>
          <w:sz w:val="2"/>
          <w:szCs w:val="2"/>
          <w:lang w:val="es-ES_tradnl"/>
        </w:rPr>
      </w:pPr>
    </w:p>
    <w:p w:rsidR="00256167" w:rsidRPr="00BB5F17" w:rsidRDefault="00256167" w:rsidP="00256167">
      <w:pPr>
        <w:pStyle w:val="Headingi"/>
        <w:rPr>
          <w:lang w:val="es-ES"/>
        </w:rPr>
      </w:pPr>
      <w:r w:rsidRPr="00BB5F17">
        <w:rPr>
          <w:lang w:val="es-ES"/>
        </w:rPr>
        <w:lastRenderedPageBreak/>
        <w:t>e)</w:t>
      </w:r>
      <w:r w:rsidRPr="00BB5F17">
        <w:rPr>
          <w:lang w:val="es-ES"/>
        </w:rPr>
        <w:tab/>
        <w:t>Degradación máxima</w:t>
      </w:r>
      <w:r>
        <w:rPr>
          <w:lang w:val="es-ES"/>
        </w:rPr>
        <w:t>,</w:t>
      </w:r>
      <w:r w:rsidRPr="00BB5F17">
        <w:rPr>
          <w:lang w:val="es-ES"/>
        </w:rPr>
        <w:t xml:space="preserve"> D</w:t>
      </w:r>
    </w:p>
    <w:p w:rsidR="00256167" w:rsidRPr="00BB5F17" w:rsidRDefault="00256167" w:rsidP="00256167">
      <w:pPr>
        <w:rPr>
          <w:lang w:val="es-ES"/>
        </w:rPr>
      </w:pPr>
      <w:r w:rsidRPr="00BB5F17">
        <w:rPr>
          <w:lang w:val="es-ES"/>
        </w:rPr>
        <w:t xml:space="preserve">En el Cuadro 21 están reunidos los parámetros </w:t>
      </w:r>
      <w:r w:rsidRPr="00BB5F17">
        <w:rPr>
          <w:i/>
          <w:iCs/>
          <w:lang w:val="es-ES"/>
        </w:rPr>
        <w:t>D</w:t>
      </w:r>
      <w:r w:rsidRPr="00BB5F17">
        <w:rPr>
          <w:i/>
          <w:iCs/>
          <w:vertAlign w:val="subscript"/>
          <w:lang w:val="es-ES"/>
        </w:rPr>
        <w:t>M</w:t>
      </w:r>
      <w:r w:rsidRPr="00BB5F17">
        <w:rPr>
          <w:i/>
          <w:iCs/>
          <w:lang w:val="es-ES"/>
        </w:rPr>
        <w:t xml:space="preserve"> </w:t>
      </w:r>
      <w:r w:rsidRPr="00BB5F17">
        <w:rPr>
          <w:lang w:val="es-ES"/>
        </w:rPr>
        <w:t xml:space="preserve">, </w:t>
      </w:r>
      <w:r w:rsidRPr="00BB5F17">
        <w:rPr>
          <w:i/>
          <w:iCs/>
          <w:lang w:val="es-ES"/>
        </w:rPr>
        <w:t>D</w:t>
      </w:r>
      <w:r w:rsidRPr="00BB5F17">
        <w:rPr>
          <w:i/>
          <w:iCs/>
          <w:vertAlign w:val="subscript"/>
          <w:lang w:val="es-ES"/>
        </w:rPr>
        <w:t>S</w:t>
      </w:r>
      <w:r w:rsidRPr="00BB5F17">
        <w:rPr>
          <w:i/>
          <w:iCs/>
          <w:lang w:val="es-ES"/>
        </w:rPr>
        <w:t xml:space="preserve"> </w:t>
      </w:r>
      <w:r w:rsidRPr="00BB5F17">
        <w:rPr>
          <w:lang w:val="es-ES"/>
        </w:rPr>
        <w:t xml:space="preserve">, </w:t>
      </w:r>
      <w:r w:rsidRPr="00BB5F17">
        <w:rPr>
          <w:i/>
          <w:iCs/>
          <w:lang w:val="es-ES"/>
        </w:rPr>
        <w:t>M</w:t>
      </w:r>
      <w:r w:rsidRPr="00BB5F17">
        <w:rPr>
          <w:i/>
          <w:iCs/>
          <w:vertAlign w:val="subscript"/>
          <w:lang w:val="es-ES"/>
        </w:rPr>
        <w:t>C</w:t>
      </w:r>
      <w:r w:rsidRPr="00BB5F17">
        <w:rPr>
          <w:i/>
          <w:iCs/>
          <w:lang w:val="es-ES"/>
        </w:rPr>
        <w:t xml:space="preserve"> </w:t>
      </w:r>
      <w:r w:rsidRPr="00BB5F17">
        <w:rPr>
          <w:lang w:val="es-ES"/>
        </w:rPr>
        <w:t xml:space="preserve">y </w:t>
      </w:r>
      <w:r w:rsidRPr="00BB5F17">
        <w:rPr>
          <w:i/>
          <w:iCs/>
          <w:lang w:val="es-ES"/>
        </w:rPr>
        <w:t>M</w:t>
      </w:r>
      <w:r w:rsidRPr="00BB5F17">
        <w:rPr>
          <w:i/>
          <w:iCs/>
          <w:vertAlign w:val="subscript"/>
          <w:lang w:val="es-ES"/>
        </w:rPr>
        <w:t>M</w:t>
      </w:r>
      <w:r w:rsidRPr="00BB5F17">
        <w:rPr>
          <w:i/>
          <w:iCs/>
          <w:lang w:val="es-ES"/>
        </w:rPr>
        <w:t xml:space="preserve"> </w:t>
      </w:r>
      <w:r w:rsidRPr="00BB5F17">
        <w:rPr>
          <w:lang w:val="es-ES"/>
        </w:rPr>
        <w:t xml:space="preserve">para el sistema considerado como ejemplo, y el valor calculado de </w:t>
      </w:r>
      <w:r w:rsidRPr="00BB5F17">
        <w:rPr>
          <w:i/>
          <w:iCs/>
          <w:lang w:val="es-ES"/>
        </w:rPr>
        <w:t>D</w:t>
      </w:r>
      <w:r w:rsidRPr="00BB5F17">
        <w:rPr>
          <w:lang w:val="es-ES"/>
        </w:rPr>
        <w:t xml:space="preserve"> (ecuaciones (43) y (44)), que es otro parámetro que se ha de incluir en la ecuación (42).</w:t>
      </w:r>
    </w:p>
    <w:p w:rsidR="00256167" w:rsidRPr="00BB5F17" w:rsidRDefault="00256167" w:rsidP="00256167">
      <w:pPr>
        <w:pStyle w:val="TableNo"/>
        <w:rPr>
          <w:lang w:val="es-ES"/>
        </w:rPr>
      </w:pPr>
      <w:r w:rsidRPr="00BB5F17">
        <w:rPr>
          <w:lang w:val="es-ES"/>
        </w:rPr>
        <w:t>CUADRO 21</w:t>
      </w:r>
    </w:p>
    <w:p w:rsidR="00256167" w:rsidRPr="00BB5F17" w:rsidRDefault="00256167" w:rsidP="00256167">
      <w:pPr>
        <w:pStyle w:val="Tabletitle"/>
        <w:rPr>
          <w:lang w:val="es-ES"/>
        </w:rPr>
      </w:pPr>
      <w:r w:rsidRPr="00BB5F17">
        <w:rPr>
          <w:lang w:val="es-ES"/>
        </w:rPr>
        <w:t>Parámetros de degradación</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899"/>
        <w:gridCol w:w="1899"/>
        <w:gridCol w:w="1899"/>
        <w:gridCol w:w="1902"/>
      </w:tblGrid>
      <w:tr w:rsidR="00256167" w:rsidRPr="00AC38FC" w:rsidTr="00E52409">
        <w:trPr>
          <w:jc w:val="center"/>
        </w:trPr>
        <w:tc>
          <w:tcPr>
            <w:tcW w:w="2041"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213B1E">
            <w:pPr>
              <w:pStyle w:val="Tablehead"/>
              <w:ind w:left="-57" w:right="-57"/>
              <w:rPr>
                <w:lang w:val="es-ES"/>
              </w:rPr>
            </w:pPr>
            <w:r w:rsidRPr="00BB5F17">
              <w:rPr>
                <w:lang w:val="es-ES"/>
              </w:rPr>
              <w:t>Margen calculado o</w:t>
            </w:r>
            <w:r w:rsidR="00213B1E">
              <w:rPr>
                <w:lang w:val="es-ES"/>
              </w:rPr>
              <w:t> </w:t>
            </w:r>
            <w:r w:rsidRPr="00BB5F17">
              <w:rPr>
                <w:lang w:val="es-ES"/>
              </w:rPr>
              <w:t xml:space="preserve">deseado, </w:t>
            </w:r>
            <w:r w:rsidRPr="00BB5F17">
              <w:rPr>
                <w:i/>
                <w:iCs/>
                <w:lang w:val="es-ES"/>
              </w:rPr>
              <w:t>M</w:t>
            </w:r>
            <w:r w:rsidRPr="00BB5F17">
              <w:rPr>
                <w:i/>
                <w:iCs/>
                <w:vertAlign w:val="subscript"/>
                <w:lang w:val="es-ES"/>
              </w:rPr>
              <w:t>C</w:t>
            </w:r>
            <w:r>
              <w:rPr>
                <w:i/>
                <w:iCs/>
                <w:lang w:val="es-ES"/>
              </w:rPr>
              <w:br/>
            </w:r>
            <w:r w:rsidRPr="00BB5F17">
              <w:rPr>
                <w:lang w:val="es-ES"/>
              </w:rPr>
              <w:t>(dB)</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E52409">
            <w:pPr>
              <w:pStyle w:val="Tablehead"/>
              <w:ind w:left="-57" w:right="-57"/>
              <w:rPr>
                <w:lang w:val="es-ES"/>
              </w:rPr>
            </w:pPr>
            <w:r w:rsidRPr="00BB5F17">
              <w:rPr>
                <w:lang w:val="es-ES"/>
              </w:rPr>
              <w:t>Margen</w:t>
            </w:r>
            <w:r w:rsidR="00213B1E">
              <w:rPr>
                <w:lang w:val="es-ES"/>
              </w:rPr>
              <w:t xml:space="preserve"> </w:t>
            </w:r>
            <w:r w:rsidRPr="00BB5F17">
              <w:rPr>
                <w:lang w:val="es-ES"/>
              </w:rPr>
              <w:t>mínimo,</w:t>
            </w:r>
            <w:r w:rsidR="00E52409">
              <w:rPr>
                <w:lang w:val="es-ES"/>
              </w:rPr>
              <w:t> </w:t>
            </w:r>
            <w:r w:rsidRPr="00BB5F17">
              <w:rPr>
                <w:i/>
                <w:iCs/>
                <w:lang w:val="es-ES"/>
              </w:rPr>
              <w:t>M</w:t>
            </w:r>
            <w:r w:rsidRPr="00BB5F17">
              <w:rPr>
                <w:i/>
                <w:iCs/>
                <w:vertAlign w:val="subscript"/>
                <w:lang w:val="es-ES"/>
              </w:rPr>
              <w:t>M</w:t>
            </w:r>
            <w:r w:rsidRPr="00BB5F17">
              <w:rPr>
                <w:lang w:val="es-ES"/>
              </w:rPr>
              <w:t xml:space="preserve"> </w:t>
            </w:r>
            <w:r>
              <w:rPr>
                <w:lang w:val="es-ES"/>
              </w:rPr>
              <w:br/>
            </w:r>
            <w:r w:rsidRPr="00BB5F17">
              <w:rPr>
                <w:lang w:val="es-ES"/>
              </w:rPr>
              <w:t>(dB)</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ind w:left="-57" w:right="-57"/>
              <w:rPr>
                <w:lang w:val="es-ES"/>
              </w:rPr>
            </w:pPr>
            <w:r w:rsidRPr="00BB5F17">
              <w:rPr>
                <w:lang w:val="es-ES"/>
              </w:rPr>
              <w:t xml:space="preserve">Degradación máxima, </w:t>
            </w:r>
            <w:r w:rsidRPr="00BB5F17">
              <w:rPr>
                <w:i/>
                <w:iCs/>
                <w:lang w:val="es-ES"/>
              </w:rPr>
              <w:t>D</w:t>
            </w:r>
            <w:r w:rsidRPr="00BB5F17">
              <w:rPr>
                <w:i/>
                <w:iCs/>
                <w:vertAlign w:val="subscript"/>
                <w:lang w:val="es-ES"/>
              </w:rPr>
              <w:t>M</w:t>
            </w:r>
            <w:r w:rsidRPr="00BB5F17">
              <w:rPr>
                <w:i/>
                <w:iCs/>
                <w:lang w:val="es-ES"/>
              </w:rPr>
              <w:t xml:space="preserve"> </w:t>
            </w:r>
            <w:r w:rsidRPr="00BB5F17">
              <w:rPr>
                <w:i/>
                <w:iCs/>
                <w:lang w:val="es-ES"/>
              </w:rPr>
              <w:br/>
            </w:r>
            <w:r w:rsidRPr="00BB5F17">
              <w:rPr>
                <w:lang w:val="es-ES"/>
              </w:rPr>
              <w:t>(dB)</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ind w:left="-57" w:right="-57"/>
              <w:rPr>
                <w:vertAlign w:val="superscript"/>
                <w:lang w:val="es-ES"/>
              </w:rPr>
            </w:pPr>
            <w:r w:rsidRPr="00BB5F17">
              <w:rPr>
                <w:lang w:val="es-ES"/>
              </w:rPr>
              <w:t xml:space="preserve">Degradación estimada, </w:t>
            </w:r>
            <w:r w:rsidRPr="00BB5F17">
              <w:rPr>
                <w:i/>
                <w:iCs/>
                <w:lang w:val="es-ES"/>
              </w:rPr>
              <w:t>D</w:t>
            </w:r>
            <w:r w:rsidRPr="00BB5F17">
              <w:rPr>
                <w:i/>
                <w:iCs/>
                <w:vertAlign w:val="subscript"/>
                <w:lang w:val="es-ES"/>
              </w:rPr>
              <w:t>S</w:t>
            </w:r>
            <w:r w:rsidRPr="00BB5F17">
              <w:rPr>
                <w:vertAlign w:val="superscript"/>
                <w:lang w:val="es-ES"/>
              </w:rPr>
              <w:t>(1)</w:t>
            </w:r>
            <w:r w:rsidRPr="00BB5F17">
              <w:rPr>
                <w:i/>
                <w:iCs/>
                <w:lang w:val="es-ES"/>
              </w:rPr>
              <w:t xml:space="preserve"> </w:t>
            </w:r>
            <w:r w:rsidRPr="00BB5F17">
              <w:rPr>
                <w:i/>
                <w:iCs/>
                <w:lang w:val="es-ES"/>
              </w:rPr>
              <w:br/>
            </w:r>
            <w:r w:rsidRPr="00BB5F17">
              <w:rPr>
                <w:lang w:val="es-ES"/>
              </w:rPr>
              <w:t>(dB)</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ind w:left="-57" w:right="-57"/>
              <w:rPr>
                <w:lang w:val="es-ES"/>
              </w:rPr>
            </w:pPr>
            <w:r w:rsidRPr="00BB5F17">
              <w:rPr>
                <w:lang w:val="es-ES"/>
              </w:rPr>
              <w:t xml:space="preserve">Máxima degradación producida, </w:t>
            </w:r>
            <w:r w:rsidRPr="00BB5F17">
              <w:rPr>
                <w:i/>
                <w:iCs/>
                <w:lang w:val="es-ES"/>
              </w:rPr>
              <w:t>D</w:t>
            </w:r>
            <w:r>
              <w:rPr>
                <w:i/>
                <w:iCs/>
                <w:lang w:val="es-ES"/>
              </w:rPr>
              <w:br/>
            </w:r>
            <w:r w:rsidRPr="00BB5F17">
              <w:rPr>
                <w:lang w:val="es-ES"/>
              </w:rPr>
              <w:t>(dB)</w:t>
            </w:r>
          </w:p>
        </w:tc>
      </w:tr>
      <w:tr w:rsidR="00256167" w:rsidRPr="00BB5F17" w:rsidTr="00E52409">
        <w:trPr>
          <w:jc w:val="center"/>
        </w:trPr>
        <w:tc>
          <w:tcPr>
            <w:tcW w:w="2041"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35,8</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30,1</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5,7</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3,0</w:t>
            </w:r>
          </w:p>
        </w:tc>
        <w:tc>
          <w:tcPr>
            <w:tcW w:w="1899"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lang w:val="es-ES"/>
              </w:rPr>
            </w:pPr>
            <w:r w:rsidRPr="00BB5F17">
              <w:rPr>
                <w:lang w:val="es-ES"/>
              </w:rPr>
              <w:t>2,7</w:t>
            </w:r>
          </w:p>
        </w:tc>
      </w:tr>
      <w:tr w:rsidR="00256167" w:rsidRPr="00213B1E" w:rsidTr="00E52409">
        <w:trPr>
          <w:jc w:val="center"/>
        </w:trPr>
        <w:tc>
          <w:tcPr>
            <w:tcW w:w="9640" w:type="dxa"/>
            <w:gridSpan w:val="5"/>
            <w:tcBorders>
              <w:top w:val="single" w:sz="4" w:space="0" w:color="auto"/>
              <w:left w:val="nil"/>
              <w:bottom w:val="nil"/>
              <w:right w:val="nil"/>
            </w:tcBorders>
            <w:vAlign w:val="center"/>
          </w:tcPr>
          <w:p w:rsidR="00256167" w:rsidRPr="00BB5F17" w:rsidRDefault="00256167" w:rsidP="005B580A">
            <w:pPr>
              <w:pStyle w:val="Tablelegend"/>
              <w:rPr>
                <w:lang w:val="es-ES"/>
              </w:rPr>
            </w:pPr>
            <w:r w:rsidRPr="00BB5F17">
              <w:rPr>
                <w:vertAlign w:val="superscript"/>
                <w:lang w:val="es-ES"/>
              </w:rPr>
              <w:t>(1)</w:t>
            </w:r>
            <w:r w:rsidRPr="00BB5F17">
              <w:rPr>
                <w:lang w:val="es-ES"/>
              </w:rPr>
              <w:tab/>
              <w:t xml:space="preserve">El valor de degradación estimada </w:t>
            </w:r>
            <w:r w:rsidRPr="00BB5F17">
              <w:rPr>
                <w:i/>
                <w:iCs/>
                <w:lang w:val="es-ES"/>
              </w:rPr>
              <w:t>D</w:t>
            </w:r>
            <w:r w:rsidRPr="00BB5F17">
              <w:rPr>
                <w:i/>
                <w:iCs/>
                <w:vertAlign w:val="subscript"/>
                <w:lang w:val="es-ES"/>
              </w:rPr>
              <w:t>S</w:t>
            </w:r>
            <w:r w:rsidRPr="00BB5F17">
              <w:rPr>
                <w:lang w:val="es-ES"/>
              </w:rPr>
              <w:t xml:space="preserve"> debería obtenerse de la concentración de sistemas interferentes cerca del sistema que se analiza. Si no hay información se utiliza </w:t>
            </w:r>
            <w:r w:rsidRPr="00BB5F17">
              <w:rPr>
                <w:i/>
                <w:iCs/>
                <w:lang w:val="es-ES"/>
              </w:rPr>
              <w:t>D</w:t>
            </w:r>
            <w:r w:rsidRPr="00BB5F17">
              <w:rPr>
                <w:i/>
                <w:iCs/>
                <w:vertAlign w:val="subscript"/>
                <w:lang w:val="es-ES"/>
              </w:rPr>
              <w:t>S</w:t>
            </w:r>
            <w:r w:rsidRPr="00BB5F17">
              <w:rPr>
                <w:lang w:val="es-ES"/>
              </w:rPr>
              <w:t xml:space="preserve"> = 3 dB.</w:t>
            </w:r>
          </w:p>
        </w:tc>
      </w:tr>
    </w:tbl>
    <w:p w:rsidR="00256167" w:rsidRPr="00213B1E" w:rsidRDefault="00256167" w:rsidP="00256167">
      <w:pPr>
        <w:pStyle w:val="Tablefin"/>
        <w:rPr>
          <w:lang w:val="es-ES_tradnl"/>
        </w:rPr>
      </w:pPr>
    </w:p>
    <w:p w:rsidR="00256167" w:rsidRPr="00BB5F17" w:rsidRDefault="00256167" w:rsidP="00256167">
      <w:pPr>
        <w:rPr>
          <w:lang w:val="es-ES"/>
        </w:rPr>
      </w:pPr>
      <w:r w:rsidRPr="00BB5F17">
        <w:rPr>
          <w:lang w:val="es-ES"/>
        </w:rPr>
        <w:t xml:space="preserve">Introduciendo el valor de </w:t>
      </w:r>
      <w:r w:rsidRPr="00BB5F17">
        <w:rPr>
          <w:i/>
          <w:lang w:val="es-ES"/>
        </w:rPr>
        <w:t>D</w:t>
      </w:r>
      <w:r w:rsidRPr="002F4173">
        <w:rPr>
          <w:lang w:val="es-ES"/>
        </w:rPr>
        <w:t>,</w:t>
      </w:r>
      <w:r w:rsidRPr="00BB5F17">
        <w:rPr>
          <w:lang w:val="es-ES"/>
        </w:rPr>
        <w:t xml:space="preserve"> en la ecuación (42) se puede calcular el valor de </w:t>
      </w:r>
      <w:r w:rsidRPr="00BB5F17">
        <w:rPr>
          <w:i/>
          <w:iCs/>
          <w:lang w:val="es-ES"/>
        </w:rPr>
        <w:t>I</w:t>
      </w:r>
      <w:r w:rsidRPr="00BB5F17">
        <w:rPr>
          <w:i/>
          <w:iCs/>
          <w:vertAlign w:val="subscript"/>
          <w:lang w:val="es-ES"/>
        </w:rPr>
        <w:t>RX</w:t>
      </w:r>
      <w:r w:rsidRPr="00BB5F17">
        <w:rPr>
          <w:lang w:val="es-ES"/>
        </w:rPr>
        <w:t xml:space="preserve"> para el sistema.</w:t>
      </w:r>
    </w:p>
    <w:p w:rsidR="00256167" w:rsidRPr="00BB5F17" w:rsidRDefault="00256167" w:rsidP="00256167">
      <w:pPr>
        <w:rPr>
          <w:lang w:val="es-ES"/>
        </w:rPr>
      </w:pPr>
      <w:r w:rsidRPr="00BB5F17">
        <w:rPr>
          <w:lang w:val="es-ES"/>
        </w:rPr>
        <w:t>Al determinar la atenuación de difracción adicional</w:t>
      </w:r>
      <w:r>
        <w:rPr>
          <w:lang w:val="es-ES"/>
        </w:rPr>
        <w:t>,</w:t>
      </w:r>
      <w:r w:rsidRPr="00BB5F17">
        <w:rPr>
          <w:lang w:val="es-ES"/>
        </w:rPr>
        <w:t xml:space="preserve"> </w:t>
      </w:r>
      <w:r w:rsidRPr="00BB5F17">
        <w:rPr>
          <w:i/>
          <w:iCs/>
          <w:lang w:val="es-ES"/>
        </w:rPr>
        <w:t>A</w:t>
      </w:r>
      <w:r w:rsidRPr="00BB5F17">
        <w:rPr>
          <w:i/>
          <w:iCs/>
          <w:vertAlign w:val="subscript"/>
          <w:lang w:val="es-ES"/>
        </w:rPr>
        <w:t>D</w:t>
      </w:r>
      <w:r>
        <w:rPr>
          <w:lang w:val="es-ES"/>
        </w:rPr>
        <w:t>,</w:t>
      </w:r>
      <w:r w:rsidRPr="00BB5F17">
        <w:rPr>
          <w:lang w:val="es-ES"/>
        </w:rPr>
        <w:t xml:space="preserve"> que es necesaria para calcular la atenuación total, se ha elegido arbitrariamente el valor –2 para la relación </w:t>
      </w:r>
      <w:r w:rsidRPr="00BB5F17">
        <w:rPr>
          <w:i/>
          <w:iCs/>
          <w:lang w:val="es-ES"/>
        </w:rPr>
        <w:t>h</w:t>
      </w:r>
      <w:r w:rsidRPr="00BB5F17">
        <w:rPr>
          <w:lang w:val="es-ES"/>
        </w:rPr>
        <w:t>/</w:t>
      </w:r>
      <w:r w:rsidRPr="00BB5F17">
        <w:rPr>
          <w:i/>
          <w:iCs/>
          <w:lang w:val="es-ES"/>
        </w:rPr>
        <w:t>F</w:t>
      </w:r>
      <w:r w:rsidRPr="00BB5F17">
        <w:rPr>
          <w:iCs/>
          <w:vertAlign w:val="subscript"/>
          <w:lang w:val="es-ES"/>
        </w:rPr>
        <w:t>1</w:t>
      </w:r>
      <w:r w:rsidRPr="00BB5F17">
        <w:rPr>
          <w:lang w:val="es-ES"/>
        </w:rPr>
        <w:t xml:space="preserve"> en la ecuación (40). Este valor refleja la curvatura de la Tierra y la generación de atenuación de difracción adicional que se ha observado en la práctica. Los valores de radios de sectores indicados en el Cuadro 22 demuestran la veracidad de esta opción porque corresponden a los límites de interferencia utilizados para estas bandas de frecuencias radioeléctricas.</w:t>
      </w:r>
    </w:p>
    <w:p w:rsidR="00256167" w:rsidRPr="00BB5F17" w:rsidRDefault="00256167" w:rsidP="00256167">
      <w:pPr>
        <w:rPr>
          <w:iCs/>
          <w:lang w:val="es-ES"/>
        </w:rPr>
      </w:pPr>
      <w:r w:rsidRPr="00BB5F17">
        <w:rPr>
          <w:lang w:val="es-ES"/>
        </w:rPr>
        <w:t xml:space="preserve">Después de calcular </w:t>
      </w:r>
      <w:r w:rsidRPr="00BB5F17">
        <w:rPr>
          <w:i/>
          <w:iCs/>
          <w:lang w:val="es-ES"/>
        </w:rPr>
        <w:t>I</w:t>
      </w:r>
      <w:r w:rsidRPr="00BB5F17">
        <w:rPr>
          <w:i/>
          <w:iCs/>
          <w:vertAlign w:val="subscript"/>
          <w:lang w:val="es-ES"/>
        </w:rPr>
        <w:t>RX</w:t>
      </w:r>
      <w:r w:rsidRPr="00BB5F17">
        <w:rPr>
          <w:i/>
          <w:iCs/>
          <w:lang w:val="es-ES"/>
        </w:rPr>
        <w:t xml:space="preserve"> y</w:t>
      </w:r>
      <w:r w:rsidRPr="00BB5F17">
        <w:rPr>
          <w:lang w:val="es-ES"/>
        </w:rPr>
        <w:t xml:space="preserve"> </w:t>
      </w:r>
      <w:r w:rsidRPr="00BB5F17">
        <w:rPr>
          <w:i/>
          <w:iCs/>
          <w:lang w:val="es-ES"/>
        </w:rPr>
        <w:t>A</w:t>
      </w:r>
      <w:r w:rsidRPr="00BB5F17">
        <w:rPr>
          <w:i/>
          <w:iCs/>
          <w:vertAlign w:val="subscript"/>
          <w:lang w:val="es-ES"/>
        </w:rPr>
        <w:t>D</w:t>
      </w:r>
      <w:r w:rsidRPr="00BB5F17">
        <w:rPr>
          <w:iCs/>
          <w:lang w:val="es-ES"/>
        </w:rPr>
        <w:t>, se puede calcular el radio</w:t>
      </w:r>
      <w:r>
        <w:rPr>
          <w:iCs/>
          <w:lang w:val="es-ES"/>
        </w:rPr>
        <w:t>,</w:t>
      </w:r>
      <w:r w:rsidRPr="00BB5F17">
        <w:rPr>
          <w:iCs/>
          <w:lang w:val="es-ES"/>
        </w:rPr>
        <w:t xml:space="preserve"> </w:t>
      </w:r>
      <w:r w:rsidRPr="00BB5F17">
        <w:rPr>
          <w:i/>
          <w:iCs/>
          <w:lang w:val="es-ES"/>
        </w:rPr>
        <w:t>R</w:t>
      </w:r>
      <w:r>
        <w:rPr>
          <w:iCs/>
          <w:lang w:val="es-ES"/>
        </w:rPr>
        <w:t>,</w:t>
      </w:r>
      <w:r w:rsidRPr="00BB5F17">
        <w:rPr>
          <w:iCs/>
          <w:lang w:val="es-ES"/>
        </w:rPr>
        <w:t xml:space="preserve"> con la ecuación (38).</w:t>
      </w:r>
    </w:p>
    <w:p w:rsidR="00256167" w:rsidRPr="00BB5F17" w:rsidRDefault="00256167" w:rsidP="00256167">
      <w:pPr>
        <w:rPr>
          <w:lang w:val="es-ES"/>
        </w:rPr>
      </w:pPr>
      <w:r w:rsidRPr="00BB5F17">
        <w:rPr>
          <w:iCs/>
          <w:lang w:val="es-ES"/>
        </w:rPr>
        <w:t>Con lo anterior ya es posible calcular la superficie del sector denegado. En los Cuadros 22 y 23 se indican los parámetros pertinentes.</w:t>
      </w:r>
    </w:p>
    <w:p w:rsidR="00256167" w:rsidRPr="00BB5F17" w:rsidRDefault="00256167" w:rsidP="00256167">
      <w:pPr>
        <w:pStyle w:val="TableNo"/>
        <w:rPr>
          <w:lang w:val="es-ES"/>
        </w:rPr>
      </w:pPr>
      <w:r w:rsidRPr="00BB5F17">
        <w:rPr>
          <w:lang w:val="es-ES"/>
        </w:rPr>
        <w:t>CUADRO 22</w:t>
      </w:r>
    </w:p>
    <w:p w:rsidR="00256167" w:rsidRPr="00BB5F17" w:rsidRDefault="00256167" w:rsidP="00256167">
      <w:pPr>
        <w:pStyle w:val="Tabletitle"/>
        <w:rPr>
          <w:lang w:val="es-ES"/>
        </w:rPr>
      </w:pPr>
      <w:r w:rsidRPr="00BB5F17">
        <w:rPr>
          <w:lang w:val="es-ES"/>
        </w:rPr>
        <w:t>Parámetros de interferencia y radio de los sectores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1361"/>
        <w:gridCol w:w="1361"/>
        <w:gridCol w:w="1361"/>
        <w:gridCol w:w="1361"/>
        <w:gridCol w:w="1361"/>
      </w:tblGrid>
      <w:tr w:rsidR="00256167" w:rsidRPr="00BB5F17" w:rsidTr="005B580A">
        <w:trPr>
          <w:cantSplit/>
          <w:trHeight w:val="412"/>
          <w:jc w:val="center"/>
        </w:trPr>
        <w:tc>
          <w:tcPr>
            <w:tcW w:w="1418" w:type="dxa"/>
            <w:vMerge w:val="restart"/>
            <w:vAlign w:val="center"/>
          </w:tcPr>
          <w:p w:rsidR="00256167" w:rsidRPr="00BB5F17" w:rsidRDefault="00256167" w:rsidP="005B580A">
            <w:pPr>
              <w:pStyle w:val="Tablehead"/>
              <w:rPr>
                <w:sz w:val="20"/>
                <w:lang w:val="es-ES"/>
              </w:rPr>
            </w:pPr>
            <w:r w:rsidRPr="00BB5F17">
              <w:rPr>
                <w:i/>
                <w:iCs/>
                <w:lang w:val="es-ES"/>
              </w:rPr>
              <w:t>I</w:t>
            </w:r>
            <w:r w:rsidRPr="00BB5F17">
              <w:rPr>
                <w:i/>
                <w:iCs/>
                <w:vertAlign w:val="subscript"/>
                <w:lang w:val="es-ES"/>
              </w:rPr>
              <w:t>RX</w:t>
            </w:r>
            <w:r>
              <w:rPr>
                <w:lang w:val="es-ES"/>
              </w:rPr>
              <w:br/>
            </w:r>
            <w:r w:rsidRPr="00BB5F17">
              <w:rPr>
                <w:lang w:val="es-ES"/>
              </w:rPr>
              <w:t>(</w:t>
            </w:r>
            <w:proofErr w:type="spellStart"/>
            <w:r w:rsidRPr="00BB5F17">
              <w:rPr>
                <w:lang w:val="es-ES"/>
              </w:rPr>
              <w:t>dBm</w:t>
            </w:r>
            <w:proofErr w:type="spellEnd"/>
            <w:r w:rsidRPr="00BB5F17">
              <w:rPr>
                <w:lang w:val="es-ES"/>
              </w:rPr>
              <w:t>)</w:t>
            </w:r>
          </w:p>
        </w:tc>
        <w:tc>
          <w:tcPr>
            <w:tcW w:w="2779" w:type="dxa"/>
            <w:gridSpan w:val="2"/>
            <w:vAlign w:val="center"/>
          </w:tcPr>
          <w:p w:rsidR="00256167" w:rsidRPr="00BB5F17" w:rsidRDefault="00256167" w:rsidP="005B580A">
            <w:pPr>
              <w:pStyle w:val="Tablehead"/>
              <w:rPr>
                <w:i/>
                <w:iCs/>
                <w:lang w:val="es-ES"/>
              </w:rPr>
            </w:pPr>
            <w:r w:rsidRPr="00BB5F17">
              <w:rPr>
                <w:lang w:val="es-ES"/>
              </w:rPr>
              <w:t xml:space="preserve">Ancho del haz </w:t>
            </w:r>
            <w:r w:rsidRPr="00BB5F17">
              <w:rPr>
                <w:iCs/>
                <w:lang w:val="es-ES"/>
              </w:rPr>
              <w:sym w:font="Symbol" w:char="F071"/>
            </w:r>
            <w:r w:rsidRPr="00BB5F17">
              <w:rPr>
                <w:vertAlign w:val="subscript"/>
                <w:lang w:val="es-ES"/>
              </w:rPr>
              <w:t>1</w:t>
            </w:r>
          </w:p>
        </w:tc>
        <w:tc>
          <w:tcPr>
            <w:tcW w:w="2722" w:type="dxa"/>
            <w:gridSpan w:val="2"/>
            <w:vAlign w:val="center"/>
          </w:tcPr>
          <w:p w:rsidR="00256167" w:rsidRPr="00BB5F17" w:rsidRDefault="00256167" w:rsidP="005B580A">
            <w:pPr>
              <w:pStyle w:val="Tablehead"/>
              <w:rPr>
                <w:i/>
                <w:iCs/>
                <w:lang w:val="es-ES"/>
              </w:rPr>
            </w:pPr>
            <w:r w:rsidRPr="00BB5F17">
              <w:rPr>
                <w:lang w:val="es-ES"/>
              </w:rPr>
              <w:t xml:space="preserve">Ancho del haz </w:t>
            </w:r>
            <w:r w:rsidRPr="00BB5F17">
              <w:rPr>
                <w:iCs/>
                <w:lang w:val="es-ES"/>
              </w:rPr>
              <w:sym w:font="Symbol" w:char="F071"/>
            </w:r>
            <w:r w:rsidRPr="00BB5F17">
              <w:rPr>
                <w:vertAlign w:val="subscript"/>
                <w:lang w:val="es-ES"/>
              </w:rPr>
              <w:t>2</w:t>
            </w:r>
          </w:p>
        </w:tc>
        <w:tc>
          <w:tcPr>
            <w:tcW w:w="2722" w:type="dxa"/>
            <w:gridSpan w:val="2"/>
            <w:vAlign w:val="center"/>
          </w:tcPr>
          <w:p w:rsidR="00256167" w:rsidRPr="00BB5F17" w:rsidRDefault="00256167" w:rsidP="005B580A">
            <w:pPr>
              <w:pStyle w:val="Tablehead"/>
              <w:rPr>
                <w:i/>
                <w:iCs/>
                <w:lang w:val="es-ES"/>
              </w:rPr>
            </w:pPr>
            <w:r w:rsidRPr="00BB5F17">
              <w:rPr>
                <w:lang w:val="es-ES"/>
              </w:rPr>
              <w:t xml:space="preserve">Ancho del haz </w:t>
            </w:r>
            <w:r w:rsidRPr="00BB5F17">
              <w:rPr>
                <w:iCs/>
                <w:lang w:val="es-ES"/>
              </w:rPr>
              <w:sym w:font="Symbol" w:char="F071"/>
            </w:r>
            <w:r w:rsidRPr="00BB5F17">
              <w:rPr>
                <w:vertAlign w:val="subscript"/>
                <w:lang w:val="es-ES"/>
              </w:rPr>
              <w:t>3</w:t>
            </w:r>
          </w:p>
        </w:tc>
      </w:tr>
      <w:tr w:rsidR="00256167" w:rsidRPr="00BB5F17" w:rsidTr="005B580A">
        <w:trPr>
          <w:cantSplit/>
          <w:trHeight w:val="412"/>
          <w:jc w:val="center"/>
        </w:trPr>
        <w:tc>
          <w:tcPr>
            <w:tcW w:w="1418" w:type="dxa"/>
            <w:vMerge/>
            <w:vAlign w:val="center"/>
          </w:tcPr>
          <w:p w:rsidR="00256167" w:rsidRPr="00BB5F17" w:rsidRDefault="00256167" w:rsidP="005B580A">
            <w:pPr>
              <w:spacing w:before="0"/>
              <w:jc w:val="center"/>
              <w:rPr>
                <w:sz w:val="20"/>
                <w:lang w:val="es-ES"/>
              </w:rPr>
            </w:pPr>
          </w:p>
        </w:tc>
        <w:tc>
          <w:tcPr>
            <w:tcW w:w="1418" w:type="dxa"/>
            <w:vAlign w:val="center"/>
          </w:tcPr>
          <w:p w:rsidR="00256167" w:rsidRPr="00BB5F17" w:rsidRDefault="00256167" w:rsidP="005B580A">
            <w:pPr>
              <w:pStyle w:val="Tablehead"/>
              <w:rPr>
                <w:lang w:val="es-ES"/>
              </w:rPr>
            </w:pPr>
            <w:r w:rsidRPr="00BB5F17">
              <w:rPr>
                <w:i/>
                <w:iCs/>
                <w:lang w:val="es-ES"/>
              </w:rPr>
              <w:t>A</w:t>
            </w:r>
            <w:r w:rsidRPr="00BB5F17">
              <w:rPr>
                <w:iCs/>
                <w:vertAlign w:val="subscript"/>
                <w:lang w:val="es-ES"/>
              </w:rPr>
              <w:t>1</w:t>
            </w:r>
            <w:r w:rsidRPr="00BB5F17">
              <w:rPr>
                <w:lang w:val="es-ES"/>
              </w:rPr>
              <w:t xml:space="preserve"> (</w:t>
            </w:r>
            <w:proofErr w:type="spellStart"/>
            <w:r w:rsidRPr="00BB5F17">
              <w:rPr>
                <w:lang w:val="es-ES"/>
              </w:rPr>
              <w:t>dBm</w:t>
            </w:r>
            <w:proofErr w:type="spellEnd"/>
            <w:r w:rsidRPr="00BB5F17">
              <w:rPr>
                <w:lang w:val="es-ES"/>
              </w:rPr>
              <w:t>)</w:t>
            </w:r>
          </w:p>
        </w:tc>
        <w:tc>
          <w:tcPr>
            <w:tcW w:w="1361" w:type="dxa"/>
            <w:vAlign w:val="center"/>
          </w:tcPr>
          <w:p w:rsidR="00256167" w:rsidRPr="00BB5F17" w:rsidRDefault="00256167" w:rsidP="005B580A">
            <w:pPr>
              <w:pStyle w:val="Tablehead"/>
              <w:rPr>
                <w:lang w:val="es-ES"/>
              </w:rPr>
            </w:pPr>
            <w:r w:rsidRPr="00BB5F17">
              <w:rPr>
                <w:i/>
                <w:iCs/>
                <w:lang w:val="es-ES"/>
              </w:rPr>
              <w:t>R</w:t>
            </w:r>
            <w:r w:rsidRPr="00BB5F17">
              <w:rPr>
                <w:iCs/>
                <w:vertAlign w:val="subscript"/>
                <w:lang w:val="es-ES"/>
              </w:rPr>
              <w:t>1</w:t>
            </w:r>
            <w:r w:rsidRPr="00BB5F17">
              <w:rPr>
                <w:lang w:val="es-ES"/>
              </w:rPr>
              <w:t xml:space="preserve"> (km)</w:t>
            </w:r>
          </w:p>
        </w:tc>
        <w:tc>
          <w:tcPr>
            <w:tcW w:w="1361" w:type="dxa"/>
            <w:vAlign w:val="center"/>
          </w:tcPr>
          <w:p w:rsidR="00256167" w:rsidRPr="00BB5F17" w:rsidRDefault="00256167" w:rsidP="005B580A">
            <w:pPr>
              <w:pStyle w:val="Tablehead"/>
              <w:rPr>
                <w:lang w:val="es-ES"/>
              </w:rPr>
            </w:pPr>
            <w:r w:rsidRPr="00BB5F17">
              <w:rPr>
                <w:i/>
                <w:iCs/>
                <w:lang w:val="es-ES"/>
              </w:rPr>
              <w:t>A</w:t>
            </w:r>
            <w:r w:rsidRPr="00BB5F17">
              <w:rPr>
                <w:iCs/>
                <w:vertAlign w:val="subscript"/>
                <w:lang w:val="es-ES"/>
              </w:rPr>
              <w:t>2</w:t>
            </w:r>
            <w:r w:rsidRPr="00BB5F17">
              <w:rPr>
                <w:lang w:val="es-ES"/>
              </w:rPr>
              <w:t xml:space="preserve"> (</w:t>
            </w:r>
            <w:proofErr w:type="spellStart"/>
            <w:r w:rsidRPr="00BB5F17">
              <w:rPr>
                <w:lang w:val="es-ES"/>
              </w:rPr>
              <w:t>dBm</w:t>
            </w:r>
            <w:proofErr w:type="spellEnd"/>
            <w:r w:rsidRPr="00BB5F17">
              <w:rPr>
                <w:lang w:val="es-ES"/>
              </w:rPr>
              <w:t>)</w:t>
            </w:r>
          </w:p>
        </w:tc>
        <w:tc>
          <w:tcPr>
            <w:tcW w:w="1361" w:type="dxa"/>
            <w:vAlign w:val="center"/>
          </w:tcPr>
          <w:p w:rsidR="00256167" w:rsidRPr="00BB5F17" w:rsidRDefault="00256167" w:rsidP="005B580A">
            <w:pPr>
              <w:pStyle w:val="Tablehead"/>
              <w:rPr>
                <w:lang w:val="es-ES"/>
              </w:rPr>
            </w:pPr>
            <w:r w:rsidRPr="00BB5F17">
              <w:rPr>
                <w:i/>
                <w:iCs/>
                <w:lang w:val="es-ES"/>
              </w:rPr>
              <w:t>R</w:t>
            </w:r>
            <w:r w:rsidRPr="00BB5F17">
              <w:rPr>
                <w:iCs/>
                <w:vertAlign w:val="subscript"/>
                <w:lang w:val="es-ES"/>
              </w:rPr>
              <w:t>2</w:t>
            </w:r>
            <w:r w:rsidRPr="00BB5F17">
              <w:rPr>
                <w:lang w:val="es-ES"/>
              </w:rPr>
              <w:t xml:space="preserve"> (km)</w:t>
            </w:r>
          </w:p>
        </w:tc>
        <w:tc>
          <w:tcPr>
            <w:tcW w:w="1361" w:type="dxa"/>
            <w:vAlign w:val="center"/>
          </w:tcPr>
          <w:p w:rsidR="00256167" w:rsidRPr="00BB5F17" w:rsidRDefault="00256167" w:rsidP="005B580A">
            <w:pPr>
              <w:pStyle w:val="Tablehead"/>
              <w:rPr>
                <w:lang w:val="es-ES"/>
              </w:rPr>
            </w:pPr>
            <w:r w:rsidRPr="00BB5F17">
              <w:rPr>
                <w:i/>
                <w:iCs/>
                <w:lang w:val="es-ES"/>
              </w:rPr>
              <w:t>A</w:t>
            </w:r>
            <w:r w:rsidRPr="00BB5F17">
              <w:rPr>
                <w:iCs/>
                <w:vertAlign w:val="subscript"/>
                <w:lang w:val="es-ES"/>
              </w:rPr>
              <w:t>3</w:t>
            </w:r>
            <w:r w:rsidRPr="00BB5F17">
              <w:rPr>
                <w:i/>
                <w:iCs/>
                <w:lang w:val="es-ES"/>
              </w:rPr>
              <w:t xml:space="preserve"> </w:t>
            </w:r>
            <w:r w:rsidRPr="00BB5F17">
              <w:rPr>
                <w:lang w:val="es-ES"/>
              </w:rPr>
              <w:t>(</w:t>
            </w:r>
            <w:proofErr w:type="spellStart"/>
            <w:r w:rsidRPr="00BB5F17">
              <w:rPr>
                <w:lang w:val="es-ES"/>
              </w:rPr>
              <w:t>dBm</w:t>
            </w:r>
            <w:proofErr w:type="spellEnd"/>
            <w:r w:rsidRPr="00BB5F17">
              <w:rPr>
                <w:lang w:val="es-ES"/>
              </w:rPr>
              <w:t>)</w:t>
            </w:r>
          </w:p>
        </w:tc>
        <w:tc>
          <w:tcPr>
            <w:tcW w:w="1361" w:type="dxa"/>
            <w:vAlign w:val="center"/>
          </w:tcPr>
          <w:p w:rsidR="00256167" w:rsidRPr="00BB5F17" w:rsidRDefault="00256167" w:rsidP="005B580A">
            <w:pPr>
              <w:pStyle w:val="Tablehead"/>
              <w:rPr>
                <w:lang w:val="es-ES"/>
              </w:rPr>
            </w:pPr>
            <w:r w:rsidRPr="00BB5F17">
              <w:rPr>
                <w:i/>
                <w:iCs/>
                <w:lang w:val="es-ES"/>
              </w:rPr>
              <w:t>R</w:t>
            </w:r>
            <w:r w:rsidRPr="00BB5F17">
              <w:rPr>
                <w:iCs/>
                <w:vertAlign w:val="subscript"/>
                <w:lang w:val="es-ES"/>
              </w:rPr>
              <w:t>3</w:t>
            </w:r>
            <w:r w:rsidRPr="00BB5F17">
              <w:rPr>
                <w:lang w:val="es-ES"/>
              </w:rPr>
              <w:t xml:space="preserve"> (km)</w:t>
            </w:r>
          </w:p>
        </w:tc>
      </w:tr>
      <w:tr w:rsidR="00256167" w:rsidRPr="00BB5F17" w:rsidTr="005B580A">
        <w:trPr>
          <w:cantSplit/>
          <w:jc w:val="center"/>
        </w:trPr>
        <w:tc>
          <w:tcPr>
            <w:tcW w:w="1418" w:type="dxa"/>
            <w:vAlign w:val="center"/>
          </w:tcPr>
          <w:p w:rsidR="00256167" w:rsidRPr="00BB5F17" w:rsidRDefault="00256167" w:rsidP="005B580A">
            <w:pPr>
              <w:pStyle w:val="Tabletext"/>
              <w:jc w:val="center"/>
              <w:rPr>
                <w:lang w:val="es-ES"/>
              </w:rPr>
            </w:pPr>
            <w:r w:rsidRPr="00BB5F17">
              <w:rPr>
                <w:lang w:val="es-ES"/>
              </w:rPr>
              <w:t>–105,6</w:t>
            </w:r>
          </w:p>
        </w:tc>
        <w:tc>
          <w:tcPr>
            <w:tcW w:w="1418" w:type="dxa"/>
            <w:vAlign w:val="center"/>
          </w:tcPr>
          <w:p w:rsidR="00256167" w:rsidRPr="00BB5F17" w:rsidRDefault="00256167" w:rsidP="005B580A">
            <w:pPr>
              <w:pStyle w:val="Tabletext"/>
              <w:jc w:val="center"/>
              <w:rPr>
                <w:lang w:val="es-ES"/>
              </w:rPr>
            </w:pPr>
            <w:r w:rsidRPr="00BB5F17">
              <w:rPr>
                <w:lang w:val="es-ES"/>
              </w:rPr>
              <w:t>12,0</w:t>
            </w:r>
          </w:p>
        </w:tc>
        <w:tc>
          <w:tcPr>
            <w:tcW w:w="1361" w:type="dxa"/>
            <w:vAlign w:val="center"/>
          </w:tcPr>
          <w:p w:rsidR="00256167" w:rsidRPr="00BB5F17" w:rsidRDefault="00256167" w:rsidP="005B580A">
            <w:pPr>
              <w:pStyle w:val="Tabletext"/>
              <w:jc w:val="center"/>
              <w:rPr>
                <w:lang w:val="es-ES"/>
              </w:rPr>
            </w:pPr>
            <w:r w:rsidRPr="00BB5F17">
              <w:rPr>
                <w:lang w:val="es-ES"/>
              </w:rPr>
              <w:t>4,0</w:t>
            </w:r>
          </w:p>
        </w:tc>
        <w:tc>
          <w:tcPr>
            <w:tcW w:w="1361" w:type="dxa"/>
            <w:vAlign w:val="center"/>
          </w:tcPr>
          <w:p w:rsidR="00256167" w:rsidRPr="00BB5F17" w:rsidRDefault="00256167" w:rsidP="005B580A">
            <w:pPr>
              <w:pStyle w:val="Tabletext"/>
              <w:jc w:val="center"/>
              <w:rPr>
                <w:lang w:val="es-ES"/>
              </w:rPr>
            </w:pPr>
            <w:r w:rsidRPr="00BB5F17">
              <w:rPr>
                <w:lang w:val="es-ES"/>
              </w:rPr>
              <w:t>34,0</w:t>
            </w:r>
          </w:p>
        </w:tc>
        <w:tc>
          <w:tcPr>
            <w:tcW w:w="1361" w:type="dxa"/>
            <w:vAlign w:val="center"/>
          </w:tcPr>
          <w:p w:rsidR="00256167" w:rsidRPr="00BB5F17" w:rsidRDefault="00256167" w:rsidP="005B580A">
            <w:pPr>
              <w:pStyle w:val="Tabletext"/>
              <w:jc w:val="center"/>
              <w:rPr>
                <w:lang w:val="es-ES"/>
              </w:rPr>
            </w:pPr>
            <w:r w:rsidRPr="00BB5F17">
              <w:rPr>
                <w:lang w:val="es-ES"/>
              </w:rPr>
              <w:t>49,9</w:t>
            </w:r>
          </w:p>
        </w:tc>
        <w:tc>
          <w:tcPr>
            <w:tcW w:w="1361" w:type="dxa"/>
            <w:vAlign w:val="center"/>
          </w:tcPr>
          <w:p w:rsidR="00256167" w:rsidRPr="00BB5F17" w:rsidRDefault="00256167" w:rsidP="005B580A">
            <w:pPr>
              <w:pStyle w:val="Tabletext"/>
              <w:jc w:val="center"/>
              <w:rPr>
                <w:lang w:val="es-ES"/>
              </w:rPr>
            </w:pPr>
            <w:r w:rsidRPr="00BB5F17">
              <w:rPr>
                <w:lang w:val="es-ES"/>
              </w:rPr>
              <w:t>12,0</w:t>
            </w:r>
          </w:p>
        </w:tc>
        <w:tc>
          <w:tcPr>
            <w:tcW w:w="1361" w:type="dxa"/>
            <w:vAlign w:val="center"/>
          </w:tcPr>
          <w:p w:rsidR="00256167" w:rsidRPr="00BB5F17" w:rsidRDefault="00256167" w:rsidP="005B580A">
            <w:pPr>
              <w:pStyle w:val="Tabletext"/>
              <w:jc w:val="center"/>
              <w:rPr>
                <w:lang w:val="es-ES"/>
              </w:rPr>
            </w:pPr>
            <w:r w:rsidRPr="00BB5F17">
              <w:rPr>
                <w:lang w:val="es-ES"/>
              </w:rPr>
              <w:t>4,0</w:t>
            </w:r>
          </w:p>
        </w:tc>
      </w:tr>
    </w:tbl>
    <w:p w:rsidR="00256167" w:rsidRDefault="00256167" w:rsidP="00256167">
      <w:pPr>
        <w:pStyle w:val="Tablefin"/>
      </w:pPr>
    </w:p>
    <w:p w:rsidR="00256167" w:rsidRPr="00BB5F17" w:rsidRDefault="00256167" w:rsidP="00256167">
      <w:pPr>
        <w:pStyle w:val="TableNo"/>
        <w:rPr>
          <w:lang w:val="es-ES"/>
        </w:rPr>
      </w:pPr>
      <w:r w:rsidRPr="00BB5F17">
        <w:rPr>
          <w:lang w:val="es-ES"/>
        </w:rPr>
        <w:t>CUADRO 23</w:t>
      </w:r>
    </w:p>
    <w:p w:rsidR="00256167" w:rsidRPr="00BB5F17" w:rsidRDefault="00256167" w:rsidP="00256167">
      <w:pPr>
        <w:pStyle w:val="Tabletitle"/>
        <w:rPr>
          <w:lang w:val="es-ES"/>
        </w:rPr>
      </w:pPr>
      <w:r w:rsidRPr="00BB5F17">
        <w:rPr>
          <w:lang w:val="es-ES"/>
        </w:rPr>
        <w:t>Superficie de los sectores y esp</w:t>
      </w:r>
      <w:r>
        <w:rPr>
          <w:lang w:val="es-ES"/>
        </w:rPr>
        <w:t>a</w:t>
      </w:r>
      <w:r w:rsidRPr="00BB5F17">
        <w:rPr>
          <w:lang w:val="es-ES"/>
        </w:rPr>
        <w:t>cio geométrico denegado</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256167" w:rsidRPr="00AC38FC" w:rsidTr="005B580A">
        <w:trPr>
          <w:cantSplit/>
          <w:trHeight w:val="398"/>
          <w:jc w:val="center"/>
        </w:trPr>
        <w:tc>
          <w:tcPr>
            <w:tcW w:w="2410" w:type="dxa"/>
            <w:vAlign w:val="center"/>
          </w:tcPr>
          <w:p w:rsidR="00256167" w:rsidRPr="00BB5F17" w:rsidRDefault="00256167" w:rsidP="005B580A">
            <w:pPr>
              <w:pStyle w:val="Tablehead"/>
              <w:rPr>
                <w:lang w:val="es-ES"/>
              </w:rPr>
            </w:pPr>
            <w:r w:rsidRPr="00BB5F17">
              <w:rPr>
                <w:lang w:val="es-ES"/>
              </w:rPr>
              <w:t xml:space="preserve">Ancho del haz </w:t>
            </w:r>
            <w:r w:rsidRPr="00BB5F17">
              <w:rPr>
                <w:iCs/>
                <w:lang w:val="es-ES"/>
              </w:rPr>
              <w:sym w:font="Symbol" w:char="F071"/>
            </w:r>
            <w:r w:rsidRPr="00BB5F17">
              <w:rPr>
                <w:vertAlign w:val="subscript"/>
                <w:lang w:val="es-ES"/>
              </w:rPr>
              <w:t>1</w:t>
            </w:r>
          </w:p>
        </w:tc>
        <w:tc>
          <w:tcPr>
            <w:tcW w:w="2410" w:type="dxa"/>
            <w:vAlign w:val="center"/>
          </w:tcPr>
          <w:p w:rsidR="00256167" w:rsidRPr="00BB5F17" w:rsidRDefault="00256167" w:rsidP="005B580A">
            <w:pPr>
              <w:pStyle w:val="Tablehead"/>
              <w:rPr>
                <w:vertAlign w:val="superscript"/>
                <w:lang w:val="es-ES"/>
              </w:rPr>
            </w:pPr>
            <w:r w:rsidRPr="00BB5F17">
              <w:rPr>
                <w:lang w:val="es-ES"/>
              </w:rPr>
              <w:t xml:space="preserve">Ancho del haz </w:t>
            </w:r>
            <w:r w:rsidRPr="00BB5F17">
              <w:rPr>
                <w:iCs/>
                <w:lang w:val="es-ES"/>
              </w:rPr>
              <w:sym w:font="Symbol" w:char="F071"/>
            </w:r>
            <w:r w:rsidRPr="00BB5F17">
              <w:rPr>
                <w:vertAlign w:val="subscript"/>
                <w:lang w:val="es-ES"/>
              </w:rPr>
              <w:t>2</w:t>
            </w:r>
          </w:p>
        </w:tc>
        <w:tc>
          <w:tcPr>
            <w:tcW w:w="2410" w:type="dxa"/>
            <w:vAlign w:val="center"/>
          </w:tcPr>
          <w:p w:rsidR="00256167" w:rsidRPr="00BB5F17" w:rsidRDefault="00256167" w:rsidP="005B580A">
            <w:pPr>
              <w:pStyle w:val="Tablehead"/>
              <w:rPr>
                <w:lang w:val="es-ES"/>
              </w:rPr>
            </w:pPr>
            <w:r w:rsidRPr="00BB5F17">
              <w:rPr>
                <w:lang w:val="es-ES"/>
              </w:rPr>
              <w:t xml:space="preserve">Ancho del haz </w:t>
            </w:r>
            <w:r w:rsidRPr="00BB5F17">
              <w:rPr>
                <w:iCs/>
                <w:lang w:val="es-ES"/>
              </w:rPr>
              <w:sym w:font="Symbol" w:char="F071"/>
            </w:r>
            <w:r w:rsidRPr="00BB5F17">
              <w:rPr>
                <w:vertAlign w:val="subscript"/>
                <w:lang w:val="es-ES"/>
              </w:rPr>
              <w:t>3</w:t>
            </w:r>
          </w:p>
        </w:tc>
        <w:tc>
          <w:tcPr>
            <w:tcW w:w="2410" w:type="dxa"/>
            <w:vMerge w:val="restart"/>
            <w:vAlign w:val="center"/>
          </w:tcPr>
          <w:p w:rsidR="00256167" w:rsidRPr="00BB5F17" w:rsidRDefault="00256167" w:rsidP="005B580A">
            <w:pPr>
              <w:pStyle w:val="Tablehead"/>
              <w:rPr>
                <w:lang w:val="es-ES"/>
              </w:rPr>
            </w:pPr>
            <w:r w:rsidRPr="00BB5F17">
              <w:rPr>
                <w:lang w:val="es-ES"/>
              </w:rPr>
              <w:t xml:space="preserve">Espacio geométrico denegado </w:t>
            </w:r>
            <w:r w:rsidRPr="00BB5F17">
              <w:rPr>
                <w:i/>
                <w:iCs/>
                <w:lang w:val="es-ES"/>
              </w:rPr>
              <w:t>S</w:t>
            </w:r>
            <w:r>
              <w:rPr>
                <w:lang w:val="es-ES"/>
              </w:rPr>
              <w:br/>
            </w:r>
            <w:r w:rsidRPr="00BB5F17">
              <w:rPr>
                <w:lang w:val="es-ES"/>
              </w:rPr>
              <w:t>(km</w:t>
            </w:r>
            <w:r w:rsidRPr="00BB5F17">
              <w:rPr>
                <w:vertAlign w:val="superscript"/>
                <w:lang w:val="es-ES"/>
              </w:rPr>
              <w:t>2</w:t>
            </w:r>
            <w:r w:rsidRPr="00BB5F17">
              <w:rPr>
                <w:lang w:val="es-ES"/>
              </w:rPr>
              <w:t>)</w:t>
            </w:r>
          </w:p>
        </w:tc>
      </w:tr>
      <w:tr w:rsidR="00256167" w:rsidRPr="00BB5F17" w:rsidTr="005B580A">
        <w:trPr>
          <w:cantSplit/>
          <w:trHeight w:val="399"/>
          <w:jc w:val="center"/>
        </w:trPr>
        <w:tc>
          <w:tcPr>
            <w:tcW w:w="2410" w:type="dxa"/>
            <w:vAlign w:val="center"/>
          </w:tcPr>
          <w:p w:rsidR="00256167" w:rsidRPr="00BB5F17" w:rsidRDefault="00256167" w:rsidP="005B580A">
            <w:pPr>
              <w:pStyle w:val="Tablehead"/>
              <w:rPr>
                <w:i/>
                <w:iCs/>
                <w:lang w:val="es-ES"/>
              </w:rPr>
            </w:pPr>
            <w:r w:rsidRPr="00BB5F17">
              <w:rPr>
                <w:i/>
                <w:iCs/>
                <w:lang w:val="es-ES"/>
              </w:rPr>
              <w:t>A</w:t>
            </w:r>
            <w:r w:rsidRPr="00BB5F17">
              <w:rPr>
                <w:i/>
                <w:iCs/>
                <w:vertAlign w:val="subscript"/>
                <w:lang w:val="es-ES"/>
              </w:rPr>
              <w:t>S</w:t>
            </w:r>
            <w:r w:rsidRPr="00BB5F17">
              <w:rPr>
                <w:iCs/>
                <w:vertAlign w:val="subscript"/>
                <w:lang w:val="es-ES"/>
              </w:rPr>
              <w:t xml:space="preserve">1 </w:t>
            </w:r>
            <w:r w:rsidRPr="00BB5F17">
              <w:rPr>
                <w:lang w:val="es-ES"/>
              </w:rPr>
              <w:t>(km</w:t>
            </w:r>
            <w:r w:rsidRPr="00BB5F17">
              <w:rPr>
                <w:vertAlign w:val="superscript"/>
                <w:lang w:val="es-ES"/>
              </w:rPr>
              <w:t>2</w:t>
            </w:r>
            <w:r w:rsidRPr="00BB5F17">
              <w:rPr>
                <w:lang w:val="es-ES"/>
              </w:rPr>
              <w:t>)</w:t>
            </w:r>
          </w:p>
        </w:tc>
        <w:tc>
          <w:tcPr>
            <w:tcW w:w="2410" w:type="dxa"/>
            <w:vAlign w:val="center"/>
          </w:tcPr>
          <w:p w:rsidR="00256167" w:rsidRPr="00BB5F17" w:rsidRDefault="00256167" w:rsidP="005B580A">
            <w:pPr>
              <w:pStyle w:val="Tablehead"/>
              <w:rPr>
                <w:i/>
                <w:iCs/>
                <w:lang w:val="es-ES"/>
              </w:rPr>
            </w:pPr>
            <w:r w:rsidRPr="00BB5F17">
              <w:rPr>
                <w:i/>
                <w:iCs/>
                <w:lang w:val="es-ES"/>
              </w:rPr>
              <w:t>A</w:t>
            </w:r>
            <w:r w:rsidRPr="00BB5F17">
              <w:rPr>
                <w:i/>
                <w:iCs/>
                <w:vertAlign w:val="subscript"/>
                <w:lang w:val="es-ES"/>
              </w:rPr>
              <w:t>S</w:t>
            </w:r>
            <w:r w:rsidRPr="00BB5F17">
              <w:rPr>
                <w:iCs/>
                <w:vertAlign w:val="subscript"/>
                <w:lang w:val="es-ES"/>
              </w:rPr>
              <w:t xml:space="preserve">2 </w:t>
            </w:r>
            <w:r w:rsidRPr="00BB5F17">
              <w:rPr>
                <w:lang w:val="es-ES"/>
              </w:rPr>
              <w:t>(km</w:t>
            </w:r>
            <w:r w:rsidRPr="00BB5F17">
              <w:rPr>
                <w:vertAlign w:val="superscript"/>
                <w:lang w:val="es-ES"/>
              </w:rPr>
              <w:t>2</w:t>
            </w:r>
            <w:r w:rsidRPr="00BB5F17">
              <w:rPr>
                <w:lang w:val="es-ES"/>
              </w:rPr>
              <w:t>)</w:t>
            </w:r>
          </w:p>
        </w:tc>
        <w:tc>
          <w:tcPr>
            <w:tcW w:w="2410" w:type="dxa"/>
            <w:vAlign w:val="center"/>
          </w:tcPr>
          <w:p w:rsidR="00256167" w:rsidRPr="00BB5F17" w:rsidRDefault="00256167" w:rsidP="005B580A">
            <w:pPr>
              <w:pStyle w:val="Tablehead"/>
              <w:rPr>
                <w:i/>
                <w:iCs/>
                <w:lang w:val="es-ES"/>
              </w:rPr>
            </w:pPr>
            <w:r w:rsidRPr="00BB5F17">
              <w:rPr>
                <w:i/>
                <w:iCs/>
                <w:lang w:val="es-ES"/>
              </w:rPr>
              <w:t>A</w:t>
            </w:r>
            <w:r w:rsidRPr="00BB5F17">
              <w:rPr>
                <w:i/>
                <w:iCs/>
                <w:vertAlign w:val="subscript"/>
                <w:lang w:val="es-ES"/>
              </w:rPr>
              <w:t>S</w:t>
            </w:r>
            <w:r w:rsidRPr="00BB5F17">
              <w:rPr>
                <w:iCs/>
                <w:vertAlign w:val="subscript"/>
                <w:lang w:val="es-ES"/>
              </w:rPr>
              <w:t>3</w:t>
            </w:r>
            <w:r w:rsidRPr="00BB5F17">
              <w:rPr>
                <w:i/>
                <w:iCs/>
                <w:vertAlign w:val="subscript"/>
                <w:lang w:val="es-ES"/>
              </w:rPr>
              <w:t xml:space="preserve"> </w:t>
            </w:r>
            <w:r w:rsidRPr="00BB5F17">
              <w:rPr>
                <w:lang w:val="es-ES"/>
              </w:rPr>
              <w:t>(km</w:t>
            </w:r>
            <w:r w:rsidRPr="00BB5F17">
              <w:rPr>
                <w:vertAlign w:val="superscript"/>
                <w:lang w:val="es-ES"/>
              </w:rPr>
              <w:t>2</w:t>
            </w:r>
            <w:r w:rsidRPr="00BB5F17">
              <w:rPr>
                <w:lang w:val="es-ES"/>
              </w:rPr>
              <w:t>)</w:t>
            </w:r>
          </w:p>
        </w:tc>
        <w:tc>
          <w:tcPr>
            <w:tcW w:w="2410" w:type="dxa"/>
            <w:vMerge/>
            <w:vAlign w:val="center"/>
          </w:tcPr>
          <w:p w:rsidR="00256167" w:rsidRPr="00BB5F17" w:rsidRDefault="00256167" w:rsidP="005B580A">
            <w:pPr>
              <w:pStyle w:val="Tablehead"/>
              <w:rPr>
                <w:lang w:val="es-ES"/>
              </w:rPr>
            </w:pPr>
          </w:p>
        </w:tc>
      </w:tr>
      <w:tr w:rsidR="00256167" w:rsidRPr="00BB5F17" w:rsidTr="005B580A">
        <w:trPr>
          <w:cantSplit/>
          <w:jc w:val="center"/>
        </w:trPr>
        <w:tc>
          <w:tcPr>
            <w:tcW w:w="2410" w:type="dxa"/>
            <w:vAlign w:val="center"/>
          </w:tcPr>
          <w:p w:rsidR="00256167" w:rsidRPr="00BB5F17" w:rsidRDefault="00256167" w:rsidP="005B580A">
            <w:pPr>
              <w:pStyle w:val="Tabletext"/>
              <w:jc w:val="center"/>
              <w:rPr>
                <w:lang w:val="es-ES"/>
              </w:rPr>
            </w:pPr>
            <w:r w:rsidRPr="00BB5F17">
              <w:rPr>
                <w:lang w:val="es-ES"/>
              </w:rPr>
              <w:t>1,4</w:t>
            </w:r>
          </w:p>
        </w:tc>
        <w:tc>
          <w:tcPr>
            <w:tcW w:w="2410" w:type="dxa"/>
            <w:vAlign w:val="center"/>
          </w:tcPr>
          <w:p w:rsidR="00256167" w:rsidRPr="00BB5F17" w:rsidRDefault="00256167" w:rsidP="005B580A">
            <w:pPr>
              <w:pStyle w:val="Tabletext"/>
              <w:jc w:val="center"/>
              <w:rPr>
                <w:lang w:val="es-ES"/>
              </w:rPr>
            </w:pPr>
            <w:r w:rsidRPr="00BB5F17">
              <w:rPr>
                <w:lang w:val="es-ES"/>
              </w:rPr>
              <w:t>217,6</w:t>
            </w:r>
          </w:p>
        </w:tc>
        <w:tc>
          <w:tcPr>
            <w:tcW w:w="2410" w:type="dxa"/>
            <w:vAlign w:val="center"/>
          </w:tcPr>
          <w:p w:rsidR="00256167" w:rsidRPr="00BB5F17" w:rsidRDefault="00256167" w:rsidP="005B580A">
            <w:pPr>
              <w:pStyle w:val="Tabletext"/>
              <w:jc w:val="center"/>
              <w:rPr>
                <w:lang w:val="es-ES"/>
              </w:rPr>
            </w:pPr>
            <w:r w:rsidRPr="00BB5F17">
              <w:rPr>
                <w:lang w:val="es-ES"/>
              </w:rPr>
              <w:t>1,4</w:t>
            </w:r>
          </w:p>
        </w:tc>
        <w:tc>
          <w:tcPr>
            <w:tcW w:w="2410" w:type="dxa"/>
            <w:vAlign w:val="center"/>
          </w:tcPr>
          <w:p w:rsidR="00256167" w:rsidRPr="00BB5F17" w:rsidRDefault="00256167" w:rsidP="005B580A">
            <w:pPr>
              <w:pStyle w:val="Tabletext"/>
              <w:jc w:val="center"/>
              <w:rPr>
                <w:lang w:val="es-ES"/>
              </w:rPr>
            </w:pPr>
            <w:r w:rsidRPr="00BB5F17">
              <w:rPr>
                <w:lang w:val="es-ES"/>
              </w:rPr>
              <w:t>220,3</w:t>
            </w:r>
          </w:p>
        </w:tc>
      </w:tr>
    </w:tbl>
    <w:p w:rsidR="00256167" w:rsidRPr="009613A2" w:rsidRDefault="00256167" w:rsidP="00256167">
      <w:pPr>
        <w:pStyle w:val="Tablefin"/>
        <w:rPr>
          <w:lang w:val="es-ES_tradnl"/>
        </w:rPr>
      </w:pPr>
    </w:p>
    <w:p w:rsidR="00B33282" w:rsidRDefault="00B33282">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256167" w:rsidRDefault="00256167" w:rsidP="00256167">
      <w:pPr>
        <w:rPr>
          <w:lang w:val="es-ES"/>
        </w:rPr>
      </w:pPr>
      <w:r w:rsidRPr="00BB5F17">
        <w:rPr>
          <w:lang w:val="es-ES"/>
        </w:rPr>
        <w:lastRenderedPageBreak/>
        <w:t>La suma de las superficies de sectores denegados es el espacio geométrico denegado</w:t>
      </w:r>
      <w:r>
        <w:rPr>
          <w:lang w:val="es-ES"/>
        </w:rPr>
        <w:t>,</w:t>
      </w:r>
      <w:r w:rsidRPr="00BB5F17">
        <w:rPr>
          <w:lang w:val="es-ES"/>
        </w:rPr>
        <w:t xml:space="preserve"> </w:t>
      </w:r>
      <w:r w:rsidRPr="00BB5F17">
        <w:rPr>
          <w:i/>
          <w:lang w:val="es-ES"/>
        </w:rPr>
        <w:t>S</w:t>
      </w:r>
      <w:r w:rsidRPr="00BB5F17">
        <w:rPr>
          <w:lang w:val="es-ES"/>
        </w:rPr>
        <w:t xml:space="preserve"> que es el parámetro final para la determinación de la EUE. En el Cuadro 24 se indican los resultados finales para este ejemplo.</w:t>
      </w:r>
    </w:p>
    <w:p w:rsidR="00256167" w:rsidRPr="00BB5F17" w:rsidRDefault="00256167" w:rsidP="00256167">
      <w:pPr>
        <w:pStyle w:val="TableNo"/>
        <w:rPr>
          <w:lang w:val="es-ES"/>
        </w:rPr>
      </w:pPr>
      <w:r w:rsidRPr="00BB5F17">
        <w:rPr>
          <w:lang w:val="es-ES"/>
        </w:rPr>
        <w:t>CUADRO 24</w:t>
      </w:r>
    </w:p>
    <w:p w:rsidR="00256167" w:rsidRPr="00BB5F17" w:rsidRDefault="00256167" w:rsidP="00256167">
      <w:pPr>
        <w:pStyle w:val="Tabletitle"/>
        <w:rPr>
          <w:lang w:val="es-ES"/>
        </w:rPr>
      </w:pPr>
      <w:r w:rsidRPr="00BB5F17">
        <w:rPr>
          <w:lang w:val="es-ES"/>
        </w:rPr>
        <w:t>EUE para un sistema P</w:t>
      </w:r>
      <w:r>
        <w:rPr>
          <w:lang w:val="es-ES"/>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256167" w:rsidRPr="00AC38FC"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head"/>
              <w:rPr>
                <w:lang w:val="es-ES"/>
              </w:rPr>
            </w:pPr>
            <w:r w:rsidRPr="00BB5F17">
              <w:rPr>
                <w:lang w:val="es-ES"/>
              </w:rPr>
              <w:t>EUE (Mb/</w:t>
            </w:r>
            <w:proofErr w:type="spellStart"/>
            <w:r w:rsidRPr="00BB5F17">
              <w:rPr>
                <w:lang w:val="es-ES"/>
              </w:rPr>
              <w:t>s.km.MHz</w:t>
            </w:r>
            <w:proofErr w:type="spellEnd"/>
            <w:r w:rsidRPr="00BB5F17">
              <w:rPr>
                <w:lang w:val="es-ES"/>
              </w:rPr>
              <w:t>)</w:t>
            </w:r>
          </w:p>
        </w:tc>
      </w:tr>
      <w:tr w:rsidR="00256167" w:rsidRPr="00BB5F17" w:rsidTr="005B580A">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256167" w:rsidRPr="00BB5F17" w:rsidRDefault="00256167" w:rsidP="005B580A">
            <w:pPr>
              <w:pStyle w:val="Tabletext"/>
              <w:jc w:val="center"/>
              <w:rPr>
                <w:highlight w:val="yellow"/>
                <w:vertAlign w:val="superscript"/>
                <w:lang w:val="es-ES"/>
              </w:rPr>
            </w:pPr>
            <w:r w:rsidRPr="00BB5F17">
              <w:rPr>
                <w:lang w:val="es-ES"/>
              </w:rPr>
              <w:t>0,2</w:t>
            </w:r>
          </w:p>
        </w:tc>
      </w:tr>
    </w:tbl>
    <w:p w:rsidR="00256167" w:rsidRDefault="00256167" w:rsidP="00256167">
      <w:pPr>
        <w:pStyle w:val="Tablefin"/>
      </w:pPr>
    </w:p>
    <w:p w:rsidR="00256167" w:rsidRPr="00BB5F17" w:rsidRDefault="00256167" w:rsidP="00256167">
      <w:pPr>
        <w:pStyle w:val="Heading1"/>
        <w:rPr>
          <w:lang w:val="es-ES"/>
        </w:rPr>
      </w:pPr>
      <w:r w:rsidRPr="00BB5F17">
        <w:rPr>
          <w:lang w:val="es-ES"/>
        </w:rPr>
        <w:t>3</w:t>
      </w:r>
      <w:r w:rsidRPr="00BB5F17">
        <w:rPr>
          <w:lang w:val="es-ES"/>
        </w:rPr>
        <w:tab/>
        <w:t xml:space="preserve">Espectro utilizado por los sistema de radiodifusión sonora y de televisión </w:t>
      </w:r>
    </w:p>
    <w:p w:rsidR="00256167" w:rsidRPr="00BB5F17" w:rsidRDefault="00256167" w:rsidP="00256167">
      <w:pPr>
        <w:pStyle w:val="Heading2"/>
        <w:rPr>
          <w:lang w:val="es-ES"/>
        </w:rPr>
      </w:pPr>
      <w:r w:rsidRPr="00BB5F17">
        <w:rPr>
          <w:lang w:val="es-ES"/>
        </w:rPr>
        <w:t>3.1</w:t>
      </w:r>
      <w:r w:rsidRPr="00BB5F17">
        <w:rPr>
          <w:lang w:val="es-ES"/>
        </w:rPr>
        <w:tab/>
        <w:t>Introducción</w:t>
      </w:r>
    </w:p>
    <w:p w:rsidR="00256167" w:rsidRPr="00BB5F17" w:rsidRDefault="00256167" w:rsidP="00256167">
      <w:pPr>
        <w:rPr>
          <w:lang w:val="es-ES"/>
        </w:rPr>
      </w:pPr>
      <w:r w:rsidRPr="00BB5F17">
        <w:rPr>
          <w:lang w:val="es-ES"/>
        </w:rPr>
        <w:t xml:space="preserve">Supóngase que hay un sistema de radiodifusión sonora o de televisión en una determinada zona geográfica con </w:t>
      </w:r>
      <w:r w:rsidRPr="00BB5F17">
        <w:rPr>
          <w:i/>
          <w:lang w:val="es-ES"/>
        </w:rPr>
        <w:t>J</w:t>
      </w:r>
      <w:r w:rsidRPr="00BB5F17">
        <w:rPr>
          <w:lang w:val="es-ES"/>
        </w:rPr>
        <w:t xml:space="preserve"> transmisores. Para el caso general, la eficacia de utilización del espectro viene dada por el parámetro complejo:</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10"/>
          <w:lang w:val="es-ES"/>
        </w:rPr>
        <w:object w:dxaOrig="1380" w:dyaOrig="340">
          <v:shape id="_x0000_i1071" type="#_x0000_t75" style="width:69pt;height:17.4pt" o:ole="" fillcolor="window">
            <v:imagedata r:id="rId110" o:title=""/>
          </v:shape>
          <o:OLEObject Type="Embed" ProgID="Equation.3" ShapeID="_x0000_i1071" DrawAspect="Content" ObjectID="_1376823645" r:id="rId111"/>
        </w:object>
      </w:r>
      <w:r w:rsidRPr="00BB5F17">
        <w:rPr>
          <w:lang w:val="es-ES"/>
        </w:rPr>
        <w:tab/>
        <w:t>(45)</w:t>
      </w:r>
    </w:p>
    <w:p w:rsidR="00256167" w:rsidRPr="007F0761" w:rsidRDefault="00256167" w:rsidP="00256167">
      <w:pPr>
        <w:pStyle w:val="Blanc"/>
        <w:rPr>
          <w:lang w:val="es-ES_tradnl"/>
        </w:rPr>
      </w:pP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lang w:val="es-ES"/>
        </w:rPr>
      </w:pPr>
      <w:r w:rsidRPr="00BB5F17">
        <w:rPr>
          <w:i/>
          <w:iCs/>
          <w:lang w:val="es-ES"/>
        </w:rPr>
        <w:tab/>
        <w:t>M</w:t>
      </w:r>
      <w:r w:rsidRPr="00BB5F17">
        <w:rPr>
          <w:lang w:val="es-ES"/>
        </w:rPr>
        <w:t>:</w:t>
      </w:r>
      <w:r w:rsidRPr="00BB5F17">
        <w:rPr>
          <w:i/>
          <w:iCs/>
          <w:lang w:val="es-ES"/>
        </w:rPr>
        <w:tab/>
      </w:r>
      <w:r w:rsidRPr="00BB5F17">
        <w:rPr>
          <w:lang w:val="es-ES"/>
        </w:rPr>
        <w:t>efecto útil obtenido con el sistema de radiodifusión considerado</w:t>
      </w:r>
    </w:p>
    <w:p w:rsidR="00256167" w:rsidRPr="00BB5F17" w:rsidRDefault="00256167" w:rsidP="00256167">
      <w:pPr>
        <w:pStyle w:val="Equationlegend"/>
        <w:rPr>
          <w:iCs/>
          <w:lang w:val="es-ES"/>
        </w:rPr>
      </w:pPr>
      <w:r w:rsidRPr="00BB5F17">
        <w:rPr>
          <w:i/>
          <w:lang w:val="es-ES"/>
        </w:rPr>
        <w:tab/>
        <w:t>U</w:t>
      </w:r>
      <w:r w:rsidRPr="00BB5F17">
        <w:rPr>
          <w:lang w:val="es-ES"/>
        </w:rPr>
        <w:t>:</w:t>
      </w:r>
      <w:r w:rsidRPr="00BB5F17">
        <w:rPr>
          <w:i/>
          <w:lang w:val="es-ES"/>
        </w:rPr>
        <w:tab/>
      </w:r>
      <w:r w:rsidRPr="00BB5F17">
        <w:rPr>
          <w:iCs/>
          <w:lang w:val="es-ES"/>
        </w:rPr>
        <w:t>factor de utilización del espectro para ese sistema.</w:t>
      </w:r>
    </w:p>
    <w:p w:rsidR="00256167" w:rsidRPr="00BB5F17" w:rsidRDefault="00256167" w:rsidP="00256167">
      <w:pPr>
        <w:pStyle w:val="Heading2"/>
        <w:rPr>
          <w:lang w:val="es-ES"/>
        </w:rPr>
      </w:pPr>
      <w:r w:rsidRPr="00BB5F17">
        <w:rPr>
          <w:lang w:val="es-ES"/>
        </w:rPr>
        <w:t>3.2</w:t>
      </w:r>
      <w:r w:rsidRPr="00BB5F17">
        <w:rPr>
          <w:lang w:val="es-ES"/>
        </w:rPr>
        <w:tab/>
        <w:t xml:space="preserve">Definición del efecto útil para un sistema de radiodifusión de televisión </w:t>
      </w:r>
    </w:p>
    <w:p w:rsidR="00256167" w:rsidRPr="00BB5F17" w:rsidRDefault="00256167" w:rsidP="00256167">
      <w:pPr>
        <w:rPr>
          <w:lang w:val="es-ES"/>
        </w:rPr>
      </w:pPr>
      <w:r w:rsidRPr="00BB5F17">
        <w:rPr>
          <w:lang w:val="es-ES"/>
        </w:rPr>
        <w:t>La indicación de utilidad de un sistema de radiodifusión de televisión es el número de usuarios (población) que pueden captar la radiodifusión, generalmente en su lugar de residencia.</w:t>
      </w:r>
    </w:p>
    <w:p w:rsidR="00256167" w:rsidRPr="00BB5F17" w:rsidRDefault="00256167" w:rsidP="00256167">
      <w:pPr>
        <w:rPr>
          <w:lang w:val="es-ES"/>
        </w:rPr>
      </w:pPr>
      <w:r w:rsidRPr="00BB5F17">
        <w:rPr>
          <w:lang w:val="es-ES"/>
        </w:rPr>
        <w:t>El efecto útil de un sistema de radiodifusión de televisión cambiará según la densidad de población en distintas partes de la zona geográfica considerada y según el número de programas de televisión que se pueden captar. La disponibilidad de programas de televisión entre la población se puede ilustrar con la función de distribución acumulada de la Fig. 15.</w:t>
      </w:r>
    </w:p>
    <w:p w:rsidR="00256167" w:rsidRDefault="00256167" w:rsidP="00256167">
      <w:pPr>
        <w:pStyle w:val="FigureNo"/>
        <w:rPr>
          <w:lang w:val="es-ES"/>
        </w:rPr>
      </w:pPr>
      <w:r w:rsidRPr="00BB5F17">
        <w:rPr>
          <w:lang w:val="es-ES"/>
        </w:rPr>
        <w:lastRenderedPageBreak/>
        <w:t>Figur</w:t>
      </w:r>
      <w:r>
        <w:rPr>
          <w:lang w:val="es-ES"/>
        </w:rPr>
        <w:t>A</w:t>
      </w:r>
      <w:r w:rsidRPr="00BB5F17">
        <w:rPr>
          <w:lang w:val="es-ES"/>
        </w:rPr>
        <w:t xml:space="preserve"> 15</w:t>
      </w:r>
    </w:p>
    <w:p w:rsidR="00256167" w:rsidRPr="009613A2" w:rsidRDefault="00256167" w:rsidP="00D21B61">
      <w:pPr>
        <w:pStyle w:val="Figure"/>
        <w:ind w:left="-57" w:right="-57"/>
        <w:rPr>
          <w:lang w:val="es-ES"/>
        </w:rPr>
      </w:pPr>
      <w:r>
        <w:object w:dxaOrig="9673" w:dyaOrig="5938">
          <v:shape id="_x0000_i1072" type="#_x0000_t75" style="width:483.6pt;height:296.4pt" o:ole="" o:allowoverlap="f">
            <v:imagedata r:id="rId112" o:title=""/>
          </v:shape>
          <o:OLEObject Type="Embed" ProgID="CorelDraw.Graphic.12" ShapeID="_x0000_i1072" DrawAspect="Content" ObjectID="_1376823646" r:id="rId113"/>
        </w:object>
      </w:r>
    </w:p>
    <w:p w:rsidR="00256167" w:rsidRPr="00BB5F17" w:rsidRDefault="00256167" w:rsidP="00256167">
      <w:pPr>
        <w:rPr>
          <w:lang w:val="es-ES"/>
        </w:rPr>
      </w:pPr>
      <w:r w:rsidRPr="00BB5F17">
        <w:rPr>
          <w:lang w:val="es-ES"/>
        </w:rPr>
        <w:t xml:space="preserve">En este gráfico, </w:t>
      </w:r>
      <w:r w:rsidRPr="00BB5F17">
        <w:rPr>
          <w:i/>
          <w:iCs/>
          <w:lang w:val="es-ES"/>
        </w:rPr>
        <w:t>F(k)</w:t>
      </w:r>
      <w:r w:rsidRPr="00BB5F17">
        <w:rPr>
          <w:lang w:val="es-ES"/>
        </w:rPr>
        <w:t xml:space="preserve"> es la proporción de usuarios que pueden recibir como mínimo </w:t>
      </w:r>
      <w:r w:rsidRPr="00BB5F17">
        <w:rPr>
          <w:i/>
          <w:lang w:val="es-ES"/>
        </w:rPr>
        <w:t>k</w:t>
      </w:r>
      <w:r w:rsidRPr="00BB5F17">
        <w:rPr>
          <w:lang w:val="es-ES"/>
        </w:rPr>
        <w:t xml:space="preserve"> programas de televisión. Cuanto mayor sea el valor de la función, mayor será el número de usuarios a los que se transmite un gran número de programas y, por lo tanto, mayor será también el efecto útil del sistema de radiodifusión de televisión en esa zona geográfica. La función </w:t>
      </w:r>
      <w:r w:rsidRPr="00BB5F17">
        <w:rPr>
          <w:i/>
          <w:iCs/>
          <w:lang w:val="es-ES"/>
        </w:rPr>
        <w:t>F(k)</w:t>
      </w:r>
      <w:r w:rsidRPr="00BB5F17">
        <w:rPr>
          <w:lang w:val="es-ES"/>
        </w:rPr>
        <w:t xml:space="preserve"> caracteriza de una forma bastante completa el efecto útil y refleja su estructura. Sin embargo, la utilización de la función </w:t>
      </w:r>
      <w:r w:rsidRPr="00BB5F17">
        <w:rPr>
          <w:i/>
          <w:iCs/>
          <w:lang w:val="es-ES"/>
        </w:rPr>
        <w:t>F(k)</w:t>
      </w:r>
      <w:r w:rsidRPr="00BB5F17">
        <w:rPr>
          <w:lang w:val="es-ES"/>
        </w:rPr>
        <w:t xml:space="preserve"> no es la más práctica para evaluar la eficacia de utilización del espectro por los sistemas de radiodifusión de televisión. Una solución más práctica es utilizar un indicador unidimensional que tiene una relación funcional con </w:t>
      </w:r>
      <w:r w:rsidRPr="00BB5F17">
        <w:rPr>
          <w:i/>
          <w:iCs/>
          <w:lang w:val="es-ES"/>
        </w:rPr>
        <w:t>F(k)</w:t>
      </w:r>
      <w:r w:rsidRPr="00BB5F17">
        <w:rPr>
          <w:lang w:val="es-ES"/>
        </w:rPr>
        <w:t xml:space="preserve">. Sabiendo que el efecto útil aumenta con </w:t>
      </w:r>
      <w:r w:rsidRPr="00BB5F17">
        <w:rPr>
          <w:i/>
          <w:iCs/>
          <w:lang w:val="es-ES"/>
        </w:rPr>
        <w:t>F(k)</w:t>
      </w:r>
      <w:r w:rsidRPr="00BB5F17">
        <w:rPr>
          <w:lang w:val="es-ES"/>
        </w:rPr>
        <w:t>, puede obtenerse un indicador simple calculando la superficie bajo la curva, o la base de un rectángulo equivalente que tiene la misma superficie (se indica con una línea discontinua en la Fig. 15)</w:t>
      </w:r>
      <w:r w:rsidR="002E7D31">
        <w:rPr>
          <w:lang w:val="es-ES"/>
        </w:rPr>
        <w:t>,</w:t>
      </w:r>
      <w:r w:rsidRPr="00BB5F17">
        <w:rPr>
          <w:lang w:val="es-ES"/>
        </w:rPr>
        <w:t xml:space="preserve"> </w:t>
      </w:r>
      <w:r w:rsidRPr="00BB5F17">
        <w:rPr>
          <w:i/>
          <w:lang w:val="es-ES"/>
        </w:rPr>
        <w:t>k</w:t>
      </w:r>
      <w:r w:rsidRPr="00BB5F17">
        <w:rPr>
          <w:i/>
          <w:vertAlign w:val="subscript"/>
          <w:lang w:val="es-ES"/>
        </w:rPr>
        <w:t>m</w:t>
      </w:r>
      <w:r w:rsidRPr="00BB5F17">
        <w:rPr>
          <w:lang w:val="es-ES"/>
        </w:rPr>
        <w:t>. Esta última opción corresponde al número medio de programas de televisión que puede captar un usuario. Se podrá utilizar ese número como un indicador simple del efecto útil de los sistemas de radiodifusión de televisión. La expresión analítica de este indicador de efecto útil es la siguiente:</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30"/>
          <w:lang w:val="es-ES"/>
        </w:rPr>
        <w:object w:dxaOrig="1640" w:dyaOrig="720">
          <v:shape id="_x0000_i1073" type="#_x0000_t75" style="width:81.6pt;height:36pt" o:ole="" fillcolor="window">
            <v:imagedata r:id="rId114" o:title=""/>
          </v:shape>
          <o:OLEObject Type="Embed" ProgID="Equation.3" ShapeID="_x0000_i1073" DrawAspect="Content" ObjectID="_1376823647" r:id="rId115"/>
        </w:object>
      </w:r>
      <w:r w:rsidRPr="00BB5F17">
        <w:rPr>
          <w:lang w:val="es-ES"/>
        </w:rPr>
        <w:tab/>
        <w:t>(46)</w:t>
      </w:r>
    </w:p>
    <w:p w:rsidR="00256167" w:rsidRPr="00BB5F17" w:rsidRDefault="00256167" w:rsidP="00256167">
      <w:pPr>
        <w:rPr>
          <w:noProof/>
          <w:lang w:val="es-ES"/>
        </w:rPr>
      </w:pPr>
      <w:r w:rsidRPr="00BB5F17">
        <w:rPr>
          <w:noProof/>
          <w:lang w:val="es-ES"/>
        </w:rPr>
        <w:t>siendo:</w:t>
      </w:r>
    </w:p>
    <w:p w:rsidR="00256167" w:rsidRPr="00BB5F17" w:rsidRDefault="00256167" w:rsidP="00256167">
      <w:pPr>
        <w:pStyle w:val="Equationlegend"/>
        <w:rPr>
          <w:noProof/>
          <w:lang w:val="es-ES"/>
        </w:rPr>
      </w:pPr>
      <w:r w:rsidRPr="00BB5F17">
        <w:rPr>
          <w:i/>
          <w:iCs/>
          <w:noProof/>
          <w:lang w:val="es-ES"/>
        </w:rPr>
        <w:tab/>
        <w:t>I</w:t>
      </w:r>
      <w:r w:rsidRPr="00BB5F17">
        <w:rPr>
          <w:lang w:val="es-ES"/>
        </w:rPr>
        <w:t>:</w:t>
      </w:r>
      <w:r w:rsidRPr="00BB5F17">
        <w:rPr>
          <w:noProof/>
          <w:lang w:val="es-ES"/>
        </w:rPr>
        <w:tab/>
        <w:t>número de elementos en que se ha dividido la zona geográfica</w:t>
      </w:r>
    </w:p>
    <w:p w:rsidR="00256167" w:rsidRPr="00BB5F17" w:rsidRDefault="00256167" w:rsidP="00256167">
      <w:pPr>
        <w:pStyle w:val="Equationlegend"/>
        <w:rPr>
          <w:noProof/>
          <w:lang w:val="es-ES"/>
        </w:rPr>
      </w:pPr>
      <w:r w:rsidRPr="00BB5F17">
        <w:rPr>
          <w:noProof/>
          <w:lang w:val="es-ES"/>
        </w:rPr>
        <w:tab/>
      </w:r>
      <w:r w:rsidRPr="00BB5F17">
        <w:rPr>
          <w:noProof/>
          <w:position w:val="-24"/>
          <w:lang w:val="es-ES"/>
        </w:rPr>
        <w:object w:dxaOrig="760" w:dyaOrig="620">
          <v:shape id="_x0000_i1074" type="#_x0000_t75" style="width:38.4pt;height:30.6pt" o:ole="" fillcolor="window">
            <v:imagedata r:id="rId116" o:title=""/>
          </v:shape>
          <o:OLEObject Type="Embed" ProgID="Equation.3" ShapeID="_x0000_i1074" DrawAspect="Content" ObjectID="_1376823648" r:id="rId117"/>
        </w:object>
      </w:r>
      <w:r w:rsidRPr="00BB5F17">
        <w:rPr>
          <w:lang w:val="es-ES"/>
        </w:rPr>
        <w:t>:</w:t>
      </w:r>
      <w:r w:rsidRPr="00BB5F17">
        <w:rPr>
          <w:noProof/>
          <w:lang w:val="es-ES"/>
        </w:rPr>
        <w:t xml:space="preserve"> </w:t>
      </w:r>
      <w:r w:rsidRPr="00BB5F17">
        <w:rPr>
          <w:noProof/>
          <w:lang w:val="es-ES"/>
        </w:rPr>
        <w:tab/>
        <w:t xml:space="preserve">proporción de población que vive dentro del </w:t>
      </w:r>
      <w:r w:rsidRPr="00BB5F17">
        <w:rPr>
          <w:i/>
          <w:noProof/>
          <w:lang w:val="es-ES"/>
        </w:rPr>
        <w:t>i</w:t>
      </w:r>
      <w:r w:rsidRPr="009613A2">
        <w:rPr>
          <w:noProof/>
          <w:lang w:val="es-ES"/>
        </w:rPr>
        <w:t>-</w:t>
      </w:r>
      <w:r w:rsidRPr="009613A2">
        <w:rPr>
          <w:noProof/>
          <w:szCs w:val="24"/>
          <w:lang w:val="es-ES"/>
        </w:rPr>
        <w:t>ésimo</w:t>
      </w:r>
      <w:r w:rsidRPr="00BB5F17">
        <w:rPr>
          <w:noProof/>
          <w:lang w:val="es-ES"/>
        </w:rPr>
        <w:t xml:space="preserve"> elemento territorial</w:t>
      </w:r>
    </w:p>
    <w:p w:rsidR="00256167" w:rsidRPr="00BB5F17" w:rsidRDefault="00256167" w:rsidP="00256167">
      <w:pPr>
        <w:pStyle w:val="Equationlegend"/>
        <w:rPr>
          <w:lang w:val="es-ES"/>
        </w:rPr>
      </w:pPr>
      <w:r w:rsidRPr="00BB5F17">
        <w:rPr>
          <w:i/>
          <w:lang w:val="es-ES"/>
        </w:rPr>
        <w:tab/>
        <w:t>n</w:t>
      </w:r>
      <w:r w:rsidRPr="00BB5F17">
        <w:rPr>
          <w:i/>
          <w:vertAlign w:val="subscript"/>
          <w:lang w:val="es-ES"/>
        </w:rPr>
        <w:t>i</w:t>
      </w:r>
      <w:r w:rsidRPr="00BB5F17">
        <w:rPr>
          <w:lang w:val="es-ES"/>
        </w:rPr>
        <w:t>:</w:t>
      </w:r>
      <w:r w:rsidRPr="00BB5F17">
        <w:rPr>
          <w:i/>
          <w:lang w:val="es-ES"/>
        </w:rPr>
        <w:t xml:space="preserve"> </w:t>
      </w:r>
      <w:r w:rsidRPr="00BB5F17">
        <w:rPr>
          <w:i/>
          <w:lang w:val="es-ES"/>
        </w:rPr>
        <w:tab/>
      </w:r>
      <w:r w:rsidRPr="00BB5F17">
        <w:rPr>
          <w:lang w:val="es-ES"/>
        </w:rPr>
        <w:t xml:space="preserve">número de habitantes que viven dentro del </w:t>
      </w:r>
      <w:r w:rsidRPr="00BB5F17">
        <w:rPr>
          <w:i/>
          <w:lang w:val="es-ES"/>
        </w:rPr>
        <w:t>i</w:t>
      </w:r>
      <w:r>
        <w:rPr>
          <w:lang w:val="es-ES"/>
        </w:rPr>
        <w:t>-</w:t>
      </w:r>
      <w:proofErr w:type="spellStart"/>
      <w:r w:rsidRPr="009613A2">
        <w:rPr>
          <w:szCs w:val="24"/>
          <w:lang w:val="es-ES"/>
        </w:rPr>
        <w:t>ésimo</w:t>
      </w:r>
      <w:proofErr w:type="spellEnd"/>
      <w:r w:rsidRPr="00BB5F17">
        <w:rPr>
          <w:lang w:val="es-ES"/>
        </w:rPr>
        <w:t xml:space="preserve"> elemento territorial</w:t>
      </w:r>
    </w:p>
    <w:p w:rsidR="00256167" w:rsidRPr="00BB5F17" w:rsidRDefault="00256167" w:rsidP="00256167">
      <w:pPr>
        <w:pStyle w:val="Equationlegend"/>
        <w:rPr>
          <w:iCs/>
          <w:lang w:val="es-ES"/>
        </w:rPr>
      </w:pPr>
      <w:r w:rsidRPr="00BB5F17">
        <w:rPr>
          <w:i/>
          <w:lang w:val="es-ES"/>
        </w:rPr>
        <w:tab/>
      </w:r>
      <w:proofErr w:type="spellStart"/>
      <w:r w:rsidRPr="00BB5F17">
        <w:rPr>
          <w:i/>
          <w:lang w:val="es-ES"/>
        </w:rPr>
        <w:t>k</w:t>
      </w:r>
      <w:r w:rsidRPr="00BB5F17">
        <w:rPr>
          <w:i/>
          <w:vertAlign w:val="subscript"/>
          <w:lang w:val="es-ES"/>
        </w:rPr>
        <w:t>i</w:t>
      </w:r>
      <w:proofErr w:type="spellEnd"/>
      <w:r w:rsidRPr="00BB5F17">
        <w:rPr>
          <w:lang w:val="es-ES"/>
        </w:rPr>
        <w:t>:</w:t>
      </w:r>
      <w:r w:rsidRPr="00BB5F17">
        <w:rPr>
          <w:i/>
          <w:lang w:val="es-ES"/>
        </w:rPr>
        <w:tab/>
      </w:r>
      <w:r w:rsidRPr="00BB5F17">
        <w:rPr>
          <w:iCs/>
          <w:lang w:val="es-ES"/>
        </w:rPr>
        <w:t xml:space="preserve">número de programas de televisión que pueden captarse dentro del </w:t>
      </w:r>
      <w:r w:rsidRPr="00BB5F17">
        <w:rPr>
          <w:i/>
          <w:iCs/>
          <w:lang w:val="es-ES"/>
        </w:rPr>
        <w:t>i</w:t>
      </w:r>
      <w:r>
        <w:rPr>
          <w:iCs/>
          <w:lang w:val="es-ES"/>
        </w:rPr>
        <w:t>-</w:t>
      </w:r>
      <w:proofErr w:type="spellStart"/>
      <w:r w:rsidRPr="009613A2">
        <w:rPr>
          <w:iCs/>
          <w:szCs w:val="24"/>
          <w:lang w:val="es-ES"/>
        </w:rPr>
        <w:t>ésimo</w:t>
      </w:r>
      <w:proofErr w:type="spellEnd"/>
      <w:r w:rsidRPr="00BB5F17">
        <w:rPr>
          <w:iCs/>
          <w:lang w:val="es-ES"/>
        </w:rPr>
        <w:t xml:space="preserve"> elemento territorial; y</w:t>
      </w:r>
    </w:p>
    <w:p w:rsidR="00256167" w:rsidRPr="00BB5F17" w:rsidRDefault="00256167" w:rsidP="00256167">
      <w:pPr>
        <w:pStyle w:val="Equationlegend"/>
        <w:rPr>
          <w:iCs/>
          <w:lang w:val="es-ES"/>
        </w:rPr>
      </w:pPr>
      <w:r w:rsidRPr="00BB5F17">
        <w:rPr>
          <w:i/>
          <w:lang w:val="es-ES"/>
        </w:rPr>
        <w:tab/>
        <w:t>N</w:t>
      </w:r>
      <w:r w:rsidRPr="00BB5F17">
        <w:rPr>
          <w:lang w:val="es-ES"/>
        </w:rPr>
        <w:t>:</w:t>
      </w:r>
      <w:r w:rsidRPr="00BB5F17">
        <w:rPr>
          <w:iCs/>
          <w:lang w:val="es-ES"/>
        </w:rPr>
        <w:t xml:space="preserve"> </w:t>
      </w:r>
      <w:r w:rsidRPr="00BB5F17">
        <w:rPr>
          <w:iCs/>
          <w:lang w:val="es-ES"/>
        </w:rPr>
        <w:tab/>
        <w:t>población de la zona geográfica.</w:t>
      </w:r>
    </w:p>
    <w:p w:rsidR="00256167" w:rsidRPr="00BB5F17" w:rsidRDefault="00256167" w:rsidP="00256167">
      <w:pPr>
        <w:pStyle w:val="Headingb"/>
        <w:rPr>
          <w:lang w:val="es-ES"/>
        </w:rPr>
      </w:pPr>
      <w:r w:rsidRPr="00BB5F17">
        <w:rPr>
          <w:lang w:val="es-ES"/>
        </w:rPr>
        <w:lastRenderedPageBreak/>
        <w:t>Ejemplo de cálculo del efecto útil</w:t>
      </w:r>
    </w:p>
    <w:p w:rsidR="00256167" w:rsidRPr="00BB5F17" w:rsidRDefault="00256167" w:rsidP="00256167">
      <w:pPr>
        <w:rPr>
          <w:lang w:val="es-ES"/>
        </w:rPr>
      </w:pPr>
      <w:r w:rsidRPr="00BB5F17">
        <w:rPr>
          <w:lang w:val="es-ES"/>
        </w:rPr>
        <w:t xml:space="preserve">Considérese una región con una población de </w:t>
      </w:r>
      <w:r w:rsidRPr="00BB5F17">
        <w:rPr>
          <w:i/>
          <w:iCs/>
          <w:lang w:val="es-ES"/>
        </w:rPr>
        <w:t xml:space="preserve">N </w:t>
      </w:r>
      <w:r w:rsidRPr="00BB5F17">
        <w:rPr>
          <w:lang w:val="es-ES"/>
        </w:rPr>
        <w:t xml:space="preserve">= 250 000 y dividida en </w:t>
      </w:r>
      <w:r w:rsidRPr="00BB5F17">
        <w:rPr>
          <w:i/>
          <w:iCs/>
          <w:lang w:val="es-ES"/>
        </w:rPr>
        <w:t xml:space="preserve">I </w:t>
      </w:r>
      <w:r w:rsidRPr="00BB5F17">
        <w:rPr>
          <w:lang w:val="es-ES"/>
        </w:rPr>
        <w:t>= 9 elementos territoriales diferentes. En el Cuadro 25 se indica la distribución de población y disponibilidad de programas de televisión para cada elemento territorial (</w:t>
      </w:r>
      <w:r w:rsidRPr="00BB5F17">
        <w:rPr>
          <w:i/>
          <w:lang w:val="es-ES"/>
        </w:rPr>
        <w:t>n</w:t>
      </w:r>
      <w:r w:rsidRPr="00BB5F17">
        <w:rPr>
          <w:i/>
          <w:vertAlign w:val="subscript"/>
          <w:lang w:val="es-ES"/>
        </w:rPr>
        <w:t>i</w:t>
      </w:r>
      <w:r w:rsidRPr="00BB5F17">
        <w:rPr>
          <w:lang w:val="es-ES"/>
        </w:rPr>
        <w:t xml:space="preserve"> y </w:t>
      </w:r>
      <w:proofErr w:type="spellStart"/>
      <w:r w:rsidRPr="00BB5F17">
        <w:rPr>
          <w:i/>
          <w:lang w:val="es-ES"/>
        </w:rPr>
        <w:t>k</w:t>
      </w:r>
      <w:r w:rsidRPr="00BB5F17">
        <w:rPr>
          <w:i/>
          <w:vertAlign w:val="subscript"/>
          <w:lang w:val="es-ES"/>
        </w:rPr>
        <w:t>i</w:t>
      </w:r>
      <w:proofErr w:type="spellEnd"/>
      <w:r w:rsidRPr="00BB5F17">
        <w:rPr>
          <w:lang w:val="es-ES"/>
        </w:rPr>
        <w:t xml:space="preserve"> respectivamente).</w:t>
      </w:r>
    </w:p>
    <w:p w:rsidR="00256167" w:rsidRPr="00BB5F17" w:rsidRDefault="00256167" w:rsidP="00256167">
      <w:pPr>
        <w:pStyle w:val="TableNo"/>
        <w:rPr>
          <w:lang w:val="es-ES"/>
        </w:rPr>
      </w:pPr>
      <w:r w:rsidRPr="00BB5F17">
        <w:rPr>
          <w:lang w:val="es-ES"/>
        </w:rPr>
        <w:t>CUADRO 25</w:t>
      </w:r>
    </w:p>
    <w:p w:rsidR="00256167" w:rsidRPr="00BB5F17" w:rsidRDefault="00256167" w:rsidP="00256167">
      <w:pPr>
        <w:pStyle w:val="Tabletitle"/>
        <w:rPr>
          <w:lang w:val="es-ES"/>
        </w:rPr>
      </w:pPr>
      <w:r w:rsidRPr="00BB5F17">
        <w:rPr>
          <w:lang w:val="es-ES"/>
        </w:rPr>
        <w:t>Distribución de población y disponibilidad de programas</w:t>
      </w:r>
      <w:r w:rsidRPr="00BB5F17">
        <w:rPr>
          <w:lang w:val="es-ES"/>
        </w:rPr>
        <w:br/>
        <w:t>de televisión en cada elemento territorial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709"/>
        <w:gridCol w:w="709"/>
        <w:gridCol w:w="709"/>
        <w:gridCol w:w="709"/>
        <w:gridCol w:w="709"/>
        <w:gridCol w:w="709"/>
        <w:gridCol w:w="709"/>
        <w:gridCol w:w="709"/>
        <w:gridCol w:w="709"/>
      </w:tblGrid>
      <w:tr w:rsidR="00256167" w:rsidRPr="00BB5F17" w:rsidTr="005B580A">
        <w:trPr>
          <w:jc w:val="center"/>
        </w:trPr>
        <w:tc>
          <w:tcPr>
            <w:tcW w:w="3260" w:type="dxa"/>
          </w:tcPr>
          <w:p w:rsidR="00256167" w:rsidRPr="00BB5F17" w:rsidRDefault="00256167" w:rsidP="005B580A">
            <w:pPr>
              <w:pStyle w:val="Tabletext"/>
              <w:rPr>
                <w:lang w:val="es-ES"/>
              </w:rPr>
            </w:pPr>
            <w:r w:rsidRPr="00BB5F17">
              <w:rPr>
                <w:lang w:val="es-ES"/>
              </w:rPr>
              <w:t>Elemento territorial</w:t>
            </w:r>
          </w:p>
        </w:tc>
        <w:tc>
          <w:tcPr>
            <w:tcW w:w="709" w:type="dxa"/>
          </w:tcPr>
          <w:p w:rsidR="00256167" w:rsidRPr="00BB5F17" w:rsidRDefault="00256167" w:rsidP="005B580A">
            <w:pPr>
              <w:pStyle w:val="Tabletext"/>
              <w:jc w:val="center"/>
              <w:rPr>
                <w:lang w:val="es-ES"/>
              </w:rPr>
            </w:pPr>
            <w:r w:rsidRPr="00BB5F17">
              <w:rPr>
                <w:lang w:val="es-ES"/>
              </w:rPr>
              <w:t>1</w:t>
            </w:r>
          </w:p>
        </w:tc>
        <w:tc>
          <w:tcPr>
            <w:tcW w:w="709" w:type="dxa"/>
          </w:tcPr>
          <w:p w:rsidR="00256167" w:rsidRPr="00BB5F17" w:rsidRDefault="00256167" w:rsidP="005B580A">
            <w:pPr>
              <w:pStyle w:val="Tabletext"/>
              <w:jc w:val="center"/>
              <w:rPr>
                <w:lang w:val="es-ES"/>
              </w:rPr>
            </w:pPr>
            <w:r w:rsidRPr="00BB5F17">
              <w:rPr>
                <w:lang w:val="es-ES"/>
              </w:rPr>
              <w:t>2</w:t>
            </w:r>
          </w:p>
        </w:tc>
        <w:tc>
          <w:tcPr>
            <w:tcW w:w="709" w:type="dxa"/>
          </w:tcPr>
          <w:p w:rsidR="00256167" w:rsidRPr="00BB5F17" w:rsidRDefault="00256167" w:rsidP="005B580A">
            <w:pPr>
              <w:pStyle w:val="Tabletext"/>
              <w:jc w:val="center"/>
              <w:rPr>
                <w:lang w:val="es-ES"/>
              </w:rPr>
            </w:pPr>
            <w:r w:rsidRPr="00BB5F17">
              <w:rPr>
                <w:lang w:val="es-ES"/>
              </w:rPr>
              <w:t>3</w:t>
            </w:r>
          </w:p>
        </w:tc>
        <w:tc>
          <w:tcPr>
            <w:tcW w:w="709" w:type="dxa"/>
          </w:tcPr>
          <w:p w:rsidR="00256167" w:rsidRPr="00BB5F17" w:rsidRDefault="00256167" w:rsidP="005B580A">
            <w:pPr>
              <w:pStyle w:val="Tabletext"/>
              <w:jc w:val="center"/>
              <w:rPr>
                <w:lang w:val="es-ES"/>
              </w:rPr>
            </w:pPr>
            <w:r w:rsidRPr="00BB5F17">
              <w:rPr>
                <w:lang w:val="es-ES"/>
              </w:rPr>
              <w:t>4</w:t>
            </w:r>
          </w:p>
        </w:tc>
        <w:tc>
          <w:tcPr>
            <w:tcW w:w="709" w:type="dxa"/>
          </w:tcPr>
          <w:p w:rsidR="00256167" w:rsidRPr="00BB5F17" w:rsidRDefault="00256167" w:rsidP="005B580A">
            <w:pPr>
              <w:pStyle w:val="Tabletext"/>
              <w:jc w:val="center"/>
              <w:rPr>
                <w:lang w:val="es-ES"/>
              </w:rPr>
            </w:pPr>
            <w:r w:rsidRPr="00BB5F17">
              <w:rPr>
                <w:lang w:val="es-ES"/>
              </w:rPr>
              <w:t>5</w:t>
            </w:r>
          </w:p>
        </w:tc>
        <w:tc>
          <w:tcPr>
            <w:tcW w:w="709" w:type="dxa"/>
          </w:tcPr>
          <w:p w:rsidR="00256167" w:rsidRPr="00BB5F17" w:rsidRDefault="00256167" w:rsidP="005B580A">
            <w:pPr>
              <w:pStyle w:val="Tabletext"/>
              <w:jc w:val="center"/>
              <w:rPr>
                <w:lang w:val="es-ES"/>
              </w:rPr>
            </w:pPr>
            <w:r w:rsidRPr="00BB5F17">
              <w:rPr>
                <w:lang w:val="es-ES"/>
              </w:rPr>
              <w:t>6</w:t>
            </w:r>
          </w:p>
        </w:tc>
        <w:tc>
          <w:tcPr>
            <w:tcW w:w="709" w:type="dxa"/>
          </w:tcPr>
          <w:p w:rsidR="00256167" w:rsidRPr="00BB5F17" w:rsidRDefault="00256167" w:rsidP="005B580A">
            <w:pPr>
              <w:pStyle w:val="Tabletext"/>
              <w:jc w:val="center"/>
              <w:rPr>
                <w:lang w:val="es-ES"/>
              </w:rPr>
            </w:pPr>
            <w:r w:rsidRPr="00BB5F17">
              <w:rPr>
                <w:lang w:val="es-ES"/>
              </w:rPr>
              <w:t>7</w:t>
            </w:r>
          </w:p>
        </w:tc>
        <w:tc>
          <w:tcPr>
            <w:tcW w:w="709" w:type="dxa"/>
          </w:tcPr>
          <w:p w:rsidR="00256167" w:rsidRPr="00BB5F17" w:rsidRDefault="00256167" w:rsidP="005B580A">
            <w:pPr>
              <w:pStyle w:val="Tabletext"/>
              <w:jc w:val="center"/>
              <w:rPr>
                <w:lang w:val="es-ES"/>
              </w:rPr>
            </w:pPr>
            <w:r w:rsidRPr="00BB5F17">
              <w:rPr>
                <w:lang w:val="es-ES"/>
              </w:rPr>
              <w:t>8</w:t>
            </w:r>
          </w:p>
        </w:tc>
        <w:tc>
          <w:tcPr>
            <w:tcW w:w="709" w:type="dxa"/>
          </w:tcPr>
          <w:p w:rsidR="00256167" w:rsidRPr="00BB5F17" w:rsidRDefault="00256167" w:rsidP="005B580A">
            <w:pPr>
              <w:pStyle w:val="Tabletext"/>
              <w:jc w:val="center"/>
              <w:rPr>
                <w:lang w:val="es-ES"/>
              </w:rPr>
            </w:pPr>
            <w:r w:rsidRPr="00BB5F17">
              <w:rPr>
                <w:lang w:val="es-ES"/>
              </w:rPr>
              <w:t>9</w:t>
            </w:r>
          </w:p>
        </w:tc>
      </w:tr>
      <w:tr w:rsidR="00256167" w:rsidRPr="00BB5F17" w:rsidTr="005B580A">
        <w:trPr>
          <w:jc w:val="center"/>
        </w:trPr>
        <w:tc>
          <w:tcPr>
            <w:tcW w:w="3260" w:type="dxa"/>
          </w:tcPr>
          <w:p w:rsidR="00256167" w:rsidRPr="00BB5F17" w:rsidRDefault="00256167" w:rsidP="005B580A">
            <w:pPr>
              <w:pStyle w:val="Tabletext"/>
              <w:rPr>
                <w:lang w:val="es-ES"/>
              </w:rPr>
            </w:pPr>
            <w:r w:rsidRPr="00BB5F17">
              <w:rPr>
                <w:i/>
                <w:lang w:val="es-ES"/>
              </w:rPr>
              <w:t>n</w:t>
            </w:r>
            <w:r w:rsidRPr="00BB5F17">
              <w:rPr>
                <w:i/>
                <w:vertAlign w:val="subscript"/>
                <w:lang w:val="es-ES"/>
              </w:rPr>
              <w:t xml:space="preserve">i </w:t>
            </w:r>
            <w:r w:rsidRPr="00BB5F17">
              <w:rPr>
                <w:lang w:val="es-ES"/>
              </w:rPr>
              <w:t>, en millares</w:t>
            </w:r>
          </w:p>
        </w:tc>
        <w:tc>
          <w:tcPr>
            <w:tcW w:w="709" w:type="dxa"/>
          </w:tcPr>
          <w:p w:rsidR="00256167" w:rsidRPr="00BB5F17" w:rsidRDefault="00256167" w:rsidP="005B580A">
            <w:pPr>
              <w:pStyle w:val="Tabletext"/>
              <w:jc w:val="center"/>
              <w:rPr>
                <w:lang w:val="es-ES"/>
              </w:rPr>
            </w:pPr>
            <w:r w:rsidRPr="00BB5F17">
              <w:rPr>
                <w:lang w:val="es-ES"/>
              </w:rPr>
              <w:t>20</w:t>
            </w:r>
          </w:p>
        </w:tc>
        <w:tc>
          <w:tcPr>
            <w:tcW w:w="709" w:type="dxa"/>
          </w:tcPr>
          <w:p w:rsidR="00256167" w:rsidRPr="00BB5F17" w:rsidRDefault="00256167" w:rsidP="005B580A">
            <w:pPr>
              <w:pStyle w:val="Tabletext"/>
              <w:jc w:val="center"/>
              <w:rPr>
                <w:lang w:val="es-ES"/>
              </w:rPr>
            </w:pPr>
            <w:r w:rsidRPr="00BB5F17">
              <w:rPr>
                <w:lang w:val="es-ES"/>
              </w:rPr>
              <w:t>10</w:t>
            </w:r>
          </w:p>
        </w:tc>
        <w:tc>
          <w:tcPr>
            <w:tcW w:w="709" w:type="dxa"/>
          </w:tcPr>
          <w:p w:rsidR="00256167" w:rsidRPr="00BB5F17" w:rsidRDefault="00256167" w:rsidP="005B580A">
            <w:pPr>
              <w:pStyle w:val="Tabletext"/>
              <w:jc w:val="center"/>
              <w:rPr>
                <w:lang w:val="es-ES"/>
              </w:rPr>
            </w:pPr>
            <w:r w:rsidRPr="00BB5F17">
              <w:rPr>
                <w:lang w:val="es-ES"/>
              </w:rPr>
              <w:t>60</w:t>
            </w:r>
          </w:p>
        </w:tc>
        <w:tc>
          <w:tcPr>
            <w:tcW w:w="709" w:type="dxa"/>
          </w:tcPr>
          <w:p w:rsidR="00256167" w:rsidRPr="00BB5F17" w:rsidRDefault="00256167" w:rsidP="005B580A">
            <w:pPr>
              <w:pStyle w:val="Tabletext"/>
              <w:jc w:val="center"/>
              <w:rPr>
                <w:lang w:val="es-ES"/>
              </w:rPr>
            </w:pPr>
            <w:r w:rsidRPr="00BB5F17">
              <w:rPr>
                <w:lang w:val="es-ES"/>
              </w:rPr>
              <w:t>0</w:t>
            </w:r>
          </w:p>
        </w:tc>
        <w:tc>
          <w:tcPr>
            <w:tcW w:w="709" w:type="dxa"/>
          </w:tcPr>
          <w:p w:rsidR="00256167" w:rsidRPr="00BB5F17" w:rsidRDefault="00256167" w:rsidP="005B580A">
            <w:pPr>
              <w:pStyle w:val="Tabletext"/>
              <w:jc w:val="center"/>
              <w:rPr>
                <w:lang w:val="es-ES"/>
              </w:rPr>
            </w:pPr>
            <w:r w:rsidRPr="00BB5F17">
              <w:rPr>
                <w:lang w:val="es-ES"/>
              </w:rPr>
              <w:t>100</w:t>
            </w:r>
          </w:p>
        </w:tc>
        <w:tc>
          <w:tcPr>
            <w:tcW w:w="709" w:type="dxa"/>
          </w:tcPr>
          <w:p w:rsidR="00256167" w:rsidRPr="00BB5F17" w:rsidRDefault="00256167" w:rsidP="005B580A">
            <w:pPr>
              <w:pStyle w:val="Tabletext"/>
              <w:jc w:val="center"/>
              <w:rPr>
                <w:lang w:val="es-ES"/>
              </w:rPr>
            </w:pPr>
            <w:r w:rsidRPr="00BB5F17">
              <w:rPr>
                <w:lang w:val="es-ES"/>
              </w:rPr>
              <w:t>10</w:t>
            </w:r>
          </w:p>
        </w:tc>
        <w:tc>
          <w:tcPr>
            <w:tcW w:w="709" w:type="dxa"/>
          </w:tcPr>
          <w:p w:rsidR="00256167" w:rsidRPr="00BB5F17" w:rsidRDefault="00256167" w:rsidP="005B580A">
            <w:pPr>
              <w:pStyle w:val="Tabletext"/>
              <w:jc w:val="center"/>
              <w:rPr>
                <w:lang w:val="es-ES"/>
              </w:rPr>
            </w:pPr>
            <w:r w:rsidRPr="00BB5F17">
              <w:rPr>
                <w:lang w:val="es-ES"/>
              </w:rPr>
              <w:t>40</w:t>
            </w:r>
          </w:p>
        </w:tc>
        <w:tc>
          <w:tcPr>
            <w:tcW w:w="709" w:type="dxa"/>
          </w:tcPr>
          <w:p w:rsidR="00256167" w:rsidRPr="00BB5F17" w:rsidRDefault="00256167" w:rsidP="005B580A">
            <w:pPr>
              <w:pStyle w:val="Tabletext"/>
              <w:jc w:val="center"/>
              <w:rPr>
                <w:lang w:val="es-ES"/>
              </w:rPr>
            </w:pPr>
            <w:r w:rsidRPr="00BB5F17">
              <w:rPr>
                <w:lang w:val="es-ES"/>
              </w:rPr>
              <w:t>10</w:t>
            </w:r>
          </w:p>
        </w:tc>
        <w:tc>
          <w:tcPr>
            <w:tcW w:w="709" w:type="dxa"/>
          </w:tcPr>
          <w:p w:rsidR="00256167" w:rsidRPr="00BB5F17" w:rsidRDefault="00256167" w:rsidP="005B580A">
            <w:pPr>
              <w:pStyle w:val="Tabletext"/>
              <w:jc w:val="center"/>
              <w:rPr>
                <w:lang w:val="es-ES"/>
              </w:rPr>
            </w:pPr>
            <w:r w:rsidRPr="00BB5F17">
              <w:rPr>
                <w:lang w:val="es-ES"/>
              </w:rPr>
              <w:t>0</w:t>
            </w:r>
          </w:p>
        </w:tc>
      </w:tr>
      <w:tr w:rsidR="00256167" w:rsidRPr="00BB5F17" w:rsidTr="005B580A">
        <w:trPr>
          <w:jc w:val="center"/>
        </w:trPr>
        <w:tc>
          <w:tcPr>
            <w:tcW w:w="3260" w:type="dxa"/>
          </w:tcPr>
          <w:p w:rsidR="00256167" w:rsidRPr="00BB5F17" w:rsidRDefault="00256167" w:rsidP="005B580A">
            <w:pPr>
              <w:pStyle w:val="Tabletext"/>
              <w:rPr>
                <w:lang w:val="es-ES"/>
              </w:rPr>
            </w:pPr>
            <w:proofErr w:type="spellStart"/>
            <w:r w:rsidRPr="00BB5F17">
              <w:rPr>
                <w:i/>
                <w:lang w:val="es-ES"/>
              </w:rPr>
              <w:t>k</w:t>
            </w:r>
            <w:r w:rsidRPr="00BB5F17">
              <w:rPr>
                <w:i/>
                <w:vertAlign w:val="subscript"/>
                <w:lang w:val="es-ES"/>
              </w:rPr>
              <w:t>i</w:t>
            </w:r>
            <w:proofErr w:type="spellEnd"/>
            <w:r w:rsidRPr="00BB5F17">
              <w:rPr>
                <w:i/>
                <w:lang w:val="es-ES"/>
              </w:rPr>
              <w:t xml:space="preserve"> </w:t>
            </w:r>
            <w:r w:rsidRPr="00BB5F17">
              <w:rPr>
                <w:lang w:val="es-ES"/>
              </w:rPr>
              <w:t>(opción 1)</w:t>
            </w:r>
          </w:p>
        </w:tc>
        <w:tc>
          <w:tcPr>
            <w:tcW w:w="709" w:type="dxa"/>
          </w:tcPr>
          <w:p w:rsidR="00256167" w:rsidRPr="00BB5F17" w:rsidRDefault="00256167" w:rsidP="005B580A">
            <w:pPr>
              <w:pStyle w:val="Tabletext"/>
              <w:jc w:val="center"/>
              <w:rPr>
                <w:lang w:val="es-ES"/>
              </w:rPr>
            </w:pPr>
            <w:r w:rsidRPr="00BB5F17">
              <w:rPr>
                <w:lang w:val="es-ES"/>
              </w:rPr>
              <w:t>4</w:t>
            </w:r>
          </w:p>
        </w:tc>
        <w:tc>
          <w:tcPr>
            <w:tcW w:w="709" w:type="dxa"/>
          </w:tcPr>
          <w:p w:rsidR="00256167" w:rsidRPr="00BB5F17" w:rsidRDefault="00256167" w:rsidP="005B580A">
            <w:pPr>
              <w:pStyle w:val="Tabletext"/>
              <w:jc w:val="center"/>
              <w:rPr>
                <w:lang w:val="es-ES"/>
              </w:rPr>
            </w:pPr>
            <w:r w:rsidRPr="00BB5F17">
              <w:rPr>
                <w:lang w:val="es-ES"/>
              </w:rPr>
              <w:t>2</w:t>
            </w:r>
          </w:p>
        </w:tc>
        <w:tc>
          <w:tcPr>
            <w:tcW w:w="709" w:type="dxa"/>
          </w:tcPr>
          <w:p w:rsidR="00256167" w:rsidRPr="00BB5F17" w:rsidRDefault="00256167" w:rsidP="005B580A">
            <w:pPr>
              <w:pStyle w:val="Tabletext"/>
              <w:jc w:val="center"/>
              <w:rPr>
                <w:lang w:val="es-ES"/>
              </w:rPr>
            </w:pPr>
            <w:r w:rsidRPr="00BB5F17">
              <w:rPr>
                <w:lang w:val="es-ES"/>
              </w:rPr>
              <w:t>8</w:t>
            </w:r>
          </w:p>
        </w:tc>
        <w:tc>
          <w:tcPr>
            <w:tcW w:w="709" w:type="dxa"/>
          </w:tcPr>
          <w:p w:rsidR="00256167" w:rsidRPr="00BB5F17" w:rsidRDefault="00256167" w:rsidP="005B580A">
            <w:pPr>
              <w:pStyle w:val="Tabletext"/>
              <w:jc w:val="center"/>
              <w:rPr>
                <w:lang w:val="es-ES"/>
              </w:rPr>
            </w:pPr>
            <w:r w:rsidRPr="00BB5F17">
              <w:rPr>
                <w:lang w:val="es-ES"/>
              </w:rPr>
              <w:t>1</w:t>
            </w:r>
          </w:p>
        </w:tc>
        <w:tc>
          <w:tcPr>
            <w:tcW w:w="709" w:type="dxa"/>
          </w:tcPr>
          <w:p w:rsidR="00256167" w:rsidRPr="00BB5F17" w:rsidRDefault="00256167" w:rsidP="005B580A">
            <w:pPr>
              <w:pStyle w:val="Tabletext"/>
              <w:jc w:val="center"/>
              <w:rPr>
                <w:lang w:val="es-ES"/>
              </w:rPr>
            </w:pPr>
            <w:r w:rsidRPr="00BB5F17">
              <w:rPr>
                <w:lang w:val="es-ES"/>
              </w:rPr>
              <w:t>10</w:t>
            </w:r>
          </w:p>
        </w:tc>
        <w:tc>
          <w:tcPr>
            <w:tcW w:w="709" w:type="dxa"/>
          </w:tcPr>
          <w:p w:rsidR="00256167" w:rsidRPr="00BB5F17" w:rsidRDefault="00256167" w:rsidP="005B580A">
            <w:pPr>
              <w:pStyle w:val="Tabletext"/>
              <w:jc w:val="center"/>
              <w:rPr>
                <w:lang w:val="es-ES"/>
              </w:rPr>
            </w:pPr>
            <w:r w:rsidRPr="00BB5F17">
              <w:rPr>
                <w:lang w:val="es-ES"/>
              </w:rPr>
              <w:t>2</w:t>
            </w:r>
          </w:p>
        </w:tc>
        <w:tc>
          <w:tcPr>
            <w:tcW w:w="709" w:type="dxa"/>
          </w:tcPr>
          <w:p w:rsidR="00256167" w:rsidRPr="00BB5F17" w:rsidRDefault="00256167" w:rsidP="005B580A">
            <w:pPr>
              <w:pStyle w:val="Tabletext"/>
              <w:jc w:val="center"/>
              <w:rPr>
                <w:lang w:val="es-ES"/>
              </w:rPr>
            </w:pPr>
            <w:r w:rsidRPr="00BB5F17">
              <w:rPr>
                <w:lang w:val="es-ES"/>
              </w:rPr>
              <w:t>6</w:t>
            </w:r>
          </w:p>
        </w:tc>
        <w:tc>
          <w:tcPr>
            <w:tcW w:w="709" w:type="dxa"/>
          </w:tcPr>
          <w:p w:rsidR="00256167" w:rsidRPr="00BB5F17" w:rsidRDefault="00256167" w:rsidP="005B580A">
            <w:pPr>
              <w:pStyle w:val="Tabletext"/>
              <w:jc w:val="center"/>
              <w:rPr>
                <w:lang w:val="es-ES"/>
              </w:rPr>
            </w:pPr>
            <w:r w:rsidRPr="00BB5F17">
              <w:rPr>
                <w:lang w:val="es-ES"/>
              </w:rPr>
              <w:t>4</w:t>
            </w:r>
          </w:p>
        </w:tc>
        <w:tc>
          <w:tcPr>
            <w:tcW w:w="709" w:type="dxa"/>
          </w:tcPr>
          <w:p w:rsidR="00256167" w:rsidRPr="00BB5F17" w:rsidRDefault="00256167" w:rsidP="005B580A">
            <w:pPr>
              <w:pStyle w:val="Tabletext"/>
              <w:jc w:val="center"/>
              <w:rPr>
                <w:lang w:val="es-ES"/>
              </w:rPr>
            </w:pPr>
            <w:r w:rsidRPr="00BB5F17">
              <w:rPr>
                <w:lang w:val="es-ES"/>
              </w:rPr>
              <w:t>1</w:t>
            </w:r>
          </w:p>
        </w:tc>
      </w:tr>
      <w:tr w:rsidR="00256167" w:rsidRPr="00BB5F17" w:rsidTr="005B580A">
        <w:trPr>
          <w:jc w:val="center"/>
        </w:trPr>
        <w:tc>
          <w:tcPr>
            <w:tcW w:w="3260" w:type="dxa"/>
          </w:tcPr>
          <w:p w:rsidR="00256167" w:rsidRPr="00BB5F17" w:rsidRDefault="00256167" w:rsidP="005B580A">
            <w:pPr>
              <w:pStyle w:val="Tabletext"/>
              <w:rPr>
                <w:lang w:val="es-ES"/>
              </w:rPr>
            </w:pPr>
            <w:proofErr w:type="spellStart"/>
            <w:r w:rsidRPr="00BB5F17">
              <w:rPr>
                <w:i/>
                <w:lang w:val="es-ES"/>
              </w:rPr>
              <w:t>k</w:t>
            </w:r>
            <w:r w:rsidRPr="00BB5F17">
              <w:rPr>
                <w:i/>
                <w:vertAlign w:val="subscript"/>
                <w:lang w:val="es-ES"/>
              </w:rPr>
              <w:t>i</w:t>
            </w:r>
            <w:proofErr w:type="spellEnd"/>
            <w:r w:rsidRPr="00BB5F17">
              <w:rPr>
                <w:i/>
                <w:lang w:val="es-ES"/>
              </w:rPr>
              <w:t xml:space="preserve"> </w:t>
            </w:r>
            <w:r w:rsidRPr="00BB5F17">
              <w:rPr>
                <w:lang w:val="es-ES"/>
              </w:rPr>
              <w:t>(opción 2)</w:t>
            </w:r>
          </w:p>
        </w:tc>
        <w:tc>
          <w:tcPr>
            <w:tcW w:w="709" w:type="dxa"/>
          </w:tcPr>
          <w:p w:rsidR="00256167" w:rsidRPr="00BB5F17" w:rsidRDefault="00256167" w:rsidP="005B580A">
            <w:pPr>
              <w:pStyle w:val="Tabletext"/>
              <w:jc w:val="center"/>
              <w:rPr>
                <w:lang w:val="es-ES"/>
              </w:rPr>
            </w:pPr>
            <w:r w:rsidRPr="00BB5F17">
              <w:rPr>
                <w:lang w:val="es-ES"/>
              </w:rPr>
              <w:t>1</w:t>
            </w:r>
          </w:p>
        </w:tc>
        <w:tc>
          <w:tcPr>
            <w:tcW w:w="709" w:type="dxa"/>
          </w:tcPr>
          <w:p w:rsidR="00256167" w:rsidRPr="00BB5F17" w:rsidRDefault="00256167" w:rsidP="005B580A">
            <w:pPr>
              <w:pStyle w:val="Tabletext"/>
              <w:jc w:val="center"/>
              <w:rPr>
                <w:lang w:val="es-ES"/>
              </w:rPr>
            </w:pPr>
            <w:r w:rsidRPr="00BB5F17">
              <w:rPr>
                <w:lang w:val="es-ES"/>
              </w:rPr>
              <w:t>2</w:t>
            </w:r>
          </w:p>
        </w:tc>
        <w:tc>
          <w:tcPr>
            <w:tcW w:w="709" w:type="dxa"/>
          </w:tcPr>
          <w:p w:rsidR="00256167" w:rsidRPr="00BB5F17" w:rsidRDefault="00256167" w:rsidP="005B580A">
            <w:pPr>
              <w:pStyle w:val="Tabletext"/>
              <w:jc w:val="center"/>
              <w:rPr>
                <w:lang w:val="es-ES"/>
              </w:rPr>
            </w:pPr>
            <w:r w:rsidRPr="00BB5F17">
              <w:rPr>
                <w:lang w:val="es-ES"/>
              </w:rPr>
              <w:t>4</w:t>
            </w:r>
          </w:p>
        </w:tc>
        <w:tc>
          <w:tcPr>
            <w:tcW w:w="709" w:type="dxa"/>
          </w:tcPr>
          <w:p w:rsidR="00256167" w:rsidRPr="00BB5F17" w:rsidRDefault="00256167" w:rsidP="005B580A">
            <w:pPr>
              <w:pStyle w:val="Tabletext"/>
              <w:jc w:val="center"/>
              <w:rPr>
                <w:lang w:val="es-ES"/>
              </w:rPr>
            </w:pPr>
            <w:r w:rsidRPr="00BB5F17">
              <w:rPr>
                <w:lang w:val="es-ES"/>
              </w:rPr>
              <w:t>1</w:t>
            </w:r>
          </w:p>
        </w:tc>
        <w:tc>
          <w:tcPr>
            <w:tcW w:w="709" w:type="dxa"/>
          </w:tcPr>
          <w:p w:rsidR="00256167" w:rsidRPr="00BB5F17" w:rsidRDefault="00256167" w:rsidP="005B580A">
            <w:pPr>
              <w:pStyle w:val="Tabletext"/>
              <w:jc w:val="center"/>
              <w:rPr>
                <w:lang w:val="es-ES"/>
              </w:rPr>
            </w:pPr>
            <w:r w:rsidRPr="00BB5F17">
              <w:rPr>
                <w:lang w:val="es-ES"/>
              </w:rPr>
              <w:t>4</w:t>
            </w:r>
          </w:p>
        </w:tc>
        <w:tc>
          <w:tcPr>
            <w:tcW w:w="709" w:type="dxa"/>
          </w:tcPr>
          <w:p w:rsidR="00256167" w:rsidRPr="00BB5F17" w:rsidRDefault="00256167" w:rsidP="005B580A">
            <w:pPr>
              <w:pStyle w:val="Tabletext"/>
              <w:jc w:val="center"/>
              <w:rPr>
                <w:lang w:val="es-ES"/>
              </w:rPr>
            </w:pPr>
            <w:r w:rsidRPr="00BB5F17">
              <w:rPr>
                <w:lang w:val="es-ES"/>
              </w:rPr>
              <w:t>8</w:t>
            </w:r>
          </w:p>
        </w:tc>
        <w:tc>
          <w:tcPr>
            <w:tcW w:w="709" w:type="dxa"/>
          </w:tcPr>
          <w:p w:rsidR="00256167" w:rsidRPr="00BB5F17" w:rsidRDefault="00256167" w:rsidP="005B580A">
            <w:pPr>
              <w:pStyle w:val="Tabletext"/>
              <w:jc w:val="center"/>
              <w:rPr>
                <w:lang w:val="es-ES"/>
              </w:rPr>
            </w:pPr>
            <w:r w:rsidRPr="00BB5F17">
              <w:rPr>
                <w:lang w:val="es-ES"/>
              </w:rPr>
              <w:t>10</w:t>
            </w:r>
          </w:p>
        </w:tc>
        <w:tc>
          <w:tcPr>
            <w:tcW w:w="709" w:type="dxa"/>
          </w:tcPr>
          <w:p w:rsidR="00256167" w:rsidRPr="00BB5F17" w:rsidRDefault="00256167" w:rsidP="005B580A">
            <w:pPr>
              <w:pStyle w:val="Tabletext"/>
              <w:jc w:val="center"/>
              <w:rPr>
                <w:lang w:val="es-ES"/>
              </w:rPr>
            </w:pPr>
            <w:r w:rsidRPr="00BB5F17">
              <w:rPr>
                <w:lang w:val="es-ES"/>
              </w:rPr>
              <w:t>6</w:t>
            </w:r>
          </w:p>
        </w:tc>
        <w:tc>
          <w:tcPr>
            <w:tcW w:w="709" w:type="dxa"/>
          </w:tcPr>
          <w:p w:rsidR="00256167" w:rsidRPr="00BB5F17" w:rsidRDefault="00256167" w:rsidP="005B580A">
            <w:pPr>
              <w:pStyle w:val="Tabletext"/>
              <w:jc w:val="center"/>
              <w:rPr>
                <w:lang w:val="es-ES"/>
              </w:rPr>
            </w:pPr>
            <w:r w:rsidRPr="00BB5F17">
              <w:rPr>
                <w:lang w:val="es-ES"/>
              </w:rPr>
              <w:t>2</w:t>
            </w:r>
          </w:p>
        </w:tc>
      </w:tr>
    </w:tbl>
    <w:p w:rsidR="00256167" w:rsidRDefault="00256167" w:rsidP="00256167">
      <w:pPr>
        <w:pStyle w:val="Tablefin"/>
      </w:pPr>
    </w:p>
    <w:p w:rsidR="00256167" w:rsidRDefault="00256167" w:rsidP="00256167">
      <w:pPr>
        <w:rPr>
          <w:lang w:val="es-ES"/>
        </w:rPr>
      </w:pPr>
      <w:r w:rsidRPr="00BB5F17">
        <w:rPr>
          <w:lang w:val="es-ES"/>
        </w:rPr>
        <w:t>La ecuación (</w:t>
      </w:r>
      <w:r>
        <w:rPr>
          <w:lang w:val="es-ES"/>
        </w:rPr>
        <w:t>46</w:t>
      </w:r>
      <w:r w:rsidRPr="00BB5F17">
        <w:rPr>
          <w:lang w:val="es-ES"/>
        </w:rPr>
        <w:t xml:space="preserve">) permite calcular el efecto útil para la primera opción del </w:t>
      </w:r>
      <w:r>
        <w:rPr>
          <w:lang w:val="es-ES"/>
        </w:rPr>
        <w:t>C</w:t>
      </w:r>
      <w:r w:rsidRPr="00BB5F17">
        <w:rPr>
          <w:lang w:val="es-ES"/>
        </w:rPr>
        <w:t>uadro a partir de estos datos:</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position w:val="-24"/>
          <w:lang w:val="es-ES"/>
        </w:rPr>
        <w:object w:dxaOrig="8660" w:dyaOrig="620">
          <v:shape id="_x0000_i1075" type="#_x0000_t75" style="width:432.6pt;height:30.6pt" o:ole="" fillcolor="window">
            <v:imagedata r:id="rId118" o:title=""/>
          </v:shape>
          <o:OLEObject Type="Embed" ProgID="Equation.3" ShapeID="_x0000_i1075" DrawAspect="Content" ObjectID="_1376823649" r:id="rId119"/>
        </w:object>
      </w:r>
    </w:p>
    <w:p w:rsidR="00256167" w:rsidRPr="00BB5F17" w:rsidRDefault="00256167" w:rsidP="00256167">
      <w:pPr>
        <w:pStyle w:val="Blanc"/>
      </w:pPr>
    </w:p>
    <w:p w:rsidR="00256167" w:rsidRPr="00BB5F17" w:rsidRDefault="00256167" w:rsidP="00256167">
      <w:pPr>
        <w:rPr>
          <w:lang w:val="es-ES"/>
        </w:rPr>
      </w:pPr>
      <w:r w:rsidRPr="00BB5F17">
        <w:rPr>
          <w:lang w:val="es-ES"/>
        </w:rPr>
        <w:t>Con la segunda opción de distribución de bandas, que no corresponde exactamente a la distribución de la población, el efecto útil sería:</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24"/>
          <w:lang w:val="es-ES"/>
        </w:rPr>
        <w:object w:dxaOrig="8620" w:dyaOrig="620">
          <v:shape id="_x0000_i1076" type="#_x0000_t75" style="width:433.8pt;height:31.2pt" o:ole="" fillcolor="window">
            <v:imagedata r:id="rId120" o:title=""/>
          </v:shape>
          <o:OLEObject Type="Embed" ProgID="Equation.3" ShapeID="_x0000_i1076" DrawAspect="Content" ObjectID="_1376823650" r:id="rId121"/>
        </w:object>
      </w:r>
    </w:p>
    <w:p w:rsidR="00256167" w:rsidRPr="00BB5F17" w:rsidRDefault="00256167" w:rsidP="00256167">
      <w:pPr>
        <w:pStyle w:val="Blanc"/>
      </w:pPr>
    </w:p>
    <w:p w:rsidR="00256167" w:rsidRPr="00BB5F17" w:rsidRDefault="00256167" w:rsidP="00256167">
      <w:pPr>
        <w:rPr>
          <w:lang w:val="es-ES"/>
        </w:rPr>
      </w:pPr>
      <w:r w:rsidRPr="00BB5F17">
        <w:rPr>
          <w:lang w:val="es-ES"/>
        </w:rPr>
        <w:t>Como puede verse, este indicador de efecto útil es significativo para la</w:t>
      </w:r>
      <w:r>
        <w:rPr>
          <w:lang w:val="es-ES"/>
        </w:rPr>
        <w:t>s</w:t>
      </w:r>
      <w:r w:rsidRPr="00BB5F17">
        <w:rPr>
          <w:lang w:val="es-ES"/>
        </w:rPr>
        <w:t xml:space="preserve"> estrategias de desarrollo de sistemas de radiodifusión de televisión en una zona geográfica considerada.</w:t>
      </w:r>
    </w:p>
    <w:p w:rsidR="00256167" w:rsidRPr="00BB5F17" w:rsidRDefault="00256167" w:rsidP="00256167">
      <w:pPr>
        <w:pStyle w:val="Heading2"/>
        <w:rPr>
          <w:lang w:val="es-ES"/>
        </w:rPr>
      </w:pPr>
      <w:r w:rsidRPr="00BB5F17">
        <w:rPr>
          <w:lang w:val="es-ES"/>
        </w:rPr>
        <w:t>3.3</w:t>
      </w:r>
      <w:r w:rsidRPr="00BB5F17">
        <w:rPr>
          <w:lang w:val="es-ES"/>
        </w:rPr>
        <w:tab/>
        <w:t>Definición del factor de utilización del espectro para sistemas de radiodifusión de televisión</w:t>
      </w:r>
    </w:p>
    <w:p w:rsidR="00256167" w:rsidRPr="00BB5F17" w:rsidRDefault="00256167" w:rsidP="00256167">
      <w:pPr>
        <w:rPr>
          <w:lang w:val="es-ES"/>
        </w:rPr>
      </w:pPr>
      <w:r w:rsidRPr="00BB5F17">
        <w:rPr>
          <w:lang w:val="es-ES"/>
        </w:rPr>
        <w:t xml:space="preserve">Para conocer la utilización del espectro se consideran las limitaciones que las estaciones de televisión existentes pueden imponer en cuanto a utilización del espectro por otras estaciones. En el caso de una estación de televisión situada en el centro del elemento territorial </w:t>
      </w:r>
      <w:r w:rsidRPr="00BB5F17">
        <w:rPr>
          <w:i/>
          <w:iCs/>
          <w:lang w:val="es-ES"/>
        </w:rPr>
        <w:t>i</w:t>
      </w:r>
      <w:r w:rsidRPr="00BB5F17">
        <w:rPr>
          <w:lang w:val="es-ES"/>
        </w:rPr>
        <w:t>, sería el número total de canales de televisión denegados en ese elemento territorial por motivos de compatibilidad electromagnética (CEM) con estaciones de televisión existentes</w:t>
      </w:r>
      <w:r>
        <w:rPr>
          <w:lang w:val="es-ES"/>
        </w:rPr>
        <w:t>,</w:t>
      </w:r>
      <w:r w:rsidRPr="00BB5F17">
        <w:rPr>
          <w:lang w:val="es-ES"/>
        </w:rPr>
        <w:t xml:space="preserve"> </w:t>
      </w:r>
      <w:r w:rsidRPr="00BB5F17">
        <w:rPr>
          <w:i/>
          <w:lang w:val="es-ES"/>
        </w:rPr>
        <w:t>K</w:t>
      </w:r>
      <w:r w:rsidRPr="00BB5F17">
        <w:rPr>
          <w:i/>
          <w:vertAlign w:val="subscript"/>
          <w:lang w:val="es-ES"/>
        </w:rPr>
        <w:t>i</w:t>
      </w:r>
      <w:r w:rsidRPr="00BB5F17">
        <w:rPr>
          <w:lang w:val="es-ES"/>
        </w:rPr>
        <w:t xml:space="preserve">, o la proporción </w:t>
      </w:r>
      <w:r w:rsidRPr="00BB5F17">
        <w:rPr>
          <w:position w:val="-24"/>
          <w:lang w:val="es-ES"/>
        </w:rPr>
        <w:object w:dxaOrig="820" w:dyaOrig="620">
          <v:shape id="_x0000_i1077" type="#_x0000_t75" style="width:41.4pt;height:30.6pt" o:ole="" fillcolor="window">
            <v:imagedata r:id="rId122" o:title=""/>
          </v:shape>
          <o:OLEObject Type="Embed" ProgID="Equation.3" ShapeID="_x0000_i1077" DrawAspect="Content" ObjectID="_1376823651" r:id="rId123"/>
        </w:object>
      </w:r>
      <w:r w:rsidRPr="00BB5F17">
        <w:rPr>
          <w:lang w:val="es-ES"/>
        </w:rPr>
        <w:t xml:space="preserve">, siendo </w:t>
      </w:r>
      <w:r w:rsidRPr="00BB5F17">
        <w:rPr>
          <w:i/>
          <w:iCs/>
          <w:lang w:val="es-ES"/>
        </w:rPr>
        <w:t>K</w:t>
      </w:r>
      <w:r w:rsidRPr="00BB5F17">
        <w:rPr>
          <w:lang w:val="es-ES"/>
        </w:rPr>
        <w:t xml:space="preserve"> el número total de canales de televisión. Se considera que no se satisfacen las condiciones de CEM en un determinado canal de televisión si la interferencia perjudicial generada por uno o más de los transmisores de televisión existentes impide el funcionamiento normal de los receptores con el nuevo transmisor de televisión, o si el nuevo transmisor de televisión, que transmite señales con la frecuencia de ese canal, crea interferencia inaceptable para los receptores en comunicación con los transmisores de televisión existentes, incluidos los que funcionan en otros canales de televisión. Hay que considerar la interferencia en canales comunes y en canales heterodinos y de imágenes adyacentes.</w:t>
      </w:r>
    </w:p>
    <w:p w:rsidR="00D21B61" w:rsidRDefault="00D21B61">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256167" w:rsidRPr="00BB5F17" w:rsidRDefault="00256167" w:rsidP="00256167">
      <w:pPr>
        <w:rPr>
          <w:lang w:val="es-ES"/>
        </w:rPr>
      </w:pPr>
      <w:r w:rsidRPr="00BB5F17">
        <w:rPr>
          <w:lang w:val="es-ES"/>
        </w:rPr>
        <w:lastRenderedPageBreak/>
        <w:t xml:space="preserve">Los resultados serán diferentes porque las limitaciones dependen de la posición del nuevo transmisor de televisión teórico. Se pueden simplificar considerando las limitaciones obtenidas para distintas situaciones en el territorio considerado y haciendo un cálculo apropiado. La mejor solución es calcular un promedio ponderado de las limitaciones en todas las posiciones teóricas del nuevo transmisor, tomando como factor de ponderación la proporción de población que vive cerca de cada posición. De esta forma se reconoce que el valor del espectro adjudicado a los sistemas de televisión aumenta con la densidad de población local, y también se armonizan los dos indicadores utilizados para caracterizar la utilización del espectro, </w:t>
      </w:r>
      <w:r w:rsidRPr="00BB5F17">
        <w:rPr>
          <w:i/>
          <w:iCs/>
          <w:lang w:val="es-ES"/>
        </w:rPr>
        <w:t xml:space="preserve">M </w:t>
      </w:r>
      <w:r w:rsidRPr="00BB5F17">
        <w:rPr>
          <w:lang w:val="es-ES"/>
        </w:rPr>
        <w:t xml:space="preserve">y </w:t>
      </w:r>
      <w:r w:rsidRPr="00BB5F17">
        <w:rPr>
          <w:i/>
          <w:iCs/>
          <w:lang w:val="es-ES"/>
        </w:rPr>
        <w:t>U</w:t>
      </w:r>
      <w:r w:rsidRPr="00BB5F17">
        <w:rPr>
          <w:lang w:val="es-ES"/>
        </w:rPr>
        <w:t>. Entonces, el factor de utilización del espectro puede calcularse con la siguiente fórmula:</w:t>
      </w:r>
    </w:p>
    <w:p w:rsidR="00256167" w:rsidRPr="007F0761" w:rsidRDefault="00256167" w:rsidP="00256167">
      <w:pPr>
        <w:pStyle w:val="Blanc"/>
        <w:rPr>
          <w:lang w:val="es-ES_tradnl"/>
        </w:rPr>
      </w:pPr>
    </w:p>
    <w:p w:rsidR="00256167" w:rsidRPr="00BB5F17" w:rsidRDefault="00256167" w:rsidP="00256167">
      <w:pPr>
        <w:pStyle w:val="Equation"/>
        <w:rPr>
          <w:lang w:val="es-ES"/>
        </w:rPr>
      </w:pPr>
      <w:r w:rsidRPr="00BB5F17">
        <w:rPr>
          <w:lang w:val="es-ES"/>
        </w:rPr>
        <w:tab/>
      </w:r>
      <w:r w:rsidRPr="00BB5F17">
        <w:rPr>
          <w:lang w:val="es-ES"/>
        </w:rPr>
        <w:tab/>
      </w:r>
      <w:r w:rsidRPr="00BB5F17">
        <w:rPr>
          <w:position w:val="-30"/>
          <w:lang w:val="es-ES"/>
        </w:rPr>
        <w:object w:dxaOrig="1160" w:dyaOrig="720">
          <v:shape id="_x0000_i1078" type="#_x0000_t75" style="width:58.8pt;height:36pt" o:ole="" fillcolor="window">
            <v:imagedata r:id="rId124" o:title=""/>
          </v:shape>
          <o:OLEObject Type="Embed" ProgID="Equation.3" ShapeID="_x0000_i1078" DrawAspect="Content" ObjectID="_1376823652" r:id="rId125"/>
        </w:object>
      </w:r>
      <w:r w:rsidRPr="00BB5F17">
        <w:rPr>
          <w:lang w:val="es-ES"/>
        </w:rPr>
        <w:tab/>
        <w:t>(47)</w:t>
      </w:r>
    </w:p>
    <w:p w:rsidR="00256167" w:rsidRPr="007F0761" w:rsidRDefault="00256167" w:rsidP="00256167">
      <w:pPr>
        <w:pStyle w:val="Blanc"/>
        <w:rPr>
          <w:lang w:val="es-ES_tradnl"/>
        </w:rPr>
      </w:pPr>
    </w:p>
    <w:p w:rsidR="00256167" w:rsidRPr="00BB5F17" w:rsidRDefault="00256167" w:rsidP="00256167">
      <w:pPr>
        <w:rPr>
          <w:lang w:val="es-ES"/>
        </w:rPr>
      </w:pPr>
      <w:r w:rsidRPr="00BB5F17">
        <w:rPr>
          <w:lang w:val="es-ES"/>
        </w:rPr>
        <w:t>siendo:</w:t>
      </w:r>
    </w:p>
    <w:p w:rsidR="00256167" w:rsidRPr="00BB5F17" w:rsidRDefault="00256167" w:rsidP="00256167">
      <w:pPr>
        <w:pStyle w:val="Equationlegend"/>
        <w:rPr>
          <w:lang w:val="es-ES"/>
        </w:rPr>
      </w:pPr>
      <w:r w:rsidRPr="00BB5F17">
        <w:rPr>
          <w:lang w:val="es-ES"/>
        </w:rPr>
        <w:tab/>
      </w:r>
      <w:r w:rsidRPr="00BB5F17">
        <w:rPr>
          <w:position w:val="-24"/>
          <w:lang w:val="es-ES"/>
        </w:rPr>
        <w:object w:dxaOrig="820" w:dyaOrig="620">
          <v:shape id="_x0000_i1079" type="#_x0000_t75" style="width:41.4pt;height:30.6pt" o:ole="" fillcolor="window">
            <v:imagedata r:id="rId126" o:title=""/>
          </v:shape>
          <o:OLEObject Type="Embed" ProgID="Equation.3" ShapeID="_x0000_i1079" DrawAspect="Content" ObjectID="_1376823653" r:id="rId127"/>
        </w:object>
      </w:r>
      <w:r w:rsidRPr="00BB5F17">
        <w:rPr>
          <w:lang w:val="es-ES"/>
        </w:rPr>
        <w:t xml:space="preserve">: </w:t>
      </w:r>
      <w:r w:rsidRPr="00BB5F17">
        <w:rPr>
          <w:lang w:val="es-ES"/>
        </w:rPr>
        <w:tab/>
        <w:t xml:space="preserve">proporción de bandas denegadas al nuevo transmisor de televisión teórico situado en el centro del </w:t>
      </w:r>
      <w:r w:rsidRPr="002E6011">
        <w:rPr>
          <w:i/>
          <w:lang w:val="es-ES"/>
        </w:rPr>
        <w:t>i</w:t>
      </w:r>
      <w:r w:rsidRPr="00BB5F17">
        <w:rPr>
          <w:lang w:val="es-ES"/>
        </w:rPr>
        <w:noBreakHyphen/>
      </w:r>
      <w:proofErr w:type="spellStart"/>
      <w:r w:rsidRPr="009613A2">
        <w:rPr>
          <w:iCs/>
          <w:lang w:val="es-ES"/>
        </w:rPr>
        <w:t>ésimo</w:t>
      </w:r>
      <w:proofErr w:type="spellEnd"/>
      <w:r w:rsidRPr="00BB5F17">
        <w:rPr>
          <w:lang w:val="es-ES"/>
        </w:rPr>
        <w:t xml:space="preserve"> elemento territorial.</w:t>
      </w:r>
    </w:p>
    <w:p w:rsidR="00256167" w:rsidRPr="00BB5F17" w:rsidRDefault="00256167" w:rsidP="00256167">
      <w:pPr>
        <w:pStyle w:val="Heading2"/>
        <w:rPr>
          <w:lang w:val="es-ES"/>
        </w:rPr>
      </w:pPr>
      <w:r w:rsidRPr="00BB5F17">
        <w:rPr>
          <w:lang w:val="es-ES"/>
        </w:rPr>
        <w:t>3.4</w:t>
      </w:r>
      <w:r w:rsidRPr="00BB5F17">
        <w:rPr>
          <w:lang w:val="es-ES"/>
        </w:rPr>
        <w:tab/>
        <w:t>Cálculo de la EUE para sistemas de radiodifusión de televisión</w:t>
      </w:r>
    </w:p>
    <w:p w:rsidR="00256167" w:rsidRPr="00BB5F17" w:rsidRDefault="00256167" w:rsidP="00256167">
      <w:pPr>
        <w:rPr>
          <w:lang w:val="es-ES"/>
        </w:rPr>
      </w:pPr>
      <w:r w:rsidRPr="00BB5F17">
        <w:rPr>
          <w:lang w:val="es-ES"/>
        </w:rPr>
        <w:t>Se recomienda realizar las siguientes operaciones para evaluar la eficacia de utilización del espectro por los sistemas de radiodifusión de televisión:</w:t>
      </w:r>
    </w:p>
    <w:p w:rsidR="00256167" w:rsidRPr="00BB5F17" w:rsidRDefault="00256167" w:rsidP="00256167">
      <w:pPr>
        <w:pStyle w:val="enumlev1"/>
        <w:rPr>
          <w:lang w:val="es-ES"/>
        </w:rPr>
      </w:pPr>
      <w:r w:rsidRPr="00BB5F17">
        <w:rPr>
          <w:lang w:val="es-ES"/>
        </w:rPr>
        <w:t>–</w:t>
      </w:r>
      <w:r w:rsidRPr="00BB5F17">
        <w:rPr>
          <w:lang w:val="es-ES"/>
        </w:rPr>
        <w:tab/>
        <w:t>Dividir la zona geográfica en elementos de 3 a 5 km de lado.</w:t>
      </w:r>
    </w:p>
    <w:p w:rsidR="00256167" w:rsidRPr="00BB5F17" w:rsidRDefault="00256167" w:rsidP="00AC38FC">
      <w:pPr>
        <w:pStyle w:val="enumlev1"/>
        <w:rPr>
          <w:lang w:val="es-ES"/>
        </w:rPr>
      </w:pPr>
      <w:r w:rsidRPr="00BB5F17">
        <w:rPr>
          <w:lang w:val="es-ES"/>
        </w:rPr>
        <w:t>–</w:t>
      </w:r>
      <w:r w:rsidRPr="00BB5F17">
        <w:rPr>
          <w:lang w:val="es-ES"/>
        </w:rPr>
        <w:tab/>
        <w:t xml:space="preserve">Determinar la proporción de la población total que vive en el </w:t>
      </w:r>
      <w:r w:rsidRPr="002E6011">
        <w:rPr>
          <w:i/>
          <w:lang w:val="es-ES"/>
        </w:rPr>
        <w:t>i</w:t>
      </w:r>
      <w:r w:rsidRPr="00BB5F17">
        <w:rPr>
          <w:lang w:val="es-ES"/>
        </w:rPr>
        <w:noBreakHyphen/>
      </w:r>
      <w:proofErr w:type="spellStart"/>
      <w:r w:rsidRPr="009613A2">
        <w:rPr>
          <w:iCs/>
          <w:lang w:val="es-ES"/>
        </w:rPr>
        <w:t>ésimo</w:t>
      </w:r>
      <w:proofErr w:type="spellEnd"/>
      <w:r w:rsidRPr="00BB5F17">
        <w:rPr>
          <w:lang w:val="es-ES"/>
        </w:rPr>
        <w:t xml:space="preserve"> elemento territorial</w:t>
      </w:r>
      <w:r w:rsidR="00AC38FC">
        <w:rPr>
          <w:lang w:val="es-ES"/>
        </w:rPr>
        <w:t> </w:t>
      </w:r>
      <w:bookmarkStart w:id="15" w:name="_GoBack"/>
      <w:bookmarkEnd w:id="15"/>
      <w:r w:rsidRPr="00BB5F17">
        <w:rPr>
          <w:lang w:val="es-ES"/>
        </w:rPr>
        <w:sym w:font="Symbol" w:char="F061"/>
      </w:r>
      <w:r w:rsidRPr="00BB5F17">
        <w:rPr>
          <w:i/>
          <w:vertAlign w:val="subscript"/>
          <w:lang w:val="es-ES"/>
        </w:rPr>
        <w:t>i</w:t>
      </w:r>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 xml:space="preserve">Determinar el radio de la zona de servicio de los transmisores del sistema de televisión existentes </w:t>
      </w:r>
      <w:proofErr w:type="spellStart"/>
      <w:r w:rsidRPr="00BB5F17">
        <w:rPr>
          <w:i/>
          <w:lang w:val="es-ES"/>
        </w:rPr>
        <w:t>R</w:t>
      </w:r>
      <w:r w:rsidRPr="00BB5F17">
        <w:rPr>
          <w:i/>
          <w:vertAlign w:val="subscript"/>
          <w:lang w:val="es-ES"/>
        </w:rPr>
        <w:t>s</w:t>
      </w:r>
      <w:proofErr w:type="spellEnd"/>
      <w:r w:rsidRPr="00BB5F17">
        <w:rPr>
          <w:lang w:val="es-ES"/>
        </w:rPr>
        <w:t>, según sus características técnicas.</w:t>
      </w:r>
    </w:p>
    <w:p w:rsidR="00256167" w:rsidRPr="00BB5F17" w:rsidRDefault="00256167" w:rsidP="00256167">
      <w:pPr>
        <w:pStyle w:val="enumlev1"/>
        <w:rPr>
          <w:lang w:val="es-ES"/>
        </w:rPr>
      </w:pPr>
      <w:r w:rsidRPr="00BB5F17">
        <w:rPr>
          <w:lang w:val="es-ES"/>
        </w:rPr>
        <w:t>–</w:t>
      </w:r>
      <w:r w:rsidRPr="00BB5F17">
        <w:rPr>
          <w:lang w:val="es-ES"/>
        </w:rPr>
        <w:tab/>
        <w:t xml:space="preserve">Calcular la distancia entre el centro de cada elemento territorial </w:t>
      </w:r>
      <w:r w:rsidRPr="00BB5F17">
        <w:rPr>
          <w:i/>
          <w:iCs/>
          <w:lang w:val="es-ES"/>
        </w:rPr>
        <w:t>i</w:t>
      </w:r>
      <w:r w:rsidRPr="00BB5F17">
        <w:rPr>
          <w:lang w:val="es-ES"/>
        </w:rPr>
        <w:t xml:space="preserve"> y los transmisores de los sistemas existentes </w:t>
      </w:r>
      <w:proofErr w:type="spellStart"/>
      <w:r w:rsidRPr="00BB5F17">
        <w:rPr>
          <w:i/>
          <w:lang w:val="es-ES"/>
        </w:rPr>
        <w:t>R</w:t>
      </w:r>
      <w:r w:rsidRPr="00BB5F17">
        <w:rPr>
          <w:i/>
          <w:vertAlign w:val="subscript"/>
          <w:lang w:val="es-ES"/>
        </w:rPr>
        <w:t>ij</w:t>
      </w:r>
      <w:proofErr w:type="spellEnd"/>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 xml:space="preserve">Para cada elemento territorial, determinar el número de transmisores de televisión existentes que tienen una zona de servicio coincidente, comparando </w:t>
      </w:r>
      <w:proofErr w:type="spellStart"/>
      <w:r w:rsidRPr="00BB5F17">
        <w:rPr>
          <w:i/>
          <w:lang w:val="es-ES"/>
        </w:rPr>
        <w:t>R</w:t>
      </w:r>
      <w:r w:rsidRPr="00BB5F17">
        <w:rPr>
          <w:i/>
          <w:vertAlign w:val="subscript"/>
          <w:lang w:val="es-ES"/>
        </w:rPr>
        <w:t>s</w:t>
      </w:r>
      <w:proofErr w:type="spellEnd"/>
      <w:r w:rsidRPr="00BB5F17">
        <w:rPr>
          <w:i/>
          <w:lang w:val="es-ES"/>
        </w:rPr>
        <w:t xml:space="preserve"> </w:t>
      </w:r>
      <w:r w:rsidRPr="00BB5F17">
        <w:rPr>
          <w:iCs/>
          <w:lang w:val="es-ES"/>
        </w:rPr>
        <w:t>y</w:t>
      </w:r>
      <w:r w:rsidRPr="00BB5F17">
        <w:rPr>
          <w:i/>
          <w:lang w:val="es-ES"/>
        </w:rPr>
        <w:t xml:space="preserve"> </w:t>
      </w:r>
      <w:proofErr w:type="spellStart"/>
      <w:r w:rsidRPr="00BB5F17">
        <w:rPr>
          <w:i/>
          <w:lang w:val="es-ES"/>
        </w:rPr>
        <w:t>R</w:t>
      </w:r>
      <w:r w:rsidRPr="00BB5F17">
        <w:rPr>
          <w:i/>
          <w:vertAlign w:val="subscript"/>
          <w:lang w:val="es-ES"/>
        </w:rPr>
        <w:t>ij</w:t>
      </w:r>
      <w:proofErr w:type="spellEnd"/>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 xml:space="preserve">Generalizar los resultados obtenidos para los distintos elementos territoriales y calcular el efecto útil con la ecuación </w:t>
      </w:r>
      <w:r>
        <w:rPr>
          <w:lang w:val="es-ES"/>
        </w:rPr>
        <w:t>(</w:t>
      </w:r>
      <w:r w:rsidRPr="00BB5F17">
        <w:rPr>
          <w:lang w:val="es-ES"/>
        </w:rPr>
        <w:t>46</w:t>
      </w:r>
      <w:r>
        <w:rPr>
          <w:lang w:val="es-ES"/>
        </w:rPr>
        <w:t>)</w:t>
      </w:r>
      <w:r w:rsidRPr="00BB5F17">
        <w:rPr>
          <w:lang w:val="es-ES"/>
        </w:rPr>
        <w:t>.</w:t>
      </w:r>
    </w:p>
    <w:p w:rsidR="00256167" w:rsidRPr="00BB5F17" w:rsidRDefault="00256167" w:rsidP="00256167">
      <w:pPr>
        <w:pStyle w:val="enumlev1"/>
        <w:rPr>
          <w:lang w:val="es-ES"/>
        </w:rPr>
      </w:pPr>
      <w:r w:rsidRPr="00BB5F17">
        <w:rPr>
          <w:lang w:val="es-ES"/>
        </w:rPr>
        <w:t>–</w:t>
      </w:r>
      <w:r w:rsidRPr="00BB5F17">
        <w:rPr>
          <w:lang w:val="es-ES"/>
        </w:rPr>
        <w:tab/>
        <w:t>Simular un transmisor del nuevo sistema en el centro del elemento territorial y calcular las relaciones señal</w:t>
      </w:r>
      <w:r w:rsidRPr="00BB5F17">
        <w:rPr>
          <w:lang w:val="es-ES"/>
        </w:rPr>
        <w:noBreakHyphen/>
        <w:t>ruido en las entradas de los receptores que están en comunicación con los transmisores de televisión existentes y los nuevos.</w:t>
      </w:r>
    </w:p>
    <w:p w:rsidR="00256167" w:rsidRPr="00BB5F17" w:rsidRDefault="00256167" w:rsidP="00256167">
      <w:pPr>
        <w:pStyle w:val="enumlev1"/>
        <w:rPr>
          <w:lang w:val="es-ES"/>
        </w:rPr>
      </w:pPr>
      <w:r w:rsidRPr="00BB5F17">
        <w:rPr>
          <w:lang w:val="es-ES"/>
        </w:rPr>
        <w:t>–</w:t>
      </w:r>
      <w:r w:rsidRPr="00BB5F17">
        <w:rPr>
          <w:lang w:val="es-ES"/>
        </w:rPr>
        <w:tab/>
        <w:t>Determinar las bandas de frecuencias en las que no hay conformidad de CEM entre el nuevo transmisor de televisión y los receptores que están en comunicación con él, por una parte, y por otra parte los transmisores de televisión existentes y sus receptores.</w:t>
      </w:r>
    </w:p>
    <w:p w:rsidR="00256167" w:rsidRPr="00BB5F17" w:rsidRDefault="00256167" w:rsidP="00256167">
      <w:pPr>
        <w:pStyle w:val="enumlev1"/>
        <w:rPr>
          <w:lang w:val="es-ES"/>
        </w:rPr>
      </w:pPr>
      <w:r w:rsidRPr="00BB5F17">
        <w:rPr>
          <w:lang w:val="es-ES"/>
        </w:rPr>
        <w:t>–</w:t>
      </w:r>
      <w:r w:rsidRPr="00BB5F17">
        <w:rPr>
          <w:lang w:val="es-ES"/>
        </w:rPr>
        <w:tab/>
        <w:t>Generalizar los resultados obtenidos para los distintos elementos territoriales y calcular el factor de utilización del espectro con la ecuación </w:t>
      </w:r>
      <w:r>
        <w:rPr>
          <w:lang w:val="es-ES"/>
        </w:rPr>
        <w:t>(</w:t>
      </w:r>
      <w:r w:rsidRPr="00BB5F17">
        <w:rPr>
          <w:lang w:val="es-ES"/>
        </w:rPr>
        <w:t>47</w:t>
      </w:r>
      <w:r>
        <w:rPr>
          <w:lang w:val="es-ES"/>
        </w:rPr>
        <w:t>)</w:t>
      </w:r>
      <w:r w:rsidRPr="00BB5F17">
        <w:rPr>
          <w:lang w:val="es-ES"/>
        </w:rPr>
        <w:t>.</w:t>
      </w:r>
    </w:p>
    <w:p w:rsidR="00256167" w:rsidRPr="00BB5F17" w:rsidRDefault="00256167" w:rsidP="00256167">
      <w:pPr>
        <w:rPr>
          <w:lang w:val="es-ES"/>
        </w:rPr>
      </w:pPr>
      <w:r w:rsidRPr="00BB5F17">
        <w:rPr>
          <w:lang w:val="es-ES"/>
        </w:rPr>
        <w:t>Los resultados de la evaluación se pueden presentar en forma de mapa geográfico que indica los valores de efecto útil y factor de utilización del espectro en toda la zona considerada (véase la Fig. 16) o se puede calcular una media para toda la zona.</w:t>
      </w:r>
    </w:p>
    <w:p w:rsidR="00256167" w:rsidRDefault="00256167" w:rsidP="00256167">
      <w:pPr>
        <w:pStyle w:val="FigureNo"/>
        <w:rPr>
          <w:lang w:val="es-ES"/>
        </w:rPr>
      </w:pPr>
      <w:r w:rsidRPr="00BB5F17">
        <w:rPr>
          <w:lang w:val="es-ES"/>
        </w:rPr>
        <w:lastRenderedPageBreak/>
        <w:t>Figura 16</w:t>
      </w:r>
    </w:p>
    <w:p w:rsidR="00256167" w:rsidRDefault="00256167" w:rsidP="00256167">
      <w:pPr>
        <w:pStyle w:val="Figuretitle"/>
        <w:rPr>
          <w:lang w:val="es-ES"/>
        </w:rPr>
      </w:pPr>
      <w:r>
        <w:rPr>
          <w:lang w:val="es-ES"/>
        </w:rPr>
        <w:t>Evaluación de la eficacia de utilización del espectro</w:t>
      </w:r>
    </w:p>
    <w:p w:rsidR="00256167" w:rsidRPr="009613A2" w:rsidRDefault="00256167" w:rsidP="00256167">
      <w:pPr>
        <w:pStyle w:val="Figure"/>
        <w:rPr>
          <w:lang w:val="es-ES"/>
        </w:rPr>
      </w:pPr>
      <w:r>
        <w:object w:dxaOrig="7932" w:dyaOrig="11187">
          <v:shape id="_x0000_i1080" type="#_x0000_t75" style="width:396.6pt;height:559.2pt" o:ole="" o:allowoverlap="f">
            <v:imagedata r:id="rId128" o:title=""/>
          </v:shape>
          <o:OLEObject Type="Embed" ProgID="CorelDraw.Graphic.12" ShapeID="_x0000_i1080" DrawAspect="Content" ObjectID="_1376823654" r:id="rId129"/>
        </w:object>
      </w:r>
    </w:p>
    <w:p w:rsidR="00256167" w:rsidRPr="00BB5F17" w:rsidRDefault="00256167" w:rsidP="00256167">
      <w:pPr>
        <w:pStyle w:val="Heading2"/>
        <w:rPr>
          <w:lang w:val="es-ES"/>
        </w:rPr>
      </w:pPr>
      <w:r w:rsidRPr="00BB5F17">
        <w:rPr>
          <w:lang w:val="es-ES"/>
        </w:rPr>
        <w:t>3.5</w:t>
      </w:r>
      <w:r w:rsidRPr="00BB5F17">
        <w:rPr>
          <w:lang w:val="es-ES"/>
        </w:rPr>
        <w:tab/>
        <w:t>Observaciones sobre la evaluación de la EUE para sistemas de radiodifusión sonora</w:t>
      </w:r>
    </w:p>
    <w:p w:rsidR="00256167" w:rsidRPr="00BB5F17" w:rsidRDefault="00256167" w:rsidP="00256167">
      <w:pPr>
        <w:keepLines/>
        <w:rPr>
          <w:lang w:val="es-ES"/>
        </w:rPr>
      </w:pPr>
      <w:r w:rsidRPr="00BB5F17">
        <w:rPr>
          <w:lang w:val="es-ES"/>
        </w:rPr>
        <w:t>Los sistemas de radiodifusión sonora y los sistemas de radiodifusión de televisión utilizan el espectro de una forma similar. Los distingue el hecho de que hay un número considerable y relativamente activo de usuarios de los sistemas de radiodifusión sonora que son conductores y viajeros de automóviles particulares. Por tanto, al calcular el efecto útil y el factor de utilización del espectro sería conveniente tener en cuenta que buena parte de los usuarios de los servicios de radiodifusión se encuentran a lo largo de las principales carreteras.</w:t>
      </w:r>
    </w:p>
    <w:p w:rsidR="00256167" w:rsidRPr="00BB5F17" w:rsidRDefault="00256167" w:rsidP="00256167">
      <w:pPr>
        <w:rPr>
          <w:lang w:val="es-ES"/>
        </w:rPr>
      </w:pPr>
      <w:r w:rsidRPr="00BB5F17">
        <w:rPr>
          <w:lang w:val="es-ES"/>
        </w:rPr>
        <w:lastRenderedPageBreak/>
        <w:t xml:space="preserve">Como en el caso de los sistemas de televisión, se propone que el efecto útil sea el número medio de programas de radiodifusión sonora que un usuario puede captar en una determinada región, </w:t>
      </w:r>
      <w:r w:rsidRPr="00BB5F17">
        <w:rPr>
          <w:i/>
          <w:lang w:val="es-ES"/>
        </w:rPr>
        <w:t>k</w:t>
      </w:r>
      <w:r w:rsidRPr="00BB5F17">
        <w:rPr>
          <w:i/>
          <w:vertAlign w:val="subscript"/>
          <w:lang w:val="es-ES"/>
        </w:rPr>
        <w:t>m</w:t>
      </w:r>
      <w:r w:rsidRPr="00BB5F17">
        <w:rPr>
          <w:lang w:val="es-ES"/>
        </w:rPr>
        <w:t>. El factor de utilización del espectro será el promedio ponderado del número estimado de bandas denegadas para un determinado sistema de radiodifusión sonora porque no se satisfacen las condiciones de CEM para los sistemas existentes.</w:t>
      </w:r>
    </w:p>
    <w:p w:rsidR="00256167" w:rsidRPr="00BB5F17" w:rsidRDefault="00256167" w:rsidP="00256167">
      <w:pPr>
        <w:rPr>
          <w:lang w:val="es-ES"/>
        </w:rPr>
      </w:pPr>
      <w:r w:rsidRPr="00BB5F17">
        <w:rPr>
          <w:lang w:val="es-ES"/>
        </w:rPr>
        <w:t>En la evaluación del factor de utilización del espectro para sistemas de radiodifusión sonora hay que tener en cuenta las siguientes condiciones:</w:t>
      </w:r>
    </w:p>
    <w:p w:rsidR="00256167" w:rsidRPr="00BB5F17" w:rsidRDefault="00256167" w:rsidP="00256167">
      <w:pPr>
        <w:pStyle w:val="enumlev1"/>
        <w:rPr>
          <w:lang w:val="es-ES"/>
        </w:rPr>
      </w:pPr>
      <w:r>
        <w:rPr>
          <w:lang w:val="es-ES"/>
        </w:rPr>
        <w:t>–</w:t>
      </w:r>
      <w:r w:rsidRPr="00BB5F17">
        <w:rPr>
          <w:lang w:val="es-ES"/>
        </w:rPr>
        <w:tab/>
        <w:t xml:space="preserve">Los elementos territoriales en los que hay carreteras importantes se consideran como zonas urbanas (debido a la presencia de usuarios de los servicios de radiodifusión sonora) y sus factores </w:t>
      </w:r>
      <w:r w:rsidRPr="00BB5F17">
        <w:rPr>
          <w:iCs/>
          <w:lang w:val="es-ES"/>
        </w:rPr>
        <w:sym w:font="Symbol" w:char="F061"/>
      </w:r>
      <w:r w:rsidRPr="00BB5F17">
        <w:rPr>
          <w:i/>
          <w:vertAlign w:val="subscript"/>
          <w:lang w:val="es-ES"/>
        </w:rPr>
        <w:t>i</w:t>
      </w:r>
      <w:r w:rsidRPr="00BB5F17">
        <w:rPr>
          <w:lang w:val="es-ES"/>
        </w:rPr>
        <w:t xml:space="preserve"> se determinan según este principio.</w:t>
      </w:r>
    </w:p>
    <w:p w:rsidR="00256167" w:rsidRPr="00BB5F17" w:rsidRDefault="00256167" w:rsidP="00256167">
      <w:pPr>
        <w:pStyle w:val="enumlev1"/>
        <w:rPr>
          <w:lang w:val="es-ES"/>
        </w:rPr>
      </w:pPr>
      <w:r>
        <w:rPr>
          <w:lang w:val="es-ES"/>
        </w:rPr>
        <w:t>–</w:t>
      </w:r>
      <w:r w:rsidRPr="00BB5F17">
        <w:rPr>
          <w:lang w:val="es-ES"/>
        </w:rPr>
        <w:tab/>
        <w:t xml:space="preserve">En el cálculo del factor de utilización del espectro hay que tener en cuenta las combinaciones de bandas incompatibles, que son características de los sistemas de radiodifusión sonora. Por tanto, hay que considerar el hecho de que los sistemas de radiodifusión sonora pueden funcionar en una banda de frecuencias común sin interferencia en los canales heterodino y de imágenes. </w:t>
      </w:r>
    </w:p>
    <w:p w:rsidR="00256167" w:rsidRPr="002E6011" w:rsidRDefault="00256167" w:rsidP="00256167">
      <w:pPr>
        <w:rPr>
          <w:lang w:val="es-ES"/>
        </w:rPr>
      </w:pPr>
    </w:p>
    <w:p w:rsidR="00256167" w:rsidRPr="009613A2" w:rsidRDefault="00256167" w:rsidP="00256167">
      <w:pPr>
        <w:rPr>
          <w:lang w:val="es-ES_tradnl"/>
        </w:rPr>
      </w:pPr>
    </w:p>
    <w:p w:rsidR="00256167" w:rsidRDefault="00256167" w:rsidP="00256167">
      <w:pPr>
        <w:pStyle w:val="Line"/>
        <w:rPr>
          <w:lang w:val="es-ES_tradnl"/>
        </w:rPr>
      </w:pPr>
    </w:p>
    <w:p w:rsidR="00A6617B" w:rsidRPr="00256167" w:rsidRDefault="00A6617B" w:rsidP="00A6617B">
      <w:pPr>
        <w:rPr>
          <w:lang w:val="es-ES_tradnl"/>
        </w:rPr>
      </w:pPr>
    </w:p>
    <w:sectPr w:rsidR="00A6617B" w:rsidRPr="00256167" w:rsidSect="00D21B61">
      <w:headerReference w:type="even" r:id="rId130"/>
      <w:headerReference w:type="default" r:id="rId131"/>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7D0" w:rsidRDefault="009D37D0">
      <w:r>
        <w:separator/>
      </w:r>
    </w:p>
  </w:endnote>
  <w:endnote w:type="continuationSeparator" w:id="0">
    <w:p w:rsidR="009D37D0" w:rsidRDefault="009D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pPr>
      <w:rPr>
        <w:b/>
        <w:sz w:val="16"/>
      </w:rPr>
    </w:pPr>
    <w:r>
      <w:rPr>
        <w:b/>
        <w:sz w:val="16"/>
      </w:rPr>
      <w:t>© 1994 UIT - Genève - Tous droits de reproduction réservés</w:t>
    </w:r>
  </w:p>
  <w:p w:rsidR="00A27FB1" w:rsidRPr="0033626B" w:rsidRDefault="00A27FB1">
    <w:pPr>
      <w:pStyle w:val="Footer"/>
    </w:pPr>
    <w:r w:rsidRPr="0033626B">
      <w:t>ITU-R\SG01\BL\</w:t>
    </w:r>
    <w:r>
      <w:fldChar w:fldCharType="begin"/>
    </w:r>
    <w:r w:rsidRPr="0033626B">
      <w:instrText xml:space="preserve">filename </w:instrText>
    </w:r>
    <w:r>
      <w:fldChar w:fldCharType="separate"/>
    </w:r>
    <w:r w:rsidR="00213B1E">
      <w:t>SM1046-2S.docx</w:t>
    </w:r>
    <w:r>
      <w:fldChar w:fldCharType="end"/>
    </w:r>
    <w:r w:rsidRPr="0033626B">
      <w:tab/>
    </w:r>
    <w:r>
      <w:fldChar w:fldCharType="begin"/>
    </w:r>
    <w:r>
      <w:instrText>savedate \@ dd.MM.yy</w:instrText>
    </w:r>
    <w:r>
      <w:fldChar w:fldCharType="separate"/>
    </w:r>
    <w:r w:rsidR="00AC38FC">
      <w:t>06.09.11</w:t>
    </w:r>
    <w:r>
      <w:fldChar w:fldCharType="end"/>
    </w:r>
    <w:r w:rsidRPr="0033626B">
      <w:tab/>
    </w:r>
    <w:r>
      <w:fldChar w:fldCharType="begin"/>
    </w:r>
    <w:r>
      <w:instrText>printdate \@ dd.MM.yy</w:instrText>
    </w:r>
    <w:r>
      <w:fldChar w:fldCharType="separate"/>
    </w:r>
    <w:r w:rsidR="00213B1E">
      <w:t>06.09.11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7D0" w:rsidRDefault="009D37D0">
      <w:r>
        <w:separator/>
      </w:r>
    </w:p>
  </w:footnote>
  <w:footnote w:type="continuationSeparator" w:id="0">
    <w:p w:rsidR="009D37D0" w:rsidRDefault="009D37D0">
      <w:r>
        <w:continuationSeparator/>
      </w:r>
    </w:p>
  </w:footnote>
  <w:footnote w:id="1">
    <w:p w:rsidR="009D37D0" w:rsidRPr="00130CD4" w:rsidRDefault="009D37D0">
      <w:pPr>
        <w:pStyle w:val="FootnoteText"/>
        <w:rPr>
          <w:lang w:val="es-ES_tradnl"/>
        </w:rPr>
      </w:pPr>
      <w:r w:rsidRPr="00130CD4">
        <w:rPr>
          <w:rStyle w:val="FootnoteReference"/>
          <w:lang w:val="es-ES_tradnl"/>
        </w:rPr>
        <w:t>*</w:t>
      </w:r>
      <w:r w:rsidRPr="00130CD4">
        <w:rPr>
          <w:lang w:val="es-ES_tradnl"/>
        </w:rPr>
        <w:t xml:space="preserve"> </w:t>
      </w:r>
      <w:r>
        <w:rPr>
          <w:lang w:val="es-ES_tradnl"/>
        </w:rPr>
        <w:tab/>
      </w:r>
      <w:r w:rsidRPr="00AF5C96">
        <w:rPr>
          <w:lang w:val="es-ES_tradnl"/>
        </w:rPr>
        <w:t>La Comisión</w:t>
      </w:r>
      <w:r>
        <w:rPr>
          <w:lang w:val="es-ES_tradnl"/>
        </w:rPr>
        <w:t xml:space="preserve"> de Estudio 1 de Radiocomunicaciones introdujo algunas modificaciones </w:t>
      </w:r>
      <w:proofErr w:type="spellStart"/>
      <w:r>
        <w:rPr>
          <w:lang w:val="es-ES_tradnl"/>
        </w:rPr>
        <w:t>redaccionales</w:t>
      </w:r>
      <w:proofErr w:type="spellEnd"/>
      <w:r>
        <w:rPr>
          <w:lang w:val="es-ES_tradnl"/>
        </w:rPr>
        <w:t xml:space="preserve"> en esta Recomendación en 2011, de conformidad con la Resolución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D0" w:rsidRDefault="009D37D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pPr>
      <w:pStyle w:val="Header"/>
    </w:pPr>
    <w:r>
      <w:tab/>
    </w:r>
    <w:r>
      <w:rPr>
        <w:b/>
        <w:bCs/>
      </w:rPr>
      <w:fldChar w:fldCharType="begin"/>
    </w:r>
    <w:r>
      <w:rPr>
        <w:b/>
        <w:bCs/>
      </w:rPr>
      <w:instrText xml:space="preserve"> DOCPROPERTY "Header" \* MERGEFORMAT </w:instrText>
    </w:r>
    <w:r>
      <w:rPr>
        <w:b/>
        <w:bCs/>
      </w:rPr>
      <w:fldChar w:fldCharType="separate"/>
    </w:r>
    <w:r w:rsidR="00213B1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C38FC">
      <w:rPr>
        <w:b/>
        <w:bCs/>
        <w:noProof/>
      </w:rPr>
      <w:t>UIT-R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38FC">
      <w:rPr>
        <w:rStyle w:val="PageNumber"/>
        <w:b/>
        <w:bCs/>
        <w:noProof/>
      </w:rPr>
      <w:t>47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D0" w:rsidRDefault="009D37D0" w:rsidP="005B580A">
    <w:pPr>
      <w:pStyle w:val="Header"/>
      <w:ind w:right="360" w:firstLine="360"/>
    </w:pPr>
    <w:r>
      <w:rPr>
        <w:noProof/>
        <w:lang w:val="es-ES_tradnl" w:eastAsia="zh-CN"/>
      </w:rPr>
      <w:drawing>
        <wp:anchor distT="0" distB="0" distL="114300" distR="114300" simplePos="0" relativeHeight="251659264" behindDoc="1" locked="0" layoutInCell="1" allowOverlap="1" wp14:anchorId="1BA37E0D" wp14:editId="6A277C61">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rsidP="00A27FB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C38FC">
      <w:rPr>
        <w:rStyle w:val="PageNumber"/>
        <w:b/>
        <w:bCs/>
        <w:noProof/>
      </w:rPr>
      <w:t>ii</w:t>
    </w:r>
    <w:r>
      <w:rPr>
        <w:rStyle w:val="PageNumber"/>
        <w:b/>
        <w:bCs/>
      </w:rPr>
      <w:fldChar w:fldCharType="end"/>
    </w:r>
    <w:r>
      <w:tab/>
    </w:r>
    <w:r w:rsidR="00AC38FC">
      <w:fldChar w:fldCharType="begin"/>
    </w:r>
    <w:r w:rsidR="00AC38FC">
      <w:instrText xml:space="preserve"> DOCPROPERTY "Header" \* MERGEFORMAT </w:instrText>
    </w:r>
    <w:r w:rsidR="00AC38FC">
      <w:fldChar w:fldCharType="separate"/>
    </w:r>
    <w:r w:rsidR="00213B1E" w:rsidRPr="00213B1E">
      <w:rPr>
        <w:b/>
        <w:bCs/>
        <w:lang w:val="fr-CH"/>
      </w:rPr>
      <w:t xml:space="preserve">Rec. </w:t>
    </w:r>
    <w:r w:rsidR="00AC38FC">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AC38FC">
      <w:rPr>
        <w:b/>
        <w:bCs/>
        <w:noProof/>
      </w:rPr>
      <w:t>UIT-R  SM.1046-2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pPr>
      <w:pStyle w:val="Header"/>
    </w:pPr>
    <w:r>
      <w:tab/>
    </w:r>
    <w:r w:rsidR="00AC38FC">
      <w:fldChar w:fldCharType="begin"/>
    </w:r>
    <w:r w:rsidR="00AC38FC">
      <w:instrText xml:space="preserve"> DOCPROPERTY "Header" \* MERGEFORMAT </w:instrText>
    </w:r>
    <w:r w:rsidR="00AC38FC">
      <w:fldChar w:fldCharType="separate"/>
    </w:r>
    <w:r w:rsidR="00213B1E" w:rsidRPr="00213B1E">
      <w:rPr>
        <w:lang w:val="en-US"/>
      </w:rPr>
      <w:t xml:space="preserve">Rec. </w:t>
    </w:r>
    <w:r w:rsidR="00AC38FC">
      <w:rPr>
        <w:lang w:val="en-US"/>
      </w:rPr>
      <w:fldChar w:fldCharType="end"/>
    </w:r>
    <w:r>
      <w:rPr>
        <w:b/>
        <w:bCs/>
      </w:rPr>
      <w:t xml:space="preserve">  </w:t>
    </w:r>
    <w:r>
      <w:rPr>
        <w:b/>
        <w:bCs/>
      </w:rPr>
      <w:fldChar w:fldCharType="begin"/>
    </w:r>
    <w:r>
      <w:rPr>
        <w:b/>
        <w:bCs/>
      </w:rPr>
      <w:instrText>styleref href</w:instrText>
    </w:r>
    <w:r>
      <w:rPr>
        <w:b/>
        <w:bCs/>
      </w:rPr>
      <w:fldChar w:fldCharType="separate"/>
    </w:r>
    <w:r w:rsidR="00213B1E">
      <w:rPr>
        <w:b/>
        <w:bCs/>
        <w:noProof/>
      </w:rPr>
      <w:t>UIT-R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rsidP="00A27FB1">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38FC">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13B1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C38FC">
      <w:rPr>
        <w:b/>
        <w:bCs/>
        <w:noProof/>
      </w:rPr>
      <w:t>UIT-R  SM.1046-2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rsidP="00A27FB1">
    <w:pPr>
      <w:pStyle w:val="Header"/>
      <w:jc w:val="left"/>
    </w:pPr>
    <w:r>
      <w:tab/>
    </w:r>
    <w:r>
      <w:rPr>
        <w:b/>
        <w:bCs/>
      </w:rPr>
      <w:fldChar w:fldCharType="begin"/>
    </w:r>
    <w:r>
      <w:rPr>
        <w:b/>
        <w:bCs/>
      </w:rPr>
      <w:instrText xml:space="preserve"> DOCPROPERTY "Header" \* MERGEFORMAT </w:instrText>
    </w:r>
    <w:r>
      <w:rPr>
        <w:b/>
        <w:bCs/>
      </w:rPr>
      <w:fldChar w:fldCharType="separate"/>
    </w:r>
    <w:r w:rsidR="00213B1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C38FC">
      <w:rPr>
        <w:b/>
        <w:bCs/>
        <w:noProof/>
      </w:rPr>
      <w:t>UIT-R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38FC">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rsidP="00A27FB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38FC">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13B1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C38FC">
      <w:rPr>
        <w:b/>
        <w:bCs/>
        <w:noProof/>
      </w:rPr>
      <w:t>UIT-R  SM.1046-2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rsidP="00A27FB1">
    <w:pPr>
      <w:pStyle w:val="Header"/>
      <w:tabs>
        <w:tab w:val="clear" w:pos="4848"/>
        <w:tab w:val="clear" w:pos="9696"/>
        <w:tab w:val="center" w:pos="4820"/>
        <w:tab w:val="right" w:pos="9639"/>
        <w:tab w:val="right" w:pos="14515"/>
      </w:tabs>
      <w:jc w:val="left"/>
    </w:pPr>
    <w:r>
      <w:rPr>
        <w:lang w:val="en-US"/>
      </w:rPr>
      <w:tab/>
    </w:r>
    <w:r>
      <w:rPr>
        <w:b/>
        <w:bCs/>
      </w:rPr>
      <w:fldChar w:fldCharType="begin"/>
    </w:r>
    <w:r>
      <w:rPr>
        <w:b/>
        <w:bCs/>
        <w:lang w:val="en-US"/>
      </w:rPr>
      <w:instrText xml:space="preserve"> DOCPROPERTY "Header" \* MERGEFORMAT </w:instrText>
    </w:r>
    <w:r>
      <w:rPr>
        <w:b/>
        <w:bCs/>
      </w:rPr>
      <w:fldChar w:fldCharType="separate"/>
    </w:r>
    <w:r w:rsidR="00213B1E">
      <w:rPr>
        <w:b/>
        <w:bCs/>
        <w:lang w:val="en-US"/>
      </w:rPr>
      <w:t xml:space="preserve">Rec. </w:t>
    </w:r>
    <w:r>
      <w:rPr>
        <w:b/>
        <w:bCs/>
      </w:rPr>
      <w:fldChar w:fldCharType="end"/>
    </w:r>
    <w:r>
      <w:rPr>
        <w:b/>
        <w:bCs/>
      </w:rPr>
      <w:fldChar w:fldCharType="begin"/>
    </w:r>
    <w:r>
      <w:rPr>
        <w:b/>
        <w:bCs/>
        <w:lang w:val="en-US"/>
      </w:rPr>
      <w:instrText>styleref href</w:instrText>
    </w:r>
    <w:r>
      <w:rPr>
        <w:b/>
        <w:bCs/>
      </w:rPr>
      <w:fldChar w:fldCharType="separate"/>
    </w:r>
    <w:r w:rsidR="00213B1E">
      <w:rPr>
        <w:b/>
        <w:bCs/>
        <w:noProof/>
      </w:rPr>
      <w:t>UIT-R  SM.1046-2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B1" w:rsidRDefault="00A27F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38FC">
      <w:rPr>
        <w:rStyle w:val="PageNumber"/>
        <w:b/>
        <w:bCs/>
        <w:noProof/>
        <w:lang w:val="en-US"/>
      </w:rPr>
      <w:t>46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13B1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C38FC">
      <w:rPr>
        <w:b/>
        <w:bCs/>
        <w:noProof/>
      </w:rPr>
      <w:t>UIT-R  SM.1046-2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F624D4"/>
    <w:lvl w:ilvl="0">
      <w:start w:val="1"/>
      <w:numFmt w:val="decimal"/>
      <w:lvlText w:val="%1."/>
      <w:lvlJc w:val="left"/>
      <w:pPr>
        <w:tabs>
          <w:tab w:val="num" w:pos="1492"/>
        </w:tabs>
        <w:ind w:left="1492" w:hanging="360"/>
      </w:pPr>
    </w:lvl>
  </w:abstractNum>
  <w:abstractNum w:abstractNumId="1">
    <w:nsid w:val="FFFFFF7D"/>
    <w:multiLevelType w:val="singleLevel"/>
    <w:tmpl w:val="F49A7ED0"/>
    <w:lvl w:ilvl="0">
      <w:start w:val="1"/>
      <w:numFmt w:val="decimal"/>
      <w:lvlText w:val="%1."/>
      <w:lvlJc w:val="left"/>
      <w:pPr>
        <w:tabs>
          <w:tab w:val="num" w:pos="1209"/>
        </w:tabs>
        <w:ind w:left="1209" w:hanging="360"/>
      </w:pPr>
    </w:lvl>
  </w:abstractNum>
  <w:abstractNum w:abstractNumId="2">
    <w:nsid w:val="FFFFFF7E"/>
    <w:multiLevelType w:val="singleLevel"/>
    <w:tmpl w:val="97204CF8"/>
    <w:lvl w:ilvl="0">
      <w:start w:val="1"/>
      <w:numFmt w:val="decimal"/>
      <w:lvlText w:val="%1."/>
      <w:lvlJc w:val="left"/>
      <w:pPr>
        <w:tabs>
          <w:tab w:val="num" w:pos="926"/>
        </w:tabs>
        <w:ind w:left="926" w:hanging="360"/>
      </w:pPr>
    </w:lvl>
  </w:abstractNum>
  <w:abstractNum w:abstractNumId="3">
    <w:nsid w:val="FFFFFF7F"/>
    <w:multiLevelType w:val="singleLevel"/>
    <w:tmpl w:val="20EC63DC"/>
    <w:lvl w:ilvl="0">
      <w:start w:val="1"/>
      <w:numFmt w:val="decimal"/>
      <w:lvlText w:val="%1."/>
      <w:lvlJc w:val="left"/>
      <w:pPr>
        <w:tabs>
          <w:tab w:val="num" w:pos="643"/>
        </w:tabs>
        <w:ind w:left="643" w:hanging="360"/>
      </w:pPr>
    </w:lvl>
  </w:abstractNum>
  <w:abstractNum w:abstractNumId="4">
    <w:nsid w:val="FFFFFF80"/>
    <w:multiLevelType w:val="singleLevel"/>
    <w:tmpl w:val="D1F64D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C013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8F2D0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1A0A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09AA956"/>
    <w:lvl w:ilvl="0">
      <w:start w:val="1"/>
      <w:numFmt w:val="decimal"/>
      <w:lvlText w:val="%1."/>
      <w:lvlJc w:val="left"/>
      <w:pPr>
        <w:tabs>
          <w:tab w:val="num" w:pos="360"/>
        </w:tabs>
        <w:ind w:left="360" w:hanging="360"/>
      </w:pPr>
    </w:lvl>
  </w:abstractNum>
  <w:abstractNum w:abstractNumId="9">
    <w:nsid w:val="FFFFFF89"/>
    <w:multiLevelType w:val="singleLevel"/>
    <w:tmpl w:val="717868FC"/>
    <w:lvl w:ilvl="0">
      <w:start w:val="1"/>
      <w:numFmt w:val="bullet"/>
      <w:lvlText w:val=""/>
      <w:lvlJc w:val="left"/>
      <w:pPr>
        <w:tabs>
          <w:tab w:val="num" w:pos="360"/>
        </w:tabs>
        <w:ind w:left="360" w:hanging="360"/>
      </w:pPr>
      <w:rPr>
        <w:rFonts w:ascii="Symbol" w:hAnsi="Symbol" w:hint="default"/>
      </w:rPr>
    </w:lvl>
  </w:abstractNum>
  <w:abstractNum w:abstractNumId="10">
    <w:nsid w:val="0ADF4929"/>
    <w:multiLevelType w:val="hybridMultilevel"/>
    <w:tmpl w:val="24EA70E6"/>
    <w:lvl w:ilvl="0" w:tplc="04090017">
      <w:start w:val="1"/>
      <w:numFmt w:val="lowerLetter"/>
      <w:lvlText w:val="%1)"/>
      <w:lvlJc w:val="left"/>
      <w:pPr>
        <w:tabs>
          <w:tab w:val="num" w:pos="720"/>
        </w:tabs>
        <w:ind w:left="720" w:hanging="360"/>
      </w:pPr>
      <w:rPr>
        <w:rFonts w:hint="default"/>
      </w:rPr>
    </w:lvl>
    <w:lvl w:ilvl="1" w:tplc="B628AE6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E820993"/>
    <w:multiLevelType w:val="hybridMultilevel"/>
    <w:tmpl w:val="99803F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19702B"/>
    <w:multiLevelType w:val="multilevel"/>
    <w:tmpl w:val="70D29A68"/>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3C9303FB"/>
    <w:multiLevelType w:val="multilevel"/>
    <w:tmpl w:val="A4F4B190"/>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7F76044"/>
    <w:multiLevelType w:val="hybridMultilevel"/>
    <w:tmpl w:val="C77455CC"/>
    <w:lvl w:ilvl="0" w:tplc="38F80A48">
      <w:start w:val="1"/>
      <w:numFmt w:val="bullet"/>
      <w:lvlText w:val="-"/>
      <w:lvlJc w:val="left"/>
      <w:pPr>
        <w:tabs>
          <w:tab w:val="num" w:pos="780"/>
        </w:tabs>
        <w:ind w:left="780" w:hanging="360"/>
      </w:pPr>
      <w:rPr>
        <w:rFonts w:ascii="Times New Roman" w:eastAsia="SimSu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770A02FC"/>
    <w:multiLevelType w:val="hybridMultilevel"/>
    <w:tmpl w:val="4C4423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15"/>
  </w:num>
  <w:num w:numId="4">
    <w:abstractNumId w:val="10"/>
  </w:num>
  <w:num w:numId="5">
    <w:abstractNumId w:val="13"/>
  </w:num>
  <w:num w:numId="6">
    <w:abstractNumId w:val="12"/>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167"/>
    <w:rsid w:val="00036A82"/>
    <w:rsid w:val="00083267"/>
    <w:rsid w:val="000850AA"/>
    <w:rsid w:val="00092FBD"/>
    <w:rsid w:val="00130CD4"/>
    <w:rsid w:val="001A7910"/>
    <w:rsid w:val="00213B1E"/>
    <w:rsid w:val="00256167"/>
    <w:rsid w:val="00276E23"/>
    <w:rsid w:val="00294C53"/>
    <w:rsid w:val="002D76C4"/>
    <w:rsid w:val="002E7D31"/>
    <w:rsid w:val="00451049"/>
    <w:rsid w:val="00471492"/>
    <w:rsid w:val="004A11E8"/>
    <w:rsid w:val="005535DD"/>
    <w:rsid w:val="005977B7"/>
    <w:rsid w:val="005B580A"/>
    <w:rsid w:val="005E0BC2"/>
    <w:rsid w:val="00607D68"/>
    <w:rsid w:val="0062172E"/>
    <w:rsid w:val="007056F5"/>
    <w:rsid w:val="007468DA"/>
    <w:rsid w:val="007D53B1"/>
    <w:rsid w:val="00817B97"/>
    <w:rsid w:val="00877674"/>
    <w:rsid w:val="008E40EA"/>
    <w:rsid w:val="009B5FD1"/>
    <w:rsid w:val="009D37D0"/>
    <w:rsid w:val="00A1678C"/>
    <w:rsid w:val="00A27FB1"/>
    <w:rsid w:val="00A6617B"/>
    <w:rsid w:val="00AB0DC8"/>
    <w:rsid w:val="00AC0E10"/>
    <w:rsid w:val="00AC38FC"/>
    <w:rsid w:val="00B30661"/>
    <w:rsid w:val="00B33282"/>
    <w:rsid w:val="00B44E24"/>
    <w:rsid w:val="00BB37EC"/>
    <w:rsid w:val="00BC3250"/>
    <w:rsid w:val="00C33027"/>
    <w:rsid w:val="00D21B61"/>
    <w:rsid w:val="00D33E0C"/>
    <w:rsid w:val="00D65300"/>
    <w:rsid w:val="00DF4176"/>
    <w:rsid w:val="00E1764F"/>
    <w:rsid w:val="00E52409"/>
    <w:rsid w:val="00E626A1"/>
    <w:rsid w:val="00E92013"/>
    <w:rsid w:val="00EC1FDC"/>
    <w:rsid w:val="00F25608"/>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61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link w:val="Heading1"/>
    <w:rsid w:val="00256167"/>
    <w:rPr>
      <w:b/>
      <w:sz w:val="24"/>
      <w:lang w:val="fr-FR" w:eastAsia="en-US"/>
    </w:rPr>
  </w:style>
  <w:style w:type="character" w:customStyle="1" w:styleId="Heading2Char">
    <w:name w:val="Heading 2 Char"/>
    <w:link w:val="Heading2"/>
    <w:rsid w:val="00256167"/>
    <w:rPr>
      <w:b/>
      <w:sz w:val="24"/>
      <w:lang w:val="fr-FR" w:eastAsia="en-US"/>
    </w:rPr>
  </w:style>
  <w:style w:type="character" w:customStyle="1" w:styleId="Heading3Char">
    <w:name w:val="Heading 3 Char"/>
    <w:link w:val="Heading3"/>
    <w:rsid w:val="00256167"/>
    <w:rPr>
      <w:b/>
      <w:sz w:val="24"/>
      <w:lang w:val="fr-FR" w:eastAsia="en-US"/>
    </w:rPr>
  </w:style>
  <w:style w:type="character" w:customStyle="1" w:styleId="Heading4Char">
    <w:name w:val="Heading 4 Char"/>
    <w:link w:val="Heading4"/>
    <w:rsid w:val="00256167"/>
    <w:rPr>
      <w:b/>
      <w:sz w:val="24"/>
      <w:lang w:val="fr-FR" w:eastAsia="en-US"/>
    </w:rPr>
  </w:style>
  <w:style w:type="character" w:customStyle="1" w:styleId="Heading5Char">
    <w:name w:val="Heading 5 Char"/>
    <w:link w:val="Heading5"/>
    <w:rsid w:val="00256167"/>
    <w:rPr>
      <w:b/>
      <w:sz w:val="24"/>
      <w:lang w:val="fr-FR" w:eastAsia="en-US"/>
    </w:rPr>
  </w:style>
  <w:style w:type="character" w:customStyle="1" w:styleId="Heading6Char">
    <w:name w:val="Heading 6 Char"/>
    <w:link w:val="Heading6"/>
    <w:rsid w:val="00256167"/>
    <w:rPr>
      <w:b/>
      <w:sz w:val="24"/>
      <w:lang w:val="fr-FR" w:eastAsia="en-US"/>
    </w:rPr>
  </w:style>
  <w:style w:type="character" w:customStyle="1" w:styleId="Heading7Char">
    <w:name w:val="Heading 7 Char"/>
    <w:link w:val="Heading7"/>
    <w:rsid w:val="00256167"/>
    <w:rPr>
      <w:b/>
      <w:sz w:val="24"/>
      <w:lang w:val="fr-FR" w:eastAsia="en-US"/>
    </w:rPr>
  </w:style>
  <w:style w:type="character" w:customStyle="1" w:styleId="Heading8Char">
    <w:name w:val="Heading 8 Char"/>
    <w:link w:val="Heading8"/>
    <w:rsid w:val="00256167"/>
    <w:rPr>
      <w:b/>
      <w:sz w:val="24"/>
      <w:lang w:val="fr-FR" w:eastAsia="en-US"/>
    </w:rPr>
  </w:style>
  <w:style w:type="character" w:customStyle="1" w:styleId="Heading9Char">
    <w:name w:val="Heading 9 Char"/>
    <w:link w:val="Heading9"/>
    <w:rsid w:val="00256167"/>
    <w:rPr>
      <w:b/>
      <w:sz w:val="24"/>
      <w:lang w:val="fr-FR" w:eastAsia="en-US"/>
    </w:rPr>
  </w:style>
  <w:style w:type="character" w:customStyle="1" w:styleId="HeaderChar">
    <w:name w:val="Header Char"/>
    <w:aliases w:val="encabezado Char"/>
    <w:link w:val="Header"/>
    <w:rsid w:val="00256167"/>
    <w:rPr>
      <w:sz w:val="24"/>
      <w:lang w:val="fr-FR" w:eastAsia="en-US"/>
    </w:rPr>
  </w:style>
  <w:style w:type="character" w:customStyle="1" w:styleId="FooterChar">
    <w:name w:val="Footer Char"/>
    <w:aliases w:val="pie de página Char,fo Char"/>
    <w:link w:val="Footer"/>
    <w:rsid w:val="00256167"/>
    <w:rPr>
      <w:noProof/>
      <w:sz w:val="18"/>
      <w:lang w:val="fr-FR" w:eastAsia="en-US"/>
    </w:rPr>
  </w:style>
  <w:style w:type="character" w:customStyle="1" w:styleId="FootnoteTextChar">
    <w:name w:val="Footnote Text Char"/>
    <w:link w:val="FootnoteText"/>
    <w:semiHidden/>
    <w:rsid w:val="00256167"/>
    <w:rPr>
      <w:sz w:val="22"/>
      <w:lang w:val="fr-FR" w:eastAsia="en-US"/>
    </w:rPr>
  </w:style>
  <w:style w:type="character" w:styleId="Hyperlink">
    <w:name w:val="Hyperlink"/>
    <w:rsid w:val="00256167"/>
    <w:rPr>
      <w:color w:val="0000FF"/>
      <w:u w:val="single"/>
    </w:rPr>
  </w:style>
  <w:style w:type="paragraph" w:customStyle="1" w:styleId="FigureNoTitle">
    <w:name w:val="Figure_NoTitle"/>
    <w:basedOn w:val="Normal"/>
    <w:next w:val="Normalaftertitle"/>
    <w:rsid w:val="00256167"/>
    <w:pPr>
      <w:keepLines/>
      <w:spacing w:before="240" w:after="120"/>
      <w:jc w:val="center"/>
    </w:pPr>
    <w:rPr>
      <w:b/>
      <w:lang w:val="en-GB"/>
    </w:rPr>
  </w:style>
  <w:style w:type="paragraph" w:customStyle="1" w:styleId="FooterQP">
    <w:name w:val="Footer_QP"/>
    <w:basedOn w:val="Normal"/>
    <w:rsid w:val="00256167"/>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56167"/>
    <w:pPr>
      <w:jc w:val="left"/>
    </w:pPr>
    <w:rPr>
      <w:b/>
      <w:smallCaps/>
      <w:sz w:val="26"/>
      <w:lang w:val="en-GB"/>
    </w:rPr>
  </w:style>
  <w:style w:type="character" w:customStyle="1" w:styleId="BodyTextChar">
    <w:name w:val="Body Text Char"/>
    <w:basedOn w:val="DefaultParagraphFont"/>
    <w:link w:val="BodyText"/>
    <w:rsid w:val="00256167"/>
    <w:rPr>
      <w:b/>
      <w:smallCaps/>
      <w:sz w:val="26"/>
      <w:lang w:val="en-GB" w:eastAsia="en-US"/>
    </w:rPr>
  </w:style>
  <w:style w:type="paragraph" w:styleId="BodyText2">
    <w:name w:val="Body Text 2"/>
    <w:basedOn w:val="Normal"/>
    <w:link w:val="BodyText2Char"/>
    <w:rsid w:val="0025616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56167"/>
    <w:rPr>
      <w:rFonts w:ascii="Palatino Linotype" w:hAnsi="Palatino Linotype"/>
      <w:b/>
      <w:bCs/>
      <w:sz w:val="32"/>
      <w:lang w:val="en-US" w:eastAsia="en-US"/>
    </w:rPr>
  </w:style>
  <w:style w:type="paragraph" w:styleId="BodyText3">
    <w:name w:val="Body Text 3"/>
    <w:basedOn w:val="Normal"/>
    <w:link w:val="BodyText3Char"/>
    <w:rsid w:val="00256167"/>
    <w:pPr>
      <w:spacing w:before="180"/>
      <w:jc w:val="center"/>
    </w:pPr>
    <w:rPr>
      <w:iCs/>
      <w:sz w:val="22"/>
      <w:lang w:val="en-US"/>
    </w:rPr>
  </w:style>
  <w:style w:type="character" w:customStyle="1" w:styleId="BodyText3Char">
    <w:name w:val="Body Text 3 Char"/>
    <w:basedOn w:val="DefaultParagraphFont"/>
    <w:link w:val="BodyText3"/>
    <w:rsid w:val="00256167"/>
    <w:rPr>
      <w:iCs/>
      <w:sz w:val="22"/>
      <w:lang w:val="en-US" w:eastAsia="en-US"/>
    </w:rPr>
  </w:style>
  <w:style w:type="paragraph" w:customStyle="1" w:styleId="TabletitleBR">
    <w:name w:val="Table_title_BR"/>
    <w:basedOn w:val="Normal"/>
    <w:next w:val="Normal"/>
    <w:rsid w:val="00256167"/>
    <w:pPr>
      <w:keepNext/>
      <w:keepLines/>
      <w:spacing w:before="0" w:after="120"/>
      <w:jc w:val="center"/>
    </w:pPr>
    <w:rPr>
      <w:b/>
      <w:lang w:val="en-GB"/>
    </w:rPr>
  </w:style>
  <w:style w:type="paragraph" w:customStyle="1" w:styleId="Normalaftertitle0">
    <w:name w:val="Normal after title"/>
    <w:basedOn w:val="Normal"/>
    <w:next w:val="Normal"/>
    <w:rsid w:val="00256167"/>
    <w:pPr>
      <w:spacing w:before="320"/>
      <w:jc w:val="left"/>
    </w:pPr>
    <w:rPr>
      <w:lang w:val="en-GB"/>
    </w:rPr>
  </w:style>
  <w:style w:type="character" w:styleId="FollowedHyperlink">
    <w:name w:val="FollowedHyperlink"/>
    <w:rsid w:val="00256167"/>
    <w:rPr>
      <w:color w:val="800080"/>
      <w:u w:val="single"/>
    </w:rPr>
  </w:style>
  <w:style w:type="table" w:styleId="TableGrid">
    <w:name w:val="Table Grid"/>
    <w:basedOn w:val="TableNormal"/>
    <w:rsid w:val="00256167"/>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616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256167"/>
    <w:rPr>
      <w:b/>
      <w:bCs/>
    </w:rPr>
  </w:style>
  <w:style w:type="character" w:customStyle="1" w:styleId="TabletitleChar">
    <w:name w:val="Table_title Char"/>
    <w:link w:val="Tabletitle"/>
    <w:rsid w:val="00256167"/>
    <w:rPr>
      <w:b/>
      <w:sz w:val="24"/>
      <w:lang w:val="fr-FR" w:eastAsia="en-US"/>
    </w:rPr>
  </w:style>
  <w:style w:type="paragraph" w:customStyle="1" w:styleId="TableLegend0">
    <w:name w:val="Table_Legend"/>
    <w:basedOn w:val="Normal"/>
    <w:next w:val="Normal"/>
    <w:rsid w:val="00256167"/>
    <w:pPr>
      <w:keepNext/>
      <w:spacing w:before="86" w:line="199" w:lineRule="exact"/>
      <w:ind w:left="-85" w:right="-85"/>
    </w:pPr>
    <w:rPr>
      <w:sz w:val="18"/>
      <w:lang w:val="en-GB"/>
    </w:rPr>
  </w:style>
  <w:style w:type="paragraph" w:customStyle="1" w:styleId="TableTitle0">
    <w:name w:val="Table_Title"/>
    <w:basedOn w:val="Table"/>
    <w:next w:val="Blanc"/>
    <w:rsid w:val="00256167"/>
    <w:pPr>
      <w:spacing w:before="0"/>
    </w:pPr>
    <w:rPr>
      <w:b/>
    </w:rPr>
  </w:style>
  <w:style w:type="paragraph" w:customStyle="1" w:styleId="Table">
    <w:name w:val="Table_#"/>
    <w:basedOn w:val="Normal"/>
    <w:next w:val="TableTitle0"/>
    <w:rsid w:val="00256167"/>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256167"/>
    <w:pPr>
      <w:spacing w:before="100" w:after="100" w:line="190" w:lineRule="exact"/>
      <w:ind w:left="0" w:right="0"/>
    </w:pPr>
  </w:style>
  <w:style w:type="paragraph" w:customStyle="1" w:styleId="Figure0">
    <w:name w:val="Figure_#"/>
    <w:basedOn w:val="Table"/>
    <w:next w:val="Figuretitle"/>
    <w:rsid w:val="00256167"/>
  </w:style>
  <w:style w:type="paragraph" w:customStyle="1" w:styleId="Annex">
    <w:name w:val="Annex_#"/>
    <w:basedOn w:val="Normal"/>
    <w:next w:val="Annexref"/>
    <w:rsid w:val="00256167"/>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256167"/>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
    <w:rsid w:val="00256167"/>
  </w:style>
  <w:style w:type="paragraph" w:customStyle="1" w:styleId="AppendixTitle">
    <w:name w:val="Appendix_Title"/>
    <w:basedOn w:val="AnnexTitle"/>
    <w:next w:val="Normal"/>
    <w:rsid w:val="00256167"/>
  </w:style>
  <w:style w:type="paragraph" w:customStyle="1" w:styleId="RecTitle0">
    <w:name w:val="Rec_Title"/>
    <w:basedOn w:val="Normal"/>
    <w:next w:val="RecTitleRef"/>
    <w:rsid w:val="00256167"/>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Ref">
    <w:name w:val="Rec_Title/Ref"/>
    <w:basedOn w:val="RecTitle0"/>
    <w:next w:val="RecTitleDate"/>
    <w:rsid w:val="00256167"/>
    <w:pPr>
      <w:spacing w:before="136"/>
    </w:pPr>
    <w:rPr>
      <w:b w:val="0"/>
    </w:rPr>
  </w:style>
  <w:style w:type="paragraph" w:customStyle="1" w:styleId="RecTitleDate">
    <w:name w:val="Rec_Title/Date"/>
    <w:basedOn w:val="RecTitleRef"/>
    <w:next w:val="headfoot"/>
    <w:rsid w:val="00256167"/>
    <w:pPr>
      <w:tabs>
        <w:tab w:val="clear" w:pos="4849"/>
      </w:tabs>
      <w:jc w:val="right"/>
    </w:pPr>
  </w:style>
  <w:style w:type="paragraph" w:customStyle="1" w:styleId="headfoot">
    <w:name w:val="head_foot"/>
    <w:basedOn w:val="Normal"/>
    <w:next w:val="Normalaftertitle0"/>
    <w:rsid w:val="00256167"/>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256167"/>
    <w:pPr>
      <w:keepNext/>
      <w:keepLines/>
      <w:tabs>
        <w:tab w:val="clear" w:pos="1191"/>
        <w:tab w:val="clear" w:pos="1588"/>
        <w:tab w:val="clear" w:pos="1985"/>
      </w:tabs>
      <w:spacing w:before="227"/>
      <w:ind w:left="794"/>
      <w:jc w:val="left"/>
    </w:pPr>
    <w:rPr>
      <w:i/>
      <w:sz w:val="20"/>
      <w:lang w:val="en-GB"/>
    </w:rPr>
  </w:style>
  <w:style w:type="paragraph" w:customStyle="1" w:styleId="Fig">
    <w:name w:val="Fig_#"/>
    <w:basedOn w:val="Normal"/>
    <w:next w:val="Normal"/>
    <w:rsid w:val="00256167"/>
    <w:pPr>
      <w:spacing w:before="136"/>
      <w:jc w:val="left"/>
    </w:pPr>
    <w:rPr>
      <w:color w:val="FFFFFF"/>
      <w:sz w:val="20"/>
      <w:lang w:val="en-US"/>
    </w:rPr>
  </w:style>
  <w:style w:type="paragraph" w:customStyle="1" w:styleId="CCI">
    <w:name w:val="CCI"/>
    <w:basedOn w:val="Normal"/>
    <w:next w:val="call0"/>
    <w:rsid w:val="00256167"/>
    <w:pPr>
      <w:keepNext/>
      <w:keepLines/>
      <w:tabs>
        <w:tab w:val="clear" w:pos="794"/>
        <w:tab w:val="clear" w:pos="1191"/>
        <w:tab w:val="clear" w:pos="1588"/>
        <w:tab w:val="clear" w:pos="1985"/>
      </w:tabs>
      <w:spacing w:before="199"/>
    </w:pPr>
    <w:rPr>
      <w:sz w:val="20"/>
      <w:lang w:val="en-GB" w:eastAsia="zh-CN"/>
    </w:rPr>
  </w:style>
  <w:style w:type="paragraph" w:styleId="CommentText">
    <w:name w:val="annotation text"/>
    <w:basedOn w:val="Normal"/>
    <w:link w:val="CommentTextChar"/>
    <w:rsid w:val="00256167"/>
    <w:pPr>
      <w:spacing w:before="136"/>
    </w:pPr>
    <w:rPr>
      <w:sz w:val="20"/>
      <w:lang w:val="en-GB"/>
    </w:rPr>
  </w:style>
  <w:style w:type="character" w:customStyle="1" w:styleId="CommentTextChar">
    <w:name w:val="Comment Text Char"/>
    <w:basedOn w:val="DefaultParagraphFont"/>
    <w:link w:val="CommentText"/>
    <w:rsid w:val="00256167"/>
    <w:rPr>
      <w:lang w:val="en-GB" w:eastAsia="en-US"/>
    </w:rPr>
  </w:style>
  <w:style w:type="paragraph" w:customStyle="1" w:styleId="Artheading">
    <w:name w:val="Art_heading"/>
    <w:basedOn w:val="Normal"/>
    <w:next w:val="Normalaftertitle"/>
    <w:rsid w:val="00256167"/>
    <w:pPr>
      <w:spacing w:before="480"/>
      <w:jc w:val="center"/>
    </w:pPr>
    <w:rPr>
      <w:b/>
      <w:sz w:val="28"/>
      <w:lang w:val="es-ES_tradnl"/>
    </w:rPr>
  </w:style>
  <w:style w:type="character" w:styleId="EndnoteReference">
    <w:name w:val="endnote reference"/>
    <w:rsid w:val="00256167"/>
    <w:rPr>
      <w:vertAlign w:val="superscript"/>
    </w:rPr>
  </w:style>
  <w:style w:type="paragraph" w:customStyle="1" w:styleId="Figurewithouttitle">
    <w:name w:val="Figure_without_title"/>
    <w:basedOn w:val="Normal"/>
    <w:next w:val="Normalaftertitle"/>
    <w:rsid w:val="00256167"/>
    <w:pPr>
      <w:keepLines/>
      <w:spacing w:before="240" w:after="120"/>
      <w:jc w:val="center"/>
    </w:pPr>
    <w:rPr>
      <w:lang w:val="es-ES_tradnl"/>
    </w:rPr>
  </w:style>
  <w:style w:type="paragraph" w:customStyle="1" w:styleId="FirstFooter">
    <w:name w:val="FirstFooter"/>
    <w:basedOn w:val="Footer"/>
    <w:rsid w:val="00256167"/>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256167"/>
    <w:pPr>
      <w:spacing w:before="840" w:after="200"/>
      <w:jc w:val="center"/>
    </w:pPr>
    <w:rPr>
      <w:b/>
      <w:sz w:val="28"/>
      <w:lang w:val="es-ES_tradnl"/>
    </w:rPr>
  </w:style>
  <w:style w:type="paragraph" w:customStyle="1" w:styleId="SpecialFooter">
    <w:name w:val="Special Footer"/>
    <w:basedOn w:val="Footer"/>
    <w:rsid w:val="00256167"/>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256167"/>
    <w:pPr>
      <w:keepNext/>
      <w:spacing w:before="0" w:after="120"/>
      <w:jc w:val="center"/>
    </w:pPr>
    <w:rPr>
      <w:lang w:val="es-ES_tradnl"/>
    </w:rPr>
  </w:style>
  <w:style w:type="paragraph" w:customStyle="1" w:styleId="Title1">
    <w:name w:val="Title 1"/>
    <w:basedOn w:val="Source"/>
    <w:next w:val="Title2"/>
    <w:rsid w:val="0025616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56167"/>
  </w:style>
  <w:style w:type="paragraph" w:customStyle="1" w:styleId="Title3">
    <w:name w:val="Title 3"/>
    <w:basedOn w:val="Title2"/>
    <w:next w:val="Title4"/>
    <w:rsid w:val="00256167"/>
    <w:rPr>
      <w:caps w:val="0"/>
    </w:rPr>
  </w:style>
  <w:style w:type="paragraph" w:customStyle="1" w:styleId="Title4">
    <w:name w:val="Title 4"/>
    <w:basedOn w:val="Title3"/>
    <w:next w:val="Heading1"/>
    <w:rsid w:val="00256167"/>
    <w:rPr>
      <w:b/>
    </w:rPr>
  </w:style>
  <w:style w:type="character" w:customStyle="1" w:styleId="Appdef">
    <w:name w:val="App_def"/>
    <w:rsid w:val="00256167"/>
    <w:rPr>
      <w:rFonts w:ascii="Times New Roman" w:hAnsi="Times New Roman"/>
      <w:b/>
    </w:rPr>
  </w:style>
  <w:style w:type="character" w:customStyle="1" w:styleId="Appref">
    <w:name w:val="App_ref"/>
    <w:rsid w:val="00256167"/>
  </w:style>
  <w:style w:type="character" w:customStyle="1" w:styleId="Artdef">
    <w:name w:val="Art_def"/>
    <w:rsid w:val="00256167"/>
    <w:rPr>
      <w:rFonts w:ascii="Times New Roman" w:hAnsi="Times New Roman"/>
      <w:b/>
    </w:rPr>
  </w:style>
  <w:style w:type="character" w:customStyle="1" w:styleId="Artref">
    <w:name w:val="Art_ref"/>
    <w:rsid w:val="00256167"/>
  </w:style>
  <w:style w:type="character" w:customStyle="1" w:styleId="Recdef">
    <w:name w:val="Rec_def"/>
    <w:rsid w:val="00256167"/>
    <w:rPr>
      <w:b/>
    </w:rPr>
  </w:style>
  <w:style w:type="character" w:customStyle="1" w:styleId="Resdef">
    <w:name w:val="Res_def"/>
    <w:rsid w:val="00256167"/>
    <w:rPr>
      <w:rFonts w:ascii="Times New Roman" w:hAnsi="Times New Roman"/>
      <w:b/>
    </w:rPr>
  </w:style>
  <w:style w:type="character" w:customStyle="1" w:styleId="Tablefreq">
    <w:name w:val="Table_freq"/>
    <w:rsid w:val="00256167"/>
    <w:rPr>
      <w:b/>
      <w:color w:val="auto"/>
    </w:rPr>
  </w:style>
  <w:style w:type="paragraph" w:customStyle="1" w:styleId="Formal">
    <w:name w:val="Formal"/>
    <w:basedOn w:val="ASN1"/>
    <w:rsid w:val="00256167"/>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256167"/>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256167"/>
    <w:pPr>
      <w:tabs>
        <w:tab w:val="clear" w:pos="794"/>
        <w:tab w:val="clear" w:pos="1191"/>
        <w:tab w:val="clear" w:pos="1588"/>
        <w:tab w:val="clear" w:pos="1985"/>
      </w:tabs>
      <w:spacing w:before="240"/>
      <w:jc w:val="center"/>
    </w:pPr>
    <w:rPr>
      <w:i/>
      <w:lang w:val="es-ES_tradnl"/>
    </w:rPr>
  </w:style>
  <w:style w:type="paragraph" w:customStyle="1" w:styleId="Rec">
    <w:name w:val="Rec_#"/>
    <w:basedOn w:val="Normal"/>
    <w:next w:val="RecTitle0"/>
    <w:rsid w:val="00256167"/>
    <w:pPr>
      <w:keepNext/>
      <w:keepLines/>
      <w:tabs>
        <w:tab w:val="clear" w:pos="794"/>
        <w:tab w:val="clear" w:pos="1191"/>
        <w:tab w:val="clear" w:pos="1588"/>
        <w:tab w:val="clear" w:pos="1985"/>
        <w:tab w:val="center" w:pos="4849"/>
        <w:tab w:val="right" w:pos="9696"/>
      </w:tabs>
      <w:spacing w:before="720"/>
      <w:jc w:val="center"/>
    </w:pPr>
    <w:rPr>
      <w:sz w:val="20"/>
      <w:lang w:val="en-GB"/>
    </w:rPr>
  </w:style>
  <w:style w:type="character" w:customStyle="1" w:styleId="BlancChar">
    <w:name w:val="Blanc Char"/>
    <w:link w:val="Blanc"/>
    <w:rsid w:val="00256167"/>
    <w:rPr>
      <w:sz w:val="16"/>
      <w:lang w:val="en-GB" w:eastAsia="en-US"/>
    </w:rPr>
  </w:style>
  <w:style w:type="character" w:styleId="PlaceholderText">
    <w:name w:val="Placeholder Text"/>
    <w:basedOn w:val="DefaultParagraphFont"/>
    <w:uiPriority w:val="99"/>
    <w:semiHidden/>
    <w:rsid w:val="000850A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61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link w:val="Heading1"/>
    <w:rsid w:val="00256167"/>
    <w:rPr>
      <w:b/>
      <w:sz w:val="24"/>
      <w:lang w:val="fr-FR" w:eastAsia="en-US"/>
    </w:rPr>
  </w:style>
  <w:style w:type="character" w:customStyle="1" w:styleId="Heading2Char">
    <w:name w:val="Heading 2 Char"/>
    <w:link w:val="Heading2"/>
    <w:rsid w:val="00256167"/>
    <w:rPr>
      <w:b/>
      <w:sz w:val="24"/>
      <w:lang w:val="fr-FR" w:eastAsia="en-US"/>
    </w:rPr>
  </w:style>
  <w:style w:type="character" w:customStyle="1" w:styleId="Heading3Char">
    <w:name w:val="Heading 3 Char"/>
    <w:link w:val="Heading3"/>
    <w:rsid w:val="00256167"/>
    <w:rPr>
      <w:b/>
      <w:sz w:val="24"/>
      <w:lang w:val="fr-FR" w:eastAsia="en-US"/>
    </w:rPr>
  </w:style>
  <w:style w:type="character" w:customStyle="1" w:styleId="Heading4Char">
    <w:name w:val="Heading 4 Char"/>
    <w:link w:val="Heading4"/>
    <w:rsid w:val="00256167"/>
    <w:rPr>
      <w:b/>
      <w:sz w:val="24"/>
      <w:lang w:val="fr-FR" w:eastAsia="en-US"/>
    </w:rPr>
  </w:style>
  <w:style w:type="character" w:customStyle="1" w:styleId="Heading5Char">
    <w:name w:val="Heading 5 Char"/>
    <w:link w:val="Heading5"/>
    <w:rsid w:val="00256167"/>
    <w:rPr>
      <w:b/>
      <w:sz w:val="24"/>
      <w:lang w:val="fr-FR" w:eastAsia="en-US"/>
    </w:rPr>
  </w:style>
  <w:style w:type="character" w:customStyle="1" w:styleId="Heading6Char">
    <w:name w:val="Heading 6 Char"/>
    <w:link w:val="Heading6"/>
    <w:rsid w:val="00256167"/>
    <w:rPr>
      <w:b/>
      <w:sz w:val="24"/>
      <w:lang w:val="fr-FR" w:eastAsia="en-US"/>
    </w:rPr>
  </w:style>
  <w:style w:type="character" w:customStyle="1" w:styleId="Heading7Char">
    <w:name w:val="Heading 7 Char"/>
    <w:link w:val="Heading7"/>
    <w:rsid w:val="00256167"/>
    <w:rPr>
      <w:b/>
      <w:sz w:val="24"/>
      <w:lang w:val="fr-FR" w:eastAsia="en-US"/>
    </w:rPr>
  </w:style>
  <w:style w:type="character" w:customStyle="1" w:styleId="Heading8Char">
    <w:name w:val="Heading 8 Char"/>
    <w:link w:val="Heading8"/>
    <w:rsid w:val="00256167"/>
    <w:rPr>
      <w:b/>
      <w:sz w:val="24"/>
      <w:lang w:val="fr-FR" w:eastAsia="en-US"/>
    </w:rPr>
  </w:style>
  <w:style w:type="character" w:customStyle="1" w:styleId="Heading9Char">
    <w:name w:val="Heading 9 Char"/>
    <w:link w:val="Heading9"/>
    <w:rsid w:val="00256167"/>
    <w:rPr>
      <w:b/>
      <w:sz w:val="24"/>
      <w:lang w:val="fr-FR" w:eastAsia="en-US"/>
    </w:rPr>
  </w:style>
  <w:style w:type="character" w:customStyle="1" w:styleId="HeaderChar">
    <w:name w:val="Header Char"/>
    <w:aliases w:val="encabezado Char"/>
    <w:link w:val="Header"/>
    <w:rsid w:val="00256167"/>
    <w:rPr>
      <w:sz w:val="24"/>
      <w:lang w:val="fr-FR" w:eastAsia="en-US"/>
    </w:rPr>
  </w:style>
  <w:style w:type="character" w:customStyle="1" w:styleId="FooterChar">
    <w:name w:val="Footer Char"/>
    <w:aliases w:val="pie de página Char,fo Char"/>
    <w:link w:val="Footer"/>
    <w:rsid w:val="00256167"/>
    <w:rPr>
      <w:noProof/>
      <w:sz w:val="18"/>
      <w:lang w:val="fr-FR" w:eastAsia="en-US"/>
    </w:rPr>
  </w:style>
  <w:style w:type="character" w:customStyle="1" w:styleId="FootnoteTextChar">
    <w:name w:val="Footnote Text Char"/>
    <w:link w:val="FootnoteText"/>
    <w:semiHidden/>
    <w:rsid w:val="00256167"/>
    <w:rPr>
      <w:sz w:val="22"/>
      <w:lang w:val="fr-FR" w:eastAsia="en-US"/>
    </w:rPr>
  </w:style>
  <w:style w:type="character" w:styleId="Hyperlink">
    <w:name w:val="Hyperlink"/>
    <w:rsid w:val="00256167"/>
    <w:rPr>
      <w:color w:val="0000FF"/>
      <w:u w:val="single"/>
    </w:rPr>
  </w:style>
  <w:style w:type="paragraph" w:customStyle="1" w:styleId="FigureNoTitle">
    <w:name w:val="Figure_NoTitle"/>
    <w:basedOn w:val="Normal"/>
    <w:next w:val="Normalaftertitle"/>
    <w:rsid w:val="00256167"/>
    <w:pPr>
      <w:keepLines/>
      <w:spacing w:before="240" w:after="120"/>
      <w:jc w:val="center"/>
    </w:pPr>
    <w:rPr>
      <w:b/>
      <w:lang w:val="en-GB"/>
    </w:rPr>
  </w:style>
  <w:style w:type="paragraph" w:customStyle="1" w:styleId="FooterQP">
    <w:name w:val="Footer_QP"/>
    <w:basedOn w:val="Normal"/>
    <w:rsid w:val="00256167"/>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56167"/>
    <w:pPr>
      <w:jc w:val="left"/>
    </w:pPr>
    <w:rPr>
      <w:b/>
      <w:smallCaps/>
      <w:sz w:val="26"/>
      <w:lang w:val="en-GB"/>
    </w:rPr>
  </w:style>
  <w:style w:type="character" w:customStyle="1" w:styleId="BodyTextChar">
    <w:name w:val="Body Text Char"/>
    <w:basedOn w:val="DefaultParagraphFont"/>
    <w:link w:val="BodyText"/>
    <w:rsid w:val="00256167"/>
    <w:rPr>
      <w:b/>
      <w:smallCaps/>
      <w:sz w:val="26"/>
      <w:lang w:val="en-GB" w:eastAsia="en-US"/>
    </w:rPr>
  </w:style>
  <w:style w:type="paragraph" w:styleId="BodyText2">
    <w:name w:val="Body Text 2"/>
    <w:basedOn w:val="Normal"/>
    <w:link w:val="BodyText2Char"/>
    <w:rsid w:val="0025616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56167"/>
    <w:rPr>
      <w:rFonts w:ascii="Palatino Linotype" w:hAnsi="Palatino Linotype"/>
      <w:b/>
      <w:bCs/>
      <w:sz w:val="32"/>
      <w:lang w:val="en-US" w:eastAsia="en-US"/>
    </w:rPr>
  </w:style>
  <w:style w:type="paragraph" w:styleId="BodyText3">
    <w:name w:val="Body Text 3"/>
    <w:basedOn w:val="Normal"/>
    <w:link w:val="BodyText3Char"/>
    <w:rsid w:val="00256167"/>
    <w:pPr>
      <w:spacing w:before="180"/>
      <w:jc w:val="center"/>
    </w:pPr>
    <w:rPr>
      <w:iCs/>
      <w:sz w:val="22"/>
      <w:lang w:val="en-US"/>
    </w:rPr>
  </w:style>
  <w:style w:type="character" w:customStyle="1" w:styleId="BodyText3Char">
    <w:name w:val="Body Text 3 Char"/>
    <w:basedOn w:val="DefaultParagraphFont"/>
    <w:link w:val="BodyText3"/>
    <w:rsid w:val="00256167"/>
    <w:rPr>
      <w:iCs/>
      <w:sz w:val="22"/>
      <w:lang w:val="en-US" w:eastAsia="en-US"/>
    </w:rPr>
  </w:style>
  <w:style w:type="paragraph" w:customStyle="1" w:styleId="TabletitleBR">
    <w:name w:val="Table_title_BR"/>
    <w:basedOn w:val="Normal"/>
    <w:next w:val="Normal"/>
    <w:rsid w:val="00256167"/>
    <w:pPr>
      <w:keepNext/>
      <w:keepLines/>
      <w:spacing w:before="0" w:after="120"/>
      <w:jc w:val="center"/>
    </w:pPr>
    <w:rPr>
      <w:b/>
      <w:lang w:val="en-GB"/>
    </w:rPr>
  </w:style>
  <w:style w:type="paragraph" w:customStyle="1" w:styleId="Normalaftertitle0">
    <w:name w:val="Normal after title"/>
    <w:basedOn w:val="Normal"/>
    <w:next w:val="Normal"/>
    <w:rsid w:val="00256167"/>
    <w:pPr>
      <w:spacing w:before="320"/>
      <w:jc w:val="left"/>
    </w:pPr>
    <w:rPr>
      <w:lang w:val="en-GB"/>
    </w:rPr>
  </w:style>
  <w:style w:type="character" w:styleId="FollowedHyperlink">
    <w:name w:val="FollowedHyperlink"/>
    <w:rsid w:val="00256167"/>
    <w:rPr>
      <w:color w:val="800080"/>
      <w:u w:val="single"/>
    </w:rPr>
  </w:style>
  <w:style w:type="table" w:styleId="TableGrid">
    <w:name w:val="Table Grid"/>
    <w:basedOn w:val="TableNormal"/>
    <w:rsid w:val="00256167"/>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5616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256167"/>
    <w:rPr>
      <w:b/>
      <w:bCs/>
    </w:rPr>
  </w:style>
  <w:style w:type="character" w:customStyle="1" w:styleId="TabletitleChar">
    <w:name w:val="Table_title Char"/>
    <w:link w:val="Tabletitle"/>
    <w:rsid w:val="00256167"/>
    <w:rPr>
      <w:b/>
      <w:sz w:val="24"/>
      <w:lang w:val="fr-FR" w:eastAsia="en-US"/>
    </w:rPr>
  </w:style>
  <w:style w:type="paragraph" w:customStyle="1" w:styleId="TableLegend0">
    <w:name w:val="Table_Legend"/>
    <w:basedOn w:val="Normal"/>
    <w:next w:val="Normal"/>
    <w:rsid w:val="00256167"/>
    <w:pPr>
      <w:keepNext/>
      <w:spacing w:before="86" w:line="199" w:lineRule="exact"/>
      <w:ind w:left="-85" w:right="-85"/>
    </w:pPr>
    <w:rPr>
      <w:sz w:val="18"/>
      <w:lang w:val="en-GB"/>
    </w:rPr>
  </w:style>
  <w:style w:type="paragraph" w:customStyle="1" w:styleId="TableTitle0">
    <w:name w:val="Table_Title"/>
    <w:basedOn w:val="Table"/>
    <w:next w:val="Blanc"/>
    <w:rsid w:val="00256167"/>
    <w:pPr>
      <w:spacing w:before="0"/>
    </w:pPr>
    <w:rPr>
      <w:b/>
    </w:rPr>
  </w:style>
  <w:style w:type="paragraph" w:customStyle="1" w:styleId="Table">
    <w:name w:val="Table_#"/>
    <w:basedOn w:val="Normal"/>
    <w:next w:val="TableTitle0"/>
    <w:rsid w:val="00256167"/>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256167"/>
    <w:pPr>
      <w:spacing w:before="100" w:after="100" w:line="190" w:lineRule="exact"/>
      <w:ind w:left="0" w:right="0"/>
    </w:pPr>
  </w:style>
  <w:style w:type="paragraph" w:customStyle="1" w:styleId="Figure0">
    <w:name w:val="Figure_#"/>
    <w:basedOn w:val="Table"/>
    <w:next w:val="Figuretitle"/>
    <w:rsid w:val="00256167"/>
  </w:style>
  <w:style w:type="paragraph" w:customStyle="1" w:styleId="Annex">
    <w:name w:val="Annex_#"/>
    <w:basedOn w:val="Normal"/>
    <w:next w:val="Annexref"/>
    <w:rsid w:val="00256167"/>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256167"/>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
    <w:rsid w:val="00256167"/>
  </w:style>
  <w:style w:type="paragraph" w:customStyle="1" w:styleId="AppendixTitle">
    <w:name w:val="Appendix_Title"/>
    <w:basedOn w:val="AnnexTitle"/>
    <w:next w:val="Normal"/>
    <w:rsid w:val="00256167"/>
  </w:style>
  <w:style w:type="paragraph" w:customStyle="1" w:styleId="RecTitle0">
    <w:name w:val="Rec_Title"/>
    <w:basedOn w:val="Normal"/>
    <w:next w:val="RecTitleRef"/>
    <w:rsid w:val="00256167"/>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Ref">
    <w:name w:val="Rec_Title/Ref"/>
    <w:basedOn w:val="RecTitle0"/>
    <w:next w:val="RecTitleDate"/>
    <w:rsid w:val="00256167"/>
    <w:pPr>
      <w:spacing w:before="136"/>
    </w:pPr>
    <w:rPr>
      <w:b w:val="0"/>
    </w:rPr>
  </w:style>
  <w:style w:type="paragraph" w:customStyle="1" w:styleId="RecTitleDate">
    <w:name w:val="Rec_Title/Date"/>
    <w:basedOn w:val="RecTitleRef"/>
    <w:next w:val="headfoot"/>
    <w:rsid w:val="00256167"/>
    <w:pPr>
      <w:tabs>
        <w:tab w:val="clear" w:pos="4849"/>
      </w:tabs>
      <w:jc w:val="right"/>
    </w:pPr>
  </w:style>
  <w:style w:type="paragraph" w:customStyle="1" w:styleId="headfoot">
    <w:name w:val="head_foot"/>
    <w:basedOn w:val="Normal"/>
    <w:next w:val="Normalaftertitle0"/>
    <w:rsid w:val="00256167"/>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256167"/>
    <w:pPr>
      <w:keepNext/>
      <w:keepLines/>
      <w:tabs>
        <w:tab w:val="clear" w:pos="1191"/>
        <w:tab w:val="clear" w:pos="1588"/>
        <w:tab w:val="clear" w:pos="1985"/>
      </w:tabs>
      <w:spacing w:before="227"/>
      <w:ind w:left="794"/>
      <w:jc w:val="left"/>
    </w:pPr>
    <w:rPr>
      <w:i/>
      <w:sz w:val="20"/>
      <w:lang w:val="en-GB"/>
    </w:rPr>
  </w:style>
  <w:style w:type="paragraph" w:customStyle="1" w:styleId="Fig">
    <w:name w:val="Fig_#"/>
    <w:basedOn w:val="Normal"/>
    <w:next w:val="Normal"/>
    <w:rsid w:val="00256167"/>
    <w:pPr>
      <w:spacing w:before="136"/>
      <w:jc w:val="left"/>
    </w:pPr>
    <w:rPr>
      <w:color w:val="FFFFFF"/>
      <w:sz w:val="20"/>
      <w:lang w:val="en-US"/>
    </w:rPr>
  </w:style>
  <w:style w:type="paragraph" w:customStyle="1" w:styleId="CCI">
    <w:name w:val="CCI"/>
    <w:basedOn w:val="Normal"/>
    <w:next w:val="call0"/>
    <w:rsid w:val="00256167"/>
    <w:pPr>
      <w:keepNext/>
      <w:keepLines/>
      <w:tabs>
        <w:tab w:val="clear" w:pos="794"/>
        <w:tab w:val="clear" w:pos="1191"/>
        <w:tab w:val="clear" w:pos="1588"/>
        <w:tab w:val="clear" w:pos="1985"/>
      </w:tabs>
      <w:spacing w:before="199"/>
    </w:pPr>
    <w:rPr>
      <w:sz w:val="20"/>
      <w:lang w:val="en-GB" w:eastAsia="zh-CN"/>
    </w:rPr>
  </w:style>
  <w:style w:type="paragraph" w:styleId="CommentText">
    <w:name w:val="annotation text"/>
    <w:basedOn w:val="Normal"/>
    <w:link w:val="CommentTextChar"/>
    <w:rsid w:val="00256167"/>
    <w:pPr>
      <w:spacing w:before="136"/>
    </w:pPr>
    <w:rPr>
      <w:sz w:val="20"/>
      <w:lang w:val="en-GB"/>
    </w:rPr>
  </w:style>
  <w:style w:type="character" w:customStyle="1" w:styleId="CommentTextChar">
    <w:name w:val="Comment Text Char"/>
    <w:basedOn w:val="DefaultParagraphFont"/>
    <w:link w:val="CommentText"/>
    <w:rsid w:val="00256167"/>
    <w:rPr>
      <w:lang w:val="en-GB" w:eastAsia="en-US"/>
    </w:rPr>
  </w:style>
  <w:style w:type="paragraph" w:customStyle="1" w:styleId="Artheading">
    <w:name w:val="Art_heading"/>
    <w:basedOn w:val="Normal"/>
    <w:next w:val="Normalaftertitle"/>
    <w:rsid w:val="00256167"/>
    <w:pPr>
      <w:spacing w:before="480"/>
      <w:jc w:val="center"/>
    </w:pPr>
    <w:rPr>
      <w:b/>
      <w:sz w:val="28"/>
      <w:lang w:val="es-ES_tradnl"/>
    </w:rPr>
  </w:style>
  <w:style w:type="character" w:styleId="EndnoteReference">
    <w:name w:val="endnote reference"/>
    <w:rsid w:val="00256167"/>
    <w:rPr>
      <w:vertAlign w:val="superscript"/>
    </w:rPr>
  </w:style>
  <w:style w:type="paragraph" w:customStyle="1" w:styleId="Figurewithouttitle">
    <w:name w:val="Figure_without_title"/>
    <w:basedOn w:val="Normal"/>
    <w:next w:val="Normalaftertitle"/>
    <w:rsid w:val="00256167"/>
    <w:pPr>
      <w:keepLines/>
      <w:spacing w:before="240" w:after="120"/>
      <w:jc w:val="center"/>
    </w:pPr>
    <w:rPr>
      <w:lang w:val="es-ES_tradnl"/>
    </w:rPr>
  </w:style>
  <w:style w:type="paragraph" w:customStyle="1" w:styleId="FirstFooter">
    <w:name w:val="FirstFooter"/>
    <w:basedOn w:val="Footer"/>
    <w:rsid w:val="00256167"/>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256167"/>
    <w:pPr>
      <w:spacing w:before="840" w:after="200"/>
      <w:jc w:val="center"/>
    </w:pPr>
    <w:rPr>
      <w:b/>
      <w:sz w:val="28"/>
      <w:lang w:val="es-ES_tradnl"/>
    </w:rPr>
  </w:style>
  <w:style w:type="paragraph" w:customStyle="1" w:styleId="SpecialFooter">
    <w:name w:val="Special Footer"/>
    <w:basedOn w:val="Footer"/>
    <w:rsid w:val="00256167"/>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256167"/>
    <w:pPr>
      <w:keepNext/>
      <w:spacing w:before="0" w:after="120"/>
      <w:jc w:val="center"/>
    </w:pPr>
    <w:rPr>
      <w:lang w:val="es-ES_tradnl"/>
    </w:rPr>
  </w:style>
  <w:style w:type="paragraph" w:customStyle="1" w:styleId="Title1">
    <w:name w:val="Title 1"/>
    <w:basedOn w:val="Source"/>
    <w:next w:val="Title2"/>
    <w:rsid w:val="0025616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56167"/>
  </w:style>
  <w:style w:type="paragraph" w:customStyle="1" w:styleId="Title3">
    <w:name w:val="Title 3"/>
    <w:basedOn w:val="Title2"/>
    <w:next w:val="Title4"/>
    <w:rsid w:val="00256167"/>
    <w:rPr>
      <w:caps w:val="0"/>
    </w:rPr>
  </w:style>
  <w:style w:type="paragraph" w:customStyle="1" w:styleId="Title4">
    <w:name w:val="Title 4"/>
    <w:basedOn w:val="Title3"/>
    <w:next w:val="Heading1"/>
    <w:rsid w:val="00256167"/>
    <w:rPr>
      <w:b/>
    </w:rPr>
  </w:style>
  <w:style w:type="character" w:customStyle="1" w:styleId="Appdef">
    <w:name w:val="App_def"/>
    <w:rsid w:val="00256167"/>
    <w:rPr>
      <w:rFonts w:ascii="Times New Roman" w:hAnsi="Times New Roman"/>
      <w:b/>
    </w:rPr>
  </w:style>
  <w:style w:type="character" w:customStyle="1" w:styleId="Appref">
    <w:name w:val="App_ref"/>
    <w:rsid w:val="00256167"/>
  </w:style>
  <w:style w:type="character" w:customStyle="1" w:styleId="Artdef">
    <w:name w:val="Art_def"/>
    <w:rsid w:val="00256167"/>
    <w:rPr>
      <w:rFonts w:ascii="Times New Roman" w:hAnsi="Times New Roman"/>
      <w:b/>
    </w:rPr>
  </w:style>
  <w:style w:type="character" w:customStyle="1" w:styleId="Artref">
    <w:name w:val="Art_ref"/>
    <w:rsid w:val="00256167"/>
  </w:style>
  <w:style w:type="character" w:customStyle="1" w:styleId="Recdef">
    <w:name w:val="Rec_def"/>
    <w:rsid w:val="00256167"/>
    <w:rPr>
      <w:b/>
    </w:rPr>
  </w:style>
  <w:style w:type="character" w:customStyle="1" w:styleId="Resdef">
    <w:name w:val="Res_def"/>
    <w:rsid w:val="00256167"/>
    <w:rPr>
      <w:rFonts w:ascii="Times New Roman" w:hAnsi="Times New Roman"/>
      <w:b/>
    </w:rPr>
  </w:style>
  <w:style w:type="character" w:customStyle="1" w:styleId="Tablefreq">
    <w:name w:val="Table_freq"/>
    <w:rsid w:val="00256167"/>
    <w:rPr>
      <w:b/>
      <w:color w:val="auto"/>
    </w:rPr>
  </w:style>
  <w:style w:type="paragraph" w:customStyle="1" w:styleId="Formal">
    <w:name w:val="Formal"/>
    <w:basedOn w:val="ASN1"/>
    <w:rsid w:val="00256167"/>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256167"/>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256167"/>
    <w:pPr>
      <w:tabs>
        <w:tab w:val="clear" w:pos="794"/>
        <w:tab w:val="clear" w:pos="1191"/>
        <w:tab w:val="clear" w:pos="1588"/>
        <w:tab w:val="clear" w:pos="1985"/>
      </w:tabs>
      <w:spacing w:before="240"/>
      <w:jc w:val="center"/>
    </w:pPr>
    <w:rPr>
      <w:i/>
      <w:lang w:val="es-ES_tradnl"/>
    </w:rPr>
  </w:style>
  <w:style w:type="paragraph" w:customStyle="1" w:styleId="Rec">
    <w:name w:val="Rec_#"/>
    <w:basedOn w:val="Normal"/>
    <w:next w:val="RecTitle0"/>
    <w:rsid w:val="00256167"/>
    <w:pPr>
      <w:keepNext/>
      <w:keepLines/>
      <w:tabs>
        <w:tab w:val="clear" w:pos="794"/>
        <w:tab w:val="clear" w:pos="1191"/>
        <w:tab w:val="clear" w:pos="1588"/>
        <w:tab w:val="clear" w:pos="1985"/>
        <w:tab w:val="center" w:pos="4849"/>
        <w:tab w:val="right" w:pos="9696"/>
      </w:tabs>
      <w:spacing w:before="720"/>
      <w:jc w:val="center"/>
    </w:pPr>
    <w:rPr>
      <w:sz w:val="20"/>
      <w:lang w:val="en-GB"/>
    </w:rPr>
  </w:style>
  <w:style w:type="character" w:customStyle="1" w:styleId="BlancChar">
    <w:name w:val="Blanc Char"/>
    <w:link w:val="Blanc"/>
    <w:rsid w:val="00256167"/>
    <w:rPr>
      <w:sz w:val="16"/>
      <w:lang w:val="en-GB" w:eastAsia="en-US"/>
    </w:rPr>
  </w:style>
  <w:style w:type="character" w:styleId="PlaceholderText">
    <w:name w:val="Placeholder Text"/>
    <w:basedOn w:val="DefaultParagraphFont"/>
    <w:uiPriority w:val="99"/>
    <w:semiHidden/>
    <w:rsid w:val="000850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0.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header" Target="header7.xml"/><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oleObject" Target="embeddings/oleObject53.bin"/><Relationship Id="rId128" Type="http://schemas.openxmlformats.org/officeDocument/2006/relationships/image" Target="media/image57.wmf"/><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39.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2.wmf"/><Relationship Id="rId126" Type="http://schemas.openxmlformats.org/officeDocument/2006/relationships/image" Target="media/image56.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header" Target="header6.xml"/><Relationship Id="rId80" Type="http://schemas.openxmlformats.org/officeDocument/2006/relationships/image" Target="media/image33.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3.bin"/><Relationship Id="rId108" Type="http://schemas.openxmlformats.org/officeDocument/2006/relationships/image" Target="media/image47.wmf"/><Relationship Id="rId116" Type="http://schemas.openxmlformats.org/officeDocument/2006/relationships/image" Target="media/image51.wmf"/><Relationship Id="rId124" Type="http://schemas.openxmlformats.org/officeDocument/2006/relationships/image" Target="media/image55.wmf"/><Relationship Id="rId129" Type="http://schemas.openxmlformats.org/officeDocument/2006/relationships/oleObject" Target="embeddings/oleObject56.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header" Target="header8.xml"/><Relationship Id="rId83" Type="http://schemas.openxmlformats.org/officeDocument/2006/relationships/oleObject" Target="embeddings/oleObject33.bin"/><Relationship Id="rId88" Type="http://schemas.openxmlformats.org/officeDocument/2006/relationships/image" Target="media/image37.wmf"/><Relationship Id="rId91" Type="http://schemas.openxmlformats.org/officeDocument/2006/relationships/oleObject" Target="embeddings/oleObject37.bin"/><Relationship Id="rId96"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footer" Target="footer1.xml"/><Relationship Id="rId78" Type="http://schemas.openxmlformats.org/officeDocument/2006/relationships/image" Target="media/image32.w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3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6.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1.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4.bin"/><Relationship Id="rId7" Type="http://schemas.openxmlformats.org/officeDocument/2006/relationships/footnotes" Target="footnotes.xml"/><Relationship Id="rId71" Type="http://schemas.openxmlformats.org/officeDocument/2006/relationships/header" Target="header5.xml"/><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header" Target="header10.xml"/><Relationship Id="rId61" Type="http://schemas.openxmlformats.org/officeDocument/2006/relationships/image" Target="media/image26.wmf"/><Relationship Id="rId82" Type="http://schemas.openxmlformats.org/officeDocument/2006/relationships/image" Target="media/image34.wmf"/><Relationship Id="rId19"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3EB11-0FE5-4A5D-A5F3-97AA507F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222</TotalTime>
  <Pages>50</Pages>
  <Words>15525</Words>
  <Characters>81955</Characters>
  <Application>Microsoft Office Word</Application>
  <DocSecurity>0</DocSecurity>
  <Lines>682</Lines>
  <Paragraphs>194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41</cp:revision>
  <cp:lastPrinted>2011-09-06T08:40:00Z</cp:lastPrinted>
  <dcterms:created xsi:type="dcterms:W3CDTF">2011-09-05T12:48:00Z</dcterms:created>
  <dcterms:modified xsi:type="dcterms:W3CDTF">2011-09-06T11:56:00Z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