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3F859C" w14:textId="77777777" w:rsidR="00DF52C7" w:rsidRPr="00575CB8" w:rsidRDefault="00DF52C7" w:rsidP="00DF52C7">
      <w:pPr>
        <w:rPr>
          <w:lang w:val="en-US"/>
        </w:rPr>
      </w:pPr>
      <w:bookmarkStart w:id="0" w:name="dbreak"/>
      <w:bookmarkEnd w:id="0"/>
    </w:p>
    <w:p w14:paraId="67F591F4" w14:textId="77777777" w:rsidR="00DF52C7" w:rsidRDefault="00DF52C7" w:rsidP="00DF52C7"/>
    <w:p w14:paraId="52ED2724" w14:textId="77777777" w:rsidR="00DF52C7" w:rsidRDefault="00DF52C7" w:rsidP="00DF52C7"/>
    <w:p w14:paraId="6F036053" w14:textId="77777777" w:rsidR="00DF52C7" w:rsidRDefault="00DF52C7" w:rsidP="00DF52C7"/>
    <w:p w14:paraId="6F933E98" w14:textId="77777777" w:rsidR="00DF52C7" w:rsidRDefault="00DF52C7" w:rsidP="00DF52C7"/>
    <w:p w14:paraId="7ED54387" w14:textId="77777777" w:rsidR="00DF52C7" w:rsidRDefault="00DF52C7" w:rsidP="00DF52C7"/>
    <w:p w14:paraId="568C8B0D" w14:textId="77777777" w:rsidR="00DF52C7" w:rsidRDefault="00DF52C7" w:rsidP="00DF52C7"/>
    <w:p w14:paraId="68BF590C" w14:textId="77777777" w:rsidR="00DF52C7" w:rsidRDefault="00DF52C7" w:rsidP="00DF52C7"/>
    <w:p w14:paraId="0FC80DB5" w14:textId="77777777" w:rsidR="00D8159A" w:rsidRDefault="00D8159A" w:rsidP="00DF52C7"/>
    <w:p w14:paraId="08C2A542" w14:textId="77777777" w:rsidR="00D8159A" w:rsidRDefault="00D8159A" w:rsidP="00DF52C7"/>
    <w:p w14:paraId="2E4A99E9" w14:textId="77777777" w:rsidR="00DF52C7" w:rsidRDefault="00DF52C7" w:rsidP="00DF52C7"/>
    <w:p w14:paraId="7EFF5DAD" w14:textId="77777777" w:rsidR="00DF52C7" w:rsidRDefault="00DF52C7" w:rsidP="00DF52C7"/>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DF52C7" w:rsidRPr="00621493" w14:paraId="69093160" w14:textId="77777777" w:rsidTr="008760D9">
        <w:tc>
          <w:tcPr>
            <w:tcW w:w="10089" w:type="dxa"/>
          </w:tcPr>
          <w:p w14:paraId="25B9B47A" w14:textId="77777777" w:rsidR="00DF52C7" w:rsidRPr="0010336F" w:rsidRDefault="00DF52C7" w:rsidP="008760D9">
            <w:pPr>
              <w:spacing w:before="380" w:line="280" w:lineRule="exact"/>
              <w:jc w:val="right"/>
              <w:rPr>
                <w:rFonts w:ascii="Tahoma" w:hAnsi="Tahoma" w:cs="Tahoma"/>
                <w:b/>
                <w:bCs/>
                <w:iCs/>
                <w:color w:val="243285"/>
                <w:sz w:val="32"/>
                <w:szCs w:val="32"/>
                <w:lang w:val="en-US"/>
              </w:rPr>
            </w:pPr>
          </w:p>
          <w:p w14:paraId="604D8542" w14:textId="77777777" w:rsidR="00DF52C7" w:rsidRPr="0010336F" w:rsidRDefault="00DF52C7" w:rsidP="008760D9">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SM</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1009-1</w:t>
            </w:r>
          </w:p>
          <w:p w14:paraId="18FE261F" w14:textId="77777777" w:rsidR="00DF52C7" w:rsidRPr="0010336F" w:rsidRDefault="00DF52C7" w:rsidP="008760D9">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10</w:t>
            </w:r>
            <w:r w:rsidRPr="0010336F">
              <w:rPr>
                <w:rFonts w:ascii="Tahoma" w:hAnsi="Tahoma" w:cs="Tahoma"/>
                <w:b/>
                <w:bCs/>
                <w:iCs/>
                <w:color w:val="243285"/>
                <w:szCs w:val="24"/>
                <w:lang w:val="es-ES_tradnl"/>
              </w:rPr>
              <w:t>/</w:t>
            </w:r>
            <w:r>
              <w:rPr>
                <w:rFonts w:ascii="Tahoma" w:hAnsi="Tahoma" w:cs="Tahoma"/>
                <w:b/>
                <w:bCs/>
                <w:iCs/>
                <w:color w:val="243285"/>
                <w:szCs w:val="24"/>
                <w:lang w:val="es-ES_tradnl"/>
              </w:rPr>
              <w:t>1995</w:t>
            </w:r>
            <w:r w:rsidRPr="0010336F">
              <w:rPr>
                <w:rFonts w:ascii="Tahoma" w:hAnsi="Tahoma" w:cs="Tahoma"/>
                <w:b/>
                <w:bCs/>
                <w:iCs/>
                <w:color w:val="243285"/>
                <w:szCs w:val="24"/>
                <w:lang w:val="es-ES_tradnl"/>
              </w:rPr>
              <w:t>)</w:t>
            </w:r>
          </w:p>
        </w:tc>
      </w:tr>
      <w:tr w:rsidR="00DF52C7" w:rsidRPr="00AC3FDE" w14:paraId="2ABA7066" w14:textId="77777777" w:rsidTr="008760D9">
        <w:tc>
          <w:tcPr>
            <w:tcW w:w="10089" w:type="dxa"/>
          </w:tcPr>
          <w:p w14:paraId="20B81FF8" w14:textId="77777777" w:rsidR="00DF52C7" w:rsidRPr="0010336F" w:rsidRDefault="00DF52C7" w:rsidP="008760D9">
            <w:pPr>
              <w:spacing w:before="80" w:line="500" w:lineRule="exact"/>
              <w:jc w:val="right"/>
              <w:rPr>
                <w:rFonts w:ascii="Tahoma" w:hAnsi="Tahoma" w:cs="Tahoma"/>
                <w:b/>
                <w:bCs/>
                <w:iCs/>
                <w:color w:val="243285"/>
                <w:sz w:val="44"/>
                <w:szCs w:val="44"/>
                <w:lang w:val="es-ES_tradnl"/>
              </w:rPr>
            </w:pPr>
          </w:p>
          <w:p w14:paraId="52AF3CBE" w14:textId="77777777" w:rsidR="00DF52C7" w:rsidRDefault="00DF52C7" w:rsidP="008760D9">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Compatibilidad entre el servicio</w:t>
            </w:r>
            <w:r>
              <w:rPr>
                <w:rFonts w:ascii="Tahoma" w:hAnsi="Tahoma" w:cs="Tahoma"/>
                <w:b/>
                <w:bCs/>
                <w:color w:val="243285"/>
                <w:sz w:val="44"/>
                <w:szCs w:val="44"/>
                <w:lang w:val="es-ES_tradnl"/>
              </w:rPr>
              <w:br/>
              <w:t>de radiodifusión sonora en la banda</w:t>
            </w:r>
            <w:r>
              <w:rPr>
                <w:rFonts w:ascii="Tahoma" w:hAnsi="Tahoma" w:cs="Tahoma"/>
                <w:b/>
                <w:bCs/>
                <w:color w:val="243285"/>
                <w:sz w:val="44"/>
                <w:szCs w:val="44"/>
                <w:lang w:val="es-ES_tradnl"/>
              </w:rPr>
              <w:br/>
              <w:t>de aproximadamente 87-108 MHz</w:t>
            </w:r>
            <w:r>
              <w:rPr>
                <w:rFonts w:ascii="Tahoma" w:hAnsi="Tahoma" w:cs="Tahoma"/>
                <w:b/>
                <w:bCs/>
                <w:color w:val="243285"/>
                <w:sz w:val="44"/>
                <w:szCs w:val="44"/>
                <w:lang w:val="es-ES_tradnl"/>
              </w:rPr>
              <w:br/>
              <w:t>y los servicios aeronáuticos</w:t>
            </w:r>
            <w:r>
              <w:rPr>
                <w:rFonts w:ascii="Tahoma" w:hAnsi="Tahoma" w:cs="Tahoma"/>
                <w:b/>
                <w:bCs/>
                <w:color w:val="243285"/>
                <w:sz w:val="44"/>
                <w:szCs w:val="44"/>
                <w:lang w:val="es-ES_tradnl"/>
              </w:rPr>
              <w:br/>
              <w:t>en la banda 108-137 MHz</w:t>
            </w:r>
          </w:p>
          <w:p w14:paraId="27BA2216" w14:textId="77777777" w:rsidR="00DF52C7" w:rsidRPr="0010336F" w:rsidRDefault="00DF52C7" w:rsidP="008760D9">
            <w:pPr>
              <w:spacing w:before="80" w:line="500" w:lineRule="exact"/>
              <w:jc w:val="right"/>
              <w:rPr>
                <w:rFonts w:ascii="Tahoma" w:hAnsi="Tahoma" w:cs="Tahoma"/>
                <w:b/>
                <w:bCs/>
                <w:iCs/>
                <w:color w:val="243285"/>
                <w:sz w:val="44"/>
                <w:szCs w:val="44"/>
                <w:lang w:val="es-ES_tradnl"/>
              </w:rPr>
            </w:pPr>
          </w:p>
        </w:tc>
      </w:tr>
      <w:tr w:rsidR="00DF52C7" w:rsidRPr="00AC3FDE" w14:paraId="7ADCF43A" w14:textId="77777777" w:rsidTr="008760D9">
        <w:tc>
          <w:tcPr>
            <w:tcW w:w="10089" w:type="dxa"/>
          </w:tcPr>
          <w:p w14:paraId="4D76BAB1" w14:textId="77777777" w:rsidR="00DF52C7" w:rsidRPr="0010336F" w:rsidRDefault="00DF52C7" w:rsidP="008760D9">
            <w:pPr>
              <w:spacing w:before="80" w:line="280" w:lineRule="exact"/>
              <w:ind w:right="640"/>
              <w:rPr>
                <w:rFonts w:ascii="Tahoma" w:hAnsi="Tahoma" w:cs="Tahoma"/>
                <w:b/>
                <w:bCs/>
                <w:iCs/>
                <w:color w:val="243285"/>
                <w:sz w:val="32"/>
                <w:szCs w:val="32"/>
                <w:lang w:val="es-ES_tradnl"/>
              </w:rPr>
            </w:pPr>
          </w:p>
          <w:p w14:paraId="5EE4F6A2" w14:textId="77777777" w:rsidR="00DF52C7" w:rsidRPr="0010336F" w:rsidRDefault="00DF52C7" w:rsidP="008760D9">
            <w:pPr>
              <w:spacing w:before="80" w:line="280" w:lineRule="exact"/>
              <w:ind w:right="640"/>
              <w:rPr>
                <w:rFonts w:ascii="Tahoma" w:hAnsi="Tahoma" w:cs="Tahoma"/>
                <w:b/>
                <w:bCs/>
                <w:iCs/>
                <w:color w:val="243285"/>
                <w:sz w:val="32"/>
                <w:szCs w:val="32"/>
                <w:lang w:val="es-ES_tradnl"/>
              </w:rPr>
            </w:pPr>
          </w:p>
          <w:p w14:paraId="10D698FE" w14:textId="77777777" w:rsidR="00DF52C7" w:rsidRPr="0010336F" w:rsidRDefault="00DF52C7" w:rsidP="008760D9">
            <w:pPr>
              <w:spacing w:before="80" w:after="180" w:line="360" w:lineRule="exact"/>
              <w:ind w:right="720"/>
              <w:rPr>
                <w:rFonts w:ascii="Tahoma" w:hAnsi="Tahoma" w:cs="Tahoma"/>
                <w:b/>
                <w:bCs/>
                <w:iCs/>
                <w:color w:val="243285"/>
                <w:sz w:val="36"/>
                <w:szCs w:val="36"/>
                <w:lang w:val="es-ES_tradnl"/>
              </w:rPr>
            </w:pPr>
          </w:p>
          <w:p w14:paraId="13B81095" w14:textId="77777777" w:rsidR="00DF52C7" w:rsidRPr="0010336F" w:rsidRDefault="00DF52C7" w:rsidP="008760D9">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SM</w:t>
            </w:r>
          </w:p>
          <w:p w14:paraId="1760E279" w14:textId="77777777" w:rsidR="00DF52C7" w:rsidRPr="0010336F" w:rsidRDefault="00DF52C7" w:rsidP="008760D9">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Gestión del espectro</w:t>
            </w:r>
          </w:p>
        </w:tc>
      </w:tr>
    </w:tbl>
    <w:p w14:paraId="09923EB9" w14:textId="77777777" w:rsidR="00DF52C7" w:rsidRPr="0026666F" w:rsidRDefault="00DF52C7" w:rsidP="00DF52C7">
      <w:pPr>
        <w:spacing w:before="80"/>
        <w:rPr>
          <w:i/>
          <w:sz w:val="22"/>
          <w:lang w:val="es-ES_tradnl"/>
        </w:rPr>
      </w:pPr>
    </w:p>
    <w:p w14:paraId="4A7CF72E" w14:textId="77777777" w:rsidR="00DF52C7" w:rsidRPr="0026666F" w:rsidRDefault="00DF52C7" w:rsidP="00DF52C7">
      <w:pPr>
        <w:spacing w:before="80"/>
        <w:rPr>
          <w:i/>
          <w:sz w:val="22"/>
          <w:lang w:val="es-ES_tradnl"/>
        </w:rPr>
      </w:pPr>
    </w:p>
    <w:p w14:paraId="37236D7D" w14:textId="77777777" w:rsidR="00DF52C7" w:rsidRPr="0026666F" w:rsidRDefault="00DF52C7" w:rsidP="00DF52C7">
      <w:pPr>
        <w:spacing w:before="80"/>
        <w:rPr>
          <w:i/>
          <w:sz w:val="22"/>
          <w:lang w:val="es-ES_tradnl"/>
        </w:rPr>
      </w:pPr>
    </w:p>
    <w:p w14:paraId="652C1CB7" w14:textId="77777777" w:rsidR="00DF52C7" w:rsidRPr="0026666F" w:rsidRDefault="00DF52C7" w:rsidP="00DF52C7">
      <w:pPr>
        <w:spacing w:before="80"/>
        <w:rPr>
          <w:i/>
          <w:sz w:val="22"/>
          <w:lang w:val="es-ES_tradnl"/>
        </w:rPr>
      </w:pPr>
    </w:p>
    <w:p w14:paraId="68567D2F" w14:textId="77777777" w:rsidR="00DF52C7" w:rsidRPr="0026666F" w:rsidRDefault="00DF52C7" w:rsidP="00DF52C7">
      <w:pPr>
        <w:spacing w:before="80"/>
        <w:rPr>
          <w:i/>
          <w:sz w:val="22"/>
          <w:lang w:val="es-ES_tradnl"/>
        </w:rPr>
      </w:pPr>
    </w:p>
    <w:p w14:paraId="590D52B5" w14:textId="77777777" w:rsidR="00DF52C7" w:rsidRPr="0026666F" w:rsidRDefault="00DF52C7" w:rsidP="00DF52C7">
      <w:pPr>
        <w:spacing w:before="80"/>
        <w:rPr>
          <w:i/>
          <w:sz w:val="22"/>
          <w:lang w:val="es-ES_tradnl"/>
        </w:rPr>
      </w:pPr>
    </w:p>
    <w:p w14:paraId="6F2AD366" w14:textId="77777777" w:rsidR="00DF52C7" w:rsidRPr="0026666F" w:rsidRDefault="00DF52C7" w:rsidP="00DF52C7">
      <w:pPr>
        <w:pStyle w:val="Equation"/>
        <w:tabs>
          <w:tab w:val="left" w:pos="1191"/>
          <w:tab w:val="left" w:pos="1588"/>
          <w:tab w:val="left" w:pos="1985"/>
        </w:tabs>
        <w:rPr>
          <w:rFonts w:ascii="Palatino Linotype" w:hAnsi="Palatino Linotype"/>
          <w:lang w:val="es-ES_tradnl"/>
        </w:rPr>
        <w:sectPr w:rsidR="00DF52C7" w:rsidRPr="0026666F">
          <w:headerReference w:type="even" r:id="rId6"/>
          <w:headerReference w:type="default" r:id="rId7"/>
          <w:pgSz w:w="11907" w:h="16840" w:code="9"/>
          <w:pgMar w:top="1089" w:right="1089" w:bottom="284" w:left="1089" w:header="567" w:footer="284" w:gutter="0"/>
          <w:pgNumType w:start="1"/>
          <w:cols w:space="720"/>
        </w:sectPr>
      </w:pPr>
    </w:p>
    <w:p w14:paraId="58FCF49A" w14:textId="77777777" w:rsidR="00DF52C7" w:rsidRPr="006C718C" w:rsidRDefault="00DF52C7" w:rsidP="00DF52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14:paraId="7B409E38" w14:textId="77777777" w:rsidR="00DF52C7" w:rsidRPr="006C718C" w:rsidRDefault="00DF52C7" w:rsidP="00DF52C7">
      <w:pPr>
        <w:spacing w:before="180"/>
        <w:rPr>
          <w:lang w:val="es-ES_tradnl"/>
        </w:rPr>
      </w:pPr>
      <w:r w:rsidRPr="006C718C">
        <w:rPr>
          <w:lang w:val="es-ES_tradnl"/>
        </w:rPr>
        <w:t>El Sector de Radiocomunicaciones tiene como cometido garantizar la utilizaci</w:t>
      </w:r>
      <w:r>
        <w:rPr>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7902C838" w14:textId="77777777" w:rsidR="00DF52C7" w:rsidRPr="006C718C" w:rsidRDefault="00DF52C7" w:rsidP="00DF52C7">
      <w:pPr>
        <w:rPr>
          <w:lang w:val="es-ES_tradnl"/>
        </w:rPr>
      </w:pPr>
      <w:r w:rsidRPr="006C718C">
        <w:rPr>
          <w:lang w:val="es-ES_tradnl"/>
        </w:rPr>
        <w:t>Las Conferencias Mundiales y Regionales de Radiocomunicaciones y las Asambleas de Radiocomunicaciones, c</w:t>
      </w:r>
      <w:r>
        <w:rPr>
          <w:lang w:val="es-ES_tradnl"/>
        </w:rPr>
        <w:t>on la colaboración de las Comisiones de Estudio, cumplen las funciones reglamentarias y políticas del Sector de Radiocomunicaciones.</w:t>
      </w:r>
    </w:p>
    <w:p w14:paraId="7AC81289" w14:textId="77777777" w:rsidR="00DF52C7" w:rsidRPr="00021E8A" w:rsidRDefault="00DF52C7" w:rsidP="00DF52C7">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687C1E42" w14:textId="77777777" w:rsidR="00DF52C7" w:rsidRPr="00021E8A" w:rsidRDefault="00DF52C7" w:rsidP="00DF52C7">
      <w:pPr>
        <w:spacing w:before="180"/>
        <w:rPr>
          <w:lang w:val="es-ES_tradnl"/>
        </w:rPr>
      </w:pPr>
      <w:r w:rsidRPr="00021E8A">
        <w:rPr>
          <w:lang w:val="es-ES_tradnl"/>
        </w:rPr>
        <w:t>La política del UIT</w:t>
      </w:r>
      <w:r w:rsidRPr="00021E8A">
        <w:rPr>
          <w:lang w:val="es-ES_tradnl"/>
        </w:rPr>
        <w:noBreakHyphen/>
        <w:t>R sobre Derechos de Propiedad Intelectual se describe en la Política Común de Patentes UIT</w:t>
      </w:r>
      <w:r w:rsidRPr="00021E8A">
        <w:rPr>
          <w:lang w:val="es-ES_tradnl"/>
        </w:rPr>
        <w:noBreakHyphen/>
        <w:t>T/UIT</w:t>
      </w:r>
      <w:r w:rsidRPr="00021E8A">
        <w:rPr>
          <w:lang w:val="es-ES_tradnl"/>
        </w:rPr>
        <w:noBreakHyphen/>
        <w:t>R/ISO/CEI a la que se hace referencia en el Anexo 1 a la Resolución UIT</w:t>
      </w:r>
      <w:r w:rsidRPr="00021E8A">
        <w:rPr>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lang w:val="es-ES_tradnl"/>
          </w:rPr>
          <w:t>http://www.itu.int/ITU-R/go/patents/es</w:t>
        </w:r>
      </w:hyperlink>
      <w:r w:rsidRPr="00021E8A">
        <w:rPr>
          <w:lang w:val="es-ES_tradnl"/>
        </w:rPr>
        <w:t>, donde también aparecen las Directrices para la implementación de la Política Común de Patentes UIT</w:t>
      </w:r>
      <w:r w:rsidRPr="00021E8A">
        <w:rPr>
          <w:lang w:val="es-ES_tradnl"/>
        </w:rPr>
        <w:noBreakHyphen/>
        <w:t>T/UIT</w:t>
      </w:r>
      <w:r w:rsidRPr="00021E8A">
        <w:rPr>
          <w:lang w:val="es-ES_tradnl"/>
        </w:rPr>
        <w:noBreakHyphen/>
        <w:t>R/ISO/CEI y la base de datos sobre información de patentes del UIT</w:t>
      </w:r>
      <w:r w:rsidRPr="00021E8A">
        <w:rPr>
          <w:lang w:val="es-ES_tradnl"/>
        </w:rPr>
        <w:noBreakHyphen/>
        <w:t>R sobre este asunto.</w:t>
      </w:r>
    </w:p>
    <w:p w14:paraId="7CA1B9FE" w14:textId="77777777" w:rsidR="00DF52C7" w:rsidRPr="007C36CA" w:rsidRDefault="00DF52C7" w:rsidP="00DF52C7">
      <w:pPr>
        <w:spacing w:before="0"/>
        <w:jc w:val="center"/>
        <w:rPr>
          <w:sz w:val="22"/>
          <w:lang w:val="es-ES_tradnl"/>
        </w:rPr>
      </w:pPr>
    </w:p>
    <w:p w14:paraId="63693451" w14:textId="77777777" w:rsidR="00DF52C7" w:rsidRPr="007C36CA" w:rsidRDefault="00DF52C7" w:rsidP="00DF52C7">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F52C7" w:rsidRPr="00AC3FDE" w14:paraId="6A59FC54" w14:textId="77777777" w:rsidTr="008760D9">
        <w:tc>
          <w:tcPr>
            <w:tcW w:w="9360" w:type="dxa"/>
            <w:gridSpan w:val="2"/>
          </w:tcPr>
          <w:p w14:paraId="5608E8C2" w14:textId="77777777" w:rsidR="00DF52C7" w:rsidRPr="00021E8A" w:rsidRDefault="00DF52C7" w:rsidP="008760D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2ED63272" w14:textId="77777777" w:rsidR="00DF52C7" w:rsidRPr="00763D08" w:rsidRDefault="00DF52C7" w:rsidP="008760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DF52C7" w:rsidRPr="00036EE3" w14:paraId="312C939A" w14:textId="77777777" w:rsidTr="008760D9">
        <w:tc>
          <w:tcPr>
            <w:tcW w:w="1140" w:type="dxa"/>
            <w:tcBorders>
              <w:bottom w:val="nil"/>
            </w:tcBorders>
          </w:tcPr>
          <w:p w14:paraId="19321635" w14:textId="77777777" w:rsidR="00DF52C7" w:rsidRPr="00036EE3" w:rsidRDefault="00DF52C7" w:rsidP="008760D9">
            <w:pPr>
              <w:spacing w:before="180" w:after="100"/>
              <w:ind w:left="57"/>
              <w:rPr>
                <w:b/>
                <w:bCs/>
                <w:lang w:val="en-US"/>
              </w:rPr>
            </w:pPr>
            <w:r w:rsidRPr="00036EE3">
              <w:rPr>
                <w:b/>
                <w:bCs/>
                <w:lang w:val="en-US"/>
              </w:rPr>
              <w:t>Series</w:t>
            </w:r>
          </w:p>
        </w:tc>
        <w:tc>
          <w:tcPr>
            <w:tcW w:w="8220" w:type="dxa"/>
            <w:tcBorders>
              <w:bottom w:val="nil"/>
            </w:tcBorders>
          </w:tcPr>
          <w:p w14:paraId="318AB41D" w14:textId="77777777" w:rsidR="00DF52C7" w:rsidRPr="00036EE3" w:rsidRDefault="00DF52C7" w:rsidP="008760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DF52C7" w:rsidRPr="004532F7" w14:paraId="189F93FA" w14:textId="77777777" w:rsidTr="008760D9">
        <w:tc>
          <w:tcPr>
            <w:tcW w:w="1140" w:type="dxa"/>
            <w:tcBorders>
              <w:top w:val="nil"/>
              <w:bottom w:val="nil"/>
            </w:tcBorders>
            <w:shd w:val="clear" w:color="auto" w:fill="auto"/>
          </w:tcPr>
          <w:p w14:paraId="16275756" w14:textId="77777777" w:rsidR="00DF52C7" w:rsidRPr="004532F7" w:rsidRDefault="00DF52C7" w:rsidP="008760D9">
            <w:pPr>
              <w:spacing w:before="30" w:after="30"/>
              <w:ind w:left="57"/>
              <w:jc w:val="left"/>
              <w:rPr>
                <w:b/>
                <w:bCs/>
                <w:lang w:val="en-US"/>
              </w:rPr>
            </w:pPr>
            <w:r w:rsidRPr="004532F7">
              <w:rPr>
                <w:b/>
                <w:bCs/>
                <w:lang w:val="en-US"/>
              </w:rPr>
              <w:t>BO</w:t>
            </w:r>
          </w:p>
        </w:tc>
        <w:tc>
          <w:tcPr>
            <w:tcW w:w="8220" w:type="dxa"/>
            <w:tcBorders>
              <w:top w:val="nil"/>
              <w:bottom w:val="nil"/>
            </w:tcBorders>
            <w:shd w:val="clear" w:color="auto" w:fill="auto"/>
          </w:tcPr>
          <w:p w14:paraId="7E4E304A" w14:textId="77777777" w:rsidR="00DF52C7" w:rsidRPr="004532F7" w:rsidRDefault="00DF52C7" w:rsidP="008760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DF52C7" w:rsidRPr="00AC3FDE" w14:paraId="77825BCB" w14:textId="77777777" w:rsidTr="008760D9">
        <w:tc>
          <w:tcPr>
            <w:tcW w:w="1140" w:type="dxa"/>
            <w:tcBorders>
              <w:top w:val="nil"/>
              <w:bottom w:val="nil"/>
            </w:tcBorders>
            <w:shd w:val="clear" w:color="auto" w:fill="auto"/>
          </w:tcPr>
          <w:p w14:paraId="3CFC927F" w14:textId="77777777" w:rsidR="00DF52C7" w:rsidRPr="006B22C3" w:rsidRDefault="00DF52C7" w:rsidP="008760D9">
            <w:pPr>
              <w:spacing w:before="30" w:after="30"/>
              <w:ind w:left="57"/>
              <w:jc w:val="left"/>
              <w:rPr>
                <w:b/>
                <w:bCs/>
                <w:lang w:val="en-US"/>
              </w:rPr>
            </w:pPr>
            <w:r w:rsidRPr="006B22C3">
              <w:rPr>
                <w:b/>
                <w:bCs/>
                <w:lang w:val="en-US"/>
              </w:rPr>
              <w:t>BR</w:t>
            </w:r>
          </w:p>
        </w:tc>
        <w:tc>
          <w:tcPr>
            <w:tcW w:w="8220" w:type="dxa"/>
            <w:tcBorders>
              <w:top w:val="nil"/>
              <w:bottom w:val="nil"/>
            </w:tcBorders>
            <w:shd w:val="clear" w:color="auto" w:fill="auto"/>
          </w:tcPr>
          <w:p w14:paraId="408CE036" w14:textId="77777777" w:rsidR="00DF52C7" w:rsidRPr="006B22C3" w:rsidRDefault="00DF52C7" w:rsidP="008760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DF52C7" w:rsidRPr="00847DD5" w14:paraId="61EE76DE" w14:textId="77777777" w:rsidTr="008760D9">
        <w:tc>
          <w:tcPr>
            <w:tcW w:w="1140" w:type="dxa"/>
            <w:tcBorders>
              <w:top w:val="nil"/>
              <w:bottom w:val="nil"/>
            </w:tcBorders>
            <w:shd w:val="clear" w:color="auto" w:fill="auto"/>
          </w:tcPr>
          <w:p w14:paraId="5F087554" w14:textId="77777777" w:rsidR="00DF52C7" w:rsidRPr="00847DD5" w:rsidRDefault="00DF52C7" w:rsidP="008760D9">
            <w:pPr>
              <w:spacing w:before="30" w:after="30"/>
              <w:ind w:left="57"/>
              <w:jc w:val="left"/>
              <w:rPr>
                <w:b/>
                <w:bCs/>
                <w:lang w:val="en-US"/>
              </w:rPr>
            </w:pPr>
            <w:r w:rsidRPr="00847DD5">
              <w:rPr>
                <w:b/>
                <w:bCs/>
                <w:lang w:val="en-US"/>
              </w:rPr>
              <w:t>BS</w:t>
            </w:r>
          </w:p>
        </w:tc>
        <w:tc>
          <w:tcPr>
            <w:tcW w:w="8220" w:type="dxa"/>
            <w:tcBorders>
              <w:top w:val="nil"/>
              <w:bottom w:val="nil"/>
            </w:tcBorders>
            <w:shd w:val="clear" w:color="auto" w:fill="auto"/>
          </w:tcPr>
          <w:p w14:paraId="6289F7A6" w14:textId="77777777" w:rsidR="00DF52C7" w:rsidRPr="00847DD5" w:rsidRDefault="00DF52C7" w:rsidP="008760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847DD5">
              <w:rPr>
                <w:b w:val="0"/>
                <w:sz w:val="20"/>
              </w:rPr>
              <w:t>Servicio</w:t>
            </w:r>
            <w:proofErr w:type="spellEnd"/>
            <w:r w:rsidRPr="00847DD5">
              <w:rPr>
                <w:b w:val="0"/>
                <w:sz w:val="20"/>
              </w:rPr>
              <w:t xml:space="preserve"> de </w:t>
            </w:r>
            <w:proofErr w:type="spellStart"/>
            <w:r w:rsidRPr="00847DD5">
              <w:rPr>
                <w:b w:val="0"/>
                <w:sz w:val="20"/>
              </w:rPr>
              <w:t>radiodifusión</w:t>
            </w:r>
            <w:proofErr w:type="spellEnd"/>
            <w:r w:rsidRPr="00847DD5">
              <w:rPr>
                <w:b w:val="0"/>
                <w:sz w:val="20"/>
              </w:rPr>
              <w:t xml:space="preserve"> </w:t>
            </w:r>
            <w:proofErr w:type="spellStart"/>
            <w:r w:rsidRPr="00847DD5">
              <w:rPr>
                <w:b w:val="0"/>
                <w:sz w:val="20"/>
              </w:rPr>
              <w:t>sonora</w:t>
            </w:r>
            <w:proofErr w:type="spellEnd"/>
          </w:p>
        </w:tc>
      </w:tr>
      <w:tr w:rsidR="00DF52C7" w:rsidRPr="00ED2695" w14:paraId="20B4A1FD" w14:textId="77777777" w:rsidTr="008760D9">
        <w:tc>
          <w:tcPr>
            <w:tcW w:w="1140" w:type="dxa"/>
            <w:tcBorders>
              <w:top w:val="nil"/>
              <w:bottom w:val="nil"/>
            </w:tcBorders>
            <w:shd w:val="clear" w:color="auto" w:fill="auto"/>
          </w:tcPr>
          <w:p w14:paraId="1452FB24" w14:textId="77777777" w:rsidR="00DF52C7" w:rsidRPr="00ED2695" w:rsidRDefault="00DF52C7" w:rsidP="008760D9">
            <w:pPr>
              <w:spacing w:before="30" w:after="30"/>
              <w:ind w:left="57"/>
              <w:jc w:val="left"/>
              <w:rPr>
                <w:b/>
                <w:bCs/>
                <w:lang w:val="en-US"/>
              </w:rPr>
            </w:pPr>
            <w:r w:rsidRPr="00ED2695">
              <w:rPr>
                <w:b/>
                <w:bCs/>
                <w:lang w:val="en-US"/>
              </w:rPr>
              <w:t>BT</w:t>
            </w:r>
          </w:p>
        </w:tc>
        <w:tc>
          <w:tcPr>
            <w:tcW w:w="8220" w:type="dxa"/>
            <w:tcBorders>
              <w:top w:val="nil"/>
              <w:bottom w:val="nil"/>
            </w:tcBorders>
            <w:shd w:val="clear" w:color="auto" w:fill="auto"/>
          </w:tcPr>
          <w:p w14:paraId="4E795B69" w14:textId="77777777" w:rsidR="00DF52C7" w:rsidRPr="00021E8A" w:rsidRDefault="00DF52C7" w:rsidP="008760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DF52C7" w:rsidRPr="00366CEE" w14:paraId="6260CC69" w14:textId="77777777" w:rsidTr="008760D9">
        <w:tc>
          <w:tcPr>
            <w:tcW w:w="1140" w:type="dxa"/>
            <w:tcBorders>
              <w:top w:val="nil"/>
              <w:bottom w:val="nil"/>
            </w:tcBorders>
            <w:shd w:val="clear" w:color="auto" w:fill="auto"/>
          </w:tcPr>
          <w:p w14:paraId="4CB72E64" w14:textId="77777777" w:rsidR="00DF52C7" w:rsidRPr="00366CEE" w:rsidRDefault="00DF52C7" w:rsidP="008760D9">
            <w:pPr>
              <w:spacing w:before="30" w:after="30"/>
              <w:ind w:left="57"/>
              <w:jc w:val="left"/>
              <w:rPr>
                <w:b/>
                <w:bCs/>
                <w:lang w:val="fr-CH"/>
              </w:rPr>
            </w:pPr>
            <w:r w:rsidRPr="00366CEE">
              <w:rPr>
                <w:b/>
                <w:bCs/>
                <w:lang w:val="fr-CH"/>
              </w:rPr>
              <w:t>F</w:t>
            </w:r>
          </w:p>
        </w:tc>
        <w:tc>
          <w:tcPr>
            <w:tcW w:w="8220" w:type="dxa"/>
            <w:tcBorders>
              <w:top w:val="nil"/>
              <w:bottom w:val="nil"/>
            </w:tcBorders>
            <w:shd w:val="clear" w:color="auto" w:fill="auto"/>
          </w:tcPr>
          <w:p w14:paraId="2A7B971C" w14:textId="77777777" w:rsidR="00DF52C7" w:rsidRPr="00366CEE" w:rsidRDefault="00DF52C7" w:rsidP="008760D9">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366CEE">
              <w:rPr>
                <w:sz w:val="20"/>
              </w:rPr>
              <w:t>Servicio</w:t>
            </w:r>
            <w:proofErr w:type="spellEnd"/>
            <w:r w:rsidRPr="00366CEE">
              <w:rPr>
                <w:sz w:val="20"/>
              </w:rPr>
              <w:t xml:space="preserve"> </w:t>
            </w:r>
            <w:proofErr w:type="spellStart"/>
            <w:r w:rsidRPr="00366CEE">
              <w:rPr>
                <w:sz w:val="20"/>
              </w:rPr>
              <w:t>fijo</w:t>
            </w:r>
            <w:proofErr w:type="spellEnd"/>
          </w:p>
        </w:tc>
      </w:tr>
      <w:tr w:rsidR="00DF52C7" w:rsidRPr="00AC3FDE" w14:paraId="6F31DEAD" w14:textId="77777777" w:rsidTr="008760D9">
        <w:tc>
          <w:tcPr>
            <w:tcW w:w="1140" w:type="dxa"/>
            <w:tcBorders>
              <w:top w:val="nil"/>
              <w:bottom w:val="nil"/>
            </w:tcBorders>
            <w:shd w:val="clear" w:color="auto" w:fill="auto"/>
          </w:tcPr>
          <w:p w14:paraId="368EBDAC" w14:textId="77777777" w:rsidR="00DF52C7" w:rsidRPr="0010336F" w:rsidRDefault="00DF52C7" w:rsidP="008760D9">
            <w:pPr>
              <w:spacing w:before="30" w:after="30"/>
              <w:ind w:left="57"/>
              <w:jc w:val="left"/>
              <w:rPr>
                <w:rFonts w:hAnsi="Times New Roman Bold"/>
                <w:b/>
                <w:bCs/>
                <w:lang w:val="en-US"/>
              </w:rPr>
            </w:pPr>
            <w:r w:rsidRPr="0010336F">
              <w:rPr>
                <w:rFonts w:hAnsi="Times New Roman Bold"/>
                <w:b/>
                <w:bCs/>
                <w:lang w:val="en-US"/>
              </w:rPr>
              <w:t>M</w:t>
            </w:r>
          </w:p>
        </w:tc>
        <w:tc>
          <w:tcPr>
            <w:tcW w:w="8220" w:type="dxa"/>
            <w:tcBorders>
              <w:top w:val="nil"/>
              <w:bottom w:val="nil"/>
            </w:tcBorders>
            <w:shd w:val="clear" w:color="auto" w:fill="auto"/>
          </w:tcPr>
          <w:p w14:paraId="1D0F4E0C" w14:textId="77777777" w:rsidR="00DF52C7" w:rsidRPr="0010336F" w:rsidRDefault="00DF52C7" w:rsidP="008760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DF52C7" w:rsidRPr="00AC3FDE" w14:paraId="3DC490B5" w14:textId="77777777" w:rsidTr="008760D9">
        <w:tc>
          <w:tcPr>
            <w:tcW w:w="1140" w:type="dxa"/>
            <w:tcBorders>
              <w:top w:val="nil"/>
              <w:bottom w:val="nil"/>
            </w:tcBorders>
            <w:shd w:val="clear" w:color="auto" w:fill="auto"/>
          </w:tcPr>
          <w:p w14:paraId="67387527" w14:textId="77777777" w:rsidR="00DF52C7" w:rsidRPr="00F95576" w:rsidRDefault="00DF52C7" w:rsidP="008760D9">
            <w:pPr>
              <w:spacing w:before="30" w:after="30"/>
              <w:ind w:left="57"/>
              <w:jc w:val="left"/>
              <w:rPr>
                <w:b/>
                <w:bCs/>
                <w:lang w:val="fr-CH"/>
              </w:rPr>
            </w:pPr>
            <w:r w:rsidRPr="00F95576">
              <w:rPr>
                <w:b/>
                <w:bCs/>
                <w:lang w:val="fr-CH"/>
              </w:rPr>
              <w:t>P</w:t>
            </w:r>
          </w:p>
        </w:tc>
        <w:tc>
          <w:tcPr>
            <w:tcW w:w="8220" w:type="dxa"/>
            <w:tcBorders>
              <w:top w:val="nil"/>
              <w:bottom w:val="nil"/>
            </w:tcBorders>
            <w:shd w:val="clear" w:color="auto" w:fill="auto"/>
          </w:tcPr>
          <w:p w14:paraId="7BF33EFE" w14:textId="77777777" w:rsidR="00DF52C7" w:rsidRPr="00F95576" w:rsidRDefault="00DF52C7" w:rsidP="008760D9">
            <w:pPr>
              <w:spacing w:before="30" w:after="30"/>
              <w:jc w:val="left"/>
              <w:rPr>
                <w:lang w:val="es-ES_tradnl"/>
              </w:rPr>
            </w:pPr>
            <w:r w:rsidRPr="00F95576">
              <w:rPr>
                <w:lang w:val="es-ES_tradnl"/>
              </w:rPr>
              <w:t>Propagación de las ondas radioeléctricas</w:t>
            </w:r>
          </w:p>
        </w:tc>
      </w:tr>
      <w:tr w:rsidR="00DF52C7" w:rsidRPr="00DE71F7" w14:paraId="3DBA3027" w14:textId="77777777" w:rsidTr="008760D9">
        <w:tc>
          <w:tcPr>
            <w:tcW w:w="1140" w:type="dxa"/>
            <w:tcBorders>
              <w:top w:val="nil"/>
              <w:bottom w:val="nil"/>
            </w:tcBorders>
            <w:shd w:val="clear" w:color="auto" w:fill="auto"/>
          </w:tcPr>
          <w:p w14:paraId="38F0421A" w14:textId="77777777" w:rsidR="00DF52C7" w:rsidRPr="00DE71F7" w:rsidRDefault="00DF52C7" w:rsidP="008760D9">
            <w:pPr>
              <w:spacing w:before="30" w:after="30"/>
              <w:ind w:left="57"/>
              <w:jc w:val="left"/>
              <w:rPr>
                <w:b/>
                <w:bCs/>
                <w:lang w:val="en-US"/>
              </w:rPr>
            </w:pPr>
            <w:r w:rsidRPr="00DE71F7">
              <w:rPr>
                <w:b/>
                <w:bCs/>
                <w:lang w:val="en-US"/>
              </w:rPr>
              <w:t>RA</w:t>
            </w:r>
          </w:p>
        </w:tc>
        <w:tc>
          <w:tcPr>
            <w:tcW w:w="8220" w:type="dxa"/>
            <w:tcBorders>
              <w:top w:val="nil"/>
              <w:bottom w:val="nil"/>
            </w:tcBorders>
            <w:shd w:val="clear" w:color="auto" w:fill="auto"/>
          </w:tcPr>
          <w:p w14:paraId="7424AAD2" w14:textId="77777777" w:rsidR="00DF52C7" w:rsidRPr="00DE71F7" w:rsidRDefault="00DF52C7" w:rsidP="008760D9">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 xml:space="preserve">Radio </w:t>
            </w:r>
            <w:proofErr w:type="spellStart"/>
            <w:r w:rsidRPr="00DE71F7">
              <w:rPr>
                <w:sz w:val="20"/>
              </w:rPr>
              <w:t>astronomía</w:t>
            </w:r>
            <w:proofErr w:type="spellEnd"/>
          </w:p>
        </w:tc>
      </w:tr>
      <w:tr w:rsidR="00DF52C7" w:rsidRPr="00AC3FDE" w14:paraId="4D7FFDF8" w14:textId="77777777" w:rsidTr="008760D9">
        <w:tc>
          <w:tcPr>
            <w:tcW w:w="1140" w:type="dxa"/>
            <w:tcBorders>
              <w:top w:val="nil"/>
              <w:bottom w:val="nil"/>
            </w:tcBorders>
            <w:shd w:val="clear" w:color="auto" w:fill="auto"/>
          </w:tcPr>
          <w:p w14:paraId="2AD6175E" w14:textId="77777777" w:rsidR="00DF52C7" w:rsidRPr="00D12388" w:rsidRDefault="00DF52C7" w:rsidP="008760D9">
            <w:pPr>
              <w:spacing w:before="30" w:after="30"/>
              <w:ind w:left="57"/>
              <w:jc w:val="left"/>
              <w:rPr>
                <w:b/>
                <w:bCs/>
                <w:lang w:val="en-US"/>
              </w:rPr>
            </w:pPr>
            <w:r w:rsidRPr="00D12388">
              <w:rPr>
                <w:b/>
                <w:bCs/>
                <w:lang w:val="en-US"/>
              </w:rPr>
              <w:t>RS</w:t>
            </w:r>
          </w:p>
        </w:tc>
        <w:tc>
          <w:tcPr>
            <w:tcW w:w="8220" w:type="dxa"/>
            <w:tcBorders>
              <w:top w:val="nil"/>
              <w:bottom w:val="nil"/>
            </w:tcBorders>
            <w:shd w:val="clear" w:color="auto" w:fill="auto"/>
          </w:tcPr>
          <w:p w14:paraId="724B4AC3" w14:textId="77777777" w:rsidR="00DF52C7" w:rsidRPr="00D12388" w:rsidRDefault="00DF52C7" w:rsidP="008760D9">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DF52C7" w:rsidRPr="00025336" w14:paraId="2B7C3609" w14:textId="77777777" w:rsidTr="008760D9">
        <w:tc>
          <w:tcPr>
            <w:tcW w:w="1140" w:type="dxa"/>
            <w:tcBorders>
              <w:top w:val="nil"/>
              <w:bottom w:val="nil"/>
            </w:tcBorders>
            <w:shd w:val="clear" w:color="auto" w:fill="auto"/>
          </w:tcPr>
          <w:p w14:paraId="423EF8EC" w14:textId="77777777" w:rsidR="00DF52C7" w:rsidRPr="00025336" w:rsidRDefault="00DF52C7" w:rsidP="008760D9">
            <w:pPr>
              <w:spacing w:before="30" w:after="30"/>
              <w:ind w:left="57"/>
              <w:jc w:val="left"/>
              <w:rPr>
                <w:b/>
                <w:bCs/>
                <w:lang w:val="en-US"/>
              </w:rPr>
            </w:pPr>
            <w:r w:rsidRPr="00025336">
              <w:rPr>
                <w:b/>
                <w:bCs/>
                <w:lang w:val="en-US"/>
              </w:rPr>
              <w:t>S</w:t>
            </w:r>
          </w:p>
        </w:tc>
        <w:tc>
          <w:tcPr>
            <w:tcW w:w="8220" w:type="dxa"/>
            <w:tcBorders>
              <w:top w:val="nil"/>
              <w:bottom w:val="nil"/>
            </w:tcBorders>
            <w:shd w:val="clear" w:color="auto" w:fill="auto"/>
          </w:tcPr>
          <w:p w14:paraId="04E049CF" w14:textId="77777777" w:rsidR="00DF52C7" w:rsidRPr="00025336" w:rsidRDefault="00DF52C7" w:rsidP="008760D9">
            <w:pPr>
              <w:spacing w:before="30" w:after="30"/>
              <w:jc w:val="left"/>
              <w:rPr>
                <w:lang w:val="en-US"/>
              </w:rPr>
            </w:pPr>
            <w:proofErr w:type="spellStart"/>
            <w:r w:rsidRPr="00025336">
              <w:t>Servicio</w:t>
            </w:r>
            <w:proofErr w:type="spellEnd"/>
            <w:r w:rsidRPr="00025336">
              <w:t xml:space="preserve"> </w:t>
            </w:r>
            <w:proofErr w:type="spellStart"/>
            <w:r w:rsidRPr="00025336">
              <w:t>fijo</w:t>
            </w:r>
            <w:proofErr w:type="spellEnd"/>
            <w:r w:rsidRPr="00025336">
              <w:t xml:space="preserve"> por </w:t>
            </w:r>
            <w:proofErr w:type="spellStart"/>
            <w:r w:rsidRPr="00025336">
              <w:t>satélite</w:t>
            </w:r>
            <w:proofErr w:type="spellEnd"/>
          </w:p>
        </w:tc>
      </w:tr>
      <w:tr w:rsidR="00DF52C7" w:rsidRPr="00975AEB" w14:paraId="60F8A34C" w14:textId="77777777" w:rsidTr="008760D9">
        <w:tc>
          <w:tcPr>
            <w:tcW w:w="1140" w:type="dxa"/>
            <w:tcBorders>
              <w:top w:val="nil"/>
              <w:bottom w:val="nil"/>
            </w:tcBorders>
            <w:shd w:val="clear" w:color="auto" w:fill="auto"/>
          </w:tcPr>
          <w:p w14:paraId="5731B4B6" w14:textId="77777777" w:rsidR="00DF52C7" w:rsidRPr="00975AEB" w:rsidRDefault="00DF52C7" w:rsidP="008760D9">
            <w:pPr>
              <w:spacing w:before="30" w:after="30"/>
              <w:ind w:left="57"/>
              <w:jc w:val="left"/>
              <w:rPr>
                <w:b/>
                <w:bCs/>
                <w:lang w:val="en-US"/>
              </w:rPr>
            </w:pPr>
            <w:r w:rsidRPr="00975AEB">
              <w:rPr>
                <w:b/>
                <w:bCs/>
                <w:lang w:val="en-US"/>
              </w:rPr>
              <w:t>SA</w:t>
            </w:r>
          </w:p>
        </w:tc>
        <w:tc>
          <w:tcPr>
            <w:tcW w:w="8220" w:type="dxa"/>
            <w:tcBorders>
              <w:top w:val="nil"/>
              <w:bottom w:val="nil"/>
            </w:tcBorders>
            <w:shd w:val="clear" w:color="auto" w:fill="auto"/>
          </w:tcPr>
          <w:p w14:paraId="28EE81DC" w14:textId="77777777" w:rsidR="00DF52C7" w:rsidRPr="00975AEB" w:rsidRDefault="00DF52C7" w:rsidP="008760D9">
            <w:pPr>
              <w:spacing w:before="30" w:after="30"/>
              <w:jc w:val="left"/>
              <w:rPr>
                <w:lang w:val="en-US"/>
              </w:rPr>
            </w:pPr>
            <w:proofErr w:type="spellStart"/>
            <w:r w:rsidRPr="00975AEB">
              <w:t>Aplicaciones</w:t>
            </w:r>
            <w:proofErr w:type="spellEnd"/>
            <w:r w:rsidRPr="00975AEB">
              <w:t xml:space="preserve"> </w:t>
            </w:r>
            <w:proofErr w:type="spellStart"/>
            <w:r w:rsidRPr="00975AEB">
              <w:t>espaciales</w:t>
            </w:r>
            <w:proofErr w:type="spellEnd"/>
            <w:r w:rsidRPr="00975AEB">
              <w:t xml:space="preserve"> y </w:t>
            </w:r>
            <w:proofErr w:type="spellStart"/>
            <w:r w:rsidRPr="00975AEB">
              <w:t>meteorología</w:t>
            </w:r>
            <w:proofErr w:type="spellEnd"/>
          </w:p>
        </w:tc>
      </w:tr>
      <w:tr w:rsidR="00DF52C7" w:rsidRPr="00AC3FDE" w14:paraId="39AE0E63" w14:textId="77777777" w:rsidTr="008760D9">
        <w:tc>
          <w:tcPr>
            <w:tcW w:w="1140" w:type="dxa"/>
            <w:tcBorders>
              <w:top w:val="nil"/>
              <w:bottom w:val="nil"/>
            </w:tcBorders>
            <w:shd w:val="clear" w:color="auto" w:fill="auto"/>
          </w:tcPr>
          <w:p w14:paraId="3D9D744D" w14:textId="77777777" w:rsidR="00DF52C7" w:rsidRPr="00746AC6" w:rsidRDefault="00DF52C7" w:rsidP="008760D9">
            <w:pPr>
              <w:spacing w:before="30" w:after="30"/>
              <w:ind w:left="57"/>
              <w:jc w:val="left"/>
              <w:rPr>
                <w:b/>
                <w:bCs/>
                <w:lang w:val="en-US"/>
              </w:rPr>
            </w:pPr>
            <w:r w:rsidRPr="00746AC6">
              <w:rPr>
                <w:b/>
                <w:bCs/>
                <w:lang w:val="en-US"/>
              </w:rPr>
              <w:t>SF</w:t>
            </w:r>
          </w:p>
        </w:tc>
        <w:tc>
          <w:tcPr>
            <w:tcW w:w="8220" w:type="dxa"/>
            <w:tcBorders>
              <w:top w:val="nil"/>
              <w:bottom w:val="nil"/>
            </w:tcBorders>
            <w:shd w:val="clear" w:color="auto" w:fill="auto"/>
          </w:tcPr>
          <w:p w14:paraId="5C8371B5" w14:textId="77777777" w:rsidR="00DF52C7" w:rsidRPr="00746AC6" w:rsidRDefault="00DF52C7" w:rsidP="008760D9">
            <w:pPr>
              <w:spacing w:before="30" w:after="30"/>
              <w:jc w:val="left"/>
              <w:rPr>
                <w:lang w:val="es-ES_tradnl"/>
              </w:rPr>
            </w:pPr>
            <w:r w:rsidRPr="00746AC6">
              <w:rPr>
                <w:lang w:val="es-ES_tradnl"/>
              </w:rPr>
              <w:t>Compartición de frecuencias y coordinación entre los sistemas del servicio fijo por satélite y del servicio fijo</w:t>
            </w:r>
          </w:p>
        </w:tc>
      </w:tr>
      <w:tr w:rsidR="00DF52C7" w:rsidRPr="00746AC6" w14:paraId="5202B1A8" w14:textId="77777777" w:rsidTr="008760D9">
        <w:tc>
          <w:tcPr>
            <w:tcW w:w="1140" w:type="dxa"/>
            <w:tcBorders>
              <w:top w:val="nil"/>
              <w:bottom w:val="nil"/>
            </w:tcBorders>
            <w:shd w:val="clear" w:color="auto" w:fill="F3F3F3"/>
          </w:tcPr>
          <w:p w14:paraId="656AB970" w14:textId="77777777" w:rsidR="00DF52C7" w:rsidRPr="00746AC6" w:rsidRDefault="00DF52C7" w:rsidP="008760D9">
            <w:pPr>
              <w:spacing w:before="30" w:after="30"/>
              <w:ind w:left="57"/>
              <w:jc w:val="left"/>
              <w:rPr>
                <w:b/>
                <w:bCs/>
                <w:color w:val="000080"/>
                <w:lang w:val="en-US"/>
              </w:rPr>
            </w:pPr>
            <w:r w:rsidRPr="00746AC6">
              <w:rPr>
                <w:b/>
                <w:bCs/>
                <w:color w:val="000080"/>
                <w:lang w:val="en-US"/>
              </w:rPr>
              <w:t>SM</w:t>
            </w:r>
          </w:p>
        </w:tc>
        <w:tc>
          <w:tcPr>
            <w:tcW w:w="8220" w:type="dxa"/>
            <w:tcBorders>
              <w:top w:val="nil"/>
              <w:bottom w:val="nil"/>
            </w:tcBorders>
            <w:shd w:val="clear" w:color="auto" w:fill="F3F3F3"/>
          </w:tcPr>
          <w:p w14:paraId="4A58F6D9" w14:textId="77777777" w:rsidR="00DF52C7" w:rsidRPr="00746AC6" w:rsidRDefault="00DF52C7" w:rsidP="008760D9">
            <w:pPr>
              <w:spacing w:before="30" w:after="30"/>
              <w:jc w:val="left"/>
              <w:rPr>
                <w:b/>
                <w:bCs/>
                <w:color w:val="000080"/>
                <w:lang w:val="en-US"/>
              </w:rPr>
            </w:pPr>
            <w:proofErr w:type="spellStart"/>
            <w:r w:rsidRPr="00746AC6">
              <w:rPr>
                <w:b/>
                <w:bCs/>
                <w:color w:val="000080"/>
              </w:rPr>
              <w:t>Gestión</w:t>
            </w:r>
            <w:proofErr w:type="spellEnd"/>
            <w:r w:rsidRPr="00746AC6">
              <w:rPr>
                <w:b/>
                <w:bCs/>
                <w:color w:val="000080"/>
              </w:rPr>
              <w:t xml:space="preserve"> del </w:t>
            </w:r>
            <w:proofErr w:type="spellStart"/>
            <w:r w:rsidRPr="00746AC6">
              <w:rPr>
                <w:b/>
                <w:bCs/>
                <w:color w:val="000080"/>
              </w:rPr>
              <w:t>espectro</w:t>
            </w:r>
            <w:proofErr w:type="spellEnd"/>
          </w:p>
        </w:tc>
      </w:tr>
      <w:tr w:rsidR="00DF52C7" w:rsidRPr="00036EE3" w14:paraId="40933D27" w14:textId="77777777" w:rsidTr="008760D9">
        <w:tc>
          <w:tcPr>
            <w:tcW w:w="1140" w:type="dxa"/>
            <w:tcBorders>
              <w:top w:val="nil"/>
            </w:tcBorders>
          </w:tcPr>
          <w:p w14:paraId="4C66572B" w14:textId="77777777" w:rsidR="00DF52C7" w:rsidRPr="00036EE3" w:rsidRDefault="00DF52C7" w:rsidP="008760D9">
            <w:pPr>
              <w:spacing w:before="30" w:after="30"/>
              <w:ind w:left="57"/>
              <w:jc w:val="left"/>
              <w:rPr>
                <w:b/>
                <w:bCs/>
                <w:lang w:val="en-US"/>
              </w:rPr>
            </w:pPr>
            <w:r w:rsidRPr="00036EE3">
              <w:rPr>
                <w:b/>
                <w:bCs/>
                <w:lang w:val="en-US"/>
              </w:rPr>
              <w:t>SNG</w:t>
            </w:r>
          </w:p>
        </w:tc>
        <w:tc>
          <w:tcPr>
            <w:tcW w:w="8220" w:type="dxa"/>
            <w:tcBorders>
              <w:top w:val="nil"/>
            </w:tcBorders>
          </w:tcPr>
          <w:p w14:paraId="0D2ADDFF" w14:textId="77777777" w:rsidR="00DF52C7" w:rsidRPr="00021E8A" w:rsidRDefault="00DF52C7" w:rsidP="008760D9">
            <w:pPr>
              <w:spacing w:before="30" w:after="30"/>
              <w:jc w:val="left"/>
              <w:rPr>
                <w:bCs/>
                <w:lang w:val="en-US"/>
              </w:rPr>
            </w:pPr>
            <w:proofErr w:type="spellStart"/>
            <w:r w:rsidRPr="00021E8A">
              <w:rPr>
                <w:bCs/>
              </w:rPr>
              <w:t>Periodismo</w:t>
            </w:r>
            <w:proofErr w:type="spellEnd"/>
            <w:r w:rsidRPr="00021E8A">
              <w:rPr>
                <w:bCs/>
              </w:rPr>
              <w:t xml:space="preserve"> </w:t>
            </w:r>
            <w:proofErr w:type="spellStart"/>
            <w:r w:rsidRPr="00021E8A">
              <w:rPr>
                <w:bCs/>
              </w:rPr>
              <w:t>electrónico</w:t>
            </w:r>
            <w:proofErr w:type="spellEnd"/>
            <w:r w:rsidRPr="00021E8A">
              <w:rPr>
                <w:bCs/>
              </w:rPr>
              <w:t xml:space="preserve"> por </w:t>
            </w:r>
            <w:proofErr w:type="spellStart"/>
            <w:r w:rsidRPr="00021E8A">
              <w:rPr>
                <w:bCs/>
              </w:rPr>
              <w:t>satélite</w:t>
            </w:r>
            <w:proofErr w:type="spellEnd"/>
          </w:p>
        </w:tc>
      </w:tr>
      <w:tr w:rsidR="00DF52C7" w:rsidRPr="00AC3FDE" w14:paraId="4FD4DE69" w14:textId="77777777" w:rsidTr="008760D9">
        <w:tc>
          <w:tcPr>
            <w:tcW w:w="1140" w:type="dxa"/>
          </w:tcPr>
          <w:p w14:paraId="6B9DDFE0" w14:textId="77777777" w:rsidR="00DF52C7" w:rsidRPr="00036EE3" w:rsidRDefault="00DF52C7" w:rsidP="008760D9">
            <w:pPr>
              <w:spacing w:before="30" w:after="30"/>
              <w:ind w:left="57"/>
              <w:jc w:val="left"/>
              <w:rPr>
                <w:b/>
                <w:bCs/>
                <w:lang w:val="en-US"/>
              </w:rPr>
            </w:pPr>
            <w:r w:rsidRPr="00036EE3">
              <w:rPr>
                <w:b/>
                <w:bCs/>
                <w:lang w:val="en-US"/>
              </w:rPr>
              <w:t>TF</w:t>
            </w:r>
          </w:p>
        </w:tc>
        <w:tc>
          <w:tcPr>
            <w:tcW w:w="8220" w:type="dxa"/>
          </w:tcPr>
          <w:p w14:paraId="22A284FF" w14:textId="77777777" w:rsidR="00DF52C7" w:rsidRPr="00021E8A" w:rsidRDefault="00DF52C7" w:rsidP="008760D9">
            <w:pPr>
              <w:spacing w:before="30" w:after="30"/>
              <w:jc w:val="left"/>
              <w:rPr>
                <w:bCs/>
                <w:lang w:val="es-ES_tradnl"/>
              </w:rPr>
            </w:pPr>
            <w:r w:rsidRPr="00021E8A">
              <w:rPr>
                <w:bCs/>
                <w:lang w:val="es-ES_tradnl"/>
              </w:rPr>
              <w:t>Emisiones de frecuencias patrón y señales horarias</w:t>
            </w:r>
          </w:p>
        </w:tc>
      </w:tr>
      <w:tr w:rsidR="00DF52C7" w:rsidRPr="00036EE3" w14:paraId="2DF47AFB" w14:textId="77777777" w:rsidTr="008760D9">
        <w:tc>
          <w:tcPr>
            <w:tcW w:w="1140" w:type="dxa"/>
          </w:tcPr>
          <w:p w14:paraId="34654FB1" w14:textId="77777777" w:rsidR="00DF52C7" w:rsidRPr="00036EE3" w:rsidRDefault="00DF52C7" w:rsidP="008760D9">
            <w:pPr>
              <w:spacing w:before="30" w:after="30"/>
              <w:ind w:left="57"/>
              <w:jc w:val="left"/>
              <w:rPr>
                <w:b/>
                <w:bCs/>
                <w:lang w:val="en-US"/>
              </w:rPr>
            </w:pPr>
            <w:r w:rsidRPr="00036EE3">
              <w:rPr>
                <w:b/>
                <w:bCs/>
                <w:lang w:val="en-US"/>
              </w:rPr>
              <w:t>V</w:t>
            </w:r>
          </w:p>
        </w:tc>
        <w:tc>
          <w:tcPr>
            <w:tcW w:w="8220" w:type="dxa"/>
          </w:tcPr>
          <w:p w14:paraId="2DAF0235" w14:textId="77777777" w:rsidR="00DF52C7" w:rsidRPr="00021E8A" w:rsidRDefault="00DF52C7" w:rsidP="008760D9">
            <w:pPr>
              <w:spacing w:before="30" w:after="140"/>
              <w:jc w:val="left"/>
              <w:rPr>
                <w:bCs/>
                <w:lang w:val="en-US"/>
              </w:rPr>
            </w:pPr>
            <w:proofErr w:type="spellStart"/>
            <w:r w:rsidRPr="00021E8A">
              <w:rPr>
                <w:bCs/>
              </w:rPr>
              <w:t>Vocabulario</w:t>
            </w:r>
            <w:proofErr w:type="spellEnd"/>
            <w:r w:rsidRPr="00021E8A">
              <w:rPr>
                <w:bCs/>
              </w:rPr>
              <w:t xml:space="preserve"> y </w:t>
            </w:r>
            <w:proofErr w:type="spellStart"/>
            <w:r w:rsidRPr="00021E8A">
              <w:rPr>
                <w:bCs/>
              </w:rPr>
              <w:t>cuestiones</w:t>
            </w:r>
            <w:proofErr w:type="spellEnd"/>
            <w:r w:rsidRPr="00021E8A">
              <w:rPr>
                <w:bCs/>
              </w:rPr>
              <w:t xml:space="preserve"> </w:t>
            </w:r>
            <w:proofErr w:type="spellStart"/>
            <w:r w:rsidRPr="00021E8A">
              <w:rPr>
                <w:bCs/>
              </w:rPr>
              <w:t>afines</w:t>
            </w:r>
            <w:proofErr w:type="spellEnd"/>
          </w:p>
        </w:tc>
      </w:tr>
    </w:tbl>
    <w:p w14:paraId="171EACDA" w14:textId="77777777" w:rsidR="00DF52C7" w:rsidRPr="00036EE3" w:rsidRDefault="00DF52C7" w:rsidP="00DF52C7">
      <w:pPr>
        <w:spacing w:before="0" w:after="140"/>
        <w:jc w:val="center"/>
        <w:rPr>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F52C7" w14:paraId="597849B2" w14:textId="77777777" w:rsidTr="008760D9">
        <w:tc>
          <w:tcPr>
            <w:tcW w:w="720" w:type="dxa"/>
          </w:tcPr>
          <w:p w14:paraId="0ED9ED7B" w14:textId="77777777" w:rsidR="00DF52C7" w:rsidRDefault="00DF52C7" w:rsidP="008760D9">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DF52C7" w:rsidRPr="00AC3FDE" w14:paraId="5ADB83DA" w14:textId="77777777" w:rsidTr="008760D9">
        <w:tc>
          <w:tcPr>
            <w:tcW w:w="9360" w:type="dxa"/>
          </w:tcPr>
          <w:p w14:paraId="76B00C79" w14:textId="77777777" w:rsidR="00DF52C7" w:rsidRPr="00763D08" w:rsidRDefault="00DF52C7" w:rsidP="008760D9">
            <w:pPr>
              <w:spacing w:before="92" w:after="92"/>
              <w:jc w:val="left"/>
              <w:rPr>
                <w:i/>
                <w:iCs/>
                <w:lang w:val="es-ES_tradnl"/>
              </w:rPr>
            </w:pPr>
            <w:r w:rsidRPr="00763D08">
              <w:rPr>
                <w:b/>
                <w:bCs/>
                <w:i/>
                <w:iCs/>
                <w:lang w:val="es-ES_tradnl"/>
              </w:rPr>
              <w:t xml:space="preserve">     </w:t>
            </w:r>
            <w:r>
              <w:rPr>
                <w:b/>
                <w:bCs/>
                <w:i/>
                <w:iCs/>
                <w:lang w:val="es-ES_tradnl"/>
              </w:rPr>
              <w:t xml:space="preserve">    </w:t>
            </w:r>
            <w:r w:rsidRPr="00763D08">
              <w:rPr>
                <w:b/>
                <w:bCs/>
                <w:i/>
                <w:iCs/>
                <w:lang w:val="es-ES_tradnl"/>
              </w:rPr>
              <w:t>Nota</w:t>
            </w:r>
            <w:r w:rsidRPr="00763D08">
              <w:rPr>
                <w:i/>
                <w:iCs/>
                <w:lang w:val="es-ES_tradnl"/>
              </w:rPr>
              <w:t xml:space="preserve">: Esta Recomendación UIT-R fue aprobada en inglés conforme al procedimiento detallado en la </w:t>
            </w:r>
            <w:r w:rsidRPr="00763D08">
              <w:rPr>
                <w:i/>
                <w:iCs/>
                <w:lang w:val="es-ES_tradnl"/>
              </w:rPr>
              <w:br/>
              <w:t xml:space="preserve">   </w:t>
            </w:r>
            <w:r>
              <w:rPr>
                <w:i/>
                <w:iCs/>
                <w:lang w:val="es-ES_tradnl"/>
              </w:rPr>
              <w:t xml:space="preserve">     </w:t>
            </w:r>
            <w:r w:rsidRPr="00763D08">
              <w:rPr>
                <w:i/>
                <w:iCs/>
                <w:lang w:val="es-ES_tradnl"/>
              </w:rPr>
              <w:t>Resolución UIT-R 1.</w:t>
            </w:r>
          </w:p>
        </w:tc>
      </w:tr>
    </w:tbl>
    <w:p w14:paraId="325E32D0" w14:textId="77777777" w:rsidR="00DF52C7" w:rsidRPr="00763D08" w:rsidRDefault="00DF52C7" w:rsidP="00DF52C7">
      <w:pPr>
        <w:spacing w:before="0"/>
        <w:jc w:val="center"/>
        <w:rPr>
          <w:sz w:val="22"/>
          <w:lang w:val="es-ES_tradnl"/>
        </w:rPr>
      </w:pPr>
    </w:p>
    <w:p w14:paraId="62D02FA0" w14:textId="77777777" w:rsidR="00DF52C7" w:rsidRPr="00763D08" w:rsidRDefault="00DF52C7" w:rsidP="00DF52C7">
      <w:pPr>
        <w:spacing w:before="60"/>
        <w:jc w:val="right"/>
        <w:rPr>
          <w:i/>
          <w:iCs/>
          <w:lang w:val="es-ES_tradnl"/>
        </w:rPr>
      </w:pPr>
      <w:r w:rsidRPr="00763D08">
        <w:rPr>
          <w:i/>
          <w:iCs/>
          <w:lang w:val="es-ES_tradnl"/>
        </w:rPr>
        <w:t>Publicación electrónica</w:t>
      </w:r>
    </w:p>
    <w:p w14:paraId="67BFF3B3" w14:textId="77777777" w:rsidR="00DF52C7" w:rsidRPr="00763D08" w:rsidRDefault="00DF52C7" w:rsidP="00DF52C7">
      <w:pPr>
        <w:spacing w:before="0" w:after="40"/>
        <w:jc w:val="right"/>
        <w:rPr>
          <w:lang w:val="es-ES_tradnl"/>
        </w:rPr>
      </w:pPr>
      <w:r w:rsidRPr="00763D08">
        <w:rPr>
          <w:lang w:val="es-ES_tradnl"/>
        </w:rPr>
        <w:t>Ginebra, 20</w:t>
      </w:r>
      <w:r>
        <w:rPr>
          <w:lang w:val="es-ES_tradnl"/>
        </w:rPr>
        <w:t>11</w:t>
      </w:r>
    </w:p>
    <w:p w14:paraId="49F50D6B" w14:textId="77777777" w:rsidR="00DF52C7" w:rsidRPr="00763D08" w:rsidRDefault="00DF52C7" w:rsidP="00DF52C7">
      <w:pPr>
        <w:spacing w:before="0"/>
        <w:jc w:val="center"/>
        <w:rPr>
          <w:sz w:val="22"/>
          <w:lang w:val="es-ES_tradnl"/>
        </w:rPr>
      </w:pPr>
    </w:p>
    <w:p w14:paraId="59109138" w14:textId="77777777" w:rsidR="00DF52C7" w:rsidRPr="00763D08" w:rsidRDefault="00DF52C7" w:rsidP="00DF52C7">
      <w:pPr>
        <w:spacing w:before="0"/>
        <w:jc w:val="center"/>
        <w:rPr>
          <w:lang w:val="es-ES_tradnl"/>
        </w:rPr>
      </w:pPr>
      <w:r w:rsidRPr="00470E28">
        <w:rPr>
          <w:lang w:val="en-US"/>
        </w:rPr>
        <w:sym w:font="Symbol" w:char="F0E3"/>
      </w:r>
      <w:r w:rsidRPr="00763D08">
        <w:rPr>
          <w:lang w:val="es-ES_tradnl"/>
        </w:rPr>
        <w:t xml:space="preserve"> UIT </w:t>
      </w:r>
      <w:bookmarkStart w:id="2" w:name="iiannee"/>
      <w:bookmarkEnd w:id="2"/>
      <w:r w:rsidRPr="00763D08">
        <w:rPr>
          <w:lang w:val="es-ES_tradnl"/>
        </w:rPr>
        <w:t>20</w:t>
      </w:r>
      <w:r>
        <w:rPr>
          <w:lang w:val="es-ES_tradnl"/>
        </w:rPr>
        <w:t>11</w:t>
      </w:r>
    </w:p>
    <w:p w14:paraId="6B9FF8E4" w14:textId="77777777" w:rsidR="00DF52C7" w:rsidRPr="006C718C" w:rsidRDefault="00DF52C7" w:rsidP="00DF52C7">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731C4414" w14:textId="77777777" w:rsidR="00DF52C7" w:rsidRPr="006C718C" w:rsidRDefault="00DF52C7" w:rsidP="00DF52C7">
      <w:pPr>
        <w:spacing w:before="160"/>
        <w:rPr>
          <w:i/>
          <w:highlight w:val="yellow"/>
          <w:lang w:val="es-ES_tradnl"/>
        </w:rPr>
        <w:sectPr w:rsidR="00DF52C7" w:rsidRPr="006C718C" w:rsidSect="008760D9">
          <w:headerReference w:type="even" r:id="rId10"/>
          <w:headerReference w:type="default" r:id="rId11"/>
          <w:pgSz w:w="11907" w:h="16834" w:code="9"/>
          <w:pgMar w:top="1418" w:right="1134" w:bottom="1134" w:left="1134" w:header="720" w:footer="482" w:gutter="0"/>
          <w:pgNumType w:fmt="lowerRoman" w:start="2"/>
          <w:cols w:space="720"/>
        </w:sectPr>
      </w:pPr>
    </w:p>
    <w:p w14:paraId="1E6C99D8" w14:textId="77777777" w:rsidR="008760D9" w:rsidRDefault="008760D9">
      <w:pPr>
        <w:pStyle w:val="Rec"/>
        <w:spacing w:before="0"/>
        <w:rPr>
          <w:lang w:val="es-ES_tradnl"/>
        </w:rPr>
      </w:pPr>
      <w:r>
        <w:rPr>
          <w:lang w:val="es-ES_tradnl"/>
        </w:rPr>
        <w:lastRenderedPageBreak/>
        <w:t>RECOMENDACIÓN  UIT-R  SM.1009-1</w:t>
      </w:r>
      <w:r>
        <w:rPr>
          <w:rStyle w:val="FootnoteReference"/>
          <w:lang w:val="es-ES_tradnl"/>
        </w:rPr>
        <w:footnoteReference w:customMarkFollows="1" w:id="1"/>
        <w:t>*</w:t>
      </w:r>
    </w:p>
    <w:p w14:paraId="4756C092" w14:textId="77777777" w:rsidR="008760D9" w:rsidRDefault="008760D9">
      <w:pPr>
        <w:pStyle w:val="RecTitle"/>
        <w:rPr>
          <w:lang w:val="es-ES_tradnl"/>
        </w:rPr>
      </w:pPr>
      <w:bookmarkStart w:id="3" w:name="título"/>
      <w:bookmarkEnd w:id="3"/>
      <w:r>
        <w:rPr>
          <w:lang w:val="es-ES_tradnl"/>
        </w:rPr>
        <w:t>COMPATIBILIDAD  ENTRE  EL  SERVICIO  DE  RADIODIFUSIÓN  SONORA</w:t>
      </w:r>
      <w:r>
        <w:rPr>
          <w:lang w:val="es-ES_tradnl"/>
        </w:rPr>
        <w:br/>
        <w:t>EN  LA  BANDA  DE  APROXIMADAMENTE  87-108  MHz  Y  LOS</w:t>
      </w:r>
      <w:r>
        <w:rPr>
          <w:lang w:val="es-ES_tradnl"/>
        </w:rPr>
        <w:br/>
        <w:t>SERVICIOS  AERONÁUTICOS  EN  LA  BANDA  108-137  MHz</w:t>
      </w:r>
    </w:p>
    <w:p w14:paraId="6626775B" w14:textId="77777777" w:rsidR="008760D9" w:rsidRDefault="00D8159A">
      <w:pPr>
        <w:pStyle w:val="RecTitleDate"/>
        <w:rPr>
          <w:lang w:val="es-ES_tradnl"/>
        </w:rPr>
      </w:pPr>
      <w:r>
        <w:rPr>
          <w:lang w:val="es-ES_tradnl"/>
        </w:rPr>
        <w:t xml:space="preserve"> </w:t>
      </w:r>
      <w:r w:rsidR="008760D9">
        <w:rPr>
          <w:lang w:val="es-ES_tradnl"/>
        </w:rPr>
        <w:t>(1993-1995)</w:t>
      </w:r>
    </w:p>
    <w:p w14:paraId="6CBDC17C" w14:textId="77777777" w:rsidR="008760D9" w:rsidRPr="008760D9" w:rsidRDefault="008760D9">
      <w:pPr>
        <w:pStyle w:val="headfoot"/>
        <w:rPr>
          <w:rFonts w:hAnsi="Times New Roman Bold"/>
          <w:b w:val="0"/>
          <w:color w:val="FFFFFF" w:themeColor="background1"/>
          <w:lang w:val="es-ES_tradnl"/>
        </w:rPr>
      </w:pPr>
      <w:r w:rsidRPr="008760D9">
        <w:rPr>
          <w:rFonts w:hAnsi="Times New Roman Bold"/>
          <w:b w:val="0"/>
          <w:color w:val="FFFFFF" w:themeColor="background1"/>
          <w:lang w:val="es-ES_tradnl"/>
        </w:rPr>
        <w:t>Rec.  UIT-R  SM.1009-1</w:t>
      </w:r>
    </w:p>
    <w:p w14:paraId="011A0D4E" w14:textId="77777777" w:rsidR="00AC3FDE" w:rsidRPr="00AC3FDE" w:rsidRDefault="00AC3FDE" w:rsidP="00AC3FDE">
      <w:pPr>
        <w:pStyle w:val="Headingb"/>
        <w:spacing w:before="360"/>
        <w:rPr>
          <w:sz w:val="20"/>
          <w:lang w:val="es-ES_tradnl"/>
        </w:rPr>
      </w:pPr>
      <w:r w:rsidRPr="00AC3FDE">
        <w:rPr>
          <w:sz w:val="20"/>
          <w:lang w:val="es-ES_tradnl"/>
        </w:rPr>
        <w:t>Alcance</w:t>
      </w:r>
    </w:p>
    <w:p w14:paraId="5F7D0AD4" w14:textId="77777777" w:rsidR="00AC3FDE" w:rsidRPr="00AC3FDE" w:rsidRDefault="00AC3FDE" w:rsidP="00AC3FDE">
      <w:pPr>
        <w:rPr>
          <w:lang w:val="es-ES_tradnl"/>
        </w:rPr>
      </w:pPr>
      <w:r w:rsidRPr="00AC3FDE">
        <w:rPr>
          <w:lang w:val="es-ES_tradnl"/>
        </w:rPr>
        <w:t>En esta Recomendación se facilitan criterios, métodos y técnicas para la compatibilidad entre el servicio de radiodifusión de sonido en la banda de cerca de 87-108 MHz y los servicios aeronáuticos en la banda 108-137 MHz.</w:t>
      </w:r>
    </w:p>
    <w:p w14:paraId="5B154846" w14:textId="77777777" w:rsidR="00AC3FDE" w:rsidRPr="00AC3FDE" w:rsidRDefault="00AC3FDE" w:rsidP="00AC3FDE">
      <w:pPr>
        <w:pStyle w:val="Headingb"/>
        <w:rPr>
          <w:sz w:val="20"/>
          <w:lang w:val="es-ES_tradnl"/>
        </w:rPr>
      </w:pPr>
      <w:r w:rsidRPr="00AC3FDE">
        <w:rPr>
          <w:sz w:val="20"/>
          <w:lang w:val="es-ES_tradnl"/>
        </w:rPr>
        <w:t>Palabras clave</w:t>
      </w:r>
    </w:p>
    <w:p w14:paraId="1B6F7113" w14:textId="60441A55" w:rsidR="00AC3FDE" w:rsidRPr="00AC3FDE" w:rsidRDefault="00AC3FDE" w:rsidP="00AC3FDE">
      <w:pPr>
        <w:rPr>
          <w:lang w:val="es-ES_tradnl"/>
        </w:rPr>
      </w:pPr>
      <w:r w:rsidRPr="00AC3FDE">
        <w:rPr>
          <w:lang w:val="es-ES_tradnl"/>
        </w:rPr>
        <w:t>Compatibilidad, servicio de radiodifusión de sonido, servicio aeronáutico</w:t>
      </w:r>
    </w:p>
    <w:p w14:paraId="46B4B3AC" w14:textId="529AE5D1" w:rsidR="008760D9" w:rsidRDefault="008760D9">
      <w:pPr>
        <w:pStyle w:val="Normalaftertitle"/>
        <w:spacing w:before="240"/>
        <w:rPr>
          <w:lang w:val="es-ES_tradnl"/>
        </w:rPr>
      </w:pPr>
      <w:r>
        <w:rPr>
          <w:lang w:val="es-ES_tradnl"/>
        </w:rPr>
        <w:t>La Asamblea de Radiocomunicaciones de la UIT,</w:t>
      </w:r>
    </w:p>
    <w:p w14:paraId="1D5DB09E" w14:textId="77777777" w:rsidR="008760D9" w:rsidRDefault="008760D9">
      <w:pPr>
        <w:pStyle w:val="call"/>
        <w:rPr>
          <w:lang w:val="es-ES_tradnl"/>
        </w:rPr>
      </w:pPr>
      <w:r>
        <w:rPr>
          <w:lang w:val="es-ES_tradnl"/>
        </w:rPr>
        <w:t>considerando</w:t>
      </w:r>
    </w:p>
    <w:p w14:paraId="2E4D5CCA" w14:textId="77777777" w:rsidR="008760D9" w:rsidRDefault="008760D9">
      <w:pPr>
        <w:rPr>
          <w:lang w:val="es-ES_tradnl"/>
        </w:rPr>
      </w:pPr>
      <w:r>
        <w:rPr>
          <w:lang w:val="es-ES_tradnl"/>
        </w:rPr>
        <w:t>a)</w:t>
      </w:r>
      <w:r>
        <w:rPr>
          <w:lang w:val="es-ES_tradnl"/>
        </w:rPr>
        <w:tab/>
        <w:t>que para mejorar la eficacia de la utilización del espectro, es necesario perfeccionar los criterios utilizados al evaluar la compatibilidad entre el servicio de radiodifusión sonora en la banda de aproximadamente 87-108 MHz y los servicios aeronáuticos en la banda 108-137 MHz;</w:t>
      </w:r>
    </w:p>
    <w:p w14:paraId="68ED7E7B" w14:textId="77777777" w:rsidR="008760D9" w:rsidRDefault="008760D9">
      <w:pPr>
        <w:rPr>
          <w:lang w:val="es-ES_tradnl"/>
        </w:rPr>
      </w:pPr>
      <w:r>
        <w:rPr>
          <w:lang w:val="es-ES_tradnl"/>
        </w:rPr>
        <w:t>b)</w:t>
      </w:r>
      <w:r>
        <w:rPr>
          <w:lang w:val="es-ES_tradnl"/>
        </w:rPr>
        <w:tab/>
        <w:t>que es preciso elaborar un método de análisis de la compatibilidad para identificar las posibles incompatibilidades asociadas a un Plan de asignaciones a gran escala a la radiodifusión;</w:t>
      </w:r>
    </w:p>
    <w:p w14:paraId="7A1A315C" w14:textId="77777777" w:rsidR="008760D9" w:rsidRDefault="008760D9">
      <w:pPr>
        <w:rPr>
          <w:lang w:val="es-ES_tradnl"/>
        </w:rPr>
      </w:pPr>
      <w:r>
        <w:rPr>
          <w:lang w:val="es-ES_tradnl"/>
        </w:rPr>
        <w:t>c)</w:t>
      </w:r>
      <w:r>
        <w:rPr>
          <w:lang w:val="es-ES_tradnl"/>
        </w:rPr>
        <w:tab/>
        <w:t>que es necesario contar con un método de análisis detallado de la compatibilidad, caso a caso, para investigar los posibles casos de incompatibilidad identificados en un análisis a gran escala o para la evaluación individual de las asignaciones propuestas a la radiodifusión o a los servicios aeronáuticos;</w:t>
      </w:r>
    </w:p>
    <w:p w14:paraId="59E4A037" w14:textId="77777777" w:rsidR="008760D9" w:rsidRDefault="008760D9">
      <w:pPr>
        <w:rPr>
          <w:lang w:val="es-ES_tradnl"/>
        </w:rPr>
      </w:pPr>
      <w:r>
        <w:rPr>
          <w:lang w:val="es-ES_tradnl"/>
        </w:rPr>
        <w:t>d)</w:t>
      </w:r>
      <w:r>
        <w:rPr>
          <w:lang w:val="es-ES_tradnl"/>
        </w:rPr>
        <w:tab/>
        <w:t>que es necesario continuar perfeccionando los criterios de compatibilidad y los métodos de evaluación,</w:t>
      </w:r>
    </w:p>
    <w:p w14:paraId="32E33952" w14:textId="77777777" w:rsidR="008760D9" w:rsidRDefault="008760D9">
      <w:pPr>
        <w:pStyle w:val="call"/>
        <w:rPr>
          <w:lang w:val="es-ES_tradnl"/>
        </w:rPr>
      </w:pPr>
      <w:r>
        <w:rPr>
          <w:lang w:val="es-ES_tradnl"/>
        </w:rPr>
        <w:t>reconociendo</w:t>
      </w:r>
    </w:p>
    <w:p w14:paraId="521AC260" w14:textId="77777777" w:rsidR="008760D9" w:rsidRDefault="008760D9">
      <w:pPr>
        <w:rPr>
          <w:lang w:val="es-ES_tradnl"/>
        </w:rPr>
      </w:pPr>
      <w:r>
        <w:rPr>
          <w:lang w:val="es-ES_tradnl"/>
        </w:rPr>
        <w:tab/>
        <w:t>que desde 1984 se viene efectuando la coordinación mediante otros criterios o métodos,</w:t>
      </w:r>
    </w:p>
    <w:p w14:paraId="679FB091" w14:textId="77777777" w:rsidR="008760D9" w:rsidRDefault="008760D9">
      <w:pPr>
        <w:pStyle w:val="call"/>
        <w:rPr>
          <w:lang w:val="es-ES_tradnl"/>
        </w:rPr>
      </w:pPr>
      <w:r>
        <w:rPr>
          <w:lang w:val="es-ES_tradnl"/>
        </w:rPr>
        <w:t>recomienda</w:t>
      </w:r>
    </w:p>
    <w:p w14:paraId="7445A6C1" w14:textId="77777777" w:rsidR="008760D9" w:rsidRDefault="008760D9">
      <w:pPr>
        <w:rPr>
          <w:lang w:val="es-ES_tradnl"/>
        </w:rPr>
      </w:pPr>
      <w:r>
        <w:rPr>
          <w:b/>
          <w:lang w:val="es-ES_tradnl"/>
        </w:rPr>
        <w:t>1</w:t>
      </w:r>
      <w:r>
        <w:rPr>
          <w:lang w:val="es-ES_tradnl"/>
        </w:rPr>
        <w:tab/>
        <w:t>que se utilicen los criterios del Anexo 1 para los cálculos de compatibilidad;</w:t>
      </w:r>
    </w:p>
    <w:p w14:paraId="2F1B3286" w14:textId="77777777" w:rsidR="008760D9" w:rsidRDefault="008760D9">
      <w:pPr>
        <w:rPr>
          <w:lang w:val="es-ES_tradnl"/>
        </w:rPr>
      </w:pPr>
      <w:r>
        <w:rPr>
          <w:b/>
          <w:lang w:val="es-ES_tradnl"/>
        </w:rPr>
        <w:t>2</w:t>
      </w:r>
      <w:r>
        <w:rPr>
          <w:lang w:val="es-ES_tradnl"/>
        </w:rPr>
        <w:tab/>
        <w:t>que se utilice el método del Anexo 2 para predecir las posibles incompatibilidades asociadas a un Plan de asignaciones a gran escala a la radiodifusión;</w:t>
      </w:r>
    </w:p>
    <w:p w14:paraId="416E149F" w14:textId="77777777" w:rsidR="008760D9" w:rsidRDefault="008760D9">
      <w:pPr>
        <w:rPr>
          <w:lang w:val="es-ES_tradnl"/>
        </w:rPr>
      </w:pPr>
      <w:r>
        <w:rPr>
          <w:b/>
          <w:lang w:val="es-ES_tradnl"/>
        </w:rPr>
        <w:t>3</w:t>
      </w:r>
      <w:r>
        <w:rPr>
          <w:lang w:val="es-ES_tradnl"/>
        </w:rPr>
        <w:tab/>
        <w:t>que se utilicen las técnicas del Anexo 3 para los cálculos detallados de compatibilidad, caso a caso, referentes a los casos de interferencia potencial identificados mediante el método del Anexo 2 o en relación con la evaluación individual de las asignaciones individuales propuestas a las estaciones de radiodifusión o aeronáuticas;</w:t>
      </w:r>
    </w:p>
    <w:p w14:paraId="3719FEB7" w14:textId="77777777" w:rsidR="008760D9" w:rsidRDefault="008760D9">
      <w:pPr>
        <w:rPr>
          <w:lang w:val="es-ES_tradnl"/>
        </w:rPr>
      </w:pPr>
      <w:r>
        <w:rPr>
          <w:b/>
          <w:lang w:val="es-ES_tradnl"/>
        </w:rPr>
        <w:t>4</w:t>
      </w:r>
      <w:r>
        <w:rPr>
          <w:lang w:val="es-ES_tradnl"/>
        </w:rPr>
        <w:tab/>
        <w:t>que adicionalmente se utilicen los resultados de las verificaciones prácticas o de las situaciones de predicción de la compatibilidad, así como cualquier otra información pertinente, para la coordinación y a fin de continuar perfeccio</w:t>
      </w:r>
      <w:r>
        <w:rPr>
          <w:lang w:val="es-ES_tradnl"/>
        </w:rPr>
        <w:softHyphen/>
        <w:t>nando los criterios de compatibilidad, el método de evaluación y las técnicas de los Anexos 1, 2 y 3, respectivamente.</w:t>
      </w:r>
    </w:p>
    <w:p w14:paraId="7B4D7BFB" w14:textId="77777777" w:rsidR="008760D9" w:rsidRDefault="008760D9">
      <w:pPr>
        <w:pStyle w:val="Note"/>
        <w:rPr>
          <w:lang w:val="es-ES_tradnl"/>
        </w:rPr>
      </w:pPr>
      <w:r>
        <w:rPr>
          <w:i/>
          <w:lang w:val="es-ES_tradnl"/>
        </w:rPr>
        <w:t>Nota del Director</w:t>
      </w:r>
      <w:r>
        <w:rPr>
          <w:lang w:val="es-ES_tradnl"/>
        </w:rPr>
        <w:t> – A continuación se ofrece una lista de documentos seleccionados que puede ser útil para los estudios sobre compatibilidad entre los servicios de radionavegación aeronáutica y radiocomunicación y el servicio de radiodifusión sonora:</w:t>
      </w:r>
    </w:p>
    <w:p w14:paraId="669A53A7" w14:textId="77777777" w:rsidR="008760D9" w:rsidRDefault="008760D9">
      <w:pPr>
        <w:pStyle w:val="Note"/>
        <w:rPr>
          <w:lang w:val="es-ES_tradnl"/>
        </w:rPr>
      </w:pPr>
      <w:r>
        <w:rPr>
          <w:b/>
          <w:lang w:val="es-ES_tradnl"/>
        </w:rPr>
        <w:t>1</w:t>
      </w:r>
      <w:r>
        <w:rPr>
          <w:lang w:val="es-ES_tradnl"/>
        </w:rPr>
        <w:tab/>
      </w:r>
      <w:r>
        <w:rPr>
          <w:b/>
          <w:lang w:val="es-ES_tradnl"/>
        </w:rPr>
        <w:t>Documentos de conferencia de la UIT</w:t>
      </w:r>
    </w:p>
    <w:p w14:paraId="49881718" w14:textId="77777777" w:rsidR="008760D9" w:rsidRDefault="008760D9">
      <w:pPr>
        <w:pStyle w:val="Note"/>
        <w:ind w:left="720" w:hanging="720"/>
        <w:rPr>
          <w:lang w:val="es-ES_tradnl"/>
        </w:rPr>
      </w:pPr>
      <w:r>
        <w:rPr>
          <w:lang w:val="es-ES_tradnl"/>
        </w:rPr>
        <w:tab/>
        <w:t>Conferencia Administrativa Regional de radiodifusión sonora en modulación de frecuencia en la banda de ondas métricas (Región 1 y ciertos países interesados de la Región 3). Primera reunión (Ginebra, 1982): Informe establecido para la segunda reunión de la Conferencia (Ginebra, 1982).</w:t>
      </w:r>
    </w:p>
    <w:p w14:paraId="04EABD01" w14:textId="77777777" w:rsidR="008760D9" w:rsidRDefault="008760D9">
      <w:pPr>
        <w:pStyle w:val="Note"/>
        <w:ind w:left="720" w:hanging="720"/>
        <w:rPr>
          <w:lang w:val="es-ES_tradnl"/>
        </w:rPr>
      </w:pPr>
      <w:r>
        <w:rPr>
          <w:lang w:val="es-ES_tradnl"/>
        </w:rPr>
        <w:tab/>
        <w:t>Actas Finales de la Conferencia Administrativa Regional para la planificación de la radiodifusión sonora en ondas métricas (Región 1 y parte de la Región 3) (Ginebra, 1984).</w:t>
      </w:r>
    </w:p>
    <w:p w14:paraId="3C617534" w14:textId="77777777" w:rsidR="008760D9" w:rsidRDefault="008760D9" w:rsidP="005D5219">
      <w:pPr>
        <w:pStyle w:val="Note"/>
        <w:keepNext/>
        <w:keepLines/>
        <w:rPr>
          <w:lang w:val="es-ES_tradnl"/>
        </w:rPr>
      </w:pPr>
      <w:r>
        <w:rPr>
          <w:b/>
          <w:lang w:val="es-ES_tradnl"/>
        </w:rPr>
        <w:lastRenderedPageBreak/>
        <w:t>2</w:t>
      </w:r>
      <w:r>
        <w:rPr>
          <w:lang w:val="es-ES_tradnl"/>
        </w:rPr>
        <w:tab/>
      </w:r>
      <w:r>
        <w:rPr>
          <w:b/>
          <w:lang w:val="es-ES_tradnl"/>
        </w:rPr>
        <w:t>Documentos del ex-CCIR (Düsseldorf, 1990)</w:t>
      </w:r>
    </w:p>
    <w:p w14:paraId="01DA1B52" w14:textId="77777777" w:rsidR="008760D9" w:rsidRDefault="008760D9">
      <w:pPr>
        <w:pStyle w:val="Note"/>
        <w:ind w:left="720" w:hanging="720"/>
        <w:rPr>
          <w:lang w:val="es-ES_tradnl"/>
        </w:rPr>
      </w:pPr>
      <w:r>
        <w:rPr>
          <w:lang w:val="es-ES_tradnl"/>
        </w:rPr>
        <w:tab/>
        <w:t>Informe 929-2: Compatibilidad entre el servicio de radiodifusión en la banda de aproximadamente 87</w:t>
      </w:r>
      <w:r>
        <w:rPr>
          <w:lang w:val="es-ES_tradnl"/>
        </w:rPr>
        <w:noBreakHyphen/>
        <w:t>108 MHz y los servicios aeronáuticos en la banda 108-137 MHz.</w:t>
      </w:r>
    </w:p>
    <w:p w14:paraId="2756BA95" w14:textId="77777777" w:rsidR="008760D9" w:rsidRDefault="008760D9">
      <w:pPr>
        <w:pStyle w:val="Note"/>
        <w:ind w:left="720" w:hanging="720"/>
        <w:rPr>
          <w:lang w:val="es-ES_tradnl"/>
        </w:rPr>
      </w:pPr>
      <w:r>
        <w:rPr>
          <w:lang w:val="es-ES_tradnl"/>
        </w:rPr>
        <w:tab/>
        <w:t>Informe 1198: Compatibilidad entre el servicio de radiodifusión en la banda 87,5-108 MHz y los servicios aeronáuticos que utilizan la banda 108-137 MHz.</w:t>
      </w:r>
    </w:p>
    <w:p w14:paraId="4540BCE6" w14:textId="77777777" w:rsidR="008760D9" w:rsidRDefault="008760D9">
      <w:pPr>
        <w:pStyle w:val="Note"/>
        <w:ind w:left="720" w:hanging="720"/>
        <w:rPr>
          <w:lang w:val="es-ES_tradnl"/>
        </w:rPr>
      </w:pPr>
      <w:r>
        <w:rPr>
          <w:lang w:val="es-ES_tradnl"/>
        </w:rPr>
        <w:tab/>
        <w:t>Informe 927-2: Consideraciones generales relativas a la interferencia perjudicial desde el punto de vista de los servicios móviles aeronáuticos y el servicio de radionavegación aeronáutica.</w:t>
      </w:r>
    </w:p>
    <w:p w14:paraId="6F98E15F" w14:textId="3E3CCB58" w:rsidR="008760D9" w:rsidRDefault="008760D9">
      <w:pPr>
        <w:pStyle w:val="Note"/>
        <w:rPr>
          <w:lang w:val="es-ES_tradnl"/>
        </w:rPr>
      </w:pPr>
      <w:r>
        <w:rPr>
          <w:i/>
          <w:lang w:val="es-ES_tradnl"/>
        </w:rPr>
        <w:tab/>
      </w:r>
      <w:r>
        <w:rPr>
          <w:lang w:val="es-ES_tradnl"/>
        </w:rPr>
        <w:t>NOTA 1 – Los Informes 929-2 y 1198 representan la culminación de las tareas:</w:t>
      </w:r>
    </w:p>
    <w:p w14:paraId="570ADF90" w14:textId="77777777" w:rsidR="008760D9" w:rsidRDefault="008760D9">
      <w:pPr>
        <w:pStyle w:val="Note"/>
        <w:tabs>
          <w:tab w:val="left" w:pos="737"/>
          <w:tab w:val="left" w:pos="1021"/>
        </w:tabs>
        <w:rPr>
          <w:lang w:val="es-ES_tradnl"/>
        </w:rPr>
      </w:pPr>
      <w:r>
        <w:rPr>
          <w:lang w:val="es-ES_tradnl"/>
        </w:rPr>
        <w:tab/>
        <w:t>–</w:t>
      </w:r>
      <w:r>
        <w:rPr>
          <w:lang w:val="es-ES_tradnl"/>
        </w:rPr>
        <w:tab/>
        <w:t>del Grupo Interino de Trabajo 8/12 (Annapolis, 1983)</w:t>
      </w:r>
    </w:p>
    <w:p w14:paraId="572F8070" w14:textId="77777777" w:rsidR="008760D9" w:rsidRDefault="008760D9">
      <w:pPr>
        <w:pStyle w:val="Note"/>
        <w:tabs>
          <w:tab w:val="left" w:pos="737"/>
          <w:tab w:val="left" w:pos="1021"/>
        </w:tabs>
        <w:rPr>
          <w:lang w:val="es-ES_tradnl"/>
        </w:rPr>
      </w:pPr>
      <w:r>
        <w:rPr>
          <w:lang w:val="es-ES_tradnl"/>
        </w:rPr>
        <w:tab/>
        <w:t>–</w:t>
      </w:r>
      <w:r>
        <w:rPr>
          <w:lang w:val="es-ES_tradnl"/>
        </w:rPr>
        <w:tab/>
        <w:t>del Grupo Interino de Trabajo 10/8 (París, 1983)</w:t>
      </w:r>
    </w:p>
    <w:p w14:paraId="545F1C75" w14:textId="77777777" w:rsidR="008760D9" w:rsidRDefault="008760D9">
      <w:pPr>
        <w:pStyle w:val="Note"/>
        <w:tabs>
          <w:tab w:val="left" w:pos="737"/>
          <w:tab w:val="left" w:pos="1021"/>
        </w:tabs>
        <w:rPr>
          <w:lang w:val="es-ES_tradnl"/>
        </w:rPr>
      </w:pPr>
      <w:r>
        <w:rPr>
          <w:lang w:val="es-ES_tradnl"/>
        </w:rPr>
        <w:tab/>
        <w:t>–</w:t>
      </w:r>
      <w:r>
        <w:rPr>
          <w:lang w:val="es-ES_tradnl"/>
        </w:rPr>
        <w:tab/>
        <w:t>del Grupo Interino de Trabajo Mixto 8-10/1, primera reunión (Ginebra, 1984)</w:t>
      </w:r>
    </w:p>
    <w:p w14:paraId="5FD39130" w14:textId="77777777" w:rsidR="008760D9" w:rsidRDefault="008760D9">
      <w:pPr>
        <w:pStyle w:val="Note"/>
        <w:tabs>
          <w:tab w:val="left" w:pos="737"/>
          <w:tab w:val="left" w:pos="1021"/>
        </w:tabs>
        <w:rPr>
          <w:lang w:val="es-ES_tradnl"/>
        </w:rPr>
      </w:pPr>
      <w:r>
        <w:rPr>
          <w:lang w:val="es-ES_tradnl"/>
        </w:rPr>
        <w:tab/>
        <w:t>–</w:t>
      </w:r>
      <w:r>
        <w:rPr>
          <w:lang w:val="es-ES_tradnl"/>
        </w:rPr>
        <w:tab/>
        <w:t>del Grupo Interino de Trabajo Mixto 8-10/1, segunda reunión (Rio de Janeiro, 1987)</w:t>
      </w:r>
    </w:p>
    <w:p w14:paraId="5275D2BA" w14:textId="77777777" w:rsidR="008760D9" w:rsidRDefault="008760D9">
      <w:pPr>
        <w:pStyle w:val="Note"/>
        <w:tabs>
          <w:tab w:val="left" w:pos="737"/>
          <w:tab w:val="left" w:pos="1021"/>
        </w:tabs>
        <w:rPr>
          <w:lang w:val="es-ES_tradnl"/>
        </w:rPr>
      </w:pPr>
      <w:r>
        <w:rPr>
          <w:lang w:val="es-ES_tradnl"/>
        </w:rPr>
        <w:tab/>
        <w:t>–</w:t>
      </w:r>
      <w:r>
        <w:rPr>
          <w:rFonts w:ascii="Symbol" w:hAnsi="Symbol"/>
          <w:lang w:val="es-ES_tradnl"/>
        </w:rPr>
        <w:tab/>
      </w:r>
      <w:r>
        <w:rPr>
          <w:lang w:val="es-ES_tradnl"/>
        </w:rPr>
        <w:t>del Grupo Interino de Trabajo Mixto 8-10/1, tercera reunión (Helsinki, 1988),</w:t>
      </w:r>
    </w:p>
    <w:p w14:paraId="0D21FFD1" w14:textId="77777777" w:rsidR="008760D9" w:rsidRDefault="008760D9">
      <w:pPr>
        <w:pStyle w:val="Note"/>
        <w:rPr>
          <w:lang w:val="es-ES_tradnl"/>
        </w:rPr>
      </w:pPr>
      <w:r>
        <w:rPr>
          <w:lang w:val="es-ES_tradnl"/>
        </w:rPr>
        <w:tab/>
        <w:t>y figuran en la publicación del ex-CCIR siguiente (Düsseldorf, 1990):</w:t>
      </w:r>
    </w:p>
    <w:p w14:paraId="6C5FAB06" w14:textId="77777777" w:rsidR="008760D9" w:rsidRDefault="008760D9">
      <w:pPr>
        <w:pStyle w:val="Note"/>
        <w:tabs>
          <w:tab w:val="left" w:pos="737"/>
          <w:tab w:val="left" w:pos="1021"/>
        </w:tabs>
        <w:ind w:left="1021" w:hanging="1021"/>
        <w:rPr>
          <w:lang w:val="es-ES_tradnl"/>
        </w:rPr>
      </w:pPr>
      <w:r>
        <w:rPr>
          <w:lang w:val="es-ES_tradnl"/>
        </w:rPr>
        <w:tab/>
        <w:t>–</w:t>
      </w:r>
      <w:r>
        <w:rPr>
          <w:lang w:val="es-ES_tradnl"/>
        </w:rPr>
        <w:tab/>
        <w:t>Compatibilidad entre el servicio de radiodifusión en la banda de aproximadamente 87-108 MHz y los servicios aeronáuticos en la banda 108</w:t>
      </w:r>
      <w:r>
        <w:rPr>
          <w:lang w:val="es-ES_tradnl"/>
        </w:rPr>
        <w:noBreakHyphen/>
        <w:t>137 MHz.</w:t>
      </w:r>
    </w:p>
    <w:p w14:paraId="2D30E491" w14:textId="77777777" w:rsidR="008760D9" w:rsidRDefault="008760D9">
      <w:pPr>
        <w:pStyle w:val="Note"/>
        <w:rPr>
          <w:lang w:val="es-ES_tradnl"/>
        </w:rPr>
      </w:pPr>
      <w:r>
        <w:rPr>
          <w:b/>
          <w:lang w:val="es-ES_tradnl"/>
        </w:rPr>
        <w:t>3</w:t>
      </w:r>
      <w:r>
        <w:rPr>
          <w:b/>
          <w:lang w:val="es-ES_tradnl"/>
        </w:rPr>
        <w:tab/>
        <w:t>Documentos de la Organización de la Aviación Civil Internacional (OACI)</w:t>
      </w:r>
    </w:p>
    <w:p w14:paraId="47BD4AFE" w14:textId="77777777" w:rsidR="008760D9" w:rsidRDefault="008760D9">
      <w:pPr>
        <w:pStyle w:val="Note"/>
        <w:ind w:left="720" w:hanging="720"/>
        <w:rPr>
          <w:lang w:val="es-ES_tradnl"/>
        </w:rPr>
      </w:pPr>
      <w:r>
        <w:rPr>
          <w:lang w:val="es-ES_tradnl"/>
        </w:rPr>
        <w:tab/>
        <w:t xml:space="preserve">OACI [1985] International </w:t>
      </w:r>
      <w:proofErr w:type="spellStart"/>
      <w:r>
        <w:rPr>
          <w:lang w:val="es-ES_tradnl"/>
        </w:rPr>
        <w:t>standards</w:t>
      </w:r>
      <w:proofErr w:type="spellEnd"/>
      <w:r>
        <w:rPr>
          <w:lang w:val="es-ES_tradnl"/>
        </w:rPr>
        <w:t xml:space="preserve">, </w:t>
      </w:r>
      <w:proofErr w:type="spellStart"/>
      <w:r>
        <w:rPr>
          <w:lang w:val="es-ES_tradnl"/>
        </w:rPr>
        <w:t>recommended</w:t>
      </w:r>
      <w:proofErr w:type="spellEnd"/>
      <w:r>
        <w:rPr>
          <w:lang w:val="es-ES_tradnl"/>
        </w:rPr>
        <w:t xml:space="preserve"> </w:t>
      </w:r>
      <w:proofErr w:type="spellStart"/>
      <w:r>
        <w:rPr>
          <w:lang w:val="es-ES_tradnl"/>
        </w:rPr>
        <w:t>practices</w:t>
      </w:r>
      <w:proofErr w:type="spellEnd"/>
      <w:r>
        <w:rPr>
          <w:lang w:val="es-ES_tradnl"/>
        </w:rPr>
        <w:t xml:space="preserve"> and </w:t>
      </w:r>
      <w:proofErr w:type="spellStart"/>
      <w:r>
        <w:rPr>
          <w:lang w:val="es-ES_tradnl"/>
        </w:rPr>
        <w:t>procedures</w:t>
      </w:r>
      <w:proofErr w:type="spellEnd"/>
      <w:r>
        <w:rPr>
          <w:lang w:val="es-ES_tradnl"/>
        </w:rPr>
        <w:t xml:space="preserve"> </w:t>
      </w:r>
      <w:proofErr w:type="spellStart"/>
      <w:r>
        <w:rPr>
          <w:lang w:val="es-ES_tradnl"/>
        </w:rPr>
        <w:t>for</w:t>
      </w:r>
      <w:proofErr w:type="spellEnd"/>
      <w:r>
        <w:rPr>
          <w:lang w:val="es-ES_tradnl"/>
        </w:rPr>
        <w:t xml:space="preserve"> air </w:t>
      </w:r>
      <w:proofErr w:type="spellStart"/>
      <w:r>
        <w:rPr>
          <w:lang w:val="es-ES_tradnl"/>
        </w:rPr>
        <w:t>navigation</w:t>
      </w:r>
      <w:proofErr w:type="spellEnd"/>
      <w:r>
        <w:rPr>
          <w:lang w:val="es-ES_tradnl"/>
        </w:rPr>
        <w:t xml:space="preserve"> </w:t>
      </w:r>
      <w:proofErr w:type="spellStart"/>
      <w:r>
        <w:rPr>
          <w:lang w:val="es-ES_tradnl"/>
        </w:rPr>
        <w:t>services</w:t>
      </w:r>
      <w:proofErr w:type="spellEnd"/>
      <w:r>
        <w:rPr>
          <w:lang w:val="es-ES_tradnl"/>
        </w:rPr>
        <w:t xml:space="preserve">: </w:t>
      </w:r>
      <w:proofErr w:type="spellStart"/>
      <w:r>
        <w:rPr>
          <w:lang w:val="es-ES_tradnl"/>
        </w:rPr>
        <w:t>aeronautical</w:t>
      </w:r>
      <w:proofErr w:type="spellEnd"/>
      <w:r>
        <w:rPr>
          <w:lang w:val="es-ES_tradnl"/>
        </w:rPr>
        <w:t xml:space="preserve"> </w:t>
      </w:r>
      <w:proofErr w:type="spellStart"/>
      <w:r>
        <w:rPr>
          <w:lang w:val="es-ES_tradnl"/>
        </w:rPr>
        <w:t>telecommunications</w:t>
      </w:r>
      <w:proofErr w:type="spellEnd"/>
      <w:r>
        <w:rPr>
          <w:lang w:val="es-ES_tradnl"/>
        </w:rPr>
        <w:t xml:space="preserve">. </w:t>
      </w:r>
      <w:proofErr w:type="spellStart"/>
      <w:r>
        <w:rPr>
          <w:lang w:val="es-ES_tradnl"/>
        </w:rPr>
        <w:t>Annex</w:t>
      </w:r>
      <w:proofErr w:type="spellEnd"/>
      <w:r>
        <w:rPr>
          <w:lang w:val="es-ES_tradnl"/>
        </w:rPr>
        <w:t xml:space="preserve"> 10 </w:t>
      </w:r>
      <w:proofErr w:type="spellStart"/>
      <w:r>
        <w:rPr>
          <w:lang w:val="es-ES_tradnl"/>
        </w:rPr>
        <w:t>to</w:t>
      </w:r>
      <w:proofErr w:type="spellEnd"/>
      <w:r>
        <w:rPr>
          <w:lang w:val="es-ES_tradnl"/>
        </w:rPr>
        <w:t xml:space="preserve"> </w:t>
      </w:r>
      <w:proofErr w:type="spellStart"/>
      <w:r>
        <w:rPr>
          <w:lang w:val="es-ES_tradnl"/>
        </w:rPr>
        <w:t>the</w:t>
      </w:r>
      <w:proofErr w:type="spellEnd"/>
      <w:r>
        <w:rPr>
          <w:lang w:val="es-ES_tradnl"/>
        </w:rPr>
        <w:t xml:space="preserve"> </w:t>
      </w:r>
      <w:proofErr w:type="spellStart"/>
      <w:r>
        <w:rPr>
          <w:lang w:val="es-ES_tradnl"/>
        </w:rPr>
        <w:t>Convention</w:t>
      </w:r>
      <w:proofErr w:type="spellEnd"/>
      <w:r>
        <w:rPr>
          <w:lang w:val="es-ES_tradnl"/>
        </w:rPr>
        <w:t xml:space="preserve"> </w:t>
      </w:r>
      <w:proofErr w:type="spellStart"/>
      <w:r>
        <w:rPr>
          <w:lang w:val="es-ES_tradnl"/>
        </w:rPr>
        <w:t>on</w:t>
      </w:r>
      <w:proofErr w:type="spellEnd"/>
      <w:r>
        <w:rPr>
          <w:lang w:val="es-ES_tradnl"/>
        </w:rPr>
        <w:t xml:space="preserve"> International Civil </w:t>
      </w:r>
      <w:proofErr w:type="spellStart"/>
      <w:r>
        <w:rPr>
          <w:lang w:val="es-ES_tradnl"/>
        </w:rPr>
        <w:t>Aviation</w:t>
      </w:r>
      <w:proofErr w:type="spellEnd"/>
      <w:r>
        <w:rPr>
          <w:lang w:val="es-ES_tradnl"/>
        </w:rPr>
        <w:t xml:space="preserve">, </w:t>
      </w:r>
      <w:proofErr w:type="spellStart"/>
      <w:r>
        <w:rPr>
          <w:lang w:val="es-ES_tradnl"/>
        </w:rPr>
        <w:t>Volume</w:t>
      </w:r>
      <w:proofErr w:type="spellEnd"/>
      <w:r>
        <w:rPr>
          <w:lang w:val="es-ES_tradnl"/>
        </w:rPr>
        <w:t> I. Organización de la Aviación Civil Internacional, Montreal, Canadá.</w:t>
      </w:r>
    </w:p>
    <w:p w14:paraId="43F2D494" w14:textId="77777777" w:rsidR="008760D9" w:rsidRPr="00AC3FDE" w:rsidRDefault="008760D9">
      <w:pPr>
        <w:pStyle w:val="Note"/>
        <w:ind w:left="720" w:hanging="720"/>
      </w:pPr>
      <w:r>
        <w:rPr>
          <w:lang w:val="es-ES_tradnl"/>
        </w:rPr>
        <w:tab/>
      </w:r>
      <w:r w:rsidRPr="00AC3FDE">
        <w:t xml:space="preserve">OACI [1992] Handbook for evaluation of electromagnetic compatibility (EMC) between ILS and FM broadcasting stations using flight tests. </w:t>
      </w:r>
      <w:proofErr w:type="spellStart"/>
      <w:r w:rsidRPr="00AC3FDE">
        <w:t>Organización</w:t>
      </w:r>
      <w:proofErr w:type="spellEnd"/>
      <w:r w:rsidRPr="00AC3FDE">
        <w:t xml:space="preserve"> de la </w:t>
      </w:r>
      <w:proofErr w:type="spellStart"/>
      <w:r w:rsidRPr="00AC3FDE">
        <w:t>Aviación</w:t>
      </w:r>
      <w:proofErr w:type="spellEnd"/>
      <w:r w:rsidRPr="00AC3FDE">
        <w:t xml:space="preserve"> Civil </w:t>
      </w:r>
      <w:proofErr w:type="spellStart"/>
      <w:r w:rsidRPr="00AC3FDE">
        <w:t>Internacional</w:t>
      </w:r>
      <w:proofErr w:type="spellEnd"/>
      <w:r w:rsidRPr="00AC3FDE">
        <w:t xml:space="preserve">, Montreal, </w:t>
      </w:r>
      <w:proofErr w:type="spellStart"/>
      <w:r w:rsidRPr="00AC3FDE">
        <w:t>Canadá</w:t>
      </w:r>
      <w:proofErr w:type="spellEnd"/>
      <w:r w:rsidRPr="00AC3FDE">
        <w:t>.</w:t>
      </w:r>
    </w:p>
    <w:p w14:paraId="55D21798" w14:textId="77777777" w:rsidR="008760D9" w:rsidRPr="00AC3FDE" w:rsidRDefault="008760D9">
      <w:pPr>
        <w:pStyle w:val="Note"/>
      </w:pPr>
      <w:r w:rsidRPr="00AC3FDE">
        <w:rPr>
          <w:b/>
        </w:rPr>
        <w:t>4</w:t>
      </w:r>
      <w:r w:rsidRPr="00AC3FDE">
        <w:rPr>
          <w:b/>
        </w:rPr>
        <w:tab/>
      </w:r>
      <w:proofErr w:type="spellStart"/>
      <w:r w:rsidRPr="00AC3FDE">
        <w:rPr>
          <w:b/>
        </w:rPr>
        <w:t>Otros</w:t>
      </w:r>
      <w:proofErr w:type="spellEnd"/>
      <w:r w:rsidRPr="00AC3FDE">
        <w:rPr>
          <w:b/>
        </w:rPr>
        <w:t xml:space="preserve"> </w:t>
      </w:r>
      <w:proofErr w:type="spellStart"/>
      <w:r w:rsidRPr="00AC3FDE">
        <w:rPr>
          <w:b/>
        </w:rPr>
        <w:t>documentos</w:t>
      </w:r>
      <w:proofErr w:type="spellEnd"/>
    </w:p>
    <w:p w14:paraId="77DFF649" w14:textId="77777777" w:rsidR="008760D9" w:rsidRDefault="008760D9">
      <w:pPr>
        <w:pStyle w:val="Note"/>
        <w:ind w:left="720" w:hanging="720"/>
        <w:rPr>
          <w:lang w:val="es-ES_tradnl"/>
        </w:rPr>
      </w:pPr>
      <w:r w:rsidRPr="00AC3FDE">
        <w:tab/>
        <w:t xml:space="preserve">AUGSTMAN, E. y VOWLES, S. [1986] Frequency response characteristics of aircraft VOR/localizer antennas in the band 88-118 MHz, TP-7942E. </w:t>
      </w:r>
      <w:proofErr w:type="spellStart"/>
      <w:r>
        <w:rPr>
          <w:lang w:val="es-ES_tradnl"/>
        </w:rPr>
        <w:t>Transport</w:t>
      </w:r>
      <w:proofErr w:type="spellEnd"/>
      <w:r>
        <w:rPr>
          <w:lang w:val="es-ES_tradnl"/>
        </w:rPr>
        <w:t xml:space="preserve"> </w:t>
      </w:r>
      <w:proofErr w:type="spellStart"/>
      <w:r>
        <w:rPr>
          <w:lang w:val="es-ES_tradnl"/>
        </w:rPr>
        <w:t>Canada</w:t>
      </w:r>
      <w:proofErr w:type="spellEnd"/>
      <w:r>
        <w:rPr>
          <w:lang w:val="es-ES_tradnl"/>
        </w:rPr>
        <w:t>, Ottawa, Canadá.</w:t>
      </w:r>
    </w:p>
    <w:p w14:paraId="65F84714" w14:textId="77777777" w:rsidR="008760D9" w:rsidRDefault="008760D9">
      <w:pPr>
        <w:pStyle w:val="Note"/>
        <w:ind w:left="720" w:hanging="720"/>
        <w:rPr>
          <w:lang w:val="es-ES_tradnl"/>
        </w:rPr>
      </w:pPr>
      <w:r>
        <w:rPr>
          <w:lang w:val="es-ES_tradnl"/>
        </w:rPr>
        <w:tab/>
      </w:r>
      <w:r w:rsidRPr="00AC3FDE">
        <w:t xml:space="preserve">DONG, J.G. y SAWTELLE, E.M. [1977] Interference in communications and navigation avionics from commercial FM stations. </w:t>
      </w:r>
      <w:r>
        <w:rPr>
          <w:lang w:val="es-ES_tradnl"/>
        </w:rPr>
        <w:t xml:space="preserve">FAA </w:t>
      </w:r>
      <w:proofErr w:type="spellStart"/>
      <w:r>
        <w:rPr>
          <w:lang w:val="es-ES_tradnl"/>
        </w:rPr>
        <w:t>Report</w:t>
      </w:r>
      <w:proofErr w:type="spellEnd"/>
      <w:r>
        <w:rPr>
          <w:lang w:val="es-ES_tradnl"/>
        </w:rPr>
        <w:t xml:space="preserve"> No. RD</w:t>
      </w:r>
      <w:r>
        <w:rPr>
          <w:lang w:val="es-ES_tradnl"/>
        </w:rPr>
        <w:noBreakHyphen/>
        <w:t>78</w:t>
      </w:r>
      <w:r>
        <w:rPr>
          <w:lang w:val="es-ES_tradnl"/>
        </w:rPr>
        <w:noBreakHyphen/>
        <w:t xml:space="preserve">35. Federal </w:t>
      </w:r>
      <w:proofErr w:type="spellStart"/>
      <w:r>
        <w:rPr>
          <w:lang w:val="es-ES_tradnl"/>
        </w:rPr>
        <w:t>Aviation</w:t>
      </w:r>
      <w:proofErr w:type="spellEnd"/>
      <w:r>
        <w:rPr>
          <w:lang w:val="es-ES_tradnl"/>
        </w:rPr>
        <w:t xml:space="preserve"> </w:t>
      </w:r>
      <w:proofErr w:type="spellStart"/>
      <w:r>
        <w:rPr>
          <w:lang w:val="es-ES_tradnl"/>
        </w:rPr>
        <w:t>Administration</w:t>
      </w:r>
      <w:proofErr w:type="spellEnd"/>
      <w:r>
        <w:rPr>
          <w:lang w:val="es-ES_tradnl"/>
        </w:rPr>
        <w:t>, Washington, DC, Estados Unidos de América.</w:t>
      </w:r>
    </w:p>
    <w:p w14:paraId="00CBAE26" w14:textId="77777777" w:rsidR="008760D9" w:rsidRPr="00AC3FDE" w:rsidRDefault="008760D9">
      <w:pPr>
        <w:pStyle w:val="Note"/>
        <w:ind w:left="720" w:hanging="720"/>
      </w:pPr>
      <w:r>
        <w:rPr>
          <w:lang w:val="es-ES_tradnl"/>
        </w:rPr>
        <w:tab/>
      </w:r>
      <w:r w:rsidRPr="00AC3FDE">
        <w:t xml:space="preserve">FAA [1992] User’s manual and technical reference for the airspace analysis mathematical model, Version 4.1. Federal Aviation Administration, Washington, DC, </w:t>
      </w:r>
      <w:proofErr w:type="spellStart"/>
      <w:r w:rsidRPr="00AC3FDE">
        <w:t>Estados</w:t>
      </w:r>
      <w:proofErr w:type="spellEnd"/>
      <w:r w:rsidRPr="00AC3FDE">
        <w:t xml:space="preserve"> Unidos de América.</w:t>
      </w:r>
    </w:p>
    <w:p w14:paraId="20E4A027" w14:textId="77777777" w:rsidR="008760D9" w:rsidRDefault="008760D9">
      <w:pPr>
        <w:pStyle w:val="Note"/>
        <w:ind w:left="720" w:hanging="720"/>
        <w:rPr>
          <w:lang w:val="es-ES_tradnl"/>
        </w:rPr>
      </w:pPr>
      <w:r w:rsidRPr="00AC3FDE">
        <w:tab/>
        <w:t xml:space="preserve">HARDING, S.J. [1989] Aeronautical receiver immunity to high level signals from FM broadcast transmitters, CA.A Paper 89012. </w:t>
      </w:r>
      <w:r>
        <w:rPr>
          <w:lang w:val="es-ES_tradnl"/>
        </w:rPr>
        <w:t xml:space="preserve">Civil </w:t>
      </w:r>
      <w:proofErr w:type="spellStart"/>
      <w:r>
        <w:rPr>
          <w:lang w:val="es-ES_tradnl"/>
        </w:rPr>
        <w:t>Aviation</w:t>
      </w:r>
      <w:proofErr w:type="spellEnd"/>
      <w:r>
        <w:rPr>
          <w:lang w:val="es-ES_tradnl"/>
        </w:rPr>
        <w:t xml:space="preserve"> </w:t>
      </w:r>
      <w:proofErr w:type="spellStart"/>
      <w:r>
        <w:rPr>
          <w:lang w:val="es-ES_tradnl"/>
        </w:rPr>
        <w:t>Authority</w:t>
      </w:r>
      <w:proofErr w:type="spellEnd"/>
      <w:r>
        <w:rPr>
          <w:lang w:val="es-ES_tradnl"/>
        </w:rPr>
        <w:t>, Londres, Reino Unido.</w:t>
      </w:r>
    </w:p>
    <w:p w14:paraId="7DE0C26B" w14:textId="77777777" w:rsidR="008760D9" w:rsidRPr="00AC3FDE" w:rsidRDefault="008760D9">
      <w:pPr>
        <w:pStyle w:val="Note"/>
        <w:ind w:left="720" w:hanging="720"/>
      </w:pPr>
      <w:r>
        <w:rPr>
          <w:lang w:val="es-ES_tradnl"/>
        </w:rPr>
        <w:tab/>
        <w:t>HUNT, K., DOEVEN, J. y FINNIE, J. [septiembre de 1993] LEGBAC: De “</w:t>
      </w:r>
      <w:proofErr w:type="spellStart"/>
      <w:r>
        <w:rPr>
          <w:lang w:val="es-ES_tradnl"/>
        </w:rPr>
        <w:t>Church</w:t>
      </w:r>
      <w:proofErr w:type="spellEnd"/>
      <w:r>
        <w:rPr>
          <w:lang w:val="es-ES_tradnl"/>
        </w:rPr>
        <w:t xml:space="preserve"> House” a Málaga vía </w:t>
      </w:r>
      <w:proofErr w:type="spellStart"/>
      <w:r>
        <w:rPr>
          <w:lang w:val="es-ES_tradnl"/>
        </w:rPr>
        <w:t>Aviemore</w:t>
      </w:r>
      <w:proofErr w:type="spellEnd"/>
      <w:r>
        <w:rPr>
          <w:lang w:val="es-ES_tradnl"/>
        </w:rPr>
        <w:t xml:space="preserve">. </w:t>
      </w:r>
      <w:proofErr w:type="spellStart"/>
      <w:r w:rsidRPr="00AC3FDE">
        <w:rPr>
          <w:i/>
        </w:rPr>
        <w:t>Boletín</w:t>
      </w:r>
      <w:proofErr w:type="spellEnd"/>
      <w:r w:rsidRPr="00AC3FDE">
        <w:rPr>
          <w:i/>
        </w:rPr>
        <w:t xml:space="preserve"> de Telecom</w:t>
      </w:r>
      <w:r w:rsidRPr="00AC3FDE">
        <w:t>., Vol. 60, N.</w:t>
      </w:r>
      <w:r>
        <w:rPr>
          <w:rFonts w:ascii="Symbol" w:hAnsi="Symbol"/>
          <w:lang w:val="es-ES_tradnl"/>
        </w:rPr>
        <w:t></w:t>
      </w:r>
      <w:r w:rsidRPr="00AC3FDE">
        <w:t xml:space="preserve"> IX.</w:t>
      </w:r>
    </w:p>
    <w:p w14:paraId="328F8ECD" w14:textId="77777777" w:rsidR="008760D9" w:rsidRPr="00AC3FDE" w:rsidRDefault="008760D9">
      <w:pPr>
        <w:pStyle w:val="Note"/>
        <w:ind w:left="720" w:hanging="720"/>
      </w:pPr>
      <w:r w:rsidRPr="00AC3FDE">
        <w:tab/>
        <w:t>RTCA [1981] FM broadcast interference related to airborne ILS, VOR and VHF communications, Document No. </w:t>
      </w:r>
      <w:r>
        <w:rPr>
          <w:lang w:val="es-ES_tradnl"/>
        </w:rPr>
        <w:t xml:space="preserve">RTCA/DO-176. </w:t>
      </w:r>
      <w:r w:rsidRPr="00AC3FDE">
        <w:t xml:space="preserve">Radio Technical Commission for Aeronautics, Washington, DC, </w:t>
      </w:r>
      <w:proofErr w:type="spellStart"/>
      <w:r w:rsidRPr="00AC3FDE">
        <w:t>Estados</w:t>
      </w:r>
      <w:proofErr w:type="spellEnd"/>
      <w:r w:rsidRPr="00AC3FDE">
        <w:t xml:space="preserve"> Unidos de América.</w:t>
      </w:r>
    </w:p>
    <w:p w14:paraId="48661D5F" w14:textId="77777777" w:rsidR="008760D9" w:rsidRPr="00AC3FDE" w:rsidRDefault="008760D9">
      <w:pPr>
        <w:pStyle w:val="Note"/>
        <w:ind w:left="720" w:hanging="720"/>
      </w:pPr>
      <w:r w:rsidRPr="00AC3FDE">
        <w:tab/>
        <w:t>RTCA [1985] Minimum operational performance standards for airborne radiocommunications receiving equipment operating within the radio frequency range of 117.975-137.000 MHz, Document No. </w:t>
      </w:r>
      <w:r>
        <w:rPr>
          <w:lang w:val="es-ES_tradnl"/>
        </w:rPr>
        <w:t>RTCA/DO</w:t>
      </w:r>
      <w:r>
        <w:rPr>
          <w:lang w:val="es-ES_tradnl"/>
        </w:rPr>
        <w:noBreakHyphen/>
        <w:t xml:space="preserve">186. </w:t>
      </w:r>
      <w:r w:rsidRPr="00AC3FDE">
        <w:t xml:space="preserve">Radio Technical Commission for Aeronautics, Washington, DC, </w:t>
      </w:r>
      <w:proofErr w:type="spellStart"/>
      <w:r w:rsidRPr="00AC3FDE">
        <w:t>Estados</w:t>
      </w:r>
      <w:proofErr w:type="spellEnd"/>
      <w:r w:rsidRPr="00AC3FDE">
        <w:t xml:space="preserve"> Unidos de América.</w:t>
      </w:r>
    </w:p>
    <w:p w14:paraId="1081A99E" w14:textId="77777777" w:rsidR="008760D9" w:rsidRPr="00AC3FDE" w:rsidRDefault="008760D9">
      <w:pPr>
        <w:pStyle w:val="Note"/>
        <w:ind w:left="720" w:hanging="720"/>
      </w:pPr>
      <w:r w:rsidRPr="00AC3FDE">
        <w:tab/>
        <w:t>RTCA [1986a] Minimum operational performance standards for airborne ILS localizer receiving equipment operating within the radio frequency range of 108-112 MHz, Document No. </w:t>
      </w:r>
      <w:r>
        <w:rPr>
          <w:lang w:val="es-ES_tradnl"/>
        </w:rPr>
        <w:t xml:space="preserve">RTCA/DO-195. </w:t>
      </w:r>
      <w:r w:rsidRPr="00AC3FDE">
        <w:t xml:space="preserve">Radio Technical Commission for Aeronautics, Washington, DC, </w:t>
      </w:r>
      <w:proofErr w:type="spellStart"/>
      <w:r w:rsidRPr="00AC3FDE">
        <w:t>Estados</w:t>
      </w:r>
      <w:proofErr w:type="spellEnd"/>
      <w:r w:rsidRPr="00AC3FDE">
        <w:t> Unidos de América.</w:t>
      </w:r>
    </w:p>
    <w:p w14:paraId="5954DFA6" w14:textId="77777777" w:rsidR="008760D9" w:rsidRDefault="008760D9">
      <w:pPr>
        <w:pStyle w:val="Note"/>
        <w:ind w:left="720" w:hanging="720"/>
        <w:rPr>
          <w:lang w:val="es-ES_tradnl"/>
        </w:rPr>
      </w:pPr>
      <w:r w:rsidRPr="00AC3FDE">
        <w:tab/>
        <w:t>RTCA [1986b] Minimum operational performance standards for airborne VOR receiving equipment operating within the frequency range of 108-117.95 MHz, Document No. </w:t>
      </w:r>
      <w:r>
        <w:rPr>
          <w:lang w:val="es-ES_tradnl"/>
        </w:rPr>
        <w:t xml:space="preserve">RTCA/DO-196. Radio </w:t>
      </w:r>
      <w:proofErr w:type="spellStart"/>
      <w:r>
        <w:rPr>
          <w:lang w:val="es-ES_tradnl"/>
        </w:rPr>
        <w:t>Technical</w:t>
      </w:r>
      <w:proofErr w:type="spellEnd"/>
      <w:r>
        <w:rPr>
          <w:lang w:val="es-ES_tradnl"/>
        </w:rPr>
        <w:t xml:space="preserve"> </w:t>
      </w:r>
      <w:proofErr w:type="spellStart"/>
      <w:r>
        <w:rPr>
          <w:lang w:val="es-ES_tradnl"/>
        </w:rPr>
        <w:t>Commission</w:t>
      </w:r>
      <w:proofErr w:type="spellEnd"/>
      <w:r>
        <w:rPr>
          <w:lang w:val="es-ES_tradnl"/>
        </w:rPr>
        <w:t xml:space="preserve"> </w:t>
      </w:r>
      <w:proofErr w:type="spellStart"/>
      <w:r>
        <w:rPr>
          <w:lang w:val="es-ES_tradnl"/>
        </w:rPr>
        <w:t>for</w:t>
      </w:r>
      <w:proofErr w:type="spellEnd"/>
      <w:r>
        <w:rPr>
          <w:lang w:val="es-ES_tradnl"/>
        </w:rPr>
        <w:t xml:space="preserve"> </w:t>
      </w:r>
      <w:proofErr w:type="spellStart"/>
      <w:r>
        <w:rPr>
          <w:lang w:val="es-ES_tradnl"/>
        </w:rPr>
        <w:t>Aeronautics</w:t>
      </w:r>
      <w:proofErr w:type="spellEnd"/>
      <w:r>
        <w:rPr>
          <w:lang w:val="es-ES_tradnl"/>
        </w:rPr>
        <w:t>, Washington, DC, Estados Unidos de América.</w:t>
      </w:r>
    </w:p>
    <w:p w14:paraId="2814C78F" w14:textId="77777777" w:rsidR="00D8159A" w:rsidRDefault="00D8159A">
      <w:pPr>
        <w:pStyle w:val="Annex"/>
        <w:rPr>
          <w:lang w:val="es-ES_tradnl"/>
        </w:rPr>
      </w:pPr>
      <w:r>
        <w:rPr>
          <w:lang w:val="es-ES_tradnl"/>
        </w:rPr>
        <w:br w:type="page"/>
      </w:r>
    </w:p>
    <w:p w14:paraId="40389423" w14:textId="77777777" w:rsidR="008760D9" w:rsidRDefault="008760D9">
      <w:pPr>
        <w:pStyle w:val="Annex"/>
        <w:rPr>
          <w:lang w:val="es-ES_tradnl"/>
        </w:rPr>
      </w:pPr>
      <w:r>
        <w:rPr>
          <w:lang w:val="es-ES_tradnl"/>
        </w:rPr>
        <w:lastRenderedPageBreak/>
        <w:t>ANEXO  1</w:t>
      </w:r>
    </w:p>
    <w:p w14:paraId="5597DEBA" w14:textId="77777777" w:rsidR="008760D9" w:rsidRDefault="008760D9">
      <w:pPr>
        <w:pStyle w:val="AnnexTitle"/>
        <w:rPr>
          <w:lang w:val="es-ES_tradnl"/>
        </w:rPr>
      </w:pPr>
      <w:r>
        <w:rPr>
          <w:lang w:val="es-ES_tradnl"/>
        </w:rPr>
        <w:t>Mecanismos de interferencia, parámetros del sistema</w:t>
      </w:r>
      <w:r>
        <w:rPr>
          <w:lang w:val="es-ES_tradnl"/>
        </w:rPr>
        <w:br/>
        <w:t>y criterios de evaluación de la compatibilidad</w:t>
      </w:r>
    </w:p>
    <w:p w14:paraId="3E486182" w14:textId="77777777" w:rsidR="008760D9" w:rsidRDefault="008760D9">
      <w:pPr>
        <w:jc w:val="center"/>
        <w:rPr>
          <w:lang w:val="es-ES_tradnl"/>
        </w:rPr>
      </w:pPr>
      <w:r>
        <w:rPr>
          <w:lang w:val="es-ES_tradnl"/>
        </w:rPr>
        <w:t>ÍNDICE</w:t>
      </w:r>
    </w:p>
    <w:p w14:paraId="79D18D31" w14:textId="77777777" w:rsidR="008760D9" w:rsidRDefault="008760D9">
      <w:pPr>
        <w:jc w:val="right"/>
        <w:rPr>
          <w:lang w:val="es-ES_tradnl"/>
        </w:rPr>
      </w:pPr>
      <w:r>
        <w:rPr>
          <w:i/>
          <w:lang w:val="es-ES_tradnl"/>
        </w:rPr>
        <w:t>Página</w:t>
      </w:r>
    </w:p>
    <w:p w14:paraId="77229040" w14:textId="77777777" w:rsidR="008760D9" w:rsidRDefault="008760D9">
      <w:pPr>
        <w:pStyle w:val="TOC1"/>
        <w:rPr>
          <w:lang w:val="es-ES_tradnl"/>
        </w:rPr>
      </w:pPr>
      <w:r w:rsidRPr="00AC3FDE">
        <w:rPr>
          <w:lang w:val="es-ES"/>
        </w:rPr>
        <w:t>1</w:t>
      </w:r>
      <w:r>
        <w:rPr>
          <w:lang w:val="es-ES_tradnl"/>
        </w:rPr>
        <w:tab/>
        <w:t>Antecedentes e introducción</w:t>
      </w:r>
      <w:r>
        <w:rPr>
          <w:lang w:val="es-ES_tradnl"/>
        </w:rPr>
        <w:tab/>
      </w:r>
      <w:r>
        <w:rPr>
          <w:lang w:val="es-ES_tradnl"/>
        </w:rPr>
        <w:tab/>
        <w:t>3</w:t>
      </w:r>
    </w:p>
    <w:p w14:paraId="0404E668" w14:textId="77777777" w:rsidR="008760D9" w:rsidRDefault="008760D9">
      <w:pPr>
        <w:pStyle w:val="TOC1"/>
        <w:rPr>
          <w:lang w:val="es-ES_tradnl"/>
        </w:rPr>
      </w:pPr>
      <w:r w:rsidRPr="00AC3FDE">
        <w:rPr>
          <w:lang w:val="es-ES"/>
        </w:rPr>
        <w:t>2</w:t>
      </w:r>
      <w:r>
        <w:rPr>
          <w:lang w:val="es-ES_tradnl"/>
        </w:rPr>
        <w:tab/>
        <w:t>Tipos de mecanismos de interferencia</w:t>
      </w:r>
      <w:r>
        <w:rPr>
          <w:lang w:val="es-ES_tradnl"/>
        </w:rPr>
        <w:tab/>
      </w:r>
      <w:r>
        <w:rPr>
          <w:lang w:val="es-ES_tradnl"/>
        </w:rPr>
        <w:tab/>
        <w:t>3</w:t>
      </w:r>
    </w:p>
    <w:p w14:paraId="4B07E0B3" w14:textId="77777777" w:rsidR="008760D9" w:rsidRDefault="008760D9">
      <w:pPr>
        <w:pStyle w:val="TOC1"/>
        <w:rPr>
          <w:lang w:val="es-ES_tradnl"/>
        </w:rPr>
      </w:pPr>
      <w:r w:rsidRPr="00AC3FDE">
        <w:rPr>
          <w:lang w:val="es-ES"/>
        </w:rPr>
        <w:t>3</w:t>
      </w:r>
      <w:r>
        <w:rPr>
          <w:lang w:val="es-ES_tradnl"/>
        </w:rPr>
        <w:tab/>
        <w:t>Parámetros de evaluación de la compatibilidad</w:t>
      </w:r>
      <w:r>
        <w:rPr>
          <w:lang w:val="es-ES_tradnl"/>
        </w:rPr>
        <w:tab/>
      </w:r>
      <w:r>
        <w:rPr>
          <w:lang w:val="es-ES_tradnl"/>
        </w:rPr>
        <w:tab/>
        <w:t>4</w:t>
      </w:r>
    </w:p>
    <w:p w14:paraId="0844005B" w14:textId="77777777" w:rsidR="008760D9" w:rsidRDefault="008760D9">
      <w:pPr>
        <w:pStyle w:val="TOC1"/>
        <w:rPr>
          <w:lang w:val="es-ES_tradnl"/>
        </w:rPr>
      </w:pPr>
      <w:r w:rsidRPr="00AC3FDE">
        <w:rPr>
          <w:lang w:val="es-ES"/>
        </w:rPr>
        <w:t>4</w:t>
      </w:r>
      <w:r>
        <w:rPr>
          <w:lang w:val="es-ES_tradnl"/>
        </w:rPr>
        <w:tab/>
        <w:t>Criterios de evaluación de la compatibilidad</w:t>
      </w:r>
      <w:r>
        <w:rPr>
          <w:lang w:val="es-ES_tradnl"/>
        </w:rPr>
        <w:tab/>
      </w:r>
      <w:r>
        <w:rPr>
          <w:lang w:val="es-ES_tradnl"/>
        </w:rPr>
        <w:tab/>
        <w:t>9</w:t>
      </w:r>
    </w:p>
    <w:p w14:paraId="33CE67EB" w14:textId="77777777" w:rsidR="008760D9" w:rsidRDefault="008760D9">
      <w:pPr>
        <w:pStyle w:val="TOC1"/>
        <w:tabs>
          <w:tab w:val="clear" w:pos="567"/>
          <w:tab w:val="left" w:pos="1304"/>
        </w:tabs>
        <w:ind w:left="1304" w:hanging="1304"/>
        <w:rPr>
          <w:lang w:val="es-ES_tradnl"/>
        </w:rPr>
      </w:pPr>
      <w:r>
        <w:rPr>
          <w:lang w:val="es-ES_tradnl"/>
        </w:rPr>
        <w:t>Apéndice 1  –</w:t>
      </w:r>
      <w:r>
        <w:rPr>
          <w:lang w:val="es-ES_tradnl"/>
        </w:rPr>
        <w:tab/>
        <w:t>Zona de cobertura e intensidades de campo mínimas de los equipos de localizador ILS y VOR (extracto del Anexo 10 al Convenio de la OACI)</w:t>
      </w:r>
      <w:r>
        <w:rPr>
          <w:lang w:val="es-ES_tradnl"/>
        </w:rPr>
        <w:tab/>
      </w:r>
      <w:r>
        <w:rPr>
          <w:lang w:val="es-ES_tradnl"/>
        </w:rPr>
        <w:tab/>
        <w:t>16</w:t>
      </w:r>
    </w:p>
    <w:p w14:paraId="10757971" w14:textId="77777777" w:rsidR="008760D9" w:rsidRDefault="008760D9">
      <w:pPr>
        <w:pStyle w:val="Heading1"/>
        <w:rPr>
          <w:lang w:val="es-ES_tradnl"/>
        </w:rPr>
      </w:pPr>
      <w:r>
        <w:rPr>
          <w:lang w:val="es-ES_tradnl"/>
        </w:rPr>
        <w:t>1</w:t>
      </w:r>
      <w:r>
        <w:rPr>
          <w:lang w:val="es-ES_tradnl"/>
        </w:rPr>
        <w:tab/>
        <w:t>Antecedentes e introducción</w:t>
      </w:r>
    </w:p>
    <w:p w14:paraId="05C09A14" w14:textId="77777777" w:rsidR="008760D9" w:rsidRDefault="008760D9">
      <w:pPr>
        <w:rPr>
          <w:lang w:val="es-ES_tradnl"/>
        </w:rPr>
      </w:pPr>
      <w:r>
        <w:rPr>
          <w:lang w:val="es-ES_tradnl"/>
        </w:rPr>
        <w:t>La interferencia producida por el servicio de radiodifusión con modulación de frecuencia (MF)</w:t>
      </w:r>
      <w:r w:rsidRPr="00AC3FDE">
        <w:rPr>
          <w:rStyle w:val="FootnoteReference"/>
          <w:lang w:val="es-ES"/>
        </w:rPr>
        <w:footnoteReference w:customMarkFollows="1" w:id="2"/>
        <w:t>*</w:t>
      </w:r>
      <w:r>
        <w:rPr>
          <w:lang w:val="es-ES_tradnl"/>
        </w:rPr>
        <w:t xml:space="preserve"> a los localizadores del sistema de aterrizaje con instrumentos (ILS – </w:t>
      </w:r>
      <w:proofErr w:type="spellStart"/>
      <w:r>
        <w:rPr>
          <w:lang w:val="es-ES_tradnl"/>
        </w:rPr>
        <w:t>Instrument</w:t>
      </w:r>
      <w:proofErr w:type="spellEnd"/>
      <w:r>
        <w:rPr>
          <w:lang w:val="es-ES_tradnl"/>
        </w:rPr>
        <w:t xml:space="preserve"> </w:t>
      </w:r>
      <w:proofErr w:type="spellStart"/>
      <w:r>
        <w:rPr>
          <w:lang w:val="es-ES_tradnl"/>
        </w:rPr>
        <w:t>Landing</w:t>
      </w:r>
      <w:proofErr w:type="spellEnd"/>
      <w:r>
        <w:rPr>
          <w:lang w:val="es-ES_tradnl"/>
        </w:rPr>
        <w:t xml:space="preserve"> </w:t>
      </w:r>
      <w:proofErr w:type="spellStart"/>
      <w:r>
        <w:rPr>
          <w:lang w:val="es-ES_tradnl"/>
        </w:rPr>
        <w:t>System</w:t>
      </w:r>
      <w:proofErr w:type="spellEnd"/>
      <w:r>
        <w:rPr>
          <w:lang w:val="es-ES_tradnl"/>
        </w:rPr>
        <w:t xml:space="preserve">), a los radiofaros omnidireccionales en ondas métricas (VHF) (VOR </w:t>
      </w:r>
      <w:r>
        <w:rPr>
          <w:lang w:val="es-ES_tradnl"/>
        </w:rPr>
        <w:noBreakHyphen/>
        <w:t xml:space="preserve"> VHF </w:t>
      </w:r>
      <w:proofErr w:type="spellStart"/>
      <w:r>
        <w:rPr>
          <w:lang w:val="es-ES_tradnl"/>
        </w:rPr>
        <w:t>omnidirectional</w:t>
      </w:r>
      <w:proofErr w:type="spellEnd"/>
      <w:r>
        <w:rPr>
          <w:lang w:val="es-ES_tradnl"/>
        </w:rPr>
        <w:t xml:space="preserve"> radio </w:t>
      </w:r>
      <w:proofErr w:type="spellStart"/>
      <w:r>
        <w:rPr>
          <w:lang w:val="es-ES_tradnl"/>
        </w:rPr>
        <w:t>range</w:t>
      </w:r>
      <w:proofErr w:type="spellEnd"/>
      <w:r>
        <w:rPr>
          <w:lang w:val="es-ES_tradnl"/>
        </w:rPr>
        <w:t>) y a los equipos de comunicaciones en ondas métricas</w:t>
      </w:r>
      <w:r w:rsidRPr="00AC3FDE">
        <w:rPr>
          <w:rStyle w:val="FootnoteReference"/>
          <w:lang w:val="es-ES"/>
        </w:rPr>
        <w:footnoteReference w:customMarkFollows="1" w:id="3"/>
        <w:t>**</w:t>
      </w:r>
      <w:r>
        <w:rPr>
          <w:position w:val="6"/>
          <w:sz w:val="16"/>
          <w:lang w:val="es-ES_tradnl"/>
        </w:rPr>
        <w:t xml:space="preserve"> </w:t>
      </w:r>
      <w:r>
        <w:rPr>
          <w:lang w:val="es-ES_tradnl"/>
        </w:rPr>
        <w:t xml:space="preserve"> es un problema ampliamente reconocido entre los usuarios de las facilidades de aviación. En los receptores de comunicaciones aire</w:t>
      </w:r>
      <w:r>
        <w:rPr>
          <w:lang w:val="es-ES_tradnl"/>
        </w:rPr>
        <w:noBreakHyphen/>
        <w:t>tierra, dicho problema de interferencia abarca desde la perturbación de las señales de audio, a la recepción distorsionada y mutilada. En los localizadores ILS y receptores VOR de a bordo, el problema de interferencia abarca desde las molestas señales de audio, hasta errores en la desviación de rumbo y funcionamiento de banderines. Se considera que la interferencia en estos receptores de navegación es el problema más serio, dado que un error en la desviación de rumbo, especialmente durante la fase crítica de aproximación y aterrizaje, no resulta tan rápidamente evidente para el piloto como la interrupción de las comunicaciones.</w:t>
      </w:r>
    </w:p>
    <w:p w14:paraId="48E3A351" w14:textId="77777777" w:rsidR="008760D9" w:rsidRDefault="008760D9">
      <w:pPr>
        <w:rPr>
          <w:lang w:val="es-ES_tradnl"/>
        </w:rPr>
      </w:pPr>
      <w:r>
        <w:rPr>
          <w:lang w:val="es-ES_tradnl"/>
        </w:rPr>
        <w:t>La interferencia en los receptores de aeronave varía según la marca y el modelo del receptor de navegación y de comunicaciones. La probabilidad de recibir interferencia perjudicial está aumentando debido a la necesidad creciente de asignaciones adicionales de frecuencia a los servicios aeronáuticos y de radiodifusión.</w:t>
      </w:r>
    </w:p>
    <w:p w14:paraId="5FFD4127" w14:textId="77777777" w:rsidR="008760D9" w:rsidRDefault="008760D9">
      <w:pPr>
        <w:rPr>
          <w:lang w:val="es-ES_tradnl"/>
        </w:rPr>
      </w:pPr>
      <w:r>
        <w:rPr>
          <w:lang w:val="es-ES_tradnl"/>
        </w:rPr>
        <w:t>Este Anexo describe:</w:t>
      </w:r>
    </w:p>
    <w:p w14:paraId="11B95022" w14:textId="77777777" w:rsidR="008760D9" w:rsidRDefault="008760D9">
      <w:pPr>
        <w:pStyle w:val="enumlev1"/>
        <w:rPr>
          <w:lang w:val="es-ES_tradnl"/>
        </w:rPr>
      </w:pPr>
      <w:r>
        <w:rPr>
          <w:lang w:val="es-ES_tradnl"/>
        </w:rPr>
        <w:t>–</w:t>
      </w:r>
      <w:r>
        <w:rPr>
          <w:lang w:val="es-ES_tradnl"/>
        </w:rPr>
        <w:tab/>
        <w:t>los mecanismos de interferencia;</w:t>
      </w:r>
    </w:p>
    <w:p w14:paraId="0D43EF76" w14:textId="77777777" w:rsidR="008760D9" w:rsidRDefault="008760D9">
      <w:pPr>
        <w:pStyle w:val="enumlev1"/>
        <w:rPr>
          <w:lang w:val="es-ES_tradnl"/>
        </w:rPr>
      </w:pPr>
      <w:r>
        <w:rPr>
          <w:lang w:val="es-ES_tradnl"/>
        </w:rPr>
        <w:t>–</w:t>
      </w:r>
      <w:r>
        <w:rPr>
          <w:lang w:val="es-ES_tradnl"/>
        </w:rPr>
        <w:tab/>
        <w:t>los parámetros de los sistemas de radionavegación aeronáutica y de radiocomunicaciones afectados;</w:t>
      </w:r>
    </w:p>
    <w:p w14:paraId="024643CF" w14:textId="77777777" w:rsidR="008760D9" w:rsidRDefault="008760D9">
      <w:pPr>
        <w:pStyle w:val="enumlev1"/>
        <w:rPr>
          <w:lang w:val="es-ES_tradnl"/>
        </w:rPr>
      </w:pPr>
      <w:r>
        <w:rPr>
          <w:lang w:val="es-ES_tradnl"/>
        </w:rPr>
        <w:t>–</w:t>
      </w:r>
      <w:r>
        <w:rPr>
          <w:lang w:val="es-ES_tradnl"/>
        </w:rPr>
        <w:tab/>
        <w:t>los parámetros del sistema de las estaciones de radiodifusión con modulación de frecuencia;</w:t>
      </w:r>
    </w:p>
    <w:p w14:paraId="5CA409AE" w14:textId="77777777" w:rsidR="008760D9" w:rsidRDefault="008760D9">
      <w:pPr>
        <w:pStyle w:val="enumlev1"/>
        <w:rPr>
          <w:lang w:val="es-ES_tradnl"/>
        </w:rPr>
      </w:pPr>
      <w:r>
        <w:rPr>
          <w:lang w:val="es-ES_tradnl"/>
        </w:rPr>
        <w:t>–</w:t>
      </w:r>
      <w:r>
        <w:rPr>
          <w:lang w:val="es-ES_tradnl"/>
        </w:rPr>
        <w:tab/>
        <w:t>los criterios de evaluación de la compatibilidad para los receptores de tipo Montreal (véanse las definiciones en el Anexo 4);</w:t>
      </w:r>
    </w:p>
    <w:p w14:paraId="1C143BDF" w14:textId="77777777" w:rsidR="008760D9" w:rsidRDefault="008760D9">
      <w:pPr>
        <w:pStyle w:val="enumlev1"/>
        <w:rPr>
          <w:lang w:val="es-ES_tradnl"/>
        </w:rPr>
      </w:pPr>
      <w:r>
        <w:rPr>
          <w:lang w:val="es-ES_tradnl"/>
        </w:rPr>
        <w:t>–</w:t>
      </w:r>
      <w:r>
        <w:rPr>
          <w:lang w:val="es-ES_tradnl"/>
        </w:rPr>
        <w:tab/>
        <w:t>los criterios de evaluación de la compatibilidad para los receptores de tipo 1998 según el Anexo 10 al Convenio de la OACI obtenidos de los procedimientos de medición de la Recomendación UIT</w:t>
      </w:r>
      <w:r>
        <w:rPr>
          <w:lang w:val="es-ES_tradnl"/>
        </w:rPr>
        <w:noBreakHyphen/>
        <w:t>R SM.1140.</w:t>
      </w:r>
    </w:p>
    <w:p w14:paraId="4F499475" w14:textId="77777777" w:rsidR="008760D9" w:rsidRDefault="008760D9">
      <w:pPr>
        <w:pStyle w:val="Heading1"/>
        <w:rPr>
          <w:lang w:val="es-ES_tradnl"/>
        </w:rPr>
      </w:pPr>
      <w:r>
        <w:rPr>
          <w:lang w:val="es-ES_tradnl"/>
        </w:rPr>
        <w:t>2</w:t>
      </w:r>
      <w:r>
        <w:rPr>
          <w:lang w:val="es-ES_tradnl"/>
        </w:rPr>
        <w:tab/>
        <w:t>Tipos de mecanismos de interferencia</w:t>
      </w:r>
    </w:p>
    <w:p w14:paraId="54D11A0E" w14:textId="77777777" w:rsidR="008760D9" w:rsidRDefault="008760D9">
      <w:pPr>
        <w:rPr>
          <w:lang w:val="es-ES_tradnl"/>
        </w:rPr>
      </w:pPr>
      <w:r>
        <w:rPr>
          <w:lang w:val="es-ES_tradnl"/>
        </w:rPr>
        <w:t>En general, desde el punto de vista de un localizador ILS y de un receptor VOR, la modulación de la transmisión de radiodifusión con frecuencia modulada puede considerarse como un ruido. No obstante, las frecuencias de 90 Hz y 150 Hz son específicas y vulnerables en el localizador ILS, al igual que las frecuencias de 30 Hz y 9</w:t>
      </w:r>
      <w:r>
        <w:rPr>
          <w:rFonts w:ascii="Tms Rmn" w:hAnsi="Tms Rmn"/>
          <w:sz w:val="12"/>
          <w:lang w:val="es-ES_tradnl"/>
        </w:rPr>
        <w:t> </w:t>
      </w:r>
      <w:r>
        <w:rPr>
          <w:lang w:val="es-ES_tradnl"/>
        </w:rPr>
        <w:t>960 Hz lo son en el VOR, ya que dichas frecuencias proporcionan un guiado crítico para los sistemas en cuestión y son por tanto, sensibles a la interferencia.</w:t>
      </w:r>
    </w:p>
    <w:p w14:paraId="74E164D9" w14:textId="77777777" w:rsidR="008760D9" w:rsidRDefault="008760D9">
      <w:pPr>
        <w:rPr>
          <w:lang w:val="es-ES_tradnl"/>
        </w:rPr>
      </w:pPr>
    </w:p>
    <w:p w14:paraId="05E6C9E7" w14:textId="77777777" w:rsidR="008760D9" w:rsidRDefault="008760D9">
      <w:pPr>
        <w:pStyle w:val="Heading2"/>
        <w:rPr>
          <w:lang w:val="es-ES_tradnl"/>
        </w:rPr>
      </w:pPr>
      <w:r>
        <w:rPr>
          <w:lang w:val="es-ES_tradnl"/>
        </w:rPr>
        <w:br w:type="page"/>
      </w:r>
      <w:r>
        <w:rPr>
          <w:lang w:val="es-ES_tradnl"/>
        </w:rPr>
        <w:lastRenderedPageBreak/>
        <w:t>2.1</w:t>
      </w:r>
      <w:r>
        <w:rPr>
          <w:lang w:val="es-ES_tradnl"/>
        </w:rPr>
        <w:tab/>
        <w:t>Interferencia de Tipo A</w:t>
      </w:r>
    </w:p>
    <w:p w14:paraId="01DC5A25" w14:textId="77777777" w:rsidR="008760D9" w:rsidRDefault="008760D9">
      <w:pPr>
        <w:pStyle w:val="Heading3"/>
        <w:rPr>
          <w:lang w:val="es-ES_tradnl"/>
        </w:rPr>
      </w:pPr>
      <w:r>
        <w:rPr>
          <w:lang w:val="es-ES_tradnl"/>
        </w:rPr>
        <w:t>2.1.1</w:t>
      </w:r>
      <w:r>
        <w:rPr>
          <w:lang w:val="es-ES_tradnl"/>
        </w:rPr>
        <w:tab/>
        <w:t>Introducción</w:t>
      </w:r>
    </w:p>
    <w:p w14:paraId="7D7AEBE5" w14:textId="77777777" w:rsidR="008760D9" w:rsidRDefault="008760D9">
      <w:pPr>
        <w:rPr>
          <w:lang w:val="es-ES_tradnl"/>
        </w:rPr>
      </w:pPr>
      <w:r>
        <w:rPr>
          <w:lang w:val="es-ES_tradnl"/>
        </w:rPr>
        <w:t>La interferencia de Tipo A es la causada por las emisiones no deseadas de uno o más transmisores de radiodifusión, en la banda aeronáutica.</w:t>
      </w:r>
    </w:p>
    <w:p w14:paraId="6FB8A1B5" w14:textId="77777777" w:rsidR="008760D9" w:rsidRDefault="008760D9">
      <w:pPr>
        <w:pStyle w:val="Heading3"/>
        <w:rPr>
          <w:lang w:val="es-ES_tradnl"/>
        </w:rPr>
      </w:pPr>
      <w:r>
        <w:rPr>
          <w:lang w:val="es-ES_tradnl"/>
        </w:rPr>
        <w:t>2.1.2</w:t>
      </w:r>
      <w:r>
        <w:rPr>
          <w:lang w:val="es-ES_tradnl"/>
        </w:rPr>
        <w:tab/>
        <w:t>Interferencia de Tipo A1</w:t>
      </w:r>
    </w:p>
    <w:p w14:paraId="192094B8" w14:textId="77777777" w:rsidR="008760D9" w:rsidRDefault="008760D9">
      <w:pPr>
        <w:rPr>
          <w:lang w:val="es-ES_tradnl"/>
        </w:rPr>
      </w:pPr>
      <w:r>
        <w:rPr>
          <w:lang w:val="es-ES_tradnl"/>
        </w:rPr>
        <w:t>Un solo transmisor puede generar emisiones no esenciales o varios transmisores de radiodifusión pueden modularse entre ellos, produciendo componentes que caen en las bandas de frecuencias aeronáuticas; a esto se le denomina interferencia de Tipo A1.</w:t>
      </w:r>
    </w:p>
    <w:p w14:paraId="11F602FB" w14:textId="77777777" w:rsidR="008760D9" w:rsidRDefault="008760D9">
      <w:pPr>
        <w:pStyle w:val="Heading3"/>
        <w:rPr>
          <w:lang w:val="es-ES_tradnl"/>
        </w:rPr>
      </w:pPr>
      <w:r>
        <w:rPr>
          <w:lang w:val="es-ES_tradnl"/>
        </w:rPr>
        <w:t>2.1.3</w:t>
      </w:r>
      <w:r>
        <w:rPr>
          <w:lang w:val="es-ES_tradnl"/>
        </w:rPr>
        <w:tab/>
        <w:t>Interferencia de Tipo A2</w:t>
      </w:r>
    </w:p>
    <w:p w14:paraId="25DD0A23" w14:textId="77777777" w:rsidR="008760D9" w:rsidRDefault="008760D9">
      <w:pPr>
        <w:rPr>
          <w:lang w:val="es-ES_tradnl"/>
        </w:rPr>
      </w:pPr>
      <w:r>
        <w:rPr>
          <w:lang w:val="es-ES_tradnl"/>
        </w:rPr>
        <w:t>Una señal de radiodifusión puede incluir componentes no despreciables en las bandas aeronáuticas; este mecanismo de interferencia, que se denomina interferencia de Tipo A2, se producirá en la práctica únicamente a partir de transmisores de radiodifusión que tengan frecuencias próximas a 108 MHz e interferirá únicamente en las frecuencias de los servicios de localizador ILS/VOR próximas a 108 MHz.</w:t>
      </w:r>
    </w:p>
    <w:p w14:paraId="2BDAA7F9" w14:textId="77777777" w:rsidR="008760D9" w:rsidRDefault="008760D9">
      <w:pPr>
        <w:pStyle w:val="Heading2"/>
        <w:rPr>
          <w:lang w:val="es-ES_tradnl"/>
        </w:rPr>
      </w:pPr>
      <w:r>
        <w:rPr>
          <w:lang w:val="es-ES_tradnl"/>
        </w:rPr>
        <w:t>2.2</w:t>
      </w:r>
      <w:r>
        <w:rPr>
          <w:lang w:val="es-ES_tradnl"/>
        </w:rPr>
        <w:tab/>
        <w:t>Interferencia de Tipo B</w:t>
      </w:r>
    </w:p>
    <w:p w14:paraId="7E6ACB54" w14:textId="77777777" w:rsidR="008760D9" w:rsidRDefault="008760D9">
      <w:pPr>
        <w:pStyle w:val="Heading3"/>
        <w:rPr>
          <w:lang w:val="es-ES_tradnl"/>
        </w:rPr>
      </w:pPr>
      <w:r>
        <w:rPr>
          <w:lang w:val="es-ES_tradnl"/>
        </w:rPr>
        <w:t>2.2.1</w:t>
      </w:r>
      <w:r>
        <w:rPr>
          <w:lang w:val="es-ES_tradnl"/>
        </w:rPr>
        <w:tab/>
        <w:t>Introducción</w:t>
      </w:r>
    </w:p>
    <w:p w14:paraId="6207477B" w14:textId="77777777" w:rsidR="008760D9" w:rsidRDefault="008760D9">
      <w:pPr>
        <w:rPr>
          <w:lang w:val="es-ES_tradnl"/>
        </w:rPr>
      </w:pPr>
      <w:r>
        <w:rPr>
          <w:lang w:val="es-ES_tradnl"/>
        </w:rPr>
        <w:t>Se denomina interferencia de Tipo B a la interferencia generada en un receptor aeronáutico por las transmisiones de radiodifusión en frecuencias que caen fuera de la banda aeronáutica.</w:t>
      </w:r>
    </w:p>
    <w:p w14:paraId="4C4E1E29" w14:textId="77777777" w:rsidR="008760D9" w:rsidRDefault="008760D9">
      <w:pPr>
        <w:pStyle w:val="Heading3"/>
        <w:rPr>
          <w:lang w:val="es-ES_tradnl"/>
        </w:rPr>
      </w:pPr>
      <w:r>
        <w:rPr>
          <w:lang w:val="es-ES_tradnl"/>
        </w:rPr>
        <w:t>2.2.2</w:t>
      </w:r>
      <w:r>
        <w:rPr>
          <w:lang w:val="es-ES_tradnl"/>
        </w:rPr>
        <w:tab/>
        <w:t>Interferencia de Tipo B1</w:t>
      </w:r>
    </w:p>
    <w:p w14:paraId="6BE7FAFC" w14:textId="77777777" w:rsidR="008760D9" w:rsidRDefault="008760D9">
      <w:pPr>
        <w:rPr>
          <w:lang w:val="es-ES_tradnl"/>
        </w:rPr>
      </w:pPr>
      <w:r>
        <w:rPr>
          <w:lang w:val="es-ES_tradnl"/>
        </w:rPr>
        <w:t>Es la intermodulación que puede generarse en un receptor de a bordo como resultado de que una señal de radiodifusión de alta potencia fuera de la banda aeronáutica, lo ha llevado a la zona de no linealidad. Para que se produzca este tipo de interferencia, son necesarias, al menos, dos señales de radiodifusión con una relación de frecuencia que, en la combi</w:t>
      </w:r>
      <w:r>
        <w:rPr>
          <w:lang w:val="es-ES_tradnl"/>
        </w:rPr>
        <w:softHyphen/>
        <w:t>nación no lineal, pueda generar un producto de intermodulación dentro del canal RF deseado utilizado por el receptor aeronáutico. Una de las señales de radiodifusión ha de tener suficiente amplitud potente para situar al receptor en la zona de fuerte no linealidad, entonces puede haber interferencia aunque la(s) otra(s) señal(es) puedan ser de bastante menor amplitud.</w:t>
      </w:r>
    </w:p>
    <w:p w14:paraId="3D948B8F" w14:textId="77777777" w:rsidR="008760D9" w:rsidRDefault="008760D9">
      <w:pPr>
        <w:rPr>
          <w:lang w:val="es-ES_tradnl"/>
        </w:rPr>
      </w:pPr>
      <w:r>
        <w:rPr>
          <w:lang w:val="es-ES_tradnl"/>
        </w:rPr>
        <w:t>Sólo se consideran los productos de intermodulación de tercer orden que adoptan la forma siguiente:</w:t>
      </w:r>
    </w:p>
    <w:p w14:paraId="06BACA17" w14:textId="77777777" w:rsidR="008760D9" w:rsidRPr="00AC3FDE" w:rsidRDefault="008760D9">
      <w:pPr>
        <w:pStyle w:val="Equation"/>
        <w:tabs>
          <w:tab w:val="clear" w:pos="794"/>
          <w:tab w:val="left" w:pos="2835"/>
          <w:tab w:val="left" w:pos="5812"/>
        </w:tabs>
        <w:rPr>
          <w:lang w:val="es-ES"/>
        </w:rPr>
      </w:pPr>
      <w:r w:rsidRPr="00AC3FDE">
        <w:rPr>
          <w:i/>
          <w:lang w:val="es-ES"/>
        </w:rPr>
        <w:tab/>
        <w:t>f</w:t>
      </w:r>
      <w:proofErr w:type="spellStart"/>
      <w:r w:rsidRPr="00AC3FDE">
        <w:rPr>
          <w:i/>
          <w:position w:val="-4"/>
          <w:sz w:val="18"/>
          <w:lang w:val="es-ES"/>
        </w:rPr>
        <w:t>intermod</w:t>
      </w:r>
      <w:proofErr w:type="spellEnd"/>
      <w:r w:rsidRPr="00AC3FDE">
        <w:rPr>
          <w:lang w:val="es-ES"/>
        </w:rPr>
        <w:t xml:space="preserve">  </w:t>
      </w:r>
      <w:r>
        <w:rPr>
          <w:rFonts w:ascii="Symbol" w:hAnsi="Symbol"/>
        </w:rPr>
        <w:t></w:t>
      </w:r>
      <w:r w:rsidRPr="00AC3FDE">
        <w:rPr>
          <w:lang w:val="es-ES"/>
        </w:rPr>
        <w:t xml:space="preserve">  2 </w:t>
      </w:r>
      <w:r w:rsidRPr="00AC3FDE">
        <w:rPr>
          <w:i/>
          <w:lang w:val="es-ES"/>
        </w:rPr>
        <w:t>f</w:t>
      </w:r>
      <w:r w:rsidRPr="00AC3FDE">
        <w:rPr>
          <w:position w:val="-4"/>
          <w:sz w:val="18"/>
          <w:lang w:val="es-ES"/>
        </w:rPr>
        <w:t>1</w:t>
      </w:r>
      <w:r w:rsidRPr="00AC3FDE">
        <w:rPr>
          <w:lang w:val="es-ES"/>
        </w:rPr>
        <w:t xml:space="preserve">  –  </w:t>
      </w:r>
      <w:r w:rsidRPr="00AC3FDE">
        <w:rPr>
          <w:i/>
          <w:lang w:val="es-ES"/>
        </w:rPr>
        <w:t>f</w:t>
      </w:r>
      <w:r w:rsidRPr="00AC3FDE">
        <w:rPr>
          <w:position w:val="-4"/>
          <w:sz w:val="18"/>
          <w:lang w:val="es-ES"/>
        </w:rPr>
        <w:t>2</w:t>
      </w:r>
      <w:r w:rsidRPr="00AC3FDE">
        <w:rPr>
          <w:position w:val="-4"/>
          <w:sz w:val="18"/>
          <w:lang w:val="es-ES"/>
        </w:rPr>
        <w:tab/>
      </w:r>
      <w:r w:rsidRPr="00AC3FDE">
        <w:rPr>
          <w:position w:val="-4"/>
          <w:sz w:val="18"/>
          <w:lang w:val="es-ES"/>
        </w:rPr>
        <w:tab/>
      </w:r>
      <w:r w:rsidRPr="00AC3FDE">
        <w:rPr>
          <w:lang w:val="es-ES"/>
        </w:rPr>
        <w:t>caso de dos señales, o</w:t>
      </w:r>
    </w:p>
    <w:p w14:paraId="46E77F5D" w14:textId="77777777" w:rsidR="008760D9" w:rsidRPr="00AC3FDE" w:rsidRDefault="008760D9">
      <w:pPr>
        <w:pStyle w:val="Equation"/>
        <w:tabs>
          <w:tab w:val="clear" w:pos="794"/>
          <w:tab w:val="left" w:pos="2835"/>
          <w:tab w:val="left" w:pos="5812"/>
        </w:tabs>
        <w:rPr>
          <w:lang w:val="es-ES"/>
        </w:rPr>
      </w:pPr>
      <w:r w:rsidRPr="00AC3FDE">
        <w:rPr>
          <w:i/>
          <w:lang w:val="es-ES"/>
        </w:rPr>
        <w:tab/>
        <w:t>f</w:t>
      </w:r>
      <w:proofErr w:type="spellStart"/>
      <w:r w:rsidRPr="00AC3FDE">
        <w:rPr>
          <w:i/>
          <w:position w:val="-3"/>
          <w:sz w:val="18"/>
          <w:lang w:val="es-ES"/>
        </w:rPr>
        <w:t>intermod</w:t>
      </w:r>
      <w:proofErr w:type="spellEnd"/>
      <w:r w:rsidRPr="00AC3FDE">
        <w:rPr>
          <w:lang w:val="es-ES"/>
        </w:rPr>
        <w:t xml:space="preserve">  </w:t>
      </w:r>
      <w:r>
        <w:rPr>
          <w:rFonts w:ascii="Symbol" w:hAnsi="Symbol"/>
        </w:rPr>
        <w:t></w:t>
      </w:r>
      <w:r w:rsidRPr="00AC3FDE">
        <w:rPr>
          <w:lang w:val="es-ES"/>
        </w:rPr>
        <w:t xml:space="preserve">  </w:t>
      </w:r>
      <w:r w:rsidRPr="00AC3FDE">
        <w:rPr>
          <w:i/>
          <w:lang w:val="es-ES"/>
        </w:rPr>
        <w:t>f</w:t>
      </w:r>
      <w:r w:rsidRPr="00AC3FDE">
        <w:rPr>
          <w:position w:val="-3"/>
          <w:sz w:val="18"/>
          <w:lang w:val="es-ES"/>
        </w:rPr>
        <w:t>1</w:t>
      </w:r>
      <w:r w:rsidRPr="00AC3FDE">
        <w:rPr>
          <w:lang w:val="es-ES"/>
        </w:rPr>
        <w:t xml:space="preserve">  </w:t>
      </w:r>
      <w:r>
        <w:rPr>
          <w:rFonts w:ascii="Symbol" w:hAnsi="Symbol"/>
        </w:rPr>
        <w:t></w:t>
      </w:r>
      <w:r w:rsidRPr="00AC3FDE">
        <w:rPr>
          <w:lang w:val="es-ES"/>
        </w:rPr>
        <w:t xml:space="preserve">  </w:t>
      </w:r>
      <w:r w:rsidRPr="00AC3FDE">
        <w:rPr>
          <w:i/>
          <w:lang w:val="es-ES"/>
        </w:rPr>
        <w:t>f</w:t>
      </w:r>
      <w:r w:rsidRPr="00AC3FDE">
        <w:rPr>
          <w:position w:val="-3"/>
          <w:sz w:val="18"/>
          <w:lang w:val="es-ES"/>
        </w:rPr>
        <w:t>2</w:t>
      </w:r>
      <w:r w:rsidRPr="00AC3FDE">
        <w:rPr>
          <w:lang w:val="es-ES"/>
        </w:rPr>
        <w:t xml:space="preserve">  –  </w:t>
      </w:r>
      <w:r w:rsidRPr="00AC3FDE">
        <w:rPr>
          <w:i/>
          <w:lang w:val="es-ES"/>
        </w:rPr>
        <w:t>f</w:t>
      </w:r>
      <w:r w:rsidRPr="00AC3FDE">
        <w:rPr>
          <w:position w:val="-3"/>
          <w:sz w:val="18"/>
          <w:lang w:val="es-ES"/>
        </w:rPr>
        <w:t>3</w:t>
      </w:r>
      <w:r w:rsidRPr="00AC3FDE">
        <w:rPr>
          <w:position w:val="-3"/>
          <w:sz w:val="18"/>
          <w:lang w:val="es-ES"/>
        </w:rPr>
        <w:tab/>
      </w:r>
      <w:r w:rsidRPr="00AC3FDE">
        <w:rPr>
          <w:lang w:val="es-ES"/>
        </w:rPr>
        <w:t>caso de tres señales</w:t>
      </w:r>
    </w:p>
    <w:p w14:paraId="3A0DF6AA" w14:textId="77777777" w:rsidR="008760D9" w:rsidRDefault="008760D9">
      <w:pPr>
        <w:rPr>
          <w:lang w:val="es-ES_tradnl"/>
        </w:rPr>
      </w:pPr>
      <w:r>
        <w:rPr>
          <w:lang w:val="es-ES_tradnl"/>
        </w:rPr>
        <w:t>siendo:</w:t>
      </w:r>
    </w:p>
    <w:p w14:paraId="44BCB678" w14:textId="77777777" w:rsidR="008760D9" w:rsidRDefault="008760D9">
      <w:pPr>
        <w:pStyle w:val="enumlev1"/>
        <w:tabs>
          <w:tab w:val="left" w:pos="1758"/>
        </w:tabs>
        <w:rPr>
          <w:lang w:val="es-ES_tradnl"/>
        </w:rPr>
      </w:pPr>
      <w:r>
        <w:rPr>
          <w:i/>
          <w:lang w:val="es-ES_tradnl"/>
        </w:rPr>
        <w:tab/>
        <w:t>f</w:t>
      </w:r>
      <w:proofErr w:type="spellStart"/>
      <w:r>
        <w:rPr>
          <w:i/>
          <w:position w:val="-4"/>
          <w:sz w:val="16"/>
          <w:lang w:val="es-ES_tradnl"/>
        </w:rPr>
        <w:t>intermod</w:t>
      </w:r>
      <w:proofErr w:type="spellEnd"/>
      <w:r>
        <w:rPr>
          <w:i/>
          <w:position w:val="-4"/>
          <w:sz w:val="16"/>
          <w:lang w:val="es-ES_tradnl"/>
        </w:rPr>
        <w:t xml:space="preserve"> </w:t>
      </w:r>
      <w:r>
        <w:rPr>
          <w:lang w:val="es-ES_tradnl"/>
        </w:rPr>
        <w:t>:</w:t>
      </w:r>
      <w:r>
        <w:rPr>
          <w:lang w:val="es-ES_tradnl"/>
        </w:rPr>
        <w:tab/>
        <w:t>frecuencia del producto de intermodulación (MHz)</w:t>
      </w:r>
    </w:p>
    <w:p w14:paraId="16B0E3DA" w14:textId="77777777" w:rsidR="008760D9" w:rsidRDefault="008760D9">
      <w:pPr>
        <w:pStyle w:val="enumlev1"/>
        <w:tabs>
          <w:tab w:val="left" w:pos="1758"/>
        </w:tabs>
        <w:rPr>
          <w:lang w:val="es-ES_tradnl"/>
        </w:rPr>
      </w:pPr>
      <w:r>
        <w:rPr>
          <w:i/>
          <w:lang w:val="es-ES_tradnl"/>
        </w:rPr>
        <w:tab/>
        <w:t>f</w:t>
      </w:r>
      <w:r>
        <w:rPr>
          <w:position w:val="-4"/>
          <w:sz w:val="16"/>
          <w:lang w:val="es-ES_tradnl"/>
        </w:rPr>
        <w:t>1</w:t>
      </w:r>
      <w:r>
        <w:rPr>
          <w:lang w:val="es-ES_tradnl"/>
        </w:rPr>
        <w:t xml:space="preserve">  </w:t>
      </w:r>
      <w:r>
        <w:rPr>
          <w:rFonts w:ascii="Symbol" w:hAnsi="Symbol"/>
          <w:lang w:val="es-ES_tradnl"/>
        </w:rPr>
        <w:t></w:t>
      </w:r>
      <w:r>
        <w:rPr>
          <w:lang w:val="es-ES_tradnl"/>
        </w:rPr>
        <w:t xml:space="preserve">  </w:t>
      </w:r>
      <w:r>
        <w:rPr>
          <w:i/>
          <w:lang w:val="es-ES_tradnl"/>
        </w:rPr>
        <w:t>f</w:t>
      </w:r>
      <w:r>
        <w:rPr>
          <w:position w:val="-4"/>
          <w:sz w:val="16"/>
          <w:lang w:val="es-ES_tradnl"/>
        </w:rPr>
        <w:t>2</w:t>
      </w:r>
      <w:r>
        <w:rPr>
          <w:lang w:val="es-ES_tradnl"/>
        </w:rPr>
        <w:t xml:space="preserve">  </w:t>
      </w:r>
      <w:r>
        <w:rPr>
          <w:rFonts w:ascii="Symbol" w:hAnsi="Symbol"/>
          <w:lang w:val="es-ES_tradnl"/>
        </w:rPr>
        <w:t></w:t>
      </w:r>
      <w:r>
        <w:rPr>
          <w:lang w:val="es-ES_tradnl"/>
        </w:rPr>
        <w:t xml:space="preserve">  </w:t>
      </w:r>
      <w:r>
        <w:rPr>
          <w:i/>
          <w:lang w:val="es-ES_tradnl"/>
        </w:rPr>
        <w:t>f</w:t>
      </w:r>
      <w:r>
        <w:rPr>
          <w:position w:val="-4"/>
          <w:sz w:val="16"/>
          <w:lang w:val="es-ES_tradnl"/>
        </w:rPr>
        <w:t xml:space="preserve">3 </w:t>
      </w:r>
      <w:r>
        <w:rPr>
          <w:lang w:val="es-ES_tradnl"/>
        </w:rPr>
        <w:t>:</w:t>
      </w:r>
      <w:r>
        <w:rPr>
          <w:lang w:val="es-ES_tradnl"/>
        </w:rPr>
        <w:tab/>
        <w:t xml:space="preserve">frecuencias de radiodifusión (MHz), con </w:t>
      </w:r>
      <w:r>
        <w:rPr>
          <w:i/>
          <w:lang w:val="es-ES_tradnl"/>
        </w:rPr>
        <w:t>f</w:t>
      </w:r>
      <w:r>
        <w:rPr>
          <w:position w:val="-4"/>
          <w:sz w:val="16"/>
          <w:lang w:val="es-ES_tradnl"/>
        </w:rPr>
        <w:t>1</w:t>
      </w:r>
      <w:r>
        <w:rPr>
          <w:lang w:val="es-ES_tradnl"/>
        </w:rPr>
        <w:t xml:space="preserve"> </w:t>
      </w:r>
      <w:r>
        <w:rPr>
          <w:rFonts w:ascii="Symbol" w:hAnsi="Symbol"/>
          <w:lang w:val="es-ES_tradnl"/>
        </w:rPr>
        <w:t></w:t>
      </w:r>
      <w:r>
        <w:rPr>
          <w:lang w:val="es-ES_tradnl"/>
        </w:rPr>
        <w:t xml:space="preserve"> </w:t>
      </w:r>
      <w:r>
        <w:rPr>
          <w:i/>
          <w:lang w:val="es-ES_tradnl"/>
        </w:rPr>
        <w:t>f</w:t>
      </w:r>
      <w:r>
        <w:rPr>
          <w:position w:val="-4"/>
          <w:sz w:val="16"/>
          <w:lang w:val="es-ES_tradnl"/>
        </w:rPr>
        <w:t>2</w:t>
      </w:r>
      <w:r>
        <w:rPr>
          <w:lang w:val="es-ES_tradnl"/>
        </w:rPr>
        <w:t xml:space="preserve"> </w:t>
      </w:r>
      <w:r>
        <w:rPr>
          <w:rFonts w:ascii="Symbol" w:hAnsi="Symbol"/>
          <w:lang w:val="es-ES_tradnl"/>
        </w:rPr>
        <w:t></w:t>
      </w:r>
      <w:r>
        <w:rPr>
          <w:lang w:val="es-ES_tradnl"/>
        </w:rPr>
        <w:t xml:space="preserve"> </w:t>
      </w:r>
      <w:r>
        <w:rPr>
          <w:i/>
          <w:lang w:val="es-ES_tradnl"/>
        </w:rPr>
        <w:t>f</w:t>
      </w:r>
      <w:r>
        <w:rPr>
          <w:position w:val="-4"/>
          <w:sz w:val="16"/>
          <w:lang w:val="es-ES_tradnl"/>
        </w:rPr>
        <w:t>3</w:t>
      </w:r>
      <w:r>
        <w:rPr>
          <w:lang w:val="es-ES_tradnl"/>
        </w:rPr>
        <w:t>.</w:t>
      </w:r>
    </w:p>
    <w:p w14:paraId="1B21D5E6" w14:textId="77777777" w:rsidR="008760D9" w:rsidRDefault="008760D9">
      <w:pPr>
        <w:pStyle w:val="Heading3"/>
        <w:rPr>
          <w:lang w:val="es-ES_tradnl"/>
        </w:rPr>
      </w:pPr>
      <w:r>
        <w:rPr>
          <w:lang w:val="es-ES_tradnl"/>
        </w:rPr>
        <w:t>2.2.3</w:t>
      </w:r>
      <w:r>
        <w:rPr>
          <w:lang w:val="es-ES_tradnl"/>
        </w:rPr>
        <w:tab/>
        <w:t>Interferencia de Tipo B2</w:t>
      </w:r>
    </w:p>
    <w:p w14:paraId="7C1798C4" w14:textId="77777777" w:rsidR="008760D9" w:rsidRDefault="008760D9">
      <w:pPr>
        <w:rPr>
          <w:lang w:val="es-ES_tradnl"/>
        </w:rPr>
      </w:pPr>
      <w:r>
        <w:rPr>
          <w:lang w:val="es-ES_tradnl"/>
        </w:rPr>
        <w:t>Se denomina así a la desensibilización que ocurre cuando la sección RF del receptor de a bordo está sobrecargada por una (o varias) transmisiones de radiodifusión.</w:t>
      </w:r>
    </w:p>
    <w:p w14:paraId="304C8A98" w14:textId="77777777" w:rsidR="008760D9" w:rsidRDefault="008760D9">
      <w:pPr>
        <w:pStyle w:val="Heading1"/>
        <w:rPr>
          <w:lang w:val="es-ES_tradnl"/>
        </w:rPr>
      </w:pPr>
      <w:r>
        <w:rPr>
          <w:lang w:val="es-ES_tradnl"/>
        </w:rPr>
        <w:t>3</w:t>
      </w:r>
      <w:r>
        <w:rPr>
          <w:lang w:val="es-ES_tradnl"/>
        </w:rPr>
        <w:tab/>
        <w:t>Parámetros de evaluación de la compatibilidad</w:t>
      </w:r>
    </w:p>
    <w:p w14:paraId="036DB892" w14:textId="77777777" w:rsidR="008760D9" w:rsidRDefault="008760D9">
      <w:pPr>
        <w:pStyle w:val="Heading2"/>
        <w:rPr>
          <w:lang w:val="es-ES_tradnl"/>
        </w:rPr>
      </w:pPr>
      <w:r>
        <w:rPr>
          <w:lang w:val="es-ES_tradnl"/>
        </w:rPr>
        <w:t>3.1</w:t>
      </w:r>
      <w:r>
        <w:rPr>
          <w:lang w:val="es-ES_tradnl"/>
        </w:rPr>
        <w:tab/>
        <w:t>Introducción</w:t>
      </w:r>
    </w:p>
    <w:p w14:paraId="234E7A3B" w14:textId="77777777" w:rsidR="008760D9" w:rsidRDefault="008760D9">
      <w:pPr>
        <w:rPr>
          <w:lang w:val="es-ES_tradnl"/>
        </w:rPr>
      </w:pPr>
      <w:r>
        <w:rPr>
          <w:lang w:val="es-ES_tradnl"/>
        </w:rPr>
        <w:t>En este punto se identifican los parámetros de los transmisores y receptores aeronáuticos ILS, VOR y COM que interesan en una evaluación de compatibilidad.</w:t>
      </w:r>
    </w:p>
    <w:p w14:paraId="14B3DDF6" w14:textId="77777777" w:rsidR="008760D9" w:rsidRDefault="008760D9">
      <w:pPr>
        <w:pStyle w:val="Heading2"/>
        <w:rPr>
          <w:lang w:val="es-ES_tradnl"/>
        </w:rPr>
      </w:pPr>
      <w:r>
        <w:rPr>
          <w:lang w:val="es-ES_tradnl"/>
        </w:rPr>
        <w:br w:type="page"/>
      </w:r>
      <w:r>
        <w:rPr>
          <w:lang w:val="es-ES_tradnl"/>
        </w:rPr>
        <w:lastRenderedPageBreak/>
        <w:t>3.2</w:t>
      </w:r>
      <w:r>
        <w:rPr>
          <w:lang w:val="es-ES_tradnl"/>
        </w:rPr>
        <w:tab/>
        <w:t>Características de los sistemas aeronáuticos</w:t>
      </w:r>
    </w:p>
    <w:p w14:paraId="5356E681" w14:textId="77777777" w:rsidR="008760D9" w:rsidRDefault="008760D9">
      <w:pPr>
        <w:pStyle w:val="Heading3"/>
        <w:rPr>
          <w:lang w:val="es-ES_tradnl"/>
        </w:rPr>
      </w:pPr>
      <w:r>
        <w:rPr>
          <w:lang w:val="es-ES_tradnl"/>
        </w:rPr>
        <w:t>3.2.1</w:t>
      </w:r>
      <w:r>
        <w:rPr>
          <w:lang w:val="es-ES_tradnl"/>
        </w:rPr>
        <w:tab/>
        <w:t>Localizador ILS</w:t>
      </w:r>
    </w:p>
    <w:p w14:paraId="47D5CF49" w14:textId="77777777" w:rsidR="008760D9" w:rsidRDefault="008760D9">
      <w:pPr>
        <w:pStyle w:val="Heading4"/>
        <w:rPr>
          <w:lang w:val="es-ES_tradnl"/>
        </w:rPr>
      </w:pPr>
      <w:r>
        <w:rPr>
          <w:lang w:val="es-ES_tradnl"/>
        </w:rPr>
        <w:t>3.2.1.1</w:t>
      </w:r>
      <w:r>
        <w:rPr>
          <w:lang w:val="es-ES_tradnl"/>
        </w:rPr>
        <w:tab/>
        <w:t>Cobertura operacional designada (véase la Nota 1)</w:t>
      </w:r>
    </w:p>
    <w:p w14:paraId="707DF6FD" w14:textId="77777777" w:rsidR="008760D9" w:rsidRDefault="008760D9">
      <w:pPr>
        <w:rPr>
          <w:lang w:val="es-ES_tradnl"/>
        </w:rPr>
      </w:pPr>
      <w:r>
        <w:rPr>
          <w:lang w:val="es-ES_tradnl"/>
        </w:rPr>
        <w:t>La Fig. 1 ilustra una cobertura operacional designada (DOC) típica para la trayectoria frontal de un localizador ILS, sobre la base del Anexo 10 del Convenio de la OACI (véase la Nota 1). La DOC puede también comportar una zona trasera. Algunas administraciones utilizan también el localizador ILS como sistema auxiliar de guiado en la aproxi</w:t>
      </w:r>
      <w:r>
        <w:rPr>
          <w:lang w:val="es-ES_tradnl"/>
        </w:rPr>
        <w:softHyphen/>
        <w:t>mación y la DOC puede no estar alineada con una pista de aterrizaje.</w:t>
      </w:r>
    </w:p>
    <w:p w14:paraId="2B792F17" w14:textId="77777777" w:rsidR="008760D9" w:rsidRDefault="008760D9">
      <w:pPr>
        <w:pStyle w:val="Note"/>
        <w:rPr>
          <w:lang w:val="es-ES_tradnl"/>
        </w:rPr>
      </w:pPr>
      <w:r>
        <w:rPr>
          <w:lang w:val="es-ES_tradnl"/>
        </w:rPr>
        <w:t>NOTA 1 – Véanse las definiciones en el Anexo 4.</w:t>
      </w:r>
    </w:p>
    <w:p w14:paraId="63103D7A" w14:textId="77777777" w:rsidR="008760D9" w:rsidRDefault="008760D9">
      <w:pPr>
        <w:rPr>
          <w:lang w:val="es-ES_tradnl"/>
        </w:rPr>
      </w:pPr>
    </w:p>
    <w:p w14:paraId="01134D09" w14:textId="77777777" w:rsidR="008760D9" w:rsidRDefault="00DF52C7">
      <w:pPr>
        <w:pStyle w:val="Fig"/>
      </w:pPr>
      <w:r>
        <w:rPr>
          <w:noProof/>
          <w:lang w:eastAsia="zh-CN"/>
        </w:rPr>
        <w:drawing>
          <wp:inline distT="0" distB="0" distL="0" distR="0" wp14:anchorId="4AAEB527" wp14:editId="2B688930">
            <wp:extent cx="5166360" cy="66294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66360" cy="6629400"/>
                    </a:xfrm>
                    <a:prstGeom prst="rect">
                      <a:avLst/>
                    </a:prstGeom>
                    <a:noFill/>
                    <a:ln>
                      <a:noFill/>
                    </a:ln>
                  </pic:spPr>
                </pic:pic>
              </a:graphicData>
            </a:graphic>
          </wp:inline>
        </w:drawing>
      </w:r>
    </w:p>
    <w:p w14:paraId="5C7F1255" w14:textId="77777777" w:rsidR="008760D9" w:rsidRPr="00AC3FDE" w:rsidRDefault="008760D9">
      <w:pPr>
        <w:pStyle w:val="Fig0"/>
        <w:rPr>
          <w:lang w:val="es-ES"/>
        </w:rPr>
      </w:pPr>
      <w:r w:rsidRPr="00AC3FDE">
        <w:rPr>
          <w:lang w:val="es-ES"/>
        </w:rPr>
        <w:t xml:space="preserve">FIGURE 1/1009  </w:t>
      </w:r>
      <w:r w:rsidRPr="00AC3FDE">
        <w:rPr>
          <w:b/>
          <w:lang w:val="es-ES"/>
        </w:rPr>
        <w:t>[D01]</w:t>
      </w:r>
      <w:r w:rsidRPr="00AC3FDE">
        <w:rPr>
          <w:lang w:val="es-ES"/>
        </w:rPr>
        <w:t xml:space="preserve">  </w:t>
      </w:r>
      <w:r>
        <w:rPr>
          <w:rFonts w:ascii="Symbol" w:hAnsi="Symbol"/>
        </w:rPr>
        <w:t></w:t>
      </w:r>
      <w:r w:rsidRPr="00AC3FDE">
        <w:rPr>
          <w:lang w:val="es-ES"/>
        </w:rPr>
        <w:t xml:space="preserve">   18 CM </w:t>
      </w:r>
    </w:p>
    <w:p w14:paraId="11EF2C56" w14:textId="77777777" w:rsidR="008760D9" w:rsidRDefault="008760D9">
      <w:pPr>
        <w:pStyle w:val="Heading4"/>
        <w:rPr>
          <w:lang w:val="es-ES_tradnl"/>
        </w:rPr>
      </w:pPr>
      <w:r>
        <w:rPr>
          <w:lang w:val="es-ES_tradnl"/>
        </w:rPr>
        <w:br w:type="page"/>
      </w:r>
      <w:r>
        <w:rPr>
          <w:lang w:val="es-ES_tradnl"/>
        </w:rPr>
        <w:lastRenderedPageBreak/>
        <w:t>3.2.1.2</w:t>
      </w:r>
      <w:r>
        <w:rPr>
          <w:lang w:val="es-ES_tradnl"/>
        </w:rPr>
        <w:tab/>
        <w:t>Intensidad de campo</w:t>
      </w:r>
    </w:p>
    <w:p w14:paraId="1F849BF0" w14:textId="77777777" w:rsidR="008760D9" w:rsidRDefault="008760D9">
      <w:pPr>
        <w:rPr>
          <w:lang w:val="es-ES_tradnl"/>
        </w:rPr>
      </w:pPr>
      <w:r>
        <w:rPr>
          <w:lang w:val="es-ES_tradnl"/>
        </w:rPr>
        <w:t>La intensidad de campo mínima que hay que proteger con la DOC frontal del localizador ILS (véase el § 3.1.3.3 del Apéndice 1) es 32 dB(</w:t>
      </w:r>
      <w:r>
        <w:rPr>
          <w:rFonts w:ascii="Symbol" w:hAnsi="Symbol"/>
          <w:lang w:val="es-ES_tradnl"/>
        </w:rPr>
        <w:t></w:t>
      </w:r>
      <w:r>
        <w:rPr>
          <w:lang w:val="es-ES_tradnl"/>
        </w:rPr>
        <w:t>V/m) (40 </w:t>
      </w:r>
      <w:r>
        <w:rPr>
          <w:rFonts w:ascii="Symbol" w:hAnsi="Symbol"/>
          <w:lang w:val="es-ES_tradnl"/>
        </w:rPr>
        <w:t></w:t>
      </w:r>
      <w:r>
        <w:rPr>
          <w:lang w:val="es-ES_tradnl"/>
        </w:rPr>
        <w:t>V/m). Si se da servicio en la zona de cobertura posterior del localizador ILS, la intensidad de campo que hay que proteger también es de 32 dB(</w:t>
      </w:r>
      <w:r>
        <w:rPr>
          <w:rFonts w:ascii="Symbol" w:hAnsi="Symbol"/>
          <w:lang w:val="es-ES_tradnl"/>
        </w:rPr>
        <w:t></w:t>
      </w:r>
      <w:r>
        <w:rPr>
          <w:lang w:val="es-ES_tradnl"/>
        </w:rPr>
        <w:t>V/m). En ciertas zonas de la DOC del localizador ILS, el Anexo 10 del Convenio de la OACI (véase la Nota 1) prevé una intensidad de campo superior para aumentar la relación señal/ruido recibida, aumentando con ello la robustez del sistema. Este es el caso del sector de la trayectoria frontal (véase la Nota 2) del localizador ILS que va desde una distancia de 18,5 km (10 NM) hasta el punto de aterrizaje en la pista, sector (véase la Nota 2) en el que se requieren señales de 39-46 dB(</w:t>
      </w:r>
      <w:r>
        <w:rPr>
          <w:rFonts w:ascii="Symbol" w:hAnsi="Symbol"/>
          <w:lang w:val="es-ES_tradnl"/>
        </w:rPr>
        <w:t></w:t>
      </w:r>
      <w:r>
        <w:rPr>
          <w:lang w:val="es-ES_tradnl"/>
        </w:rPr>
        <w:t>V/m), dependiendo de la categoría de la instalación (I, II, III) del ILS en cuestión (véase el § 3.1.3.3 del Apéndice 1).</w:t>
      </w:r>
    </w:p>
    <w:p w14:paraId="3D5EFE9C" w14:textId="77777777" w:rsidR="008760D9" w:rsidRDefault="008760D9">
      <w:pPr>
        <w:pStyle w:val="Note"/>
        <w:rPr>
          <w:lang w:val="es-ES_tradnl"/>
        </w:rPr>
      </w:pPr>
      <w:r>
        <w:rPr>
          <w:lang w:val="es-ES_tradnl"/>
        </w:rPr>
        <w:t>NOTA 1 – En el Apéndice 1 figura la parte correspondiente del Anexo 10 al Convenio de la OACI.</w:t>
      </w:r>
    </w:p>
    <w:p w14:paraId="005A77E6" w14:textId="77777777" w:rsidR="008760D9" w:rsidRDefault="008760D9">
      <w:pPr>
        <w:pStyle w:val="Note"/>
        <w:rPr>
          <w:lang w:val="es-ES_tradnl"/>
        </w:rPr>
      </w:pPr>
      <w:r>
        <w:rPr>
          <w:lang w:val="es-ES_tradnl"/>
        </w:rPr>
        <w:t>NOTA 2 – Véanse las definiciones en el Anexo 4.</w:t>
      </w:r>
    </w:p>
    <w:p w14:paraId="29B66223" w14:textId="77777777" w:rsidR="008760D9" w:rsidRDefault="008760D9">
      <w:pPr>
        <w:pStyle w:val="Heading4"/>
        <w:rPr>
          <w:lang w:val="es-ES_tradnl"/>
        </w:rPr>
      </w:pPr>
      <w:r>
        <w:rPr>
          <w:lang w:val="es-ES_tradnl"/>
        </w:rPr>
        <w:t>3.2.1.3</w:t>
      </w:r>
      <w:r>
        <w:rPr>
          <w:lang w:val="es-ES_tradnl"/>
        </w:rPr>
        <w:tab/>
        <w:t>Frecuencias</w:t>
      </w:r>
    </w:p>
    <w:p w14:paraId="54DF994E" w14:textId="77777777" w:rsidR="008760D9" w:rsidRDefault="008760D9">
      <w:pPr>
        <w:rPr>
          <w:lang w:val="es-ES_tradnl"/>
        </w:rPr>
      </w:pPr>
      <w:r>
        <w:rPr>
          <w:lang w:val="es-ES_tradnl"/>
        </w:rPr>
        <w:t>Las frecuencias del localizador ILS se encuentran en la banda 108-112 MHz. Los 40 canales disponibles están en: 108,10, 108,15, 108,30, 108,35 MHz, etc. a 111,70, 111,75, 111,90 y 111,95 MHz.</w:t>
      </w:r>
    </w:p>
    <w:p w14:paraId="21091D3B" w14:textId="77777777" w:rsidR="008760D9" w:rsidRDefault="008760D9">
      <w:pPr>
        <w:pStyle w:val="Heading4"/>
        <w:rPr>
          <w:lang w:val="es-ES_tradnl"/>
        </w:rPr>
      </w:pPr>
      <w:r>
        <w:rPr>
          <w:lang w:val="es-ES_tradnl"/>
        </w:rPr>
        <w:t>3.2.1.4</w:t>
      </w:r>
      <w:r>
        <w:rPr>
          <w:lang w:val="es-ES_tradnl"/>
        </w:rPr>
        <w:tab/>
        <w:t>Polarización</w:t>
      </w:r>
    </w:p>
    <w:p w14:paraId="75B31661" w14:textId="77777777" w:rsidR="008760D9" w:rsidRDefault="008760D9">
      <w:pPr>
        <w:rPr>
          <w:lang w:val="es-ES_tradnl"/>
        </w:rPr>
      </w:pPr>
      <w:r>
        <w:rPr>
          <w:lang w:val="es-ES_tradnl"/>
        </w:rPr>
        <w:t>La señal del localizador ILS está polarizada horizontalmente.</w:t>
      </w:r>
    </w:p>
    <w:p w14:paraId="726E7F0C" w14:textId="77777777" w:rsidR="008760D9" w:rsidRDefault="008760D9">
      <w:pPr>
        <w:pStyle w:val="Heading3"/>
        <w:rPr>
          <w:lang w:val="es-ES_tradnl"/>
        </w:rPr>
      </w:pPr>
      <w:r>
        <w:rPr>
          <w:lang w:val="es-ES_tradnl"/>
        </w:rPr>
        <w:t>3.2.2</w:t>
      </w:r>
      <w:r>
        <w:rPr>
          <w:lang w:val="es-ES_tradnl"/>
        </w:rPr>
        <w:tab/>
        <w:t>VOR</w:t>
      </w:r>
    </w:p>
    <w:p w14:paraId="140CDA49" w14:textId="77777777" w:rsidR="008760D9" w:rsidRDefault="008760D9">
      <w:pPr>
        <w:pStyle w:val="Heading4"/>
        <w:rPr>
          <w:lang w:val="es-ES_tradnl"/>
        </w:rPr>
      </w:pPr>
      <w:r>
        <w:rPr>
          <w:lang w:val="es-ES_tradnl"/>
        </w:rPr>
        <w:t>3.2.2.1</w:t>
      </w:r>
      <w:r>
        <w:rPr>
          <w:lang w:val="es-ES_tradnl"/>
        </w:rPr>
        <w:tab/>
        <w:t>Cobertura operacional designada</w:t>
      </w:r>
    </w:p>
    <w:p w14:paraId="4C1EDDCA" w14:textId="77777777" w:rsidR="008760D9" w:rsidRDefault="008760D9">
      <w:pPr>
        <w:rPr>
          <w:lang w:val="es-ES_tradnl"/>
        </w:rPr>
      </w:pPr>
      <w:r>
        <w:rPr>
          <w:lang w:val="es-ES_tradnl"/>
        </w:rPr>
        <w:t>La DOC de un VOR puede variar de una instalación a otra; por ejemplo, un terminal VOR puede tener un radio de 74 km (40 NM) y de 370 km (200 NM) para el caso de un VOR de ruta. Los detalles pueden obtenerse en las Publicaciones de Información Aeronáutica (AIP) (véanse las definiciones en el Anexo 4) nacionales adecuadas.</w:t>
      </w:r>
    </w:p>
    <w:p w14:paraId="572F5BDC" w14:textId="77777777" w:rsidR="008760D9" w:rsidRDefault="008760D9">
      <w:pPr>
        <w:pStyle w:val="Heading4"/>
        <w:rPr>
          <w:lang w:val="es-ES_tradnl"/>
        </w:rPr>
      </w:pPr>
      <w:r>
        <w:rPr>
          <w:lang w:val="es-ES_tradnl"/>
        </w:rPr>
        <w:t>3.2.2.2</w:t>
      </w:r>
      <w:r>
        <w:rPr>
          <w:lang w:val="es-ES_tradnl"/>
        </w:rPr>
        <w:tab/>
        <w:t>Intensidad de campo</w:t>
      </w:r>
    </w:p>
    <w:p w14:paraId="4EE3D9B8" w14:textId="77777777" w:rsidR="008760D9" w:rsidRDefault="008760D9">
      <w:pPr>
        <w:rPr>
          <w:lang w:val="es-ES_tradnl"/>
        </w:rPr>
      </w:pPr>
      <w:r>
        <w:rPr>
          <w:lang w:val="es-ES_tradnl"/>
        </w:rPr>
        <w:t>La intensidad de campo mínima que debe protegerse con la DOC (véase el § 3.3.4.2 del Apéndice 1) es de 39 dB(</w:t>
      </w:r>
      <w:r>
        <w:rPr>
          <w:rFonts w:ascii="Symbol" w:hAnsi="Symbol"/>
          <w:lang w:val="es-ES_tradnl"/>
        </w:rPr>
        <w:t></w:t>
      </w:r>
      <w:r>
        <w:rPr>
          <w:lang w:val="es-ES_tradnl"/>
        </w:rPr>
        <w:t>V/m) (90 </w:t>
      </w:r>
      <w:r>
        <w:rPr>
          <w:rFonts w:ascii="Symbol" w:hAnsi="Symbol"/>
          <w:lang w:val="es-ES_tradnl"/>
        </w:rPr>
        <w:t></w:t>
      </w:r>
      <w:r>
        <w:rPr>
          <w:lang w:val="es-ES_tradnl"/>
        </w:rPr>
        <w:t>V/m). Los valores nominales de la potencia radiada aparente (</w:t>
      </w:r>
      <w:proofErr w:type="spellStart"/>
      <w:r>
        <w:rPr>
          <w:lang w:val="es-ES_tradnl"/>
        </w:rPr>
        <w:t>p.r.a</w:t>
      </w:r>
      <w:proofErr w:type="spellEnd"/>
      <w:r>
        <w:rPr>
          <w:lang w:val="es-ES_tradnl"/>
        </w:rPr>
        <w:t>.) necesaria para lograr esta intensidad de campo están dados en la Fig. 2.</w:t>
      </w:r>
    </w:p>
    <w:p w14:paraId="162436AC" w14:textId="77777777" w:rsidR="008760D9" w:rsidRDefault="008760D9">
      <w:pPr>
        <w:pStyle w:val="Heading4"/>
        <w:rPr>
          <w:lang w:val="es-ES_tradnl"/>
        </w:rPr>
      </w:pPr>
      <w:r>
        <w:rPr>
          <w:lang w:val="es-ES_tradnl"/>
        </w:rPr>
        <w:t>3.2.2.3</w:t>
      </w:r>
      <w:r>
        <w:rPr>
          <w:lang w:val="es-ES_tradnl"/>
        </w:rPr>
        <w:tab/>
        <w:t>Frecuencias</w:t>
      </w:r>
    </w:p>
    <w:p w14:paraId="06521B43" w14:textId="77777777" w:rsidR="008760D9" w:rsidRDefault="008760D9">
      <w:pPr>
        <w:rPr>
          <w:lang w:val="es-ES_tradnl"/>
        </w:rPr>
      </w:pPr>
      <w:r>
        <w:rPr>
          <w:lang w:val="es-ES_tradnl"/>
        </w:rPr>
        <w:t>En la banda 108-112 MHz, las frecuencias del VOR se sitúan entre las frecuencias del localizador ILS y son las siguientes: 108,05, 108,20, 108,25, 108,40, 108,45 MHz, etc., a 111,60, 111,65, 111,80 y 111,85 MHz. Las frecuencias VOR ocupan canales separados a intervalos de 50 kHz en la banda 112</w:t>
      </w:r>
      <w:r>
        <w:rPr>
          <w:lang w:val="es-ES_tradnl"/>
        </w:rPr>
        <w:noBreakHyphen/>
        <w:t>118 MHz, de la siguiente manera: 112,00, 112,05 ... 117,95 MHz.</w:t>
      </w:r>
    </w:p>
    <w:p w14:paraId="16EC845A" w14:textId="77777777" w:rsidR="008760D9" w:rsidRDefault="008760D9">
      <w:pPr>
        <w:pStyle w:val="Heading4"/>
        <w:rPr>
          <w:lang w:val="es-ES_tradnl"/>
        </w:rPr>
      </w:pPr>
      <w:r>
        <w:rPr>
          <w:lang w:val="es-ES_tradnl"/>
        </w:rPr>
        <w:t>3.2.2.4</w:t>
      </w:r>
      <w:r>
        <w:rPr>
          <w:lang w:val="es-ES_tradnl"/>
        </w:rPr>
        <w:tab/>
        <w:t>Polarización</w:t>
      </w:r>
    </w:p>
    <w:p w14:paraId="0A9E2E37" w14:textId="77777777" w:rsidR="008760D9" w:rsidRDefault="008760D9">
      <w:pPr>
        <w:rPr>
          <w:lang w:val="es-ES_tradnl"/>
        </w:rPr>
      </w:pPr>
      <w:r>
        <w:rPr>
          <w:lang w:val="es-ES_tradnl"/>
        </w:rPr>
        <w:t>La señal VOR está polarizada horizontalmente.</w:t>
      </w:r>
    </w:p>
    <w:p w14:paraId="715FAC53" w14:textId="77777777" w:rsidR="008760D9" w:rsidRDefault="008760D9">
      <w:pPr>
        <w:pStyle w:val="Heading3"/>
        <w:rPr>
          <w:lang w:val="es-ES_tradnl"/>
        </w:rPr>
      </w:pPr>
      <w:r>
        <w:rPr>
          <w:lang w:val="es-ES_tradnl"/>
        </w:rPr>
        <w:t>3.2.3</w:t>
      </w:r>
      <w:r>
        <w:rPr>
          <w:lang w:val="es-ES_tradnl"/>
        </w:rPr>
        <w:tab/>
        <w:t>COM</w:t>
      </w:r>
    </w:p>
    <w:p w14:paraId="7E62DCC4" w14:textId="77777777" w:rsidR="008760D9" w:rsidRDefault="008760D9">
      <w:pPr>
        <w:pStyle w:val="Heading4"/>
        <w:rPr>
          <w:lang w:val="es-ES_tradnl"/>
        </w:rPr>
      </w:pPr>
      <w:r>
        <w:rPr>
          <w:lang w:val="es-ES_tradnl"/>
        </w:rPr>
        <w:t>3.2.3.1</w:t>
      </w:r>
      <w:r>
        <w:rPr>
          <w:lang w:val="es-ES_tradnl"/>
        </w:rPr>
        <w:tab/>
        <w:t>Cobertura operacional designada</w:t>
      </w:r>
    </w:p>
    <w:p w14:paraId="31BC4BB5" w14:textId="77777777" w:rsidR="008760D9" w:rsidRDefault="008760D9">
      <w:pPr>
        <w:rPr>
          <w:lang w:val="es-ES_tradnl"/>
        </w:rPr>
      </w:pPr>
      <w:r>
        <w:rPr>
          <w:lang w:val="es-ES_tradnl"/>
        </w:rPr>
        <w:t>La DOC de una instalación de comunicación COM puede variar ampliamente de una instalación a otra (normalmente, desde un radio de 9,3 km (5 NM) a un radio de 370 km (200 NM)). Los detalles se obtienen en cada país proveedor (véanse las definiciones en el Anexo 4).</w:t>
      </w:r>
    </w:p>
    <w:p w14:paraId="1FB12603" w14:textId="77777777" w:rsidR="008760D9" w:rsidRDefault="008760D9">
      <w:pPr>
        <w:pStyle w:val="Heading4"/>
        <w:rPr>
          <w:lang w:val="es-ES_tradnl"/>
        </w:rPr>
      </w:pPr>
      <w:r>
        <w:rPr>
          <w:lang w:val="es-ES_tradnl"/>
        </w:rPr>
        <w:t>3.2.3.2</w:t>
      </w:r>
      <w:r>
        <w:rPr>
          <w:lang w:val="es-ES_tradnl"/>
        </w:rPr>
        <w:tab/>
        <w:t>Intensidad de campo</w:t>
      </w:r>
    </w:p>
    <w:p w14:paraId="6A0C10F6" w14:textId="77777777" w:rsidR="008760D9" w:rsidRDefault="008760D9">
      <w:pPr>
        <w:rPr>
          <w:lang w:val="es-ES_tradnl"/>
        </w:rPr>
      </w:pPr>
      <w:r>
        <w:rPr>
          <w:lang w:val="es-ES_tradnl"/>
        </w:rPr>
        <w:t xml:space="preserve">El Anexo 10 al Convenio de la OACI no especifica una intensidad de campo mínima que deba dar un transmisor COM; por el contrario, en el § 4.6.1.2 de la Parte I se indica que la </w:t>
      </w:r>
      <w:proofErr w:type="spellStart"/>
      <w:r>
        <w:rPr>
          <w:lang w:val="es-ES_tradnl"/>
        </w:rPr>
        <w:t>p.r.a</w:t>
      </w:r>
      <w:proofErr w:type="spellEnd"/>
      <w:r>
        <w:rPr>
          <w:lang w:val="es-ES_tradnl"/>
        </w:rPr>
        <w:t>. será tal que dé una intensidad de campo de 38 dB(</w:t>
      </w:r>
      <w:r>
        <w:rPr>
          <w:rFonts w:ascii="Symbol" w:hAnsi="Symbol"/>
          <w:lang w:val="es-ES_tradnl"/>
        </w:rPr>
        <w:t></w:t>
      </w:r>
      <w:r>
        <w:rPr>
          <w:lang w:val="es-ES_tradnl"/>
        </w:rPr>
        <w:t>V/m) (75 </w:t>
      </w:r>
      <w:r>
        <w:rPr>
          <w:rFonts w:ascii="Symbol" w:hAnsi="Symbol"/>
          <w:lang w:val="es-ES_tradnl"/>
        </w:rPr>
        <w:t></w:t>
      </w:r>
      <w:r>
        <w:rPr>
          <w:lang w:val="es-ES_tradnl"/>
        </w:rPr>
        <w:t>V/m) en un gran porcentaje de ocasiones.</w:t>
      </w:r>
    </w:p>
    <w:p w14:paraId="6BF39F55" w14:textId="77777777" w:rsidR="008760D9" w:rsidRDefault="008760D9">
      <w:pPr>
        <w:pStyle w:val="Heading4"/>
        <w:rPr>
          <w:lang w:val="es-ES_tradnl"/>
        </w:rPr>
      </w:pPr>
      <w:r>
        <w:rPr>
          <w:lang w:val="es-ES_tradnl"/>
        </w:rPr>
        <w:t>3.2.3.3</w:t>
      </w:r>
      <w:r>
        <w:rPr>
          <w:lang w:val="es-ES_tradnl"/>
        </w:rPr>
        <w:tab/>
        <w:t>Frecuencias</w:t>
      </w:r>
    </w:p>
    <w:p w14:paraId="7C346448" w14:textId="77777777" w:rsidR="008760D9" w:rsidRDefault="008760D9">
      <w:pPr>
        <w:rPr>
          <w:lang w:val="es-ES_tradnl"/>
        </w:rPr>
      </w:pPr>
      <w:r>
        <w:rPr>
          <w:lang w:val="es-ES_tradnl"/>
        </w:rPr>
        <w:t>Las frecuencias de los receptores COM ocupan canales separados 25 kHz en la banda 118-137 MHz: 118,000, 118,025 ... 136,975 MHz.</w:t>
      </w:r>
    </w:p>
    <w:p w14:paraId="00F80749" w14:textId="77777777" w:rsidR="008760D9" w:rsidRDefault="008760D9">
      <w:pPr>
        <w:pStyle w:val="Fig"/>
        <w:rPr>
          <w:lang w:val="es-ES_tradnl"/>
        </w:rPr>
      </w:pPr>
      <w:r>
        <w:rPr>
          <w:lang w:val="es-ES_tradnl"/>
        </w:rPr>
        <w:br w:type="page"/>
      </w:r>
      <w:r w:rsidR="00DF52C7">
        <w:rPr>
          <w:noProof/>
          <w:lang w:eastAsia="zh-CN"/>
        </w:rPr>
        <w:lastRenderedPageBreak/>
        <w:drawing>
          <wp:inline distT="0" distB="0" distL="0" distR="0" wp14:anchorId="6463BF1E" wp14:editId="61A7C314">
            <wp:extent cx="4373880" cy="5113020"/>
            <wp:effectExtent l="0" t="0" r="762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73880" cy="5113020"/>
                    </a:xfrm>
                    <a:prstGeom prst="rect">
                      <a:avLst/>
                    </a:prstGeom>
                    <a:noFill/>
                    <a:ln>
                      <a:noFill/>
                    </a:ln>
                  </pic:spPr>
                </pic:pic>
              </a:graphicData>
            </a:graphic>
          </wp:inline>
        </w:drawing>
      </w:r>
    </w:p>
    <w:p w14:paraId="463C2900" w14:textId="77777777" w:rsidR="008760D9" w:rsidRDefault="008760D9">
      <w:pPr>
        <w:pStyle w:val="Fig0"/>
        <w:rPr>
          <w:lang w:val="es-ES_tradnl"/>
        </w:rPr>
      </w:pPr>
      <w:r>
        <w:rPr>
          <w:lang w:val="es-ES_tradnl"/>
        </w:rPr>
        <w:t>FIGURE 2/1009...</w:t>
      </w:r>
      <w:r>
        <w:rPr>
          <w:b/>
          <w:lang w:val="es-ES_tradnl"/>
        </w:rPr>
        <w:t>[D02]</w:t>
      </w:r>
      <w:r>
        <w:rPr>
          <w:lang w:val="es-ES_tradnl"/>
        </w:rPr>
        <w:t xml:space="preserve">  </w:t>
      </w:r>
      <w:r>
        <w:rPr>
          <w:rFonts w:ascii="Symbol" w:hAnsi="Symbol"/>
          <w:lang w:val="es-ES_tradnl"/>
        </w:rPr>
        <w:t></w:t>
      </w:r>
      <w:r>
        <w:rPr>
          <w:lang w:val="es-ES_tradnl"/>
        </w:rPr>
        <w:t xml:space="preserve"> 14  CM </w:t>
      </w:r>
    </w:p>
    <w:p w14:paraId="0CFDC8A9" w14:textId="77777777" w:rsidR="008760D9" w:rsidRDefault="008760D9">
      <w:pPr>
        <w:pStyle w:val="Heading4"/>
        <w:rPr>
          <w:lang w:val="es-ES_tradnl"/>
        </w:rPr>
      </w:pPr>
      <w:r>
        <w:rPr>
          <w:lang w:val="es-ES_tradnl"/>
        </w:rPr>
        <w:t>3.2.3.4</w:t>
      </w:r>
      <w:r>
        <w:rPr>
          <w:lang w:val="es-ES_tradnl"/>
        </w:rPr>
        <w:tab/>
        <w:t>Polarización</w:t>
      </w:r>
    </w:p>
    <w:p w14:paraId="7F07AA4C" w14:textId="77777777" w:rsidR="008760D9" w:rsidRDefault="008760D9">
      <w:pPr>
        <w:rPr>
          <w:lang w:val="es-ES_tradnl"/>
        </w:rPr>
      </w:pPr>
      <w:r>
        <w:rPr>
          <w:lang w:val="es-ES_tradnl"/>
        </w:rPr>
        <w:t>La señal COM está polarizada verticalmente.</w:t>
      </w:r>
    </w:p>
    <w:p w14:paraId="641D1A92" w14:textId="77777777" w:rsidR="008760D9" w:rsidRDefault="008760D9">
      <w:pPr>
        <w:pStyle w:val="Heading2"/>
        <w:rPr>
          <w:lang w:val="es-ES_tradnl"/>
        </w:rPr>
      </w:pPr>
      <w:r>
        <w:rPr>
          <w:lang w:val="es-ES_tradnl"/>
        </w:rPr>
        <w:t>3.3</w:t>
      </w:r>
      <w:r>
        <w:rPr>
          <w:lang w:val="es-ES_tradnl"/>
        </w:rPr>
        <w:tab/>
        <w:t>Características de las estaciones de radiodifusión con modulación de frecuencia</w:t>
      </w:r>
    </w:p>
    <w:p w14:paraId="4B9141B5" w14:textId="77777777" w:rsidR="008760D9" w:rsidRDefault="008760D9">
      <w:pPr>
        <w:pStyle w:val="Heading3"/>
        <w:rPr>
          <w:lang w:val="es-ES_tradnl"/>
        </w:rPr>
      </w:pPr>
      <w:r>
        <w:rPr>
          <w:lang w:val="es-ES_tradnl"/>
        </w:rPr>
        <w:t>3.3.1</w:t>
      </w:r>
      <w:r>
        <w:rPr>
          <w:lang w:val="es-ES_tradnl"/>
        </w:rPr>
        <w:tab/>
        <w:t>Potencia radiada aparente máxima</w:t>
      </w:r>
    </w:p>
    <w:p w14:paraId="1E92A176" w14:textId="77777777" w:rsidR="008760D9" w:rsidRDefault="008760D9">
      <w:pPr>
        <w:rPr>
          <w:lang w:val="es-ES_tradnl"/>
        </w:rPr>
      </w:pPr>
      <w:r>
        <w:rPr>
          <w:lang w:val="es-ES_tradnl"/>
        </w:rPr>
        <w:t xml:space="preserve">Debe utilizarse el valor más preciso disponible de la </w:t>
      </w:r>
      <w:proofErr w:type="spellStart"/>
      <w:r>
        <w:rPr>
          <w:lang w:val="es-ES_tradnl"/>
        </w:rPr>
        <w:t>p.r.a</w:t>
      </w:r>
      <w:proofErr w:type="spellEnd"/>
      <w:r>
        <w:rPr>
          <w:lang w:val="es-ES_tradnl"/>
        </w:rPr>
        <w:t>. máxima para los cálculos de compatibilidad.</w:t>
      </w:r>
    </w:p>
    <w:p w14:paraId="7A48E423" w14:textId="77777777" w:rsidR="008760D9" w:rsidRDefault="008760D9">
      <w:pPr>
        <w:pStyle w:val="Heading3"/>
        <w:rPr>
          <w:lang w:val="es-ES_tradnl"/>
        </w:rPr>
      </w:pPr>
      <w:r>
        <w:rPr>
          <w:lang w:val="es-ES_tradnl"/>
        </w:rPr>
        <w:t>3.3.2</w:t>
      </w:r>
      <w:r>
        <w:rPr>
          <w:lang w:val="es-ES_tradnl"/>
        </w:rPr>
        <w:tab/>
        <w:t>Diagrama de radiación horizontal</w:t>
      </w:r>
    </w:p>
    <w:p w14:paraId="5964FC5D" w14:textId="77777777" w:rsidR="008760D9" w:rsidRDefault="008760D9">
      <w:pPr>
        <w:rPr>
          <w:lang w:val="es-ES_tradnl"/>
        </w:rPr>
      </w:pPr>
      <w:r>
        <w:rPr>
          <w:lang w:val="es-ES_tradnl"/>
        </w:rPr>
        <w:t>En los cálculos de compatibilidad debe utilizarse la información más precisa disponible sobre el diagrama de radiación horizontal.</w:t>
      </w:r>
    </w:p>
    <w:p w14:paraId="12325A1F" w14:textId="77777777" w:rsidR="008760D9" w:rsidRDefault="008760D9">
      <w:pPr>
        <w:pStyle w:val="Heading3"/>
        <w:rPr>
          <w:lang w:val="es-ES_tradnl"/>
        </w:rPr>
      </w:pPr>
      <w:r>
        <w:rPr>
          <w:lang w:val="es-ES_tradnl"/>
        </w:rPr>
        <w:t>3.3.3</w:t>
      </w:r>
      <w:r>
        <w:rPr>
          <w:lang w:val="es-ES_tradnl"/>
        </w:rPr>
        <w:tab/>
        <w:t>Diagrama de radiación vertical</w:t>
      </w:r>
    </w:p>
    <w:p w14:paraId="30B8250A" w14:textId="77777777" w:rsidR="008760D9" w:rsidRDefault="008760D9">
      <w:pPr>
        <w:rPr>
          <w:lang w:val="es-ES_tradnl"/>
        </w:rPr>
      </w:pPr>
      <w:r>
        <w:rPr>
          <w:lang w:val="es-ES_tradnl"/>
        </w:rPr>
        <w:t>En los cálculos de compatibilidad debe utilizarse la información más precisa disponible sobre el diagrama de radiación vertical.</w:t>
      </w:r>
    </w:p>
    <w:p w14:paraId="2371B8F1" w14:textId="77777777" w:rsidR="008760D9" w:rsidRDefault="008760D9">
      <w:pPr>
        <w:pStyle w:val="Heading3"/>
        <w:rPr>
          <w:lang w:val="es-ES_tradnl"/>
        </w:rPr>
      </w:pPr>
      <w:r>
        <w:rPr>
          <w:lang w:val="es-ES_tradnl"/>
        </w:rPr>
        <w:t>3.3.4</w:t>
      </w:r>
      <w:r>
        <w:rPr>
          <w:lang w:val="es-ES_tradnl"/>
        </w:rPr>
        <w:tab/>
        <w:t>Supresión de emisiones no esenciales</w:t>
      </w:r>
    </w:p>
    <w:p w14:paraId="5CD0B3E4" w14:textId="77777777" w:rsidR="008760D9" w:rsidRDefault="008760D9">
      <w:pPr>
        <w:rPr>
          <w:lang w:val="es-ES_tradnl"/>
        </w:rPr>
      </w:pPr>
      <w:r>
        <w:rPr>
          <w:lang w:val="es-ES_tradnl"/>
        </w:rPr>
        <w:t>En la experiencia de América del Norte, no ha sido, en general, necesario exigir la supresión en más de 80 dB de las emisiones no esenciales. Considerando las circunstancias especiales de la Región 1 y de algunas zonas de la Región 3, se recomiendan los valores del Cuadro 1 para supresión de las emisiones no esenciales en la banda aeronáu</w:t>
      </w:r>
      <w:r>
        <w:rPr>
          <w:lang w:val="es-ES_tradnl"/>
        </w:rPr>
        <w:softHyphen/>
        <w:t>tica 108</w:t>
      </w:r>
      <w:r>
        <w:rPr>
          <w:lang w:val="es-ES_tradnl"/>
        </w:rPr>
        <w:noBreakHyphen/>
        <w:t>137 MHz, debidas a productos de intermodulación radiados desde transmisores de radiodifusión situados en el mismo emplazamiento.</w:t>
      </w:r>
    </w:p>
    <w:p w14:paraId="4D921076" w14:textId="77777777" w:rsidR="008760D9" w:rsidRDefault="008760D9">
      <w:pPr>
        <w:pStyle w:val="Table"/>
        <w:rPr>
          <w:lang w:val="es-ES_tradnl"/>
        </w:rPr>
      </w:pPr>
      <w:r>
        <w:rPr>
          <w:lang w:val="es-ES_tradnl"/>
        </w:rPr>
        <w:br w:type="page"/>
      </w:r>
      <w:r>
        <w:rPr>
          <w:lang w:val="es-ES_tradnl"/>
        </w:rPr>
        <w:lastRenderedPageBreak/>
        <w:t>CUADRO  1</w:t>
      </w:r>
    </w:p>
    <w:p w14:paraId="778E6883" w14:textId="77777777" w:rsidR="008760D9" w:rsidRDefault="008760D9">
      <w:pPr>
        <w:pStyle w:val="Blanc"/>
        <w:rPr>
          <w:lang w:val="es-ES_tradnl"/>
        </w:rPr>
      </w:pPr>
    </w:p>
    <w:tbl>
      <w:tblPr>
        <w:tblW w:w="0" w:type="auto"/>
        <w:jc w:val="center"/>
        <w:tblLayout w:type="fixed"/>
        <w:tblCellMar>
          <w:left w:w="0" w:type="dxa"/>
          <w:right w:w="0" w:type="dxa"/>
        </w:tblCellMar>
        <w:tblLook w:val="0000" w:firstRow="0" w:lastRow="0" w:firstColumn="0" w:lastColumn="0" w:noHBand="0" w:noVBand="0"/>
      </w:tblPr>
      <w:tblGrid>
        <w:gridCol w:w="2098"/>
        <w:gridCol w:w="4411"/>
      </w:tblGrid>
      <w:tr w:rsidR="008760D9" w:rsidRPr="00AC3FDE" w14:paraId="325A59CA" w14:textId="77777777">
        <w:trPr>
          <w:cantSplit/>
          <w:jc w:val="center"/>
        </w:trPr>
        <w:tc>
          <w:tcPr>
            <w:tcW w:w="2098" w:type="dxa"/>
            <w:tcBorders>
              <w:top w:val="single" w:sz="6" w:space="0" w:color="auto"/>
              <w:left w:val="single" w:sz="6" w:space="0" w:color="auto"/>
              <w:bottom w:val="single" w:sz="6" w:space="0" w:color="auto"/>
              <w:right w:val="single" w:sz="6" w:space="0" w:color="auto"/>
            </w:tcBorders>
          </w:tcPr>
          <w:p w14:paraId="2D4C6E24" w14:textId="77777777" w:rsidR="008760D9" w:rsidRDefault="008760D9">
            <w:pPr>
              <w:pStyle w:val="TableText"/>
              <w:framePr w:hSpace="181" w:wrap="notBeside" w:vAnchor="text" w:hAnchor="page" w:xAlign="center" w:y="1"/>
              <w:jc w:val="center"/>
              <w:rPr>
                <w:lang w:val="es-ES_tradnl"/>
              </w:rPr>
            </w:pPr>
            <w:proofErr w:type="spellStart"/>
            <w:r>
              <w:rPr>
                <w:lang w:val="es-ES_tradnl"/>
              </w:rPr>
              <w:t>p.r.a</w:t>
            </w:r>
            <w:proofErr w:type="spellEnd"/>
            <w:r>
              <w:rPr>
                <w:lang w:val="es-ES_tradnl"/>
              </w:rPr>
              <w:t>. máxima</w:t>
            </w:r>
            <w:r>
              <w:rPr>
                <w:lang w:val="es-ES_tradnl"/>
              </w:rPr>
              <w:br/>
              <w:t>(</w:t>
            </w:r>
            <w:proofErr w:type="spellStart"/>
            <w:r>
              <w:rPr>
                <w:lang w:val="es-ES_tradnl"/>
              </w:rPr>
              <w:t>dBW</w:t>
            </w:r>
            <w:proofErr w:type="spellEnd"/>
            <w:r>
              <w:rPr>
                <w:lang w:val="es-ES_tradnl"/>
              </w:rPr>
              <w:t>)</w:t>
            </w:r>
          </w:p>
        </w:tc>
        <w:tc>
          <w:tcPr>
            <w:tcW w:w="4411" w:type="dxa"/>
            <w:tcBorders>
              <w:top w:val="single" w:sz="6" w:space="0" w:color="auto"/>
              <w:left w:val="single" w:sz="6" w:space="0" w:color="auto"/>
              <w:bottom w:val="single" w:sz="6" w:space="0" w:color="auto"/>
              <w:right w:val="single" w:sz="6" w:space="0" w:color="auto"/>
            </w:tcBorders>
          </w:tcPr>
          <w:p w14:paraId="682A1AFD" w14:textId="77777777" w:rsidR="008760D9" w:rsidRDefault="008760D9">
            <w:pPr>
              <w:pStyle w:val="TableText"/>
              <w:framePr w:hSpace="181" w:wrap="notBeside" w:vAnchor="text" w:hAnchor="page" w:xAlign="center" w:y="1"/>
              <w:jc w:val="center"/>
              <w:rPr>
                <w:lang w:val="es-ES_tradnl"/>
              </w:rPr>
            </w:pPr>
            <w:r>
              <w:rPr>
                <w:lang w:val="es-ES_tradnl"/>
              </w:rPr>
              <w:t xml:space="preserve">Supresión con relación a la </w:t>
            </w:r>
            <w:proofErr w:type="spellStart"/>
            <w:r>
              <w:rPr>
                <w:lang w:val="es-ES_tradnl"/>
              </w:rPr>
              <w:t>p.r.a</w:t>
            </w:r>
            <w:proofErr w:type="spellEnd"/>
            <w:r>
              <w:rPr>
                <w:lang w:val="es-ES_tradnl"/>
              </w:rPr>
              <w:t>. máxima</w:t>
            </w:r>
            <w:r>
              <w:rPr>
                <w:lang w:val="es-ES_tradnl"/>
              </w:rPr>
              <w:br/>
              <w:t>(dB)</w:t>
            </w:r>
          </w:p>
        </w:tc>
      </w:tr>
      <w:tr w:rsidR="008760D9" w14:paraId="4B90F9E1" w14:textId="77777777">
        <w:trPr>
          <w:cantSplit/>
          <w:jc w:val="center"/>
        </w:trPr>
        <w:tc>
          <w:tcPr>
            <w:tcW w:w="2098" w:type="dxa"/>
            <w:tcBorders>
              <w:top w:val="single" w:sz="6" w:space="0" w:color="auto"/>
              <w:left w:val="single" w:sz="6" w:space="0" w:color="auto"/>
              <w:right w:val="single" w:sz="6" w:space="0" w:color="auto"/>
            </w:tcBorders>
          </w:tcPr>
          <w:p w14:paraId="4F337A37" w14:textId="77777777" w:rsidR="008760D9" w:rsidRDefault="008760D9">
            <w:pPr>
              <w:pStyle w:val="TableText"/>
              <w:framePr w:hSpace="181" w:wrap="notBeside" w:vAnchor="text" w:hAnchor="page" w:xAlign="center" w:y="1"/>
              <w:ind w:right="851"/>
              <w:jc w:val="right"/>
              <w:rPr>
                <w:lang w:val="es-ES_tradnl"/>
              </w:rPr>
            </w:pPr>
            <w:r>
              <w:rPr>
                <w:rFonts w:ascii="Symbol" w:hAnsi="Symbol"/>
                <w:lang w:val="es-ES_tradnl"/>
              </w:rPr>
              <w:t></w:t>
            </w:r>
            <w:r>
              <w:rPr>
                <w:lang w:val="es-ES_tradnl"/>
              </w:rPr>
              <w:t xml:space="preserve">  48</w:t>
            </w:r>
          </w:p>
        </w:tc>
        <w:tc>
          <w:tcPr>
            <w:tcW w:w="4411" w:type="dxa"/>
            <w:tcBorders>
              <w:top w:val="single" w:sz="6" w:space="0" w:color="auto"/>
              <w:left w:val="single" w:sz="6" w:space="0" w:color="auto"/>
              <w:right w:val="single" w:sz="6" w:space="0" w:color="auto"/>
            </w:tcBorders>
          </w:tcPr>
          <w:p w14:paraId="04E47609" w14:textId="77777777" w:rsidR="008760D9" w:rsidRDefault="008760D9">
            <w:pPr>
              <w:pStyle w:val="TableText"/>
              <w:framePr w:hSpace="181" w:wrap="notBeside" w:vAnchor="text" w:hAnchor="page" w:xAlign="center" w:y="1"/>
              <w:jc w:val="center"/>
              <w:rPr>
                <w:lang w:val="es-ES_tradnl"/>
              </w:rPr>
            </w:pPr>
            <w:r>
              <w:rPr>
                <w:lang w:val="es-ES_tradnl"/>
              </w:rPr>
              <w:t>85</w:t>
            </w:r>
          </w:p>
        </w:tc>
      </w:tr>
      <w:tr w:rsidR="008760D9" w14:paraId="110B524B" w14:textId="77777777">
        <w:trPr>
          <w:cantSplit/>
          <w:jc w:val="center"/>
        </w:trPr>
        <w:tc>
          <w:tcPr>
            <w:tcW w:w="2098" w:type="dxa"/>
            <w:tcBorders>
              <w:left w:val="single" w:sz="6" w:space="0" w:color="auto"/>
              <w:right w:val="single" w:sz="6" w:space="0" w:color="auto"/>
            </w:tcBorders>
          </w:tcPr>
          <w:p w14:paraId="13CF18F0" w14:textId="77777777" w:rsidR="008760D9" w:rsidRDefault="008760D9">
            <w:pPr>
              <w:pStyle w:val="TableText"/>
              <w:framePr w:hSpace="181" w:wrap="notBeside" w:vAnchor="text" w:hAnchor="page" w:xAlign="center" w:y="1"/>
              <w:ind w:right="851"/>
              <w:jc w:val="right"/>
              <w:rPr>
                <w:lang w:val="es-ES_tradnl"/>
              </w:rPr>
            </w:pPr>
            <w:r>
              <w:rPr>
                <w:lang w:val="es-ES_tradnl"/>
              </w:rPr>
              <w:t>30</w:t>
            </w:r>
          </w:p>
        </w:tc>
        <w:tc>
          <w:tcPr>
            <w:tcW w:w="4411" w:type="dxa"/>
            <w:tcBorders>
              <w:left w:val="single" w:sz="6" w:space="0" w:color="auto"/>
              <w:right w:val="single" w:sz="6" w:space="0" w:color="auto"/>
            </w:tcBorders>
          </w:tcPr>
          <w:p w14:paraId="0AFC6DC2" w14:textId="77777777" w:rsidR="008760D9" w:rsidRDefault="008760D9">
            <w:pPr>
              <w:pStyle w:val="TableText"/>
              <w:framePr w:hSpace="181" w:wrap="notBeside" w:vAnchor="text" w:hAnchor="page" w:xAlign="center" w:y="1"/>
              <w:jc w:val="center"/>
              <w:rPr>
                <w:lang w:val="es-ES_tradnl"/>
              </w:rPr>
            </w:pPr>
            <w:r>
              <w:rPr>
                <w:lang w:val="es-ES_tradnl"/>
              </w:rPr>
              <w:t>76</w:t>
            </w:r>
          </w:p>
        </w:tc>
      </w:tr>
      <w:tr w:rsidR="008760D9" w:rsidRPr="00AC3FDE" w14:paraId="134FC41A" w14:textId="77777777">
        <w:trPr>
          <w:cantSplit/>
          <w:jc w:val="center"/>
        </w:trPr>
        <w:tc>
          <w:tcPr>
            <w:tcW w:w="2098" w:type="dxa"/>
            <w:tcBorders>
              <w:left w:val="single" w:sz="6" w:space="0" w:color="auto"/>
              <w:right w:val="single" w:sz="6" w:space="0" w:color="auto"/>
            </w:tcBorders>
          </w:tcPr>
          <w:p w14:paraId="7A60BE2A" w14:textId="77777777" w:rsidR="008760D9" w:rsidRDefault="008760D9">
            <w:pPr>
              <w:pStyle w:val="TableText"/>
              <w:framePr w:hSpace="181" w:wrap="notBeside" w:vAnchor="text" w:hAnchor="page" w:xAlign="center" w:y="1"/>
              <w:ind w:right="851"/>
              <w:jc w:val="right"/>
              <w:rPr>
                <w:lang w:val="es-ES_tradnl"/>
              </w:rPr>
            </w:pPr>
            <w:r>
              <w:rPr>
                <w:rFonts w:ascii="Symbol" w:hAnsi="Symbol"/>
                <w:lang w:val="es-ES_tradnl"/>
              </w:rPr>
              <w:t></w:t>
            </w:r>
            <w:r>
              <w:rPr>
                <w:lang w:val="es-ES_tradnl"/>
              </w:rPr>
              <w:t xml:space="preserve">  30</w:t>
            </w:r>
          </w:p>
        </w:tc>
        <w:tc>
          <w:tcPr>
            <w:tcW w:w="4411" w:type="dxa"/>
            <w:tcBorders>
              <w:left w:val="single" w:sz="6" w:space="0" w:color="auto"/>
              <w:right w:val="single" w:sz="6" w:space="0" w:color="auto"/>
            </w:tcBorders>
          </w:tcPr>
          <w:p w14:paraId="6C6C56ED" w14:textId="77777777" w:rsidR="008760D9" w:rsidRDefault="008760D9">
            <w:pPr>
              <w:pStyle w:val="TableText"/>
              <w:framePr w:hSpace="181" w:wrap="notBeside" w:vAnchor="text" w:hAnchor="page" w:xAlign="center" w:y="1"/>
              <w:jc w:val="center"/>
              <w:rPr>
                <w:lang w:val="es-ES_tradnl"/>
              </w:rPr>
            </w:pPr>
            <w:r>
              <w:rPr>
                <w:lang w:val="es-ES_tradnl"/>
              </w:rPr>
              <w:t xml:space="preserve">46  </w:t>
            </w:r>
            <w:r>
              <w:rPr>
                <w:rFonts w:ascii="Symbol" w:hAnsi="Symbol"/>
                <w:lang w:val="es-ES_tradnl"/>
              </w:rPr>
              <w:t></w:t>
            </w:r>
            <w:r>
              <w:rPr>
                <w:lang w:val="es-ES_tradnl"/>
              </w:rPr>
              <w:t xml:space="preserve">  </w:t>
            </w:r>
            <w:proofErr w:type="spellStart"/>
            <w:r>
              <w:rPr>
                <w:lang w:val="es-ES_tradnl"/>
              </w:rPr>
              <w:t>p.r.a</w:t>
            </w:r>
            <w:proofErr w:type="spellEnd"/>
            <w:r>
              <w:rPr>
                <w:lang w:val="es-ES_tradnl"/>
              </w:rPr>
              <w:t>. máxima (</w:t>
            </w:r>
            <w:proofErr w:type="spellStart"/>
            <w:r>
              <w:rPr>
                <w:lang w:val="es-ES_tradnl"/>
              </w:rPr>
              <w:t>dBW</w:t>
            </w:r>
            <w:proofErr w:type="spellEnd"/>
            <w:r>
              <w:rPr>
                <w:lang w:val="es-ES_tradnl"/>
              </w:rPr>
              <w:t>)</w:t>
            </w:r>
          </w:p>
        </w:tc>
      </w:tr>
      <w:tr w:rsidR="008760D9" w:rsidRPr="00AC3FDE" w14:paraId="30F6C194" w14:textId="77777777">
        <w:trPr>
          <w:cantSplit/>
          <w:jc w:val="center"/>
        </w:trPr>
        <w:tc>
          <w:tcPr>
            <w:tcW w:w="6509" w:type="dxa"/>
            <w:gridSpan w:val="2"/>
            <w:tcBorders>
              <w:top w:val="single" w:sz="6" w:space="0" w:color="auto"/>
            </w:tcBorders>
          </w:tcPr>
          <w:p w14:paraId="7622D29D" w14:textId="77777777" w:rsidR="008760D9" w:rsidRDefault="008760D9">
            <w:pPr>
              <w:pStyle w:val="TableLegend"/>
              <w:framePr w:hSpace="181" w:wrap="notBeside" w:vAnchor="text" w:hAnchor="page" w:xAlign="center" w:y="1"/>
              <w:ind w:left="0" w:right="0"/>
              <w:rPr>
                <w:lang w:val="es-ES_tradnl"/>
              </w:rPr>
            </w:pPr>
            <w:r>
              <w:rPr>
                <w:lang w:val="es-ES_tradnl"/>
              </w:rPr>
              <w:t xml:space="preserve">NOTA 1 – Se utiliza la interpolación lineal entre los valores de la </w:t>
            </w:r>
            <w:proofErr w:type="spellStart"/>
            <w:r>
              <w:rPr>
                <w:lang w:val="es-ES_tradnl"/>
              </w:rPr>
              <w:t>p.r.a</w:t>
            </w:r>
            <w:proofErr w:type="spellEnd"/>
            <w:r>
              <w:rPr>
                <w:lang w:val="es-ES_tradnl"/>
              </w:rPr>
              <w:t>. máxima de 30 y 48 </w:t>
            </w:r>
            <w:proofErr w:type="spellStart"/>
            <w:r>
              <w:rPr>
                <w:lang w:val="es-ES_tradnl"/>
              </w:rPr>
              <w:t>dBW</w:t>
            </w:r>
            <w:proofErr w:type="spellEnd"/>
            <w:r>
              <w:rPr>
                <w:lang w:val="es-ES_tradnl"/>
              </w:rPr>
              <w:t>.</w:t>
            </w:r>
          </w:p>
        </w:tc>
      </w:tr>
    </w:tbl>
    <w:p w14:paraId="056D1E04" w14:textId="77777777" w:rsidR="008760D9" w:rsidRDefault="008760D9">
      <w:pPr>
        <w:pStyle w:val="Tablefin"/>
        <w:spacing w:before="0"/>
        <w:rPr>
          <w:lang w:val="es-ES_tradnl"/>
        </w:rPr>
      </w:pPr>
    </w:p>
    <w:p w14:paraId="46252B5C" w14:textId="77777777" w:rsidR="008760D9" w:rsidRDefault="008760D9">
      <w:pPr>
        <w:spacing w:before="0"/>
        <w:rPr>
          <w:lang w:val="es-ES_tradnl"/>
        </w:rPr>
      </w:pPr>
    </w:p>
    <w:p w14:paraId="1AFD5333" w14:textId="77777777" w:rsidR="008760D9" w:rsidRDefault="008760D9">
      <w:pPr>
        <w:pStyle w:val="Heading3"/>
        <w:rPr>
          <w:lang w:val="es-ES_tradnl"/>
        </w:rPr>
      </w:pPr>
      <w:r>
        <w:rPr>
          <w:lang w:val="es-ES_tradnl"/>
        </w:rPr>
        <w:t>3.3.5</w:t>
      </w:r>
      <w:r>
        <w:rPr>
          <w:lang w:val="es-ES_tradnl"/>
        </w:rPr>
        <w:tab/>
        <w:t>Frecuencias</w:t>
      </w:r>
    </w:p>
    <w:p w14:paraId="036D78CA" w14:textId="77777777" w:rsidR="008760D9" w:rsidRDefault="008760D9">
      <w:pPr>
        <w:rPr>
          <w:lang w:val="es-ES_tradnl"/>
        </w:rPr>
      </w:pPr>
      <w:r>
        <w:rPr>
          <w:lang w:val="es-ES_tradnl"/>
        </w:rPr>
        <w:t>Las bandas de funcionamiento figuran en el Reglamento de Radiocomunicaciones. En la Región 1 y en algunas partes de la Región 3, se utiliza la banda 87,5</w:t>
      </w:r>
      <w:r>
        <w:rPr>
          <w:lang w:val="es-ES_tradnl"/>
        </w:rPr>
        <w:noBreakHyphen/>
        <w:t>108 MHz con canales cada 100 kHz (87,6, 87,7 ... 107,9 MHz). En la Región 2 se utiliza la banda 88-108 MHz con canales cada 200 kHz (88,1, 88,3 ... 107,9 MHz).</w:t>
      </w:r>
    </w:p>
    <w:p w14:paraId="19BF85C6" w14:textId="77777777" w:rsidR="008760D9" w:rsidRDefault="008760D9">
      <w:pPr>
        <w:pStyle w:val="Heading3"/>
        <w:rPr>
          <w:lang w:val="es-ES_tradnl"/>
        </w:rPr>
      </w:pPr>
      <w:r>
        <w:rPr>
          <w:lang w:val="es-ES_tradnl"/>
        </w:rPr>
        <w:t>3.3.6</w:t>
      </w:r>
      <w:r>
        <w:rPr>
          <w:lang w:val="es-ES_tradnl"/>
        </w:rPr>
        <w:tab/>
        <w:t>Polarización</w:t>
      </w:r>
    </w:p>
    <w:p w14:paraId="637BACBB" w14:textId="77777777" w:rsidR="008760D9" w:rsidRDefault="008760D9">
      <w:pPr>
        <w:rPr>
          <w:lang w:val="es-ES_tradnl"/>
        </w:rPr>
      </w:pPr>
      <w:r>
        <w:rPr>
          <w:lang w:val="es-ES_tradnl"/>
        </w:rPr>
        <w:t>La polarización de una señal con modulación de frecuencia puede ser horizontal, vertical o mixta.</w:t>
      </w:r>
    </w:p>
    <w:p w14:paraId="1A9E7DCB" w14:textId="77777777" w:rsidR="008760D9" w:rsidRDefault="008760D9">
      <w:pPr>
        <w:pStyle w:val="Heading3"/>
        <w:rPr>
          <w:lang w:val="es-ES_tradnl"/>
        </w:rPr>
      </w:pPr>
      <w:r>
        <w:rPr>
          <w:lang w:val="es-ES_tradnl"/>
        </w:rPr>
        <w:t>3.3.7</w:t>
      </w:r>
      <w:r>
        <w:rPr>
          <w:lang w:val="es-ES_tradnl"/>
        </w:rPr>
        <w:tab/>
        <w:t>Cálculo de la intensidad de campo en el espacio libre para las señales de radiodifusión</w:t>
      </w:r>
    </w:p>
    <w:p w14:paraId="4D4C91E3" w14:textId="77777777" w:rsidR="008760D9" w:rsidRDefault="008760D9">
      <w:pPr>
        <w:rPr>
          <w:lang w:val="es-ES_tradnl"/>
        </w:rPr>
      </w:pPr>
      <w:r>
        <w:rPr>
          <w:lang w:val="es-ES_tradnl"/>
        </w:rPr>
        <w:t>La intensidad de campo en el espacio libre se determina según la fórmula siguiente:</w:t>
      </w:r>
    </w:p>
    <w:p w14:paraId="0D8593B3" w14:textId="77777777" w:rsidR="008760D9" w:rsidRDefault="008760D9">
      <w:pPr>
        <w:pStyle w:val="Equation"/>
        <w:rPr>
          <w:lang w:val="es-ES_tradnl"/>
        </w:rPr>
      </w:pPr>
      <w:bookmarkStart w:id="4" w:name="F002"/>
      <w:r w:rsidRPr="00AC3FDE">
        <w:rPr>
          <w:lang w:val="es-ES"/>
        </w:rPr>
        <w:tab/>
      </w:r>
      <w:r w:rsidRPr="00AC3FDE">
        <w:rPr>
          <w:lang w:val="es-ES"/>
        </w:rPr>
        <w:tab/>
      </w:r>
      <w:r w:rsidRPr="00AC3FDE">
        <w:rPr>
          <w:i/>
          <w:lang w:val="es-ES"/>
        </w:rPr>
        <w:t>E</w:t>
      </w:r>
      <w:r w:rsidRPr="00AC3FDE">
        <w:rPr>
          <w:lang w:val="es-ES"/>
        </w:rPr>
        <w:t xml:space="preserve">  </w:t>
      </w:r>
      <w:r>
        <w:rPr>
          <w:rFonts w:ascii="Symbol" w:hAnsi="Symbol"/>
        </w:rPr>
        <w:t></w:t>
      </w:r>
      <w:r w:rsidRPr="00AC3FDE">
        <w:rPr>
          <w:lang w:val="es-ES"/>
        </w:rPr>
        <w:t xml:space="preserve">  76,9  </w:t>
      </w:r>
      <w:r>
        <w:rPr>
          <w:rFonts w:ascii="Symbol" w:hAnsi="Symbol"/>
        </w:rPr>
        <w:t></w:t>
      </w:r>
      <w:r w:rsidRPr="00AC3FDE">
        <w:rPr>
          <w:lang w:val="es-ES"/>
        </w:rPr>
        <w:t xml:space="preserve">  </w:t>
      </w:r>
      <w:r w:rsidRPr="00AC3FDE">
        <w:rPr>
          <w:i/>
          <w:lang w:val="es-ES"/>
        </w:rPr>
        <w:t>P</w:t>
      </w:r>
      <w:r w:rsidRPr="00AC3FDE">
        <w:rPr>
          <w:lang w:val="es-ES"/>
        </w:rPr>
        <w:t xml:space="preserve">  –  20 log </w:t>
      </w:r>
      <w:r w:rsidRPr="00AC3FDE">
        <w:rPr>
          <w:i/>
          <w:lang w:val="es-ES"/>
        </w:rPr>
        <w:t>d</w:t>
      </w:r>
      <w:r w:rsidRPr="00AC3FDE">
        <w:rPr>
          <w:lang w:val="es-ES"/>
        </w:rPr>
        <w:t xml:space="preserve">  </w:t>
      </w:r>
      <w:r>
        <w:rPr>
          <w:rFonts w:ascii="Symbol" w:hAnsi="Symbol"/>
        </w:rPr>
        <w:t></w:t>
      </w:r>
      <w:r w:rsidRPr="00AC3FDE">
        <w:rPr>
          <w:lang w:val="es-ES"/>
        </w:rPr>
        <w:t xml:space="preserve">  </w:t>
      </w:r>
      <w:r w:rsidRPr="00AC3FDE">
        <w:rPr>
          <w:i/>
          <w:lang w:val="es-ES"/>
        </w:rPr>
        <w:t>H</w:t>
      </w:r>
      <w:r w:rsidRPr="00AC3FDE">
        <w:rPr>
          <w:lang w:val="es-ES"/>
        </w:rPr>
        <w:t xml:space="preserve">  </w:t>
      </w:r>
      <w:r>
        <w:rPr>
          <w:rFonts w:ascii="Symbol" w:hAnsi="Symbol"/>
        </w:rPr>
        <w:t></w:t>
      </w:r>
      <w:r w:rsidRPr="00AC3FDE">
        <w:rPr>
          <w:lang w:val="es-ES"/>
        </w:rPr>
        <w:t xml:space="preserve">  </w:t>
      </w:r>
      <w:r w:rsidRPr="00AC3FDE">
        <w:rPr>
          <w:i/>
          <w:lang w:val="es-ES"/>
        </w:rPr>
        <w:t>V</w:t>
      </w:r>
      <w:r w:rsidRPr="00AC3FDE">
        <w:rPr>
          <w:lang w:val="es-ES"/>
        </w:rPr>
        <w:tab/>
        <w:t>(1)</w:t>
      </w:r>
      <w:bookmarkEnd w:id="4"/>
    </w:p>
    <w:p w14:paraId="587FF286" w14:textId="77777777" w:rsidR="008760D9" w:rsidRDefault="008760D9">
      <w:pPr>
        <w:rPr>
          <w:lang w:val="es-ES_tradnl"/>
        </w:rPr>
      </w:pPr>
      <w:r>
        <w:rPr>
          <w:lang w:val="es-ES_tradnl"/>
        </w:rPr>
        <w:t>siendo:</w:t>
      </w:r>
    </w:p>
    <w:p w14:paraId="3F87D6DF" w14:textId="77777777" w:rsidR="008760D9" w:rsidRDefault="008760D9">
      <w:pPr>
        <w:pStyle w:val="enumlev1"/>
        <w:tabs>
          <w:tab w:val="clear" w:pos="397"/>
          <w:tab w:val="left" w:pos="1191"/>
          <w:tab w:val="left" w:pos="1588"/>
        </w:tabs>
        <w:ind w:left="1191" w:hanging="1191"/>
        <w:rPr>
          <w:lang w:val="es-ES_tradnl"/>
        </w:rPr>
      </w:pPr>
      <w:r>
        <w:rPr>
          <w:lang w:val="es-ES_tradnl"/>
        </w:rPr>
        <w:t>en el trayecto</w:t>
      </w:r>
      <w:r>
        <w:rPr>
          <w:lang w:val="es-ES_tradnl"/>
        </w:rPr>
        <w:tab/>
      </w:r>
      <w:r>
        <w:rPr>
          <w:i/>
          <w:lang w:val="es-ES_tradnl"/>
        </w:rPr>
        <w:t>E</w:t>
      </w:r>
      <w:r>
        <w:rPr>
          <w:rFonts w:ascii="Tms Rmn" w:hAnsi="Tms Rmn"/>
          <w:i/>
          <w:sz w:val="12"/>
          <w:lang w:val="es-ES_tradnl"/>
        </w:rPr>
        <w:t> </w:t>
      </w:r>
      <w:r>
        <w:rPr>
          <w:lang w:val="es-ES_tradnl"/>
        </w:rPr>
        <w:t>:</w:t>
      </w:r>
      <w:r>
        <w:rPr>
          <w:lang w:val="es-ES_tradnl"/>
        </w:rPr>
        <w:tab/>
        <w:t>intensidad de campo (dB(</w:t>
      </w:r>
      <w:r>
        <w:rPr>
          <w:rFonts w:ascii="Symbol" w:hAnsi="Symbol"/>
          <w:lang w:val="es-ES_tradnl"/>
        </w:rPr>
        <w:t></w:t>
      </w:r>
      <w:r>
        <w:rPr>
          <w:lang w:val="es-ES_tradnl"/>
        </w:rPr>
        <w:t>V/m)) de la señal de radiodifusión</w:t>
      </w:r>
    </w:p>
    <w:p w14:paraId="594AFAD5" w14:textId="77777777" w:rsidR="008760D9" w:rsidRDefault="008760D9">
      <w:pPr>
        <w:pStyle w:val="enumlev1"/>
        <w:tabs>
          <w:tab w:val="left" w:pos="1191"/>
          <w:tab w:val="left" w:pos="1588"/>
        </w:tabs>
        <w:rPr>
          <w:lang w:val="es-ES_tradnl"/>
        </w:rPr>
      </w:pPr>
      <w:r>
        <w:rPr>
          <w:lang w:val="es-ES_tradnl"/>
        </w:rPr>
        <w:tab/>
      </w:r>
      <w:r>
        <w:rPr>
          <w:lang w:val="es-ES_tradnl"/>
        </w:rPr>
        <w:tab/>
      </w:r>
      <w:r>
        <w:rPr>
          <w:i/>
          <w:lang w:val="es-ES_tradnl"/>
        </w:rPr>
        <w:t>P</w:t>
      </w:r>
      <w:r>
        <w:rPr>
          <w:rFonts w:ascii="Tms Rmn" w:hAnsi="Tms Rmn"/>
          <w:i/>
          <w:sz w:val="12"/>
          <w:lang w:val="es-ES_tradnl"/>
        </w:rPr>
        <w:t> </w:t>
      </w:r>
      <w:r>
        <w:rPr>
          <w:lang w:val="es-ES_tradnl"/>
        </w:rPr>
        <w:t>:</w:t>
      </w:r>
      <w:r>
        <w:rPr>
          <w:lang w:val="es-ES_tradnl"/>
        </w:rPr>
        <w:tab/>
      </w:r>
      <w:proofErr w:type="spellStart"/>
      <w:r>
        <w:rPr>
          <w:lang w:val="es-ES_tradnl"/>
        </w:rPr>
        <w:t>p.r.a</w:t>
      </w:r>
      <w:proofErr w:type="spellEnd"/>
      <w:r>
        <w:rPr>
          <w:lang w:val="es-ES_tradnl"/>
        </w:rPr>
        <w:t>. máxima (</w:t>
      </w:r>
      <w:proofErr w:type="spellStart"/>
      <w:r>
        <w:rPr>
          <w:lang w:val="es-ES_tradnl"/>
        </w:rPr>
        <w:t>dBW</w:t>
      </w:r>
      <w:proofErr w:type="spellEnd"/>
      <w:r>
        <w:rPr>
          <w:lang w:val="es-ES_tradnl"/>
        </w:rPr>
        <w:t>) de la estación de radiodifusión</w:t>
      </w:r>
    </w:p>
    <w:p w14:paraId="2C85A4B5" w14:textId="77777777" w:rsidR="008760D9" w:rsidRDefault="008760D9">
      <w:pPr>
        <w:pStyle w:val="enumlev1"/>
        <w:tabs>
          <w:tab w:val="left" w:pos="1191"/>
          <w:tab w:val="left" w:pos="1588"/>
        </w:tabs>
        <w:rPr>
          <w:lang w:val="es-ES_tradnl"/>
        </w:rPr>
      </w:pPr>
      <w:r>
        <w:rPr>
          <w:lang w:val="es-ES_tradnl"/>
        </w:rPr>
        <w:tab/>
      </w:r>
      <w:r>
        <w:rPr>
          <w:lang w:val="es-ES_tradnl"/>
        </w:rPr>
        <w:tab/>
      </w:r>
      <w:r>
        <w:rPr>
          <w:i/>
          <w:lang w:val="es-ES_tradnl"/>
        </w:rPr>
        <w:t>d</w:t>
      </w:r>
      <w:r>
        <w:rPr>
          <w:rFonts w:ascii="Tms Rmn" w:hAnsi="Tms Rmn"/>
          <w:sz w:val="12"/>
          <w:lang w:val="es-ES_tradnl"/>
        </w:rPr>
        <w:t> </w:t>
      </w:r>
      <w:r>
        <w:rPr>
          <w:lang w:val="es-ES_tradnl"/>
        </w:rPr>
        <w:t>:</w:t>
      </w:r>
      <w:r>
        <w:rPr>
          <w:lang w:val="es-ES_tradnl"/>
        </w:rPr>
        <w:tab/>
        <w:t>distancia oblicua (km) (véase la definición en el Anexo 4)</w:t>
      </w:r>
    </w:p>
    <w:p w14:paraId="1E0C79BD" w14:textId="77777777" w:rsidR="008760D9" w:rsidRDefault="008760D9">
      <w:pPr>
        <w:pStyle w:val="enumlev1"/>
        <w:tabs>
          <w:tab w:val="left" w:pos="1191"/>
          <w:tab w:val="left" w:pos="1588"/>
        </w:tabs>
        <w:rPr>
          <w:lang w:val="es-ES_tradnl"/>
        </w:rPr>
      </w:pPr>
      <w:r>
        <w:rPr>
          <w:lang w:val="es-ES_tradnl"/>
        </w:rPr>
        <w:tab/>
      </w:r>
      <w:r>
        <w:rPr>
          <w:lang w:val="es-ES_tradnl"/>
        </w:rPr>
        <w:tab/>
      </w:r>
      <w:r>
        <w:rPr>
          <w:i/>
          <w:lang w:val="es-ES_tradnl"/>
        </w:rPr>
        <w:t>H</w:t>
      </w:r>
      <w:r>
        <w:rPr>
          <w:rFonts w:ascii="Tms Rmn" w:hAnsi="Tms Rmn"/>
          <w:sz w:val="12"/>
          <w:lang w:val="es-ES_tradnl"/>
        </w:rPr>
        <w:t> </w:t>
      </w:r>
      <w:r>
        <w:rPr>
          <w:lang w:val="es-ES_tradnl"/>
        </w:rPr>
        <w:t>:</w:t>
      </w:r>
      <w:r>
        <w:rPr>
          <w:lang w:val="es-ES_tradnl"/>
        </w:rPr>
        <w:tab/>
        <w:t>corrección del diagrama de radiación horizontal (dB)</w:t>
      </w:r>
    </w:p>
    <w:p w14:paraId="5FA71429" w14:textId="77777777" w:rsidR="008760D9" w:rsidRDefault="008760D9">
      <w:pPr>
        <w:pStyle w:val="enumlev1"/>
        <w:tabs>
          <w:tab w:val="left" w:pos="1191"/>
          <w:tab w:val="left" w:pos="1588"/>
        </w:tabs>
        <w:rPr>
          <w:lang w:val="es-ES_tradnl"/>
        </w:rPr>
      </w:pPr>
      <w:r>
        <w:rPr>
          <w:lang w:val="es-ES_tradnl"/>
        </w:rPr>
        <w:tab/>
      </w:r>
      <w:r>
        <w:rPr>
          <w:lang w:val="es-ES_tradnl"/>
        </w:rPr>
        <w:tab/>
      </w:r>
      <w:r>
        <w:rPr>
          <w:i/>
          <w:lang w:val="es-ES_tradnl"/>
        </w:rPr>
        <w:t>V</w:t>
      </w:r>
      <w:r>
        <w:rPr>
          <w:rFonts w:ascii="Tms Rmn" w:hAnsi="Tms Rmn"/>
          <w:sz w:val="12"/>
          <w:lang w:val="es-ES_tradnl"/>
        </w:rPr>
        <w:t> </w:t>
      </w:r>
      <w:r>
        <w:rPr>
          <w:lang w:val="es-ES_tradnl"/>
        </w:rPr>
        <w:t>:</w:t>
      </w:r>
      <w:r>
        <w:rPr>
          <w:lang w:val="es-ES_tradnl"/>
        </w:rPr>
        <w:tab/>
        <w:t>corrección del diagrama de radiación vertical (dB).</w:t>
      </w:r>
    </w:p>
    <w:p w14:paraId="27BD5432" w14:textId="77777777" w:rsidR="008760D9" w:rsidRDefault="008760D9">
      <w:pPr>
        <w:rPr>
          <w:lang w:val="es-ES_tradnl"/>
        </w:rPr>
      </w:pPr>
      <w:r>
        <w:rPr>
          <w:lang w:val="es-ES_tradnl"/>
        </w:rPr>
        <w:t xml:space="preserve">En el caso de una estación de radiodifusión con polarización mixta, la </w:t>
      </w:r>
      <w:proofErr w:type="spellStart"/>
      <w:r>
        <w:rPr>
          <w:lang w:val="es-ES_tradnl"/>
        </w:rPr>
        <w:t>p.r.a</w:t>
      </w:r>
      <w:proofErr w:type="spellEnd"/>
      <w:r>
        <w:rPr>
          <w:lang w:val="es-ES_tradnl"/>
        </w:rPr>
        <w:t xml:space="preserve">. máxima a utilizar es la mayor de las componentes horizontal y vertical. No obstante, cuando los componentes horizontal y vertical tienen valores iguales, la </w:t>
      </w:r>
      <w:proofErr w:type="spellStart"/>
      <w:r>
        <w:rPr>
          <w:lang w:val="es-ES_tradnl"/>
        </w:rPr>
        <w:t>p.r.a</w:t>
      </w:r>
      <w:proofErr w:type="spellEnd"/>
      <w:r>
        <w:rPr>
          <w:lang w:val="es-ES_tradnl"/>
        </w:rPr>
        <w:t>. máxima que debe utilizarse se obtiene añadiendo 1 dB al valor de la componente horizontal.</w:t>
      </w:r>
    </w:p>
    <w:p w14:paraId="2553B9D6" w14:textId="77777777" w:rsidR="008760D9" w:rsidRDefault="008760D9">
      <w:pPr>
        <w:pStyle w:val="Heading2"/>
        <w:rPr>
          <w:lang w:val="es-ES_tradnl"/>
        </w:rPr>
      </w:pPr>
      <w:r>
        <w:rPr>
          <w:lang w:val="es-ES_tradnl"/>
        </w:rPr>
        <w:t>3.4</w:t>
      </w:r>
      <w:r>
        <w:rPr>
          <w:lang w:val="es-ES_tradnl"/>
        </w:rPr>
        <w:tab/>
        <w:t>Potencia de entrada en el receptor</w:t>
      </w:r>
    </w:p>
    <w:p w14:paraId="180D1F03" w14:textId="77777777" w:rsidR="008760D9" w:rsidRDefault="008760D9">
      <w:pPr>
        <w:rPr>
          <w:lang w:val="es-ES_tradnl"/>
        </w:rPr>
      </w:pPr>
      <w:r>
        <w:rPr>
          <w:lang w:val="es-ES_tradnl"/>
        </w:rPr>
        <w:t>Suponiendo un diagrama de radiación de antena de la aeronave sin directividad, las intensidades de campo de la señal de radiodifusión y de la señal aeronáutica se convierten en potencia a la entrada del receptor aeronáutico, según las fórmulas siguientes:</w:t>
      </w:r>
    </w:p>
    <w:p w14:paraId="4A6B6884" w14:textId="77777777" w:rsidR="008760D9" w:rsidRDefault="008760D9">
      <w:pPr>
        <w:pStyle w:val="enumlev1"/>
        <w:rPr>
          <w:lang w:val="es-ES_tradnl"/>
        </w:rPr>
      </w:pPr>
      <w:r>
        <w:rPr>
          <w:lang w:val="es-ES_tradnl"/>
        </w:rPr>
        <w:t>a)</w:t>
      </w:r>
      <w:r>
        <w:rPr>
          <w:lang w:val="es-ES_tradnl"/>
        </w:rPr>
        <w:tab/>
        <w:t>para una señal de radiodifusión en la banda 87,5-108,0 MHz</w:t>
      </w:r>
    </w:p>
    <w:p w14:paraId="15957329" w14:textId="77777777" w:rsidR="008760D9" w:rsidRDefault="008760D9">
      <w:pPr>
        <w:pStyle w:val="Equation"/>
        <w:rPr>
          <w:lang w:val="es-ES_tradnl"/>
        </w:rPr>
      </w:pPr>
      <w:bookmarkStart w:id="5" w:name="F003"/>
      <w:r w:rsidRPr="00AC3FDE">
        <w:rPr>
          <w:lang w:val="es-ES"/>
        </w:rPr>
        <w:tab/>
      </w:r>
      <w:r w:rsidRPr="00AC3FDE">
        <w:rPr>
          <w:lang w:val="es-ES"/>
        </w:rPr>
        <w:tab/>
      </w:r>
      <w:r w:rsidRPr="00AC3FDE">
        <w:rPr>
          <w:i/>
          <w:lang w:val="es-ES"/>
        </w:rPr>
        <w:t>N</w:t>
      </w:r>
      <w:r w:rsidRPr="00AC3FDE">
        <w:rPr>
          <w:lang w:val="es-ES"/>
        </w:rPr>
        <w:t xml:space="preserve">  </w:t>
      </w:r>
      <w:r>
        <w:rPr>
          <w:rFonts w:ascii="Symbol" w:hAnsi="Symbol"/>
        </w:rPr>
        <w:t></w:t>
      </w:r>
      <w:r w:rsidRPr="00AC3FDE">
        <w:rPr>
          <w:lang w:val="es-ES"/>
        </w:rPr>
        <w:t xml:space="preserve">  </w:t>
      </w:r>
      <w:r w:rsidRPr="00AC3FDE">
        <w:rPr>
          <w:i/>
          <w:lang w:val="es-ES"/>
        </w:rPr>
        <w:t>E</w:t>
      </w:r>
      <w:r w:rsidRPr="00AC3FDE">
        <w:rPr>
          <w:lang w:val="es-ES"/>
        </w:rPr>
        <w:t xml:space="preserve">  –  118  –  </w:t>
      </w:r>
      <w:r w:rsidRPr="00AC3FDE">
        <w:rPr>
          <w:i/>
          <w:lang w:val="es-ES"/>
        </w:rPr>
        <w:t>L</w:t>
      </w:r>
      <w:r w:rsidRPr="00AC3FDE">
        <w:rPr>
          <w:i/>
          <w:position w:val="-4"/>
          <w:sz w:val="18"/>
          <w:lang w:val="es-ES"/>
        </w:rPr>
        <w:t>s</w:t>
      </w:r>
      <w:r w:rsidRPr="00AC3FDE">
        <w:rPr>
          <w:lang w:val="es-ES"/>
        </w:rPr>
        <w:t xml:space="preserve">  –  </w:t>
      </w:r>
      <w:r w:rsidRPr="00AC3FDE">
        <w:rPr>
          <w:i/>
          <w:lang w:val="es-ES"/>
        </w:rPr>
        <w:t>L</w:t>
      </w:r>
      <w:r w:rsidRPr="00AC3FDE">
        <w:rPr>
          <w:lang w:val="es-ES"/>
        </w:rPr>
        <w:t>(</w:t>
      </w:r>
      <w:r w:rsidRPr="00AC3FDE">
        <w:rPr>
          <w:sz w:val="12"/>
          <w:lang w:val="es-ES"/>
        </w:rPr>
        <w:t> </w:t>
      </w:r>
      <w:r w:rsidRPr="00AC3FDE">
        <w:rPr>
          <w:i/>
          <w:lang w:val="es-ES"/>
        </w:rPr>
        <w:t>f</w:t>
      </w:r>
      <w:r w:rsidRPr="00AC3FDE">
        <w:rPr>
          <w:sz w:val="12"/>
          <w:lang w:val="es-ES"/>
        </w:rPr>
        <w:t> </w:t>
      </w:r>
      <w:r w:rsidRPr="00AC3FDE">
        <w:rPr>
          <w:lang w:val="es-ES"/>
        </w:rPr>
        <w:t xml:space="preserve">)  –  </w:t>
      </w:r>
      <w:r w:rsidRPr="00AC3FDE">
        <w:rPr>
          <w:i/>
          <w:lang w:val="es-ES"/>
        </w:rPr>
        <w:t>L</w:t>
      </w:r>
      <w:r w:rsidRPr="00AC3FDE">
        <w:rPr>
          <w:i/>
          <w:position w:val="-4"/>
          <w:sz w:val="18"/>
          <w:lang w:val="es-ES"/>
        </w:rPr>
        <w:t>a</w:t>
      </w:r>
      <w:r w:rsidRPr="00AC3FDE">
        <w:rPr>
          <w:lang w:val="es-ES"/>
        </w:rPr>
        <w:tab/>
        <w:t>(2)</w:t>
      </w:r>
      <w:bookmarkEnd w:id="5"/>
    </w:p>
    <w:p w14:paraId="216FB241" w14:textId="77777777" w:rsidR="008760D9" w:rsidRDefault="008760D9">
      <w:pPr>
        <w:pStyle w:val="enumlev1"/>
        <w:rPr>
          <w:lang w:val="es-ES_tradnl"/>
        </w:rPr>
      </w:pPr>
      <w:r>
        <w:rPr>
          <w:lang w:val="es-ES_tradnl"/>
        </w:rPr>
        <w:t>siendo:</w:t>
      </w:r>
    </w:p>
    <w:p w14:paraId="55163098" w14:textId="77777777" w:rsidR="008760D9" w:rsidRDefault="008760D9">
      <w:pPr>
        <w:pStyle w:val="enumlev1"/>
        <w:tabs>
          <w:tab w:val="left" w:pos="964"/>
        </w:tabs>
        <w:ind w:left="964" w:hanging="964"/>
        <w:rPr>
          <w:lang w:val="es-ES_tradnl"/>
        </w:rPr>
      </w:pPr>
      <w:r>
        <w:rPr>
          <w:i/>
          <w:lang w:val="es-ES_tradnl"/>
        </w:rPr>
        <w:tab/>
        <w:t>N</w:t>
      </w:r>
      <w:r>
        <w:rPr>
          <w:rFonts w:ascii="Tms Rmn" w:hAnsi="Tms Rmn"/>
          <w:sz w:val="12"/>
          <w:lang w:val="es-ES_tradnl"/>
        </w:rPr>
        <w:t> </w:t>
      </w:r>
      <w:r>
        <w:rPr>
          <w:lang w:val="es-ES_tradnl"/>
        </w:rPr>
        <w:t>:</w:t>
      </w:r>
      <w:r>
        <w:rPr>
          <w:lang w:val="es-ES_tradnl"/>
        </w:rPr>
        <w:tab/>
        <w:t>nivel de la señal de radiodifusión (dBm) a la entrada del receptor aeronáutico</w:t>
      </w:r>
    </w:p>
    <w:p w14:paraId="4F530DE9" w14:textId="77777777" w:rsidR="008760D9" w:rsidRDefault="008760D9">
      <w:pPr>
        <w:pStyle w:val="enumlev1"/>
        <w:tabs>
          <w:tab w:val="left" w:pos="964"/>
        </w:tabs>
        <w:ind w:left="964" w:hanging="964"/>
        <w:rPr>
          <w:lang w:val="es-ES_tradnl"/>
        </w:rPr>
      </w:pPr>
      <w:r>
        <w:rPr>
          <w:i/>
          <w:lang w:val="es-ES_tradnl"/>
        </w:rPr>
        <w:tab/>
        <w:t>E</w:t>
      </w:r>
      <w:r>
        <w:rPr>
          <w:rFonts w:ascii="Tms Rmn" w:hAnsi="Tms Rmn"/>
          <w:sz w:val="12"/>
          <w:lang w:val="es-ES_tradnl"/>
        </w:rPr>
        <w:t> </w:t>
      </w:r>
      <w:r>
        <w:rPr>
          <w:lang w:val="es-ES_tradnl"/>
        </w:rPr>
        <w:t>:</w:t>
      </w:r>
      <w:r>
        <w:rPr>
          <w:lang w:val="es-ES_tradnl"/>
        </w:rPr>
        <w:tab/>
        <w:t>intensidad de campo (dB(</w:t>
      </w:r>
      <w:r>
        <w:rPr>
          <w:rFonts w:ascii="Symbol" w:hAnsi="Symbol"/>
          <w:lang w:val="es-ES_tradnl"/>
        </w:rPr>
        <w:t></w:t>
      </w:r>
      <w:r>
        <w:rPr>
          <w:lang w:val="es-ES_tradnl"/>
        </w:rPr>
        <w:t>V/m)) de la señal de radiodifusión</w:t>
      </w:r>
    </w:p>
    <w:p w14:paraId="4049838E" w14:textId="77777777" w:rsidR="008760D9" w:rsidRDefault="008760D9">
      <w:pPr>
        <w:pStyle w:val="enumlev1"/>
        <w:tabs>
          <w:tab w:val="left" w:pos="964"/>
        </w:tabs>
        <w:ind w:left="964" w:hanging="964"/>
        <w:rPr>
          <w:lang w:val="es-ES_tradnl"/>
        </w:rPr>
      </w:pPr>
      <w:r>
        <w:rPr>
          <w:i/>
          <w:lang w:val="es-ES_tradnl"/>
        </w:rPr>
        <w:tab/>
        <w:t>L</w:t>
      </w:r>
      <w:r>
        <w:rPr>
          <w:i/>
          <w:position w:val="-4"/>
          <w:sz w:val="16"/>
          <w:lang w:val="es-ES_tradnl"/>
        </w:rPr>
        <w:t>s</w:t>
      </w:r>
      <w:r>
        <w:rPr>
          <w:rFonts w:ascii="Tms Rmn" w:hAnsi="Tms Rmn"/>
          <w:position w:val="-4"/>
          <w:sz w:val="12"/>
          <w:lang w:val="es-ES_tradnl"/>
        </w:rPr>
        <w:t> </w:t>
      </w:r>
      <w:r>
        <w:rPr>
          <w:lang w:val="es-ES_tradnl"/>
        </w:rPr>
        <w:t>:</w:t>
      </w:r>
      <w:r>
        <w:rPr>
          <w:lang w:val="es-ES_tradnl"/>
        </w:rPr>
        <w:tab/>
        <w:t>pérdidas de reparto de la señal, de 3,5 dB</w:t>
      </w:r>
    </w:p>
    <w:p w14:paraId="5F48A53E" w14:textId="77777777" w:rsidR="008760D9" w:rsidRDefault="008760D9">
      <w:pPr>
        <w:pStyle w:val="enumlev1"/>
        <w:tabs>
          <w:tab w:val="left" w:pos="964"/>
        </w:tabs>
        <w:ind w:left="964" w:hanging="964"/>
        <w:rPr>
          <w:lang w:val="es-ES_tradnl"/>
        </w:rPr>
      </w:pPr>
      <w:r>
        <w:rPr>
          <w:i/>
          <w:lang w:val="es-ES_tradnl"/>
        </w:rPr>
        <w:tab/>
        <w:t>L</w:t>
      </w:r>
      <w:r>
        <w:rPr>
          <w:lang w:val="es-ES_tradnl"/>
        </w:rPr>
        <w:t>(</w:t>
      </w:r>
      <w:r>
        <w:rPr>
          <w:rFonts w:ascii="Tms Rmn" w:hAnsi="Tms Rmn"/>
          <w:sz w:val="12"/>
          <w:lang w:val="es-ES_tradnl"/>
        </w:rPr>
        <w:t> </w:t>
      </w:r>
      <w:r>
        <w:rPr>
          <w:i/>
          <w:lang w:val="es-ES_tradnl"/>
        </w:rPr>
        <w:t>f</w:t>
      </w:r>
      <w:r>
        <w:rPr>
          <w:rFonts w:ascii="Tms Rmn" w:hAnsi="Tms Rmn"/>
          <w:i/>
          <w:sz w:val="12"/>
          <w:lang w:val="es-ES_tradnl"/>
        </w:rPr>
        <w:t> </w:t>
      </w:r>
      <w:r>
        <w:rPr>
          <w:lang w:val="es-ES_tradnl"/>
        </w:rPr>
        <w:t>)</w:t>
      </w:r>
      <w:r>
        <w:rPr>
          <w:rFonts w:ascii="Tms Rmn" w:hAnsi="Tms Rmn"/>
          <w:sz w:val="12"/>
          <w:lang w:val="es-ES_tradnl"/>
        </w:rPr>
        <w:t> </w:t>
      </w:r>
      <w:r>
        <w:rPr>
          <w:lang w:val="es-ES_tradnl"/>
        </w:rPr>
        <w:t>:</w:t>
      </w:r>
      <w:r>
        <w:rPr>
          <w:lang w:val="es-ES_tradnl"/>
        </w:rPr>
        <w:tab/>
        <w:t>pérdidas del sistema de antena dependiente de la frecuencia, a la frecuencia de radiodifusión </w:t>
      </w:r>
      <w:r>
        <w:rPr>
          <w:i/>
          <w:lang w:val="es-ES_tradnl"/>
        </w:rPr>
        <w:t>f </w:t>
      </w:r>
      <w:r>
        <w:rPr>
          <w:lang w:val="es-ES_tradnl"/>
        </w:rPr>
        <w:t>(MHz) de 1,2 dB por MHz, por debajo de 108 MHz</w:t>
      </w:r>
    </w:p>
    <w:p w14:paraId="00F82062" w14:textId="77777777" w:rsidR="008760D9" w:rsidRDefault="008760D9">
      <w:pPr>
        <w:pStyle w:val="enumlev1"/>
        <w:tabs>
          <w:tab w:val="left" w:pos="964"/>
        </w:tabs>
        <w:ind w:left="964" w:hanging="964"/>
        <w:rPr>
          <w:lang w:val="es-ES_tradnl"/>
        </w:rPr>
      </w:pPr>
      <w:r>
        <w:rPr>
          <w:i/>
          <w:lang w:val="es-ES_tradnl"/>
        </w:rPr>
        <w:tab/>
        <w:t>L</w:t>
      </w:r>
      <w:r>
        <w:rPr>
          <w:i/>
          <w:position w:val="-4"/>
          <w:sz w:val="16"/>
          <w:lang w:val="es-ES_tradnl"/>
        </w:rPr>
        <w:t>a</w:t>
      </w:r>
      <w:r>
        <w:rPr>
          <w:rFonts w:ascii="Tms Rmn" w:hAnsi="Tms Rmn"/>
          <w:i/>
          <w:position w:val="-4"/>
          <w:sz w:val="12"/>
          <w:lang w:val="es-ES_tradnl"/>
        </w:rPr>
        <w:t> </w:t>
      </w:r>
      <w:r>
        <w:rPr>
          <w:lang w:val="es-ES_tradnl"/>
        </w:rPr>
        <w:t>:</w:t>
      </w:r>
      <w:r>
        <w:rPr>
          <w:lang w:val="es-ES_tradnl"/>
        </w:rPr>
        <w:tab/>
        <w:t>pérdidas fijas del sistema de antena de 9 dB</w:t>
      </w:r>
    </w:p>
    <w:p w14:paraId="49FEEF72" w14:textId="77777777" w:rsidR="008760D9" w:rsidRDefault="008760D9">
      <w:pPr>
        <w:pStyle w:val="enumlev1"/>
        <w:rPr>
          <w:lang w:val="es-ES_tradnl"/>
        </w:rPr>
      </w:pPr>
      <w:r>
        <w:rPr>
          <w:lang w:val="es-ES_tradnl"/>
        </w:rPr>
        <w:br w:type="page"/>
      </w:r>
      <w:r>
        <w:rPr>
          <w:lang w:val="es-ES_tradnl"/>
        </w:rPr>
        <w:lastRenderedPageBreak/>
        <w:t>b)</w:t>
      </w:r>
      <w:r>
        <w:rPr>
          <w:lang w:val="es-ES_tradnl"/>
        </w:rPr>
        <w:tab/>
        <w:t>para una señal aeronáutica y una señal de Tipo A1 en la banda 108-118 MHz:</w:t>
      </w:r>
    </w:p>
    <w:p w14:paraId="5434C9D2" w14:textId="77777777" w:rsidR="008760D9" w:rsidRDefault="008760D9">
      <w:pPr>
        <w:pStyle w:val="Equation"/>
        <w:rPr>
          <w:lang w:val="es-ES_tradnl"/>
        </w:rPr>
      </w:pPr>
      <w:bookmarkStart w:id="6" w:name="F004"/>
      <w:r w:rsidRPr="00AC3FDE">
        <w:rPr>
          <w:lang w:val="es-ES"/>
        </w:rPr>
        <w:tab/>
      </w:r>
      <w:r w:rsidRPr="00AC3FDE">
        <w:rPr>
          <w:lang w:val="es-ES"/>
        </w:rPr>
        <w:tab/>
      </w:r>
      <w:r w:rsidRPr="00AC3FDE">
        <w:rPr>
          <w:i/>
          <w:lang w:val="es-ES"/>
        </w:rPr>
        <w:t>N</w:t>
      </w:r>
      <w:r w:rsidRPr="00AC3FDE">
        <w:rPr>
          <w:i/>
          <w:position w:val="-4"/>
          <w:sz w:val="18"/>
          <w:lang w:val="es-ES"/>
        </w:rPr>
        <w:t>a</w:t>
      </w:r>
      <w:r w:rsidRPr="00AC3FDE">
        <w:rPr>
          <w:lang w:val="es-ES"/>
        </w:rPr>
        <w:t xml:space="preserve">  </w:t>
      </w:r>
      <w:r>
        <w:rPr>
          <w:rFonts w:ascii="Symbol" w:hAnsi="Symbol"/>
        </w:rPr>
        <w:t></w:t>
      </w:r>
      <w:r w:rsidRPr="00AC3FDE">
        <w:rPr>
          <w:lang w:val="es-ES"/>
        </w:rPr>
        <w:t xml:space="preserve">  </w:t>
      </w:r>
      <w:r w:rsidRPr="00AC3FDE">
        <w:rPr>
          <w:i/>
          <w:lang w:val="es-ES"/>
        </w:rPr>
        <w:t>E</w:t>
      </w:r>
      <w:r w:rsidRPr="00AC3FDE">
        <w:rPr>
          <w:i/>
          <w:position w:val="-4"/>
          <w:sz w:val="18"/>
          <w:lang w:val="es-ES"/>
        </w:rPr>
        <w:t>a</w:t>
      </w:r>
      <w:r w:rsidRPr="00AC3FDE">
        <w:rPr>
          <w:lang w:val="es-ES"/>
        </w:rPr>
        <w:t xml:space="preserve">  –  118  –  </w:t>
      </w:r>
      <w:r w:rsidRPr="00AC3FDE">
        <w:rPr>
          <w:i/>
          <w:lang w:val="es-ES"/>
        </w:rPr>
        <w:t>L</w:t>
      </w:r>
      <w:r w:rsidRPr="00AC3FDE">
        <w:rPr>
          <w:i/>
          <w:position w:val="-4"/>
          <w:sz w:val="18"/>
          <w:lang w:val="es-ES"/>
        </w:rPr>
        <w:t>s</w:t>
      </w:r>
      <w:r w:rsidRPr="00AC3FDE">
        <w:rPr>
          <w:lang w:val="es-ES"/>
        </w:rPr>
        <w:t xml:space="preserve">  –  </w:t>
      </w:r>
      <w:r w:rsidRPr="00AC3FDE">
        <w:rPr>
          <w:i/>
          <w:lang w:val="es-ES"/>
        </w:rPr>
        <w:t>L</w:t>
      </w:r>
      <w:r w:rsidRPr="00AC3FDE">
        <w:rPr>
          <w:i/>
          <w:position w:val="-4"/>
          <w:sz w:val="18"/>
          <w:lang w:val="es-ES"/>
        </w:rPr>
        <w:t>a</w:t>
      </w:r>
      <w:r w:rsidRPr="00AC3FDE">
        <w:rPr>
          <w:lang w:val="es-ES"/>
        </w:rPr>
        <w:tab/>
        <w:t>(3)</w:t>
      </w:r>
      <w:bookmarkEnd w:id="6"/>
    </w:p>
    <w:p w14:paraId="082F67B1" w14:textId="77777777" w:rsidR="008760D9" w:rsidRDefault="008760D9">
      <w:pPr>
        <w:pStyle w:val="enumlev1"/>
        <w:rPr>
          <w:lang w:val="es-ES_tradnl"/>
        </w:rPr>
      </w:pPr>
      <w:r>
        <w:rPr>
          <w:lang w:val="es-ES_tradnl"/>
        </w:rPr>
        <w:t>siendo:</w:t>
      </w:r>
    </w:p>
    <w:p w14:paraId="1DA9A215" w14:textId="77777777" w:rsidR="008760D9" w:rsidRDefault="008760D9">
      <w:pPr>
        <w:pStyle w:val="enumlev1"/>
        <w:tabs>
          <w:tab w:val="left" w:pos="794"/>
        </w:tabs>
        <w:rPr>
          <w:lang w:val="es-ES_tradnl"/>
        </w:rPr>
      </w:pPr>
      <w:r>
        <w:rPr>
          <w:i/>
          <w:lang w:val="es-ES_tradnl"/>
        </w:rPr>
        <w:tab/>
        <w:t>N</w:t>
      </w:r>
      <w:r>
        <w:rPr>
          <w:i/>
          <w:position w:val="-4"/>
          <w:sz w:val="16"/>
          <w:lang w:val="es-ES_tradnl"/>
        </w:rPr>
        <w:t>a</w:t>
      </w:r>
      <w:r>
        <w:rPr>
          <w:rFonts w:ascii="Tms Rmn" w:hAnsi="Tms Rmn"/>
          <w:i/>
          <w:position w:val="-4"/>
          <w:sz w:val="12"/>
          <w:lang w:val="es-ES_tradnl"/>
        </w:rPr>
        <w:t> </w:t>
      </w:r>
      <w:r>
        <w:rPr>
          <w:lang w:val="es-ES_tradnl"/>
        </w:rPr>
        <w:t>:</w:t>
      </w:r>
      <w:r>
        <w:rPr>
          <w:lang w:val="es-ES_tradnl"/>
        </w:rPr>
        <w:tab/>
        <w:t xml:space="preserve">nivel de la señal (dBm) a la entrada del receptor aeronáutico </w:t>
      </w:r>
    </w:p>
    <w:p w14:paraId="0FBBBCA0" w14:textId="77777777" w:rsidR="008760D9" w:rsidRDefault="008760D9">
      <w:pPr>
        <w:pStyle w:val="enumlev1"/>
        <w:tabs>
          <w:tab w:val="left" w:pos="794"/>
        </w:tabs>
        <w:rPr>
          <w:lang w:val="es-ES_tradnl"/>
        </w:rPr>
      </w:pPr>
      <w:r>
        <w:rPr>
          <w:i/>
          <w:lang w:val="es-ES_tradnl"/>
        </w:rPr>
        <w:tab/>
        <w:t>E</w:t>
      </w:r>
      <w:r>
        <w:rPr>
          <w:i/>
          <w:position w:val="-4"/>
          <w:sz w:val="16"/>
          <w:lang w:val="es-ES_tradnl"/>
        </w:rPr>
        <w:t>a</w:t>
      </w:r>
      <w:r>
        <w:rPr>
          <w:rFonts w:ascii="Tms Rmn" w:hAnsi="Tms Rmn"/>
          <w:i/>
          <w:position w:val="-4"/>
          <w:sz w:val="12"/>
          <w:lang w:val="es-ES_tradnl"/>
        </w:rPr>
        <w:t> </w:t>
      </w:r>
      <w:r>
        <w:rPr>
          <w:lang w:val="es-ES_tradnl"/>
        </w:rPr>
        <w:t>:</w:t>
      </w:r>
      <w:r>
        <w:rPr>
          <w:lang w:val="es-ES_tradnl"/>
        </w:rPr>
        <w:tab/>
        <w:t>intensidad de campo (dB(</w:t>
      </w:r>
      <w:r>
        <w:rPr>
          <w:rFonts w:ascii="Symbol" w:hAnsi="Symbol"/>
          <w:lang w:val="es-ES_tradnl"/>
        </w:rPr>
        <w:t></w:t>
      </w:r>
      <w:r>
        <w:rPr>
          <w:lang w:val="es-ES_tradnl"/>
        </w:rPr>
        <w:t>V/m)) de la señal aeronáutica o de Tipo A1.</w:t>
      </w:r>
    </w:p>
    <w:p w14:paraId="303FF40F" w14:textId="77777777" w:rsidR="008760D9" w:rsidRDefault="008760D9">
      <w:pPr>
        <w:rPr>
          <w:lang w:val="es-ES_tradnl"/>
        </w:rPr>
      </w:pPr>
      <w:r>
        <w:rPr>
          <w:lang w:val="es-ES_tradnl"/>
        </w:rPr>
        <w:t>La Fig. 3 muestra la forma de convertir la intensidad de campo mínima del localizador ILS de 32 dB(</w:t>
      </w:r>
      <w:r>
        <w:rPr>
          <w:rFonts w:ascii="Symbol" w:hAnsi="Symbol"/>
          <w:lang w:val="es-ES_tradnl"/>
        </w:rPr>
        <w:t></w:t>
      </w:r>
      <w:r>
        <w:rPr>
          <w:lang w:val="es-ES_tradnl"/>
        </w:rPr>
        <w:t>V/m) en –98 dBm a la entrada del receptor de una instalación típica de recepción aeronáutica, utilizando la fórmula (3).</w:t>
      </w:r>
    </w:p>
    <w:p w14:paraId="2082A431" w14:textId="77777777" w:rsidR="008760D9" w:rsidRDefault="008760D9">
      <w:pPr>
        <w:rPr>
          <w:lang w:val="es-ES_tradnl"/>
        </w:rPr>
      </w:pPr>
    </w:p>
    <w:p w14:paraId="4EE19CE1" w14:textId="77777777" w:rsidR="008760D9" w:rsidRDefault="00DF52C7">
      <w:pPr>
        <w:pStyle w:val="Fig"/>
        <w:rPr>
          <w:lang w:val="es-ES_tradnl"/>
        </w:rPr>
      </w:pPr>
      <w:r>
        <w:rPr>
          <w:noProof/>
          <w:lang w:eastAsia="zh-CN"/>
        </w:rPr>
        <w:drawing>
          <wp:inline distT="0" distB="0" distL="0" distR="0" wp14:anchorId="7BF3C6A8" wp14:editId="5219068D">
            <wp:extent cx="5410200" cy="4099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0200" cy="4099560"/>
                    </a:xfrm>
                    <a:prstGeom prst="rect">
                      <a:avLst/>
                    </a:prstGeom>
                    <a:noFill/>
                    <a:ln>
                      <a:noFill/>
                    </a:ln>
                  </pic:spPr>
                </pic:pic>
              </a:graphicData>
            </a:graphic>
          </wp:inline>
        </w:drawing>
      </w:r>
    </w:p>
    <w:p w14:paraId="404C3C9B" w14:textId="77777777" w:rsidR="008760D9" w:rsidRDefault="008760D9">
      <w:pPr>
        <w:pStyle w:val="Fig0"/>
        <w:rPr>
          <w:lang w:val="es-ES_tradnl"/>
        </w:rPr>
      </w:pPr>
      <w:r>
        <w:rPr>
          <w:lang w:val="es-ES_tradnl"/>
        </w:rPr>
        <w:t xml:space="preserve">FIGURE 3/1009...[D03]  = 11.5  CM </w:t>
      </w:r>
    </w:p>
    <w:p w14:paraId="47BDCA1E" w14:textId="77777777" w:rsidR="008760D9" w:rsidRDefault="008760D9">
      <w:pPr>
        <w:pStyle w:val="Heading1"/>
        <w:rPr>
          <w:lang w:val="es-ES_tradnl"/>
        </w:rPr>
      </w:pPr>
      <w:r>
        <w:rPr>
          <w:lang w:val="es-ES_tradnl"/>
        </w:rPr>
        <w:t>4</w:t>
      </w:r>
      <w:r>
        <w:rPr>
          <w:lang w:val="es-ES_tradnl"/>
        </w:rPr>
        <w:tab/>
        <w:t>Criterios de evaluación de la compatibilidad</w:t>
      </w:r>
    </w:p>
    <w:p w14:paraId="56FFC97F" w14:textId="77777777" w:rsidR="008760D9" w:rsidRDefault="008760D9">
      <w:pPr>
        <w:pStyle w:val="Heading2"/>
        <w:rPr>
          <w:lang w:val="es-ES_tradnl"/>
        </w:rPr>
      </w:pPr>
      <w:r>
        <w:rPr>
          <w:lang w:val="es-ES_tradnl"/>
        </w:rPr>
        <w:t>4.1</w:t>
      </w:r>
      <w:r>
        <w:rPr>
          <w:lang w:val="es-ES_tradnl"/>
        </w:rPr>
        <w:tab/>
        <w:t>Umbrales de interferencia normalizados</w:t>
      </w:r>
    </w:p>
    <w:p w14:paraId="2DE1FCDB" w14:textId="77777777" w:rsidR="008760D9" w:rsidRDefault="008760D9">
      <w:pPr>
        <w:rPr>
          <w:lang w:val="es-ES_tradnl"/>
        </w:rPr>
      </w:pPr>
      <w:r>
        <w:rPr>
          <w:lang w:val="es-ES_tradnl"/>
        </w:rPr>
        <w:t>Un nivel umbral de interferencia es el nivel de potencia mínimo de una señal interferente que da lugar a una degradación inaceptable de la calidad del receptor. En las mediciones de laboratorio y en las pruebas en vuelo con localizadores ILS y receptores VOR, se ha visto que:</w:t>
      </w:r>
    </w:p>
    <w:p w14:paraId="51AE30BA" w14:textId="77777777" w:rsidR="008760D9" w:rsidRDefault="008760D9">
      <w:pPr>
        <w:pStyle w:val="enumlev1"/>
        <w:rPr>
          <w:lang w:val="es-ES_tradnl"/>
        </w:rPr>
      </w:pPr>
      <w:r>
        <w:rPr>
          <w:lang w:val="es-ES_tradnl"/>
        </w:rPr>
        <w:t>–</w:t>
      </w:r>
      <w:r>
        <w:rPr>
          <w:lang w:val="es-ES_tradnl"/>
        </w:rPr>
        <w:tab/>
        <w:t>el umbral de interferencia con el que se produce un cambio de la corriente de guía (véase la definición en el Anexo 4) del rumbo se excede generalmente antes de que aparezca la bandera;</w:t>
      </w:r>
    </w:p>
    <w:p w14:paraId="2290413D" w14:textId="77777777" w:rsidR="008760D9" w:rsidRDefault="008760D9">
      <w:pPr>
        <w:pStyle w:val="enumlev1"/>
        <w:rPr>
          <w:lang w:val="es-ES_tradnl"/>
        </w:rPr>
      </w:pPr>
      <w:r>
        <w:rPr>
          <w:lang w:val="es-ES_tradnl"/>
        </w:rPr>
        <w:t>–</w:t>
      </w:r>
      <w:r>
        <w:rPr>
          <w:lang w:val="es-ES_tradnl"/>
        </w:rPr>
        <w:tab/>
        <w:t>un aumento de 1 a 3 dB de los niveles de la señal interferente por encima de los niveles de umbral de interferencia dará lugar a un cambio importante de la corriente de guía del rumbo o a que aparezca la bandera.</w:t>
      </w:r>
    </w:p>
    <w:p w14:paraId="132389B2" w14:textId="77777777" w:rsidR="008760D9" w:rsidRDefault="008760D9">
      <w:pPr>
        <w:rPr>
          <w:lang w:val="es-ES_tradnl"/>
        </w:rPr>
      </w:pPr>
      <w:r>
        <w:rPr>
          <w:lang w:val="es-ES_tradnl"/>
        </w:rPr>
        <w:t>Empleando señales de radiodifusión simuladas, se utilizaron los umbrales de interferencia indicados en los § 4.1.1 a 4.1.3 para normalizar las mediciones de laboratorio de la interferencia de Tipo A y de Tipo B, habiéndolas elegido de forma que fuesen representaciones razonables de situaciones de explotación típicas.</w:t>
      </w:r>
    </w:p>
    <w:p w14:paraId="55661E8C" w14:textId="77777777" w:rsidR="008760D9" w:rsidRDefault="008760D9">
      <w:pPr>
        <w:pStyle w:val="Heading3"/>
        <w:rPr>
          <w:lang w:val="es-ES_tradnl"/>
        </w:rPr>
      </w:pPr>
      <w:r>
        <w:rPr>
          <w:lang w:val="es-ES_tradnl"/>
        </w:rPr>
        <w:br w:type="page"/>
      </w:r>
      <w:r>
        <w:rPr>
          <w:lang w:val="es-ES_tradnl"/>
        </w:rPr>
        <w:lastRenderedPageBreak/>
        <w:t>4.1.1</w:t>
      </w:r>
      <w:r>
        <w:rPr>
          <w:lang w:val="es-ES_tradnl"/>
        </w:rPr>
        <w:tab/>
        <w:t>Localizador ILS</w:t>
      </w:r>
    </w:p>
    <w:p w14:paraId="49AEB321" w14:textId="77777777" w:rsidR="008760D9" w:rsidRDefault="008760D9">
      <w:pPr>
        <w:rPr>
          <w:lang w:val="es-ES_tradnl"/>
        </w:rPr>
      </w:pPr>
      <w:r>
        <w:rPr>
          <w:lang w:val="es-ES_tradnl"/>
        </w:rPr>
        <w:t>Los umbrales de interferencia para una señal deseada con una diferencia de índices de modulación (véase la definición en el Anexo 4) de 0,093 son:</w:t>
      </w:r>
    </w:p>
    <w:p w14:paraId="4E1AE3C3" w14:textId="77777777" w:rsidR="008760D9" w:rsidRDefault="008760D9">
      <w:pPr>
        <w:pStyle w:val="enumlev1"/>
        <w:rPr>
          <w:lang w:val="es-ES_tradnl"/>
        </w:rPr>
      </w:pPr>
      <w:r>
        <w:rPr>
          <w:lang w:val="es-ES_tradnl"/>
        </w:rPr>
        <w:t>–</w:t>
      </w:r>
      <w:r>
        <w:rPr>
          <w:lang w:val="es-ES_tradnl"/>
        </w:rPr>
        <w:tab/>
        <w:t>un cambio en la corriente de guía del rumbo de 7,5 </w:t>
      </w:r>
      <w:r>
        <w:rPr>
          <w:rFonts w:ascii="Symbol" w:hAnsi="Symbol"/>
          <w:lang w:val="es-ES_tradnl"/>
        </w:rPr>
        <w:t></w:t>
      </w:r>
      <w:r>
        <w:rPr>
          <w:lang w:val="es-ES_tradnl"/>
        </w:rPr>
        <w:t>A (véase la Nota 1); o</w:t>
      </w:r>
    </w:p>
    <w:p w14:paraId="78A08375" w14:textId="77777777" w:rsidR="008760D9" w:rsidRDefault="008760D9">
      <w:pPr>
        <w:pStyle w:val="enumlev1"/>
        <w:rPr>
          <w:lang w:val="es-ES_tradnl"/>
        </w:rPr>
      </w:pPr>
      <w:r>
        <w:rPr>
          <w:lang w:val="es-ES_tradnl"/>
        </w:rPr>
        <w:t>–</w:t>
      </w:r>
      <w:r>
        <w:rPr>
          <w:lang w:val="es-ES_tradnl"/>
        </w:rPr>
        <w:tab/>
        <w:t>la aparición de la bandera, según el que se produzca primero.</w:t>
      </w:r>
    </w:p>
    <w:p w14:paraId="40E0149E" w14:textId="77777777" w:rsidR="008760D9" w:rsidRDefault="008760D9">
      <w:pPr>
        <w:pStyle w:val="Heading3"/>
        <w:rPr>
          <w:lang w:val="es-ES_tradnl"/>
        </w:rPr>
      </w:pPr>
      <w:r>
        <w:rPr>
          <w:lang w:val="es-ES_tradnl"/>
        </w:rPr>
        <w:t>4.1.2</w:t>
      </w:r>
      <w:r>
        <w:rPr>
          <w:lang w:val="es-ES_tradnl"/>
        </w:rPr>
        <w:tab/>
        <w:t>VOR</w:t>
      </w:r>
    </w:p>
    <w:p w14:paraId="6F83C7A3" w14:textId="77777777" w:rsidR="008760D9" w:rsidRDefault="008760D9">
      <w:pPr>
        <w:rPr>
          <w:lang w:val="es-ES_tradnl"/>
        </w:rPr>
      </w:pPr>
      <w:r>
        <w:rPr>
          <w:lang w:val="es-ES_tradnl"/>
        </w:rPr>
        <w:t>Los umbrales de interferencia con una señal deseada presente son:</w:t>
      </w:r>
    </w:p>
    <w:p w14:paraId="2D8EBB0B" w14:textId="77777777" w:rsidR="008760D9" w:rsidRDefault="008760D9">
      <w:pPr>
        <w:pStyle w:val="enumlev1"/>
        <w:rPr>
          <w:lang w:val="es-ES_tradnl"/>
        </w:rPr>
      </w:pPr>
      <w:r>
        <w:rPr>
          <w:lang w:val="es-ES_tradnl"/>
        </w:rPr>
        <w:t>–</w:t>
      </w:r>
      <w:r>
        <w:rPr>
          <w:lang w:val="es-ES_tradnl"/>
        </w:rPr>
        <w:tab/>
        <w:t>un cambio de la indicación de marcación en 0,5</w:t>
      </w:r>
      <w:r>
        <w:rPr>
          <w:rFonts w:ascii="Symbol" w:hAnsi="Symbol"/>
          <w:lang w:val="es-ES_tradnl"/>
        </w:rPr>
        <w:t></w:t>
      </w:r>
      <w:r>
        <w:rPr>
          <w:lang w:val="es-ES_tradnl"/>
        </w:rPr>
        <w:t>, correspondiente a una corriente de guía del rumbo de 7,5 </w:t>
      </w:r>
      <w:r>
        <w:rPr>
          <w:rFonts w:ascii="Symbol" w:hAnsi="Symbol"/>
          <w:lang w:val="es-ES_tradnl"/>
        </w:rPr>
        <w:t></w:t>
      </w:r>
      <w:r>
        <w:rPr>
          <w:lang w:val="es-ES_tradnl"/>
        </w:rPr>
        <w:t>A (véase la Nota 1); o</w:t>
      </w:r>
    </w:p>
    <w:p w14:paraId="57AA4E2A" w14:textId="77777777" w:rsidR="008760D9" w:rsidRDefault="008760D9">
      <w:pPr>
        <w:pStyle w:val="enumlev1"/>
        <w:rPr>
          <w:lang w:val="es-ES_tradnl"/>
        </w:rPr>
      </w:pPr>
      <w:r>
        <w:rPr>
          <w:lang w:val="es-ES_tradnl"/>
        </w:rPr>
        <w:t>–</w:t>
      </w:r>
      <w:r>
        <w:rPr>
          <w:lang w:val="es-ES_tradnl"/>
        </w:rPr>
        <w:tab/>
        <w:t>un cambio en el nivel de la tensión de audio de 3 dB; o</w:t>
      </w:r>
    </w:p>
    <w:p w14:paraId="3B8591CD" w14:textId="77777777" w:rsidR="008760D9" w:rsidRDefault="008760D9">
      <w:pPr>
        <w:pStyle w:val="enumlev1"/>
        <w:rPr>
          <w:lang w:val="es-ES_tradnl"/>
        </w:rPr>
      </w:pPr>
      <w:r>
        <w:rPr>
          <w:lang w:val="es-ES_tradnl"/>
        </w:rPr>
        <w:t>–</w:t>
      </w:r>
      <w:r>
        <w:rPr>
          <w:lang w:val="es-ES_tradnl"/>
        </w:rPr>
        <w:tab/>
        <w:t>la aparición de la bandera durante más de 1 s.</w:t>
      </w:r>
    </w:p>
    <w:p w14:paraId="0E373892" w14:textId="77777777" w:rsidR="008760D9" w:rsidRDefault="008760D9">
      <w:pPr>
        <w:pStyle w:val="Note"/>
        <w:rPr>
          <w:lang w:val="es-ES_tradnl"/>
        </w:rPr>
      </w:pPr>
      <w:r>
        <w:rPr>
          <w:lang w:val="es-ES_tradnl"/>
        </w:rPr>
        <w:t>NOTA 1 – Para las mediciones de la corriente de guía de rumbo, véase el § 4.2 del Anexo 1 à la Recomen</w:t>
      </w:r>
      <w:r>
        <w:rPr>
          <w:lang w:val="es-ES_tradnl"/>
        </w:rPr>
        <w:softHyphen/>
        <w:t>dación UIT</w:t>
      </w:r>
      <w:r>
        <w:rPr>
          <w:lang w:val="es-ES_tradnl"/>
        </w:rPr>
        <w:noBreakHyphen/>
        <w:t>R IS.1140.</w:t>
      </w:r>
    </w:p>
    <w:p w14:paraId="7781FD5F" w14:textId="77777777" w:rsidR="008760D9" w:rsidRDefault="008760D9">
      <w:pPr>
        <w:pStyle w:val="Heading3"/>
        <w:rPr>
          <w:lang w:val="es-ES_tradnl"/>
        </w:rPr>
      </w:pPr>
      <w:r>
        <w:rPr>
          <w:lang w:val="es-ES_tradnl"/>
        </w:rPr>
        <w:t>4.1.3</w:t>
      </w:r>
      <w:r>
        <w:rPr>
          <w:lang w:val="es-ES_tradnl"/>
        </w:rPr>
        <w:tab/>
        <w:t>COM</w:t>
      </w:r>
    </w:p>
    <w:p w14:paraId="50E21887" w14:textId="77777777" w:rsidR="008760D9" w:rsidRDefault="008760D9">
      <w:pPr>
        <w:rPr>
          <w:lang w:val="es-ES_tradnl"/>
        </w:rPr>
      </w:pPr>
      <w:r>
        <w:rPr>
          <w:lang w:val="es-ES_tradnl"/>
        </w:rPr>
        <w:t>Los umbrales de interferencia para receptores COM de abordo son los siguientes:</w:t>
      </w:r>
    </w:p>
    <w:p w14:paraId="0CD3C5FE" w14:textId="77777777" w:rsidR="008760D9" w:rsidRDefault="008760D9">
      <w:pPr>
        <w:pStyle w:val="enumlev1"/>
        <w:rPr>
          <w:lang w:val="es-ES_tradnl"/>
        </w:rPr>
      </w:pPr>
      <w:r>
        <w:rPr>
          <w:lang w:val="es-ES_tradnl"/>
        </w:rPr>
        <w:t>–</w:t>
      </w:r>
      <w:r>
        <w:rPr>
          <w:lang w:val="es-ES_tradnl"/>
        </w:rPr>
        <w:tab/>
        <w:t>con una señal deseada presente, el umbral de interferencia es una reducción a 6 dB en la relación (señal de audio más ruido)/ruido (</w:t>
      </w:r>
      <w:r>
        <w:rPr>
          <w:i/>
          <w:lang w:val="es-ES_tradnl"/>
        </w:rPr>
        <w:t>S</w:t>
      </w:r>
      <w:r>
        <w:rPr>
          <w:lang w:val="es-ES_tradnl"/>
        </w:rPr>
        <w:t> </w:t>
      </w:r>
      <w:r>
        <w:rPr>
          <w:rFonts w:ascii="Symbol" w:hAnsi="Symbol"/>
          <w:lang w:val="es-ES_tradnl"/>
        </w:rPr>
        <w:t></w:t>
      </w:r>
      <w:r>
        <w:rPr>
          <w:lang w:val="es-ES_tradnl"/>
        </w:rPr>
        <w:t> </w:t>
      </w:r>
      <w:r>
        <w:rPr>
          <w:i/>
          <w:lang w:val="es-ES_tradnl"/>
        </w:rPr>
        <w:t>N</w:t>
      </w:r>
      <w:r>
        <w:rPr>
          <w:lang w:val="es-ES_tradnl"/>
        </w:rPr>
        <w:t>)/</w:t>
      </w:r>
      <w:r>
        <w:rPr>
          <w:i/>
          <w:lang w:val="es-ES_tradnl"/>
        </w:rPr>
        <w:t>N</w:t>
      </w:r>
      <w:r>
        <w:rPr>
          <w:lang w:val="es-ES_tradnl"/>
        </w:rPr>
        <w:t>; o</w:t>
      </w:r>
    </w:p>
    <w:p w14:paraId="335F57AC" w14:textId="77777777" w:rsidR="008760D9" w:rsidRDefault="008760D9">
      <w:pPr>
        <w:pStyle w:val="enumlev1"/>
        <w:rPr>
          <w:lang w:val="es-ES_tradnl"/>
        </w:rPr>
      </w:pPr>
      <w:r>
        <w:rPr>
          <w:lang w:val="es-ES_tradnl"/>
        </w:rPr>
        <w:t>–</w:t>
      </w:r>
      <w:r>
        <w:rPr>
          <w:lang w:val="es-ES_tradnl"/>
        </w:rPr>
        <w:tab/>
        <w:t>sin señal deseada presente, la interferencia no debe hacer funcionar el silenciador.</w:t>
      </w:r>
    </w:p>
    <w:p w14:paraId="6BB33660" w14:textId="77777777" w:rsidR="008760D9" w:rsidRDefault="008760D9">
      <w:pPr>
        <w:pStyle w:val="Heading2"/>
        <w:rPr>
          <w:lang w:val="es-ES_tradnl"/>
        </w:rPr>
      </w:pPr>
      <w:r>
        <w:rPr>
          <w:lang w:val="es-ES_tradnl"/>
        </w:rPr>
        <w:t>4.2</w:t>
      </w:r>
      <w:r>
        <w:rPr>
          <w:lang w:val="es-ES_tradnl"/>
        </w:rPr>
        <w:tab/>
        <w:t>Criterios de evaluación de la interferencia – Localizador ILS y receptores VOR de tipo Montreal (véanse las definiciones en el Anexo 4)</w:t>
      </w:r>
    </w:p>
    <w:p w14:paraId="5539F95C" w14:textId="77777777" w:rsidR="008760D9" w:rsidRDefault="008760D9">
      <w:pPr>
        <w:pStyle w:val="Heading3"/>
        <w:rPr>
          <w:lang w:val="es-ES_tradnl"/>
        </w:rPr>
      </w:pPr>
      <w:r>
        <w:rPr>
          <w:lang w:val="es-ES_tradnl"/>
        </w:rPr>
        <w:t>4.2.1</w:t>
      </w:r>
      <w:r>
        <w:rPr>
          <w:lang w:val="es-ES_tradnl"/>
        </w:rPr>
        <w:tab/>
        <w:t>Interferencia de Tipo A1</w:t>
      </w:r>
    </w:p>
    <w:p w14:paraId="2C201B42" w14:textId="77777777" w:rsidR="008760D9" w:rsidRDefault="008760D9">
      <w:pPr>
        <w:rPr>
          <w:lang w:val="es-ES_tradnl"/>
        </w:rPr>
      </w:pPr>
      <w:r>
        <w:rPr>
          <w:lang w:val="es-ES_tradnl"/>
        </w:rPr>
        <w:t>El Cuadro 2 da los valores de la relación de protección que ha de utilizarse. No es necesario considerar la interferencia de Tipo A1 para diferencias de frecuencia mayores de 200 kHz.</w:t>
      </w:r>
    </w:p>
    <w:p w14:paraId="66C28ED6" w14:textId="77777777" w:rsidR="008760D9" w:rsidRDefault="008760D9">
      <w:pPr>
        <w:pStyle w:val="Table"/>
        <w:rPr>
          <w:lang w:val="fr-FR"/>
        </w:rPr>
      </w:pPr>
      <w:r>
        <w:rPr>
          <w:lang w:val="fr-FR"/>
        </w:rPr>
        <w:t>CUADRO  2</w:t>
      </w:r>
    </w:p>
    <w:p w14:paraId="50EE9C1B" w14:textId="77777777" w:rsidR="008760D9" w:rsidRDefault="008760D9">
      <w:pPr>
        <w:pStyle w:val="Blanc"/>
        <w:rPr>
          <w:lang w:val="fr-FR"/>
        </w:rPr>
      </w:pPr>
    </w:p>
    <w:tbl>
      <w:tblPr>
        <w:tblW w:w="0" w:type="auto"/>
        <w:jc w:val="center"/>
        <w:tblLayout w:type="fixed"/>
        <w:tblCellMar>
          <w:left w:w="0" w:type="dxa"/>
          <w:right w:w="0" w:type="dxa"/>
        </w:tblCellMar>
        <w:tblLook w:val="0000" w:firstRow="0" w:lastRow="0" w:firstColumn="0" w:lastColumn="0" w:noHBand="0" w:noVBand="0"/>
      </w:tblPr>
      <w:tblGrid>
        <w:gridCol w:w="3862"/>
        <w:gridCol w:w="2614"/>
      </w:tblGrid>
      <w:tr w:rsidR="008760D9" w14:paraId="1968135E" w14:textId="77777777">
        <w:trPr>
          <w:cantSplit/>
          <w:jc w:val="center"/>
        </w:trPr>
        <w:tc>
          <w:tcPr>
            <w:tcW w:w="3862" w:type="dxa"/>
            <w:tcBorders>
              <w:top w:val="single" w:sz="6" w:space="0" w:color="auto"/>
              <w:left w:val="single" w:sz="6" w:space="0" w:color="auto"/>
              <w:bottom w:val="single" w:sz="6" w:space="0" w:color="auto"/>
              <w:right w:val="single" w:sz="6" w:space="0" w:color="auto"/>
            </w:tcBorders>
          </w:tcPr>
          <w:p w14:paraId="6CE79504" w14:textId="77777777" w:rsidR="008760D9" w:rsidRPr="00AC3FDE" w:rsidRDefault="008760D9">
            <w:pPr>
              <w:pStyle w:val="TableText"/>
              <w:framePr w:hSpace="181" w:wrap="notBeside" w:vAnchor="text" w:hAnchor="page" w:xAlign="center" w:y="1"/>
              <w:jc w:val="center"/>
              <w:rPr>
                <w:lang w:val="es-ES"/>
              </w:rPr>
            </w:pPr>
            <w:r w:rsidRPr="00AC3FDE">
              <w:rPr>
                <w:lang w:val="es-ES"/>
              </w:rPr>
              <w:t>Diferencia entre las frecuencias de la señal</w:t>
            </w:r>
            <w:r w:rsidRPr="00AC3FDE">
              <w:rPr>
                <w:lang w:val="es-ES"/>
              </w:rPr>
              <w:br/>
              <w:t>deseada y de la emisión no esencial</w:t>
            </w:r>
            <w:r w:rsidRPr="00AC3FDE">
              <w:rPr>
                <w:lang w:val="es-ES"/>
              </w:rPr>
              <w:br/>
              <w:t>(kHz)</w:t>
            </w:r>
          </w:p>
        </w:tc>
        <w:tc>
          <w:tcPr>
            <w:tcW w:w="2614" w:type="dxa"/>
            <w:tcBorders>
              <w:top w:val="single" w:sz="6" w:space="0" w:color="auto"/>
              <w:left w:val="single" w:sz="6" w:space="0" w:color="auto"/>
              <w:bottom w:val="single" w:sz="6" w:space="0" w:color="auto"/>
              <w:right w:val="single" w:sz="6" w:space="0" w:color="auto"/>
            </w:tcBorders>
          </w:tcPr>
          <w:p w14:paraId="0B4CB929" w14:textId="77777777" w:rsidR="008760D9" w:rsidRDefault="008760D9">
            <w:pPr>
              <w:pStyle w:val="TableText"/>
              <w:framePr w:hSpace="181" w:wrap="notBeside" w:vAnchor="text" w:hAnchor="page" w:xAlign="center" w:y="1"/>
              <w:spacing w:before="200"/>
              <w:jc w:val="center"/>
              <w:rPr>
                <w:lang w:val="fr-FR"/>
              </w:rPr>
            </w:pPr>
            <w:proofErr w:type="spellStart"/>
            <w:r>
              <w:rPr>
                <w:lang w:val="fr-FR"/>
              </w:rPr>
              <w:t>Relación</w:t>
            </w:r>
            <w:proofErr w:type="spellEnd"/>
            <w:r>
              <w:rPr>
                <w:lang w:val="fr-FR"/>
              </w:rPr>
              <w:t xml:space="preserve"> de </w:t>
            </w:r>
            <w:proofErr w:type="spellStart"/>
            <w:r>
              <w:rPr>
                <w:lang w:val="fr-FR"/>
              </w:rPr>
              <w:t>protección</w:t>
            </w:r>
            <w:proofErr w:type="spellEnd"/>
            <w:r>
              <w:rPr>
                <w:lang w:val="fr-FR"/>
              </w:rPr>
              <w:br/>
              <w:t>(dB)</w:t>
            </w:r>
          </w:p>
        </w:tc>
      </w:tr>
      <w:tr w:rsidR="008760D9" w14:paraId="20CDC6AE" w14:textId="77777777">
        <w:trPr>
          <w:cantSplit/>
          <w:jc w:val="center"/>
        </w:trPr>
        <w:tc>
          <w:tcPr>
            <w:tcW w:w="3862" w:type="dxa"/>
            <w:tcBorders>
              <w:top w:val="single" w:sz="6" w:space="0" w:color="auto"/>
              <w:left w:val="single" w:sz="6" w:space="0" w:color="auto"/>
              <w:right w:val="single" w:sz="6" w:space="0" w:color="auto"/>
            </w:tcBorders>
          </w:tcPr>
          <w:p w14:paraId="48BBBCD6" w14:textId="77777777" w:rsidR="008760D9" w:rsidRDefault="008760D9">
            <w:pPr>
              <w:pStyle w:val="TableText"/>
              <w:framePr w:hSpace="181" w:wrap="notBeside" w:vAnchor="text" w:hAnchor="page" w:xAlign="center" w:y="1"/>
              <w:spacing w:before="60" w:after="60"/>
              <w:ind w:right="1814"/>
              <w:jc w:val="right"/>
              <w:rPr>
                <w:lang w:val="fr-FR"/>
              </w:rPr>
            </w:pPr>
            <w:r>
              <w:rPr>
                <w:lang w:val="fr-FR"/>
              </w:rPr>
              <w:t>0</w:t>
            </w:r>
          </w:p>
        </w:tc>
        <w:tc>
          <w:tcPr>
            <w:tcW w:w="2614" w:type="dxa"/>
            <w:tcBorders>
              <w:top w:val="single" w:sz="6" w:space="0" w:color="auto"/>
              <w:left w:val="single" w:sz="6" w:space="0" w:color="auto"/>
              <w:right w:val="single" w:sz="6" w:space="0" w:color="auto"/>
            </w:tcBorders>
          </w:tcPr>
          <w:p w14:paraId="654846B7" w14:textId="77777777" w:rsidR="008760D9" w:rsidRDefault="008760D9">
            <w:pPr>
              <w:pStyle w:val="TableText"/>
              <w:framePr w:hSpace="181" w:wrap="notBeside" w:vAnchor="text" w:hAnchor="page" w:xAlign="center" w:y="1"/>
              <w:spacing w:before="60" w:after="60"/>
              <w:ind w:right="1134"/>
              <w:jc w:val="right"/>
              <w:rPr>
                <w:lang w:val="fr-FR"/>
              </w:rPr>
            </w:pPr>
            <w:r>
              <w:rPr>
                <w:lang w:val="fr-FR"/>
              </w:rPr>
              <w:t>14</w:t>
            </w:r>
          </w:p>
        </w:tc>
      </w:tr>
      <w:tr w:rsidR="008760D9" w14:paraId="4EB092E1" w14:textId="77777777">
        <w:trPr>
          <w:cantSplit/>
          <w:jc w:val="center"/>
        </w:trPr>
        <w:tc>
          <w:tcPr>
            <w:tcW w:w="3862" w:type="dxa"/>
            <w:tcBorders>
              <w:left w:val="single" w:sz="6" w:space="0" w:color="auto"/>
              <w:right w:val="single" w:sz="6" w:space="0" w:color="auto"/>
            </w:tcBorders>
          </w:tcPr>
          <w:p w14:paraId="114BBFC7" w14:textId="77777777" w:rsidR="008760D9" w:rsidRDefault="008760D9">
            <w:pPr>
              <w:pStyle w:val="TableText"/>
              <w:framePr w:hSpace="181" w:wrap="notBeside" w:vAnchor="text" w:hAnchor="page" w:xAlign="center" w:y="1"/>
              <w:spacing w:before="60" w:after="60"/>
              <w:ind w:right="1814"/>
              <w:jc w:val="right"/>
              <w:rPr>
                <w:lang w:val="fr-FR"/>
              </w:rPr>
            </w:pPr>
            <w:r>
              <w:rPr>
                <w:lang w:val="fr-FR"/>
              </w:rPr>
              <w:t>50</w:t>
            </w:r>
          </w:p>
        </w:tc>
        <w:tc>
          <w:tcPr>
            <w:tcW w:w="2614" w:type="dxa"/>
            <w:tcBorders>
              <w:left w:val="single" w:sz="6" w:space="0" w:color="auto"/>
              <w:right w:val="single" w:sz="6" w:space="0" w:color="auto"/>
            </w:tcBorders>
          </w:tcPr>
          <w:p w14:paraId="22090279" w14:textId="77777777" w:rsidR="008760D9" w:rsidRDefault="008760D9">
            <w:pPr>
              <w:pStyle w:val="TableText"/>
              <w:framePr w:hSpace="181" w:wrap="notBeside" w:vAnchor="text" w:hAnchor="page" w:xAlign="center" w:y="1"/>
              <w:spacing w:before="60" w:after="60"/>
              <w:ind w:right="1134"/>
              <w:jc w:val="right"/>
              <w:rPr>
                <w:lang w:val="fr-FR"/>
              </w:rPr>
            </w:pPr>
            <w:r>
              <w:rPr>
                <w:lang w:val="fr-FR"/>
              </w:rPr>
              <w:t>7</w:t>
            </w:r>
          </w:p>
        </w:tc>
      </w:tr>
      <w:tr w:rsidR="008760D9" w14:paraId="53E22A18" w14:textId="77777777">
        <w:trPr>
          <w:cantSplit/>
          <w:jc w:val="center"/>
        </w:trPr>
        <w:tc>
          <w:tcPr>
            <w:tcW w:w="3862" w:type="dxa"/>
            <w:tcBorders>
              <w:left w:val="single" w:sz="6" w:space="0" w:color="auto"/>
              <w:right w:val="single" w:sz="6" w:space="0" w:color="auto"/>
            </w:tcBorders>
          </w:tcPr>
          <w:p w14:paraId="66FFA10C" w14:textId="77777777" w:rsidR="008760D9" w:rsidRDefault="008760D9">
            <w:pPr>
              <w:pStyle w:val="TableText"/>
              <w:framePr w:hSpace="181" w:wrap="notBeside" w:vAnchor="text" w:hAnchor="page" w:xAlign="center" w:y="1"/>
              <w:spacing w:before="60" w:after="60"/>
              <w:ind w:right="1814"/>
              <w:jc w:val="right"/>
              <w:rPr>
                <w:lang w:val="fr-FR"/>
              </w:rPr>
            </w:pPr>
            <w:r>
              <w:rPr>
                <w:lang w:val="fr-FR"/>
              </w:rPr>
              <w:t>100</w:t>
            </w:r>
          </w:p>
        </w:tc>
        <w:tc>
          <w:tcPr>
            <w:tcW w:w="2614" w:type="dxa"/>
            <w:tcBorders>
              <w:left w:val="single" w:sz="6" w:space="0" w:color="auto"/>
              <w:right w:val="single" w:sz="6" w:space="0" w:color="auto"/>
            </w:tcBorders>
          </w:tcPr>
          <w:p w14:paraId="77D224FE" w14:textId="77777777" w:rsidR="008760D9" w:rsidRDefault="008760D9">
            <w:pPr>
              <w:pStyle w:val="TableText"/>
              <w:framePr w:hSpace="181" w:wrap="notBeside" w:vAnchor="text" w:hAnchor="page" w:xAlign="center" w:y="1"/>
              <w:spacing w:before="60" w:after="60"/>
              <w:ind w:right="1134"/>
              <w:jc w:val="right"/>
              <w:rPr>
                <w:lang w:val="fr-FR"/>
              </w:rPr>
            </w:pPr>
            <w:r>
              <w:rPr>
                <w:lang w:val="fr-FR"/>
              </w:rPr>
              <w:t>–4</w:t>
            </w:r>
          </w:p>
        </w:tc>
      </w:tr>
      <w:tr w:rsidR="008760D9" w14:paraId="428D94F9" w14:textId="77777777">
        <w:trPr>
          <w:cantSplit/>
          <w:jc w:val="center"/>
        </w:trPr>
        <w:tc>
          <w:tcPr>
            <w:tcW w:w="3862" w:type="dxa"/>
            <w:tcBorders>
              <w:left w:val="single" w:sz="6" w:space="0" w:color="auto"/>
              <w:right w:val="single" w:sz="6" w:space="0" w:color="auto"/>
            </w:tcBorders>
          </w:tcPr>
          <w:p w14:paraId="2675C472" w14:textId="77777777" w:rsidR="008760D9" w:rsidRDefault="008760D9">
            <w:pPr>
              <w:pStyle w:val="TableText"/>
              <w:framePr w:hSpace="181" w:wrap="notBeside" w:vAnchor="text" w:hAnchor="page" w:xAlign="center" w:y="1"/>
              <w:spacing w:before="60" w:after="60"/>
              <w:ind w:right="1814"/>
              <w:jc w:val="right"/>
              <w:rPr>
                <w:lang w:val="fr-FR"/>
              </w:rPr>
            </w:pPr>
            <w:r>
              <w:rPr>
                <w:lang w:val="fr-FR"/>
              </w:rPr>
              <w:t>150</w:t>
            </w:r>
          </w:p>
        </w:tc>
        <w:tc>
          <w:tcPr>
            <w:tcW w:w="2614" w:type="dxa"/>
            <w:tcBorders>
              <w:left w:val="single" w:sz="6" w:space="0" w:color="auto"/>
              <w:right w:val="single" w:sz="6" w:space="0" w:color="auto"/>
            </w:tcBorders>
          </w:tcPr>
          <w:p w14:paraId="0EFE0835" w14:textId="77777777" w:rsidR="008760D9" w:rsidRDefault="008760D9">
            <w:pPr>
              <w:pStyle w:val="TableText"/>
              <w:framePr w:hSpace="181" w:wrap="notBeside" w:vAnchor="text" w:hAnchor="page" w:xAlign="center" w:y="1"/>
              <w:spacing w:before="60" w:after="60"/>
              <w:ind w:right="1134"/>
              <w:jc w:val="right"/>
              <w:rPr>
                <w:lang w:val="fr-FR"/>
              </w:rPr>
            </w:pPr>
            <w:r>
              <w:rPr>
                <w:lang w:val="fr-FR"/>
              </w:rPr>
              <w:t>–19</w:t>
            </w:r>
          </w:p>
        </w:tc>
      </w:tr>
      <w:tr w:rsidR="008760D9" w14:paraId="65CE898E" w14:textId="77777777">
        <w:trPr>
          <w:cantSplit/>
          <w:jc w:val="center"/>
        </w:trPr>
        <w:tc>
          <w:tcPr>
            <w:tcW w:w="3862" w:type="dxa"/>
            <w:tcBorders>
              <w:left w:val="single" w:sz="6" w:space="0" w:color="auto"/>
              <w:bottom w:val="single" w:sz="6" w:space="0" w:color="auto"/>
              <w:right w:val="single" w:sz="6" w:space="0" w:color="auto"/>
            </w:tcBorders>
          </w:tcPr>
          <w:p w14:paraId="4C98E561" w14:textId="77777777" w:rsidR="008760D9" w:rsidRDefault="008760D9">
            <w:pPr>
              <w:pStyle w:val="TableText"/>
              <w:framePr w:hSpace="181" w:wrap="notBeside" w:vAnchor="text" w:hAnchor="page" w:xAlign="center" w:y="1"/>
              <w:spacing w:before="60" w:after="60"/>
              <w:ind w:right="1814"/>
              <w:jc w:val="right"/>
              <w:rPr>
                <w:lang w:val="fr-FR"/>
              </w:rPr>
            </w:pPr>
            <w:r>
              <w:rPr>
                <w:lang w:val="fr-FR"/>
              </w:rPr>
              <w:t>200</w:t>
            </w:r>
          </w:p>
        </w:tc>
        <w:tc>
          <w:tcPr>
            <w:tcW w:w="2614" w:type="dxa"/>
            <w:tcBorders>
              <w:left w:val="single" w:sz="6" w:space="0" w:color="auto"/>
              <w:bottom w:val="single" w:sz="6" w:space="0" w:color="auto"/>
              <w:right w:val="single" w:sz="6" w:space="0" w:color="auto"/>
            </w:tcBorders>
          </w:tcPr>
          <w:p w14:paraId="20A49AAC" w14:textId="77777777" w:rsidR="008760D9" w:rsidRDefault="008760D9">
            <w:pPr>
              <w:pStyle w:val="TableText"/>
              <w:framePr w:hSpace="181" w:wrap="notBeside" w:vAnchor="text" w:hAnchor="page" w:xAlign="center" w:y="1"/>
              <w:spacing w:before="60" w:after="60"/>
              <w:ind w:right="1134"/>
              <w:jc w:val="right"/>
              <w:rPr>
                <w:lang w:val="fr-FR"/>
              </w:rPr>
            </w:pPr>
            <w:r>
              <w:rPr>
                <w:lang w:val="fr-FR"/>
              </w:rPr>
              <w:t>–38</w:t>
            </w:r>
          </w:p>
        </w:tc>
      </w:tr>
    </w:tbl>
    <w:p w14:paraId="3F7FFAF5" w14:textId="77777777" w:rsidR="008760D9" w:rsidRDefault="008760D9">
      <w:pPr>
        <w:spacing w:before="0"/>
        <w:rPr>
          <w:lang w:val="es-ES_tradnl"/>
        </w:rPr>
      </w:pPr>
    </w:p>
    <w:p w14:paraId="2BCB51D6" w14:textId="77777777" w:rsidR="008760D9" w:rsidRDefault="008760D9">
      <w:pPr>
        <w:pStyle w:val="Heading3"/>
        <w:rPr>
          <w:lang w:val="es-ES_tradnl"/>
        </w:rPr>
      </w:pPr>
      <w:r>
        <w:rPr>
          <w:lang w:val="es-ES_tradnl"/>
        </w:rPr>
        <w:t>4.2.2</w:t>
      </w:r>
      <w:r>
        <w:rPr>
          <w:lang w:val="es-ES_tradnl"/>
        </w:rPr>
        <w:tab/>
        <w:t>Interferencia de Tipo A2</w:t>
      </w:r>
    </w:p>
    <w:p w14:paraId="320F4780" w14:textId="77777777" w:rsidR="008760D9" w:rsidRDefault="008760D9">
      <w:pPr>
        <w:rPr>
          <w:lang w:val="es-ES_tradnl"/>
        </w:rPr>
      </w:pPr>
      <w:r>
        <w:rPr>
          <w:lang w:val="es-ES_tradnl"/>
        </w:rPr>
        <w:t>Las relaciones de protección que deben utilizarse figuran en el Cuadro 3. No es necesario considerar la interferencia de Tipo A2 para diferencias de frecuencia mayores de 300 kHz.</w:t>
      </w:r>
    </w:p>
    <w:p w14:paraId="0F36BB4A" w14:textId="77777777" w:rsidR="008760D9" w:rsidRDefault="008760D9">
      <w:pPr>
        <w:pStyle w:val="Heading3"/>
        <w:rPr>
          <w:lang w:val="es-ES_tradnl"/>
        </w:rPr>
      </w:pPr>
      <w:r>
        <w:rPr>
          <w:lang w:val="es-ES_tradnl"/>
        </w:rPr>
        <w:t>4.2.3</w:t>
      </w:r>
      <w:r>
        <w:rPr>
          <w:lang w:val="es-ES_tradnl"/>
        </w:rPr>
        <w:tab/>
        <w:t>Interferencia de Tipo B1</w:t>
      </w:r>
    </w:p>
    <w:p w14:paraId="41BBCBCB" w14:textId="77777777" w:rsidR="008760D9" w:rsidRDefault="008760D9">
      <w:pPr>
        <w:pStyle w:val="Heading4"/>
        <w:rPr>
          <w:lang w:val="es-ES_tradnl"/>
        </w:rPr>
      </w:pPr>
      <w:r>
        <w:rPr>
          <w:lang w:val="es-ES_tradnl"/>
        </w:rPr>
        <w:t>4.2.3.1</w:t>
      </w:r>
      <w:r>
        <w:rPr>
          <w:lang w:val="es-ES_tradnl"/>
        </w:rPr>
        <w:tab/>
        <w:t>Fórmulas de evaluación de la compatibilidad</w:t>
      </w:r>
    </w:p>
    <w:p w14:paraId="5C85F047" w14:textId="77777777" w:rsidR="008760D9" w:rsidRDefault="008760D9">
      <w:pPr>
        <w:rPr>
          <w:lang w:val="es-ES_tradnl"/>
        </w:rPr>
      </w:pPr>
      <w:r>
        <w:rPr>
          <w:lang w:val="es-ES_tradnl"/>
        </w:rPr>
        <w:t>Teniendo en cuenta que los localizadores ILS y los receptores VOR ensayados no tienen una buena inmunidad para interferencia de Tipo B1, deben utilizarse las formuladas indicadas a continuación para evaluar las posibles incompa</w:t>
      </w:r>
      <w:r>
        <w:rPr>
          <w:lang w:val="es-ES_tradnl"/>
        </w:rPr>
        <w:softHyphen/>
        <w:t>tibilidades.</w:t>
      </w:r>
    </w:p>
    <w:p w14:paraId="195FC337" w14:textId="77777777" w:rsidR="008760D9" w:rsidRDefault="008760D9">
      <w:pPr>
        <w:pStyle w:val="Note"/>
        <w:rPr>
          <w:lang w:val="es-ES_tradnl"/>
        </w:rPr>
      </w:pPr>
      <w:r>
        <w:rPr>
          <w:lang w:val="es-ES_tradnl"/>
        </w:rPr>
        <w:t>NOTA 1 – Se dice que existe una incompatibilidad potencial (véase la definición en el Anexo 4) cuando se satisface la fórmula pertinente.</w:t>
      </w:r>
    </w:p>
    <w:p w14:paraId="09D0CC48" w14:textId="77777777" w:rsidR="008760D9" w:rsidRPr="00AC3FDE" w:rsidRDefault="008760D9">
      <w:pPr>
        <w:pStyle w:val="enumlev1"/>
        <w:rPr>
          <w:lang w:val="es-ES"/>
        </w:rPr>
      </w:pPr>
      <w:r>
        <w:rPr>
          <w:lang w:val="es-ES_tradnl"/>
        </w:rPr>
        <w:br w:type="page"/>
      </w:r>
      <w:r w:rsidRPr="00AC3FDE">
        <w:rPr>
          <w:lang w:val="es-ES"/>
        </w:rPr>
        <w:lastRenderedPageBreak/>
        <w:t>a)</w:t>
      </w:r>
      <w:r w:rsidRPr="00AC3FDE">
        <w:rPr>
          <w:lang w:val="es-ES"/>
        </w:rPr>
        <w:tab/>
      </w:r>
      <w:r w:rsidRPr="00AC3FDE">
        <w:rPr>
          <w:i/>
          <w:lang w:val="es-ES"/>
        </w:rPr>
        <w:t>Caso de dos señales:</w:t>
      </w:r>
      <w:r w:rsidRPr="00AC3FDE">
        <w:rPr>
          <w:lang w:val="es-ES"/>
        </w:rPr>
        <w:t xml:space="preserve"> Receptor de tipo Montreal</w:t>
      </w:r>
    </w:p>
    <w:p w14:paraId="2A399B95" w14:textId="77777777" w:rsidR="008760D9" w:rsidRPr="00AC3FDE" w:rsidRDefault="008760D9">
      <w:pPr>
        <w:pStyle w:val="Equation"/>
        <w:tabs>
          <w:tab w:val="left" w:pos="2438"/>
        </w:tabs>
        <w:rPr>
          <w:lang w:val="es-ES"/>
        </w:rPr>
      </w:pPr>
      <w:bookmarkStart w:id="7" w:name="F005"/>
      <w:r w:rsidRPr="00AC3FDE">
        <w:rPr>
          <w:lang w:val="es-ES"/>
        </w:rPr>
        <w:tab/>
      </w:r>
      <w:r w:rsidRPr="00AC3FDE">
        <w:rPr>
          <w:lang w:val="es-ES"/>
        </w:rPr>
        <w:tab/>
        <w:t>2 {</w:t>
      </w:r>
      <w:r w:rsidRPr="00AC3FDE">
        <w:rPr>
          <w:sz w:val="12"/>
          <w:lang w:val="es-ES"/>
        </w:rPr>
        <w:t> </w:t>
      </w:r>
      <w:r w:rsidRPr="00AC3FDE">
        <w:rPr>
          <w:i/>
          <w:lang w:val="es-ES"/>
        </w:rPr>
        <w:t>N</w:t>
      </w:r>
      <w:r w:rsidRPr="00AC3FDE">
        <w:rPr>
          <w:position w:val="-4"/>
          <w:sz w:val="18"/>
          <w:lang w:val="es-ES"/>
        </w:rPr>
        <w:t>1</w:t>
      </w:r>
      <w:r w:rsidRPr="00AC3FDE">
        <w:rPr>
          <w:lang w:val="es-ES"/>
        </w:rPr>
        <w:t xml:space="preserve">  –  28 log {</w:t>
      </w:r>
      <w:proofErr w:type="spellStart"/>
      <w:r w:rsidRPr="00AC3FDE">
        <w:rPr>
          <w:lang w:val="es-ES"/>
        </w:rPr>
        <w:t>máx</w:t>
      </w:r>
      <w:proofErr w:type="spellEnd"/>
      <w:r w:rsidRPr="00AC3FDE">
        <w:rPr>
          <w:lang w:val="es-ES"/>
        </w:rPr>
        <w:t xml:space="preserve"> (1,0;  </w:t>
      </w:r>
      <w:r w:rsidRPr="00AC3FDE">
        <w:rPr>
          <w:i/>
          <w:lang w:val="es-ES"/>
        </w:rPr>
        <w:t>f</w:t>
      </w:r>
      <w:r w:rsidRPr="00AC3FDE">
        <w:rPr>
          <w:i/>
          <w:position w:val="-4"/>
          <w:sz w:val="18"/>
          <w:lang w:val="es-ES"/>
        </w:rPr>
        <w:t>A</w:t>
      </w:r>
      <w:r w:rsidRPr="00AC3FDE">
        <w:rPr>
          <w:lang w:val="es-ES"/>
        </w:rPr>
        <w:t xml:space="preserve">  –  </w:t>
      </w:r>
      <w:r w:rsidRPr="00AC3FDE">
        <w:rPr>
          <w:i/>
          <w:lang w:val="es-ES"/>
        </w:rPr>
        <w:t>f</w:t>
      </w:r>
      <w:r w:rsidRPr="00AC3FDE">
        <w:rPr>
          <w:position w:val="-4"/>
          <w:sz w:val="18"/>
          <w:lang w:val="es-ES"/>
        </w:rPr>
        <w:t>1</w:t>
      </w:r>
      <w:r w:rsidRPr="00AC3FDE">
        <w:rPr>
          <w:lang w:val="es-ES"/>
        </w:rPr>
        <w:t xml:space="preserve">)}}  </w:t>
      </w:r>
      <w:r>
        <w:rPr>
          <w:rFonts w:ascii="Symbol" w:hAnsi="Symbol"/>
        </w:rPr>
        <w:t></w:t>
      </w:r>
      <w:r w:rsidRPr="00AC3FDE">
        <w:rPr>
          <w:lang w:val="es-ES"/>
        </w:rPr>
        <w:t xml:space="preserve">  </w:t>
      </w:r>
    </w:p>
    <w:p w14:paraId="7F126A28" w14:textId="77777777" w:rsidR="008760D9" w:rsidRPr="00AC3FDE" w:rsidRDefault="008760D9">
      <w:pPr>
        <w:pStyle w:val="Equation"/>
        <w:tabs>
          <w:tab w:val="left" w:pos="2438"/>
          <w:tab w:val="left" w:pos="2722"/>
        </w:tabs>
        <w:rPr>
          <w:lang w:val="es-ES"/>
        </w:rPr>
      </w:pPr>
      <w:r w:rsidRPr="00AC3FDE">
        <w:rPr>
          <w:lang w:val="es-ES"/>
        </w:rPr>
        <w:tab/>
      </w:r>
      <w:r w:rsidRPr="00AC3FDE">
        <w:rPr>
          <w:lang w:val="es-ES"/>
        </w:rPr>
        <w:tab/>
      </w:r>
      <w:r w:rsidRPr="00AC3FDE">
        <w:rPr>
          <w:lang w:val="es-ES"/>
        </w:rPr>
        <w:tab/>
      </w:r>
      <w:r w:rsidRPr="00AC3FDE">
        <w:rPr>
          <w:i/>
          <w:lang w:val="es-ES"/>
        </w:rPr>
        <w:t>N</w:t>
      </w:r>
      <w:r w:rsidRPr="00AC3FDE">
        <w:rPr>
          <w:position w:val="-4"/>
          <w:sz w:val="18"/>
          <w:lang w:val="es-ES"/>
        </w:rPr>
        <w:t>2</w:t>
      </w:r>
      <w:r w:rsidRPr="00AC3FDE">
        <w:rPr>
          <w:lang w:val="es-ES"/>
        </w:rPr>
        <w:t xml:space="preserve">  –  28 log {</w:t>
      </w:r>
      <w:proofErr w:type="spellStart"/>
      <w:r w:rsidRPr="00AC3FDE">
        <w:rPr>
          <w:lang w:val="es-ES"/>
        </w:rPr>
        <w:t>máx</w:t>
      </w:r>
      <w:proofErr w:type="spellEnd"/>
      <w:r w:rsidRPr="00AC3FDE">
        <w:rPr>
          <w:lang w:val="es-ES"/>
        </w:rPr>
        <w:t xml:space="preserve"> (1,0;  </w:t>
      </w:r>
      <w:r w:rsidRPr="00AC3FDE">
        <w:rPr>
          <w:i/>
          <w:lang w:val="es-ES"/>
        </w:rPr>
        <w:t>f</w:t>
      </w:r>
      <w:r w:rsidRPr="00AC3FDE">
        <w:rPr>
          <w:i/>
          <w:position w:val="-4"/>
          <w:sz w:val="18"/>
          <w:lang w:val="es-ES"/>
        </w:rPr>
        <w:t>A</w:t>
      </w:r>
      <w:r w:rsidRPr="00AC3FDE">
        <w:rPr>
          <w:position w:val="-3"/>
          <w:sz w:val="18"/>
          <w:lang w:val="es-ES"/>
        </w:rPr>
        <w:t xml:space="preserve">  </w:t>
      </w:r>
      <w:r w:rsidRPr="00AC3FDE">
        <w:rPr>
          <w:lang w:val="es-ES"/>
        </w:rPr>
        <w:t xml:space="preserve">–  </w:t>
      </w:r>
      <w:r w:rsidRPr="00AC3FDE">
        <w:rPr>
          <w:i/>
          <w:lang w:val="es-ES"/>
        </w:rPr>
        <w:t>f</w:t>
      </w:r>
      <w:r w:rsidRPr="00AC3FDE">
        <w:rPr>
          <w:position w:val="-4"/>
          <w:sz w:val="18"/>
          <w:lang w:val="es-ES"/>
        </w:rPr>
        <w:t>2</w:t>
      </w:r>
      <w:r w:rsidRPr="00AC3FDE">
        <w:rPr>
          <w:lang w:val="es-ES"/>
        </w:rPr>
        <w:t xml:space="preserve">)}  </w:t>
      </w:r>
      <w:r>
        <w:rPr>
          <w:rFonts w:ascii="Symbol" w:hAnsi="Symbol"/>
        </w:rPr>
        <w:t></w:t>
      </w:r>
      <w:r w:rsidRPr="00AC3FDE">
        <w:rPr>
          <w:lang w:val="es-ES"/>
        </w:rPr>
        <w:t xml:space="preserve">  </w:t>
      </w:r>
      <w:r w:rsidRPr="00AC3FDE">
        <w:rPr>
          <w:i/>
          <w:lang w:val="es-ES"/>
        </w:rPr>
        <w:t>K</w:t>
      </w:r>
      <w:r w:rsidRPr="00AC3FDE">
        <w:rPr>
          <w:lang w:val="es-ES"/>
        </w:rPr>
        <w:t xml:space="preserve">  –  </w:t>
      </w:r>
      <w:r w:rsidRPr="00AC3FDE">
        <w:rPr>
          <w:i/>
          <w:lang w:val="es-ES"/>
        </w:rPr>
        <w:t>L</w:t>
      </w:r>
      <w:r w:rsidRPr="00AC3FDE">
        <w:rPr>
          <w:i/>
          <w:position w:val="-4"/>
          <w:sz w:val="18"/>
          <w:lang w:val="es-ES"/>
        </w:rPr>
        <w:t>c</w:t>
      </w:r>
      <w:r w:rsidRPr="00AC3FDE">
        <w:rPr>
          <w:lang w:val="es-ES"/>
        </w:rPr>
        <w:t xml:space="preserve">  </w:t>
      </w:r>
      <w:r>
        <w:rPr>
          <w:rFonts w:ascii="Symbol" w:hAnsi="Symbol"/>
        </w:rPr>
        <w:t></w:t>
      </w:r>
      <w:r w:rsidRPr="00AC3FDE">
        <w:rPr>
          <w:lang w:val="es-ES"/>
        </w:rPr>
        <w:t xml:space="preserve">  0</w:t>
      </w:r>
      <w:r w:rsidRPr="00AC3FDE">
        <w:rPr>
          <w:lang w:val="es-ES"/>
        </w:rPr>
        <w:tab/>
        <w:t>(4)</w:t>
      </w:r>
      <w:bookmarkEnd w:id="7"/>
    </w:p>
    <w:p w14:paraId="007F883B" w14:textId="77777777" w:rsidR="008760D9" w:rsidRPr="00AC3FDE" w:rsidRDefault="008760D9">
      <w:pPr>
        <w:pStyle w:val="enumlev1"/>
        <w:rPr>
          <w:b/>
          <w:lang w:val="es-ES"/>
        </w:rPr>
      </w:pPr>
      <w:r w:rsidRPr="00AC3FDE">
        <w:rPr>
          <w:lang w:val="es-ES"/>
        </w:rPr>
        <w:t>b)</w:t>
      </w:r>
      <w:r w:rsidRPr="00AC3FDE">
        <w:rPr>
          <w:lang w:val="es-ES"/>
        </w:rPr>
        <w:tab/>
      </w:r>
      <w:r w:rsidRPr="00AC3FDE">
        <w:rPr>
          <w:i/>
          <w:lang w:val="es-ES"/>
        </w:rPr>
        <w:t>Caso de tres señales:</w:t>
      </w:r>
      <w:r w:rsidRPr="00AC3FDE">
        <w:rPr>
          <w:lang w:val="es-ES"/>
        </w:rPr>
        <w:t xml:space="preserve"> Receptor de tipo Montreal</w:t>
      </w:r>
    </w:p>
    <w:p w14:paraId="3799F11D" w14:textId="77777777" w:rsidR="008760D9" w:rsidRPr="00AC3FDE" w:rsidRDefault="008760D9">
      <w:pPr>
        <w:pStyle w:val="Equation"/>
        <w:tabs>
          <w:tab w:val="left" w:pos="2381"/>
        </w:tabs>
        <w:rPr>
          <w:lang w:val="es-ES"/>
        </w:rPr>
      </w:pPr>
      <w:bookmarkStart w:id="8" w:name="F006"/>
      <w:r w:rsidRPr="00AC3FDE">
        <w:rPr>
          <w:lang w:val="es-ES"/>
        </w:rPr>
        <w:tab/>
      </w:r>
      <w:r w:rsidRPr="00AC3FDE">
        <w:rPr>
          <w:lang w:val="es-ES"/>
        </w:rPr>
        <w:tab/>
      </w:r>
      <w:r w:rsidRPr="00AC3FDE">
        <w:rPr>
          <w:i/>
          <w:lang w:val="es-ES"/>
        </w:rPr>
        <w:t>N</w:t>
      </w:r>
      <w:r w:rsidRPr="00AC3FDE">
        <w:rPr>
          <w:position w:val="-4"/>
          <w:sz w:val="18"/>
          <w:lang w:val="es-ES"/>
        </w:rPr>
        <w:t>1</w:t>
      </w:r>
      <w:r w:rsidRPr="00AC3FDE">
        <w:rPr>
          <w:lang w:val="es-ES"/>
        </w:rPr>
        <w:t xml:space="preserve">  –  28 log {</w:t>
      </w:r>
      <w:proofErr w:type="spellStart"/>
      <w:r w:rsidRPr="00AC3FDE">
        <w:rPr>
          <w:lang w:val="es-ES"/>
        </w:rPr>
        <w:t>máx</w:t>
      </w:r>
      <w:proofErr w:type="spellEnd"/>
      <w:r w:rsidRPr="00AC3FDE">
        <w:rPr>
          <w:lang w:val="es-ES"/>
        </w:rPr>
        <w:t xml:space="preserve"> (1,0;  </w:t>
      </w:r>
      <w:r w:rsidRPr="00AC3FDE">
        <w:rPr>
          <w:i/>
          <w:lang w:val="es-ES"/>
        </w:rPr>
        <w:t>f</w:t>
      </w:r>
      <w:r w:rsidRPr="00AC3FDE">
        <w:rPr>
          <w:i/>
          <w:position w:val="-4"/>
          <w:sz w:val="18"/>
          <w:lang w:val="es-ES"/>
        </w:rPr>
        <w:t>A</w:t>
      </w:r>
      <w:r w:rsidRPr="00AC3FDE">
        <w:rPr>
          <w:lang w:val="es-ES"/>
        </w:rPr>
        <w:t xml:space="preserve">  –  </w:t>
      </w:r>
      <w:r w:rsidRPr="00AC3FDE">
        <w:rPr>
          <w:i/>
          <w:lang w:val="es-ES"/>
        </w:rPr>
        <w:t>f</w:t>
      </w:r>
      <w:r w:rsidRPr="00AC3FDE">
        <w:rPr>
          <w:position w:val="-4"/>
          <w:sz w:val="18"/>
          <w:lang w:val="es-ES"/>
        </w:rPr>
        <w:t>1</w:t>
      </w:r>
      <w:r w:rsidRPr="00AC3FDE">
        <w:rPr>
          <w:lang w:val="es-ES"/>
        </w:rPr>
        <w:t xml:space="preserve">)}  </w:t>
      </w:r>
      <w:r>
        <w:rPr>
          <w:rFonts w:ascii="Symbol" w:hAnsi="Symbol"/>
        </w:rPr>
        <w:t></w:t>
      </w:r>
    </w:p>
    <w:p w14:paraId="27C3A96C" w14:textId="77777777" w:rsidR="008760D9" w:rsidRPr="00AC3FDE" w:rsidRDefault="008760D9">
      <w:pPr>
        <w:pStyle w:val="Equation"/>
        <w:tabs>
          <w:tab w:val="left" w:pos="2381"/>
        </w:tabs>
        <w:rPr>
          <w:lang w:val="es-ES"/>
        </w:rPr>
      </w:pPr>
      <w:r w:rsidRPr="00AC3FDE">
        <w:rPr>
          <w:lang w:val="es-ES"/>
        </w:rPr>
        <w:tab/>
      </w:r>
      <w:r w:rsidRPr="00AC3FDE">
        <w:rPr>
          <w:lang w:val="es-ES"/>
        </w:rPr>
        <w:tab/>
      </w:r>
      <w:r w:rsidRPr="00AC3FDE">
        <w:rPr>
          <w:i/>
          <w:lang w:val="es-ES"/>
        </w:rPr>
        <w:t>N</w:t>
      </w:r>
      <w:r w:rsidRPr="00AC3FDE">
        <w:rPr>
          <w:position w:val="-4"/>
          <w:sz w:val="18"/>
          <w:lang w:val="es-ES"/>
        </w:rPr>
        <w:t>2</w:t>
      </w:r>
      <w:r w:rsidRPr="00AC3FDE">
        <w:rPr>
          <w:lang w:val="es-ES"/>
        </w:rPr>
        <w:t xml:space="preserve">  –  28 log {</w:t>
      </w:r>
      <w:proofErr w:type="spellStart"/>
      <w:r w:rsidRPr="00AC3FDE">
        <w:rPr>
          <w:lang w:val="es-ES"/>
        </w:rPr>
        <w:t>máx</w:t>
      </w:r>
      <w:proofErr w:type="spellEnd"/>
      <w:r w:rsidRPr="00AC3FDE">
        <w:rPr>
          <w:lang w:val="es-ES"/>
        </w:rPr>
        <w:t xml:space="preserve"> (1,0;  </w:t>
      </w:r>
      <w:r w:rsidRPr="00AC3FDE">
        <w:rPr>
          <w:i/>
          <w:lang w:val="es-ES"/>
        </w:rPr>
        <w:t>f</w:t>
      </w:r>
      <w:r w:rsidRPr="00AC3FDE">
        <w:rPr>
          <w:i/>
          <w:position w:val="-4"/>
          <w:sz w:val="18"/>
          <w:lang w:val="es-ES"/>
        </w:rPr>
        <w:t>A</w:t>
      </w:r>
      <w:r w:rsidRPr="00AC3FDE">
        <w:rPr>
          <w:lang w:val="es-ES"/>
        </w:rPr>
        <w:t xml:space="preserve">  –  </w:t>
      </w:r>
      <w:r w:rsidRPr="00AC3FDE">
        <w:rPr>
          <w:i/>
          <w:lang w:val="es-ES"/>
        </w:rPr>
        <w:t>f</w:t>
      </w:r>
      <w:r w:rsidRPr="00AC3FDE">
        <w:rPr>
          <w:position w:val="-4"/>
          <w:sz w:val="18"/>
          <w:lang w:val="es-ES"/>
        </w:rPr>
        <w:t>2</w:t>
      </w:r>
      <w:r w:rsidRPr="00AC3FDE">
        <w:rPr>
          <w:lang w:val="es-ES"/>
        </w:rPr>
        <w:t xml:space="preserve">)}  </w:t>
      </w:r>
      <w:r>
        <w:rPr>
          <w:rFonts w:ascii="Symbol" w:hAnsi="Symbol"/>
        </w:rPr>
        <w:t></w:t>
      </w:r>
    </w:p>
    <w:p w14:paraId="184768E8" w14:textId="77777777" w:rsidR="008760D9" w:rsidRDefault="008760D9">
      <w:pPr>
        <w:pStyle w:val="Equation"/>
        <w:rPr>
          <w:lang w:val="es-ES_tradnl"/>
        </w:rPr>
      </w:pPr>
      <w:r w:rsidRPr="00AC3FDE">
        <w:rPr>
          <w:lang w:val="es-ES"/>
        </w:rPr>
        <w:tab/>
      </w:r>
      <w:r w:rsidRPr="00AC3FDE">
        <w:rPr>
          <w:lang w:val="es-ES"/>
        </w:rPr>
        <w:tab/>
      </w:r>
      <w:r w:rsidRPr="00AC3FDE">
        <w:rPr>
          <w:i/>
          <w:lang w:val="es-ES"/>
        </w:rPr>
        <w:t>N</w:t>
      </w:r>
      <w:r w:rsidRPr="00AC3FDE">
        <w:rPr>
          <w:position w:val="-4"/>
          <w:sz w:val="18"/>
          <w:lang w:val="es-ES"/>
        </w:rPr>
        <w:t>3</w:t>
      </w:r>
      <w:r w:rsidRPr="00AC3FDE">
        <w:rPr>
          <w:lang w:val="es-ES"/>
        </w:rPr>
        <w:t xml:space="preserve">  –  28 log {</w:t>
      </w:r>
      <w:proofErr w:type="spellStart"/>
      <w:r w:rsidRPr="00AC3FDE">
        <w:rPr>
          <w:lang w:val="es-ES"/>
        </w:rPr>
        <w:t>máx</w:t>
      </w:r>
      <w:proofErr w:type="spellEnd"/>
      <w:r w:rsidRPr="00AC3FDE">
        <w:rPr>
          <w:lang w:val="es-ES"/>
        </w:rPr>
        <w:t xml:space="preserve"> (1,0;  </w:t>
      </w:r>
      <w:r w:rsidRPr="00AC3FDE">
        <w:rPr>
          <w:i/>
          <w:lang w:val="es-ES"/>
        </w:rPr>
        <w:t>f</w:t>
      </w:r>
      <w:r w:rsidRPr="00AC3FDE">
        <w:rPr>
          <w:i/>
          <w:position w:val="-4"/>
          <w:sz w:val="18"/>
          <w:lang w:val="es-ES"/>
        </w:rPr>
        <w:t>A</w:t>
      </w:r>
      <w:r w:rsidRPr="00AC3FDE">
        <w:rPr>
          <w:lang w:val="es-ES"/>
        </w:rPr>
        <w:t xml:space="preserve">  –  </w:t>
      </w:r>
      <w:r w:rsidRPr="00AC3FDE">
        <w:rPr>
          <w:i/>
          <w:lang w:val="es-ES"/>
        </w:rPr>
        <w:t>f</w:t>
      </w:r>
      <w:r w:rsidRPr="00AC3FDE">
        <w:rPr>
          <w:position w:val="-4"/>
          <w:sz w:val="18"/>
          <w:lang w:val="es-ES"/>
        </w:rPr>
        <w:t>3</w:t>
      </w:r>
      <w:r w:rsidRPr="00AC3FDE">
        <w:rPr>
          <w:lang w:val="es-ES"/>
        </w:rPr>
        <w:t xml:space="preserve">)}  </w:t>
      </w:r>
      <w:r>
        <w:rPr>
          <w:rFonts w:ascii="Symbol" w:hAnsi="Symbol"/>
        </w:rPr>
        <w:t></w:t>
      </w:r>
      <w:r w:rsidRPr="00AC3FDE">
        <w:rPr>
          <w:lang w:val="es-ES"/>
        </w:rPr>
        <w:t xml:space="preserve">  </w:t>
      </w:r>
      <w:r w:rsidRPr="00AC3FDE">
        <w:rPr>
          <w:i/>
          <w:lang w:val="es-ES"/>
        </w:rPr>
        <w:t>K</w:t>
      </w:r>
      <w:r w:rsidRPr="00AC3FDE">
        <w:rPr>
          <w:lang w:val="es-ES"/>
        </w:rPr>
        <w:t xml:space="preserve">  </w:t>
      </w:r>
      <w:r>
        <w:rPr>
          <w:rFonts w:ascii="Symbol" w:hAnsi="Symbol"/>
        </w:rPr>
        <w:t></w:t>
      </w:r>
      <w:r w:rsidRPr="00AC3FDE">
        <w:rPr>
          <w:lang w:val="es-ES"/>
        </w:rPr>
        <w:t xml:space="preserve">  6  –  </w:t>
      </w:r>
      <w:r w:rsidRPr="00AC3FDE">
        <w:rPr>
          <w:i/>
          <w:lang w:val="es-ES"/>
        </w:rPr>
        <w:t>L</w:t>
      </w:r>
      <w:r w:rsidRPr="00AC3FDE">
        <w:rPr>
          <w:i/>
          <w:position w:val="-4"/>
          <w:sz w:val="18"/>
          <w:lang w:val="es-ES"/>
        </w:rPr>
        <w:t>c</w:t>
      </w:r>
      <w:r w:rsidRPr="00AC3FDE">
        <w:rPr>
          <w:lang w:val="es-ES"/>
        </w:rPr>
        <w:t xml:space="preserve">  </w:t>
      </w:r>
      <w:r>
        <w:rPr>
          <w:rFonts w:ascii="Symbol" w:hAnsi="Symbol"/>
        </w:rPr>
        <w:t></w:t>
      </w:r>
      <w:r w:rsidRPr="00AC3FDE">
        <w:rPr>
          <w:lang w:val="es-ES"/>
        </w:rPr>
        <w:t xml:space="preserve">  0</w:t>
      </w:r>
      <w:r w:rsidRPr="00AC3FDE">
        <w:rPr>
          <w:lang w:val="es-ES"/>
        </w:rPr>
        <w:tab/>
        <w:t>(5)</w:t>
      </w:r>
      <w:bookmarkEnd w:id="8"/>
    </w:p>
    <w:p w14:paraId="06904980" w14:textId="77777777" w:rsidR="008760D9" w:rsidRDefault="008760D9">
      <w:pPr>
        <w:rPr>
          <w:lang w:val="es-ES_tradnl"/>
        </w:rPr>
      </w:pPr>
      <w:r>
        <w:rPr>
          <w:lang w:val="es-ES_tradnl"/>
        </w:rPr>
        <w:t>siendo:</w:t>
      </w:r>
    </w:p>
    <w:p w14:paraId="68607655" w14:textId="77777777" w:rsidR="008760D9" w:rsidRDefault="008760D9">
      <w:pPr>
        <w:pStyle w:val="enumlev1"/>
        <w:tabs>
          <w:tab w:val="left" w:pos="1588"/>
        </w:tabs>
        <w:ind w:left="1588" w:hanging="1588"/>
        <w:rPr>
          <w:lang w:val="es-ES_tradnl"/>
        </w:rPr>
      </w:pPr>
      <w:r>
        <w:rPr>
          <w:i/>
          <w:lang w:val="es-ES_tradnl"/>
        </w:rPr>
        <w:tab/>
        <w:t>N</w:t>
      </w:r>
      <w:r>
        <w:rPr>
          <w:position w:val="-4"/>
          <w:sz w:val="16"/>
          <w:lang w:val="es-ES_tradnl"/>
        </w:rPr>
        <w:t>1</w:t>
      </w:r>
      <w:r>
        <w:rPr>
          <w:lang w:val="es-ES_tradnl"/>
        </w:rPr>
        <w:t xml:space="preserve">, </w:t>
      </w:r>
      <w:r>
        <w:rPr>
          <w:i/>
          <w:lang w:val="es-ES_tradnl"/>
        </w:rPr>
        <w:t>N</w:t>
      </w:r>
      <w:r>
        <w:rPr>
          <w:position w:val="-4"/>
          <w:sz w:val="16"/>
          <w:lang w:val="es-ES_tradnl"/>
        </w:rPr>
        <w:t>2</w:t>
      </w:r>
      <w:r>
        <w:rPr>
          <w:lang w:val="es-ES_tradnl"/>
        </w:rPr>
        <w:t xml:space="preserve">, </w:t>
      </w:r>
      <w:r>
        <w:rPr>
          <w:i/>
          <w:lang w:val="es-ES_tradnl"/>
        </w:rPr>
        <w:t>N</w:t>
      </w:r>
      <w:r>
        <w:rPr>
          <w:position w:val="-4"/>
          <w:sz w:val="16"/>
          <w:lang w:val="es-ES_tradnl"/>
        </w:rPr>
        <w:t>3</w:t>
      </w:r>
      <w:r>
        <w:rPr>
          <w:position w:val="-4"/>
          <w:sz w:val="18"/>
          <w:lang w:val="es-ES_tradnl"/>
        </w:rPr>
        <w:t xml:space="preserve"> </w:t>
      </w:r>
      <w:r>
        <w:rPr>
          <w:lang w:val="es-ES_tradnl"/>
        </w:rPr>
        <w:t>:</w:t>
      </w:r>
      <w:r>
        <w:rPr>
          <w:lang w:val="es-ES_tradnl"/>
        </w:rPr>
        <w:tab/>
        <w:t xml:space="preserve">niveles de las señales de radiodifusión (dBm) a la entrada del receptor aeronáutico en las frecuencias de radiodifusión </w:t>
      </w:r>
      <w:r>
        <w:rPr>
          <w:i/>
          <w:lang w:val="es-ES_tradnl"/>
        </w:rPr>
        <w:t>f</w:t>
      </w:r>
      <w:r>
        <w:rPr>
          <w:position w:val="-4"/>
          <w:sz w:val="16"/>
          <w:lang w:val="es-ES_tradnl"/>
        </w:rPr>
        <w:t>1</w:t>
      </w:r>
      <w:r>
        <w:rPr>
          <w:lang w:val="es-ES_tradnl"/>
        </w:rPr>
        <w:t xml:space="preserve">, </w:t>
      </w:r>
      <w:r>
        <w:rPr>
          <w:i/>
          <w:lang w:val="es-ES_tradnl"/>
        </w:rPr>
        <w:t>f</w:t>
      </w:r>
      <w:r>
        <w:rPr>
          <w:position w:val="-4"/>
          <w:sz w:val="16"/>
          <w:lang w:val="es-ES_tradnl"/>
        </w:rPr>
        <w:t>2</w:t>
      </w:r>
      <w:r>
        <w:rPr>
          <w:lang w:val="es-ES_tradnl"/>
        </w:rPr>
        <w:t xml:space="preserve"> y </w:t>
      </w:r>
      <w:r>
        <w:rPr>
          <w:i/>
          <w:lang w:val="es-ES_tradnl"/>
        </w:rPr>
        <w:t>f</w:t>
      </w:r>
      <w:r>
        <w:rPr>
          <w:position w:val="-4"/>
          <w:sz w:val="16"/>
          <w:lang w:val="es-ES_tradnl"/>
        </w:rPr>
        <w:t>3</w:t>
      </w:r>
      <w:r>
        <w:rPr>
          <w:lang w:val="es-ES_tradnl"/>
        </w:rPr>
        <w:t xml:space="preserve"> respectivamente</w:t>
      </w:r>
    </w:p>
    <w:p w14:paraId="57A89BFB" w14:textId="77777777" w:rsidR="008760D9" w:rsidRDefault="008760D9">
      <w:pPr>
        <w:pStyle w:val="enumlev1"/>
        <w:tabs>
          <w:tab w:val="left" w:pos="1588"/>
        </w:tabs>
        <w:ind w:left="1588" w:hanging="1588"/>
        <w:rPr>
          <w:lang w:val="es-ES_tradnl"/>
        </w:rPr>
      </w:pPr>
      <w:r>
        <w:rPr>
          <w:i/>
          <w:lang w:val="es-ES_tradnl"/>
        </w:rPr>
        <w:tab/>
        <w:t>f</w:t>
      </w:r>
      <w:r>
        <w:rPr>
          <w:i/>
          <w:position w:val="-4"/>
          <w:sz w:val="16"/>
          <w:lang w:val="es-ES_tradnl"/>
        </w:rPr>
        <w:t>A</w:t>
      </w:r>
      <w:r>
        <w:rPr>
          <w:position w:val="-6"/>
          <w:sz w:val="18"/>
          <w:lang w:val="es-ES_tradnl"/>
        </w:rPr>
        <w:t xml:space="preserve"> </w:t>
      </w:r>
      <w:r>
        <w:rPr>
          <w:lang w:val="es-ES_tradnl"/>
        </w:rPr>
        <w:t>:</w:t>
      </w:r>
      <w:r>
        <w:rPr>
          <w:lang w:val="es-ES_tradnl"/>
        </w:rPr>
        <w:tab/>
        <w:t>frecuencia aeronáutica (MHz)</w:t>
      </w:r>
    </w:p>
    <w:p w14:paraId="7A74C4BF" w14:textId="77777777" w:rsidR="008760D9" w:rsidRDefault="008760D9">
      <w:pPr>
        <w:pStyle w:val="enumlev1"/>
        <w:tabs>
          <w:tab w:val="left" w:pos="1588"/>
        </w:tabs>
        <w:ind w:left="1588" w:hanging="1588"/>
        <w:rPr>
          <w:lang w:val="es-ES_tradnl"/>
        </w:rPr>
      </w:pPr>
      <w:r>
        <w:rPr>
          <w:i/>
          <w:lang w:val="es-ES_tradnl"/>
        </w:rPr>
        <w:tab/>
        <w:t>f</w:t>
      </w:r>
      <w:r>
        <w:rPr>
          <w:position w:val="-4"/>
          <w:sz w:val="16"/>
          <w:lang w:val="es-ES_tradnl"/>
        </w:rPr>
        <w:t>1</w:t>
      </w:r>
      <w:r>
        <w:rPr>
          <w:lang w:val="es-ES_tradnl"/>
        </w:rPr>
        <w:t xml:space="preserve">, </w:t>
      </w:r>
      <w:r>
        <w:rPr>
          <w:i/>
          <w:lang w:val="es-ES_tradnl"/>
        </w:rPr>
        <w:t>f</w:t>
      </w:r>
      <w:r>
        <w:rPr>
          <w:position w:val="-4"/>
          <w:sz w:val="16"/>
          <w:lang w:val="es-ES_tradnl"/>
        </w:rPr>
        <w:t>2</w:t>
      </w:r>
      <w:r>
        <w:rPr>
          <w:lang w:val="es-ES_tradnl"/>
        </w:rPr>
        <w:t xml:space="preserve">, </w:t>
      </w:r>
      <w:r>
        <w:rPr>
          <w:i/>
          <w:lang w:val="es-ES_tradnl"/>
        </w:rPr>
        <w:t>f</w:t>
      </w:r>
      <w:r>
        <w:rPr>
          <w:position w:val="-4"/>
          <w:sz w:val="16"/>
          <w:lang w:val="es-ES_tradnl"/>
        </w:rPr>
        <w:t>3</w:t>
      </w:r>
      <w:r>
        <w:rPr>
          <w:position w:val="-6"/>
          <w:sz w:val="18"/>
          <w:lang w:val="es-ES_tradnl"/>
        </w:rPr>
        <w:t xml:space="preserve"> </w:t>
      </w:r>
      <w:r>
        <w:rPr>
          <w:lang w:val="es-ES_tradnl"/>
        </w:rPr>
        <w:t>:</w:t>
      </w:r>
      <w:r>
        <w:rPr>
          <w:lang w:val="es-ES_tradnl"/>
        </w:rPr>
        <w:tab/>
        <w:t xml:space="preserve">frecuencia de radiodifusión (MHz) </w:t>
      </w:r>
      <w:r>
        <w:rPr>
          <w:i/>
          <w:lang w:val="es-ES_tradnl"/>
        </w:rPr>
        <w:t>f</w:t>
      </w:r>
      <w:r>
        <w:rPr>
          <w:position w:val="-4"/>
          <w:sz w:val="16"/>
          <w:lang w:val="es-ES_tradnl"/>
        </w:rPr>
        <w:t>1</w:t>
      </w:r>
      <w:r>
        <w:rPr>
          <w:lang w:val="es-ES_tradnl"/>
        </w:rPr>
        <w:t xml:space="preserve"> </w:t>
      </w:r>
      <w:r>
        <w:rPr>
          <w:rFonts w:ascii="Symbol" w:hAnsi="Symbol"/>
          <w:lang w:val="es-ES_tradnl"/>
        </w:rPr>
        <w:t></w:t>
      </w:r>
      <w:r>
        <w:rPr>
          <w:lang w:val="es-ES_tradnl"/>
        </w:rPr>
        <w:t xml:space="preserve"> </w:t>
      </w:r>
      <w:r>
        <w:rPr>
          <w:i/>
          <w:lang w:val="es-ES_tradnl"/>
        </w:rPr>
        <w:t>f</w:t>
      </w:r>
      <w:r>
        <w:rPr>
          <w:position w:val="-4"/>
          <w:sz w:val="16"/>
          <w:lang w:val="es-ES_tradnl"/>
        </w:rPr>
        <w:t>2</w:t>
      </w:r>
      <w:r>
        <w:rPr>
          <w:lang w:val="es-ES_tradnl"/>
        </w:rPr>
        <w:t xml:space="preserve"> </w:t>
      </w:r>
      <w:r>
        <w:rPr>
          <w:rFonts w:ascii="Symbol" w:hAnsi="Symbol"/>
          <w:lang w:val="es-ES_tradnl"/>
        </w:rPr>
        <w:t></w:t>
      </w:r>
      <w:r>
        <w:rPr>
          <w:lang w:val="es-ES_tradnl"/>
        </w:rPr>
        <w:t xml:space="preserve"> </w:t>
      </w:r>
      <w:r>
        <w:rPr>
          <w:i/>
          <w:lang w:val="es-ES_tradnl"/>
        </w:rPr>
        <w:t>f</w:t>
      </w:r>
      <w:r>
        <w:rPr>
          <w:position w:val="-4"/>
          <w:sz w:val="16"/>
          <w:lang w:val="es-ES_tradnl"/>
        </w:rPr>
        <w:t>3</w:t>
      </w:r>
    </w:p>
    <w:p w14:paraId="6CACC80C" w14:textId="77777777" w:rsidR="008760D9" w:rsidRDefault="008760D9">
      <w:pPr>
        <w:pStyle w:val="enumlev1"/>
        <w:tabs>
          <w:tab w:val="left" w:pos="1588"/>
        </w:tabs>
        <w:ind w:left="1588" w:hanging="1588"/>
        <w:rPr>
          <w:lang w:val="es-ES_tradnl"/>
        </w:rPr>
      </w:pPr>
      <w:r>
        <w:rPr>
          <w:i/>
          <w:lang w:val="es-ES_tradnl"/>
        </w:rPr>
        <w:tab/>
        <w:t>K</w:t>
      </w:r>
      <w:r>
        <w:rPr>
          <w:lang w:val="es-ES_tradnl"/>
        </w:rPr>
        <w:t xml:space="preserve">  </w:t>
      </w:r>
      <w:r>
        <w:rPr>
          <w:rFonts w:ascii="Symbol" w:hAnsi="Symbol"/>
          <w:lang w:val="es-ES_tradnl"/>
        </w:rPr>
        <w:t></w:t>
      </w:r>
      <w:r>
        <w:rPr>
          <w:lang w:val="es-ES_tradnl"/>
        </w:rPr>
        <w:tab/>
        <w:t>140 para localizar ILS</w:t>
      </w:r>
    </w:p>
    <w:p w14:paraId="3B836D85" w14:textId="77777777" w:rsidR="008760D9" w:rsidRDefault="008760D9">
      <w:pPr>
        <w:pStyle w:val="enumlev1"/>
        <w:tabs>
          <w:tab w:val="left" w:pos="1588"/>
        </w:tabs>
        <w:ind w:left="1588" w:hanging="1588"/>
        <w:rPr>
          <w:lang w:val="es-ES_tradnl"/>
        </w:rPr>
      </w:pPr>
      <w:r>
        <w:rPr>
          <w:i/>
          <w:lang w:val="es-ES_tradnl"/>
        </w:rPr>
        <w:tab/>
        <w:t xml:space="preserve">K  </w:t>
      </w:r>
      <w:r>
        <w:rPr>
          <w:rFonts w:ascii="Symbol" w:hAnsi="Symbol"/>
          <w:lang w:val="es-ES_tradnl"/>
        </w:rPr>
        <w:t></w:t>
      </w:r>
      <w:r>
        <w:rPr>
          <w:lang w:val="es-ES_tradnl"/>
        </w:rPr>
        <w:tab/>
        <w:t>33 para el VOR</w:t>
      </w:r>
    </w:p>
    <w:p w14:paraId="3C0D5637" w14:textId="77777777" w:rsidR="008760D9" w:rsidRDefault="008760D9">
      <w:pPr>
        <w:pStyle w:val="enumlev1"/>
        <w:tabs>
          <w:tab w:val="left" w:pos="1588"/>
        </w:tabs>
        <w:ind w:left="1588" w:hanging="1588"/>
        <w:rPr>
          <w:lang w:val="es-ES_tradnl"/>
        </w:rPr>
      </w:pPr>
      <w:r>
        <w:rPr>
          <w:i/>
          <w:lang w:val="es-ES_tradnl"/>
        </w:rPr>
        <w:tab/>
        <w:t>L</w:t>
      </w:r>
      <w:r>
        <w:rPr>
          <w:i/>
          <w:position w:val="-4"/>
          <w:sz w:val="16"/>
          <w:lang w:val="es-ES_tradnl"/>
        </w:rPr>
        <w:t>c</w:t>
      </w:r>
      <w:r>
        <w:rPr>
          <w:position w:val="-4"/>
          <w:sz w:val="18"/>
          <w:lang w:val="es-ES_tradnl"/>
        </w:rPr>
        <w:t xml:space="preserve"> </w:t>
      </w:r>
      <w:r>
        <w:rPr>
          <w:lang w:val="es-ES_tradnl"/>
        </w:rPr>
        <w:t>:</w:t>
      </w:r>
      <w:r>
        <w:rPr>
          <w:lang w:val="es-ES_tradnl"/>
        </w:rPr>
        <w:tab/>
        <w:t>factor de corrección (dB) para tener en cuenta los cambios de nivel de la señal del localizador ILS o del VOR (véase el § 4.2.3.3).</w:t>
      </w:r>
    </w:p>
    <w:p w14:paraId="66B16015" w14:textId="77777777" w:rsidR="008760D9" w:rsidRDefault="008760D9">
      <w:pPr>
        <w:pStyle w:val="Table"/>
        <w:rPr>
          <w:lang w:val="fr-FR"/>
        </w:rPr>
      </w:pPr>
      <w:r>
        <w:rPr>
          <w:lang w:val="fr-FR"/>
        </w:rPr>
        <w:t>CUADRO  3</w:t>
      </w:r>
    </w:p>
    <w:p w14:paraId="3DBFF93E" w14:textId="77777777" w:rsidR="008760D9" w:rsidRDefault="008760D9">
      <w:pPr>
        <w:pStyle w:val="Blanc"/>
        <w:rPr>
          <w:lang w:val="fr-FR"/>
        </w:rPr>
      </w:pPr>
    </w:p>
    <w:tbl>
      <w:tblPr>
        <w:tblW w:w="0" w:type="auto"/>
        <w:jc w:val="center"/>
        <w:tblLayout w:type="fixed"/>
        <w:tblCellMar>
          <w:left w:w="0" w:type="dxa"/>
          <w:right w:w="0" w:type="dxa"/>
        </w:tblCellMar>
        <w:tblLook w:val="0000" w:firstRow="0" w:lastRow="0" w:firstColumn="0" w:lastColumn="0" w:noHBand="0" w:noVBand="0"/>
      </w:tblPr>
      <w:tblGrid>
        <w:gridCol w:w="3862"/>
        <w:gridCol w:w="2614"/>
      </w:tblGrid>
      <w:tr w:rsidR="008760D9" w14:paraId="2FF61EB2" w14:textId="77777777">
        <w:trPr>
          <w:cantSplit/>
          <w:jc w:val="center"/>
        </w:trPr>
        <w:tc>
          <w:tcPr>
            <w:tcW w:w="3862" w:type="dxa"/>
            <w:tcBorders>
              <w:top w:val="single" w:sz="6" w:space="0" w:color="auto"/>
              <w:left w:val="single" w:sz="6" w:space="0" w:color="auto"/>
              <w:bottom w:val="single" w:sz="6" w:space="0" w:color="auto"/>
              <w:right w:val="single" w:sz="6" w:space="0" w:color="auto"/>
            </w:tcBorders>
          </w:tcPr>
          <w:p w14:paraId="08C9A3C8" w14:textId="77777777" w:rsidR="008760D9" w:rsidRPr="00AC3FDE" w:rsidRDefault="008760D9">
            <w:pPr>
              <w:pStyle w:val="TableText"/>
              <w:framePr w:hSpace="181" w:wrap="notBeside" w:vAnchor="text" w:hAnchor="page" w:xAlign="center" w:y="1"/>
              <w:jc w:val="center"/>
              <w:rPr>
                <w:lang w:val="es-ES"/>
              </w:rPr>
            </w:pPr>
            <w:r w:rsidRPr="00AC3FDE">
              <w:rPr>
                <w:lang w:val="es-ES"/>
              </w:rPr>
              <w:t xml:space="preserve">Diferencia entre las frecuencias de la señal </w:t>
            </w:r>
            <w:r w:rsidRPr="00AC3FDE">
              <w:rPr>
                <w:lang w:val="es-ES"/>
              </w:rPr>
              <w:br/>
              <w:t>deseada y la señal de radiodifusión</w:t>
            </w:r>
            <w:r w:rsidRPr="00AC3FDE">
              <w:rPr>
                <w:lang w:val="es-ES"/>
              </w:rPr>
              <w:br/>
              <w:t>(kHz)</w:t>
            </w:r>
          </w:p>
        </w:tc>
        <w:tc>
          <w:tcPr>
            <w:tcW w:w="2614" w:type="dxa"/>
            <w:tcBorders>
              <w:top w:val="single" w:sz="6" w:space="0" w:color="auto"/>
              <w:left w:val="single" w:sz="6" w:space="0" w:color="auto"/>
              <w:bottom w:val="single" w:sz="6" w:space="0" w:color="auto"/>
              <w:right w:val="single" w:sz="6" w:space="0" w:color="auto"/>
            </w:tcBorders>
          </w:tcPr>
          <w:p w14:paraId="3A9CE47B" w14:textId="77777777" w:rsidR="008760D9" w:rsidRDefault="008760D9">
            <w:pPr>
              <w:pStyle w:val="TableText"/>
              <w:framePr w:hSpace="181" w:wrap="notBeside" w:vAnchor="text" w:hAnchor="page" w:xAlign="center" w:y="1"/>
              <w:spacing w:before="200"/>
              <w:jc w:val="center"/>
              <w:rPr>
                <w:lang w:val="fr-FR"/>
              </w:rPr>
            </w:pPr>
            <w:proofErr w:type="spellStart"/>
            <w:r>
              <w:rPr>
                <w:lang w:val="fr-FR"/>
              </w:rPr>
              <w:t>Relación</w:t>
            </w:r>
            <w:proofErr w:type="spellEnd"/>
            <w:r>
              <w:rPr>
                <w:lang w:val="fr-FR"/>
              </w:rPr>
              <w:t xml:space="preserve"> de </w:t>
            </w:r>
            <w:proofErr w:type="spellStart"/>
            <w:r>
              <w:rPr>
                <w:lang w:val="fr-FR"/>
              </w:rPr>
              <w:t>protección</w:t>
            </w:r>
            <w:proofErr w:type="spellEnd"/>
            <w:r>
              <w:rPr>
                <w:lang w:val="fr-FR"/>
              </w:rPr>
              <w:br/>
              <w:t>(dB)</w:t>
            </w:r>
          </w:p>
        </w:tc>
      </w:tr>
      <w:tr w:rsidR="008760D9" w14:paraId="365B9019" w14:textId="77777777">
        <w:trPr>
          <w:cantSplit/>
          <w:jc w:val="center"/>
        </w:trPr>
        <w:tc>
          <w:tcPr>
            <w:tcW w:w="3862" w:type="dxa"/>
            <w:tcBorders>
              <w:top w:val="single" w:sz="6" w:space="0" w:color="auto"/>
              <w:left w:val="single" w:sz="6" w:space="0" w:color="auto"/>
              <w:right w:val="single" w:sz="6" w:space="0" w:color="auto"/>
            </w:tcBorders>
          </w:tcPr>
          <w:p w14:paraId="10046E9B" w14:textId="77777777" w:rsidR="008760D9" w:rsidRDefault="008760D9">
            <w:pPr>
              <w:pStyle w:val="TableText"/>
              <w:framePr w:hSpace="181" w:wrap="notBeside" w:vAnchor="text" w:hAnchor="page" w:xAlign="center" w:y="1"/>
              <w:spacing w:before="60" w:after="40"/>
              <w:jc w:val="center"/>
              <w:rPr>
                <w:lang w:val="fr-FR"/>
              </w:rPr>
            </w:pPr>
            <w:r>
              <w:rPr>
                <w:lang w:val="fr-FR"/>
              </w:rPr>
              <w:t>150</w:t>
            </w:r>
          </w:p>
        </w:tc>
        <w:tc>
          <w:tcPr>
            <w:tcW w:w="2614" w:type="dxa"/>
            <w:tcBorders>
              <w:top w:val="single" w:sz="6" w:space="0" w:color="auto"/>
              <w:left w:val="single" w:sz="6" w:space="0" w:color="auto"/>
              <w:right w:val="single" w:sz="6" w:space="0" w:color="auto"/>
            </w:tcBorders>
          </w:tcPr>
          <w:p w14:paraId="1513DEEB" w14:textId="77777777" w:rsidR="008760D9" w:rsidRDefault="008760D9">
            <w:pPr>
              <w:pStyle w:val="TableText"/>
              <w:framePr w:hSpace="181" w:wrap="notBeside" w:vAnchor="text" w:hAnchor="page" w:xAlign="center" w:y="1"/>
              <w:spacing w:before="60" w:after="40"/>
              <w:jc w:val="center"/>
              <w:rPr>
                <w:lang w:val="fr-FR"/>
              </w:rPr>
            </w:pPr>
            <w:r>
              <w:rPr>
                <w:lang w:val="fr-FR"/>
              </w:rPr>
              <w:t>–41</w:t>
            </w:r>
          </w:p>
        </w:tc>
      </w:tr>
      <w:tr w:rsidR="008760D9" w14:paraId="5D0075E2" w14:textId="77777777">
        <w:trPr>
          <w:cantSplit/>
          <w:jc w:val="center"/>
        </w:trPr>
        <w:tc>
          <w:tcPr>
            <w:tcW w:w="3862" w:type="dxa"/>
            <w:tcBorders>
              <w:left w:val="single" w:sz="6" w:space="0" w:color="auto"/>
              <w:right w:val="single" w:sz="6" w:space="0" w:color="auto"/>
            </w:tcBorders>
          </w:tcPr>
          <w:p w14:paraId="71B3E7CB" w14:textId="77777777" w:rsidR="008760D9" w:rsidRDefault="008760D9">
            <w:pPr>
              <w:pStyle w:val="TableText"/>
              <w:framePr w:hSpace="181" w:wrap="notBeside" w:vAnchor="text" w:hAnchor="page" w:xAlign="center" w:y="1"/>
              <w:spacing w:before="40" w:after="40"/>
              <w:jc w:val="center"/>
              <w:rPr>
                <w:lang w:val="fr-FR"/>
              </w:rPr>
            </w:pPr>
            <w:r>
              <w:rPr>
                <w:lang w:val="fr-FR"/>
              </w:rPr>
              <w:t>200</w:t>
            </w:r>
          </w:p>
        </w:tc>
        <w:tc>
          <w:tcPr>
            <w:tcW w:w="2614" w:type="dxa"/>
            <w:tcBorders>
              <w:left w:val="single" w:sz="6" w:space="0" w:color="auto"/>
              <w:right w:val="single" w:sz="6" w:space="0" w:color="auto"/>
            </w:tcBorders>
          </w:tcPr>
          <w:p w14:paraId="1DD05959" w14:textId="77777777" w:rsidR="008760D9" w:rsidRDefault="008760D9">
            <w:pPr>
              <w:pStyle w:val="TableText"/>
              <w:framePr w:hSpace="181" w:wrap="notBeside" w:vAnchor="text" w:hAnchor="page" w:xAlign="center" w:y="1"/>
              <w:spacing w:before="40" w:after="40"/>
              <w:jc w:val="center"/>
              <w:rPr>
                <w:lang w:val="fr-FR"/>
              </w:rPr>
            </w:pPr>
            <w:r>
              <w:rPr>
                <w:lang w:val="fr-FR"/>
              </w:rPr>
              <w:t>–50</w:t>
            </w:r>
          </w:p>
        </w:tc>
      </w:tr>
      <w:tr w:rsidR="008760D9" w14:paraId="41AE4C2C" w14:textId="77777777">
        <w:trPr>
          <w:cantSplit/>
          <w:jc w:val="center"/>
        </w:trPr>
        <w:tc>
          <w:tcPr>
            <w:tcW w:w="3862" w:type="dxa"/>
            <w:tcBorders>
              <w:left w:val="single" w:sz="6" w:space="0" w:color="auto"/>
              <w:right w:val="single" w:sz="6" w:space="0" w:color="auto"/>
            </w:tcBorders>
          </w:tcPr>
          <w:p w14:paraId="75B75509" w14:textId="77777777" w:rsidR="008760D9" w:rsidRDefault="008760D9">
            <w:pPr>
              <w:pStyle w:val="TableText"/>
              <w:framePr w:hSpace="181" w:wrap="notBeside" w:vAnchor="text" w:hAnchor="page" w:xAlign="center" w:y="1"/>
              <w:spacing w:before="40" w:after="40"/>
              <w:jc w:val="center"/>
              <w:rPr>
                <w:lang w:val="fr-FR"/>
              </w:rPr>
            </w:pPr>
            <w:r>
              <w:rPr>
                <w:lang w:val="fr-FR"/>
              </w:rPr>
              <w:t>250</w:t>
            </w:r>
          </w:p>
        </w:tc>
        <w:tc>
          <w:tcPr>
            <w:tcW w:w="2614" w:type="dxa"/>
            <w:tcBorders>
              <w:left w:val="single" w:sz="6" w:space="0" w:color="auto"/>
              <w:right w:val="single" w:sz="6" w:space="0" w:color="auto"/>
            </w:tcBorders>
          </w:tcPr>
          <w:p w14:paraId="154636BA" w14:textId="77777777" w:rsidR="008760D9" w:rsidRDefault="008760D9">
            <w:pPr>
              <w:pStyle w:val="TableText"/>
              <w:framePr w:hSpace="181" w:wrap="notBeside" w:vAnchor="text" w:hAnchor="page" w:xAlign="center" w:y="1"/>
              <w:spacing w:before="40" w:after="40"/>
              <w:jc w:val="center"/>
              <w:rPr>
                <w:lang w:val="fr-FR"/>
              </w:rPr>
            </w:pPr>
            <w:r>
              <w:rPr>
                <w:lang w:val="fr-FR"/>
              </w:rPr>
              <w:t>–59</w:t>
            </w:r>
          </w:p>
        </w:tc>
      </w:tr>
      <w:tr w:rsidR="008760D9" w14:paraId="5BB2FA3C" w14:textId="77777777">
        <w:trPr>
          <w:cantSplit/>
          <w:jc w:val="center"/>
        </w:trPr>
        <w:tc>
          <w:tcPr>
            <w:tcW w:w="3862" w:type="dxa"/>
            <w:tcBorders>
              <w:left w:val="single" w:sz="6" w:space="0" w:color="auto"/>
              <w:bottom w:val="single" w:sz="6" w:space="0" w:color="auto"/>
              <w:right w:val="single" w:sz="6" w:space="0" w:color="auto"/>
            </w:tcBorders>
          </w:tcPr>
          <w:p w14:paraId="56ACFC37" w14:textId="77777777" w:rsidR="008760D9" w:rsidRDefault="008760D9">
            <w:pPr>
              <w:pStyle w:val="TableText"/>
              <w:framePr w:hSpace="181" w:wrap="notBeside" w:vAnchor="text" w:hAnchor="page" w:xAlign="center" w:y="1"/>
              <w:spacing w:before="40" w:after="60"/>
              <w:jc w:val="center"/>
              <w:rPr>
                <w:lang w:val="fr-FR"/>
              </w:rPr>
            </w:pPr>
            <w:r>
              <w:rPr>
                <w:lang w:val="fr-FR"/>
              </w:rPr>
              <w:t>300</w:t>
            </w:r>
          </w:p>
        </w:tc>
        <w:tc>
          <w:tcPr>
            <w:tcW w:w="2614" w:type="dxa"/>
            <w:tcBorders>
              <w:left w:val="single" w:sz="6" w:space="0" w:color="auto"/>
              <w:bottom w:val="single" w:sz="6" w:space="0" w:color="auto"/>
              <w:right w:val="single" w:sz="6" w:space="0" w:color="auto"/>
            </w:tcBorders>
          </w:tcPr>
          <w:p w14:paraId="4554A7B7" w14:textId="77777777" w:rsidR="008760D9" w:rsidRDefault="008760D9">
            <w:pPr>
              <w:pStyle w:val="TableText"/>
              <w:framePr w:hSpace="181" w:wrap="notBeside" w:vAnchor="text" w:hAnchor="page" w:xAlign="center" w:y="1"/>
              <w:spacing w:before="40" w:after="60"/>
              <w:jc w:val="center"/>
              <w:rPr>
                <w:lang w:val="fr-FR"/>
              </w:rPr>
            </w:pPr>
            <w:r>
              <w:rPr>
                <w:lang w:val="fr-FR"/>
              </w:rPr>
              <w:t>–68</w:t>
            </w:r>
          </w:p>
        </w:tc>
      </w:tr>
    </w:tbl>
    <w:p w14:paraId="7C36B911" w14:textId="77777777" w:rsidR="008760D9" w:rsidRDefault="008760D9">
      <w:pPr>
        <w:pStyle w:val="Tablefin"/>
        <w:spacing w:before="0"/>
        <w:rPr>
          <w:lang w:val="fr-FR"/>
        </w:rPr>
      </w:pPr>
    </w:p>
    <w:p w14:paraId="5A66C93F" w14:textId="77777777" w:rsidR="008760D9" w:rsidRDefault="008760D9">
      <w:pPr>
        <w:spacing w:before="0"/>
        <w:rPr>
          <w:lang w:val="es-ES_tradnl"/>
        </w:rPr>
      </w:pPr>
    </w:p>
    <w:p w14:paraId="34434A55" w14:textId="77777777" w:rsidR="008760D9" w:rsidRDefault="008760D9">
      <w:pPr>
        <w:pStyle w:val="Heading4"/>
        <w:rPr>
          <w:lang w:val="es-ES_tradnl"/>
        </w:rPr>
      </w:pPr>
      <w:r>
        <w:rPr>
          <w:lang w:val="es-ES_tradnl"/>
        </w:rPr>
        <w:t>4.2.3.2</w:t>
      </w:r>
      <w:r>
        <w:rPr>
          <w:lang w:val="es-ES_tradnl"/>
        </w:rPr>
        <w:tab/>
        <w:t>Corrección del desplazamiento de frecuencia</w:t>
      </w:r>
    </w:p>
    <w:p w14:paraId="14876D8E" w14:textId="77777777" w:rsidR="008760D9" w:rsidRDefault="008760D9">
      <w:pPr>
        <w:rPr>
          <w:lang w:val="es-ES_tradnl"/>
        </w:rPr>
      </w:pPr>
      <w:r>
        <w:rPr>
          <w:lang w:val="es-ES_tradnl"/>
        </w:rPr>
        <w:t>Antes de aplicar las fórmulas (4) y (5), se aplica a cada nivel de la señal un factor de corrección obtenido del Cuadro 4:</w:t>
      </w:r>
    </w:p>
    <w:p w14:paraId="2A82AFC9" w14:textId="77777777" w:rsidR="008760D9" w:rsidRDefault="008760D9">
      <w:pPr>
        <w:pStyle w:val="Equation"/>
        <w:rPr>
          <w:lang w:val="es-ES_tradnl"/>
        </w:rPr>
      </w:pPr>
      <w:bookmarkStart w:id="9" w:name="F007"/>
      <w:r w:rsidRPr="00AC3FDE">
        <w:rPr>
          <w:lang w:val="es-ES"/>
        </w:rPr>
        <w:tab/>
      </w:r>
      <w:r w:rsidRPr="00AC3FDE">
        <w:rPr>
          <w:lang w:val="es-ES"/>
        </w:rPr>
        <w:tab/>
      </w:r>
      <w:r w:rsidRPr="00AC3FDE">
        <w:rPr>
          <w:i/>
          <w:lang w:val="es-ES"/>
        </w:rPr>
        <w:t>N</w:t>
      </w:r>
      <w:r w:rsidRPr="00AC3FDE">
        <w:rPr>
          <w:lang w:val="es-ES"/>
        </w:rPr>
        <w:t xml:space="preserve"> (corregido)  </w:t>
      </w:r>
      <w:r>
        <w:rPr>
          <w:rFonts w:ascii="Symbol" w:hAnsi="Symbol"/>
        </w:rPr>
        <w:t></w:t>
      </w:r>
      <w:r w:rsidRPr="00AC3FDE">
        <w:rPr>
          <w:lang w:val="es-ES"/>
        </w:rPr>
        <w:t xml:space="preserve">  </w:t>
      </w:r>
      <w:r w:rsidRPr="00AC3FDE">
        <w:rPr>
          <w:i/>
          <w:lang w:val="es-ES"/>
        </w:rPr>
        <w:t>N</w:t>
      </w:r>
      <w:r w:rsidRPr="00AC3FDE">
        <w:rPr>
          <w:lang w:val="es-ES"/>
        </w:rPr>
        <w:t xml:space="preserve">  –  término de corrección</w:t>
      </w:r>
      <w:bookmarkEnd w:id="9"/>
    </w:p>
    <w:p w14:paraId="729E8BA2" w14:textId="77777777" w:rsidR="008760D9" w:rsidRDefault="008760D9">
      <w:pPr>
        <w:rPr>
          <w:lang w:val="es-ES_tradnl"/>
        </w:rPr>
      </w:pPr>
      <w:r>
        <w:rPr>
          <w:lang w:val="es-ES_tradnl"/>
        </w:rPr>
        <w:t>No es necesario considerar la interferencia de Tipo B1 para diferencias de frecuencias superiores a 200 kHz.</w:t>
      </w:r>
    </w:p>
    <w:p w14:paraId="475FA8FB" w14:textId="77777777" w:rsidR="008760D9" w:rsidRDefault="008760D9">
      <w:pPr>
        <w:pStyle w:val="Table"/>
        <w:rPr>
          <w:lang w:val="fr-FR"/>
        </w:rPr>
      </w:pPr>
      <w:bookmarkStart w:id="10" w:name="asunto"/>
      <w:bookmarkEnd w:id="10"/>
      <w:r>
        <w:rPr>
          <w:lang w:val="fr-FR"/>
        </w:rPr>
        <w:t>CUADRO  4</w:t>
      </w:r>
    </w:p>
    <w:p w14:paraId="3BE28B03" w14:textId="77777777" w:rsidR="008760D9" w:rsidRDefault="008760D9">
      <w:pPr>
        <w:pStyle w:val="Blanc"/>
        <w:rPr>
          <w:lang w:val="fr-FR"/>
        </w:rPr>
      </w:pPr>
    </w:p>
    <w:tbl>
      <w:tblPr>
        <w:tblW w:w="0" w:type="auto"/>
        <w:jc w:val="center"/>
        <w:tblLayout w:type="fixed"/>
        <w:tblCellMar>
          <w:left w:w="0" w:type="dxa"/>
          <w:right w:w="0" w:type="dxa"/>
        </w:tblCellMar>
        <w:tblLook w:val="0000" w:firstRow="0" w:lastRow="0" w:firstColumn="0" w:lastColumn="0" w:noHBand="0" w:noVBand="0"/>
      </w:tblPr>
      <w:tblGrid>
        <w:gridCol w:w="3862"/>
        <w:gridCol w:w="2614"/>
      </w:tblGrid>
      <w:tr w:rsidR="008760D9" w14:paraId="7E7A873B" w14:textId="77777777">
        <w:trPr>
          <w:cantSplit/>
          <w:jc w:val="center"/>
        </w:trPr>
        <w:tc>
          <w:tcPr>
            <w:tcW w:w="3862" w:type="dxa"/>
            <w:tcBorders>
              <w:top w:val="single" w:sz="6" w:space="0" w:color="auto"/>
              <w:left w:val="single" w:sz="6" w:space="0" w:color="auto"/>
              <w:bottom w:val="single" w:sz="6" w:space="0" w:color="auto"/>
              <w:right w:val="single" w:sz="6" w:space="0" w:color="auto"/>
            </w:tcBorders>
          </w:tcPr>
          <w:p w14:paraId="7CFBC628" w14:textId="77777777" w:rsidR="008760D9" w:rsidRPr="00AC3FDE" w:rsidRDefault="008760D9">
            <w:pPr>
              <w:pStyle w:val="TableText"/>
              <w:framePr w:hSpace="181" w:wrap="notBeside" w:vAnchor="text" w:hAnchor="page" w:xAlign="center" w:y="1"/>
              <w:jc w:val="center"/>
              <w:rPr>
                <w:lang w:val="es-ES"/>
              </w:rPr>
            </w:pPr>
            <w:r w:rsidRPr="00AC3FDE">
              <w:rPr>
                <w:lang w:val="es-ES"/>
              </w:rPr>
              <w:t>Diferencia entre las frecuencias de la señal</w:t>
            </w:r>
            <w:r w:rsidRPr="00AC3FDE">
              <w:rPr>
                <w:lang w:val="es-ES"/>
              </w:rPr>
              <w:br/>
              <w:t>deseada y del producto de intermodulación</w:t>
            </w:r>
            <w:r w:rsidRPr="00AC3FDE">
              <w:rPr>
                <w:lang w:val="es-ES"/>
              </w:rPr>
              <w:br/>
              <w:t>(kHz)</w:t>
            </w:r>
          </w:p>
        </w:tc>
        <w:tc>
          <w:tcPr>
            <w:tcW w:w="2614" w:type="dxa"/>
            <w:tcBorders>
              <w:top w:val="single" w:sz="6" w:space="0" w:color="auto"/>
              <w:left w:val="single" w:sz="6" w:space="0" w:color="auto"/>
              <w:bottom w:val="single" w:sz="6" w:space="0" w:color="auto"/>
              <w:right w:val="single" w:sz="6" w:space="0" w:color="auto"/>
            </w:tcBorders>
          </w:tcPr>
          <w:p w14:paraId="61EDE517" w14:textId="77777777" w:rsidR="008760D9" w:rsidRDefault="008760D9">
            <w:pPr>
              <w:pStyle w:val="TableText"/>
              <w:framePr w:hSpace="181" w:wrap="notBeside" w:vAnchor="text" w:hAnchor="page" w:xAlign="center" w:y="1"/>
              <w:spacing w:before="200"/>
              <w:jc w:val="center"/>
              <w:rPr>
                <w:lang w:val="fr-FR"/>
              </w:rPr>
            </w:pPr>
            <w:proofErr w:type="spellStart"/>
            <w:r>
              <w:rPr>
                <w:lang w:val="fr-FR"/>
              </w:rPr>
              <w:t>Término</w:t>
            </w:r>
            <w:proofErr w:type="spellEnd"/>
            <w:r>
              <w:rPr>
                <w:lang w:val="fr-FR"/>
              </w:rPr>
              <w:t xml:space="preserve"> de </w:t>
            </w:r>
            <w:proofErr w:type="spellStart"/>
            <w:r>
              <w:rPr>
                <w:lang w:val="fr-FR"/>
              </w:rPr>
              <w:t>corrección</w:t>
            </w:r>
            <w:proofErr w:type="spellEnd"/>
            <w:r>
              <w:rPr>
                <w:lang w:val="fr-FR"/>
              </w:rPr>
              <w:br/>
              <w:t>(dB)</w:t>
            </w:r>
          </w:p>
        </w:tc>
      </w:tr>
      <w:tr w:rsidR="008760D9" w14:paraId="4288B8BF" w14:textId="77777777">
        <w:trPr>
          <w:cantSplit/>
          <w:jc w:val="center"/>
        </w:trPr>
        <w:tc>
          <w:tcPr>
            <w:tcW w:w="3862" w:type="dxa"/>
            <w:tcBorders>
              <w:top w:val="single" w:sz="6" w:space="0" w:color="auto"/>
              <w:left w:val="single" w:sz="6" w:space="0" w:color="auto"/>
              <w:right w:val="single" w:sz="6" w:space="0" w:color="auto"/>
            </w:tcBorders>
          </w:tcPr>
          <w:p w14:paraId="3DA2E782" w14:textId="77777777" w:rsidR="008760D9" w:rsidRDefault="008760D9">
            <w:pPr>
              <w:pStyle w:val="TableText"/>
              <w:framePr w:hSpace="181" w:wrap="notBeside" w:vAnchor="text" w:hAnchor="page" w:xAlign="center" w:y="1"/>
              <w:spacing w:before="60" w:after="40"/>
              <w:ind w:right="1814"/>
              <w:jc w:val="right"/>
              <w:rPr>
                <w:lang w:val="fr-FR"/>
              </w:rPr>
            </w:pPr>
            <w:r>
              <w:rPr>
                <w:lang w:val="fr-FR"/>
              </w:rPr>
              <w:t>0</w:t>
            </w:r>
          </w:p>
        </w:tc>
        <w:tc>
          <w:tcPr>
            <w:tcW w:w="2614" w:type="dxa"/>
            <w:tcBorders>
              <w:top w:val="single" w:sz="6" w:space="0" w:color="auto"/>
              <w:left w:val="single" w:sz="6" w:space="0" w:color="auto"/>
              <w:right w:val="single" w:sz="6" w:space="0" w:color="auto"/>
            </w:tcBorders>
          </w:tcPr>
          <w:p w14:paraId="2D98307B" w14:textId="77777777" w:rsidR="008760D9" w:rsidRDefault="008760D9">
            <w:pPr>
              <w:pStyle w:val="TableText"/>
              <w:framePr w:hSpace="181" w:wrap="notBeside" w:vAnchor="text" w:hAnchor="page" w:xAlign="center" w:y="1"/>
              <w:spacing w:before="60" w:after="40"/>
              <w:ind w:right="1247"/>
              <w:jc w:val="right"/>
              <w:rPr>
                <w:lang w:val="fr-FR"/>
              </w:rPr>
            </w:pPr>
            <w:r>
              <w:rPr>
                <w:lang w:val="fr-FR"/>
              </w:rPr>
              <w:t>0</w:t>
            </w:r>
          </w:p>
        </w:tc>
      </w:tr>
      <w:tr w:rsidR="008760D9" w14:paraId="5B5876D3" w14:textId="77777777">
        <w:trPr>
          <w:cantSplit/>
          <w:jc w:val="center"/>
        </w:trPr>
        <w:tc>
          <w:tcPr>
            <w:tcW w:w="3862" w:type="dxa"/>
            <w:tcBorders>
              <w:left w:val="single" w:sz="6" w:space="0" w:color="auto"/>
              <w:right w:val="single" w:sz="6" w:space="0" w:color="auto"/>
            </w:tcBorders>
          </w:tcPr>
          <w:p w14:paraId="12245DF7" w14:textId="77777777" w:rsidR="008760D9" w:rsidRDefault="008760D9">
            <w:pPr>
              <w:pStyle w:val="TableText"/>
              <w:framePr w:hSpace="181" w:wrap="notBeside" w:vAnchor="text" w:hAnchor="page" w:xAlign="center" w:y="1"/>
              <w:spacing w:before="40" w:after="40"/>
              <w:ind w:right="1814"/>
              <w:jc w:val="right"/>
              <w:rPr>
                <w:lang w:val="fr-FR"/>
              </w:rPr>
            </w:pPr>
            <w:r>
              <w:rPr>
                <w:lang w:val="fr-FR"/>
              </w:rPr>
              <w:t>50</w:t>
            </w:r>
          </w:p>
        </w:tc>
        <w:tc>
          <w:tcPr>
            <w:tcW w:w="2614" w:type="dxa"/>
            <w:tcBorders>
              <w:left w:val="single" w:sz="6" w:space="0" w:color="auto"/>
              <w:right w:val="single" w:sz="6" w:space="0" w:color="auto"/>
            </w:tcBorders>
          </w:tcPr>
          <w:p w14:paraId="183599C2" w14:textId="77777777" w:rsidR="008760D9" w:rsidRDefault="008760D9">
            <w:pPr>
              <w:pStyle w:val="TableText"/>
              <w:framePr w:hSpace="181" w:wrap="notBeside" w:vAnchor="text" w:hAnchor="page" w:xAlign="center" w:y="1"/>
              <w:spacing w:before="40" w:after="40"/>
              <w:ind w:right="1247"/>
              <w:jc w:val="right"/>
              <w:rPr>
                <w:lang w:val="fr-FR"/>
              </w:rPr>
            </w:pPr>
            <w:r>
              <w:rPr>
                <w:lang w:val="fr-FR"/>
              </w:rPr>
              <w:t>2</w:t>
            </w:r>
          </w:p>
        </w:tc>
      </w:tr>
      <w:tr w:rsidR="008760D9" w14:paraId="57F62DDE" w14:textId="77777777">
        <w:trPr>
          <w:cantSplit/>
          <w:jc w:val="center"/>
        </w:trPr>
        <w:tc>
          <w:tcPr>
            <w:tcW w:w="3862" w:type="dxa"/>
            <w:tcBorders>
              <w:left w:val="single" w:sz="6" w:space="0" w:color="auto"/>
              <w:right w:val="single" w:sz="6" w:space="0" w:color="auto"/>
            </w:tcBorders>
          </w:tcPr>
          <w:p w14:paraId="6BD36433" w14:textId="77777777" w:rsidR="008760D9" w:rsidRDefault="008760D9">
            <w:pPr>
              <w:pStyle w:val="TableText"/>
              <w:framePr w:hSpace="181" w:wrap="notBeside" w:vAnchor="text" w:hAnchor="page" w:xAlign="center" w:y="1"/>
              <w:spacing w:before="40" w:after="40"/>
              <w:ind w:right="1814"/>
              <w:jc w:val="right"/>
              <w:rPr>
                <w:lang w:val="fr-FR"/>
              </w:rPr>
            </w:pPr>
            <w:r>
              <w:rPr>
                <w:lang w:val="fr-FR"/>
              </w:rPr>
              <w:t>100</w:t>
            </w:r>
          </w:p>
        </w:tc>
        <w:tc>
          <w:tcPr>
            <w:tcW w:w="2614" w:type="dxa"/>
            <w:tcBorders>
              <w:left w:val="single" w:sz="6" w:space="0" w:color="auto"/>
              <w:right w:val="single" w:sz="6" w:space="0" w:color="auto"/>
            </w:tcBorders>
          </w:tcPr>
          <w:p w14:paraId="27B7F9C8" w14:textId="77777777" w:rsidR="008760D9" w:rsidRDefault="008760D9">
            <w:pPr>
              <w:pStyle w:val="TableText"/>
              <w:framePr w:hSpace="181" w:wrap="notBeside" w:vAnchor="text" w:hAnchor="page" w:xAlign="center" w:y="1"/>
              <w:spacing w:before="40" w:after="40"/>
              <w:ind w:right="1247"/>
              <w:jc w:val="right"/>
              <w:rPr>
                <w:lang w:val="fr-FR"/>
              </w:rPr>
            </w:pPr>
            <w:r>
              <w:rPr>
                <w:lang w:val="fr-FR"/>
              </w:rPr>
              <w:t>8</w:t>
            </w:r>
          </w:p>
        </w:tc>
      </w:tr>
      <w:tr w:rsidR="008760D9" w14:paraId="6F91B3BB" w14:textId="77777777">
        <w:trPr>
          <w:cantSplit/>
          <w:jc w:val="center"/>
        </w:trPr>
        <w:tc>
          <w:tcPr>
            <w:tcW w:w="3862" w:type="dxa"/>
            <w:tcBorders>
              <w:left w:val="single" w:sz="6" w:space="0" w:color="auto"/>
              <w:right w:val="single" w:sz="6" w:space="0" w:color="auto"/>
            </w:tcBorders>
          </w:tcPr>
          <w:p w14:paraId="1A4A910A" w14:textId="77777777" w:rsidR="008760D9" w:rsidRDefault="008760D9">
            <w:pPr>
              <w:pStyle w:val="TableText"/>
              <w:framePr w:hSpace="181" w:wrap="notBeside" w:vAnchor="text" w:hAnchor="page" w:xAlign="center" w:y="1"/>
              <w:spacing w:before="40" w:after="40"/>
              <w:ind w:right="1814"/>
              <w:jc w:val="right"/>
              <w:rPr>
                <w:lang w:val="fr-FR"/>
              </w:rPr>
            </w:pPr>
            <w:r>
              <w:rPr>
                <w:lang w:val="fr-FR"/>
              </w:rPr>
              <w:t>150</w:t>
            </w:r>
          </w:p>
        </w:tc>
        <w:tc>
          <w:tcPr>
            <w:tcW w:w="2614" w:type="dxa"/>
            <w:tcBorders>
              <w:left w:val="single" w:sz="6" w:space="0" w:color="auto"/>
              <w:right w:val="single" w:sz="6" w:space="0" w:color="auto"/>
            </w:tcBorders>
          </w:tcPr>
          <w:p w14:paraId="39AAFBFC" w14:textId="77777777" w:rsidR="008760D9" w:rsidRDefault="008760D9">
            <w:pPr>
              <w:pStyle w:val="TableText"/>
              <w:framePr w:hSpace="181" w:wrap="notBeside" w:vAnchor="text" w:hAnchor="page" w:xAlign="center" w:y="1"/>
              <w:spacing w:before="40" w:after="40"/>
              <w:ind w:right="1247"/>
              <w:jc w:val="right"/>
              <w:rPr>
                <w:lang w:val="fr-FR"/>
              </w:rPr>
            </w:pPr>
            <w:r>
              <w:rPr>
                <w:lang w:val="fr-FR"/>
              </w:rPr>
              <w:t>16</w:t>
            </w:r>
          </w:p>
        </w:tc>
      </w:tr>
      <w:tr w:rsidR="008760D9" w14:paraId="483C5EB2" w14:textId="77777777">
        <w:trPr>
          <w:cantSplit/>
          <w:jc w:val="center"/>
        </w:trPr>
        <w:tc>
          <w:tcPr>
            <w:tcW w:w="3862" w:type="dxa"/>
            <w:tcBorders>
              <w:left w:val="single" w:sz="6" w:space="0" w:color="auto"/>
              <w:bottom w:val="single" w:sz="6" w:space="0" w:color="auto"/>
              <w:right w:val="single" w:sz="6" w:space="0" w:color="auto"/>
            </w:tcBorders>
          </w:tcPr>
          <w:p w14:paraId="43A90E2F" w14:textId="77777777" w:rsidR="008760D9" w:rsidRDefault="008760D9">
            <w:pPr>
              <w:pStyle w:val="TableText"/>
              <w:framePr w:hSpace="181" w:wrap="notBeside" w:vAnchor="text" w:hAnchor="page" w:xAlign="center" w:y="1"/>
              <w:spacing w:before="40" w:after="60"/>
              <w:ind w:right="1814"/>
              <w:jc w:val="right"/>
              <w:rPr>
                <w:lang w:val="fr-FR"/>
              </w:rPr>
            </w:pPr>
            <w:r>
              <w:rPr>
                <w:lang w:val="fr-FR"/>
              </w:rPr>
              <w:t>200</w:t>
            </w:r>
          </w:p>
        </w:tc>
        <w:tc>
          <w:tcPr>
            <w:tcW w:w="2614" w:type="dxa"/>
            <w:tcBorders>
              <w:left w:val="single" w:sz="6" w:space="0" w:color="auto"/>
              <w:bottom w:val="single" w:sz="6" w:space="0" w:color="auto"/>
              <w:right w:val="single" w:sz="6" w:space="0" w:color="auto"/>
            </w:tcBorders>
          </w:tcPr>
          <w:p w14:paraId="479207A7" w14:textId="77777777" w:rsidR="008760D9" w:rsidRDefault="008760D9">
            <w:pPr>
              <w:pStyle w:val="TableText"/>
              <w:framePr w:hSpace="181" w:wrap="notBeside" w:vAnchor="text" w:hAnchor="page" w:xAlign="center" w:y="1"/>
              <w:spacing w:before="40" w:after="60"/>
              <w:ind w:right="1247"/>
              <w:jc w:val="right"/>
              <w:rPr>
                <w:lang w:val="fr-FR"/>
              </w:rPr>
            </w:pPr>
            <w:r>
              <w:rPr>
                <w:lang w:val="fr-FR"/>
              </w:rPr>
              <w:t>26</w:t>
            </w:r>
          </w:p>
        </w:tc>
      </w:tr>
    </w:tbl>
    <w:p w14:paraId="4F09A203" w14:textId="77777777" w:rsidR="008760D9" w:rsidRDefault="008760D9">
      <w:pPr>
        <w:pStyle w:val="Tablefin"/>
        <w:spacing w:before="0"/>
        <w:rPr>
          <w:lang w:val="fr-FR"/>
        </w:rPr>
      </w:pPr>
    </w:p>
    <w:p w14:paraId="3F9934A4" w14:textId="77777777" w:rsidR="008760D9" w:rsidRDefault="008760D9">
      <w:pPr>
        <w:spacing w:before="0"/>
        <w:rPr>
          <w:sz w:val="8"/>
          <w:lang w:val="es-ES_tradnl"/>
        </w:rPr>
      </w:pPr>
    </w:p>
    <w:p w14:paraId="73855277" w14:textId="77777777" w:rsidR="008760D9" w:rsidRDefault="008760D9">
      <w:pPr>
        <w:pStyle w:val="Heading4"/>
        <w:rPr>
          <w:lang w:val="es-ES_tradnl"/>
        </w:rPr>
      </w:pPr>
      <w:r>
        <w:rPr>
          <w:lang w:val="es-ES_tradnl"/>
        </w:rPr>
        <w:br w:type="page"/>
      </w:r>
      <w:r>
        <w:rPr>
          <w:lang w:val="es-ES_tradnl"/>
        </w:rPr>
        <w:lastRenderedPageBreak/>
        <w:t>4.2.3.3</w:t>
      </w:r>
      <w:r>
        <w:rPr>
          <w:lang w:val="es-ES_tradnl"/>
        </w:rPr>
        <w:tab/>
        <w:t>Factor de corrección para cambios en la inmunidad a la interferencia de Tipo B1 resultantes de variaciones en el nivel de la señal deseada</w:t>
      </w:r>
    </w:p>
    <w:p w14:paraId="5CB985BB" w14:textId="77777777" w:rsidR="008760D9" w:rsidRDefault="008760D9">
      <w:pPr>
        <w:rPr>
          <w:lang w:val="es-ES_tradnl"/>
        </w:rPr>
      </w:pPr>
      <w:r>
        <w:rPr>
          <w:lang w:val="es-ES_tradnl"/>
        </w:rPr>
        <w:t>Puede aplicarse el factor de corrección siguiente al localizador ILS y al VOR en los casos de dos y tres señales:</w:t>
      </w:r>
    </w:p>
    <w:p w14:paraId="544C435B" w14:textId="77777777" w:rsidR="008760D9" w:rsidRDefault="008760D9">
      <w:pPr>
        <w:pStyle w:val="Equation"/>
        <w:rPr>
          <w:lang w:val="es-ES_tradnl"/>
        </w:rPr>
      </w:pPr>
      <w:bookmarkStart w:id="11" w:name="F008"/>
      <w:r w:rsidRPr="00AC3FDE">
        <w:rPr>
          <w:lang w:val="es-ES"/>
        </w:rPr>
        <w:tab/>
      </w:r>
      <w:r w:rsidRPr="00AC3FDE">
        <w:rPr>
          <w:lang w:val="es-ES"/>
        </w:rPr>
        <w:tab/>
      </w:r>
      <w:r w:rsidRPr="00AC3FDE">
        <w:rPr>
          <w:i/>
          <w:lang w:val="es-ES"/>
        </w:rPr>
        <w:t>L</w:t>
      </w:r>
      <w:r w:rsidRPr="00AC3FDE">
        <w:rPr>
          <w:i/>
          <w:position w:val="-4"/>
          <w:sz w:val="18"/>
          <w:lang w:val="es-ES"/>
        </w:rPr>
        <w:t>c</w:t>
      </w:r>
      <w:r w:rsidRPr="00AC3FDE">
        <w:rPr>
          <w:lang w:val="es-ES"/>
        </w:rPr>
        <w:t xml:space="preserve">  </w:t>
      </w:r>
      <w:r>
        <w:rPr>
          <w:rFonts w:ascii="Symbol" w:hAnsi="Symbol"/>
        </w:rPr>
        <w:t></w:t>
      </w:r>
      <w:r w:rsidRPr="00AC3FDE">
        <w:rPr>
          <w:lang w:val="es-ES"/>
        </w:rPr>
        <w:t xml:space="preserve">  </w:t>
      </w:r>
      <w:r w:rsidRPr="00AC3FDE">
        <w:rPr>
          <w:i/>
          <w:lang w:val="es-ES"/>
        </w:rPr>
        <w:t>N</w:t>
      </w:r>
      <w:r w:rsidRPr="00AC3FDE">
        <w:rPr>
          <w:i/>
          <w:position w:val="-4"/>
          <w:sz w:val="18"/>
          <w:lang w:val="es-ES"/>
        </w:rPr>
        <w:t>A</w:t>
      </w:r>
      <w:r w:rsidRPr="00AC3FDE">
        <w:rPr>
          <w:lang w:val="es-ES"/>
        </w:rPr>
        <w:t xml:space="preserve">  –  </w:t>
      </w:r>
      <w:r w:rsidRPr="00AC3FDE">
        <w:rPr>
          <w:i/>
          <w:lang w:val="es-ES"/>
        </w:rPr>
        <w:t>N</w:t>
      </w:r>
      <w:proofErr w:type="spellStart"/>
      <w:r w:rsidRPr="00AC3FDE">
        <w:rPr>
          <w:i/>
          <w:position w:val="-4"/>
          <w:sz w:val="18"/>
          <w:lang w:val="es-ES"/>
        </w:rPr>
        <w:t>ref</w:t>
      </w:r>
      <w:proofErr w:type="spellEnd"/>
      <w:r w:rsidRPr="00AC3FDE">
        <w:rPr>
          <w:lang w:val="es-ES"/>
        </w:rPr>
        <w:tab/>
        <w:t>(6)</w:t>
      </w:r>
      <w:bookmarkEnd w:id="11"/>
    </w:p>
    <w:p w14:paraId="0CC0CD88" w14:textId="77777777" w:rsidR="008760D9" w:rsidRDefault="008760D9">
      <w:pPr>
        <w:rPr>
          <w:lang w:val="es-ES_tradnl"/>
        </w:rPr>
      </w:pPr>
      <w:r>
        <w:rPr>
          <w:lang w:val="es-ES_tradnl"/>
        </w:rPr>
        <w:t>siendo:</w:t>
      </w:r>
    </w:p>
    <w:p w14:paraId="5B999B38" w14:textId="77777777" w:rsidR="008760D9" w:rsidRDefault="008760D9">
      <w:pPr>
        <w:pStyle w:val="enumlev1"/>
        <w:tabs>
          <w:tab w:val="left" w:pos="907"/>
        </w:tabs>
        <w:ind w:left="907" w:hanging="907"/>
        <w:rPr>
          <w:lang w:val="es-ES_tradnl"/>
        </w:rPr>
      </w:pPr>
      <w:r>
        <w:rPr>
          <w:i/>
          <w:lang w:val="es-ES_tradnl"/>
        </w:rPr>
        <w:tab/>
        <w:t>L</w:t>
      </w:r>
      <w:r>
        <w:rPr>
          <w:i/>
          <w:position w:val="-4"/>
          <w:sz w:val="16"/>
          <w:lang w:val="es-ES_tradnl"/>
        </w:rPr>
        <w:t>c</w:t>
      </w:r>
      <w:r>
        <w:rPr>
          <w:rFonts w:ascii="Tms Rmn" w:hAnsi="Tms Rmn"/>
          <w:sz w:val="12"/>
          <w:lang w:val="es-ES_tradnl"/>
        </w:rPr>
        <w:t> </w:t>
      </w:r>
      <w:r>
        <w:rPr>
          <w:lang w:val="es-ES_tradnl"/>
        </w:rPr>
        <w:t>:</w:t>
      </w:r>
      <w:r>
        <w:rPr>
          <w:lang w:val="es-ES_tradnl"/>
        </w:rPr>
        <w:tab/>
        <w:t>factor de corrección (dB) para tener en cuenta el cambio del nivel de la señal deseada</w:t>
      </w:r>
    </w:p>
    <w:p w14:paraId="2EE491C1" w14:textId="77777777" w:rsidR="008760D9" w:rsidRDefault="008760D9">
      <w:pPr>
        <w:pStyle w:val="enumlev1"/>
        <w:tabs>
          <w:tab w:val="left" w:pos="907"/>
        </w:tabs>
        <w:ind w:left="907" w:hanging="907"/>
        <w:rPr>
          <w:lang w:val="es-ES_tradnl"/>
        </w:rPr>
      </w:pPr>
      <w:r>
        <w:rPr>
          <w:i/>
          <w:lang w:val="es-ES_tradnl"/>
        </w:rPr>
        <w:tab/>
        <w:t>N</w:t>
      </w:r>
      <w:r>
        <w:rPr>
          <w:i/>
          <w:position w:val="-4"/>
          <w:sz w:val="16"/>
          <w:lang w:val="es-ES_tradnl"/>
        </w:rPr>
        <w:t>A</w:t>
      </w:r>
      <w:r>
        <w:rPr>
          <w:rFonts w:ascii="Tms Rmn" w:hAnsi="Tms Rmn"/>
          <w:sz w:val="12"/>
          <w:lang w:val="es-ES_tradnl"/>
        </w:rPr>
        <w:t> </w:t>
      </w:r>
      <w:r>
        <w:rPr>
          <w:lang w:val="es-ES_tradnl"/>
        </w:rPr>
        <w:t>:</w:t>
      </w:r>
      <w:r>
        <w:rPr>
          <w:lang w:val="es-ES_tradnl"/>
        </w:rPr>
        <w:tab/>
        <w:t>nivel de la señal deseada (dBm) a la entrada del receptor aeronáutico</w:t>
      </w:r>
    </w:p>
    <w:p w14:paraId="11B86DDC" w14:textId="77777777" w:rsidR="008760D9" w:rsidRDefault="008760D9">
      <w:pPr>
        <w:pStyle w:val="enumlev1"/>
        <w:tabs>
          <w:tab w:val="left" w:pos="907"/>
        </w:tabs>
        <w:ind w:left="907" w:hanging="907"/>
        <w:rPr>
          <w:lang w:val="es-ES_tradnl"/>
        </w:rPr>
      </w:pPr>
      <w:r>
        <w:rPr>
          <w:i/>
          <w:lang w:val="es-ES_tradnl"/>
        </w:rPr>
        <w:tab/>
        <w:t>N</w:t>
      </w:r>
      <w:proofErr w:type="spellStart"/>
      <w:r>
        <w:rPr>
          <w:i/>
          <w:position w:val="-4"/>
          <w:sz w:val="16"/>
          <w:lang w:val="es-ES_tradnl"/>
        </w:rPr>
        <w:t>ref</w:t>
      </w:r>
      <w:proofErr w:type="spellEnd"/>
      <w:r>
        <w:rPr>
          <w:rFonts w:ascii="Tms Rmn" w:hAnsi="Tms Rmn"/>
          <w:sz w:val="12"/>
          <w:lang w:val="es-ES_tradnl"/>
        </w:rPr>
        <w:t> </w:t>
      </w:r>
      <w:r>
        <w:rPr>
          <w:lang w:val="es-ES_tradnl"/>
        </w:rPr>
        <w:t>:</w:t>
      </w:r>
      <w:r>
        <w:rPr>
          <w:lang w:val="es-ES_tradnl"/>
        </w:rPr>
        <w:tab/>
        <w:t>nivel de referencia (dB) de la señal deseada a la entrada del receptor aeronáutico para la fórmula de inmunidad a la interferencia de Tipo B1</w:t>
      </w:r>
    </w:p>
    <w:p w14:paraId="6B5B551B" w14:textId="77777777" w:rsidR="008760D9" w:rsidRDefault="008760D9">
      <w:pPr>
        <w:pStyle w:val="enumlev1"/>
        <w:tabs>
          <w:tab w:val="left" w:pos="907"/>
        </w:tabs>
        <w:ind w:left="907" w:hanging="907"/>
        <w:rPr>
          <w:lang w:val="es-ES_tradnl"/>
        </w:rPr>
      </w:pPr>
      <w:r>
        <w:rPr>
          <w:lang w:val="es-ES_tradnl"/>
        </w:rPr>
        <w:tab/>
      </w:r>
      <w:r>
        <w:rPr>
          <w:lang w:val="es-ES_tradnl"/>
        </w:rPr>
        <w:tab/>
      </w:r>
      <w:r>
        <w:rPr>
          <w:rFonts w:ascii="Symbol" w:hAnsi="Symbol"/>
          <w:lang w:val="es-ES_tradnl"/>
        </w:rPr>
        <w:t></w:t>
      </w:r>
      <w:r>
        <w:rPr>
          <w:lang w:val="es-ES_tradnl"/>
        </w:rPr>
        <w:t xml:space="preserve">  –89 dBm para el localizador ILS; y</w:t>
      </w:r>
    </w:p>
    <w:p w14:paraId="29DCD1E3" w14:textId="77777777" w:rsidR="008760D9" w:rsidRDefault="008760D9">
      <w:pPr>
        <w:pStyle w:val="enumlev1"/>
        <w:tabs>
          <w:tab w:val="left" w:pos="907"/>
        </w:tabs>
        <w:ind w:left="907" w:hanging="907"/>
        <w:rPr>
          <w:lang w:val="es-ES_tradnl"/>
        </w:rPr>
      </w:pPr>
      <w:r>
        <w:rPr>
          <w:lang w:val="es-ES_tradnl"/>
        </w:rPr>
        <w:tab/>
      </w:r>
      <w:r>
        <w:rPr>
          <w:lang w:val="es-ES_tradnl"/>
        </w:rPr>
        <w:tab/>
      </w:r>
      <w:r>
        <w:rPr>
          <w:rFonts w:ascii="Symbol" w:hAnsi="Symbol"/>
          <w:lang w:val="es-ES_tradnl"/>
        </w:rPr>
        <w:t></w:t>
      </w:r>
      <w:r>
        <w:rPr>
          <w:lang w:val="es-ES_tradnl"/>
        </w:rPr>
        <w:t xml:space="preserve">  –82 dBm para el VOR.</w:t>
      </w:r>
    </w:p>
    <w:p w14:paraId="176CCCA8" w14:textId="77777777" w:rsidR="008760D9" w:rsidRDefault="008760D9">
      <w:pPr>
        <w:pStyle w:val="Heading4"/>
        <w:rPr>
          <w:lang w:val="es-ES_tradnl"/>
        </w:rPr>
      </w:pPr>
      <w:r>
        <w:rPr>
          <w:lang w:val="es-ES_tradnl"/>
        </w:rPr>
        <w:t>4.2.3.4</w:t>
      </w:r>
      <w:r>
        <w:rPr>
          <w:lang w:val="es-ES_tradnl"/>
        </w:rPr>
        <w:tab/>
        <w:t>Valores de activación y de corte (véanse las definiciones en el Anexo 4)</w:t>
      </w:r>
    </w:p>
    <w:p w14:paraId="7658EAC6" w14:textId="5033C0EB" w:rsidR="007607B7" w:rsidRPr="007607B7" w:rsidRDefault="007607B7" w:rsidP="007607B7">
      <w:pPr>
        <w:pStyle w:val="Equation"/>
        <w:tabs>
          <w:tab w:val="left" w:pos="1531"/>
          <w:tab w:val="left" w:pos="7825"/>
        </w:tabs>
        <w:rPr>
          <w:lang w:val="es-ES"/>
        </w:rPr>
      </w:pPr>
      <w:bookmarkStart w:id="12" w:name="F009"/>
      <w:r w:rsidRPr="007607B7">
        <w:tab/>
      </w:r>
      <w:r>
        <w:tab/>
      </w:r>
      <w:r w:rsidRPr="007607B7">
        <w:rPr>
          <w:lang w:val="es-ES"/>
        </w:rPr>
        <w:t>Valor de</w:t>
      </w:r>
      <w:r>
        <w:rPr>
          <w:lang w:val="es-ES"/>
        </w:rPr>
        <w:t xml:space="preserve"> activación</w:t>
      </w:r>
      <w:r w:rsidRPr="007607B7">
        <w:rPr>
          <w:lang w:val="es-ES"/>
        </w:rPr>
        <w:t xml:space="preserve">  </w:t>
      </w:r>
      <w:r w:rsidRPr="007607B7">
        <w:rPr>
          <w:lang w:val="es-ES"/>
        </w:rPr>
        <w:t>=</w:t>
      </w:r>
      <w:r w:rsidRPr="007607B7">
        <w:rPr>
          <w:lang w:val="es-ES"/>
        </w:rPr>
        <w:t xml:space="preserve">  </w:t>
      </w:r>
      <w:r w:rsidRPr="007607B7">
        <w:object w:dxaOrig="580" w:dyaOrig="499" w14:anchorId="5C5CFC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29.15pt;height:25.4pt" o:ole="">
            <v:imagedata r:id="rId15" o:title=""/>
          </v:shape>
          <o:OLEObject Type="Embed" ProgID="Equation.DSMT4" ShapeID="_x0000_i1088" DrawAspect="Content" ObjectID="_1652520879" r:id="rId16"/>
        </w:object>
      </w:r>
      <w:r w:rsidRPr="007607B7">
        <w:rPr>
          <w:lang w:val="es-ES"/>
        </w:rPr>
        <w:t xml:space="preserve">  </w:t>
      </w:r>
      <w:r>
        <w:rPr>
          <w:rFonts w:ascii="Symbol" w:hAnsi="Symbol"/>
        </w:rPr>
        <w:t></w:t>
      </w:r>
      <w:r w:rsidRPr="007607B7">
        <w:rPr>
          <w:lang w:val="es-ES"/>
        </w:rPr>
        <w:t xml:space="preserve">  28 log {</w:t>
      </w:r>
      <w:proofErr w:type="spellStart"/>
      <w:r w:rsidRPr="007607B7">
        <w:rPr>
          <w:lang w:val="es-ES"/>
        </w:rPr>
        <w:t>m</w:t>
      </w:r>
      <w:r w:rsidRPr="007607B7">
        <w:rPr>
          <w:lang w:val="es-ES"/>
        </w:rPr>
        <w:t>á</w:t>
      </w:r>
      <w:r w:rsidRPr="007607B7">
        <w:rPr>
          <w:lang w:val="es-ES"/>
        </w:rPr>
        <w:t>x</w:t>
      </w:r>
      <w:proofErr w:type="spellEnd"/>
      <w:r w:rsidRPr="007607B7">
        <w:rPr>
          <w:lang w:val="es-ES"/>
        </w:rPr>
        <w:t xml:space="preserve"> (1</w:t>
      </w:r>
      <w:r w:rsidRPr="007607B7">
        <w:rPr>
          <w:lang w:val="es-ES"/>
        </w:rPr>
        <w:t>,</w:t>
      </w:r>
      <w:r w:rsidRPr="007607B7">
        <w:rPr>
          <w:lang w:val="es-ES"/>
        </w:rPr>
        <w:t xml:space="preserve">0;  </w:t>
      </w:r>
      <w:proofErr w:type="spellStart"/>
      <w:r w:rsidRPr="007607B7">
        <w:rPr>
          <w:i/>
          <w:lang w:val="es-ES"/>
        </w:rPr>
        <w:t>fA</w:t>
      </w:r>
      <w:proofErr w:type="spellEnd"/>
      <w:r w:rsidRPr="007607B7">
        <w:rPr>
          <w:lang w:val="es-ES"/>
        </w:rPr>
        <w:t xml:space="preserve">  –  </w:t>
      </w:r>
      <w:r w:rsidRPr="007607B7">
        <w:rPr>
          <w:i/>
          <w:lang w:val="es-ES"/>
        </w:rPr>
        <w:t>f</w:t>
      </w:r>
      <w:r w:rsidRPr="007607B7">
        <w:rPr>
          <w:lang w:val="es-ES"/>
        </w:rPr>
        <w:t> )}</w:t>
      </w:r>
      <w:r w:rsidRPr="007607B7">
        <w:rPr>
          <w:lang w:val="es-ES"/>
        </w:rPr>
        <w:tab/>
      </w:r>
      <w:r w:rsidRPr="007607B7">
        <w:rPr>
          <w:lang w:val="es-ES"/>
        </w:rPr>
        <w:t>dBm</w:t>
      </w:r>
      <w:r w:rsidRPr="007607B7">
        <w:rPr>
          <w:lang w:val="es-ES"/>
        </w:rPr>
        <w:tab/>
        <w:t>(7)</w:t>
      </w:r>
    </w:p>
    <w:p w14:paraId="027E3527" w14:textId="3E9B7D0D" w:rsidR="008760D9" w:rsidRPr="00DF52C7" w:rsidRDefault="008760D9">
      <w:pPr>
        <w:pStyle w:val="Equation"/>
        <w:tabs>
          <w:tab w:val="left" w:pos="1531"/>
          <w:tab w:val="left" w:pos="7825"/>
        </w:tabs>
        <w:rPr>
          <w:lang w:val="es-ES_tradnl"/>
        </w:rPr>
      </w:pPr>
      <w:r w:rsidRPr="007607B7">
        <w:rPr>
          <w:lang w:val="es-ES"/>
        </w:rPr>
        <w:tab/>
      </w:r>
      <w:r w:rsidRPr="007607B7">
        <w:rPr>
          <w:lang w:val="es-ES"/>
        </w:rPr>
        <w:tab/>
      </w:r>
      <w:r w:rsidRPr="00DF52C7">
        <w:rPr>
          <w:lang w:val="es-ES_tradnl"/>
        </w:rPr>
        <w:t xml:space="preserve">Valor de corte  </w:t>
      </w:r>
      <w:r>
        <w:rPr>
          <w:rFonts w:ascii="Symbol" w:hAnsi="Symbol"/>
        </w:rPr>
        <w:t></w:t>
      </w:r>
      <w:r w:rsidRPr="00DF52C7">
        <w:rPr>
          <w:lang w:val="es-ES_tradnl"/>
        </w:rPr>
        <w:t xml:space="preserve">  –</w:t>
      </w:r>
      <w:r w:rsidRPr="00DF52C7">
        <w:rPr>
          <w:sz w:val="12"/>
          <w:lang w:val="es-ES_tradnl"/>
        </w:rPr>
        <w:t> </w:t>
      </w:r>
      <w:r w:rsidRPr="00DF52C7">
        <w:rPr>
          <w:lang w:val="es-ES_tradnl"/>
        </w:rPr>
        <w:t xml:space="preserve">66  </w:t>
      </w:r>
      <w:r>
        <w:rPr>
          <w:rFonts w:ascii="Symbol" w:hAnsi="Symbol"/>
        </w:rPr>
        <w:t></w:t>
      </w:r>
      <w:r w:rsidRPr="00DF52C7">
        <w:rPr>
          <w:lang w:val="es-ES_tradnl"/>
        </w:rPr>
        <w:t xml:space="preserve">  20 log </w:t>
      </w:r>
      <w:r>
        <w:rPr>
          <w:position w:val="-26"/>
          <w:lang w:val="fr-FR"/>
        </w:rPr>
        <w:object w:dxaOrig="1980" w:dyaOrig="620" w14:anchorId="306595B3">
          <v:shape id="_x0000_i1081" type="#_x0000_t75" style="width:99.05pt;height:31.2pt" o:ole="">
            <v:imagedata r:id="rId17" o:title=""/>
          </v:shape>
          <o:OLEObject Type="Embed" ProgID="Equation.3" ShapeID="_x0000_i1081" DrawAspect="Content" ObjectID="_1652520880" r:id="rId18"/>
        </w:object>
      </w:r>
      <w:r w:rsidRPr="00DF52C7">
        <w:rPr>
          <w:color w:val="FFFFFF"/>
          <w:lang w:val="es-ES_tradnl"/>
        </w:rPr>
        <w:tab/>
      </w:r>
      <w:r w:rsidRPr="00DF52C7">
        <w:rPr>
          <w:lang w:val="es-ES_tradnl"/>
        </w:rPr>
        <w:t>dBm</w:t>
      </w:r>
      <w:r w:rsidRPr="00DF52C7">
        <w:rPr>
          <w:lang w:val="es-ES_tradnl"/>
        </w:rPr>
        <w:tab/>
        <w:t>(8)</w:t>
      </w:r>
      <w:bookmarkEnd w:id="12"/>
    </w:p>
    <w:p w14:paraId="3EC9C7C6" w14:textId="77777777" w:rsidR="008760D9" w:rsidRDefault="008760D9">
      <w:pPr>
        <w:rPr>
          <w:lang w:val="es-ES_tradnl"/>
        </w:rPr>
      </w:pPr>
      <w:r>
        <w:rPr>
          <w:lang w:val="es-ES_tradnl"/>
        </w:rPr>
        <w:t>siendo:</w:t>
      </w:r>
    </w:p>
    <w:p w14:paraId="5E01D005" w14:textId="77777777" w:rsidR="008760D9" w:rsidRDefault="008760D9">
      <w:pPr>
        <w:pStyle w:val="enumlev1"/>
        <w:tabs>
          <w:tab w:val="left" w:pos="907"/>
        </w:tabs>
        <w:ind w:left="907" w:hanging="907"/>
        <w:rPr>
          <w:lang w:val="es-ES_tradnl"/>
        </w:rPr>
      </w:pPr>
      <w:r>
        <w:rPr>
          <w:i/>
          <w:lang w:val="es-ES_tradnl"/>
        </w:rPr>
        <w:tab/>
        <w:t>L</w:t>
      </w:r>
      <w:r>
        <w:rPr>
          <w:i/>
          <w:position w:val="-4"/>
          <w:sz w:val="16"/>
          <w:lang w:val="es-ES_tradnl"/>
        </w:rPr>
        <w:t>c</w:t>
      </w:r>
      <w:r>
        <w:rPr>
          <w:rFonts w:ascii="Tms Rmn" w:hAnsi="Tms Rmn"/>
          <w:position w:val="-3"/>
          <w:sz w:val="12"/>
          <w:lang w:val="es-ES_tradnl"/>
        </w:rPr>
        <w:t> </w:t>
      </w:r>
      <w:r>
        <w:rPr>
          <w:lang w:val="es-ES_tradnl"/>
        </w:rPr>
        <w:t>:</w:t>
      </w:r>
      <w:r>
        <w:rPr>
          <w:lang w:val="es-ES_tradnl"/>
        </w:rPr>
        <w:tab/>
        <w:t>factor de corrección (dB) que tiene en cuenta el cambio de la señal deseada (véase el § 4.2.3.3)</w:t>
      </w:r>
    </w:p>
    <w:p w14:paraId="06963F8A" w14:textId="77777777" w:rsidR="008760D9" w:rsidRDefault="008760D9">
      <w:pPr>
        <w:pStyle w:val="enumlev1"/>
        <w:tabs>
          <w:tab w:val="left" w:pos="907"/>
        </w:tabs>
        <w:ind w:left="907" w:hanging="907"/>
        <w:rPr>
          <w:lang w:val="es-ES_tradnl"/>
        </w:rPr>
      </w:pPr>
      <w:r>
        <w:rPr>
          <w:i/>
          <w:lang w:val="es-ES_tradnl"/>
        </w:rPr>
        <w:tab/>
        <w:t>K</w:t>
      </w:r>
      <w:r>
        <w:rPr>
          <w:lang w:val="es-ES_tradnl"/>
        </w:rPr>
        <w:t xml:space="preserve">  </w:t>
      </w:r>
      <w:r>
        <w:rPr>
          <w:rFonts w:ascii="Symbol" w:hAnsi="Symbol"/>
          <w:lang w:val="es-ES_tradnl"/>
        </w:rPr>
        <w:t></w:t>
      </w:r>
      <w:r>
        <w:rPr>
          <w:lang w:val="es-ES_tradnl"/>
        </w:rPr>
        <w:tab/>
        <w:t>146 (localizador ILS) y 139 (VOR), casos de 3 señales</w:t>
      </w:r>
    </w:p>
    <w:p w14:paraId="4D103DF1" w14:textId="77777777" w:rsidR="008760D9" w:rsidRDefault="008760D9">
      <w:pPr>
        <w:pStyle w:val="enumlev1"/>
        <w:tabs>
          <w:tab w:val="left" w:pos="907"/>
        </w:tabs>
        <w:ind w:left="907" w:hanging="907"/>
        <w:rPr>
          <w:lang w:val="es-ES_tradnl"/>
        </w:rPr>
      </w:pPr>
      <w:r>
        <w:rPr>
          <w:i/>
          <w:lang w:val="es-ES_tradnl"/>
        </w:rPr>
        <w:tab/>
        <w:t>K</w:t>
      </w:r>
      <w:r>
        <w:rPr>
          <w:lang w:val="es-ES_tradnl"/>
        </w:rPr>
        <w:t xml:space="preserve">  </w:t>
      </w:r>
      <w:r>
        <w:rPr>
          <w:rFonts w:ascii="Symbol" w:hAnsi="Symbol"/>
          <w:lang w:val="es-ES_tradnl"/>
        </w:rPr>
        <w:t></w:t>
      </w:r>
      <w:r>
        <w:rPr>
          <w:lang w:val="es-ES_tradnl"/>
        </w:rPr>
        <w:tab/>
        <w:t>140 (localizador ILS) y 133 (VOR), casos de 2 señales</w:t>
      </w:r>
    </w:p>
    <w:p w14:paraId="032511DC" w14:textId="77777777" w:rsidR="008760D9" w:rsidRDefault="008760D9">
      <w:pPr>
        <w:pStyle w:val="enumlev1"/>
        <w:tabs>
          <w:tab w:val="left" w:pos="907"/>
        </w:tabs>
        <w:ind w:left="907" w:hanging="907"/>
        <w:rPr>
          <w:lang w:val="es-ES_tradnl"/>
        </w:rPr>
      </w:pPr>
      <w:r>
        <w:rPr>
          <w:i/>
          <w:lang w:val="es-ES_tradnl"/>
        </w:rPr>
        <w:tab/>
        <w:t>f</w:t>
      </w:r>
      <w:r>
        <w:rPr>
          <w:i/>
          <w:position w:val="-4"/>
          <w:sz w:val="16"/>
          <w:lang w:val="es-ES_tradnl"/>
        </w:rPr>
        <w:t>A</w:t>
      </w:r>
      <w:r>
        <w:rPr>
          <w:rFonts w:ascii="Tms Rmn" w:hAnsi="Tms Rmn"/>
          <w:position w:val="-3"/>
          <w:sz w:val="12"/>
          <w:lang w:val="es-ES_tradnl"/>
        </w:rPr>
        <w:t> </w:t>
      </w:r>
      <w:r>
        <w:rPr>
          <w:lang w:val="es-ES_tradnl"/>
        </w:rPr>
        <w:t>:</w:t>
      </w:r>
      <w:r>
        <w:rPr>
          <w:lang w:val="es-ES_tradnl"/>
        </w:rPr>
        <w:tab/>
        <w:t>frecuencia aeronáutica (MHz); y</w:t>
      </w:r>
    </w:p>
    <w:p w14:paraId="402AC717" w14:textId="77777777" w:rsidR="008760D9" w:rsidRDefault="008760D9">
      <w:pPr>
        <w:pStyle w:val="enumlev1"/>
        <w:tabs>
          <w:tab w:val="left" w:pos="907"/>
        </w:tabs>
        <w:ind w:left="907" w:hanging="907"/>
        <w:rPr>
          <w:lang w:val="es-ES_tradnl"/>
        </w:rPr>
      </w:pPr>
      <w:r>
        <w:rPr>
          <w:i/>
          <w:lang w:val="es-ES_tradnl"/>
        </w:rPr>
        <w:tab/>
        <w:t>f</w:t>
      </w:r>
      <w:r>
        <w:rPr>
          <w:rFonts w:ascii="Tms Rmn" w:hAnsi="Tms Rmn"/>
          <w:sz w:val="12"/>
          <w:lang w:val="es-ES_tradnl"/>
        </w:rPr>
        <w:t> </w:t>
      </w:r>
      <w:r>
        <w:rPr>
          <w:lang w:val="es-ES_tradnl"/>
        </w:rPr>
        <w:t>:</w:t>
      </w:r>
      <w:r>
        <w:rPr>
          <w:lang w:val="es-ES_tradnl"/>
        </w:rPr>
        <w:tab/>
        <w:t>frecuencia de radiodifusión (MHz).</w:t>
      </w:r>
    </w:p>
    <w:p w14:paraId="4424909A" w14:textId="77777777" w:rsidR="008760D9" w:rsidRDefault="008760D9">
      <w:pPr>
        <w:rPr>
          <w:lang w:val="es-ES_tradnl"/>
        </w:rPr>
      </w:pPr>
      <w:r>
        <w:rPr>
          <w:lang w:val="es-ES_tradnl"/>
        </w:rPr>
        <w:t>La experiencia demuestra que cuando se consideran valores de corte inferiores, sólo se asocian productos de intermo</w:t>
      </w:r>
      <w:r>
        <w:rPr>
          <w:lang w:val="es-ES_tradnl"/>
        </w:rPr>
        <w:softHyphen/>
        <w:t>dulación adicionales con cada valor de activación, pero a niveles inferiores de interferencia potencial.</w:t>
      </w:r>
    </w:p>
    <w:p w14:paraId="49CC4D38" w14:textId="77777777" w:rsidR="008760D9" w:rsidRDefault="008760D9">
      <w:pPr>
        <w:pStyle w:val="Heading3"/>
        <w:rPr>
          <w:lang w:val="es-ES_tradnl"/>
        </w:rPr>
      </w:pPr>
      <w:r>
        <w:rPr>
          <w:lang w:val="es-ES_tradnl"/>
        </w:rPr>
        <w:t>4.2.4</w:t>
      </w:r>
      <w:r>
        <w:rPr>
          <w:lang w:val="es-ES_tradnl"/>
        </w:rPr>
        <w:tab/>
        <w:t>Interferencia de Tipo B2</w:t>
      </w:r>
    </w:p>
    <w:p w14:paraId="3DBB3F0D" w14:textId="77777777" w:rsidR="008760D9" w:rsidRDefault="008760D9">
      <w:pPr>
        <w:rPr>
          <w:lang w:val="es-ES_tradnl"/>
        </w:rPr>
      </w:pPr>
      <w:r>
        <w:rPr>
          <w:lang w:val="es-ES_tradnl"/>
        </w:rPr>
        <w:t>Al evaluar la interferencia de Tipo B2, puede utilizarse la fórmula empírica siguiente para determinar el nivel máximo de la señal de radiodifusión a la entrada del localizador ILS embarcado o del receptor VOR con el que se evita la inter</w:t>
      </w:r>
      <w:r>
        <w:rPr>
          <w:lang w:val="es-ES_tradnl"/>
        </w:rPr>
        <w:softHyphen/>
        <w:t>ferencia potencial:</w:t>
      </w:r>
    </w:p>
    <w:p w14:paraId="536EAA2A" w14:textId="77777777" w:rsidR="008760D9" w:rsidRDefault="008760D9">
      <w:pPr>
        <w:pStyle w:val="Equation"/>
        <w:rPr>
          <w:lang w:val="es-ES_tradnl"/>
        </w:rPr>
      </w:pPr>
      <w:bookmarkStart w:id="13" w:name="F010"/>
      <w:r w:rsidRPr="00AC3FDE">
        <w:rPr>
          <w:lang w:val="es-ES"/>
        </w:rPr>
        <w:tab/>
      </w:r>
      <w:r w:rsidRPr="00AC3FDE">
        <w:rPr>
          <w:lang w:val="es-ES"/>
        </w:rPr>
        <w:tab/>
      </w:r>
      <w:r w:rsidRPr="00AC3FDE">
        <w:rPr>
          <w:i/>
          <w:lang w:val="es-ES"/>
        </w:rPr>
        <w:t>N</w:t>
      </w:r>
      <w:proofErr w:type="spellStart"/>
      <w:r w:rsidRPr="00AC3FDE">
        <w:rPr>
          <w:i/>
          <w:position w:val="-4"/>
          <w:sz w:val="18"/>
          <w:lang w:val="es-ES"/>
        </w:rPr>
        <w:t>máx</w:t>
      </w:r>
      <w:proofErr w:type="spellEnd"/>
      <w:r w:rsidRPr="00AC3FDE">
        <w:rPr>
          <w:lang w:val="es-ES"/>
        </w:rPr>
        <w:t xml:space="preserve">  </w:t>
      </w:r>
      <w:r>
        <w:rPr>
          <w:rFonts w:ascii="Symbol" w:hAnsi="Symbol"/>
        </w:rPr>
        <w:t></w:t>
      </w:r>
      <w:r w:rsidRPr="00AC3FDE">
        <w:rPr>
          <w:lang w:val="es-ES"/>
        </w:rPr>
        <w:t xml:space="preserve">  –</w:t>
      </w:r>
      <w:r w:rsidRPr="00AC3FDE">
        <w:rPr>
          <w:sz w:val="12"/>
          <w:lang w:val="es-ES"/>
        </w:rPr>
        <w:t> </w:t>
      </w:r>
      <w:r w:rsidRPr="00AC3FDE">
        <w:rPr>
          <w:lang w:val="es-ES"/>
        </w:rPr>
        <w:t xml:space="preserve">20  </w:t>
      </w:r>
      <w:r>
        <w:rPr>
          <w:rFonts w:ascii="Symbol" w:hAnsi="Symbol"/>
        </w:rPr>
        <w:t></w:t>
      </w:r>
      <w:r w:rsidRPr="00AC3FDE">
        <w:rPr>
          <w:lang w:val="es-ES"/>
        </w:rPr>
        <w:t xml:space="preserve">  20 log </w:t>
      </w:r>
      <w:r>
        <w:rPr>
          <w:position w:val="-26"/>
          <w:lang w:val="fr-FR"/>
        </w:rPr>
        <w:object w:dxaOrig="1800" w:dyaOrig="620" w14:anchorId="442CCD1E">
          <v:shape id="_x0000_i1026" type="#_x0000_t75" style="width:89.9pt;height:31.2pt" o:ole="">
            <v:imagedata r:id="rId19" o:title=""/>
          </v:shape>
          <o:OLEObject Type="Embed" ProgID="Equation.3" ShapeID="_x0000_i1026" DrawAspect="Content" ObjectID="_1652520881" r:id="rId20"/>
        </w:object>
      </w:r>
      <w:r w:rsidRPr="00AC3FDE">
        <w:rPr>
          <w:lang w:val="es-ES"/>
        </w:rPr>
        <w:tab/>
        <w:t>(9)</w:t>
      </w:r>
      <w:bookmarkEnd w:id="13"/>
    </w:p>
    <w:p w14:paraId="5783024B" w14:textId="77777777" w:rsidR="008760D9" w:rsidRDefault="008760D9">
      <w:pPr>
        <w:rPr>
          <w:lang w:val="es-ES_tradnl"/>
        </w:rPr>
      </w:pPr>
      <w:r>
        <w:rPr>
          <w:lang w:val="es-ES_tradnl"/>
        </w:rPr>
        <w:t>siendo:</w:t>
      </w:r>
    </w:p>
    <w:p w14:paraId="57FBECCF" w14:textId="77777777" w:rsidR="008760D9" w:rsidRDefault="008760D9">
      <w:pPr>
        <w:pStyle w:val="enumlev1"/>
        <w:tabs>
          <w:tab w:val="left" w:pos="1021"/>
        </w:tabs>
        <w:rPr>
          <w:lang w:val="es-ES_tradnl"/>
        </w:rPr>
      </w:pPr>
      <w:r>
        <w:rPr>
          <w:i/>
          <w:lang w:val="es-ES_tradnl"/>
        </w:rPr>
        <w:tab/>
        <w:t>N</w:t>
      </w:r>
      <w:proofErr w:type="spellStart"/>
      <w:r>
        <w:rPr>
          <w:i/>
          <w:position w:val="-4"/>
          <w:sz w:val="16"/>
          <w:lang w:val="es-ES_tradnl"/>
        </w:rPr>
        <w:t>máx</w:t>
      </w:r>
      <w:proofErr w:type="spellEnd"/>
      <w:r>
        <w:rPr>
          <w:rFonts w:ascii="Tms Rmn" w:hAnsi="Tms Rmn"/>
          <w:sz w:val="12"/>
          <w:lang w:val="es-ES_tradnl"/>
        </w:rPr>
        <w:t> </w:t>
      </w:r>
      <w:r>
        <w:rPr>
          <w:lang w:val="es-ES_tradnl"/>
        </w:rPr>
        <w:t>:</w:t>
      </w:r>
      <w:r>
        <w:rPr>
          <w:lang w:val="es-ES_tradnl"/>
        </w:rPr>
        <w:tab/>
        <w:t>nivel máximo (dBm) de la señal de radiodifusión a la entrada del receptor aeronáutico</w:t>
      </w:r>
    </w:p>
    <w:p w14:paraId="76B89ACF" w14:textId="77777777" w:rsidR="008760D9" w:rsidRDefault="008760D9">
      <w:pPr>
        <w:pStyle w:val="enumlev1"/>
        <w:tabs>
          <w:tab w:val="left" w:pos="1021"/>
        </w:tabs>
        <w:rPr>
          <w:lang w:val="es-ES_tradnl"/>
        </w:rPr>
      </w:pPr>
      <w:r>
        <w:rPr>
          <w:i/>
          <w:lang w:val="es-ES_tradnl"/>
        </w:rPr>
        <w:tab/>
        <w:t>f</w:t>
      </w:r>
      <w:r>
        <w:rPr>
          <w:rFonts w:ascii="Tms Rmn" w:hAnsi="Tms Rmn"/>
          <w:sz w:val="12"/>
          <w:lang w:val="es-ES_tradnl"/>
        </w:rPr>
        <w:t> </w:t>
      </w:r>
      <w:r>
        <w:rPr>
          <w:lang w:val="es-ES_tradnl"/>
        </w:rPr>
        <w:t>:</w:t>
      </w:r>
      <w:r>
        <w:rPr>
          <w:lang w:val="es-ES_tradnl"/>
        </w:rPr>
        <w:tab/>
        <w:t>frecuencia de radiodifusión (MHz)</w:t>
      </w:r>
    </w:p>
    <w:p w14:paraId="231800B2" w14:textId="77777777" w:rsidR="008760D9" w:rsidRDefault="008760D9">
      <w:pPr>
        <w:pStyle w:val="enumlev1"/>
        <w:tabs>
          <w:tab w:val="left" w:pos="1021"/>
        </w:tabs>
        <w:rPr>
          <w:lang w:val="es-ES_tradnl"/>
        </w:rPr>
      </w:pPr>
      <w:r>
        <w:rPr>
          <w:i/>
          <w:lang w:val="es-ES_tradnl"/>
        </w:rPr>
        <w:tab/>
        <w:t>f</w:t>
      </w:r>
      <w:r>
        <w:rPr>
          <w:i/>
          <w:position w:val="-4"/>
          <w:sz w:val="16"/>
          <w:lang w:val="es-ES_tradnl"/>
        </w:rPr>
        <w:t>A</w:t>
      </w:r>
      <w:r>
        <w:rPr>
          <w:rFonts w:ascii="Tms Rmn" w:hAnsi="Tms Rmn"/>
          <w:sz w:val="12"/>
          <w:lang w:val="es-ES_tradnl"/>
        </w:rPr>
        <w:t> </w:t>
      </w:r>
      <w:r>
        <w:rPr>
          <w:lang w:val="es-ES_tradnl"/>
        </w:rPr>
        <w:t>:</w:t>
      </w:r>
      <w:r>
        <w:rPr>
          <w:lang w:val="es-ES_tradnl"/>
        </w:rPr>
        <w:tab/>
        <w:t>frecuencia aeronáutica (MHz).</w:t>
      </w:r>
    </w:p>
    <w:p w14:paraId="6ADF6C20" w14:textId="77777777" w:rsidR="008760D9" w:rsidRDefault="008760D9">
      <w:pPr>
        <w:rPr>
          <w:lang w:val="es-ES_tradnl"/>
        </w:rPr>
      </w:pPr>
      <w:r>
        <w:rPr>
          <w:lang w:val="es-ES_tradnl"/>
        </w:rPr>
        <w:t xml:space="preserve">Para algunas combinaciones de frecuencia y nivel de la señal deseada, la fórmula (9) supone unos criterios de inmunidad del receptor más estrictos que los del receptor de tipo 1998 según el Anexo 10 al Convenio de la OACI indicados en la fórmula (13). Para tener en cuenta las características de inmunidad tanto del citado receptor como del receptor del Convenio de Montreal deben aplicarse ambas fórmulas, la (9) y la (13), y debe utilizarse el valor más bajo de </w:t>
      </w:r>
      <w:r>
        <w:rPr>
          <w:i/>
          <w:lang w:val="es-ES_tradnl"/>
        </w:rPr>
        <w:t>N</w:t>
      </w:r>
      <w:proofErr w:type="spellStart"/>
      <w:r>
        <w:rPr>
          <w:i/>
          <w:position w:val="-4"/>
          <w:sz w:val="16"/>
          <w:lang w:val="es-ES_tradnl"/>
        </w:rPr>
        <w:t>máx</w:t>
      </w:r>
      <w:proofErr w:type="spellEnd"/>
      <w:r>
        <w:rPr>
          <w:lang w:val="es-ES_tradnl"/>
        </w:rPr>
        <w:t>.</w:t>
      </w:r>
    </w:p>
    <w:p w14:paraId="18440210" w14:textId="77777777" w:rsidR="008760D9" w:rsidRDefault="008760D9">
      <w:pPr>
        <w:rPr>
          <w:lang w:val="es-ES_tradnl"/>
        </w:rPr>
      </w:pPr>
      <w:r>
        <w:rPr>
          <w:lang w:val="es-ES_tradnl"/>
        </w:rPr>
        <w:t>En la fórmula anterior no se aplican, al no contar con datos de pruebas suficientes, factores de corrección para tener en cuenta la mejora de la inmunidad resultante de los aumentos del nivel de la señal deseada.</w:t>
      </w:r>
    </w:p>
    <w:p w14:paraId="040FCBCD" w14:textId="77777777" w:rsidR="008760D9" w:rsidRDefault="008760D9">
      <w:pPr>
        <w:pStyle w:val="Heading2"/>
        <w:rPr>
          <w:lang w:val="es-ES_tradnl"/>
        </w:rPr>
      </w:pPr>
      <w:r>
        <w:rPr>
          <w:lang w:val="es-ES_tradnl"/>
        </w:rPr>
        <w:br w:type="page"/>
      </w:r>
      <w:r>
        <w:rPr>
          <w:lang w:val="es-ES_tradnl"/>
        </w:rPr>
        <w:lastRenderedPageBreak/>
        <w:t>4.3</w:t>
      </w:r>
      <w:r>
        <w:rPr>
          <w:lang w:val="es-ES_tradnl"/>
        </w:rPr>
        <w:tab/>
        <w:t>Criterios de evaluación de la interferencia para localizadores ILS (1998) y receptores VOR según el Anexo 10 del Convenio de la OACI</w:t>
      </w:r>
    </w:p>
    <w:p w14:paraId="6D0A1C7C" w14:textId="77777777" w:rsidR="008760D9" w:rsidRDefault="008760D9">
      <w:pPr>
        <w:pStyle w:val="Heading3"/>
        <w:rPr>
          <w:lang w:val="es-ES_tradnl"/>
        </w:rPr>
      </w:pPr>
      <w:r>
        <w:rPr>
          <w:lang w:val="es-ES_tradnl"/>
        </w:rPr>
        <w:t>4.3.1</w:t>
      </w:r>
      <w:r>
        <w:rPr>
          <w:lang w:val="es-ES_tradnl"/>
        </w:rPr>
        <w:tab/>
        <w:t>Interferencia de Tipo A1 (véase la Nota 1)</w:t>
      </w:r>
    </w:p>
    <w:p w14:paraId="37F3B6E9" w14:textId="77777777" w:rsidR="008760D9" w:rsidRDefault="008760D9">
      <w:pPr>
        <w:rPr>
          <w:lang w:val="es-ES_tradnl"/>
        </w:rPr>
      </w:pPr>
      <w:r>
        <w:rPr>
          <w:lang w:val="es-ES_tradnl"/>
        </w:rPr>
        <w:t>Igual que para los receptores de tipo Montreal; véase el § 4.2.1.</w:t>
      </w:r>
    </w:p>
    <w:p w14:paraId="1BBCD7D9" w14:textId="77777777" w:rsidR="008760D9" w:rsidRDefault="008760D9">
      <w:pPr>
        <w:pStyle w:val="Heading3"/>
        <w:rPr>
          <w:lang w:val="es-ES_tradnl"/>
        </w:rPr>
      </w:pPr>
      <w:r>
        <w:rPr>
          <w:lang w:val="es-ES_tradnl"/>
        </w:rPr>
        <w:t>4.3.2</w:t>
      </w:r>
      <w:r>
        <w:rPr>
          <w:lang w:val="es-ES_tradnl"/>
        </w:rPr>
        <w:tab/>
        <w:t>Interferencia de Tipo A2 (véase la Nota 1)</w:t>
      </w:r>
    </w:p>
    <w:p w14:paraId="36B15315" w14:textId="77777777" w:rsidR="008760D9" w:rsidRDefault="008760D9">
      <w:pPr>
        <w:rPr>
          <w:lang w:val="es-ES_tradnl"/>
        </w:rPr>
      </w:pPr>
      <w:r>
        <w:rPr>
          <w:lang w:val="es-ES_tradnl"/>
        </w:rPr>
        <w:t>Igual que para los receptores de tipo Montreal; véase el § 4.2.2.</w:t>
      </w:r>
    </w:p>
    <w:p w14:paraId="4BCD2FC2" w14:textId="77777777" w:rsidR="008760D9" w:rsidRDefault="008760D9">
      <w:pPr>
        <w:pStyle w:val="Note"/>
        <w:rPr>
          <w:lang w:val="es-ES_tradnl"/>
        </w:rPr>
      </w:pPr>
      <w:r>
        <w:rPr>
          <w:lang w:val="es-ES_tradnl"/>
        </w:rPr>
        <w:t>NOTA 1 – Se necesita realizar más mediciones del tipo A1 y A2 antes de considerar las posibles modificaciones a los § 4.3.1 y 4.3.2 de la presente Recomendación.</w:t>
      </w:r>
    </w:p>
    <w:p w14:paraId="19AE0B3B" w14:textId="77777777" w:rsidR="008760D9" w:rsidRDefault="008760D9">
      <w:pPr>
        <w:pStyle w:val="Heading3"/>
        <w:rPr>
          <w:lang w:val="es-ES_tradnl"/>
        </w:rPr>
      </w:pPr>
      <w:r>
        <w:rPr>
          <w:lang w:val="es-ES_tradnl"/>
        </w:rPr>
        <w:t>4.3.3</w:t>
      </w:r>
      <w:r>
        <w:rPr>
          <w:lang w:val="es-ES_tradnl"/>
        </w:rPr>
        <w:tab/>
        <w:t>Interferencia de Tipo B1</w:t>
      </w:r>
    </w:p>
    <w:p w14:paraId="44F1A389" w14:textId="77777777" w:rsidR="008760D9" w:rsidRDefault="008760D9">
      <w:pPr>
        <w:pStyle w:val="Heading4"/>
        <w:rPr>
          <w:lang w:val="es-ES_tradnl"/>
        </w:rPr>
      </w:pPr>
      <w:r>
        <w:rPr>
          <w:lang w:val="es-ES_tradnl"/>
        </w:rPr>
        <w:t>4.3.3.1</w:t>
      </w:r>
      <w:r>
        <w:rPr>
          <w:lang w:val="es-ES_tradnl"/>
        </w:rPr>
        <w:tab/>
        <w:t>Fórmulas de evaluación de la compatibilidad</w:t>
      </w:r>
    </w:p>
    <w:p w14:paraId="051B9517" w14:textId="77777777" w:rsidR="008760D9" w:rsidRDefault="008760D9">
      <w:pPr>
        <w:rPr>
          <w:lang w:val="es-ES_tradnl"/>
        </w:rPr>
      </w:pPr>
      <w:r>
        <w:rPr>
          <w:lang w:val="es-ES_tradnl"/>
        </w:rPr>
        <w:t>Para evaluar las posibles incompatibilidades deben utilizarse las siguientes fórmulas:</w:t>
      </w:r>
    </w:p>
    <w:p w14:paraId="0E33506D" w14:textId="77777777" w:rsidR="008760D9" w:rsidRDefault="008760D9">
      <w:pPr>
        <w:pStyle w:val="enumlev1"/>
        <w:rPr>
          <w:lang w:val="fr-FR"/>
        </w:rPr>
      </w:pPr>
      <w:r>
        <w:rPr>
          <w:lang w:val="fr-FR"/>
        </w:rPr>
        <w:t>a)</w:t>
      </w:r>
      <w:r>
        <w:rPr>
          <w:lang w:val="fr-FR"/>
        </w:rPr>
        <w:tab/>
      </w:r>
      <w:proofErr w:type="spellStart"/>
      <w:r>
        <w:rPr>
          <w:i/>
          <w:lang w:val="fr-FR"/>
        </w:rPr>
        <w:t>Caso</w:t>
      </w:r>
      <w:proofErr w:type="spellEnd"/>
      <w:r>
        <w:rPr>
          <w:i/>
          <w:lang w:val="fr-FR"/>
        </w:rPr>
        <w:t xml:space="preserve"> de dos </w:t>
      </w:r>
      <w:proofErr w:type="spellStart"/>
      <w:r>
        <w:rPr>
          <w:i/>
          <w:lang w:val="fr-FR"/>
        </w:rPr>
        <w:t>señales</w:t>
      </w:r>
      <w:proofErr w:type="spellEnd"/>
    </w:p>
    <w:p w14:paraId="61A11A7F" w14:textId="77777777" w:rsidR="008760D9" w:rsidRDefault="008760D9">
      <w:pPr>
        <w:pStyle w:val="Equation"/>
      </w:pPr>
      <w:r>
        <w:rPr>
          <w:lang w:val="fr-FR"/>
        </w:rPr>
        <w:tab/>
      </w:r>
      <w:r>
        <w:rPr>
          <w:lang w:val="fr-FR"/>
        </w:rPr>
        <w:tab/>
      </w:r>
      <w:r>
        <w:rPr>
          <w:position w:val="-28"/>
          <w:lang w:val="fr-FR"/>
        </w:rPr>
        <w:object w:dxaOrig="3820" w:dyaOrig="660" w14:anchorId="05C5D09E">
          <v:shape id="_x0000_i1027" type="#_x0000_t75" style="width:190.6pt;height:32.9pt" o:ole="">
            <v:imagedata r:id="rId21" o:title=""/>
          </v:shape>
          <o:OLEObject Type="Embed" ProgID="Equation.3" ShapeID="_x0000_i1027" DrawAspect="Content" ObjectID="_1652520882" r:id="rId22"/>
        </w:object>
      </w:r>
    </w:p>
    <w:p w14:paraId="7C825D1D" w14:textId="77777777" w:rsidR="008760D9" w:rsidRPr="00AC3FDE" w:rsidRDefault="008760D9">
      <w:pPr>
        <w:pStyle w:val="Equation"/>
        <w:tabs>
          <w:tab w:val="left" w:pos="2751"/>
        </w:tabs>
        <w:rPr>
          <w:lang w:val="es-ES"/>
        </w:rPr>
      </w:pPr>
      <w:r>
        <w:tab/>
      </w:r>
      <w:r>
        <w:tab/>
      </w:r>
      <w:r>
        <w:rPr>
          <w:position w:val="-26"/>
        </w:rPr>
        <w:object w:dxaOrig="5240" w:dyaOrig="620" w14:anchorId="10E0F346">
          <v:shape id="_x0000_i1028" type="#_x0000_t75" style="width:262.2pt;height:31.2pt" o:ole="">
            <v:imagedata r:id="rId23" o:title=""/>
          </v:shape>
          <o:OLEObject Type="Embed" ProgID="Equation.3" ShapeID="_x0000_i1028" DrawAspect="Content" ObjectID="_1652520883" r:id="rId24"/>
        </w:object>
      </w:r>
      <w:r w:rsidRPr="00AC3FDE">
        <w:rPr>
          <w:lang w:val="es-ES"/>
        </w:rPr>
        <w:tab/>
        <w:t>(10)</w:t>
      </w:r>
    </w:p>
    <w:p w14:paraId="303B1FB7" w14:textId="77777777" w:rsidR="008760D9" w:rsidRDefault="008760D9">
      <w:pPr>
        <w:rPr>
          <w:lang w:val="es-ES_tradnl"/>
        </w:rPr>
      </w:pPr>
      <w:r>
        <w:rPr>
          <w:lang w:val="es-ES_tradnl"/>
        </w:rPr>
        <w:t>siendo:</w:t>
      </w:r>
    </w:p>
    <w:p w14:paraId="673C84D2" w14:textId="77777777" w:rsidR="008760D9" w:rsidRDefault="008760D9">
      <w:pPr>
        <w:pStyle w:val="enumlev1"/>
        <w:tabs>
          <w:tab w:val="left" w:pos="1134"/>
        </w:tabs>
        <w:ind w:left="1134" w:hanging="1134"/>
        <w:rPr>
          <w:lang w:val="es-ES_tradnl"/>
        </w:rPr>
      </w:pPr>
      <w:r>
        <w:rPr>
          <w:i/>
          <w:lang w:val="es-ES_tradnl"/>
        </w:rPr>
        <w:tab/>
        <w:t>N</w:t>
      </w:r>
      <w:r>
        <w:rPr>
          <w:position w:val="-4"/>
          <w:sz w:val="16"/>
          <w:lang w:val="es-ES_tradnl"/>
        </w:rPr>
        <w:t>1</w:t>
      </w:r>
      <w:r>
        <w:rPr>
          <w:lang w:val="es-ES_tradnl"/>
        </w:rPr>
        <w:t xml:space="preserve">, </w:t>
      </w:r>
      <w:r>
        <w:rPr>
          <w:i/>
          <w:lang w:val="es-ES_tradnl"/>
        </w:rPr>
        <w:t>N</w:t>
      </w:r>
      <w:r>
        <w:rPr>
          <w:position w:val="-4"/>
          <w:sz w:val="16"/>
          <w:lang w:val="es-ES_tradnl"/>
        </w:rPr>
        <w:t>2</w:t>
      </w:r>
      <w:r>
        <w:rPr>
          <w:rFonts w:ascii="Tms Rmn" w:hAnsi="Tms Rmn"/>
          <w:position w:val="-4"/>
          <w:sz w:val="12"/>
          <w:lang w:val="es-ES_tradnl"/>
        </w:rPr>
        <w:t> </w:t>
      </w:r>
      <w:r>
        <w:rPr>
          <w:sz w:val="18"/>
          <w:lang w:val="es-ES_tradnl"/>
        </w:rPr>
        <w:t>:</w:t>
      </w:r>
      <w:r>
        <w:rPr>
          <w:lang w:val="es-ES_tradnl"/>
        </w:rPr>
        <w:tab/>
        <w:t xml:space="preserve">niveles de las señales de radiodifusión (dBm) a la entrada del receptor aeronáutico para las frecuencias de radiodifusión </w:t>
      </w:r>
      <w:r>
        <w:rPr>
          <w:i/>
          <w:lang w:val="es-ES_tradnl"/>
        </w:rPr>
        <w:t>f</w:t>
      </w:r>
      <w:r>
        <w:rPr>
          <w:position w:val="-4"/>
          <w:sz w:val="16"/>
          <w:lang w:val="es-ES_tradnl"/>
        </w:rPr>
        <w:t>1</w:t>
      </w:r>
      <w:r>
        <w:rPr>
          <w:lang w:val="es-ES_tradnl"/>
        </w:rPr>
        <w:t xml:space="preserve"> y </w:t>
      </w:r>
      <w:r>
        <w:rPr>
          <w:i/>
          <w:lang w:val="es-ES_tradnl"/>
        </w:rPr>
        <w:t>f</w:t>
      </w:r>
      <w:r>
        <w:rPr>
          <w:position w:val="-4"/>
          <w:sz w:val="16"/>
          <w:lang w:val="es-ES_tradnl"/>
        </w:rPr>
        <w:t>2</w:t>
      </w:r>
      <w:r>
        <w:rPr>
          <w:lang w:val="es-ES_tradnl"/>
        </w:rPr>
        <w:t xml:space="preserve"> respectivamente</w:t>
      </w:r>
    </w:p>
    <w:p w14:paraId="17C06839" w14:textId="77777777" w:rsidR="008760D9" w:rsidRDefault="008760D9">
      <w:pPr>
        <w:pStyle w:val="enumlev1"/>
        <w:tabs>
          <w:tab w:val="left" w:pos="1134"/>
        </w:tabs>
        <w:ind w:left="1134" w:hanging="1134"/>
        <w:rPr>
          <w:position w:val="-6"/>
          <w:lang w:val="es-ES_tradnl"/>
        </w:rPr>
      </w:pPr>
      <w:r>
        <w:rPr>
          <w:i/>
          <w:lang w:val="es-ES_tradnl"/>
        </w:rPr>
        <w:tab/>
        <w:t>f</w:t>
      </w:r>
      <w:r>
        <w:rPr>
          <w:position w:val="-4"/>
          <w:sz w:val="16"/>
          <w:lang w:val="es-ES_tradnl"/>
        </w:rPr>
        <w:t>1</w:t>
      </w:r>
      <w:r>
        <w:rPr>
          <w:lang w:val="es-ES_tradnl"/>
        </w:rPr>
        <w:t xml:space="preserve">, </w:t>
      </w:r>
      <w:r>
        <w:rPr>
          <w:i/>
          <w:lang w:val="es-ES_tradnl"/>
        </w:rPr>
        <w:t>f</w:t>
      </w:r>
      <w:r>
        <w:rPr>
          <w:position w:val="-4"/>
          <w:sz w:val="16"/>
          <w:lang w:val="es-ES_tradnl"/>
        </w:rPr>
        <w:t>2</w:t>
      </w:r>
      <w:r>
        <w:rPr>
          <w:rFonts w:ascii="Tms Rmn" w:hAnsi="Tms Rmn"/>
          <w:sz w:val="12"/>
          <w:lang w:val="es-ES_tradnl"/>
        </w:rPr>
        <w:t> </w:t>
      </w:r>
      <w:r>
        <w:rPr>
          <w:lang w:val="es-ES_tradnl"/>
        </w:rPr>
        <w:t>:</w:t>
      </w:r>
      <w:r>
        <w:rPr>
          <w:position w:val="-6"/>
          <w:sz w:val="18"/>
          <w:lang w:val="es-ES_tradnl"/>
        </w:rPr>
        <w:tab/>
      </w:r>
      <w:r>
        <w:rPr>
          <w:lang w:val="es-ES_tradnl"/>
        </w:rPr>
        <w:t xml:space="preserve">frecuencias de radiodifusión (MHz) </w:t>
      </w:r>
      <w:r>
        <w:rPr>
          <w:i/>
          <w:lang w:val="es-ES_tradnl"/>
        </w:rPr>
        <w:t>f</w:t>
      </w:r>
      <w:r>
        <w:rPr>
          <w:position w:val="-4"/>
          <w:sz w:val="16"/>
          <w:lang w:val="es-ES_tradnl"/>
        </w:rPr>
        <w:t>1</w:t>
      </w:r>
      <w:r>
        <w:rPr>
          <w:lang w:val="es-ES_tradnl"/>
        </w:rPr>
        <w:t xml:space="preserve"> </w:t>
      </w:r>
      <w:r>
        <w:rPr>
          <w:rFonts w:ascii="Symbol" w:hAnsi="Symbol"/>
          <w:lang w:val="es-ES_tradnl"/>
        </w:rPr>
        <w:t></w:t>
      </w:r>
      <w:r>
        <w:rPr>
          <w:lang w:val="es-ES_tradnl"/>
        </w:rPr>
        <w:t xml:space="preserve"> </w:t>
      </w:r>
      <w:r>
        <w:rPr>
          <w:i/>
          <w:lang w:val="es-ES_tradnl"/>
        </w:rPr>
        <w:t>f</w:t>
      </w:r>
      <w:r>
        <w:rPr>
          <w:position w:val="-4"/>
          <w:sz w:val="16"/>
          <w:lang w:val="es-ES_tradnl"/>
        </w:rPr>
        <w:t>2</w:t>
      </w:r>
    </w:p>
    <w:p w14:paraId="4B6B16D1" w14:textId="77777777" w:rsidR="008760D9" w:rsidRDefault="008760D9">
      <w:pPr>
        <w:pStyle w:val="enumlev1"/>
        <w:tabs>
          <w:tab w:val="left" w:pos="1134"/>
        </w:tabs>
        <w:ind w:left="1134" w:hanging="1134"/>
        <w:rPr>
          <w:lang w:val="es-ES_tradnl"/>
        </w:rPr>
      </w:pPr>
      <w:r>
        <w:rPr>
          <w:i/>
          <w:lang w:val="es-ES_tradnl"/>
        </w:rPr>
        <w:tab/>
        <w:t>K</w:t>
      </w:r>
      <w:r>
        <w:rPr>
          <w:lang w:val="es-ES_tradnl"/>
        </w:rPr>
        <w:t xml:space="preserve">  </w:t>
      </w:r>
      <w:r>
        <w:rPr>
          <w:rFonts w:ascii="Symbol" w:hAnsi="Symbol"/>
          <w:lang w:val="es-ES_tradnl"/>
        </w:rPr>
        <w:t></w:t>
      </w:r>
      <w:r>
        <w:rPr>
          <w:lang w:val="es-ES_tradnl"/>
        </w:rPr>
        <w:tab/>
        <w:t>78 para el localizador ILS y el VOR</w:t>
      </w:r>
    </w:p>
    <w:p w14:paraId="66572E09" w14:textId="77777777" w:rsidR="008760D9" w:rsidRDefault="008760D9">
      <w:pPr>
        <w:pStyle w:val="enumlev1"/>
        <w:tabs>
          <w:tab w:val="left" w:pos="1134"/>
        </w:tabs>
        <w:ind w:left="1134" w:hanging="1134"/>
        <w:rPr>
          <w:lang w:val="es-ES_tradnl"/>
        </w:rPr>
      </w:pPr>
      <w:r>
        <w:rPr>
          <w:i/>
          <w:lang w:val="es-ES_tradnl"/>
        </w:rPr>
        <w:tab/>
        <w:t>L</w:t>
      </w:r>
      <w:r>
        <w:rPr>
          <w:i/>
          <w:position w:val="-4"/>
          <w:sz w:val="16"/>
          <w:lang w:val="es-ES_tradnl"/>
        </w:rPr>
        <w:t>c</w:t>
      </w:r>
      <w:r>
        <w:rPr>
          <w:rFonts w:ascii="Tms Rmn" w:hAnsi="Tms Rmn"/>
          <w:position w:val="-4"/>
          <w:sz w:val="12"/>
          <w:lang w:val="es-ES_tradnl"/>
        </w:rPr>
        <w:t> </w:t>
      </w:r>
      <w:r>
        <w:rPr>
          <w:sz w:val="18"/>
          <w:lang w:val="es-ES_tradnl"/>
        </w:rPr>
        <w:t>:</w:t>
      </w:r>
      <w:r>
        <w:rPr>
          <w:sz w:val="18"/>
          <w:lang w:val="es-ES_tradnl"/>
        </w:rPr>
        <w:tab/>
      </w:r>
      <w:r>
        <w:rPr>
          <w:lang w:val="es-ES_tradnl"/>
        </w:rPr>
        <w:t>factor de corrección (dB) para tener en cuenta las variaciones en la señal deseada (véase el § 4.3.3.3); y</w:t>
      </w:r>
    </w:p>
    <w:p w14:paraId="398DEE81" w14:textId="77777777" w:rsidR="008760D9" w:rsidRDefault="008760D9">
      <w:pPr>
        <w:pStyle w:val="enumlev1"/>
        <w:tabs>
          <w:tab w:val="left" w:pos="1134"/>
        </w:tabs>
        <w:ind w:left="1134" w:hanging="1134"/>
        <w:rPr>
          <w:lang w:val="es-ES_tradnl"/>
        </w:rPr>
      </w:pPr>
      <w:r>
        <w:rPr>
          <w:lang w:val="es-ES_tradnl"/>
        </w:rPr>
        <w:tab/>
      </w:r>
      <w:r>
        <w:rPr>
          <w:i/>
          <w:lang w:val="es-ES_tradnl"/>
        </w:rPr>
        <w:t>S</w:t>
      </w:r>
      <w:r>
        <w:rPr>
          <w:rFonts w:ascii="Tms Rmn" w:hAnsi="Tms Rmn"/>
          <w:sz w:val="12"/>
          <w:lang w:val="es-ES_tradnl"/>
        </w:rPr>
        <w:t> </w:t>
      </w:r>
      <w:r>
        <w:rPr>
          <w:rFonts w:ascii="Tms Rmn" w:hAnsi="Tms Rmn"/>
          <w:lang w:val="es-ES_tradnl"/>
        </w:rPr>
        <w:t>:</w:t>
      </w:r>
      <w:r>
        <w:rPr>
          <w:rFonts w:ascii="Tms Rmn" w:hAnsi="Tms Rmn"/>
          <w:lang w:val="es-ES_tradnl"/>
        </w:rPr>
        <w:tab/>
      </w:r>
      <w:r>
        <w:rPr>
          <w:lang w:val="es-ES_tradnl"/>
        </w:rPr>
        <w:t>margen de 3 dB para tener en cuenta el hecho de que las ecuaciones de criterios de inmunidad del receptor de tipo 1998 según el Anexo 10 al Convenio de la OACI no proporcionan las fórmulas completas de evaluación de la compatibilidad.</w:t>
      </w:r>
    </w:p>
    <w:p w14:paraId="15039F89" w14:textId="77777777" w:rsidR="008760D9" w:rsidRDefault="008760D9">
      <w:pPr>
        <w:pStyle w:val="enumlev1"/>
        <w:rPr>
          <w:lang w:val="fr-FR"/>
        </w:rPr>
      </w:pPr>
      <w:r>
        <w:rPr>
          <w:lang w:val="fr-FR"/>
        </w:rPr>
        <w:t>b)</w:t>
      </w:r>
      <w:r>
        <w:rPr>
          <w:lang w:val="fr-FR"/>
        </w:rPr>
        <w:tab/>
      </w:r>
      <w:proofErr w:type="spellStart"/>
      <w:r>
        <w:rPr>
          <w:i/>
          <w:lang w:val="fr-FR"/>
        </w:rPr>
        <w:t>Caso</w:t>
      </w:r>
      <w:proofErr w:type="spellEnd"/>
      <w:r>
        <w:rPr>
          <w:i/>
          <w:lang w:val="fr-FR"/>
        </w:rPr>
        <w:t xml:space="preserve"> de </w:t>
      </w:r>
      <w:proofErr w:type="spellStart"/>
      <w:r>
        <w:rPr>
          <w:i/>
          <w:lang w:val="fr-FR"/>
        </w:rPr>
        <w:t>tres</w:t>
      </w:r>
      <w:proofErr w:type="spellEnd"/>
      <w:r>
        <w:rPr>
          <w:i/>
          <w:lang w:val="fr-FR"/>
        </w:rPr>
        <w:t xml:space="preserve"> </w:t>
      </w:r>
      <w:proofErr w:type="spellStart"/>
      <w:r>
        <w:rPr>
          <w:i/>
          <w:lang w:val="fr-FR"/>
        </w:rPr>
        <w:t>señales</w:t>
      </w:r>
      <w:proofErr w:type="spellEnd"/>
    </w:p>
    <w:p w14:paraId="470C07FC" w14:textId="77777777" w:rsidR="008760D9" w:rsidRDefault="008760D9">
      <w:pPr>
        <w:pStyle w:val="Equation"/>
        <w:tabs>
          <w:tab w:val="left" w:pos="2410"/>
        </w:tabs>
        <w:rPr>
          <w:lang w:val="fr-FR"/>
        </w:rPr>
      </w:pPr>
      <w:r>
        <w:rPr>
          <w:lang w:val="fr-FR"/>
        </w:rPr>
        <w:tab/>
      </w:r>
      <w:r>
        <w:rPr>
          <w:lang w:val="fr-FR"/>
        </w:rPr>
        <w:tab/>
      </w:r>
      <w:r>
        <w:rPr>
          <w:position w:val="-26"/>
          <w:lang w:val="fr-FR"/>
        </w:rPr>
        <w:object w:dxaOrig="3440" w:dyaOrig="620" w14:anchorId="20E18EE9">
          <v:shape id="_x0000_i1029" type="#_x0000_t75" style="width:172.3pt;height:31.2pt" o:ole="">
            <v:imagedata r:id="rId25" o:title=""/>
          </v:shape>
          <o:OLEObject Type="Embed" ProgID="Equation.3" ShapeID="_x0000_i1029" DrawAspect="Content" ObjectID="_1652520884" r:id="rId26"/>
        </w:object>
      </w:r>
    </w:p>
    <w:p w14:paraId="339B37BF" w14:textId="77777777" w:rsidR="008760D9" w:rsidRDefault="008760D9">
      <w:pPr>
        <w:pStyle w:val="Equation"/>
        <w:tabs>
          <w:tab w:val="left" w:pos="2354"/>
        </w:tabs>
        <w:rPr>
          <w:lang w:val="fr-FR"/>
        </w:rPr>
      </w:pPr>
      <w:r>
        <w:rPr>
          <w:lang w:val="fr-FR"/>
        </w:rPr>
        <w:tab/>
      </w:r>
      <w:r>
        <w:rPr>
          <w:lang w:val="fr-FR"/>
        </w:rPr>
        <w:tab/>
      </w:r>
      <w:r>
        <w:rPr>
          <w:position w:val="-26"/>
          <w:lang w:val="fr-FR"/>
        </w:rPr>
        <w:object w:dxaOrig="3500" w:dyaOrig="620" w14:anchorId="08344941">
          <v:shape id="_x0000_i1030" type="#_x0000_t75" style="width:175.2pt;height:31.2pt" o:ole="">
            <v:imagedata r:id="rId27" o:title=""/>
          </v:shape>
          <o:OLEObject Type="Embed" ProgID="Equation.3" ShapeID="_x0000_i1030" DrawAspect="Content" ObjectID="_1652520885" r:id="rId28"/>
        </w:object>
      </w:r>
    </w:p>
    <w:p w14:paraId="64B6751F" w14:textId="77777777" w:rsidR="008760D9" w:rsidRPr="00AC3FDE" w:rsidRDefault="008760D9">
      <w:pPr>
        <w:pStyle w:val="Equation"/>
        <w:tabs>
          <w:tab w:val="left" w:pos="2354"/>
        </w:tabs>
        <w:rPr>
          <w:lang w:val="es-ES"/>
        </w:rPr>
      </w:pPr>
      <w:r>
        <w:rPr>
          <w:lang w:val="en-US"/>
        </w:rPr>
        <w:tab/>
      </w:r>
      <w:r>
        <w:rPr>
          <w:lang w:val="en-US"/>
        </w:rPr>
        <w:tab/>
      </w:r>
      <w:r>
        <w:rPr>
          <w:position w:val="-26"/>
          <w:lang w:val="fr-FR"/>
        </w:rPr>
        <w:object w:dxaOrig="3480" w:dyaOrig="620" w14:anchorId="58EAF676">
          <v:shape id="_x0000_i1031" type="#_x0000_t75" style="width:173.95pt;height:31.2pt" o:ole="">
            <v:imagedata r:id="rId29" o:title=""/>
          </v:shape>
          <o:OLEObject Type="Embed" ProgID="Equation.3" ShapeID="_x0000_i1031" DrawAspect="Content" ObjectID="_1652520886" r:id="rId30"/>
        </w:object>
      </w:r>
      <w:r w:rsidRPr="00AC3FDE">
        <w:rPr>
          <w:lang w:val="es-ES"/>
        </w:rPr>
        <w:t xml:space="preserve">  </w:t>
      </w:r>
      <w:r w:rsidRPr="00AC3FDE">
        <w:rPr>
          <w:i/>
          <w:lang w:val="es-ES"/>
        </w:rPr>
        <w:t>K</w:t>
      </w:r>
      <w:r w:rsidRPr="00AC3FDE">
        <w:rPr>
          <w:lang w:val="es-ES"/>
        </w:rPr>
        <w:t xml:space="preserve">  </w:t>
      </w:r>
      <w:r>
        <w:rPr>
          <w:rFonts w:ascii="Symbol" w:hAnsi="Symbol"/>
        </w:rPr>
        <w:t></w:t>
      </w:r>
      <w:r w:rsidRPr="00AC3FDE">
        <w:rPr>
          <w:lang w:val="es-ES"/>
        </w:rPr>
        <w:t xml:space="preserve">  6  –  </w:t>
      </w:r>
      <w:r w:rsidRPr="00AC3FDE">
        <w:rPr>
          <w:i/>
          <w:lang w:val="es-ES"/>
        </w:rPr>
        <w:t>L</w:t>
      </w:r>
      <w:r w:rsidRPr="00AC3FDE">
        <w:rPr>
          <w:i/>
          <w:position w:val="-4"/>
          <w:sz w:val="18"/>
          <w:lang w:val="es-ES"/>
        </w:rPr>
        <w:t>c</w:t>
      </w:r>
      <w:r w:rsidRPr="00AC3FDE">
        <w:rPr>
          <w:lang w:val="es-ES"/>
        </w:rPr>
        <w:t xml:space="preserve">  </w:t>
      </w:r>
      <w:r>
        <w:rPr>
          <w:rFonts w:ascii="Symbol" w:hAnsi="Symbol"/>
        </w:rPr>
        <w:t></w:t>
      </w:r>
      <w:r w:rsidRPr="00AC3FDE">
        <w:rPr>
          <w:lang w:val="es-ES"/>
        </w:rPr>
        <w:t xml:space="preserve">  </w:t>
      </w:r>
      <w:r w:rsidRPr="00AC3FDE">
        <w:rPr>
          <w:i/>
          <w:lang w:val="es-ES"/>
        </w:rPr>
        <w:t>S</w:t>
      </w:r>
      <w:r w:rsidRPr="00AC3FDE">
        <w:rPr>
          <w:lang w:val="es-ES"/>
        </w:rPr>
        <w:t xml:space="preserve">  </w:t>
      </w:r>
      <w:r>
        <w:rPr>
          <w:rFonts w:ascii="Symbol" w:hAnsi="Symbol"/>
        </w:rPr>
        <w:t></w:t>
      </w:r>
      <w:r w:rsidRPr="00AC3FDE">
        <w:rPr>
          <w:lang w:val="es-ES"/>
        </w:rPr>
        <w:t xml:space="preserve">  0</w:t>
      </w:r>
      <w:r w:rsidRPr="00AC3FDE">
        <w:rPr>
          <w:lang w:val="es-ES"/>
        </w:rPr>
        <w:tab/>
        <w:t>(11)</w:t>
      </w:r>
    </w:p>
    <w:p w14:paraId="46B82531" w14:textId="77777777" w:rsidR="008760D9" w:rsidRDefault="008760D9">
      <w:pPr>
        <w:rPr>
          <w:lang w:val="es-ES_tradnl"/>
        </w:rPr>
      </w:pPr>
      <w:r>
        <w:rPr>
          <w:lang w:val="es-ES_tradnl"/>
        </w:rPr>
        <w:t>siendo:</w:t>
      </w:r>
    </w:p>
    <w:p w14:paraId="2177971A" w14:textId="77777777" w:rsidR="008760D9" w:rsidRDefault="008760D9">
      <w:pPr>
        <w:pStyle w:val="enumlev1"/>
        <w:tabs>
          <w:tab w:val="left" w:pos="1474"/>
        </w:tabs>
        <w:ind w:left="1474" w:hanging="1474"/>
        <w:rPr>
          <w:lang w:val="es-ES_tradnl"/>
        </w:rPr>
      </w:pPr>
      <w:r>
        <w:rPr>
          <w:i/>
          <w:lang w:val="es-ES_tradnl"/>
        </w:rPr>
        <w:tab/>
        <w:t>f</w:t>
      </w:r>
      <w:r>
        <w:rPr>
          <w:position w:val="-4"/>
          <w:sz w:val="16"/>
          <w:lang w:val="es-ES_tradnl"/>
        </w:rPr>
        <w:t>1</w:t>
      </w:r>
      <w:r>
        <w:rPr>
          <w:lang w:val="es-ES_tradnl"/>
        </w:rPr>
        <w:t xml:space="preserve">, </w:t>
      </w:r>
      <w:r>
        <w:rPr>
          <w:i/>
          <w:lang w:val="es-ES_tradnl"/>
        </w:rPr>
        <w:t>f</w:t>
      </w:r>
      <w:r>
        <w:rPr>
          <w:position w:val="-4"/>
          <w:sz w:val="16"/>
          <w:lang w:val="es-ES_tradnl"/>
        </w:rPr>
        <w:t>2</w:t>
      </w:r>
      <w:r>
        <w:rPr>
          <w:lang w:val="es-ES_tradnl"/>
        </w:rPr>
        <w:t xml:space="preserve">, </w:t>
      </w:r>
      <w:r>
        <w:rPr>
          <w:i/>
          <w:lang w:val="es-ES_tradnl"/>
        </w:rPr>
        <w:t>f</w:t>
      </w:r>
      <w:r>
        <w:rPr>
          <w:position w:val="-4"/>
          <w:sz w:val="16"/>
          <w:lang w:val="es-ES_tradnl"/>
        </w:rPr>
        <w:t>3</w:t>
      </w:r>
      <w:r>
        <w:rPr>
          <w:rFonts w:ascii="Tms Rmn" w:hAnsi="Tms Rmn"/>
          <w:sz w:val="12"/>
          <w:lang w:val="es-ES_tradnl"/>
        </w:rPr>
        <w:t> </w:t>
      </w:r>
      <w:r>
        <w:rPr>
          <w:lang w:val="es-ES_tradnl"/>
        </w:rPr>
        <w:t>:</w:t>
      </w:r>
      <w:r>
        <w:rPr>
          <w:lang w:val="es-ES_tradnl"/>
        </w:rPr>
        <w:tab/>
        <w:t xml:space="preserve">frecuencias de radiodifusión (MHz) </w:t>
      </w:r>
      <w:r>
        <w:rPr>
          <w:i/>
          <w:lang w:val="es-ES_tradnl"/>
        </w:rPr>
        <w:t>f</w:t>
      </w:r>
      <w:r>
        <w:rPr>
          <w:position w:val="-4"/>
          <w:sz w:val="16"/>
          <w:lang w:val="es-ES_tradnl"/>
        </w:rPr>
        <w:t>1</w:t>
      </w:r>
      <w:r>
        <w:rPr>
          <w:lang w:val="es-ES_tradnl"/>
        </w:rPr>
        <w:t xml:space="preserve"> </w:t>
      </w:r>
      <w:r>
        <w:rPr>
          <w:rFonts w:ascii="Symbol" w:hAnsi="Symbol"/>
          <w:lang w:val="es-ES_tradnl"/>
        </w:rPr>
        <w:t></w:t>
      </w:r>
      <w:r>
        <w:rPr>
          <w:lang w:val="es-ES_tradnl"/>
        </w:rPr>
        <w:t xml:space="preserve"> </w:t>
      </w:r>
      <w:r>
        <w:rPr>
          <w:i/>
          <w:lang w:val="es-ES_tradnl"/>
        </w:rPr>
        <w:t>f</w:t>
      </w:r>
      <w:r>
        <w:rPr>
          <w:position w:val="-4"/>
          <w:sz w:val="16"/>
          <w:lang w:val="es-ES_tradnl"/>
        </w:rPr>
        <w:t>2</w:t>
      </w:r>
      <w:r>
        <w:rPr>
          <w:position w:val="-6"/>
          <w:sz w:val="16"/>
          <w:lang w:val="es-ES_tradnl"/>
        </w:rPr>
        <w:t xml:space="preserve"> </w:t>
      </w:r>
      <w:r>
        <w:rPr>
          <w:rFonts w:ascii="Symbol" w:hAnsi="Symbol"/>
          <w:lang w:val="es-ES_tradnl"/>
        </w:rPr>
        <w:t></w:t>
      </w:r>
      <w:r>
        <w:rPr>
          <w:lang w:val="es-ES_tradnl"/>
        </w:rPr>
        <w:t xml:space="preserve"> </w:t>
      </w:r>
      <w:r>
        <w:rPr>
          <w:i/>
          <w:lang w:val="es-ES_tradnl"/>
        </w:rPr>
        <w:t>f</w:t>
      </w:r>
      <w:r>
        <w:rPr>
          <w:position w:val="-4"/>
          <w:sz w:val="16"/>
          <w:lang w:val="es-ES_tradnl"/>
        </w:rPr>
        <w:t>3</w:t>
      </w:r>
    </w:p>
    <w:p w14:paraId="03EC932C" w14:textId="77777777" w:rsidR="008760D9" w:rsidRDefault="008760D9">
      <w:pPr>
        <w:pStyle w:val="enumlev1"/>
        <w:tabs>
          <w:tab w:val="left" w:pos="1474"/>
        </w:tabs>
        <w:ind w:left="1474" w:hanging="1474"/>
        <w:rPr>
          <w:lang w:val="es-ES_tradnl"/>
        </w:rPr>
      </w:pPr>
      <w:r>
        <w:rPr>
          <w:i/>
          <w:lang w:val="es-ES_tradnl"/>
        </w:rPr>
        <w:tab/>
        <w:t>N</w:t>
      </w:r>
      <w:r>
        <w:rPr>
          <w:position w:val="-4"/>
          <w:sz w:val="16"/>
          <w:lang w:val="es-ES_tradnl"/>
        </w:rPr>
        <w:t>1</w:t>
      </w:r>
      <w:r>
        <w:rPr>
          <w:lang w:val="es-ES_tradnl"/>
        </w:rPr>
        <w:t xml:space="preserve">, </w:t>
      </w:r>
      <w:r>
        <w:rPr>
          <w:i/>
          <w:lang w:val="es-ES_tradnl"/>
        </w:rPr>
        <w:t>N</w:t>
      </w:r>
      <w:r>
        <w:rPr>
          <w:position w:val="-4"/>
          <w:sz w:val="16"/>
          <w:lang w:val="es-ES_tradnl"/>
        </w:rPr>
        <w:t>2</w:t>
      </w:r>
      <w:r>
        <w:rPr>
          <w:lang w:val="es-ES_tradnl"/>
        </w:rPr>
        <w:t xml:space="preserve">, </w:t>
      </w:r>
      <w:r>
        <w:rPr>
          <w:i/>
          <w:lang w:val="es-ES_tradnl"/>
        </w:rPr>
        <w:t>N</w:t>
      </w:r>
      <w:r>
        <w:rPr>
          <w:position w:val="-4"/>
          <w:sz w:val="16"/>
          <w:lang w:val="es-ES_tradnl"/>
        </w:rPr>
        <w:t>3</w:t>
      </w:r>
      <w:r>
        <w:rPr>
          <w:rFonts w:ascii="Tms Rmn" w:hAnsi="Tms Rmn"/>
          <w:sz w:val="12"/>
          <w:lang w:val="es-ES_tradnl"/>
        </w:rPr>
        <w:t> </w:t>
      </w:r>
      <w:r>
        <w:rPr>
          <w:lang w:val="es-ES_tradnl"/>
        </w:rPr>
        <w:t>:</w:t>
      </w:r>
      <w:r>
        <w:rPr>
          <w:lang w:val="es-ES_tradnl"/>
        </w:rPr>
        <w:tab/>
        <w:t xml:space="preserve">niveles de la señal de radiodifusión (dBm) a la entrada del receptor aeronáutico de frecuencia de radiodifusión </w:t>
      </w:r>
      <w:r>
        <w:rPr>
          <w:i/>
          <w:lang w:val="es-ES_tradnl"/>
        </w:rPr>
        <w:t>f</w:t>
      </w:r>
      <w:r>
        <w:rPr>
          <w:position w:val="-4"/>
          <w:sz w:val="16"/>
          <w:lang w:val="es-ES_tradnl"/>
        </w:rPr>
        <w:t>1</w:t>
      </w:r>
      <w:r>
        <w:rPr>
          <w:lang w:val="es-ES_tradnl"/>
        </w:rPr>
        <w:t xml:space="preserve">, </w:t>
      </w:r>
      <w:r>
        <w:rPr>
          <w:i/>
          <w:lang w:val="es-ES_tradnl"/>
        </w:rPr>
        <w:t>f</w:t>
      </w:r>
      <w:r>
        <w:rPr>
          <w:position w:val="-4"/>
          <w:sz w:val="16"/>
          <w:lang w:val="es-ES_tradnl"/>
        </w:rPr>
        <w:t>2</w:t>
      </w:r>
      <w:r>
        <w:rPr>
          <w:lang w:val="es-ES_tradnl"/>
        </w:rPr>
        <w:t xml:space="preserve"> y </w:t>
      </w:r>
      <w:r>
        <w:rPr>
          <w:i/>
          <w:lang w:val="es-ES_tradnl"/>
        </w:rPr>
        <w:t>f</w:t>
      </w:r>
      <w:r>
        <w:rPr>
          <w:position w:val="-4"/>
          <w:sz w:val="16"/>
          <w:lang w:val="es-ES_tradnl"/>
        </w:rPr>
        <w:t>3</w:t>
      </w:r>
      <w:r>
        <w:rPr>
          <w:lang w:val="es-ES_tradnl"/>
        </w:rPr>
        <w:t>, respectivamente</w:t>
      </w:r>
    </w:p>
    <w:p w14:paraId="25D6A07B" w14:textId="77777777" w:rsidR="008760D9" w:rsidRDefault="008760D9">
      <w:pPr>
        <w:pStyle w:val="enumlev1"/>
        <w:tabs>
          <w:tab w:val="left" w:pos="1474"/>
        </w:tabs>
        <w:ind w:left="1474" w:hanging="1474"/>
        <w:rPr>
          <w:lang w:val="es-ES_tradnl"/>
        </w:rPr>
      </w:pPr>
      <w:r>
        <w:rPr>
          <w:i/>
          <w:lang w:val="es-ES_tradnl"/>
        </w:rPr>
        <w:tab/>
        <w:t>K</w:t>
      </w:r>
      <w:r>
        <w:rPr>
          <w:lang w:val="es-ES_tradnl"/>
        </w:rPr>
        <w:t xml:space="preserve">  </w:t>
      </w:r>
      <w:r>
        <w:rPr>
          <w:rFonts w:ascii="Symbol" w:hAnsi="Symbol"/>
          <w:lang w:val="es-ES_tradnl"/>
        </w:rPr>
        <w:t></w:t>
      </w:r>
      <w:r>
        <w:rPr>
          <w:lang w:val="es-ES_tradnl"/>
        </w:rPr>
        <w:tab/>
        <w:t>78 para el ILS y el VOR</w:t>
      </w:r>
    </w:p>
    <w:p w14:paraId="35D74994" w14:textId="77777777" w:rsidR="008760D9" w:rsidRDefault="008760D9">
      <w:pPr>
        <w:pStyle w:val="enumlev1"/>
        <w:tabs>
          <w:tab w:val="left" w:pos="1474"/>
        </w:tabs>
        <w:ind w:left="1474" w:hanging="1474"/>
        <w:rPr>
          <w:lang w:val="es-ES_tradnl"/>
        </w:rPr>
      </w:pPr>
      <w:r>
        <w:rPr>
          <w:i/>
          <w:lang w:val="es-ES_tradnl"/>
        </w:rPr>
        <w:tab/>
        <w:t>L</w:t>
      </w:r>
      <w:r>
        <w:rPr>
          <w:i/>
          <w:position w:val="-4"/>
          <w:sz w:val="16"/>
          <w:lang w:val="es-ES_tradnl"/>
        </w:rPr>
        <w:t>c</w:t>
      </w:r>
      <w:r>
        <w:rPr>
          <w:rFonts w:ascii="Tms Rmn" w:hAnsi="Tms Rmn"/>
          <w:sz w:val="12"/>
          <w:lang w:val="es-ES_tradnl"/>
        </w:rPr>
        <w:t> </w:t>
      </w:r>
      <w:r>
        <w:rPr>
          <w:lang w:val="es-ES_tradnl"/>
        </w:rPr>
        <w:t>:</w:t>
      </w:r>
      <w:r>
        <w:rPr>
          <w:lang w:val="es-ES_tradnl"/>
        </w:rPr>
        <w:tab/>
        <w:t>factor</w:t>
      </w:r>
      <w:r>
        <w:rPr>
          <w:sz w:val="19"/>
          <w:lang w:val="es-ES_tradnl"/>
        </w:rPr>
        <w:t xml:space="preserve"> </w:t>
      </w:r>
      <w:r>
        <w:rPr>
          <w:lang w:val="es-ES_tradnl"/>
        </w:rPr>
        <w:t>de</w:t>
      </w:r>
      <w:r>
        <w:rPr>
          <w:sz w:val="19"/>
          <w:lang w:val="es-ES_tradnl"/>
        </w:rPr>
        <w:t xml:space="preserve"> </w:t>
      </w:r>
      <w:r>
        <w:rPr>
          <w:lang w:val="es-ES_tradnl"/>
        </w:rPr>
        <w:t>corrección</w:t>
      </w:r>
      <w:r>
        <w:rPr>
          <w:sz w:val="19"/>
          <w:lang w:val="es-ES_tradnl"/>
        </w:rPr>
        <w:t xml:space="preserve"> </w:t>
      </w:r>
      <w:r>
        <w:rPr>
          <w:lang w:val="es-ES_tradnl"/>
        </w:rPr>
        <w:t>(dB)</w:t>
      </w:r>
      <w:r>
        <w:rPr>
          <w:sz w:val="19"/>
          <w:lang w:val="es-ES_tradnl"/>
        </w:rPr>
        <w:t xml:space="preserve"> </w:t>
      </w:r>
      <w:r>
        <w:rPr>
          <w:lang w:val="es-ES_tradnl"/>
        </w:rPr>
        <w:t>para</w:t>
      </w:r>
      <w:r>
        <w:rPr>
          <w:sz w:val="19"/>
          <w:lang w:val="es-ES_tradnl"/>
        </w:rPr>
        <w:t xml:space="preserve"> </w:t>
      </w:r>
      <w:r>
        <w:rPr>
          <w:lang w:val="es-ES_tradnl"/>
        </w:rPr>
        <w:t>tener</w:t>
      </w:r>
      <w:r>
        <w:rPr>
          <w:sz w:val="19"/>
          <w:lang w:val="es-ES_tradnl"/>
        </w:rPr>
        <w:t xml:space="preserve"> </w:t>
      </w:r>
      <w:r>
        <w:rPr>
          <w:lang w:val="es-ES_tradnl"/>
        </w:rPr>
        <w:t>en</w:t>
      </w:r>
      <w:r>
        <w:rPr>
          <w:sz w:val="19"/>
          <w:lang w:val="es-ES_tradnl"/>
        </w:rPr>
        <w:t xml:space="preserve"> </w:t>
      </w:r>
      <w:r>
        <w:rPr>
          <w:lang w:val="es-ES_tradnl"/>
        </w:rPr>
        <w:t>cuenta</w:t>
      </w:r>
      <w:r>
        <w:rPr>
          <w:sz w:val="19"/>
          <w:lang w:val="es-ES_tradnl"/>
        </w:rPr>
        <w:t xml:space="preserve"> </w:t>
      </w:r>
      <w:r>
        <w:rPr>
          <w:lang w:val="es-ES_tradnl"/>
        </w:rPr>
        <w:t>las</w:t>
      </w:r>
      <w:r>
        <w:rPr>
          <w:sz w:val="19"/>
          <w:lang w:val="es-ES_tradnl"/>
        </w:rPr>
        <w:t xml:space="preserve"> </w:t>
      </w:r>
      <w:r>
        <w:rPr>
          <w:lang w:val="es-ES_tradnl"/>
        </w:rPr>
        <w:t>variaciones</w:t>
      </w:r>
      <w:r>
        <w:rPr>
          <w:sz w:val="19"/>
          <w:lang w:val="es-ES_tradnl"/>
        </w:rPr>
        <w:t xml:space="preserve"> </w:t>
      </w:r>
      <w:r>
        <w:rPr>
          <w:lang w:val="es-ES_tradnl"/>
        </w:rPr>
        <w:t>en</w:t>
      </w:r>
      <w:r>
        <w:rPr>
          <w:sz w:val="19"/>
          <w:lang w:val="es-ES_tradnl"/>
        </w:rPr>
        <w:t xml:space="preserve"> </w:t>
      </w:r>
      <w:r>
        <w:rPr>
          <w:lang w:val="es-ES_tradnl"/>
        </w:rPr>
        <w:t>la</w:t>
      </w:r>
      <w:r>
        <w:rPr>
          <w:sz w:val="19"/>
          <w:lang w:val="es-ES_tradnl"/>
        </w:rPr>
        <w:t xml:space="preserve"> </w:t>
      </w:r>
      <w:r>
        <w:rPr>
          <w:lang w:val="es-ES_tradnl"/>
        </w:rPr>
        <w:t>señal</w:t>
      </w:r>
      <w:r>
        <w:rPr>
          <w:sz w:val="19"/>
          <w:lang w:val="es-ES_tradnl"/>
        </w:rPr>
        <w:t xml:space="preserve"> </w:t>
      </w:r>
      <w:r>
        <w:rPr>
          <w:lang w:val="es-ES_tradnl"/>
        </w:rPr>
        <w:t>deseada</w:t>
      </w:r>
      <w:r>
        <w:rPr>
          <w:sz w:val="19"/>
          <w:lang w:val="es-ES_tradnl"/>
        </w:rPr>
        <w:t xml:space="preserve"> </w:t>
      </w:r>
      <w:r>
        <w:rPr>
          <w:lang w:val="es-ES_tradnl"/>
        </w:rPr>
        <w:t>(véase</w:t>
      </w:r>
      <w:r>
        <w:rPr>
          <w:sz w:val="19"/>
          <w:lang w:val="es-ES_tradnl"/>
        </w:rPr>
        <w:t xml:space="preserve"> </w:t>
      </w:r>
      <w:r>
        <w:rPr>
          <w:lang w:val="es-ES_tradnl"/>
        </w:rPr>
        <w:t>el</w:t>
      </w:r>
      <w:r>
        <w:rPr>
          <w:sz w:val="19"/>
          <w:lang w:val="es-ES_tradnl"/>
        </w:rPr>
        <w:t xml:space="preserve"> </w:t>
      </w:r>
      <w:r>
        <w:rPr>
          <w:lang w:val="es-ES_tradnl"/>
        </w:rPr>
        <w:t>§ 4.3.3.3);</w:t>
      </w:r>
      <w:r>
        <w:rPr>
          <w:sz w:val="19"/>
          <w:lang w:val="es-ES_tradnl"/>
        </w:rPr>
        <w:t xml:space="preserve"> </w:t>
      </w:r>
      <w:r>
        <w:rPr>
          <w:lang w:val="es-ES_tradnl"/>
        </w:rPr>
        <w:t>y</w:t>
      </w:r>
    </w:p>
    <w:p w14:paraId="1F2E83C4" w14:textId="77777777" w:rsidR="008760D9" w:rsidRDefault="008760D9">
      <w:pPr>
        <w:pStyle w:val="enumlev1"/>
        <w:tabs>
          <w:tab w:val="left" w:pos="1474"/>
        </w:tabs>
        <w:ind w:left="1474" w:hanging="1474"/>
        <w:rPr>
          <w:lang w:val="es-ES_tradnl"/>
        </w:rPr>
      </w:pPr>
      <w:r>
        <w:rPr>
          <w:lang w:val="es-ES_tradnl"/>
        </w:rPr>
        <w:tab/>
      </w:r>
      <w:r>
        <w:rPr>
          <w:i/>
          <w:lang w:val="es-ES_tradnl"/>
        </w:rPr>
        <w:t>S</w:t>
      </w:r>
      <w:r>
        <w:rPr>
          <w:rFonts w:ascii="Tms Rmn" w:hAnsi="Tms Rmn"/>
          <w:sz w:val="12"/>
          <w:lang w:val="es-ES_tradnl"/>
        </w:rPr>
        <w:t> </w:t>
      </w:r>
      <w:r>
        <w:rPr>
          <w:rFonts w:ascii="Tms Rmn" w:hAnsi="Tms Rmn"/>
          <w:lang w:val="es-ES_tradnl"/>
        </w:rPr>
        <w:t>:</w:t>
      </w:r>
      <w:r>
        <w:rPr>
          <w:rFonts w:ascii="Tms Rmn" w:hAnsi="Tms Rmn"/>
          <w:lang w:val="es-ES_tradnl"/>
        </w:rPr>
        <w:tab/>
      </w:r>
      <w:r>
        <w:rPr>
          <w:lang w:val="es-ES_tradnl"/>
        </w:rPr>
        <w:t>margen de 3 dB para tener en cuenta el hecho de que las ecuaciones de criterios de inmunidad del receptor de tipo 1998 según el Anexo 10 al Convenio de la OACI no proporcionan las fórmulas completas de evaluación de la compatibilidad.</w:t>
      </w:r>
    </w:p>
    <w:p w14:paraId="5681B73D" w14:textId="77777777" w:rsidR="008760D9" w:rsidRDefault="008760D9">
      <w:pPr>
        <w:pStyle w:val="Heading4"/>
        <w:rPr>
          <w:lang w:val="es-ES_tradnl"/>
        </w:rPr>
      </w:pPr>
      <w:r>
        <w:rPr>
          <w:lang w:val="es-ES_tradnl"/>
        </w:rPr>
        <w:br w:type="page"/>
      </w:r>
      <w:r>
        <w:rPr>
          <w:lang w:val="es-ES_tradnl"/>
        </w:rPr>
        <w:lastRenderedPageBreak/>
        <w:t>4.3.3.2</w:t>
      </w:r>
      <w:r>
        <w:rPr>
          <w:lang w:val="es-ES_tradnl"/>
        </w:rPr>
        <w:tab/>
        <w:t>Corrección del desplazamiento de frecuencia</w:t>
      </w:r>
    </w:p>
    <w:p w14:paraId="495F9279" w14:textId="77777777" w:rsidR="008760D9" w:rsidRDefault="008760D9">
      <w:pPr>
        <w:rPr>
          <w:lang w:val="es-ES_tradnl"/>
        </w:rPr>
      </w:pPr>
      <w:r>
        <w:rPr>
          <w:lang w:val="es-ES_tradnl"/>
        </w:rPr>
        <w:t>Antes de utilizar las fórmulas (10) y (11), se aplica a cada señal la corrección indicada en el Cuadro 5 de la forma siguiente:</w:t>
      </w:r>
    </w:p>
    <w:p w14:paraId="72831AB3" w14:textId="77777777" w:rsidR="008760D9" w:rsidRDefault="008760D9">
      <w:pPr>
        <w:pStyle w:val="Equation"/>
        <w:rPr>
          <w:lang w:val="es-ES_tradnl"/>
        </w:rPr>
      </w:pPr>
      <w:bookmarkStart w:id="14" w:name="F013"/>
      <w:r w:rsidRPr="00AC3FDE">
        <w:rPr>
          <w:lang w:val="es-ES"/>
        </w:rPr>
        <w:tab/>
      </w:r>
      <w:r w:rsidRPr="00AC3FDE">
        <w:rPr>
          <w:lang w:val="es-ES"/>
        </w:rPr>
        <w:tab/>
      </w:r>
      <w:r w:rsidRPr="00AC3FDE">
        <w:rPr>
          <w:i/>
          <w:lang w:val="es-ES"/>
        </w:rPr>
        <w:t>N</w:t>
      </w:r>
      <w:r w:rsidRPr="00AC3FDE">
        <w:rPr>
          <w:lang w:val="es-ES"/>
        </w:rPr>
        <w:t xml:space="preserve"> (corregida)  </w:t>
      </w:r>
      <w:r>
        <w:rPr>
          <w:rFonts w:ascii="Symbol" w:hAnsi="Symbol"/>
        </w:rPr>
        <w:t></w:t>
      </w:r>
      <w:r w:rsidRPr="00AC3FDE">
        <w:rPr>
          <w:lang w:val="es-ES"/>
        </w:rPr>
        <w:t xml:space="preserve">  </w:t>
      </w:r>
      <w:r w:rsidRPr="00AC3FDE">
        <w:rPr>
          <w:i/>
          <w:lang w:val="es-ES"/>
        </w:rPr>
        <w:t>N</w:t>
      </w:r>
      <w:r w:rsidRPr="00AC3FDE">
        <w:rPr>
          <w:lang w:val="es-ES"/>
        </w:rPr>
        <w:t xml:space="preserve">  –  término de corrección</w:t>
      </w:r>
      <w:bookmarkEnd w:id="14"/>
    </w:p>
    <w:p w14:paraId="2AA430B3" w14:textId="77777777" w:rsidR="008760D9" w:rsidRDefault="008760D9">
      <w:pPr>
        <w:rPr>
          <w:lang w:val="es-ES_tradnl"/>
        </w:rPr>
      </w:pPr>
      <w:r>
        <w:rPr>
          <w:lang w:val="es-ES_tradnl"/>
        </w:rPr>
        <w:t>Para diferencias de frecuencia superiores a 150 kHz no es necesario considerar la interferencia de Tipo B1; en tales casos, los niveles de la señal serían tan elevados que aparecería una interferencia de Tipo B2.</w:t>
      </w:r>
    </w:p>
    <w:p w14:paraId="77ED1D9D" w14:textId="77777777" w:rsidR="008760D9" w:rsidRDefault="008760D9">
      <w:pPr>
        <w:pStyle w:val="Table"/>
        <w:rPr>
          <w:lang w:val="es-ES_tradnl"/>
        </w:rPr>
      </w:pPr>
      <w:r>
        <w:rPr>
          <w:lang w:val="es-ES_tradnl"/>
        </w:rPr>
        <w:t>CUADRO  5</w:t>
      </w:r>
    </w:p>
    <w:p w14:paraId="5E960107" w14:textId="77777777" w:rsidR="008760D9" w:rsidRDefault="008760D9">
      <w:pPr>
        <w:pStyle w:val="Blanc"/>
        <w:rPr>
          <w:lang w:val="es-ES_tradnl"/>
        </w:rPr>
      </w:pPr>
    </w:p>
    <w:tbl>
      <w:tblPr>
        <w:tblW w:w="0" w:type="auto"/>
        <w:jc w:val="center"/>
        <w:tblLayout w:type="fixed"/>
        <w:tblCellMar>
          <w:left w:w="0" w:type="dxa"/>
          <w:right w:w="0" w:type="dxa"/>
        </w:tblCellMar>
        <w:tblLook w:val="0000" w:firstRow="0" w:lastRow="0" w:firstColumn="0" w:lastColumn="0" w:noHBand="0" w:noVBand="0"/>
      </w:tblPr>
      <w:tblGrid>
        <w:gridCol w:w="3862"/>
        <w:gridCol w:w="2614"/>
      </w:tblGrid>
      <w:tr w:rsidR="008760D9" w14:paraId="0C8E9BA2" w14:textId="77777777">
        <w:trPr>
          <w:cantSplit/>
          <w:jc w:val="center"/>
        </w:trPr>
        <w:tc>
          <w:tcPr>
            <w:tcW w:w="3862" w:type="dxa"/>
            <w:tcBorders>
              <w:top w:val="single" w:sz="6" w:space="0" w:color="auto"/>
              <w:left w:val="single" w:sz="6" w:space="0" w:color="auto"/>
              <w:bottom w:val="single" w:sz="6" w:space="0" w:color="auto"/>
              <w:right w:val="single" w:sz="6" w:space="0" w:color="auto"/>
            </w:tcBorders>
          </w:tcPr>
          <w:p w14:paraId="3BB24016" w14:textId="77777777" w:rsidR="008760D9" w:rsidRDefault="008760D9">
            <w:pPr>
              <w:pStyle w:val="TableText"/>
              <w:framePr w:hSpace="181" w:wrap="notBeside" w:vAnchor="text" w:hAnchor="page" w:xAlign="center" w:y="1"/>
              <w:jc w:val="center"/>
              <w:rPr>
                <w:lang w:val="es-ES_tradnl"/>
              </w:rPr>
            </w:pPr>
            <w:r>
              <w:rPr>
                <w:lang w:val="es-ES_tradnl"/>
              </w:rPr>
              <w:t>Diferencia entre las frecuencias de la señal</w:t>
            </w:r>
            <w:r>
              <w:rPr>
                <w:lang w:val="es-ES_tradnl"/>
              </w:rPr>
              <w:br/>
              <w:t>deseada y del producto de intermodulación</w:t>
            </w:r>
            <w:r>
              <w:rPr>
                <w:lang w:val="es-ES_tradnl"/>
              </w:rPr>
              <w:br/>
              <w:t>(kHz)</w:t>
            </w:r>
          </w:p>
        </w:tc>
        <w:tc>
          <w:tcPr>
            <w:tcW w:w="2614" w:type="dxa"/>
            <w:tcBorders>
              <w:top w:val="single" w:sz="6" w:space="0" w:color="auto"/>
              <w:left w:val="single" w:sz="6" w:space="0" w:color="auto"/>
              <w:bottom w:val="single" w:sz="6" w:space="0" w:color="auto"/>
              <w:right w:val="single" w:sz="6" w:space="0" w:color="auto"/>
            </w:tcBorders>
          </w:tcPr>
          <w:p w14:paraId="40515DF7" w14:textId="77777777" w:rsidR="008760D9" w:rsidRDefault="008760D9">
            <w:pPr>
              <w:pStyle w:val="TableText"/>
              <w:framePr w:hSpace="181" w:wrap="notBeside" w:vAnchor="text" w:hAnchor="page" w:xAlign="center" w:y="1"/>
              <w:spacing w:before="200"/>
              <w:jc w:val="center"/>
              <w:rPr>
                <w:lang w:val="es-ES_tradnl"/>
              </w:rPr>
            </w:pPr>
            <w:r>
              <w:rPr>
                <w:lang w:val="es-ES_tradnl"/>
              </w:rPr>
              <w:t>Término de corrección</w:t>
            </w:r>
            <w:r>
              <w:rPr>
                <w:lang w:val="es-ES_tradnl"/>
              </w:rPr>
              <w:br/>
              <w:t>(dB)</w:t>
            </w:r>
          </w:p>
        </w:tc>
      </w:tr>
      <w:tr w:rsidR="008760D9" w14:paraId="47E8CED9" w14:textId="77777777">
        <w:trPr>
          <w:cantSplit/>
          <w:jc w:val="center"/>
        </w:trPr>
        <w:tc>
          <w:tcPr>
            <w:tcW w:w="3862" w:type="dxa"/>
            <w:tcBorders>
              <w:top w:val="single" w:sz="6" w:space="0" w:color="auto"/>
              <w:left w:val="single" w:sz="6" w:space="0" w:color="auto"/>
              <w:right w:val="single" w:sz="6" w:space="0" w:color="auto"/>
            </w:tcBorders>
          </w:tcPr>
          <w:p w14:paraId="55F55397" w14:textId="77777777" w:rsidR="008760D9" w:rsidRDefault="008760D9">
            <w:pPr>
              <w:pStyle w:val="TableText"/>
              <w:framePr w:hSpace="181" w:wrap="notBeside" w:vAnchor="text" w:hAnchor="page" w:xAlign="center" w:y="1"/>
              <w:spacing w:before="80" w:after="80"/>
              <w:ind w:right="1814"/>
              <w:jc w:val="right"/>
              <w:rPr>
                <w:lang w:val="es-ES_tradnl"/>
              </w:rPr>
            </w:pPr>
            <w:r>
              <w:rPr>
                <w:lang w:val="es-ES_tradnl"/>
              </w:rPr>
              <w:t>0</w:t>
            </w:r>
          </w:p>
        </w:tc>
        <w:tc>
          <w:tcPr>
            <w:tcW w:w="2614" w:type="dxa"/>
            <w:tcBorders>
              <w:top w:val="single" w:sz="6" w:space="0" w:color="auto"/>
              <w:left w:val="single" w:sz="6" w:space="0" w:color="auto"/>
              <w:right w:val="single" w:sz="6" w:space="0" w:color="auto"/>
            </w:tcBorders>
          </w:tcPr>
          <w:p w14:paraId="3F94BB78" w14:textId="77777777" w:rsidR="008760D9" w:rsidRDefault="008760D9">
            <w:pPr>
              <w:pStyle w:val="TableText"/>
              <w:framePr w:hSpace="181" w:wrap="notBeside" w:vAnchor="text" w:hAnchor="page" w:xAlign="center" w:y="1"/>
              <w:spacing w:before="80" w:after="80"/>
              <w:ind w:right="1247"/>
              <w:jc w:val="right"/>
              <w:rPr>
                <w:lang w:val="es-ES_tradnl"/>
              </w:rPr>
            </w:pPr>
            <w:r>
              <w:rPr>
                <w:lang w:val="es-ES_tradnl"/>
              </w:rPr>
              <w:t>0</w:t>
            </w:r>
          </w:p>
        </w:tc>
      </w:tr>
      <w:tr w:rsidR="008760D9" w14:paraId="7D1C55F3" w14:textId="77777777">
        <w:trPr>
          <w:cantSplit/>
          <w:jc w:val="center"/>
        </w:trPr>
        <w:tc>
          <w:tcPr>
            <w:tcW w:w="3862" w:type="dxa"/>
            <w:tcBorders>
              <w:left w:val="single" w:sz="6" w:space="0" w:color="auto"/>
            </w:tcBorders>
          </w:tcPr>
          <w:p w14:paraId="49543605" w14:textId="77777777" w:rsidR="008760D9" w:rsidRDefault="008760D9">
            <w:pPr>
              <w:pStyle w:val="TableText"/>
              <w:framePr w:hSpace="181" w:wrap="notBeside" w:vAnchor="text" w:hAnchor="page" w:xAlign="center" w:y="1"/>
              <w:spacing w:before="80" w:after="80"/>
              <w:ind w:right="1814"/>
              <w:jc w:val="right"/>
              <w:rPr>
                <w:lang w:val="es-ES_tradnl"/>
              </w:rPr>
            </w:pPr>
            <w:r>
              <w:rPr>
                <w:lang w:val="es-ES_tradnl"/>
              </w:rPr>
              <w:t>50</w:t>
            </w:r>
          </w:p>
        </w:tc>
        <w:tc>
          <w:tcPr>
            <w:tcW w:w="2614" w:type="dxa"/>
            <w:tcBorders>
              <w:left w:val="single" w:sz="6" w:space="0" w:color="auto"/>
              <w:right w:val="single" w:sz="6" w:space="0" w:color="auto"/>
            </w:tcBorders>
          </w:tcPr>
          <w:p w14:paraId="3EA939D4" w14:textId="77777777" w:rsidR="008760D9" w:rsidRDefault="008760D9">
            <w:pPr>
              <w:pStyle w:val="TableText"/>
              <w:framePr w:hSpace="181" w:wrap="notBeside" w:vAnchor="text" w:hAnchor="page" w:xAlign="center" w:y="1"/>
              <w:spacing w:before="80" w:after="80"/>
              <w:ind w:right="1247"/>
              <w:jc w:val="right"/>
              <w:rPr>
                <w:lang w:val="es-ES_tradnl"/>
              </w:rPr>
            </w:pPr>
            <w:r>
              <w:rPr>
                <w:lang w:val="es-ES_tradnl"/>
              </w:rPr>
              <w:t>2</w:t>
            </w:r>
          </w:p>
        </w:tc>
      </w:tr>
      <w:tr w:rsidR="008760D9" w14:paraId="271D7C4C" w14:textId="77777777">
        <w:trPr>
          <w:cantSplit/>
          <w:jc w:val="center"/>
        </w:trPr>
        <w:tc>
          <w:tcPr>
            <w:tcW w:w="3862" w:type="dxa"/>
            <w:tcBorders>
              <w:left w:val="single" w:sz="6" w:space="0" w:color="auto"/>
            </w:tcBorders>
          </w:tcPr>
          <w:p w14:paraId="431A469C" w14:textId="77777777" w:rsidR="008760D9" w:rsidRDefault="008760D9">
            <w:pPr>
              <w:pStyle w:val="TableText"/>
              <w:framePr w:hSpace="181" w:wrap="notBeside" w:vAnchor="text" w:hAnchor="page" w:xAlign="center" w:y="1"/>
              <w:spacing w:before="80" w:after="80"/>
              <w:ind w:right="1814"/>
              <w:jc w:val="right"/>
              <w:rPr>
                <w:lang w:val="es-ES_tradnl"/>
              </w:rPr>
            </w:pPr>
            <w:r>
              <w:rPr>
                <w:lang w:val="es-ES_tradnl"/>
              </w:rPr>
              <w:t>100</w:t>
            </w:r>
          </w:p>
        </w:tc>
        <w:tc>
          <w:tcPr>
            <w:tcW w:w="2614" w:type="dxa"/>
            <w:tcBorders>
              <w:left w:val="single" w:sz="6" w:space="0" w:color="auto"/>
              <w:right w:val="single" w:sz="6" w:space="0" w:color="auto"/>
            </w:tcBorders>
          </w:tcPr>
          <w:p w14:paraId="6213A7E9" w14:textId="77777777" w:rsidR="008760D9" w:rsidRDefault="008760D9">
            <w:pPr>
              <w:pStyle w:val="TableText"/>
              <w:framePr w:hSpace="181" w:wrap="notBeside" w:vAnchor="text" w:hAnchor="page" w:xAlign="center" w:y="1"/>
              <w:spacing w:before="80" w:after="80"/>
              <w:ind w:right="1247"/>
              <w:jc w:val="right"/>
              <w:rPr>
                <w:lang w:val="es-ES_tradnl"/>
              </w:rPr>
            </w:pPr>
            <w:r>
              <w:rPr>
                <w:lang w:val="es-ES_tradnl"/>
              </w:rPr>
              <w:t>5</w:t>
            </w:r>
          </w:p>
        </w:tc>
      </w:tr>
      <w:tr w:rsidR="008760D9" w14:paraId="0006DBB3" w14:textId="77777777">
        <w:trPr>
          <w:cantSplit/>
          <w:jc w:val="center"/>
        </w:trPr>
        <w:tc>
          <w:tcPr>
            <w:tcW w:w="3862" w:type="dxa"/>
            <w:tcBorders>
              <w:left w:val="single" w:sz="6" w:space="0" w:color="auto"/>
              <w:bottom w:val="single" w:sz="6" w:space="0" w:color="auto"/>
            </w:tcBorders>
          </w:tcPr>
          <w:p w14:paraId="3136439B" w14:textId="77777777" w:rsidR="008760D9" w:rsidRDefault="008760D9">
            <w:pPr>
              <w:pStyle w:val="TableText"/>
              <w:framePr w:hSpace="181" w:wrap="notBeside" w:vAnchor="text" w:hAnchor="page" w:xAlign="center" w:y="1"/>
              <w:spacing w:before="80" w:after="80"/>
              <w:ind w:right="1814"/>
              <w:jc w:val="right"/>
              <w:rPr>
                <w:lang w:val="es-ES_tradnl"/>
              </w:rPr>
            </w:pPr>
            <w:r>
              <w:rPr>
                <w:lang w:val="es-ES_tradnl"/>
              </w:rPr>
              <w:t>150</w:t>
            </w:r>
          </w:p>
        </w:tc>
        <w:tc>
          <w:tcPr>
            <w:tcW w:w="2614" w:type="dxa"/>
            <w:tcBorders>
              <w:left w:val="single" w:sz="6" w:space="0" w:color="auto"/>
              <w:bottom w:val="single" w:sz="6" w:space="0" w:color="auto"/>
              <w:right w:val="single" w:sz="6" w:space="0" w:color="auto"/>
            </w:tcBorders>
          </w:tcPr>
          <w:p w14:paraId="09CC5C8A" w14:textId="77777777" w:rsidR="008760D9" w:rsidRDefault="008760D9">
            <w:pPr>
              <w:pStyle w:val="TableText"/>
              <w:framePr w:hSpace="181" w:wrap="notBeside" w:vAnchor="text" w:hAnchor="page" w:xAlign="center" w:y="1"/>
              <w:spacing w:before="80" w:after="80"/>
              <w:ind w:right="1247"/>
              <w:jc w:val="right"/>
              <w:rPr>
                <w:lang w:val="es-ES_tradnl"/>
              </w:rPr>
            </w:pPr>
            <w:r>
              <w:rPr>
                <w:lang w:val="es-ES_tradnl"/>
              </w:rPr>
              <w:t>11</w:t>
            </w:r>
          </w:p>
        </w:tc>
      </w:tr>
    </w:tbl>
    <w:p w14:paraId="22271308" w14:textId="77777777" w:rsidR="008760D9" w:rsidRDefault="008760D9">
      <w:pPr>
        <w:pStyle w:val="Tablefin"/>
        <w:spacing w:before="0"/>
        <w:rPr>
          <w:lang w:val="es-ES_tradnl"/>
        </w:rPr>
      </w:pPr>
    </w:p>
    <w:p w14:paraId="5011EBCE" w14:textId="77777777" w:rsidR="008760D9" w:rsidRDefault="008760D9">
      <w:pPr>
        <w:spacing w:before="0"/>
        <w:rPr>
          <w:lang w:val="es-ES_tradnl"/>
        </w:rPr>
      </w:pPr>
    </w:p>
    <w:p w14:paraId="5A901367" w14:textId="77777777" w:rsidR="008760D9" w:rsidRDefault="008760D9">
      <w:pPr>
        <w:pStyle w:val="Heading4"/>
        <w:rPr>
          <w:lang w:val="es-ES_tradnl"/>
        </w:rPr>
      </w:pPr>
      <w:r>
        <w:rPr>
          <w:lang w:val="es-ES_tradnl"/>
        </w:rPr>
        <w:t>4.3.3.3</w:t>
      </w:r>
      <w:r>
        <w:rPr>
          <w:lang w:val="es-ES_tradnl"/>
        </w:rPr>
        <w:tab/>
        <w:t>Factor de corrección para tener en cuenta las variaciones en la inmunidad resultantes de los cambios en el nivel de la señal deseada</w:t>
      </w:r>
    </w:p>
    <w:p w14:paraId="644540E4" w14:textId="77777777" w:rsidR="008760D9" w:rsidRDefault="008760D9">
      <w:pPr>
        <w:rPr>
          <w:lang w:val="es-ES_tradnl"/>
        </w:rPr>
      </w:pPr>
      <w:r>
        <w:rPr>
          <w:lang w:val="es-ES_tradnl"/>
        </w:rPr>
        <w:t xml:space="preserve">Debe utilizarse el factor de corrección, </w:t>
      </w:r>
      <w:r>
        <w:rPr>
          <w:i/>
          <w:lang w:val="es-ES_tradnl"/>
        </w:rPr>
        <w:t>L</w:t>
      </w:r>
      <w:r>
        <w:rPr>
          <w:i/>
          <w:position w:val="-4"/>
          <w:sz w:val="16"/>
          <w:lang w:val="es-ES_tradnl"/>
        </w:rPr>
        <w:t>c</w:t>
      </w:r>
      <w:r>
        <w:rPr>
          <w:lang w:val="es-ES_tradnl"/>
        </w:rPr>
        <w:t xml:space="preserve">, descrito en el § 4.2.3.3 para los receptores de tipo Montreal, con </w:t>
      </w:r>
      <w:r>
        <w:rPr>
          <w:i/>
          <w:lang w:val="es-ES_tradnl"/>
        </w:rPr>
        <w:t>N</w:t>
      </w:r>
      <w:proofErr w:type="spellStart"/>
      <w:r>
        <w:rPr>
          <w:i/>
          <w:position w:val="-4"/>
          <w:sz w:val="16"/>
          <w:lang w:val="es-ES_tradnl"/>
        </w:rPr>
        <w:t>ref</w:t>
      </w:r>
      <w:proofErr w:type="spellEnd"/>
      <w:r>
        <w:rPr>
          <w:lang w:val="es-ES_tradnl"/>
        </w:rPr>
        <w:t> </w:t>
      </w:r>
      <w:r>
        <w:rPr>
          <w:rFonts w:ascii="Symbol" w:hAnsi="Symbol"/>
          <w:lang w:val="es-ES_tradnl"/>
        </w:rPr>
        <w:t></w:t>
      </w:r>
      <w:r>
        <w:rPr>
          <w:lang w:val="es-ES_tradnl"/>
        </w:rPr>
        <w:t> </w:t>
      </w:r>
      <w:r>
        <w:rPr>
          <w:rFonts w:ascii="Symbol" w:hAnsi="Symbol"/>
          <w:lang w:val="es-ES_tradnl"/>
        </w:rPr>
        <w:noBreakHyphen/>
      </w:r>
      <w:r>
        <w:rPr>
          <w:lang w:val="es-ES_tradnl"/>
        </w:rPr>
        <w:t>86 dBm para el localizador ILS y –79 dBm para el VOR.</w:t>
      </w:r>
    </w:p>
    <w:p w14:paraId="4FD748F0" w14:textId="77777777" w:rsidR="008760D9" w:rsidRDefault="008760D9">
      <w:pPr>
        <w:pStyle w:val="Heading4"/>
        <w:rPr>
          <w:lang w:val="es-ES_tradnl"/>
        </w:rPr>
      </w:pPr>
      <w:r>
        <w:rPr>
          <w:lang w:val="es-ES_tradnl"/>
        </w:rPr>
        <w:t>4.3.3.4</w:t>
      </w:r>
      <w:r>
        <w:rPr>
          <w:lang w:val="es-ES_tradnl"/>
        </w:rPr>
        <w:tab/>
        <w:t>Valores de activación y de corte (véanse las definiciones en el Anexo 4)</w:t>
      </w:r>
    </w:p>
    <w:p w14:paraId="1115FE6D" w14:textId="77777777" w:rsidR="008760D9" w:rsidRDefault="008760D9">
      <w:pPr>
        <w:pStyle w:val="Equation"/>
        <w:rPr>
          <w:lang w:val="es-ES_tradnl"/>
        </w:rPr>
      </w:pPr>
      <w:bookmarkStart w:id="15" w:name="F014"/>
      <w:r w:rsidRPr="00AC3FDE">
        <w:rPr>
          <w:lang w:val="es-ES"/>
        </w:rPr>
        <w:tab/>
      </w:r>
      <w:r w:rsidRPr="00AC3FDE">
        <w:rPr>
          <w:lang w:val="es-ES"/>
        </w:rPr>
        <w:tab/>
        <w:t xml:space="preserve">Valor de activación  </w:t>
      </w:r>
      <w:r>
        <w:rPr>
          <w:rFonts w:ascii="Symbol" w:hAnsi="Symbol"/>
        </w:rPr>
        <w:t></w:t>
      </w:r>
      <w:r w:rsidRPr="00AC3FDE">
        <w:rPr>
          <w:lang w:val="es-ES"/>
        </w:rPr>
        <w:t xml:space="preserve">  </w:t>
      </w:r>
      <w:r>
        <w:rPr>
          <w:position w:val="-26"/>
        </w:rPr>
        <w:object w:dxaOrig="4220" w:dyaOrig="620" w14:anchorId="48FE0161">
          <v:shape id="_x0000_i1032" type="#_x0000_t75" style="width:211pt;height:31.2pt" o:ole="">
            <v:imagedata r:id="rId31" o:title=""/>
          </v:shape>
          <o:OLEObject Type="Embed" ProgID="Equation.3" ShapeID="_x0000_i1032" DrawAspect="Content" ObjectID="_1652520887" r:id="rId32"/>
        </w:object>
      </w:r>
      <w:r w:rsidRPr="00AC3FDE">
        <w:rPr>
          <w:lang w:val="es-ES"/>
        </w:rPr>
        <w:t>               dBm</w:t>
      </w:r>
      <w:r w:rsidRPr="00AC3FDE">
        <w:rPr>
          <w:lang w:val="es-ES"/>
        </w:rPr>
        <w:tab/>
        <w:t>(12)</w:t>
      </w:r>
      <w:bookmarkEnd w:id="15"/>
    </w:p>
    <w:p w14:paraId="13CE49E8" w14:textId="77777777" w:rsidR="008760D9" w:rsidRDefault="008760D9">
      <w:pPr>
        <w:rPr>
          <w:lang w:val="es-ES_tradnl"/>
        </w:rPr>
      </w:pPr>
      <w:r>
        <w:rPr>
          <w:lang w:val="es-ES_tradnl"/>
        </w:rPr>
        <w:t>donde:</w:t>
      </w:r>
    </w:p>
    <w:p w14:paraId="6BF6067F" w14:textId="77777777" w:rsidR="008760D9" w:rsidRDefault="008760D9">
      <w:pPr>
        <w:pStyle w:val="enumlev1"/>
        <w:tabs>
          <w:tab w:val="left" w:pos="907"/>
        </w:tabs>
        <w:rPr>
          <w:lang w:val="es-ES_tradnl"/>
        </w:rPr>
      </w:pPr>
      <w:r>
        <w:rPr>
          <w:i/>
          <w:lang w:val="es-ES_tradnl"/>
        </w:rPr>
        <w:tab/>
        <w:t>L</w:t>
      </w:r>
      <w:r>
        <w:rPr>
          <w:i/>
          <w:position w:val="-4"/>
          <w:sz w:val="16"/>
          <w:lang w:val="es-ES_tradnl"/>
        </w:rPr>
        <w:t>c</w:t>
      </w:r>
      <w:r>
        <w:rPr>
          <w:rFonts w:ascii="Tms Rmn" w:hAnsi="Tms Rmn"/>
          <w:sz w:val="12"/>
          <w:lang w:val="es-ES_tradnl"/>
        </w:rPr>
        <w:t> </w:t>
      </w:r>
      <w:r>
        <w:rPr>
          <w:lang w:val="es-ES_tradnl"/>
        </w:rPr>
        <w:t>:</w:t>
      </w:r>
      <w:r>
        <w:rPr>
          <w:lang w:val="es-ES_tradnl"/>
        </w:rPr>
        <w:tab/>
        <w:t>factor de corrección (dB) indicado (véase el § 4.3.3.3)</w:t>
      </w:r>
    </w:p>
    <w:p w14:paraId="58641F56" w14:textId="77777777" w:rsidR="008760D9" w:rsidRDefault="008760D9">
      <w:pPr>
        <w:pStyle w:val="enumlev1"/>
        <w:tabs>
          <w:tab w:val="left" w:pos="907"/>
        </w:tabs>
        <w:rPr>
          <w:lang w:val="es-ES_tradnl"/>
        </w:rPr>
      </w:pPr>
      <w:r>
        <w:rPr>
          <w:i/>
          <w:lang w:val="es-ES_tradnl"/>
        </w:rPr>
        <w:tab/>
        <w:t>K</w:t>
      </w:r>
      <w:r>
        <w:rPr>
          <w:lang w:val="es-ES_tradnl"/>
        </w:rPr>
        <w:t xml:space="preserve">  </w:t>
      </w:r>
      <w:r>
        <w:rPr>
          <w:rFonts w:ascii="Symbol" w:hAnsi="Symbol"/>
          <w:lang w:val="es-ES_tradnl"/>
        </w:rPr>
        <w:t></w:t>
      </w:r>
      <w:r>
        <w:rPr>
          <w:lang w:val="es-ES_tradnl"/>
        </w:rPr>
        <w:tab/>
        <w:t>78 para localizador ILS y VOR, casos de 2 señales</w:t>
      </w:r>
    </w:p>
    <w:p w14:paraId="141300FC" w14:textId="77777777" w:rsidR="008760D9" w:rsidRDefault="008760D9">
      <w:pPr>
        <w:pStyle w:val="enumlev1"/>
        <w:tabs>
          <w:tab w:val="left" w:pos="907"/>
        </w:tabs>
        <w:rPr>
          <w:lang w:val="es-ES_tradnl"/>
        </w:rPr>
      </w:pPr>
      <w:r>
        <w:rPr>
          <w:i/>
          <w:color w:val="000000"/>
          <w:lang w:val="es-ES_tradnl"/>
        </w:rPr>
        <w:tab/>
        <w:t>K</w:t>
      </w:r>
      <w:r>
        <w:rPr>
          <w:color w:val="000000"/>
          <w:lang w:val="es-ES_tradnl"/>
        </w:rPr>
        <w:t xml:space="preserve">  </w:t>
      </w:r>
      <w:r>
        <w:rPr>
          <w:rFonts w:ascii="Symbol" w:hAnsi="Symbol"/>
          <w:color w:val="000000"/>
          <w:lang w:val="es-ES_tradnl"/>
        </w:rPr>
        <w:t></w:t>
      </w:r>
      <w:r>
        <w:rPr>
          <w:color w:val="000000"/>
          <w:lang w:val="es-ES_tradnl"/>
        </w:rPr>
        <w:tab/>
      </w:r>
      <w:r>
        <w:rPr>
          <w:lang w:val="es-ES_tradnl"/>
        </w:rPr>
        <w:t>84 para localizador ILS y VOR, casos de 3 señales</w:t>
      </w:r>
    </w:p>
    <w:p w14:paraId="381975C0" w14:textId="77777777" w:rsidR="008760D9" w:rsidRDefault="008760D9">
      <w:pPr>
        <w:pStyle w:val="enumlev1"/>
        <w:tabs>
          <w:tab w:val="left" w:pos="907"/>
        </w:tabs>
        <w:rPr>
          <w:lang w:val="es-ES_tradnl"/>
        </w:rPr>
      </w:pPr>
      <w:r>
        <w:rPr>
          <w:i/>
          <w:lang w:val="es-ES_tradnl"/>
        </w:rPr>
        <w:tab/>
        <w:t>f</w:t>
      </w:r>
      <w:r>
        <w:rPr>
          <w:rFonts w:ascii="Tms Rmn" w:hAnsi="Tms Rmn"/>
          <w:sz w:val="12"/>
          <w:lang w:val="es-ES_tradnl"/>
        </w:rPr>
        <w:t> </w:t>
      </w:r>
      <w:r>
        <w:rPr>
          <w:lang w:val="es-ES_tradnl"/>
        </w:rPr>
        <w:t>:</w:t>
      </w:r>
      <w:r>
        <w:rPr>
          <w:lang w:val="es-ES_tradnl"/>
        </w:rPr>
        <w:tab/>
        <w:t>frecuencia de radiodifusión (MHz); y</w:t>
      </w:r>
    </w:p>
    <w:p w14:paraId="43C7150D" w14:textId="77777777" w:rsidR="008760D9" w:rsidRDefault="008760D9">
      <w:pPr>
        <w:pStyle w:val="enumlev1"/>
        <w:tabs>
          <w:tab w:val="left" w:pos="907"/>
        </w:tabs>
        <w:ind w:left="907" w:hanging="907"/>
        <w:rPr>
          <w:lang w:val="es-ES_tradnl"/>
        </w:rPr>
      </w:pPr>
      <w:r>
        <w:rPr>
          <w:lang w:val="es-ES_tradnl"/>
        </w:rPr>
        <w:tab/>
      </w:r>
      <w:r>
        <w:rPr>
          <w:i/>
          <w:lang w:val="es-ES_tradnl"/>
        </w:rPr>
        <w:t>S</w:t>
      </w:r>
      <w:r>
        <w:rPr>
          <w:rFonts w:ascii="Tms Rmn" w:hAnsi="Tms Rmn"/>
          <w:sz w:val="12"/>
          <w:lang w:val="es-ES_tradnl"/>
        </w:rPr>
        <w:t> </w:t>
      </w:r>
      <w:r>
        <w:rPr>
          <w:rFonts w:ascii="Tms Rmn" w:hAnsi="Tms Rmn"/>
          <w:lang w:val="es-ES_tradnl"/>
        </w:rPr>
        <w:t>:</w:t>
      </w:r>
      <w:r>
        <w:rPr>
          <w:rFonts w:ascii="Tms Rmn" w:hAnsi="Tms Rmn"/>
          <w:lang w:val="es-ES_tradnl"/>
        </w:rPr>
        <w:tab/>
      </w:r>
      <w:r>
        <w:rPr>
          <w:lang w:val="es-ES_tradnl"/>
        </w:rPr>
        <w:t>margen de 3 dB para tener en cuenta el hecho de que las ecuaciones de criterios de inmunidad del receptor de tipo 1998 según el Anexo 10 al Convenio de la OACI no proporcionan las fórmulas completas de evaluación de la compatibilidad.</w:t>
      </w:r>
    </w:p>
    <w:p w14:paraId="477F6672" w14:textId="77777777" w:rsidR="008760D9" w:rsidRDefault="008760D9">
      <w:pPr>
        <w:rPr>
          <w:lang w:val="es-ES_tradnl"/>
        </w:rPr>
      </w:pPr>
      <w:r>
        <w:rPr>
          <w:lang w:val="es-ES_tradnl"/>
        </w:rPr>
        <w:t>El valor de corte es el mismo que el de los receptores de tipo Montreal descrito en la ecuación (8).</w:t>
      </w:r>
    </w:p>
    <w:p w14:paraId="7D89EB44" w14:textId="77777777" w:rsidR="008760D9" w:rsidRDefault="008760D9">
      <w:pPr>
        <w:pStyle w:val="Heading3"/>
        <w:rPr>
          <w:lang w:val="es-ES_tradnl"/>
        </w:rPr>
      </w:pPr>
      <w:r>
        <w:rPr>
          <w:lang w:val="es-ES_tradnl"/>
        </w:rPr>
        <w:t>4.3.4</w:t>
      </w:r>
      <w:r>
        <w:rPr>
          <w:lang w:val="es-ES_tradnl"/>
        </w:rPr>
        <w:tab/>
        <w:t>Interferencia de Tipo B2</w:t>
      </w:r>
    </w:p>
    <w:p w14:paraId="2F139753" w14:textId="77777777" w:rsidR="008760D9" w:rsidRDefault="008760D9">
      <w:pPr>
        <w:rPr>
          <w:lang w:val="es-ES_tradnl"/>
        </w:rPr>
      </w:pPr>
      <w:r>
        <w:rPr>
          <w:lang w:val="es-ES_tradnl"/>
        </w:rPr>
        <w:t>Para evaluar la interferencia de Tipo B2 puede utilizarse la siguiente fórmula empírica a fin de determinar el máximo nivel de una señal de radiodifusión a la entrada del localizador ILS o del receptor VOR de a bordo para evitar la posible interferencia:</w:t>
      </w:r>
    </w:p>
    <w:p w14:paraId="1DA11C4D" w14:textId="77777777" w:rsidR="008760D9" w:rsidRDefault="008760D9">
      <w:pPr>
        <w:pStyle w:val="Equation"/>
        <w:rPr>
          <w:lang w:val="es-ES_tradnl"/>
        </w:rPr>
      </w:pPr>
      <w:bookmarkStart w:id="16" w:name="F015"/>
      <w:r w:rsidRPr="00AC3FDE">
        <w:rPr>
          <w:lang w:val="es-ES"/>
        </w:rPr>
        <w:tab/>
      </w:r>
      <w:r w:rsidRPr="00AC3FDE">
        <w:rPr>
          <w:lang w:val="es-ES"/>
        </w:rPr>
        <w:tab/>
      </w:r>
      <w:r>
        <w:rPr>
          <w:i/>
          <w:position w:val="-28"/>
          <w:lang w:val="en-US"/>
        </w:rPr>
        <w:object w:dxaOrig="6240" w:dyaOrig="660" w14:anchorId="5387D163">
          <v:shape id="_x0000_i1033" type="#_x0000_t75" style="width:312.15pt;height:32.9pt" o:ole="">
            <v:imagedata r:id="rId33" o:title=""/>
          </v:shape>
          <o:OLEObject Type="Embed" ProgID="Equation.3" ShapeID="_x0000_i1033" DrawAspect="Content" ObjectID="_1652520888" r:id="rId34"/>
        </w:object>
      </w:r>
      <w:r w:rsidRPr="00AC3FDE">
        <w:rPr>
          <w:lang w:val="es-ES"/>
        </w:rPr>
        <w:tab/>
        <w:t>(13)</w:t>
      </w:r>
      <w:bookmarkEnd w:id="16"/>
    </w:p>
    <w:p w14:paraId="48C784F2" w14:textId="77777777" w:rsidR="008760D9" w:rsidRDefault="008760D9">
      <w:pPr>
        <w:rPr>
          <w:lang w:val="es-ES_tradnl"/>
        </w:rPr>
      </w:pPr>
      <w:r>
        <w:rPr>
          <w:lang w:val="es-ES_tradnl"/>
        </w:rPr>
        <w:t>siendo:</w:t>
      </w:r>
    </w:p>
    <w:p w14:paraId="294422FD" w14:textId="77777777" w:rsidR="008760D9" w:rsidRDefault="008760D9">
      <w:pPr>
        <w:pStyle w:val="enumlev1"/>
        <w:tabs>
          <w:tab w:val="left" w:pos="1021"/>
        </w:tabs>
        <w:ind w:left="1021" w:hanging="1021"/>
        <w:rPr>
          <w:lang w:val="es-ES_tradnl"/>
        </w:rPr>
      </w:pPr>
      <w:r>
        <w:rPr>
          <w:lang w:val="es-ES_tradnl"/>
        </w:rPr>
        <w:tab/>
      </w:r>
      <w:r>
        <w:rPr>
          <w:i/>
          <w:lang w:val="es-ES_tradnl"/>
        </w:rPr>
        <w:t>N</w:t>
      </w:r>
      <w:proofErr w:type="spellStart"/>
      <w:r>
        <w:rPr>
          <w:i/>
          <w:position w:val="-4"/>
          <w:sz w:val="16"/>
          <w:lang w:val="es-ES_tradnl"/>
        </w:rPr>
        <w:t>máx</w:t>
      </w:r>
      <w:proofErr w:type="spellEnd"/>
      <w:r>
        <w:rPr>
          <w:rFonts w:ascii="Tms Rmn" w:hAnsi="Tms Rmn"/>
          <w:sz w:val="12"/>
          <w:lang w:val="es-ES_tradnl"/>
        </w:rPr>
        <w:t> </w:t>
      </w:r>
      <w:r>
        <w:rPr>
          <w:sz w:val="18"/>
          <w:lang w:val="es-ES_tradnl"/>
        </w:rPr>
        <w:t>:</w:t>
      </w:r>
      <w:r>
        <w:rPr>
          <w:lang w:val="es-ES_tradnl"/>
        </w:rPr>
        <w:tab/>
        <w:t>nivel máximo (dBm) de la señal de radiodifusión a la entrada del receptor aeronáutico</w:t>
      </w:r>
    </w:p>
    <w:p w14:paraId="35FF0D0B" w14:textId="77777777" w:rsidR="008760D9" w:rsidRDefault="008760D9">
      <w:pPr>
        <w:pStyle w:val="enumlev1"/>
        <w:tabs>
          <w:tab w:val="left" w:pos="1021"/>
        </w:tabs>
        <w:ind w:left="1021" w:hanging="1021"/>
        <w:rPr>
          <w:lang w:val="es-ES_tradnl"/>
        </w:rPr>
      </w:pPr>
      <w:r>
        <w:rPr>
          <w:lang w:val="es-ES_tradnl"/>
        </w:rPr>
        <w:tab/>
      </w:r>
      <w:r>
        <w:rPr>
          <w:i/>
          <w:lang w:val="es-ES_tradnl"/>
        </w:rPr>
        <w:t>f</w:t>
      </w:r>
      <w:r>
        <w:rPr>
          <w:rFonts w:ascii="Tms Rmn" w:hAnsi="Tms Rmn"/>
          <w:sz w:val="12"/>
          <w:lang w:val="es-ES_tradnl"/>
        </w:rPr>
        <w:t> </w:t>
      </w:r>
      <w:r>
        <w:rPr>
          <w:lang w:val="es-ES_tradnl"/>
        </w:rPr>
        <w:t>:</w:t>
      </w:r>
      <w:r>
        <w:rPr>
          <w:lang w:val="es-ES_tradnl"/>
        </w:rPr>
        <w:tab/>
        <w:t>frecuencia de radiodifusión (MHz)</w:t>
      </w:r>
    </w:p>
    <w:p w14:paraId="14A41D44" w14:textId="77777777" w:rsidR="008760D9" w:rsidRDefault="008760D9">
      <w:pPr>
        <w:pStyle w:val="enumlev1"/>
        <w:tabs>
          <w:tab w:val="left" w:pos="1021"/>
        </w:tabs>
        <w:ind w:left="1021" w:hanging="1021"/>
        <w:rPr>
          <w:lang w:val="es-ES_tradnl"/>
        </w:rPr>
      </w:pPr>
      <w:r>
        <w:rPr>
          <w:lang w:val="es-ES_tradnl"/>
        </w:rPr>
        <w:br w:type="page"/>
      </w:r>
      <w:r>
        <w:rPr>
          <w:lang w:val="es-ES_tradnl"/>
        </w:rPr>
        <w:lastRenderedPageBreak/>
        <w:tab/>
      </w:r>
      <w:r>
        <w:rPr>
          <w:i/>
          <w:lang w:val="es-ES_tradnl"/>
        </w:rPr>
        <w:t>S</w:t>
      </w:r>
      <w:r>
        <w:rPr>
          <w:rFonts w:ascii="Tms Rmn" w:hAnsi="Tms Rmn"/>
          <w:sz w:val="12"/>
          <w:lang w:val="es-ES_tradnl"/>
        </w:rPr>
        <w:t> </w:t>
      </w:r>
      <w:r>
        <w:rPr>
          <w:rFonts w:ascii="Tms Rmn" w:hAnsi="Tms Rmn"/>
          <w:lang w:val="es-ES_tradnl"/>
        </w:rPr>
        <w:t>:</w:t>
      </w:r>
      <w:r>
        <w:rPr>
          <w:lang w:val="es-ES_tradnl"/>
        </w:rPr>
        <w:tab/>
        <w:t>margen de 3 dB para tener en cuenta el hecho de que las cuestiones de criterios de inmunidad del receptor de tipo 1998 según el Anexo 10 al Convenio de la OACI no proporcionan las fórmulas completas de evaluación de la compatibilidad</w:t>
      </w:r>
    </w:p>
    <w:p w14:paraId="77036B01" w14:textId="77777777" w:rsidR="008760D9" w:rsidRDefault="008760D9">
      <w:pPr>
        <w:pStyle w:val="enumlev1"/>
        <w:tabs>
          <w:tab w:val="left" w:pos="1021"/>
        </w:tabs>
        <w:ind w:left="1021" w:hanging="1021"/>
        <w:rPr>
          <w:lang w:val="es-ES_tradnl"/>
        </w:rPr>
      </w:pPr>
      <w:r>
        <w:rPr>
          <w:lang w:val="es-ES_tradnl"/>
        </w:rPr>
        <w:tab/>
      </w:r>
      <w:r>
        <w:rPr>
          <w:i/>
          <w:lang w:val="es-ES_tradnl"/>
        </w:rPr>
        <w:t>L</w:t>
      </w:r>
      <w:r>
        <w:rPr>
          <w:i/>
          <w:position w:val="-4"/>
          <w:sz w:val="16"/>
          <w:lang w:val="es-ES_tradnl"/>
        </w:rPr>
        <w:t>c</w:t>
      </w:r>
      <w:r>
        <w:rPr>
          <w:rFonts w:ascii="Tms Rmn" w:hAnsi="Tms Rmn"/>
          <w:sz w:val="12"/>
          <w:lang w:val="es-ES_tradnl"/>
        </w:rPr>
        <w:t> </w:t>
      </w:r>
      <w:r>
        <w:rPr>
          <w:lang w:val="es-ES_tradnl"/>
        </w:rPr>
        <w:t>:</w:t>
      </w:r>
      <w:r>
        <w:rPr>
          <w:lang w:val="es-ES_tradnl"/>
        </w:rPr>
        <w:tab/>
        <w:t xml:space="preserve">factor de corrección (dB) al tener en cuenta los cambios en el nivel de la señal deseada. </w:t>
      </w:r>
      <w:r>
        <w:rPr>
          <w:i/>
          <w:lang w:val="es-ES_tradnl"/>
        </w:rPr>
        <w:t>L</w:t>
      </w:r>
      <w:r>
        <w:rPr>
          <w:i/>
          <w:position w:val="-4"/>
          <w:sz w:val="16"/>
          <w:lang w:val="es-ES_tradnl"/>
        </w:rPr>
        <w:t>c</w:t>
      </w:r>
      <w:r>
        <w:rPr>
          <w:lang w:val="es-ES_tradnl"/>
        </w:rPr>
        <w:t> </w:t>
      </w:r>
      <w:r>
        <w:rPr>
          <w:rFonts w:ascii="Symbol" w:hAnsi="Symbol"/>
          <w:lang w:val="es-ES_tradnl"/>
        </w:rPr>
        <w:t></w:t>
      </w:r>
      <w:r>
        <w:rPr>
          <w:lang w:val="es-ES_tradnl"/>
        </w:rPr>
        <w:t> </w:t>
      </w:r>
      <w:proofErr w:type="spellStart"/>
      <w:r>
        <w:rPr>
          <w:lang w:val="es-ES_tradnl"/>
        </w:rPr>
        <w:t>máx</w:t>
      </w:r>
      <w:proofErr w:type="spellEnd"/>
      <w:r>
        <w:rPr>
          <w:lang w:val="es-ES_tradnl"/>
        </w:rPr>
        <w:t>(0; 0,5(</w:t>
      </w:r>
      <w:r>
        <w:rPr>
          <w:i/>
          <w:lang w:val="es-ES_tradnl"/>
        </w:rPr>
        <w:t>N</w:t>
      </w:r>
      <w:r>
        <w:rPr>
          <w:i/>
          <w:position w:val="-4"/>
          <w:sz w:val="16"/>
          <w:lang w:val="es-ES_tradnl"/>
        </w:rPr>
        <w:t>A</w:t>
      </w:r>
      <w:r>
        <w:rPr>
          <w:lang w:val="es-ES_tradnl"/>
        </w:rPr>
        <w:t> – </w:t>
      </w:r>
      <w:r>
        <w:rPr>
          <w:i/>
          <w:lang w:val="es-ES_tradnl"/>
        </w:rPr>
        <w:t>N</w:t>
      </w:r>
      <w:proofErr w:type="spellStart"/>
      <w:r>
        <w:rPr>
          <w:i/>
          <w:position w:val="-4"/>
          <w:sz w:val="16"/>
          <w:lang w:val="es-ES_tradnl"/>
        </w:rPr>
        <w:t>ref</w:t>
      </w:r>
      <w:proofErr w:type="spellEnd"/>
      <w:r>
        <w:rPr>
          <w:lang w:val="es-ES_tradnl"/>
        </w:rPr>
        <w:t>))</w:t>
      </w:r>
    </w:p>
    <w:p w14:paraId="592CF322" w14:textId="77777777" w:rsidR="008760D9" w:rsidRDefault="008760D9">
      <w:pPr>
        <w:pStyle w:val="enumlev1"/>
        <w:tabs>
          <w:tab w:val="left" w:pos="1021"/>
          <w:tab w:val="left" w:pos="1560"/>
        </w:tabs>
        <w:ind w:left="1560" w:hanging="1560"/>
        <w:rPr>
          <w:lang w:val="es-ES_tradnl"/>
        </w:rPr>
      </w:pPr>
      <w:r>
        <w:rPr>
          <w:lang w:val="es-ES_tradnl"/>
        </w:rPr>
        <w:tab/>
      </w:r>
      <w:r>
        <w:rPr>
          <w:lang w:val="es-ES_tradnl"/>
        </w:rPr>
        <w:tab/>
      </w:r>
      <w:r>
        <w:rPr>
          <w:i/>
          <w:lang w:val="es-ES_tradnl"/>
        </w:rPr>
        <w:t>N</w:t>
      </w:r>
      <w:r>
        <w:rPr>
          <w:i/>
          <w:position w:val="-4"/>
          <w:sz w:val="16"/>
          <w:lang w:val="es-ES_tradnl"/>
        </w:rPr>
        <w:t>A</w:t>
      </w:r>
      <w:r>
        <w:rPr>
          <w:rFonts w:ascii="Tms Rmn" w:hAnsi="Tms Rmn"/>
          <w:sz w:val="12"/>
          <w:lang w:val="es-ES_tradnl"/>
        </w:rPr>
        <w:t> </w:t>
      </w:r>
      <w:r>
        <w:rPr>
          <w:lang w:val="es-ES_tradnl"/>
        </w:rPr>
        <w:t>:</w:t>
      </w:r>
      <w:r>
        <w:rPr>
          <w:lang w:val="es-ES_tradnl"/>
        </w:rPr>
        <w:tab/>
        <w:t>nivel de la señal deseada (dBm) a la entrada del receptor aeronáutico</w:t>
      </w:r>
    </w:p>
    <w:p w14:paraId="2C783D3D" w14:textId="77777777" w:rsidR="008760D9" w:rsidRDefault="008760D9">
      <w:pPr>
        <w:pStyle w:val="enumlev1"/>
        <w:tabs>
          <w:tab w:val="left" w:pos="1021"/>
          <w:tab w:val="left" w:pos="1560"/>
        </w:tabs>
        <w:ind w:left="1560" w:hanging="1560"/>
        <w:rPr>
          <w:lang w:val="es-ES_tradnl"/>
        </w:rPr>
      </w:pPr>
      <w:r>
        <w:rPr>
          <w:lang w:val="es-ES_tradnl"/>
        </w:rPr>
        <w:tab/>
      </w:r>
      <w:r>
        <w:rPr>
          <w:lang w:val="es-ES_tradnl"/>
        </w:rPr>
        <w:tab/>
      </w:r>
      <w:r>
        <w:rPr>
          <w:i/>
          <w:lang w:val="es-ES_tradnl"/>
        </w:rPr>
        <w:t>N</w:t>
      </w:r>
      <w:proofErr w:type="spellStart"/>
      <w:r>
        <w:rPr>
          <w:i/>
          <w:position w:val="-4"/>
          <w:sz w:val="16"/>
          <w:lang w:val="es-ES_tradnl"/>
        </w:rPr>
        <w:t>ref</w:t>
      </w:r>
      <w:proofErr w:type="spellEnd"/>
      <w:r>
        <w:rPr>
          <w:rFonts w:ascii="Tms Rmn" w:hAnsi="Tms Rmn"/>
          <w:sz w:val="12"/>
          <w:lang w:val="es-ES_tradnl"/>
        </w:rPr>
        <w:t> </w:t>
      </w:r>
      <w:r>
        <w:rPr>
          <w:lang w:val="es-ES_tradnl"/>
        </w:rPr>
        <w:t>:</w:t>
      </w:r>
      <w:r>
        <w:rPr>
          <w:lang w:val="es-ES_tradnl"/>
        </w:rPr>
        <w:tab/>
        <w:t>nivel de referencia (dBm) de la señal deseada a la entrada del receptor aeronáutico para la fórmula de inmunidad contra la interferencia de Tipo B2</w:t>
      </w:r>
    </w:p>
    <w:p w14:paraId="1BD2177E" w14:textId="77777777" w:rsidR="008760D9" w:rsidRDefault="008760D9">
      <w:pPr>
        <w:pStyle w:val="enumlev1"/>
        <w:tabs>
          <w:tab w:val="left" w:pos="1021"/>
          <w:tab w:val="left" w:pos="1560"/>
        </w:tabs>
        <w:ind w:left="1560" w:hanging="1560"/>
        <w:rPr>
          <w:lang w:val="es-ES_tradnl"/>
        </w:rPr>
      </w:pPr>
      <w:r>
        <w:rPr>
          <w:lang w:val="es-ES_tradnl"/>
        </w:rPr>
        <w:tab/>
      </w:r>
      <w:r>
        <w:rPr>
          <w:lang w:val="es-ES_tradnl"/>
        </w:rPr>
        <w:tab/>
      </w:r>
      <w:r>
        <w:rPr>
          <w:lang w:val="es-ES_tradnl"/>
        </w:rPr>
        <w:tab/>
      </w:r>
      <w:r>
        <w:rPr>
          <w:rFonts w:ascii="Symbol" w:hAnsi="Symbol"/>
          <w:lang w:val="es-ES_tradnl"/>
        </w:rPr>
        <w:t></w:t>
      </w:r>
      <w:r w:rsidRPr="00AC3FDE">
        <w:rPr>
          <w:lang w:val="es-ES"/>
        </w:rPr>
        <w:t xml:space="preserve">  </w:t>
      </w:r>
      <w:r>
        <w:rPr>
          <w:lang w:val="es-ES_tradnl"/>
        </w:rPr>
        <w:t>–86 dBm por el localizador ILS</w:t>
      </w:r>
    </w:p>
    <w:p w14:paraId="65DBF771" w14:textId="77777777" w:rsidR="008760D9" w:rsidRDefault="008760D9">
      <w:pPr>
        <w:pStyle w:val="enumlev1"/>
        <w:tabs>
          <w:tab w:val="left" w:pos="1021"/>
          <w:tab w:val="left" w:pos="1560"/>
        </w:tabs>
        <w:ind w:left="1560" w:hanging="1560"/>
        <w:rPr>
          <w:lang w:val="es-ES_tradnl"/>
        </w:rPr>
      </w:pPr>
      <w:r>
        <w:rPr>
          <w:lang w:val="es-ES_tradnl"/>
        </w:rPr>
        <w:tab/>
      </w:r>
      <w:r>
        <w:rPr>
          <w:lang w:val="es-ES_tradnl"/>
        </w:rPr>
        <w:tab/>
      </w:r>
      <w:r>
        <w:rPr>
          <w:lang w:val="es-ES_tradnl"/>
        </w:rPr>
        <w:tab/>
      </w:r>
      <w:r>
        <w:rPr>
          <w:rFonts w:ascii="Symbol" w:hAnsi="Symbol"/>
          <w:lang w:val="es-ES_tradnl"/>
        </w:rPr>
        <w:t></w:t>
      </w:r>
      <w:r w:rsidRPr="00AC3FDE">
        <w:rPr>
          <w:lang w:val="es-ES"/>
        </w:rPr>
        <w:t xml:space="preserve">  </w:t>
      </w:r>
      <w:r>
        <w:rPr>
          <w:lang w:val="es-ES_tradnl"/>
        </w:rPr>
        <w:t>–79 dBm para el VOR.</w:t>
      </w:r>
    </w:p>
    <w:p w14:paraId="42B08C82" w14:textId="77777777" w:rsidR="008760D9" w:rsidRDefault="008760D9">
      <w:pPr>
        <w:pStyle w:val="Heading2"/>
        <w:rPr>
          <w:lang w:val="es-ES_tradnl"/>
        </w:rPr>
      </w:pPr>
      <w:r>
        <w:rPr>
          <w:lang w:val="es-ES_tradnl"/>
        </w:rPr>
        <w:t>4.4</w:t>
      </w:r>
      <w:r>
        <w:rPr>
          <w:lang w:val="es-ES_tradnl"/>
        </w:rPr>
        <w:tab/>
        <w:t>Criterios de evaluación de la interferencia – Receptores COM 1988 según el Anexo 10 del Convenio de la OACI</w:t>
      </w:r>
    </w:p>
    <w:p w14:paraId="0A0B24A2" w14:textId="77777777" w:rsidR="008760D9" w:rsidRDefault="008760D9">
      <w:pPr>
        <w:rPr>
          <w:lang w:val="es-ES_tradnl"/>
        </w:rPr>
      </w:pPr>
      <w:r>
        <w:rPr>
          <w:lang w:val="es-ES_tradnl"/>
        </w:rPr>
        <w:t>No puede causarse interferencia de intermodulación de Tipo A1 y de Tipo B1 a los receptores COM en frecuencias COM superiores a 128,5 MHz. La interferencia de Tipo A2 no puede ser causada a ninguna frecuencia COM. Se dispone de muy pocos datos sobre características de antena COM de aeronave que puedan utilizarse para desarrollar una fórmula de conversión de la intensidad de campo en potencia a la entrada del receptor.</w:t>
      </w:r>
    </w:p>
    <w:p w14:paraId="68890050" w14:textId="77777777" w:rsidR="008760D9" w:rsidRDefault="008760D9">
      <w:pPr>
        <w:pStyle w:val="Heading3"/>
        <w:rPr>
          <w:lang w:val="es-ES_tradnl"/>
        </w:rPr>
      </w:pPr>
      <w:r>
        <w:rPr>
          <w:lang w:val="es-ES_tradnl"/>
        </w:rPr>
        <w:t>4.4.1</w:t>
      </w:r>
      <w:r>
        <w:rPr>
          <w:lang w:val="es-ES_tradnl"/>
        </w:rPr>
        <w:tab/>
        <w:t>Fórmulas de evaluación de la compatibilidad</w:t>
      </w:r>
    </w:p>
    <w:p w14:paraId="6ADDF65E" w14:textId="77777777" w:rsidR="008760D9" w:rsidRDefault="008760D9">
      <w:pPr>
        <w:rPr>
          <w:lang w:val="es-ES_tradnl"/>
        </w:rPr>
      </w:pPr>
      <w:r>
        <w:rPr>
          <w:lang w:val="es-ES_tradnl"/>
        </w:rPr>
        <w:t>En el Anexo 10, Parte I (§ 4.7.3), la OACI especifica que:</w:t>
      </w:r>
    </w:p>
    <w:p w14:paraId="60417745" w14:textId="77777777" w:rsidR="008760D9" w:rsidRDefault="008760D9">
      <w:pPr>
        <w:pStyle w:val="enumlev1"/>
        <w:rPr>
          <w:lang w:val="es-ES_tradnl"/>
        </w:rPr>
      </w:pPr>
      <w:r>
        <w:rPr>
          <w:lang w:val="es-ES_tradnl"/>
        </w:rPr>
        <w:t>–</w:t>
      </w:r>
      <w:r>
        <w:rPr>
          <w:lang w:val="es-ES_tradnl"/>
        </w:rPr>
        <w:tab/>
        <w:t>después del 1 de enero de 1995, todas las nuevas instalaciones de sistemas de recepción COM cumplirán las nuevas normas de inmunidad a la interferencia;</w:t>
      </w:r>
    </w:p>
    <w:p w14:paraId="4A898D79" w14:textId="77777777" w:rsidR="008760D9" w:rsidRDefault="008760D9">
      <w:pPr>
        <w:pStyle w:val="enumlev1"/>
        <w:rPr>
          <w:lang w:val="es-ES_tradnl"/>
        </w:rPr>
      </w:pPr>
      <w:r>
        <w:rPr>
          <w:lang w:val="es-ES_tradnl"/>
        </w:rPr>
        <w:t>–</w:t>
      </w:r>
      <w:r>
        <w:rPr>
          <w:lang w:val="es-ES_tradnl"/>
        </w:rPr>
        <w:tab/>
        <w:t>después del 1 de enero de 1998, todos los sistemas de recepción COM cumplirán las nuevas normas de inmunidad a la interferencia.</w:t>
      </w:r>
    </w:p>
    <w:p w14:paraId="1A053B05" w14:textId="77777777" w:rsidR="008760D9" w:rsidRDefault="008760D9">
      <w:pPr>
        <w:pStyle w:val="Heading4"/>
        <w:rPr>
          <w:lang w:val="es-ES_tradnl"/>
        </w:rPr>
      </w:pPr>
      <w:r>
        <w:rPr>
          <w:lang w:val="es-ES_tradnl"/>
        </w:rPr>
        <w:t>4.4.1.1</w:t>
      </w:r>
      <w:r>
        <w:rPr>
          <w:lang w:val="es-ES_tradnl"/>
        </w:rPr>
        <w:tab/>
        <w:t>Interferencia de Tipo B1</w:t>
      </w:r>
    </w:p>
    <w:p w14:paraId="55B5DD0C" w14:textId="77777777" w:rsidR="008760D9" w:rsidRDefault="008760D9">
      <w:pPr>
        <w:rPr>
          <w:lang w:val="es-ES_tradnl"/>
        </w:rPr>
      </w:pPr>
      <w:r>
        <w:rPr>
          <w:lang w:val="es-ES_tradnl"/>
        </w:rPr>
        <w:t>El Anexo 10 del Convenio de la OACI especifica que el sistema receptor COM «tendrá una calidad satisfactoria en presencia de productos de intermodulación de tercer orden, causados por dos señales de radiodifusión en ondas métricas con modulación de frecuencia cuyo nivel a la entrada del receptor sea de –5 dBm».</w:t>
      </w:r>
    </w:p>
    <w:p w14:paraId="3CEDF1F9" w14:textId="77777777" w:rsidR="008760D9" w:rsidRDefault="008760D9">
      <w:pPr>
        <w:pStyle w:val="Heading4"/>
        <w:rPr>
          <w:lang w:val="es-ES_tradnl"/>
        </w:rPr>
      </w:pPr>
      <w:r>
        <w:rPr>
          <w:lang w:val="es-ES_tradnl"/>
        </w:rPr>
        <w:t>4.4.1.2</w:t>
      </w:r>
      <w:r>
        <w:rPr>
          <w:lang w:val="es-ES_tradnl"/>
        </w:rPr>
        <w:tab/>
        <w:t>Interferencia de Tipo B2</w:t>
      </w:r>
    </w:p>
    <w:p w14:paraId="0F68A46B" w14:textId="77777777" w:rsidR="008760D9" w:rsidRDefault="008760D9">
      <w:pPr>
        <w:rPr>
          <w:lang w:val="es-ES_tradnl"/>
        </w:rPr>
      </w:pPr>
      <w:r>
        <w:rPr>
          <w:lang w:val="es-ES_tradnl"/>
        </w:rPr>
        <w:t>El Anexo 10 del Convenio de la OACI indica que el sistema receptor COM «no quedará desensibilizado en presencia de señales de radiodifusión en ondas métricas con modulación de frecuencia cuyos niveles a la entrada del receptor sean de –5 dBm».</w:t>
      </w:r>
    </w:p>
    <w:p w14:paraId="3C7850DF" w14:textId="77777777" w:rsidR="008760D9" w:rsidRDefault="008760D9">
      <w:pPr>
        <w:rPr>
          <w:lang w:val="es-ES_tradnl"/>
        </w:rPr>
      </w:pPr>
    </w:p>
    <w:p w14:paraId="6EC35719" w14:textId="77777777" w:rsidR="008760D9" w:rsidRDefault="008760D9">
      <w:pPr>
        <w:rPr>
          <w:lang w:val="es-ES_tradnl"/>
        </w:rPr>
      </w:pPr>
    </w:p>
    <w:p w14:paraId="56F13CFC" w14:textId="77777777" w:rsidR="008760D9" w:rsidRDefault="008760D9">
      <w:pPr>
        <w:rPr>
          <w:lang w:val="es-ES_tradnl"/>
        </w:rPr>
      </w:pPr>
    </w:p>
    <w:p w14:paraId="7FBD86C1" w14:textId="77777777" w:rsidR="008760D9" w:rsidRDefault="008760D9">
      <w:pPr>
        <w:rPr>
          <w:lang w:val="es-ES_tradnl"/>
        </w:rPr>
      </w:pPr>
    </w:p>
    <w:p w14:paraId="24E799F1" w14:textId="77777777" w:rsidR="008760D9" w:rsidRDefault="008760D9">
      <w:pPr>
        <w:rPr>
          <w:lang w:val="es-ES_tradnl"/>
        </w:rPr>
      </w:pPr>
    </w:p>
    <w:p w14:paraId="640987E4" w14:textId="77777777" w:rsidR="008760D9" w:rsidRDefault="008760D9">
      <w:pPr>
        <w:rPr>
          <w:lang w:val="es-ES_tradnl"/>
        </w:rPr>
      </w:pPr>
    </w:p>
    <w:p w14:paraId="5CAF31C2" w14:textId="77777777" w:rsidR="008760D9" w:rsidRDefault="008760D9">
      <w:pPr>
        <w:rPr>
          <w:lang w:val="es-ES_tradnl"/>
        </w:rPr>
      </w:pPr>
    </w:p>
    <w:p w14:paraId="4814C9F3" w14:textId="77777777" w:rsidR="008760D9" w:rsidRDefault="008760D9">
      <w:pPr>
        <w:rPr>
          <w:lang w:val="es-ES_tradnl"/>
        </w:rPr>
      </w:pPr>
    </w:p>
    <w:p w14:paraId="60944D63" w14:textId="77777777" w:rsidR="008760D9" w:rsidRDefault="008760D9">
      <w:pPr>
        <w:rPr>
          <w:lang w:val="es-ES_tradnl"/>
        </w:rPr>
      </w:pPr>
    </w:p>
    <w:p w14:paraId="3469AE33" w14:textId="77777777" w:rsidR="008760D9" w:rsidRDefault="008760D9">
      <w:pPr>
        <w:rPr>
          <w:lang w:val="es-ES_tradnl"/>
        </w:rPr>
      </w:pPr>
    </w:p>
    <w:p w14:paraId="554CAF32" w14:textId="77777777" w:rsidR="008760D9" w:rsidRDefault="008760D9">
      <w:pPr>
        <w:rPr>
          <w:lang w:val="es-ES_tradnl"/>
        </w:rPr>
      </w:pPr>
    </w:p>
    <w:p w14:paraId="79E9F4BE" w14:textId="77777777" w:rsidR="008760D9" w:rsidRDefault="008760D9">
      <w:pPr>
        <w:rPr>
          <w:lang w:val="es-ES_tradnl"/>
        </w:rPr>
      </w:pPr>
    </w:p>
    <w:p w14:paraId="1F5F063A" w14:textId="77777777" w:rsidR="008760D9" w:rsidRDefault="008760D9">
      <w:pPr>
        <w:rPr>
          <w:lang w:val="es-ES_tradnl"/>
        </w:rPr>
      </w:pPr>
    </w:p>
    <w:p w14:paraId="1B7E9373" w14:textId="77777777" w:rsidR="008760D9" w:rsidRPr="00AC3FDE" w:rsidRDefault="008760D9">
      <w:pPr>
        <w:pStyle w:val="Appendix"/>
        <w:rPr>
          <w:lang w:val="es-ES"/>
        </w:rPr>
        <w:sectPr w:rsidR="008760D9" w:rsidRPr="00AC3FDE">
          <w:headerReference w:type="even" r:id="rId35"/>
          <w:headerReference w:type="default" r:id="rId36"/>
          <w:footnotePr>
            <w:pos w:val="beneathText"/>
          </w:footnotePr>
          <w:pgSz w:w="11913" w:h="16834"/>
          <w:pgMar w:top="1088" w:right="1088" w:bottom="1088" w:left="1088" w:header="483" w:footer="483" w:gutter="0"/>
          <w:paperSrc w:first="1" w:other="1"/>
          <w:pgNumType w:start="1"/>
          <w:cols w:space="720"/>
          <w:vAlign w:val="both"/>
        </w:sectPr>
      </w:pPr>
    </w:p>
    <w:p w14:paraId="61EB54FA" w14:textId="77777777" w:rsidR="008760D9" w:rsidRDefault="008760D9">
      <w:pPr>
        <w:pStyle w:val="Appendix"/>
        <w:spacing w:before="0"/>
        <w:rPr>
          <w:lang w:val="es-ES_tradnl"/>
        </w:rPr>
      </w:pPr>
      <w:r>
        <w:rPr>
          <w:lang w:val="es-ES_tradnl"/>
        </w:rPr>
        <w:lastRenderedPageBreak/>
        <w:t>APÉNDICE  1</w:t>
      </w:r>
    </w:p>
    <w:p w14:paraId="1C27EF7C" w14:textId="77777777" w:rsidR="008760D9" w:rsidRPr="00AC3FDE" w:rsidRDefault="008760D9">
      <w:pPr>
        <w:pStyle w:val="AppendixRef"/>
        <w:rPr>
          <w:lang w:val="es-ES"/>
        </w:rPr>
      </w:pPr>
      <w:r w:rsidRPr="00AC3FDE">
        <w:rPr>
          <w:lang w:val="es-ES"/>
        </w:rPr>
        <w:t>AL  ANEXO  1</w:t>
      </w:r>
    </w:p>
    <w:p w14:paraId="431B3AC5" w14:textId="77777777" w:rsidR="008760D9" w:rsidRDefault="008760D9">
      <w:pPr>
        <w:pStyle w:val="AppendixTitle"/>
        <w:rPr>
          <w:lang w:val="es-ES_tradnl"/>
        </w:rPr>
      </w:pPr>
      <w:r>
        <w:rPr>
          <w:lang w:val="es-ES_tradnl"/>
        </w:rPr>
        <w:t>Zona de cobertura e intensidades de campo mínimas de</w:t>
      </w:r>
      <w:r>
        <w:rPr>
          <w:lang w:val="es-ES_tradnl"/>
        </w:rPr>
        <w:br/>
        <w:t>los equipos de localizador ILS y VOR</w:t>
      </w:r>
    </w:p>
    <w:p w14:paraId="06AA5F6D" w14:textId="77777777" w:rsidR="008760D9" w:rsidRDefault="008760D9">
      <w:pPr>
        <w:pStyle w:val="Normalaftertitle"/>
        <w:rPr>
          <w:lang w:val="es-ES_tradnl"/>
        </w:rPr>
      </w:pPr>
      <w:r>
        <w:rPr>
          <w:i/>
          <w:lang w:val="es-ES_tradnl"/>
        </w:rPr>
        <w:t>Extracto de:</w:t>
      </w:r>
      <w:r>
        <w:rPr>
          <w:lang w:val="es-ES_tradnl"/>
        </w:rPr>
        <w:t xml:space="preserve"> «Normas internacionales, prácticas recomendadas y procedimientos para los servicios de navegación aeronáutica: Telecomunicaciones aeronáuticas, Anexo 10 al Convenio de la Organización de la Aviación Civil Internacional, Volumen I», Organización de la Aviación Civil Internacional, Montreal, 1985.</w:t>
      </w:r>
    </w:p>
    <w:p w14:paraId="511B937E" w14:textId="77777777" w:rsidR="008760D9" w:rsidRDefault="008760D9">
      <w:pPr>
        <w:rPr>
          <w:lang w:val="es-ES_tradnl"/>
        </w:rPr>
      </w:pPr>
      <w:r>
        <w:rPr>
          <w:lang w:val="es-ES_tradnl"/>
        </w:rPr>
        <w:t>El extracto siguiente se refiere al localizador ILS:</w:t>
      </w:r>
    </w:p>
    <w:p w14:paraId="29F619C6" w14:textId="77777777" w:rsidR="008760D9" w:rsidRPr="00AC3FDE" w:rsidRDefault="008760D9">
      <w:pPr>
        <w:pStyle w:val="Heading4"/>
        <w:rPr>
          <w:b w:val="0"/>
          <w:lang w:val="es-ES"/>
        </w:rPr>
        <w:sectPr w:rsidR="008760D9" w:rsidRPr="00AC3FDE">
          <w:footnotePr>
            <w:pos w:val="beneathText"/>
          </w:footnotePr>
          <w:pgSz w:w="11907" w:h="16834"/>
          <w:pgMar w:top="1089" w:right="1089" w:bottom="1089" w:left="1089" w:header="482" w:footer="482" w:gutter="0"/>
          <w:paperSrc w:first="15" w:other="15"/>
          <w:cols w:space="720"/>
        </w:sectPr>
      </w:pPr>
    </w:p>
    <w:p w14:paraId="614781F7" w14:textId="77777777" w:rsidR="008760D9" w:rsidRDefault="008760D9">
      <w:pPr>
        <w:rPr>
          <w:sz w:val="12"/>
          <w:lang w:val="es-ES_tradnl"/>
        </w:rPr>
      </w:pPr>
    </w:p>
    <w:p w14:paraId="0F51D40C" w14:textId="77777777" w:rsidR="008760D9" w:rsidRDefault="008760D9">
      <w:pPr>
        <w:pStyle w:val="Heading4"/>
        <w:rPr>
          <w:lang w:val="es-ES_tradnl"/>
        </w:rPr>
      </w:pPr>
      <w:r w:rsidRPr="00AC3FDE">
        <w:rPr>
          <w:b w:val="0"/>
          <w:lang w:val="es-ES"/>
        </w:rPr>
        <w:t>«3.1.3.3   </w:t>
      </w:r>
      <w:r>
        <w:rPr>
          <w:b w:val="0"/>
          <w:i/>
          <w:lang w:val="es-ES_tradnl"/>
        </w:rPr>
        <w:t>Cobertura</w:t>
      </w:r>
    </w:p>
    <w:p w14:paraId="514098BD" w14:textId="77777777" w:rsidR="008760D9" w:rsidRDefault="008760D9">
      <w:pPr>
        <w:tabs>
          <w:tab w:val="clear" w:pos="794"/>
          <w:tab w:val="clear" w:pos="1191"/>
          <w:tab w:val="clear" w:pos="1588"/>
          <w:tab w:val="clear" w:pos="1985"/>
          <w:tab w:val="left" w:pos="397"/>
        </w:tabs>
        <w:rPr>
          <w:lang w:val="es-ES_tradnl"/>
        </w:rPr>
      </w:pPr>
      <w:r>
        <w:rPr>
          <w:lang w:val="es-ES_tradnl"/>
        </w:rPr>
        <w:tab/>
        <w:t>3.1.3.3.1</w:t>
      </w:r>
      <w:r>
        <w:rPr>
          <w:b/>
          <w:lang w:val="es-ES_tradnl"/>
        </w:rPr>
        <w:t>   </w:t>
      </w:r>
      <w:r>
        <w:rPr>
          <w:lang w:val="es-ES_tradnl"/>
        </w:rPr>
        <w:t>El localizador da las señales suficientes para que una estación típica de aeronave pueda funcionar satisfactoriamente en las zonas de cobertura de la alineación de pista y de la alineación del trayecto de descenso. La zona de cobertura del localizador se extenderá desde el centro del sistema de antenas del localizador hasta:</w:t>
      </w:r>
    </w:p>
    <w:p w14:paraId="36307655" w14:textId="77777777" w:rsidR="008760D9" w:rsidRDefault="008760D9">
      <w:pPr>
        <w:tabs>
          <w:tab w:val="clear" w:pos="794"/>
          <w:tab w:val="clear" w:pos="1191"/>
          <w:tab w:val="clear" w:pos="1588"/>
          <w:tab w:val="clear" w:pos="1985"/>
          <w:tab w:val="left" w:pos="397"/>
        </w:tabs>
        <w:ind w:left="397" w:hanging="397"/>
        <w:rPr>
          <w:lang w:val="es-ES_tradnl"/>
        </w:rPr>
      </w:pPr>
      <w:r>
        <w:rPr>
          <w:lang w:val="es-ES_tradnl"/>
        </w:rPr>
        <w:tab/>
        <w:t xml:space="preserve">46,3 km (25 NM) entre </w:t>
      </w:r>
      <w:r>
        <w:rPr>
          <w:rFonts w:ascii="Symbol" w:hAnsi="Symbol"/>
          <w:lang w:val="es-ES_tradnl"/>
        </w:rPr>
        <w:t></w:t>
      </w:r>
      <w:r w:rsidRPr="00AC3FDE">
        <w:rPr>
          <w:lang w:val="es-ES"/>
        </w:rPr>
        <w:t> </w:t>
      </w:r>
      <w:r>
        <w:rPr>
          <w:lang w:val="es-ES_tradnl"/>
        </w:rPr>
        <w:t>10</w:t>
      </w:r>
      <w:r>
        <w:rPr>
          <w:rFonts w:ascii="Symbol" w:hAnsi="Symbol"/>
          <w:lang w:val="es-ES_tradnl"/>
        </w:rPr>
        <w:t></w:t>
      </w:r>
      <w:r>
        <w:rPr>
          <w:lang w:val="es-ES_tradnl"/>
        </w:rPr>
        <w:t xml:space="preserve"> a partir de la alineación frontal de pista;</w:t>
      </w:r>
    </w:p>
    <w:p w14:paraId="7C387564" w14:textId="77777777" w:rsidR="008760D9" w:rsidRDefault="008760D9">
      <w:pPr>
        <w:tabs>
          <w:tab w:val="clear" w:pos="794"/>
          <w:tab w:val="clear" w:pos="1191"/>
          <w:tab w:val="clear" w:pos="1588"/>
          <w:tab w:val="clear" w:pos="1985"/>
          <w:tab w:val="left" w:pos="397"/>
        </w:tabs>
        <w:ind w:left="397" w:hanging="397"/>
        <w:rPr>
          <w:lang w:val="es-ES_tradnl"/>
        </w:rPr>
      </w:pPr>
      <w:r>
        <w:rPr>
          <w:lang w:val="es-ES_tradnl"/>
        </w:rPr>
        <w:tab/>
        <w:t>31,5 km (17 NM) entre 10</w:t>
      </w:r>
      <w:r>
        <w:rPr>
          <w:rFonts w:ascii="Symbol" w:hAnsi="Symbol"/>
          <w:lang w:val="es-ES_tradnl"/>
        </w:rPr>
        <w:t></w:t>
      </w:r>
      <w:r>
        <w:rPr>
          <w:lang w:val="es-ES_tradnl"/>
        </w:rPr>
        <w:t xml:space="preserve"> y 35</w:t>
      </w:r>
      <w:r>
        <w:rPr>
          <w:rFonts w:ascii="Symbol" w:hAnsi="Symbol"/>
          <w:lang w:val="es-ES_tradnl"/>
        </w:rPr>
        <w:t></w:t>
      </w:r>
      <w:r>
        <w:rPr>
          <w:lang w:val="es-ES_tradnl"/>
        </w:rPr>
        <w:t xml:space="preserve"> a partir de la alineación frontal de pista;</w:t>
      </w:r>
    </w:p>
    <w:p w14:paraId="1CFC675B" w14:textId="77777777" w:rsidR="008760D9" w:rsidRDefault="008760D9">
      <w:pPr>
        <w:tabs>
          <w:tab w:val="clear" w:pos="794"/>
          <w:tab w:val="clear" w:pos="1191"/>
          <w:tab w:val="clear" w:pos="1588"/>
          <w:tab w:val="clear" w:pos="1985"/>
          <w:tab w:val="left" w:pos="397"/>
        </w:tabs>
        <w:ind w:left="397" w:hanging="397"/>
        <w:rPr>
          <w:lang w:val="es-ES_tradnl"/>
        </w:rPr>
      </w:pPr>
      <w:r>
        <w:rPr>
          <w:lang w:val="es-ES_tradnl"/>
        </w:rPr>
        <w:tab/>
        <w:t xml:space="preserve">18,5 km (10 NM) fuera de </w:t>
      </w:r>
      <w:r>
        <w:rPr>
          <w:rFonts w:ascii="Symbol" w:hAnsi="Symbol"/>
          <w:lang w:val="es-ES_tradnl"/>
        </w:rPr>
        <w:t></w:t>
      </w:r>
      <w:r w:rsidRPr="00AC3FDE">
        <w:rPr>
          <w:lang w:val="es-ES"/>
        </w:rPr>
        <w:t> </w:t>
      </w:r>
      <w:r>
        <w:rPr>
          <w:lang w:val="es-ES_tradnl"/>
        </w:rPr>
        <w:t>35</w:t>
      </w:r>
      <w:r>
        <w:rPr>
          <w:rFonts w:ascii="Symbol" w:hAnsi="Symbol"/>
          <w:lang w:val="es-ES_tradnl"/>
        </w:rPr>
        <w:t></w:t>
      </w:r>
      <w:r>
        <w:rPr>
          <w:lang w:val="es-ES_tradnl"/>
        </w:rPr>
        <w:t xml:space="preserve"> si hay cobertura.</w:t>
      </w:r>
    </w:p>
    <w:p w14:paraId="1A15C270" w14:textId="77777777" w:rsidR="008760D9" w:rsidRDefault="008760D9">
      <w:pPr>
        <w:rPr>
          <w:lang w:val="es-ES_tradnl"/>
        </w:rPr>
      </w:pPr>
      <w:r>
        <w:rPr>
          <w:lang w:val="es-ES_tradnl"/>
        </w:rPr>
        <w:t xml:space="preserve">No obstante, cuando las características topográficas lo impongan o los requisitos operacionales lo permitan, estos límites podrán reducirse a 33,3 km (18 NM) en el interior del sector de </w:t>
      </w:r>
      <w:r>
        <w:rPr>
          <w:rFonts w:ascii="Symbol" w:hAnsi="Symbol"/>
          <w:lang w:val="es-ES_tradnl"/>
        </w:rPr>
        <w:t></w:t>
      </w:r>
      <w:r w:rsidRPr="00AC3FDE">
        <w:rPr>
          <w:lang w:val="es-ES"/>
        </w:rPr>
        <w:t> </w:t>
      </w:r>
      <w:r>
        <w:rPr>
          <w:lang w:val="es-ES_tradnl"/>
        </w:rPr>
        <w:t>10</w:t>
      </w:r>
      <w:r>
        <w:rPr>
          <w:rFonts w:ascii="Symbol" w:hAnsi="Symbol"/>
          <w:lang w:val="es-ES_tradnl"/>
        </w:rPr>
        <w:t></w:t>
      </w:r>
      <w:r>
        <w:rPr>
          <w:lang w:val="es-ES_tradnl"/>
        </w:rPr>
        <w:t xml:space="preserve"> y a 18,5 km (10 NM) en el interior del resto de la cobertura si, se asegura ésta con otros medios de navegación en las zonas de aproximación intermedia. Deberán poder recibirse las señales del localizador a las distancias especificadas, en una altura igual o superior a la mayor de las dos siguientes: 600 m (2</w:t>
      </w:r>
      <w:r>
        <w:rPr>
          <w:rFonts w:ascii="Tms Rmn" w:hAnsi="Tms Rmn"/>
          <w:sz w:val="12"/>
          <w:lang w:val="es-ES_tradnl"/>
        </w:rPr>
        <w:t> </w:t>
      </w:r>
      <w:r>
        <w:rPr>
          <w:lang w:val="es-ES_tradnl"/>
        </w:rPr>
        <w:t>000 pies) por encima de la elevación del umbral, o 300 m (1</w:t>
      </w:r>
      <w:r>
        <w:rPr>
          <w:rFonts w:ascii="Tms Rmn" w:hAnsi="Tms Rmn"/>
          <w:sz w:val="12"/>
          <w:lang w:val="es-ES_tradnl"/>
        </w:rPr>
        <w:t> </w:t>
      </w:r>
      <w:r>
        <w:rPr>
          <w:lang w:val="es-ES_tradnl"/>
        </w:rPr>
        <w:t>000 pies) por encima del obstáculo más elevado en las zonas de aproximación intermedia y final. Estas señales deberán poder recibirse a las distancias especificadas y hasta una superficie que va desde la antena del localizador e inclinada 7</w:t>
      </w:r>
      <w:r>
        <w:rPr>
          <w:rFonts w:ascii="Symbol" w:hAnsi="Symbol"/>
          <w:lang w:val="es-ES_tradnl"/>
        </w:rPr>
        <w:t></w:t>
      </w:r>
      <w:r>
        <w:rPr>
          <w:lang w:val="es-ES_tradnl"/>
        </w:rPr>
        <w:t xml:space="preserve"> sobre la horizontal.</w:t>
      </w:r>
    </w:p>
    <w:p w14:paraId="4FD0F4E4" w14:textId="77777777" w:rsidR="008760D9" w:rsidRDefault="008760D9">
      <w:pPr>
        <w:tabs>
          <w:tab w:val="left" w:pos="397"/>
        </w:tabs>
        <w:rPr>
          <w:lang w:val="es-ES_tradnl"/>
        </w:rPr>
      </w:pPr>
      <w:r>
        <w:rPr>
          <w:lang w:val="es-ES_tradnl"/>
        </w:rPr>
        <w:tab/>
        <w:t>3.1.3.3.2   En todos los puntos del volumen de cobertura especificado en el § 3.1.3.3.1, salvo en los casos especificados en los § 3.1.3.3.2.1, 3.1.3.3.2.2 y 3.1.3.3.2.3, la intensidad de campo no será inferior a 40 </w:t>
      </w:r>
      <w:r>
        <w:rPr>
          <w:rFonts w:ascii="Symbol" w:hAnsi="Symbol"/>
          <w:lang w:val="es-ES_tradnl"/>
        </w:rPr>
        <w:t></w:t>
      </w:r>
      <w:r>
        <w:rPr>
          <w:lang w:val="es-ES_tradnl"/>
        </w:rPr>
        <w:t>V/m (–114 </w:t>
      </w:r>
      <w:proofErr w:type="spellStart"/>
      <w:r>
        <w:rPr>
          <w:lang w:val="es-ES_tradnl"/>
        </w:rPr>
        <w:t>dBW</w:t>
      </w:r>
      <w:proofErr w:type="spellEnd"/>
      <w:r>
        <w:rPr>
          <w:lang w:val="es-ES_tradnl"/>
        </w:rPr>
        <w:t>/m</w:t>
      </w:r>
      <w:r>
        <w:rPr>
          <w:position w:val="6"/>
          <w:sz w:val="16"/>
          <w:lang w:val="es-ES_tradnl"/>
        </w:rPr>
        <w:t>2</w:t>
      </w:r>
      <w:r>
        <w:rPr>
          <w:lang w:val="es-ES_tradnl"/>
        </w:rPr>
        <w:t>).</w:t>
      </w:r>
    </w:p>
    <w:p w14:paraId="1E4F9D21" w14:textId="77777777" w:rsidR="008760D9" w:rsidRDefault="008760D9">
      <w:pPr>
        <w:tabs>
          <w:tab w:val="left" w:pos="397"/>
        </w:tabs>
        <w:spacing w:before="0"/>
        <w:rPr>
          <w:lang w:val="es-ES_tradnl"/>
        </w:rPr>
      </w:pPr>
    </w:p>
    <w:p w14:paraId="6F4BCDB5" w14:textId="77777777" w:rsidR="008760D9" w:rsidRDefault="008760D9">
      <w:pPr>
        <w:pStyle w:val="Note"/>
        <w:tabs>
          <w:tab w:val="left" w:pos="397"/>
        </w:tabs>
        <w:rPr>
          <w:lang w:val="es-ES_tradnl"/>
        </w:rPr>
      </w:pPr>
      <w:r>
        <w:rPr>
          <w:i/>
          <w:lang w:val="es-ES_tradnl"/>
        </w:rPr>
        <w:tab/>
        <w:t xml:space="preserve">Nota. </w:t>
      </w:r>
      <w:r>
        <w:rPr>
          <w:lang w:val="es-ES_tradnl"/>
        </w:rPr>
        <w:t xml:space="preserve">– </w:t>
      </w:r>
      <w:r>
        <w:rPr>
          <w:i/>
          <w:lang w:val="es-ES_tradnl"/>
        </w:rPr>
        <w:t>Esta intensidad de campo mínima es necesaria para lograr una utilización operacional satisfactoria de las facilidades del localizador ILS.</w:t>
      </w:r>
    </w:p>
    <w:p w14:paraId="4A1F86F9" w14:textId="77777777" w:rsidR="008760D9" w:rsidRDefault="008760D9">
      <w:pPr>
        <w:spacing w:before="0"/>
        <w:rPr>
          <w:sz w:val="12"/>
          <w:lang w:val="es-ES_tradnl"/>
        </w:rPr>
      </w:pPr>
      <w:r w:rsidRPr="00AC3FDE">
        <w:rPr>
          <w:lang w:val="es-ES"/>
        </w:rPr>
        <w:br w:type="column"/>
      </w:r>
    </w:p>
    <w:p w14:paraId="3689DFCA" w14:textId="77777777" w:rsidR="008760D9" w:rsidRDefault="008760D9">
      <w:pPr>
        <w:tabs>
          <w:tab w:val="left" w:pos="397"/>
        </w:tabs>
        <w:spacing w:before="0"/>
        <w:rPr>
          <w:lang w:val="es-ES_tradnl"/>
        </w:rPr>
      </w:pPr>
      <w:r>
        <w:rPr>
          <w:lang w:val="es-ES_tradnl"/>
        </w:rPr>
        <w:tab/>
        <w:t xml:space="preserve">3.1.3.3.2.1   Para los localizadores de instalaciones de categoría I el campo mínimo en la senda de descenso del ILS y en el interior del sector de alineación de pista, a partir de 18,5 km (10 NM) y hasta 60 m (200 pies) de altura respecto a la horizontal en el plano que contiene el umbral, no será inferior a 90 </w:t>
      </w:r>
      <w:r>
        <w:rPr>
          <w:rFonts w:ascii="Symbol" w:hAnsi="Symbol"/>
          <w:lang w:val="es-ES_tradnl"/>
        </w:rPr>
        <w:t></w:t>
      </w:r>
      <w:r>
        <w:rPr>
          <w:lang w:val="es-ES_tradnl"/>
        </w:rPr>
        <w:t>V/m (–107 </w:t>
      </w:r>
      <w:proofErr w:type="spellStart"/>
      <w:r>
        <w:rPr>
          <w:lang w:val="es-ES_tradnl"/>
        </w:rPr>
        <w:t>dBW</w:t>
      </w:r>
      <w:proofErr w:type="spellEnd"/>
      <w:r>
        <w:rPr>
          <w:lang w:val="es-ES_tradnl"/>
        </w:rPr>
        <w:t>/m</w:t>
      </w:r>
      <w:r>
        <w:rPr>
          <w:position w:val="6"/>
          <w:sz w:val="16"/>
          <w:lang w:val="es-ES_tradnl"/>
        </w:rPr>
        <w:t>2</w:t>
      </w:r>
      <w:r>
        <w:rPr>
          <w:lang w:val="es-ES_tradnl"/>
        </w:rPr>
        <w:t>).</w:t>
      </w:r>
    </w:p>
    <w:p w14:paraId="625B2059" w14:textId="77777777" w:rsidR="008760D9" w:rsidRDefault="008760D9">
      <w:pPr>
        <w:tabs>
          <w:tab w:val="left" w:pos="397"/>
        </w:tabs>
        <w:rPr>
          <w:lang w:val="es-ES_tradnl"/>
        </w:rPr>
      </w:pPr>
      <w:r>
        <w:rPr>
          <w:lang w:val="es-ES_tradnl"/>
        </w:rPr>
        <w:tab/>
        <w:t xml:space="preserve">3.1.3.3.2.2   Para los localizadores de instalaciones de categoría II, la intensidad de campo mínima en la senda de descenso del ILS y en el interior del sector de alineación de pista, será al menos igual a 100 </w:t>
      </w:r>
      <w:r>
        <w:rPr>
          <w:rFonts w:ascii="Symbol" w:hAnsi="Symbol"/>
          <w:lang w:val="es-ES_tradnl"/>
        </w:rPr>
        <w:t></w:t>
      </w:r>
      <w:r>
        <w:rPr>
          <w:lang w:val="es-ES_tradnl"/>
        </w:rPr>
        <w:t>V/m (</w:t>
      </w:r>
      <w:r>
        <w:rPr>
          <w:rFonts w:ascii="Symbol" w:hAnsi="Symbol"/>
          <w:lang w:val="es-ES_tradnl"/>
        </w:rPr>
        <w:noBreakHyphen/>
      </w:r>
      <w:r>
        <w:rPr>
          <w:lang w:val="es-ES_tradnl"/>
        </w:rPr>
        <w:t xml:space="preserve">106 </w:t>
      </w:r>
      <w:proofErr w:type="spellStart"/>
      <w:r>
        <w:rPr>
          <w:lang w:val="es-ES_tradnl"/>
        </w:rPr>
        <w:t>dBW</w:t>
      </w:r>
      <w:proofErr w:type="spellEnd"/>
      <w:r>
        <w:rPr>
          <w:lang w:val="es-ES_tradnl"/>
        </w:rPr>
        <w:t>/m</w:t>
      </w:r>
      <w:r>
        <w:rPr>
          <w:position w:val="6"/>
          <w:sz w:val="16"/>
          <w:lang w:val="es-ES_tradnl"/>
        </w:rPr>
        <w:t>2</w:t>
      </w:r>
      <w:r>
        <w:rPr>
          <w:lang w:val="es-ES_tradnl"/>
        </w:rPr>
        <w:t>) a una distancia de 18,5 km (10 NM) y aumentará para alcanzar un valor al menos de 200 </w:t>
      </w:r>
      <w:r>
        <w:rPr>
          <w:rFonts w:ascii="Symbol" w:hAnsi="Symbol"/>
          <w:lang w:val="es-ES_tradnl"/>
        </w:rPr>
        <w:t></w:t>
      </w:r>
      <w:r>
        <w:rPr>
          <w:lang w:val="es-ES_tradnl"/>
        </w:rPr>
        <w:t xml:space="preserve">V/m (–100 </w:t>
      </w:r>
      <w:proofErr w:type="spellStart"/>
      <w:r>
        <w:rPr>
          <w:lang w:val="es-ES_tradnl"/>
        </w:rPr>
        <w:t>dBW</w:t>
      </w:r>
      <w:proofErr w:type="spellEnd"/>
      <w:r>
        <w:rPr>
          <w:lang w:val="es-ES_tradnl"/>
        </w:rPr>
        <w:t>/m</w:t>
      </w:r>
      <w:r>
        <w:rPr>
          <w:position w:val="6"/>
          <w:sz w:val="16"/>
          <w:lang w:val="es-ES_tradnl"/>
        </w:rPr>
        <w:t>2</w:t>
      </w:r>
      <w:r>
        <w:rPr>
          <w:lang w:val="es-ES_tradnl"/>
        </w:rPr>
        <w:t>) a una altura de 15 m (50 pies) por encima del plano horizontal que contiene el umbral.</w:t>
      </w:r>
    </w:p>
    <w:p w14:paraId="5CF4D99C" w14:textId="77777777" w:rsidR="008760D9" w:rsidRDefault="008760D9">
      <w:pPr>
        <w:tabs>
          <w:tab w:val="left" w:pos="397"/>
        </w:tabs>
        <w:rPr>
          <w:lang w:val="es-ES_tradnl"/>
        </w:rPr>
      </w:pPr>
      <w:r>
        <w:rPr>
          <w:lang w:val="es-ES_tradnl"/>
        </w:rPr>
        <w:tab/>
        <w:t>3.1.3.3.2.3   En el caso de localizadores de instalaciones de categoría III, la intensidad de campo mínima en la senda de descenso del ILS y en el interior del sector de alineación de la pista será al menos de 100 </w:t>
      </w:r>
      <w:r>
        <w:rPr>
          <w:rFonts w:ascii="Symbol" w:hAnsi="Symbol"/>
          <w:lang w:val="es-ES_tradnl"/>
        </w:rPr>
        <w:t></w:t>
      </w:r>
      <w:r>
        <w:rPr>
          <w:lang w:val="es-ES_tradnl"/>
        </w:rPr>
        <w:t xml:space="preserve">V/m (–106 </w:t>
      </w:r>
      <w:proofErr w:type="spellStart"/>
      <w:r>
        <w:rPr>
          <w:lang w:val="es-ES_tradnl"/>
        </w:rPr>
        <w:t>dBW</w:t>
      </w:r>
      <w:proofErr w:type="spellEnd"/>
      <w:r>
        <w:rPr>
          <w:lang w:val="es-ES_tradnl"/>
        </w:rPr>
        <w:t>/m</w:t>
      </w:r>
      <w:r>
        <w:rPr>
          <w:position w:val="6"/>
          <w:sz w:val="16"/>
          <w:lang w:val="es-ES_tradnl"/>
        </w:rPr>
        <w:t>2</w:t>
      </w:r>
      <w:r>
        <w:rPr>
          <w:lang w:val="es-ES_tradnl"/>
        </w:rPr>
        <w:t xml:space="preserve">) a una distancia de 18,5 km (10 NM) y aumentará hasta llegar a un valor al menos de 200 </w:t>
      </w:r>
      <w:r>
        <w:rPr>
          <w:rFonts w:ascii="Symbol" w:hAnsi="Symbol"/>
          <w:lang w:val="es-ES_tradnl"/>
        </w:rPr>
        <w:t></w:t>
      </w:r>
      <w:r>
        <w:rPr>
          <w:lang w:val="es-ES_tradnl"/>
        </w:rPr>
        <w:t xml:space="preserve">V/m (–100 </w:t>
      </w:r>
      <w:proofErr w:type="spellStart"/>
      <w:r>
        <w:rPr>
          <w:lang w:val="es-ES_tradnl"/>
        </w:rPr>
        <w:t>dBW</w:t>
      </w:r>
      <w:proofErr w:type="spellEnd"/>
      <w:r>
        <w:rPr>
          <w:lang w:val="es-ES_tradnl"/>
        </w:rPr>
        <w:t>/m</w:t>
      </w:r>
      <w:r>
        <w:rPr>
          <w:position w:val="6"/>
          <w:sz w:val="16"/>
          <w:lang w:val="es-ES_tradnl"/>
        </w:rPr>
        <w:t>2</w:t>
      </w:r>
      <w:r>
        <w:rPr>
          <w:lang w:val="es-ES_tradnl"/>
        </w:rPr>
        <w:t>) a 6 m (20 pies) por encima del plano horizontal que contiene el umbral. A partir de este punto y hasta llegar a otro situado a 4 m (12 pies) por encima del eje de la pista y a 300 m (1</w:t>
      </w:r>
      <w:r>
        <w:rPr>
          <w:rFonts w:ascii="Tms Rmn" w:hAnsi="Tms Rmn"/>
          <w:sz w:val="12"/>
          <w:lang w:val="es-ES_tradnl"/>
        </w:rPr>
        <w:t> </w:t>
      </w:r>
      <w:r>
        <w:rPr>
          <w:lang w:val="es-ES_tradnl"/>
        </w:rPr>
        <w:t xml:space="preserve">000 pies) del umbral en la dirección del localizador y a partir de ahí, a una altura de 4 m (12 pies) en todo lo largo de la pista en la dirección del localizador, la intensidad de campo será al menos de 100 </w:t>
      </w:r>
      <w:r>
        <w:rPr>
          <w:rFonts w:ascii="Symbol" w:hAnsi="Symbol"/>
          <w:lang w:val="es-ES_tradnl"/>
        </w:rPr>
        <w:t></w:t>
      </w:r>
      <w:r>
        <w:rPr>
          <w:lang w:val="es-ES_tradnl"/>
        </w:rPr>
        <w:t>V/m (</w:t>
      </w:r>
      <w:r>
        <w:rPr>
          <w:rFonts w:ascii="Symbol" w:hAnsi="Symbol"/>
          <w:lang w:val="es-ES_tradnl"/>
        </w:rPr>
        <w:noBreakHyphen/>
      </w:r>
      <w:r>
        <w:rPr>
          <w:lang w:val="es-ES_tradnl"/>
        </w:rPr>
        <w:t>106 </w:t>
      </w:r>
      <w:proofErr w:type="spellStart"/>
      <w:r>
        <w:rPr>
          <w:lang w:val="es-ES_tradnl"/>
        </w:rPr>
        <w:t>dBW</w:t>
      </w:r>
      <w:proofErr w:type="spellEnd"/>
      <w:r>
        <w:rPr>
          <w:lang w:val="es-ES_tradnl"/>
        </w:rPr>
        <w:t>/m</w:t>
      </w:r>
      <w:r>
        <w:rPr>
          <w:position w:val="6"/>
          <w:sz w:val="16"/>
          <w:lang w:val="es-ES_tradnl"/>
        </w:rPr>
        <w:t>2</w:t>
      </w:r>
      <w:r>
        <w:rPr>
          <w:lang w:val="es-ES_tradnl"/>
        </w:rPr>
        <w:t>).</w:t>
      </w:r>
    </w:p>
    <w:p w14:paraId="384D295D" w14:textId="77777777" w:rsidR="008760D9" w:rsidRDefault="008760D9">
      <w:pPr>
        <w:pStyle w:val="Note"/>
        <w:tabs>
          <w:tab w:val="left" w:pos="397"/>
        </w:tabs>
        <w:rPr>
          <w:lang w:val="es-ES_tradnl"/>
        </w:rPr>
      </w:pPr>
      <w:r>
        <w:rPr>
          <w:i/>
          <w:lang w:val="es-ES_tradnl"/>
        </w:rPr>
        <w:tab/>
        <w:t xml:space="preserve">Nota. </w:t>
      </w:r>
      <w:r>
        <w:rPr>
          <w:lang w:val="es-ES_tradnl"/>
        </w:rPr>
        <w:t xml:space="preserve">– </w:t>
      </w:r>
      <w:r>
        <w:rPr>
          <w:i/>
          <w:lang w:val="es-ES_tradnl"/>
        </w:rPr>
        <w:t>Las intensidades de campo indicadas en los puntos 3.1.3.3.2.2 y 3.1.3.3.2.3 son necesarias para obtener la relación señal/ruido que requiere la mejora de la integridad.</w:t>
      </w:r>
    </w:p>
    <w:p w14:paraId="033899A6" w14:textId="77777777" w:rsidR="008760D9" w:rsidRDefault="008760D9">
      <w:pPr>
        <w:tabs>
          <w:tab w:val="left" w:pos="397"/>
        </w:tabs>
        <w:rPr>
          <w:lang w:val="es-ES_tradnl"/>
        </w:rPr>
      </w:pPr>
      <w:r>
        <w:rPr>
          <w:b/>
          <w:lang w:val="es-ES_tradnl"/>
        </w:rPr>
        <w:tab/>
      </w:r>
      <w:r>
        <w:rPr>
          <w:lang w:val="es-ES_tradnl"/>
        </w:rPr>
        <w:t>3.1.3.3.3</w:t>
      </w:r>
      <w:r>
        <w:rPr>
          <w:b/>
          <w:lang w:val="es-ES_tradnl"/>
        </w:rPr>
        <w:t>   Recomendación</w:t>
      </w:r>
      <w:r w:rsidRPr="00AC3FDE">
        <w:rPr>
          <w:b/>
          <w:lang w:val="es-ES"/>
        </w:rPr>
        <w:t xml:space="preserve">. </w:t>
      </w:r>
      <w:r>
        <w:rPr>
          <w:lang w:val="es-ES_tradnl"/>
        </w:rPr>
        <w:t xml:space="preserve">– </w:t>
      </w:r>
      <w:r>
        <w:rPr>
          <w:i/>
          <w:lang w:val="es-ES_tradnl"/>
        </w:rPr>
        <w:t>Se recomienda que por encima de 7</w:t>
      </w:r>
      <w:r>
        <w:rPr>
          <w:rFonts w:ascii="Symbol" w:hAnsi="Symbol"/>
          <w:i/>
          <w:lang w:val="es-ES_tradnl"/>
        </w:rPr>
        <w:t></w:t>
      </w:r>
      <w:r>
        <w:rPr>
          <w:i/>
          <w:lang w:val="es-ES_tradnl"/>
        </w:rPr>
        <w:t>, se reduzca la señal al valor mínimo posible.</w:t>
      </w:r>
    </w:p>
    <w:p w14:paraId="2D6B2602" w14:textId="77777777" w:rsidR="008760D9" w:rsidRPr="00AC3FDE" w:rsidRDefault="008760D9">
      <w:pPr>
        <w:pStyle w:val="Note"/>
        <w:tabs>
          <w:tab w:val="left" w:pos="397"/>
        </w:tabs>
        <w:spacing w:before="0"/>
        <w:rPr>
          <w:lang w:val="es-ES"/>
        </w:rPr>
        <w:sectPr w:rsidR="008760D9" w:rsidRPr="00AC3FDE">
          <w:footnotePr>
            <w:pos w:val="beneathText"/>
          </w:footnotePr>
          <w:type w:val="continuous"/>
          <w:pgSz w:w="11907" w:h="16834"/>
          <w:pgMar w:top="1089" w:right="1089" w:bottom="1089" w:left="1089" w:header="482" w:footer="482" w:gutter="0"/>
          <w:paperSrc w:first="15" w:other="15"/>
          <w:cols w:num="2" w:space="720"/>
          <w:vAlign w:val="both"/>
        </w:sectPr>
      </w:pPr>
    </w:p>
    <w:p w14:paraId="029DF71F" w14:textId="77777777" w:rsidR="008760D9" w:rsidRDefault="008760D9">
      <w:pPr>
        <w:pStyle w:val="Note"/>
        <w:tabs>
          <w:tab w:val="left" w:pos="397"/>
        </w:tabs>
        <w:spacing w:before="0"/>
        <w:rPr>
          <w:i/>
          <w:lang w:val="es-ES_tradnl"/>
        </w:rPr>
      </w:pPr>
      <w:r>
        <w:rPr>
          <w:i/>
          <w:lang w:val="es-ES_tradnl"/>
        </w:rPr>
        <w:lastRenderedPageBreak/>
        <w:tab/>
        <w:t xml:space="preserve">Nota 1. </w:t>
      </w:r>
      <w:r>
        <w:rPr>
          <w:lang w:val="es-ES_tradnl"/>
        </w:rPr>
        <w:t>–  </w:t>
      </w:r>
      <w:r>
        <w:rPr>
          <w:i/>
          <w:lang w:val="es-ES_tradnl"/>
        </w:rPr>
        <w:t>Las disposiciones de los puntos 3.1.3.3.1 y 3.1.3.3.2.1, 3.1.3.3.2.2 y 3.1.3.3.2.3 se basan en la hipótesis de que la aeronave se dirige hacia el radiofaro.</w:t>
      </w:r>
    </w:p>
    <w:p w14:paraId="011E02F5" w14:textId="77777777" w:rsidR="008760D9" w:rsidRDefault="008760D9">
      <w:pPr>
        <w:pStyle w:val="Note"/>
        <w:tabs>
          <w:tab w:val="left" w:pos="397"/>
        </w:tabs>
        <w:rPr>
          <w:lang w:val="es-ES_tradnl"/>
        </w:rPr>
      </w:pPr>
      <w:r>
        <w:rPr>
          <w:i/>
          <w:lang w:val="es-ES_tradnl"/>
        </w:rPr>
        <w:tab/>
        <w:t>Nota 2. – Los puntos 2.2.2 y 2.2.4 del suplemento C a la Parte I ofrecen elementos indicativos sobre los parámetros de los receptores de abordo que son importantes desde el punto de vista de la cobertura del localizador ILS.</w:t>
      </w:r>
    </w:p>
    <w:p w14:paraId="7764284D" w14:textId="77777777" w:rsidR="008760D9" w:rsidRDefault="008760D9">
      <w:pPr>
        <w:tabs>
          <w:tab w:val="clear" w:pos="794"/>
          <w:tab w:val="clear" w:pos="1191"/>
          <w:tab w:val="clear" w:pos="1588"/>
          <w:tab w:val="clear" w:pos="1985"/>
          <w:tab w:val="left" w:pos="397"/>
        </w:tabs>
        <w:rPr>
          <w:lang w:val="es-ES_tradnl"/>
        </w:rPr>
      </w:pPr>
      <w:r w:rsidRPr="00AC3FDE">
        <w:rPr>
          <w:lang w:val="es-ES"/>
        </w:rPr>
        <w:br w:type="column"/>
      </w:r>
      <w:r>
        <w:rPr>
          <w:lang w:val="es-ES_tradnl"/>
        </w:rPr>
        <w:tab/>
        <w:t>3.1.3.3.4   Cuando la cobertura se logra utilizando un localizador ILS con dos frecuencias portadoras, de las que una produce un diagrama de radiación en el sector frontal y la otra fuera de este sector, la relación de los niveles de las señales de las dos portadoras en el espacio dentro del sector de alineación frontal hasta los límites de cobertura especificados en el § 3.1.3.3.1, será al menos de 10 dB.»</w:t>
      </w:r>
    </w:p>
    <w:p w14:paraId="586B04C1" w14:textId="77777777" w:rsidR="008760D9" w:rsidRPr="00AC3FDE" w:rsidRDefault="008760D9">
      <w:pPr>
        <w:rPr>
          <w:lang w:val="es-ES"/>
        </w:rPr>
        <w:sectPr w:rsidR="008760D9" w:rsidRPr="00AC3FDE">
          <w:footnotePr>
            <w:pos w:val="beneathText"/>
          </w:footnotePr>
          <w:pgSz w:w="11907" w:h="16834"/>
          <w:pgMar w:top="1089" w:right="1089" w:bottom="1089" w:left="1089" w:header="482" w:footer="482" w:gutter="0"/>
          <w:paperSrc w:first="15" w:other="15"/>
          <w:cols w:num="2" w:space="720"/>
        </w:sectPr>
      </w:pPr>
    </w:p>
    <w:p w14:paraId="1CA257C7" w14:textId="77777777" w:rsidR="008760D9" w:rsidRDefault="008760D9">
      <w:pPr>
        <w:rPr>
          <w:sz w:val="12"/>
          <w:lang w:val="es-ES_tradnl"/>
        </w:rPr>
      </w:pPr>
    </w:p>
    <w:p w14:paraId="1B0E23D8" w14:textId="77777777" w:rsidR="008760D9" w:rsidRDefault="008760D9">
      <w:pPr>
        <w:rPr>
          <w:lang w:val="es-ES_tradnl"/>
        </w:rPr>
      </w:pPr>
      <w:r>
        <w:rPr>
          <w:lang w:val="es-ES_tradnl"/>
        </w:rPr>
        <w:t>El extracto siguiente se refiere al VOR:</w:t>
      </w:r>
    </w:p>
    <w:p w14:paraId="0881D1F1" w14:textId="77777777" w:rsidR="008760D9" w:rsidRPr="00AC3FDE" w:rsidRDefault="008760D9">
      <w:pPr>
        <w:jc w:val="center"/>
        <w:rPr>
          <w:lang w:val="es-ES"/>
        </w:rPr>
        <w:sectPr w:rsidR="008760D9" w:rsidRPr="00AC3FDE">
          <w:footnotePr>
            <w:pos w:val="beneathText"/>
          </w:footnotePr>
          <w:type w:val="continuous"/>
          <w:pgSz w:w="11907" w:h="16834"/>
          <w:pgMar w:top="1089" w:right="1089" w:bottom="1089" w:left="1089" w:header="482" w:footer="482" w:gutter="0"/>
          <w:paperSrc w:first="15" w:other="15"/>
          <w:cols w:space="720"/>
        </w:sectPr>
      </w:pPr>
    </w:p>
    <w:p w14:paraId="775FAE10" w14:textId="77777777" w:rsidR="008760D9" w:rsidRPr="00AC3FDE" w:rsidRDefault="008760D9">
      <w:pPr>
        <w:pStyle w:val="Heading3"/>
        <w:jc w:val="center"/>
        <w:rPr>
          <w:b w:val="0"/>
          <w:lang w:val="es-ES"/>
        </w:rPr>
      </w:pPr>
      <w:r w:rsidRPr="00AC3FDE">
        <w:rPr>
          <w:b w:val="0"/>
          <w:lang w:val="es-ES"/>
        </w:rPr>
        <w:t>«3.3.3. – Polarización y precisión del diagrama</w:t>
      </w:r>
    </w:p>
    <w:p w14:paraId="2CA59FC3" w14:textId="77777777" w:rsidR="008760D9" w:rsidRDefault="008760D9">
      <w:pPr>
        <w:tabs>
          <w:tab w:val="clear" w:pos="794"/>
          <w:tab w:val="clear" w:pos="1191"/>
          <w:tab w:val="clear" w:pos="1588"/>
          <w:tab w:val="clear" w:pos="1985"/>
          <w:tab w:val="left" w:pos="397"/>
        </w:tabs>
        <w:rPr>
          <w:lang w:val="es-ES_tradnl"/>
        </w:rPr>
      </w:pPr>
      <w:r>
        <w:rPr>
          <w:lang w:val="es-ES_tradnl"/>
        </w:rPr>
        <w:tab/>
        <w:t>3.3.3.1   La emisión del VOR estará polarizada horizontalmente. La componente de polarización vertical de la radiación será lo más pequeña posible.</w:t>
      </w:r>
    </w:p>
    <w:p w14:paraId="68EED0BB" w14:textId="77777777" w:rsidR="008760D9" w:rsidRDefault="008760D9">
      <w:pPr>
        <w:pStyle w:val="Note"/>
        <w:tabs>
          <w:tab w:val="left" w:pos="397"/>
        </w:tabs>
        <w:rPr>
          <w:lang w:val="es-ES_tradnl"/>
        </w:rPr>
      </w:pPr>
      <w:r>
        <w:rPr>
          <w:i/>
          <w:lang w:val="es-ES_tradnl"/>
        </w:rPr>
        <w:tab/>
        <w:t xml:space="preserve">Nota. – En la actualidad, no es posible determinar cuantitativamente el máximo admisible de la componente vertical de la radiación del VOR (en el </w:t>
      </w:r>
      <w:r>
        <w:rPr>
          <w:lang w:val="es-ES_tradnl"/>
        </w:rPr>
        <w:t xml:space="preserve">Manual de pruebas de las ayudas a la radionavegación </w:t>
      </w:r>
      <w:r>
        <w:rPr>
          <w:i/>
          <w:lang w:val="es-ES_tradnl"/>
        </w:rPr>
        <w:t>(Doc. 8071) figuran otras informaciones respecto a las pruebas en vuelo que pueden efectuarse para determinar los efectos de la polarización vertical en la precisión de la marcación).</w:t>
      </w:r>
    </w:p>
    <w:p w14:paraId="2CCA8E6B" w14:textId="77777777" w:rsidR="008760D9" w:rsidRDefault="008760D9">
      <w:pPr>
        <w:tabs>
          <w:tab w:val="clear" w:pos="794"/>
          <w:tab w:val="clear" w:pos="1191"/>
          <w:tab w:val="clear" w:pos="1588"/>
          <w:tab w:val="clear" w:pos="1985"/>
          <w:tab w:val="left" w:pos="397"/>
        </w:tabs>
        <w:spacing w:before="0"/>
        <w:rPr>
          <w:lang w:val="es-ES_tradnl"/>
        </w:rPr>
      </w:pPr>
    </w:p>
    <w:p w14:paraId="71C67BB4" w14:textId="77777777" w:rsidR="008760D9" w:rsidRDefault="008760D9">
      <w:pPr>
        <w:tabs>
          <w:tab w:val="clear" w:pos="794"/>
          <w:tab w:val="clear" w:pos="1191"/>
          <w:tab w:val="clear" w:pos="1588"/>
          <w:tab w:val="clear" w:pos="1985"/>
          <w:tab w:val="left" w:pos="397"/>
        </w:tabs>
        <w:rPr>
          <w:sz w:val="12"/>
          <w:lang w:val="es-ES_tradnl"/>
        </w:rPr>
      </w:pPr>
      <w:r>
        <w:rPr>
          <w:lang w:val="es-ES_tradnl"/>
        </w:rPr>
        <w:tab/>
        <w:t>3.3.3.2  </w:t>
      </w:r>
      <w:r>
        <w:rPr>
          <w:b/>
          <w:lang w:val="es-ES_tradnl"/>
        </w:rPr>
        <w:t> </w:t>
      </w:r>
      <w:r>
        <w:rPr>
          <w:lang w:val="es-ES_tradnl"/>
        </w:rPr>
        <w:t xml:space="preserve">La precisión de la información de marcación que transmite la radiación polarizada horizontalmente del VOR a una distancia de unas </w:t>
      </w:r>
    </w:p>
    <w:p w14:paraId="6684AA9D" w14:textId="77777777" w:rsidR="008760D9" w:rsidRDefault="008760D9">
      <w:pPr>
        <w:spacing w:before="0"/>
        <w:rPr>
          <w:lang w:val="es-ES_tradnl"/>
        </w:rPr>
      </w:pPr>
      <w:r>
        <w:rPr>
          <w:lang w:val="es-ES_tradnl"/>
        </w:rPr>
        <w:t>4 longitudes de onda para todos los ángulos de elevación entre 0 y 40</w:t>
      </w:r>
      <w:r>
        <w:rPr>
          <w:rFonts w:ascii="Symbol" w:hAnsi="Symbol"/>
          <w:lang w:val="es-ES_tradnl"/>
        </w:rPr>
        <w:t></w:t>
      </w:r>
      <w:r>
        <w:rPr>
          <w:lang w:val="es-ES_tradnl"/>
        </w:rPr>
        <w:t xml:space="preserve">, medida desde el centro del sistema de antena del VOR, será igual a </w:t>
      </w:r>
      <w:r>
        <w:rPr>
          <w:rFonts w:ascii="Symbol" w:hAnsi="Symbol"/>
          <w:lang w:val="es-ES_tradnl"/>
        </w:rPr>
        <w:t></w:t>
      </w:r>
      <w:r w:rsidRPr="00AC3FDE">
        <w:rPr>
          <w:lang w:val="es-ES"/>
        </w:rPr>
        <w:t> </w:t>
      </w:r>
      <w:r>
        <w:rPr>
          <w:lang w:val="es-ES_tradnl"/>
        </w:rPr>
        <w:t>2</w:t>
      </w:r>
      <w:r>
        <w:rPr>
          <w:rFonts w:ascii="Symbol" w:hAnsi="Symbol"/>
          <w:lang w:val="es-ES_tradnl"/>
        </w:rPr>
        <w:t></w:t>
      </w:r>
      <w:r>
        <w:rPr>
          <w:lang w:val="es-ES_tradnl"/>
        </w:rPr>
        <w:t>.</w:t>
      </w:r>
    </w:p>
    <w:p w14:paraId="0A923D8D" w14:textId="77777777" w:rsidR="008760D9" w:rsidRPr="00AC3FDE" w:rsidRDefault="008760D9">
      <w:pPr>
        <w:pStyle w:val="Heading3"/>
        <w:jc w:val="center"/>
        <w:rPr>
          <w:b w:val="0"/>
          <w:lang w:val="es-ES"/>
        </w:rPr>
      </w:pPr>
      <w:r w:rsidRPr="00AC3FDE">
        <w:rPr>
          <w:b w:val="0"/>
          <w:lang w:val="es-ES"/>
        </w:rPr>
        <w:t>3.3.4. – Cobertura</w:t>
      </w:r>
    </w:p>
    <w:p w14:paraId="27500F02" w14:textId="77777777" w:rsidR="008760D9" w:rsidRDefault="008760D9">
      <w:pPr>
        <w:tabs>
          <w:tab w:val="clear" w:pos="794"/>
          <w:tab w:val="clear" w:pos="1191"/>
          <w:tab w:val="clear" w:pos="1588"/>
          <w:tab w:val="clear" w:pos="1985"/>
          <w:tab w:val="left" w:pos="397"/>
        </w:tabs>
        <w:rPr>
          <w:lang w:val="es-ES_tradnl"/>
        </w:rPr>
      </w:pPr>
      <w:r>
        <w:rPr>
          <w:lang w:val="es-ES_tradnl"/>
        </w:rPr>
        <w:tab/>
        <w:t>3.3.4.1   El VOR dará las señales que permitan a una instalación de aeronave típica funcionar satisfacto</w:t>
      </w:r>
      <w:r>
        <w:rPr>
          <w:lang w:val="es-ES_tradnl"/>
        </w:rPr>
        <w:softHyphen/>
        <w:t>riamente a los niveles y las distancias requeridas por razones operacionales y hasta un ángulo de elevación de 40</w:t>
      </w:r>
      <w:r>
        <w:rPr>
          <w:rFonts w:ascii="Symbol" w:hAnsi="Symbol"/>
          <w:lang w:val="es-ES_tradnl"/>
        </w:rPr>
        <w:t></w:t>
      </w:r>
      <w:r>
        <w:rPr>
          <w:lang w:val="es-ES_tradnl"/>
        </w:rPr>
        <w:t>.</w:t>
      </w:r>
    </w:p>
    <w:p w14:paraId="455C8FD3" w14:textId="77777777" w:rsidR="008760D9" w:rsidRDefault="008760D9">
      <w:pPr>
        <w:tabs>
          <w:tab w:val="clear" w:pos="794"/>
          <w:tab w:val="clear" w:pos="1191"/>
          <w:tab w:val="clear" w:pos="1588"/>
          <w:tab w:val="clear" w:pos="1985"/>
          <w:tab w:val="left" w:pos="397"/>
        </w:tabs>
        <w:rPr>
          <w:lang w:val="es-ES_tradnl"/>
        </w:rPr>
      </w:pPr>
      <w:r>
        <w:rPr>
          <w:lang w:val="es-ES_tradnl"/>
        </w:rPr>
        <w:tab/>
        <w:t>3.3.4.2   </w:t>
      </w:r>
      <w:r>
        <w:rPr>
          <w:b/>
          <w:lang w:val="es-ES_tradnl"/>
        </w:rPr>
        <w:t>Recomendación</w:t>
      </w:r>
      <w:r w:rsidRPr="00DF52C7">
        <w:rPr>
          <w:b/>
          <w:lang w:val="es-ES_tradnl"/>
        </w:rPr>
        <w:t xml:space="preserve">. </w:t>
      </w:r>
      <w:r>
        <w:rPr>
          <w:lang w:val="es-ES_tradnl"/>
        </w:rPr>
        <w:t xml:space="preserve">– </w:t>
      </w:r>
      <w:r>
        <w:rPr>
          <w:i/>
          <w:lang w:val="es-ES_tradnl"/>
        </w:rPr>
        <w:t xml:space="preserve">La intensidad de campo o densidad de potencia en el espacio de las señales del VOR necesaria para un funcionamiento satisfactorio de una instalación típica de aeronave con el nivel de servicio mínimo y a la distancia del radio de servicio máximo especificado, será de 90 </w:t>
      </w:r>
      <w:r>
        <w:rPr>
          <w:rFonts w:ascii="Symbol" w:hAnsi="Symbol"/>
          <w:i/>
          <w:lang w:val="es-ES_tradnl"/>
        </w:rPr>
        <w:t></w:t>
      </w:r>
      <w:r>
        <w:rPr>
          <w:i/>
          <w:lang w:val="es-ES_tradnl"/>
        </w:rPr>
        <w:t xml:space="preserve">V/m, </w:t>
      </w:r>
      <w:proofErr w:type="spellStart"/>
      <w:r>
        <w:rPr>
          <w:i/>
          <w:lang w:val="es-ES_tradnl"/>
        </w:rPr>
        <w:t>ó</w:t>
      </w:r>
      <w:proofErr w:type="spellEnd"/>
      <w:r>
        <w:rPr>
          <w:i/>
          <w:lang w:val="es-ES_tradnl"/>
        </w:rPr>
        <w:t xml:space="preserve"> </w:t>
      </w:r>
      <w:r>
        <w:rPr>
          <w:rFonts w:ascii="Symbol" w:hAnsi="Symbol"/>
          <w:i/>
          <w:lang w:val="es-ES_tradnl"/>
        </w:rPr>
        <w:noBreakHyphen/>
      </w:r>
      <w:r>
        <w:rPr>
          <w:i/>
          <w:lang w:val="es-ES_tradnl"/>
        </w:rPr>
        <w:t>107 </w:t>
      </w:r>
      <w:proofErr w:type="spellStart"/>
      <w:r>
        <w:rPr>
          <w:i/>
          <w:lang w:val="es-ES_tradnl"/>
        </w:rPr>
        <w:t>dBW</w:t>
      </w:r>
      <w:proofErr w:type="spellEnd"/>
      <w:r>
        <w:rPr>
          <w:i/>
          <w:lang w:val="es-ES_tradnl"/>
        </w:rPr>
        <w:t>/m</w:t>
      </w:r>
      <w:r>
        <w:rPr>
          <w:i/>
          <w:position w:val="6"/>
          <w:sz w:val="16"/>
          <w:lang w:val="es-ES_tradnl"/>
        </w:rPr>
        <w:t>2</w:t>
      </w:r>
      <w:r>
        <w:rPr>
          <w:i/>
          <w:lang w:val="es-ES_tradnl"/>
        </w:rPr>
        <w:t>.</w:t>
      </w:r>
      <w:r>
        <w:rPr>
          <w:lang w:val="es-ES_tradnl"/>
        </w:rPr>
        <w:t>»</w:t>
      </w:r>
    </w:p>
    <w:p w14:paraId="0B06722A" w14:textId="77777777" w:rsidR="008760D9" w:rsidRPr="00DF52C7" w:rsidRDefault="008760D9">
      <w:pPr>
        <w:pStyle w:val="Annex"/>
        <w:rPr>
          <w:lang w:val="es-ES_tradnl"/>
        </w:rPr>
        <w:sectPr w:rsidR="008760D9" w:rsidRPr="00DF52C7">
          <w:footnotePr>
            <w:pos w:val="beneathText"/>
          </w:footnotePr>
          <w:type w:val="continuous"/>
          <w:pgSz w:w="11907" w:h="16834"/>
          <w:pgMar w:top="1088" w:right="1088" w:bottom="1088" w:left="1088" w:header="483" w:footer="483" w:gutter="0"/>
          <w:paperSrc w:first="1" w:other="1"/>
          <w:cols w:num="2" w:space="720"/>
          <w:vAlign w:val="both"/>
        </w:sectPr>
      </w:pPr>
    </w:p>
    <w:p w14:paraId="115666F0" w14:textId="77777777" w:rsidR="008760D9" w:rsidRPr="00DF52C7" w:rsidRDefault="008760D9">
      <w:pPr>
        <w:rPr>
          <w:lang w:val="es-ES_tradnl"/>
        </w:rPr>
      </w:pPr>
    </w:p>
    <w:p w14:paraId="3AB7C913" w14:textId="77777777" w:rsidR="008760D9" w:rsidRDefault="008760D9">
      <w:pPr>
        <w:pStyle w:val="Annex"/>
        <w:rPr>
          <w:lang w:val="es-ES_tradnl"/>
        </w:rPr>
      </w:pPr>
      <w:r>
        <w:rPr>
          <w:lang w:val="es-ES_tradnl"/>
        </w:rPr>
        <w:t>ANEXO  2</w:t>
      </w:r>
    </w:p>
    <w:p w14:paraId="37A9A71C" w14:textId="77777777" w:rsidR="008760D9" w:rsidRDefault="008760D9">
      <w:pPr>
        <w:pStyle w:val="AnnexTitle"/>
        <w:rPr>
          <w:lang w:val="es-ES_tradnl"/>
        </w:rPr>
      </w:pPr>
      <w:r>
        <w:rPr>
          <w:lang w:val="es-ES_tradnl"/>
        </w:rPr>
        <w:t>Método general de evaluación</w:t>
      </w:r>
    </w:p>
    <w:p w14:paraId="027CA269" w14:textId="77777777" w:rsidR="008760D9" w:rsidRDefault="008760D9">
      <w:pPr>
        <w:jc w:val="center"/>
        <w:rPr>
          <w:lang w:val="es-ES_tradnl"/>
        </w:rPr>
      </w:pPr>
      <w:r>
        <w:rPr>
          <w:lang w:val="es-ES_tradnl"/>
        </w:rPr>
        <w:t>ÍNDICE</w:t>
      </w:r>
    </w:p>
    <w:p w14:paraId="026F4355" w14:textId="77777777" w:rsidR="008760D9" w:rsidRDefault="008760D9">
      <w:pPr>
        <w:jc w:val="right"/>
        <w:rPr>
          <w:lang w:val="es-ES_tradnl"/>
        </w:rPr>
      </w:pPr>
      <w:r>
        <w:rPr>
          <w:i/>
          <w:lang w:val="es-ES_tradnl"/>
        </w:rPr>
        <w:t>Página</w:t>
      </w:r>
    </w:p>
    <w:p w14:paraId="0176B54E" w14:textId="77777777" w:rsidR="008760D9" w:rsidRDefault="008760D9">
      <w:pPr>
        <w:pStyle w:val="TOC1"/>
        <w:rPr>
          <w:lang w:val="es-ES_tradnl"/>
        </w:rPr>
      </w:pPr>
      <w:r w:rsidRPr="00AC3FDE">
        <w:rPr>
          <w:lang w:val="es-ES"/>
        </w:rPr>
        <w:t>1</w:t>
      </w:r>
      <w:r>
        <w:rPr>
          <w:lang w:val="es-ES_tradnl"/>
        </w:rPr>
        <w:tab/>
        <w:t>Introducción</w:t>
      </w:r>
      <w:r>
        <w:rPr>
          <w:lang w:val="es-ES_tradnl"/>
        </w:rPr>
        <w:tab/>
      </w:r>
      <w:r>
        <w:rPr>
          <w:lang w:val="es-ES_tradnl"/>
        </w:rPr>
        <w:tab/>
        <w:t>17</w:t>
      </w:r>
    </w:p>
    <w:p w14:paraId="421615E5" w14:textId="77777777" w:rsidR="008760D9" w:rsidRDefault="008760D9">
      <w:pPr>
        <w:pStyle w:val="TOC1"/>
        <w:rPr>
          <w:lang w:val="es-ES_tradnl"/>
        </w:rPr>
      </w:pPr>
      <w:r w:rsidRPr="00AC3FDE">
        <w:rPr>
          <w:lang w:val="es-ES"/>
        </w:rPr>
        <w:t>2</w:t>
      </w:r>
      <w:r>
        <w:rPr>
          <w:lang w:val="es-ES_tradnl"/>
        </w:rPr>
        <w:tab/>
        <w:t>Emplazamiento y altura de los puntos de prueba ILS y VOR</w:t>
      </w:r>
      <w:r>
        <w:rPr>
          <w:lang w:val="es-ES_tradnl"/>
        </w:rPr>
        <w:tab/>
      </w:r>
      <w:r>
        <w:rPr>
          <w:lang w:val="es-ES_tradnl"/>
        </w:rPr>
        <w:tab/>
        <w:t>18</w:t>
      </w:r>
    </w:p>
    <w:p w14:paraId="6452DCFA" w14:textId="77777777" w:rsidR="008760D9" w:rsidRDefault="008760D9">
      <w:pPr>
        <w:pStyle w:val="TOC1"/>
        <w:rPr>
          <w:lang w:val="es-ES_tradnl"/>
        </w:rPr>
      </w:pPr>
      <w:r w:rsidRPr="00AC3FDE">
        <w:rPr>
          <w:lang w:val="es-ES"/>
        </w:rPr>
        <w:t>3</w:t>
      </w:r>
      <w:r>
        <w:rPr>
          <w:lang w:val="es-ES_tradnl"/>
        </w:rPr>
        <w:tab/>
        <w:t>Aplicación del método de evaluación general</w:t>
      </w:r>
      <w:r>
        <w:rPr>
          <w:lang w:val="es-ES_tradnl"/>
        </w:rPr>
        <w:tab/>
      </w:r>
      <w:r>
        <w:rPr>
          <w:lang w:val="es-ES_tradnl"/>
        </w:rPr>
        <w:tab/>
        <w:t>21</w:t>
      </w:r>
    </w:p>
    <w:p w14:paraId="59F458D5" w14:textId="77777777" w:rsidR="008760D9" w:rsidRDefault="008760D9">
      <w:pPr>
        <w:pStyle w:val="TOC1"/>
        <w:rPr>
          <w:lang w:val="es-ES_tradnl"/>
        </w:rPr>
      </w:pPr>
      <w:r w:rsidRPr="00AC3FDE">
        <w:rPr>
          <w:lang w:val="es-ES"/>
        </w:rPr>
        <w:t>4</w:t>
      </w:r>
      <w:r>
        <w:rPr>
          <w:lang w:val="es-ES_tradnl"/>
        </w:rPr>
        <w:tab/>
        <w:t>Correcciones de la antena de la estación de radiodifusión</w:t>
      </w:r>
      <w:r>
        <w:rPr>
          <w:lang w:val="es-ES_tradnl"/>
        </w:rPr>
        <w:tab/>
      </w:r>
      <w:r>
        <w:rPr>
          <w:lang w:val="es-ES_tradnl"/>
        </w:rPr>
        <w:tab/>
        <w:t>25</w:t>
      </w:r>
    </w:p>
    <w:p w14:paraId="0E00C071" w14:textId="77777777" w:rsidR="008760D9" w:rsidRDefault="008760D9">
      <w:pPr>
        <w:pStyle w:val="TOC1"/>
        <w:tabs>
          <w:tab w:val="clear" w:pos="567"/>
          <w:tab w:val="left" w:pos="1304"/>
        </w:tabs>
        <w:ind w:left="1304" w:hanging="1304"/>
        <w:rPr>
          <w:lang w:val="es-ES_tradnl"/>
        </w:rPr>
      </w:pPr>
      <w:r>
        <w:rPr>
          <w:lang w:val="es-ES_tradnl"/>
        </w:rPr>
        <w:t>Apéndice 1  –</w:t>
      </w:r>
      <w:r>
        <w:rPr>
          <w:lang w:val="es-ES_tradnl"/>
        </w:rPr>
        <w:tab/>
        <w:t xml:space="preserve">Emplazamiento de puntos de prueba con potencial de interferencia máximo. </w:t>
      </w:r>
      <w:r>
        <w:rPr>
          <w:i/>
          <w:lang w:val="es-ES_tradnl"/>
        </w:rPr>
        <w:t>Explicación del método de evaluación general</w:t>
      </w:r>
      <w:r>
        <w:rPr>
          <w:lang w:val="es-ES_tradnl"/>
        </w:rPr>
        <w:tab/>
      </w:r>
      <w:r>
        <w:rPr>
          <w:lang w:val="es-ES_tradnl"/>
        </w:rPr>
        <w:tab/>
        <w:t>27</w:t>
      </w:r>
    </w:p>
    <w:p w14:paraId="4DE37974" w14:textId="77777777" w:rsidR="008760D9" w:rsidRDefault="008760D9">
      <w:pPr>
        <w:pStyle w:val="TOC1"/>
        <w:tabs>
          <w:tab w:val="clear" w:pos="567"/>
          <w:tab w:val="left" w:pos="1304"/>
        </w:tabs>
        <w:ind w:left="9072" w:hanging="9072"/>
        <w:rPr>
          <w:lang w:val="es-ES_tradnl"/>
        </w:rPr>
      </w:pPr>
      <w:r>
        <w:rPr>
          <w:lang w:val="es-ES_tradnl"/>
        </w:rPr>
        <w:t>Apéndice 2  –</w:t>
      </w:r>
      <w:r>
        <w:rPr>
          <w:lang w:val="es-ES_tradnl"/>
        </w:rPr>
        <w:tab/>
        <w:t>Consideraciones sobre la intensidad de campo máxima y el potencial de interferencia máximo</w:t>
      </w:r>
      <w:r>
        <w:rPr>
          <w:lang w:val="es-ES_tradnl"/>
        </w:rPr>
        <w:tab/>
      </w:r>
      <w:r>
        <w:rPr>
          <w:lang w:val="es-ES_tradnl"/>
        </w:rPr>
        <w:tab/>
        <w:t>28</w:t>
      </w:r>
    </w:p>
    <w:p w14:paraId="2AB73F25" w14:textId="77777777" w:rsidR="008760D9" w:rsidRDefault="008760D9">
      <w:pPr>
        <w:pStyle w:val="TOC1"/>
        <w:tabs>
          <w:tab w:val="clear" w:pos="567"/>
          <w:tab w:val="left" w:pos="1304"/>
        </w:tabs>
        <w:ind w:left="1361" w:hanging="1361"/>
        <w:rPr>
          <w:lang w:val="es-ES_tradnl"/>
        </w:rPr>
      </w:pPr>
      <w:r>
        <w:rPr>
          <w:lang w:val="es-ES_tradnl"/>
        </w:rPr>
        <w:t>Apéndice 3  –</w:t>
      </w:r>
      <w:r>
        <w:rPr>
          <w:lang w:val="es-ES_tradnl"/>
        </w:rPr>
        <w:tab/>
        <w:t>Predicción de la intensidad de campo ILS utilizando la geometría de dos rayos</w:t>
      </w:r>
      <w:r>
        <w:rPr>
          <w:lang w:val="es-ES_tradnl"/>
        </w:rPr>
        <w:tab/>
      </w:r>
      <w:r>
        <w:rPr>
          <w:lang w:val="es-ES_tradnl"/>
        </w:rPr>
        <w:tab/>
        <w:t>30</w:t>
      </w:r>
    </w:p>
    <w:p w14:paraId="52FE2669" w14:textId="77777777" w:rsidR="008760D9" w:rsidRDefault="008760D9">
      <w:pPr>
        <w:pStyle w:val="Heading1"/>
        <w:rPr>
          <w:lang w:val="es-ES_tradnl"/>
        </w:rPr>
      </w:pPr>
      <w:r>
        <w:rPr>
          <w:lang w:val="es-ES_tradnl"/>
        </w:rPr>
        <w:t>1</w:t>
      </w:r>
      <w:r>
        <w:rPr>
          <w:lang w:val="es-ES_tradnl"/>
        </w:rPr>
        <w:tab/>
        <w:t>Introducción</w:t>
      </w:r>
    </w:p>
    <w:p w14:paraId="7B147E48" w14:textId="77777777" w:rsidR="008760D9" w:rsidRDefault="008760D9">
      <w:pPr>
        <w:rPr>
          <w:lang w:val="es-ES_tradnl"/>
        </w:rPr>
      </w:pPr>
      <w:r>
        <w:rPr>
          <w:lang w:val="es-ES_tradnl"/>
        </w:rPr>
        <w:t>El objetivo de este Anexo es establecer un método de evaluación para el análisis de la compatibilidad entre estaciones de los servicios de radionavegación aeronáutica y las estaciones de un plan amplio de asignaciones de frecuencias de radiodifusión. Pueden utilizarse las técnicas del Anexo 3 para efectuar un análisis más detallado o verificar los resultados obtenidos del análisis general.</w:t>
      </w:r>
    </w:p>
    <w:p w14:paraId="5C3D7ED3" w14:textId="77777777" w:rsidR="008760D9" w:rsidRDefault="008760D9">
      <w:pPr>
        <w:pStyle w:val="Heading2"/>
        <w:rPr>
          <w:lang w:val="es-ES_tradnl"/>
        </w:rPr>
      </w:pPr>
      <w:r>
        <w:rPr>
          <w:lang w:val="es-ES_tradnl"/>
        </w:rPr>
        <w:br w:type="page"/>
      </w:r>
      <w:r>
        <w:rPr>
          <w:lang w:val="es-ES_tradnl"/>
        </w:rPr>
        <w:lastRenderedPageBreak/>
        <w:t>1.1</w:t>
      </w:r>
      <w:r>
        <w:rPr>
          <w:lang w:val="es-ES_tradnl"/>
        </w:rPr>
        <w:tab/>
        <w:t>Principios del método general de evaluación</w:t>
      </w:r>
    </w:p>
    <w:p w14:paraId="3E37496E" w14:textId="77777777" w:rsidR="008760D9" w:rsidRDefault="008760D9">
      <w:pPr>
        <w:rPr>
          <w:lang w:val="es-ES_tradnl"/>
        </w:rPr>
      </w:pPr>
      <w:r>
        <w:rPr>
          <w:lang w:val="es-ES_tradnl"/>
        </w:rPr>
        <w:t>El objetivo central del método general de evaluación es calcular todas las incompatibilidades potenciales significativas dentro de un volumen aeronáutico en una serie de puntos de cálculo o de prueba (véase la Nota 1). Para un conjunto particular de combinaciones de frecuencias de radiodifusión y aeronáuticas, la probabilidad máxima de incompatibilidad asociada a un servicio aeronáutico particular se define en forma de margen de protección.</w:t>
      </w:r>
    </w:p>
    <w:p w14:paraId="6A08E690" w14:textId="77777777" w:rsidR="008760D9" w:rsidRDefault="008760D9">
      <w:pPr>
        <w:rPr>
          <w:lang w:val="es-ES_tradnl"/>
        </w:rPr>
      </w:pPr>
      <w:r>
        <w:rPr>
          <w:lang w:val="es-ES_tradnl"/>
        </w:rPr>
        <w:t>Se necesita ampliar el método de evaluación de la compatibilidad del Acuerdo de Ginebra, 1984, al haber perfeccionado posteriormente los criterios de compatibilidad y haber identificado la necesidad de un método de evaluación más preciso. Además, debido a la necesidad de identificar y examinar incompatibilidades potenciales asociadas a un plan amplio de asignaciones, es necesario desarrollar un método de evaluación que se preste a la realización automática de manera eficaz.</w:t>
      </w:r>
    </w:p>
    <w:p w14:paraId="728207D6" w14:textId="77777777" w:rsidR="008760D9" w:rsidRDefault="008760D9">
      <w:pPr>
        <w:rPr>
          <w:lang w:val="es-ES_tradnl"/>
        </w:rPr>
      </w:pPr>
      <w:r>
        <w:rPr>
          <w:lang w:val="es-ES_tradnl"/>
        </w:rPr>
        <w:t>El método general de evaluación se basa en la necesidad de proteger el servicio de radionavegación aeronáutica a distancias mínimas específicas de separación (véase la Nota 1) de las antenas de estación de radiodifusión, dependiendo del servicio aeronáutico (ILS o VOR) (véase la Nota 1) y de la utilización particular de dicho servicio.</w:t>
      </w:r>
    </w:p>
    <w:p w14:paraId="0173A1AB" w14:textId="77777777" w:rsidR="008760D9" w:rsidRDefault="008760D9">
      <w:pPr>
        <w:pStyle w:val="Note"/>
        <w:rPr>
          <w:lang w:val="es-ES_tradnl"/>
        </w:rPr>
      </w:pPr>
      <w:r>
        <w:rPr>
          <w:lang w:val="es-ES_tradnl"/>
        </w:rPr>
        <w:t>NOTA 1 – Véanse las definiciones en el Anexo 4.</w:t>
      </w:r>
    </w:p>
    <w:p w14:paraId="4C0DD996" w14:textId="77777777" w:rsidR="008760D9" w:rsidRDefault="008760D9">
      <w:pPr>
        <w:pStyle w:val="Heading2"/>
        <w:rPr>
          <w:lang w:val="es-ES_tradnl"/>
        </w:rPr>
      </w:pPr>
      <w:r>
        <w:rPr>
          <w:lang w:val="es-ES_tradnl"/>
        </w:rPr>
        <w:t>1.2</w:t>
      </w:r>
      <w:r>
        <w:rPr>
          <w:lang w:val="es-ES_tradnl"/>
        </w:rPr>
        <w:tab/>
        <w:t>Localizador ILS</w:t>
      </w:r>
    </w:p>
    <w:p w14:paraId="4A613FBC" w14:textId="77777777" w:rsidR="008760D9" w:rsidRDefault="008760D9">
      <w:pPr>
        <w:rPr>
          <w:lang w:val="es-ES_tradnl"/>
        </w:rPr>
      </w:pPr>
      <w:r>
        <w:rPr>
          <w:lang w:val="es-ES_tradnl"/>
        </w:rPr>
        <w:t>Al evaluar la compatibilidad con un equipo de localizador ILS, el método general de evaluación se basa en una serie de puntos de prueba que se complementan con un punto de prueba adicional para cada estación de radiodifusión dentro de la cobertura operacional designada (DOC) (véase la definición en el Anexo 4) del ILS.</w:t>
      </w:r>
    </w:p>
    <w:p w14:paraId="0FD6F859" w14:textId="77777777" w:rsidR="008760D9" w:rsidRDefault="008760D9">
      <w:pPr>
        <w:pStyle w:val="Heading2"/>
        <w:rPr>
          <w:lang w:val="es-ES_tradnl"/>
        </w:rPr>
      </w:pPr>
      <w:r>
        <w:rPr>
          <w:lang w:val="es-ES_tradnl"/>
        </w:rPr>
        <w:t>1.3</w:t>
      </w:r>
      <w:r>
        <w:rPr>
          <w:lang w:val="es-ES_tradnl"/>
        </w:rPr>
        <w:tab/>
        <w:t>VOR</w:t>
      </w:r>
    </w:p>
    <w:p w14:paraId="45023B22" w14:textId="77777777" w:rsidR="008760D9" w:rsidRDefault="008760D9">
      <w:pPr>
        <w:rPr>
          <w:lang w:val="es-ES_tradnl"/>
        </w:rPr>
      </w:pPr>
      <w:r>
        <w:rPr>
          <w:lang w:val="es-ES_tradnl"/>
        </w:rPr>
        <w:t>Las DOC empleadas en el VOR son grandes y como consecuencia de ello es probable que haya un gran número de estaciones de radiodifusión situadas en cada cobertura VOR. El método general de evaluación estima la compatibilidad con el VOR construyendo un punto de prueba por encima de cada estación de radiodifusión dentro de la DOC, y teniendo en cuenta las estaciones de radiodifusión fuera de dicha DOC.</w:t>
      </w:r>
    </w:p>
    <w:p w14:paraId="01A3682A" w14:textId="77777777" w:rsidR="008760D9" w:rsidRDefault="008760D9">
      <w:pPr>
        <w:pStyle w:val="Heading1"/>
        <w:rPr>
          <w:lang w:val="es-ES_tradnl"/>
        </w:rPr>
      </w:pPr>
      <w:r>
        <w:rPr>
          <w:lang w:val="es-ES_tradnl"/>
        </w:rPr>
        <w:t>2</w:t>
      </w:r>
      <w:r>
        <w:rPr>
          <w:lang w:val="es-ES_tradnl"/>
        </w:rPr>
        <w:tab/>
        <w:t>Emplazamiento y altura de los puntos de prueba ILS y VOR</w:t>
      </w:r>
    </w:p>
    <w:p w14:paraId="74DFBA71" w14:textId="77777777" w:rsidR="008760D9" w:rsidRDefault="008760D9">
      <w:pPr>
        <w:pStyle w:val="Heading2"/>
        <w:rPr>
          <w:lang w:val="es-ES_tradnl"/>
        </w:rPr>
      </w:pPr>
      <w:r>
        <w:rPr>
          <w:lang w:val="es-ES_tradnl"/>
        </w:rPr>
        <w:t>2.1</w:t>
      </w:r>
      <w:r>
        <w:rPr>
          <w:lang w:val="es-ES_tradnl"/>
        </w:rPr>
        <w:tab/>
        <w:t>Puntos de prueba ILS</w:t>
      </w:r>
    </w:p>
    <w:p w14:paraId="4600812E" w14:textId="77777777" w:rsidR="008760D9" w:rsidRDefault="008760D9">
      <w:pPr>
        <w:pStyle w:val="Heading3"/>
        <w:rPr>
          <w:lang w:val="es-ES_tradnl"/>
        </w:rPr>
      </w:pPr>
      <w:r>
        <w:rPr>
          <w:lang w:val="es-ES_tradnl"/>
        </w:rPr>
        <w:t>2.1.1</w:t>
      </w:r>
      <w:r>
        <w:rPr>
          <w:lang w:val="es-ES_tradnl"/>
        </w:rPr>
        <w:tab/>
        <w:t>Puntos de prueba fijos</w:t>
      </w:r>
    </w:p>
    <w:p w14:paraId="1C6897F5" w14:textId="77777777" w:rsidR="008760D9" w:rsidRDefault="008760D9">
      <w:pPr>
        <w:rPr>
          <w:lang w:val="es-ES_tradnl"/>
        </w:rPr>
      </w:pPr>
      <w:r>
        <w:rPr>
          <w:lang w:val="es-ES_tradnl"/>
        </w:rPr>
        <w:t>Para cada uno de los puntos de prueba fijos de la Fig. 4, el Cuadro 6 indica la altura mínima, la distancia desde el localizador y la marcación respecto al eje de la pista ampliado.</w:t>
      </w:r>
    </w:p>
    <w:p w14:paraId="739A4819" w14:textId="77777777" w:rsidR="008760D9" w:rsidRDefault="008760D9">
      <w:pPr>
        <w:rPr>
          <w:lang w:val="es-ES_tradnl"/>
        </w:rPr>
      </w:pPr>
      <w:r>
        <w:rPr>
          <w:lang w:val="es-ES_tradnl"/>
        </w:rPr>
        <w:t>Los puntos de prueba fijos A, E, F, G y H están a una altura mínima (véase el § 3.2.1) de 0, 0, 150, 300 y 450 m, respectivamente, respecto al emplazamiento del localizador ILS. Estos valores representan una trayectoria de descenso con una pendiente de 3</w:t>
      </w:r>
      <w:r>
        <w:rPr>
          <w:rFonts w:ascii="Symbol" w:hAnsi="Symbol"/>
          <w:lang w:val="es-ES_tradnl"/>
        </w:rPr>
        <w:t></w:t>
      </w:r>
      <w:r>
        <w:rPr>
          <w:lang w:val="es-ES_tradnl"/>
        </w:rPr>
        <w:t>. Todos los demás puntos de prueba fijos están a una altura mínima de 600 m.</w:t>
      </w:r>
    </w:p>
    <w:p w14:paraId="00CCECD5" w14:textId="77777777" w:rsidR="008760D9" w:rsidRDefault="008760D9">
      <w:pPr>
        <w:pStyle w:val="Heading3"/>
        <w:rPr>
          <w:lang w:val="es-ES_tradnl"/>
        </w:rPr>
      </w:pPr>
      <w:r>
        <w:rPr>
          <w:lang w:val="es-ES_tradnl"/>
        </w:rPr>
        <w:t>2.1.2</w:t>
      </w:r>
      <w:r>
        <w:rPr>
          <w:lang w:val="es-ES_tradnl"/>
        </w:rPr>
        <w:tab/>
        <w:t>Puntos de prueba relacionados con las estaciones de radiodifusión</w:t>
      </w:r>
    </w:p>
    <w:p w14:paraId="50A663B2" w14:textId="77777777" w:rsidR="008760D9" w:rsidRDefault="008760D9">
      <w:pPr>
        <w:rPr>
          <w:lang w:val="es-ES_tradnl"/>
        </w:rPr>
      </w:pPr>
      <w:r>
        <w:rPr>
          <w:lang w:val="es-ES_tradnl"/>
        </w:rPr>
        <w:t>Si la estación de radiodifusión se encuentra en la zona sombreada de la Fig. 4:</w:t>
      </w:r>
    </w:p>
    <w:p w14:paraId="1A4B85F9" w14:textId="77777777" w:rsidR="008760D9" w:rsidRDefault="008760D9">
      <w:pPr>
        <w:pStyle w:val="enumlev1"/>
        <w:rPr>
          <w:lang w:val="es-ES_tradnl"/>
        </w:rPr>
      </w:pPr>
      <w:r>
        <w:rPr>
          <w:lang w:val="es-ES_tradnl"/>
        </w:rPr>
        <w:t>–</w:t>
      </w:r>
      <w:r>
        <w:rPr>
          <w:lang w:val="es-ES_tradnl"/>
        </w:rPr>
        <w:tab/>
        <w:t>se produce un nuevo punto de prueba que tiene las coordenadas geográficas de la estación de radiodifusión y la misma altura que la antena de radiodifusión.</w:t>
      </w:r>
    </w:p>
    <w:p w14:paraId="5E5F6C62" w14:textId="77777777" w:rsidR="008760D9" w:rsidRDefault="008760D9">
      <w:pPr>
        <w:rPr>
          <w:lang w:val="es-ES_tradnl"/>
        </w:rPr>
      </w:pPr>
      <w:r>
        <w:rPr>
          <w:lang w:val="es-ES_tradnl"/>
        </w:rPr>
        <w:t>Si la estación de radiodifusión se encuentra dentro o por debajo de la DOC del ILS pero fuera de la zona sombreada de la Fig. 4 se genera un punto de prueba adicional con las coordenadas geográficas de la estación de radiodifusión. La altura mínima del punto de prueba es la mayor de:</w:t>
      </w:r>
    </w:p>
    <w:p w14:paraId="0DCDDE05" w14:textId="77777777" w:rsidR="008760D9" w:rsidRDefault="008760D9">
      <w:pPr>
        <w:pStyle w:val="enumlev1"/>
        <w:rPr>
          <w:lang w:val="es-ES_tradnl"/>
        </w:rPr>
      </w:pPr>
      <w:r>
        <w:rPr>
          <w:lang w:val="es-ES_tradnl"/>
        </w:rPr>
        <w:t>–</w:t>
      </w:r>
      <w:r>
        <w:rPr>
          <w:lang w:val="es-ES_tradnl"/>
        </w:rPr>
        <w:tab/>
        <w:t>600 m por encima del emplazamiento del localizador ILS; o</w:t>
      </w:r>
    </w:p>
    <w:p w14:paraId="2DCB274E" w14:textId="77777777" w:rsidR="008760D9" w:rsidRDefault="008760D9">
      <w:pPr>
        <w:pStyle w:val="enumlev1"/>
        <w:rPr>
          <w:lang w:val="es-ES_tradnl"/>
        </w:rPr>
      </w:pPr>
      <w:r>
        <w:rPr>
          <w:lang w:val="es-ES_tradnl"/>
        </w:rPr>
        <w:t>–</w:t>
      </w:r>
      <w:r>
        <w:rPr>
          <w:lang w:val="es-ES_tradnl"/>
        </w:rPr>
        <w:tab/>
        <w:t>150 m por encima de la antena de radiodifusión.</w:t>
      </w:r>
    </w:p>
    <w:p w14:paraId="65AFABBB" w14:textId="77777777" w:rsidR="008760D9" w:rsidRDefault="008760D9">
      <w:pPr>
        <w:pStyle w:val="Fig"/>
        <w:rPr>
          <w:lang w:val="es-ES_tradnl"/>
        </w:rPr>
      </w:pPr>
      <w:r>
        <w:rPr>
          <w:lang w:val="es-ES_tradnl"/>
        </w:rPr>
        <w:br w:type="page"/>
      </w:r>
      <w:r w:rsidR="00DF52C7">
        <w:rPr>
          <w:noProof/>
          <w:lang w:eastAsia="zh-CN"/>
        </w:rPr>
        <w:lastRenderedPageBreak/>
        <w:drawing>
          <wp:inline distT="0" distB="0" distL="0" distR="0" wp14:anchorId="1C789311" wp14:editId="58AEAD52">
            <wp:extent cx="5798820" cy="5516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98820" cy="5516880"/>
                    </a:xfrm>
                    <a:prstGeom prst="rect">
                      <a:avLst/>
                    </a:prstGeom>
                    <a:noFill/>
                    <a:ln>
                      <a:noFill/>
                    </a:ln>
                  </pic:spPr>
                </pic:pic>
              </a:graphicData>
            </a:graphic>
          </wp:inline>
        </w:drawing>
      </w:r>
    </w:p>
    <w:p w14:paraId="1F5C2151" w14:textId="77777777" w:rsidR="008760D9" w:rsidRDefault="008760D9">
      <w:pPr>
        <w:pStyle w:val="Fig0"/>
        <w:spacing w:before="0"/>
        <w:rPr>
          <w:sz w:val="8"/>
          <w:lang w:val="es-ES_tradnl"/>
        </w:rPr>
      </w:pPr>
      <w:r>
        <w:rPr>
          <w:sz w:val="8"/>
          <w:lang w:val="es-ES_tradnl"/>
        </w:rPr>
        <w:t>FIGURE 4/1009...</w:t>
      </w:r>
      <w:r>
        <w:rPr>
          <w:b/>
          <w:sz w:val="8"/>
          <w:lang w:val="es-ES_tradnl"/>
        </w:rPr>
        <w:t>[D04]</w:t>
      </w:r>
      <w:r>
        <w:rPr>
          <w:sz w:val="8"/>
          <w:lang w:val="es-ES_tradnl"/>
        </w:rPr>
        <w:t xml:space="preserve">   </w:t>
      </w:r>
      <w:r>
        <w:rPr>
          <w:rFonts w:ascii="Symbol" w:hAnsi="Symbol"/>
          <w:sz w:val="8"/>
          <w:lang w:val="es-ES_tradnl"/>
        </w:rPr>
        <w:t></w:t>
      </w:r>
      <w:r>
        <w:rPr>
          <w:sz w:val="8"/>
          <w:lang w:val="es-ES_tradnl"/>
        </w:rPr>
        <w:t xml:space="preserve">  15  CM </w:t>
      </w:r>
    </w:p>
    <w:p w14:paraId="2C76E7FC" w14:textId="77777777" w:rsidR="008760D9" w:rsidRDefault="008760D9">
      <w:pPr>
        <w:pStyle w:val="Table"/>
        <w:spacing w:before="400"/>
        <w:rPr>
          <w:lang w:val="es-ES_tradnl"/>
        </w:rPr>
      </w:pPr>
      <w:r>
        <w:rPr>
          <w:lang w:val="es-ES_tradnl"/>
        </w:rPr>
        <w:t>CUADRO  6</w:t>
      </w:r>
    </w:p>
    <w:p w14:paraId="68AE73EE" w14:textId="77777777" w:rsidR="008760D9" w:rsidRDefault="008760D9">
      <w:pPr>
        <w:pStyle w:val="Blanc"/>
        <w:rPr>
          <w:lang w:val="es-ES_tradnl"/>
        </w:rPr>
      </w:pPr>
    </w:p>
    <w:tbl>
      <w:tblPr>
        <w:tblW w:w="0" w:type="auto"/>
        <w:jc w:val="center"/>
        <w:tblLayout w:type="fixed"/>
        <w:tblLook w:val="0000" w:firstRow="0" w:lastRow="0" w:firstColumn="0" w:lastColumn="0" w:noHBand="0" w:noVBand="0"/>
      </w:tblPr>
      <w:tblGrid>
        <w:gridCol w:w="1588"/>
        <w:gridCol w:w="1622"/>
        <w:gridCol w:w="1588"/>
        <w:gridCol w:w="1588"/>
        <w:gridCol w:w="1474"/>
        <w:gridCol w:w="1871"/>
      </w:tblGrid>
      <w:tr w:rsidR="008760D9" w:rsidRPr="00AC3FDE" w14:paraId="455AB62E" w14:textId="77777777">
        <w:trPr>
          <w:cantSplit/>
          <w:jc w:val="center"/>
        </w:trPr>
        <w:tc>
          <w:tcPr>
            <w:tcW w:w="4797" w:type="dxa"/>
            <w:gridSpan w:val="3"/>
            <w:tcBorders>
              <w:top w:val="single" w:sz="6" w:space="0" w:color="auto"/>
              <w:left w:val="single" w:sz="6" w:space="0" w:color="auto"/>
              <w:bottom w:val="single" w:sz="6" w:space="0" w:color="auto"/>
              <w:right w:val="single" w:sz="6" w:space="0" w:color="auto"/>
            </w:tcBorders>
          </w:tcPr>
          <w:p w14:paraId="07A252F2" w14:textId="77777777" w:rsidR="008760D9" w:rsidRDefault="008760D9">
            <w:pPr>
              <w:pStyle w:val="TableText"/>
              <w:framePr w:hSpace="181" w:wrap="notBeside" w:vAnchor="text" w:hAnchor="page" w:xAlign="center" w:y="1"/>
              <w:spacing w:before="60" w:after="60"/>
              <w:jc w:val="center"/>
              <w:rPr>
                <w:lang w:val="es-ES_tradnl"/>
              </w:rPr>
            </w:pPr>
            <w:r>
              <w:rPr>
                <w:lang w:val="es-ES_tradnl"/>
              </w:rPr>
              <w:t>Puntos situados sobre la prolongación</w:t>
            </w:r>
            <w:r>
              <w:rPr>
                <w:lang w:val="es-ES_tradnl"/>
              </w:rPr>
              <w:br/>
              <w:t>de la línea de pista</w:t>
            </w:r>
          </w:p>
        </w:tc>
        <w:tc>
          <w:tcPr>
            <w:tcW w:w="4933" w:type="dxa"/>
            <w:gridSpan w:val="3"/>
            <w:tcBorders>
              <w:top w:val="single" w:sz="6" w:space="0" w:color="auto"/>
              <w:left w:val="single" w:sz="6" w:space="0" w:color="auto"/>
              <w:bottom w:val="single" w:sz="6" w:space="0" w:color="auto"/>
              <w:right w:val="single" w:sz="6" w:space="0" w:color="auto"/>
            </w:tcBorders>
          </w:tcPr>
          <w:p w14:paraId="7954CD73" w14:textId="77777777" w:rsidR="008760D9" w:rsidRDefault="008760D9">
            <w:pPr>
              <w:pStyle w:val="TableText"/>
              <w:framePr w:hSpace="181" w:wrap="notBeside" w:vAnchor="text" w:hAnchor="page" w:xAlign="center" w:y="1"/>
              <w:spacing w:before="60" w:after="60"/>
              <w:jc w:val="center"/>
              <w:rPr>
                <w:lang w:val="es-ES_tradnl"/>
              </w:rPr>
            </w:pPr>
            <w:r>
              <w:rPr>
                <w:lang w:val="es-ES_tradnl"/>
              </w:rPr>
              <w:t>Puntos situados fuera de la prolongación de la</w:t>
            </w:r>
            <w:r>
              <w:rPr>
                <w:lang w:val="es-ES_tradnl"/>
              </w:rPr>
              <w:br/>
              <w:t>línea de pista (todos a una altura de 600 m)</w:t>
            </w:r>
          </w:p>
        </w:tc>
      </w:tr>
      <w:tr w:rsidR="008760D9" w:rsidRPr="00AC3FDE" w14:paraId="64CA0A11" w14:textId="77777777">
        <w:trPr>
          <w:cantSplit/>
          <w:jc w:val="center"/>
        </w:trPr>
        <w:tc>
          <w:tcPr>
            <w:tcW w:w="1588" w:type="dxa"/>
            <w:tcBorders>
              <w:top w:val="single" w:sz="6" w:space="0" w:color="auto"/>
              <w:left w:val="single" w:sz="6" w:space="0" w:color="auto"/>
              <w:bottom w:val="single" w:sz="6" w:space="0" w:color="auto"/>
              <w:right w:val="single" w:sz="6" w:space="0" w:color="auto"/>
            </w:tcBorders>
          </w:tcPr>
          <w:p w14:paraId="440BD0DC" w14:textId="77777777" w:rsidR="008760D9" w:rsidRDefault="008760D9">
            <w:pPr>
              <w:pStyle w:val="TableText"/>
              <w:framePr w:hSpace="181" w:wrap="notBeside" w:vAnchor="text" w:hAnchor="page" w:xAlign="center" w:y="1"/>
              <w:spacing w:before="60" w:after="60"/>
              <w:jc w:val="center"/>
              <w:rPr>
                <w:lang w:val="es-ES_tradnl"/>
              </w:rPr>
            </w:pPr>
            <w:r>
              <w:rPr>
                <w:lang w:val="es-ES_tradnl"/>
              </w:rPr>
              <w:br/>
              <w:t>Identificación</w:t>
            </w:r>
          </w:p>
        </w:tc>
        <w:tc>
          <w:tcPr>
            <w:tcW w:w="1622" w:type="dxa"/>
            <w:tcBorders>
              <w:top w:val="single" w:sz="6" w:space="0" w:color="auto"/>
              <w:left w:val="single" w:sz="6" w:space="0" w:color="auto"/>
              <w:bottom w:val="single" w:sz="6" w:space="0" w:color="auto"/>
              <w:right w:val="single" w:sz="6" w:space="0" w:color="auto"/>
            </w:tcBorders>
          </w:tcPr>
          <w:p w14:paraId="14587313" w14:textId="77777777" w:rsidR="008760D9" w:rsidRDefault="008760D9">
            <w:pPr>
              <w:pStyle w:val="TableText"/>
              <w:framePr w:hSpace="181" w:wrap="notBeside" w:vAnchor="text" w:hAnchor="page" w:xAlign="center" w:y="1"/>
              <w:spacing w:before="160" w:after="20"/>
              <w:jc w:val="center"/>
              <w:rPr>
                <w:lang w:val="es-ES_tradnl"/>
              </w:rPr>
            </w:pPr>
            <w:r>
              <w:rPr>
                <w:lang w:val="es-ES_tradnl"/>
              </w:rPr>
              <w:t>Distancia</w:t>
            </w:r>
            <w:r>
              <w:rPr>
                <w:lang w:val="es-ES_tradnl"/>
              </w:rPr>
              <w:br/>
              <w:t>(km)</w:t>
            </w:r>
          </w:p>
        </w:tc>
        <w:tc>
          <w:tcPr>
            <w:tcW w:w="1588" w:type="dxa"/>
            <w:tcBorders>
              <w:top w:val="single" w:sz="6" w:space="0" w:color="auto"/>
              <w:left w:val="single" w:sz="6" w:space="0" w:color="auto"/>
              <w:bottom w:val="single" w:sz="6" w:space="0" w:color="auto"/>
              <w:right w:val="single" w:sz="6" w:space="0" w:color="auto"/>
            </w:tcBorders>
          </w:tcPr>
          <w:p w14:paraId="204349A4" w14:textId="77777777" w:rsidR="008760D9" w:rsidRDefault="008760D9">
            <w:pPr>
              <w:pStyle w:val="TableText"/>
              <w:framePr w:hSpace="181" w:wrap="notBeside" w:vAnchor="text" w:hAnchor="page" w:xAlign="center" w:y="1"/>
              <w:spacing w:before="160" w:after="20"/>
              <w:jc w:val="center"/>
              <w:rPr>
                <w:lang w:val="es-ES_tradnl"/>
              </w:rPr>
            </w:pPr>
            <w:r>
              <w:rPr>
                <w:lang w:val="es-ES_tradnl"/>
              </w:rPr>
              <w:t>Altura mínima</w:t>
            </w:r>
            <w:r>
              <w:rPr>
                <w:lang w:val="es-ES_tradnl"/>
              </w:rPr>
              <w:br/>
              <w:t>(m)</w:t>
            </w:r>
          </w:p>
        </w:tc>
        <w:tc>
          <w:tcPr>
            <w:tcW w:w="1588" w:type="dxa"/>
            <w:tcBorders>
              <w:top w:val="single" w:sz="6" w:space="0" w:color="auto"/>
              <w:left w:val="single" w:sz="6" w:space="0" w:color="auto"/>
              <w:bottom w:val="single" w:sz="6" w:space="0" w:color="auto"/>
              <w:right w:val="single" w:sz="6" w:space="0" w:color="auto"/>
            </w:tcBorders>
          </w:tcPr>
          <w:p w14:paraId="506CD2B9" w14:textId="77777777" w:rsidR="008760D9" w:rsidRDefault="008760D9">
            <w:pPr>
              <w:pStyle w:val="TableText"/>
              <w:framePr w:hSpace="181" w:wrap="notBeside" w:vAnchor="text" w:hAnchor="page" w:xAlign="center" w:y="1"/>
              <w:spacing w:before="60" w:after="60"/>
              <w:jc w:val="center"/>
              <w:rPr>
                <w:lang w:val="es-ES_tradnl"/>
              </w:rPr>
            </w:pPr>
            <w:r>
              <w:rPr>
                <w:lang w:val="es-ES_tradnl"/>
              </w:rPr>
              <w:br/>
              <w:t>Identificación</w:t>
            </w:r>
          </w:p>
        </w:tc>
        <w:tc>
          <w:tcPr>
            <w:tcW w:w="1474" w:type="dxa"/>
            <w:tcBorders>
              <w:top w:val="single" w:sz="6" w:space="0" w:color="auto"/>
              <w:left w:val="single" w:sz="6" w:space="0" w:color="auto"/>
              <w:bottom w:val="single" w:sz="6" w:space="0" w:color="auto"/>
              <w:right w:val="single" w:sz="6" w:space="0" w:color="auto"/>
            </w:tcBorders>
          </w:tcPr>
          <w:p w14:paraId="79DCDB3F" w14:textId="77777777" w:rsidR="008760D9" w:rsidRDefault="008760D9">
            <w:pPr>
              <w:pStyle w:val="TableText"/>
              <w:framePr w:hSpace="181" w:wrap="notBeside" w:vAnchor="text" w:hAnchor="page" w:xAlign="center" w:y="1"/>
              <w:spacing w:before="160" w:after="20"/>
              <w:jc w:val="center"/>
              <w:rPr>
                <w:lang w:val="es-ES_tradnl"/>
              </w:rPr>
            </w:pPr>
            <w:r>
              <w:rPr>
                <w:lang w:val="es-ES_tradnl"/>
              </w:rPr>
              <w:t>Distancia</w:t>
            </w:r>
            <w:r>
              <w:rPr>
                <w:lang w:val="es-ES_tradnl"/>
              </w:rPr>
              <w:br/>
              <w:t>(km)</w:t>
            </w:r>
          </w:p>
        </w:tc>
        <w:tc>
          <w:tcPr>
            <w:tcW w:w="1871" w:type="dxa"/>
            <w:tcBorders>
              <w:top w:val="single" w:sz="6" w:space="0" w:color="auto"/>
              <w:left w:val="single" w:sz="6" w:space="0" w:color="auto"/>
              <w:bottom w:val="single" w:sz="6" w:space="0" w:color="auto"/>
              <w:right w:val="single" w:sz="6" w:space="0" w:color="auto"/>
            </w:tcBorders>
          </w:tcPr>
          <w:p w14:paraId="28D3EA23" w14:textId="77777777" w:rsidR="008760D9" w:rsidRDefault="008760D9">
            <w:pPr>
              <w:pStyle w:val="TableText"/>
              <w:framePr w:hSpace="181" w:wrap="notBeside" w:vAnchor="text" w:hAnchor="page" w:xAlign="center" w:y="1"/>
              <w:spacing w:before="60" w:after="60"/>
              <w:jc w:val="center"/>
              <w:rPr>
                <w:lang w:val="es-ES_tradnl"/>
              </w:rPr>
            </w:pPr>
            <w:r>
              <w:rPr>
                <w:lang w:val="es-ES_tradnl"/>
              </w:rPr>
              <w:t>Marcación relativa</w:t>
            </w:r>
            <w:r>
              <w:rPr>
                <w:lang w:val="es-ES_tradnl"/>
              </w:rPr>
              <w:br/>
              <w:t>al eje de la pista</w:t>
            </w:r>
            <w:r>
              <w:rPr>
                <w:lang w:val="es-ES_tradnl"/>
              </w:rPr>
              <w:br/>
              <w:t>(grados)</w:t>
            </w:r>
          </w:p>
        </w:tc>
      </w:tr>
      <w:tr w:rsidR="008760D9" w14:paraId="004351CB" w14:textId="77777777">
        <w:trPr>
          <w:cantSplit/>
          <w:jc w:val="center"/>
        </w:trPr>
        <w:tc>
          <w:tcPr>
            <w:tcW w:w="1588" w:type="dxa"/>
            <w:tcBorders>
              <w:top w:val="single" w:sz="6" w:space="0" w:color="auto"/>
              <w:left w:val="single" w:sz="6" w:space="0" w:color="auto"/>
              <w:bottom w:val="single" w:sz="6" w:space="0" w:color="auto"/>
              <w:right w:val="single" w:sz="6" w:space="0" w:color="auto"/>
            </w:tcBorders>
          </w:tcPr>
          <w:p w14:paraId="35F127B6" w14:textId="77777777" w:rsidR="008760D9" w:rsidRDefault="008760D9">
            <w:pPr>
              <w:pStyle w:val="TableText"/>
              <w:framePr w:hSpace="181" w:wrap="notBeside" w:vAnchor="text" w:hAnchor="page" w:xAlign="center" w:y="1"/>
              <w:spacing w:before="37" w:after="37"/>
              <w:jc w:val="center"/>
              <w:rPr>
                <w:lang w:val="es-ES_tradnl"/>
              </w:rPr>
            </w:pPr>
            <w:r>
              <w:rPr>
                <w:lang w:val="es-ES_tradnl"/>
              </w:rPr>
              <w:t>A</w:t>
            </w:r>
          </w:p>
        </w:tc>
        <w:tc>
          <w:tcPr>
            <w:tcW w:w="1622" w:type="dxa"/>
            <w:tcBorders>
              <w:top w:val="single" w:sz="6" w:space="0" w:color="auto"/>
              <w:left w:val="single" w:sz="6" w:space="0" w:color="auto"/>
              <w:bottom w:val="single" w:sz="6" w:space="0" w:color="auto"/>
              <w:right w:val="single" w:sz="6" w:space="0" w:color="auto"/>
            </w:tcBorders>
          </w:tcPr>
          <w:p w14:paraId="7F8D3C6B" w14:textId="77777777" w:rsidR="008760D9" w:rsidRDefault="008760D9">
            <w:pPr>
              <w:pStyle w:val="TableText"/>
              <w:framePr w:hSpace="181" w:wrap="notBeside" w:vAnchor="text" w:hAnchor="page" w:xAlign="center" w:y="1"/>
              <w:tabs>
                <w:tab w:val="clear" w:pos="1191"/>
                <w:tab w:val="clear" w:pos="1588"/>
                <w:tab w:val="clear" w:pos="1985"/>
                <w:tab w:val="right" w:pos="794"/>
              </w:tabs>
              <w:spacing w:before="37" w:after="37"/>
              <w:ind w:left="794" w:hanging="794"/>
              <w:jc w:val="left"/>
              <w:rPr>
                <w:lang w:val="es-ES_tradnl"/>
              </w:rPr>
            </w:pPr>
            <w:r>
              <w:rPr>
                <w:lang w:val="es-ES_tradnl"/>
              </w:rPr>
              <w:tab/>
              <w:t>0</w:t>
            </w:r>
          </w:p>
        </w:tc>
        <w:tc>
          <w:tcPr>
            <w:tcW w:w="1588" w:type="dxa"/>
            <w:tcBorders>
              <w:top w:val="single" w:sz="6" w:space="0" w:color="auto"/>
              <w:left w:val="single" w:sz="6" w:space="0" w:color="auto"/>
              <w:bottom w:val="single" w:sz="6" w:space="0" w:color="auto"/>
              <w:right w:val="single" w:sz="6" w:space="0" w:color="auto"/>
            </w:tcBorders>
          </w:tcPr>
          <w:p w14:paraId="6853C3C3" w14:textId="77777777" w:rsidR="008760D9" w:rsidRDefault="008760D9">
            <w:pPr>
              <w:pStyle w:val="TableText"/>
              <w:framePr w:hSpace="181" w:wrap="notBeside" w:vAnchor="text" w:hAnchor="page" w:xAlign="center" w:y="1"/>
              <w:spacing w:before="37" w:after="37"/>
              <w:ind w:left="170"/>
              <w:jc w:val="center"/>
              <w:rPr>
                <w:lang w:val="es-ES_tradnl"/>
              </w:rPr>
            </w:pPr>
            <w:r>
              <w:rPr>
                <w:lang w:val="es-ES_tradnl"/>
              </w:rPr>
              <w:t>0</w:t>
            </w:r>
          </w:p>
        </w:tc>
        <w:tc>
          <w:tcPr>
            <w:tcW w:w="1588" w:type="dxa"/>
            <w:tcBorders>
              <w:top w:val="single" w:sz="6" w:space="0" w:color="auto"/>
              <w:left w:val="single" w:sz="6" w:space="0" w:color="auto"/>
              <w:bottom w:val="single" w:sz="6" w:space="0" w:color="auto"/>
              <w:right w:val="single" w:sz="6" w:space="0" w:color="auto"/>
            </w:tcBorders>
          </w:tcPr>
          <w:p w14:paraId="708A0972" w14:textId="77777777" w:rsidR="008760D9" w:rsidRDefault="008760D9">
            <w:pPr>
              <w:pStyle w:val="TableText"/>
              <w:framePr w:hSpace="181" w:wrap="notBeside" w:vAnchor="text" w:hAnchor="page" w:xAlign="center" w:y="1"/>
              <w:spacing w:before="37" w:after="37"/>
              <w:jc w:val="center"/>
              <w:rPr>
                <w:lang w:val="es-ES_tradnl"/>
              </w:rPr>
            </w:pPr>
            <w:r>
              <w:rPr>
                <w:lang w:val="es-ES_tradnl"/>
              </w:rPr>
              <w:t>B, C</w:t>
            </w:r>
          </w:p>
        </w:tc>
        <w:tc>
          <w:tcPr>
            <w:tcW w:w="1474" w:type="dxa"/>
            <w:tcBorders>
              <w:top w:val="single" w:sz="6" w:space="0" w:color="auto"/>
              <w:left w:val="single" w:sz="6" w:space="0" w:color="auto"/>
              <w:bottom w:val="single" w:sz="6" w:space="0" w:color="auto"/>
              <w:right w:val="single" w:sz="6" w:space="0" w:color="auto"/>
            </w:tcBorders>
          </w:tcPr>
          <w:p w14:paraId="7A99530C" w14:textId="77777777" w:rsidR="008760D9" w:rsidRDefault="008760D9">
            <w:pPr>
              <w:pStyle w:val="TableText"/>
              <w:framePr w:hSpace="181" w:wrap="notBeside" w:vAnchor="text" w:hAnchor="page" w:xAlign="center" w:y="1"/>
              <w:spacing w:before="37" w:after="37"/>
              <w:jc w:val="center"/>
              <w:rPr>
                <w:lang w:val="es-ES_tradnl"/>
              </w:rPr>
            </w:pPr>
            <w:r>
              <w:rPr>
                <w:lang w:val="es-ES_tradnl"/>
              </w:rPr>
              <w:t>31,5</w:t>
            </w:r>
          </w:p>
        </w:tc>
        <w:tc>
          <w:tcPr>
            <w:tcW w:w="1871" w:type="dxa"/>
            <w:tcBorders>
              <w:top w:val="single" w:sz="6" w:space="0" w:color="auto"/>
              <w:left w:val="single" w:sz="6" w:space="0" w:color="auto"/>
              <w:bottom w:val="single" w:sz="6" w:space="0" w:color="auto"/>
              <w:right w:val="single" w:sz="6" w:space="0" w:color="auto"/>
            </w:tcBorders>
          </w:tcPr>
          <w:p w14:paraId="6713DE48" w14:textId="77777777" w:rsidR="008760D9" w:rsidRDefault="008760D9">
            <w:pPr>
              <w:pStyle w:val="TableText"/>
              <w:framePr w:hSpace="181" w:wrap="notBeside" w:vAnchor="text" w:hAnchor="page" w:xAlign="center" w:y="1"/>
              <w:spacing w:before="37" w:after="37"/>
              <w:jc w:val="center"/>
              <w:rPr>
                <w:lang w:val="es-ES_tradnl"/>
              </w:rPr>
            </w:pPr>
            <w:r>
              <w:rPr>
                <w:lang w:val="es-ES_tradnl"/>
              </w:rPr>
              <w:t>–35, 35</w:t>
            </w:r>
          </w:p>
        </w:tc>
      </w:tr>
      <w:tr w:rsidR="008760D9" w14:paraId="70CAB72C" w14:textId="77777777">
        <w:trPr>
          <w:cantSplit/>
          <w:jc w:val="center"/>
        </w:trPr>
        <w:tc>
          <w:tcPr>
            <w:tcW w:w="1588" w:type="dxa"/>
            <w:tcBorders>
              <w:top w:val="single" w:sz="6" w:space="0" w:color="auto"/>
              <w:left w:val="single" w:sz="6" w:space="0" w:color="auto"/>
              <w:bottom w:val="single" w:sz="6" w:space="0" w:color="auto"/>
              <w:right w:val="single" w:sz="6" w:space="0" w:color="auto"/>
            </w:tcBorders>
          </w:tcPr>
          <w:p w14:paraId="31A57FDC" w14:textId="77777777" w:rsidR="008760D9" w:rsidRDefault="008760D9">
            <w:pPr>
              <w:pStyle w:val="TableText"/>
              <w:framePr w:hSpace="181" w:wrap="notBeside" w:vAnchor="text" w:hAnchor="page" w:xAlign="center" w:y="1"/>
              <w:spacing w:before="37" w:after="37"/>
              <w:jc w:val="center"/>
              <w:rPr>
                <w:lang w:val="es-ES_tradnl"/>
              </w:rPr>
            </w:pPr>
            <w:r>
              <w:rPr>
                <w:lang w:val="es-ES_tradnl"/>
              </w:rPr>
              <w:t>E</w:t>
            </w:r>
          </w:p>
        </w:tc>
        <w:tc>
          <w:tcPr>
            <w:tcW w:w="1622" w:type="dxa"/>
            <w:tcBorders>
              <w:top w:val="single" w:sz="6" w:space="0" w:color="auto"/>
              <w:left w:val="single" w:sz="6" w:space="0" w:color="auto"/>
              <w:bottom w:val="single" w:sz="6" w:space="0" w:color="auto"/>
              <w:right w:val="single" w:sz="6" w:space="0" w:color="auto"/>
            </w:tcBorders>
          </w:tcPr>
          <w:p w14:paraId="3526EDB8" w14:textId="77777777" w:rsidR="008760D9" w:rsidRDefault="008760D9">
            <w:pPr>
              <w:pStyle w:val="TableText"/>
              <w:framePr w:hSpace="181" w:wrap="notBeside" w:vAnchor="text" w:hAnchor="page" w:xAlign="center" w:y="1"/>
              <w:tabs>
                <w:tab w:val="clear" w:pos="1191"/>
                <w:tab w:val="clear" w:pos="1588"/>
                <w:tab w:val="clear" w:pos="1985"/>
                <w:tab w:val="right" w:pos="794"/>
              </w:tabs>
              <w:spacing w:before="37" w:after="37"/>
              <w:jc w:val="left"/>
              <w:rPr>
                <w:lang w:val="es-ES_tradnl"/>
              </w:rPr>
            </w:pPr>
            <w:r>
              <w:rPr>
                <w:lang w:val="es-ES_tradnl"/>
              </w:rPr>
              <w:tab/>
              <w:t>3</w:t>
            </w:r>
          </w:p>
        </w:tc>
        <w:tc>
          <w:tcPr>
            <w:tcW w:w="1588" w:type="dxa"/>
            <w:tcBorders>
              <w:top w:val="single" w:sz="6" w:space="0" w:color="auto"/>
              <w:left w:val="single" w:sz="6" w:space="0" w:color="auto"/>
              <w:bottom w:val="single" w:sz="6" w:space="0" w:color="auto"/>
              <w:right w:val="single" w:sz="6" w:space="0" w:color="auto"/>
            </w:tcBorders>
          </w:tcPr>
          <w:p w14:paraId="317A890E" w14:textId="77777777" w:rsidR="008760D9" w:rsidRDefault="008760D9">
            <w:pPr>
              <w:pStyle w:val="TableText"/>
              <w:framePr w:hSpace="181" w:wrap="notBeside" w:vAnchor="text" w:hAnchor="page" w:xAlign="center" w:y="1"/>
              <w:spacing w:before="37" w:after="37"/>
              <w:ind w:left="170"/>
              <w:jc w:val="center"/>
              <w:rPr>
                <w:lang w:val="es-ES_tradnl"/>
              </w:rPr>
            </w:pPr>
            <w:r>
              <w:rPr>
                <w:lang w:val="es-ES_tradnl"/>
              </w:rPr>
              <w:t>0</w:t>
            </w:r>
          </w:p>
        </w:tc>
        <w:tc>
          <w:tcPr>
            <w:tcW w:w="1588" w:type="dxa"/>
            <w:tcBorders>
              <w:top w:val="single" w:sz="6" w:space="0" w:color="auto"/>
              <w:left w:val="single" w:sz="6" w:space="0" w:color="auto"/>
              <w:bottom w:val="single" w:sz="6" w:space="0" w:color="auto"/>
              <w:right w:val="single" w:sz="6" w:space="0" w:color="auto"/>
            </w:tcBorders>
          </w:tcPr>
          <w:p w14:paraId="44E8B66D" w14:textId="77777777" w:rsidR="008760D9" w:rsidRDefault="008760D9">
            <w:pPr>
              <w:pStyle w:val="TableText"/>
              <w:framePr w:hSpace="181" w:wrap="notBeside" w:vAnchor="text" w:hAnchor="page" w:xAlign="center" w:y="1"/>
              <w:spacing w:before="37" w:after="37"/>
              <w:jc w:val="center"/>
              <w:rPr>
                <w:lang w:val="es-ES_tradnl"/>
              </w:rPr>
            </w:pPr>
            <w:r>
              <w:rPr>
                <w:lang w:val="es-ES_tradnl"/>
              </w:rPr>
              <w:t>X0, Y0</w:t>
            </w:r>
          </w:p>
        </w:tc>
        <w:tc>
          <w:tcPr>
            <w:tcW w:w="1474" w:type="dxa"/>
            <w:tcBorders>
              <w:top w:val="single" w:sz="6" w:space="0" w:color="auto"/>
              <w:left w:val="single" w:sz="6" w:space="0" w:color="auto"/>
              <w:bottom w:val="single" w:sz="6" w:space="0" w:color="auto"/>
              <w:right w:val="single" w:sz="6" w:space="0" w:color="auto"/>
            </w:tcBorders>
          </w:tcPr>
          <w:p w14:paraId="2EAB535B" w14:textId="77777777" w:rsidR="008760D9" w:rsidRDefault="008760D9">
            <w:pPr>
              <w:pStyle w:val="TableText"/>
              <w:framePr w:hSpace="181" w:wrap="notBeside" w:vAnchor="text" w:hAnchor="page" w:xAlign="center" w:y="1"/>
              <w:spacing w:before="37" w:after="37"/>
              <w:ind w:left="86"/>
              <w:jc w:val="center"/>
              <w:rPr>
                <w:lang w:val="es-ES_tradnl"/>
              </w:rPr>
            </w:pPr>
            <w:r>
              <w:rPr>
                <w:lang w:val="es-ES_tradnl"/>
              </w:rPr>
              <w:t>7,7</w:t>
            </w:r>
          </w:p>
        </w:tc>
        <w:tc>
          <w:tcPr>
            <w:tcW w:w="1871" w:type="dxa"/>
            <w:tcBorders>
              <w:top w:val="single" w:sz="6" w:space="0" w:color="auto"/>
              <w:left w:val="single" w:sz="6" w:space="0" w:color="auto"/>
              <w:bottom w:val="single" w:sz="6" w:space="0" w:color="auto"/>
              <w:right w:val="single" w:sz="6" w:space="0" w:color="auto"/>
            </w:tcBorders>
          </w:tcPr>
          <w:p w14:paraId="7DA9A924" w14:textId="77777777" w:rsidR="008760D9" w:rsidRDefault="008760D9">
            <w:pPr>
              <w:pStyle w:val="TableText"/>
              <w:framePr w:hSpace="181" w:wrap="notBeside" w:vAnchor="text" w:hAnchor="page" w:xAlign="center" w:y="1"/>
              <w:spacing w:before="37" w:after="37"/>
              <w:jc w:val="center"/>
              <w:rPr>
                <w:lang w:val="es-ES_tradnl"/>
              </w:rPr>
            </w:pPr>
            <w:r>
              <w:rPr>
                <w:lang w:val="es-ES_tradnl"/>
              </w:rPr>
              <w:t>–35, 35</w:t>
            </w:r>
          </w:p>
        </w:tc>
      </w:tr>
      <w:tr w:rsidR="008760D9" w14:paraId="5EC800D3" w14:textId="77777777">
        <w:trPr>
          <w:cantSplit/>
          <w:jc w:val="center"/>
        </w:trPr>
        <w:tc>
          <w:tcPr>
            <w:tcW w:w="1588" w:type="dxa"/>
            <w:tcBorders>
              <w:top w:val="single" w:sz="6" w:space="0" w:color="auto"/>
              <w:left w:val="single" w:sz="6" w:space="0" w:color="auto"/>
              <w:bottom w:val="single" w:sz="6" w:space="0" w:color="auto"/>
              <w:right w:val="single" w:sz="6" w:space="0" w:color="auto"/>
            </w:tcBorders>
          </w:tcPr>
          <w:p w14:paraId="2BE1FECF" w14:textId="77777777" w:rsidR="008760D9" w:rsidRDefault="008760D9">
            <w:pPr>
              <w:pStyle w:val="TableText"/>
              <w:framePr w:hSpace="181" w:wrap="notBeside" w:vAnchor="text" w:hAnchor="page" w:xAlign="center" w:y="1"/>
              <w:spacing w:before="37" w:after="37"/>
              <w:jc w:val="center"/>
              <w:rPr>
                <w:lang w:val="es-ES_tradnl"/>
              </w:rPr>
            </w:pPr>
            <w:r>
              <w:rPr>
                <w:lang w:val="es-ES_tradnl"/>
              </w:rPr>
              <w:t>F</w:t>
            </w:r>
          </w:p>
        </w:tc>
        <w:tc>
          <w:tcPr>
            <w:tcW w:w="1622" w:type="dxa"/>
            <w:tcBorders>
              <w:top w:val="single" w:sz="6" w:space="0" w:color="auto"/>
              <w:left w:val="single" w:sz="6" w:space="0" w:color="auto"/>
              <w:bottom w:val="single" w:sz="6" w:space="0" w:color="auto"/>
              <w:right w:val="single" w:sz="6" w:space="0" w:color="auto"/>
            </w:tcBorders>
          </w:tcPr>
          <w:p w14:paraId="17F90D5D" w14:textId="77777777" w:rsidR="008760D9" w:rsidRDefault="008760D9">
            <w:pPr>
              <w:pStyle w:val="TableText"/>
              <w:framePr w:hSpace="181" w:wrap="notBeside" w:vAnchor="text" w:hAnchor="page" w:xAlign="center" w:y="1"/>
              <w:tabs>
                <w:tab w:val="clear" w:pos="1191"/>
                <w:tab w:val="clear" w:pos="1588"/>
                <w:tab w:val="clear" w:pos="1985"/>
                <w:tab w:val="right" w:pos="794"/>
              </w:tabs>
              <w:spacing w:before="37" w:after="37"/>
              <w:jc w:val="left"/>
              <w:rPr>
                <w:lang w:val="es-ES_tradnl"/>
              </w:rPr>
            </w:pPr>
            <w:r>
              <w:rPr>
                <w:lang w:val="es-ES_tradnl"/>
              </w:rPr>
              <w:tab/>
              <w:t>6</w:t>
            </w:r>
          </w:p>
        </w:tc>
        <w:tc>
          <w:tcPr>
            <w:tcW w:w="1588" w:type="dxa"/>
            <w:tcBorders>
              <w:top w:val="single" w:sz="6" w:space="0" w:color="auto"/>
              <w:left w:val="single" w:sz="6" w:space="0" w:color="auto"/>
              <w:bottom w:val="single" w:sz="6" w:space="0" w:color="auto"/>
              <w:right w:val="single" w:sz="6" w:space="0" w:color="auto"/>
            </w:tcBorders>
          </w:tcPr>
          <w:p w14:paraId="48826B2C" w14:textId="77777777" w:rsidR="008760D9" w:rsidRDefault="008760D9">
            <w:pPr>
              <w:pStyle w:val="TableText"/>
              <w:framePr w:hSpace="181" w:wrap="notBeside" w:vAnchor="text" w:hAnchor="page" w:xAlign="center" w:y="1"/>
              <w:spacing w:before="37" w:after="37"/>
              <w:jc w:val="center"/>
              <w:rPr>
                <w:lang w:val="es-ES_tradnl"/>
              </w:rPr>
            </w:pPr>
            <w:r>
              <w:rPr>
                <w:lang w:val="es-ES_tradnl"/>
              </w:rPr>
              <w:t>150</w:t>
            </w:r>
          </w:p>
        </w:tc>
        <w:tc>
          <w:tcPr>
            <w:tcW w:w="1588" w:type="dxa"/>
            <w:tcBorders>
              <w:top w:val="single" w:sz="6" w:space="0" w:color="auto"/>
              <w:left w:val="single" w:sz="6" w:space="0" w:color="auto"/>
              <w:bottom w:val="single" w:sz="6" w:space="0" w:color="auto"/>
              <w:right w:val="single" w:sz="6" w:space="0" w:color="auto"/>
            </w:tcBorders>
          </w:tcPr>
          <w:p w14:paraId="4E564E46" w14:textId="77777777" w:rsidR="008760D9" w:rsidRDefault="008760D9">
            <w:pPr>
              <w:pStyle w:val="TableText"/>
              <w:framePr w:hSpace="181" w:wrap="notBeside" w:vAnchor="text" w:hAnchor="page" w:xAlign="center" w:y="1"/>
              <w:spacing w:before="37" w:after="37"/>
              <w:jc w:val="center"/>
              <w:rPr>
                <w:lang w:val="es-ES_tradnl"/>
              </w:rPr>
            </w:pPr>
            <w:r>
              <w:rPr>
                <w:lang w:val="es-ES_tradnl"/>
              </w:rPr>
              <w:t>X1, Y1</w:t>
            </w:r>
          </w:p>
        </w:tc>
        <w:tc>
          <w:tcPr>
            <w:tcW w:w="1474" w:type="dxa"/>
            <w:tcBorders>
              <w:top w:val="single" w:sz="6" w:space="0" w:color="auto"/>
              <w:left w:val="single" w:sz="6" w:space="0" w:color="auto"/>
              <w:bottom w:val="single" w:sz="6" w:space="0" w:color="auto"/>
              <w:right w:val="single" w:sz="6" w:space="0" w:color="auto"/>
            </w:tcBorders>
          </w:tcPr>
          <w:p w14:paraId="6005C4B8" w14:textId="77777777" w:rsidR="008760D9" w:rsidRDefault="008760D9">
            <w:pPr>
              <w:pStyle w:val="TableText"/>
              <w:framePr w:hSpace="181" w:wrap="notBeside" w:vAnchor="text" w:hAnchor="page" w:xAlign="center" w:y="1"/>
              <w:spacing w:before="37" w:after="37"/>
              <w:jc w:val="center"/>
              <w:rPr>
                <w:lang w:val="es-ES_tradnl"/>
              </w:rPr>
            </w:pPr>
            <w:r>
              <w:rPr>
                <w:lang w:val="es-ES_tradnl"/>
              </w:rPr>
              <w:t>12,9</w:t>
            </w:r>
          </w:p>
        </w:tc>
        <w:tc>
          <w:tcPr>
            <w:tcW w:w="1871" w:type="dxa"/>
            <w:tcBorders>
              <w:top w:val="single" w:sz="6" w:space="0" w:color="auto"/>
              <w:left w:val="single" w:sz="6" w:space="0" w:color="auto"/>
              <w:bottom w:val="single" w:sz="6" w:space="0" w:color="auto"/>
              <w:right w:val="single" w:sz="6" w:space="0" w:color="auto"/>
            </w:tcBorders>
          </w:tcPr>
          <w:p w14:paraId="5858B942" w14:textId="77777777" w:rsidR="008760D9" w:rsidRDefault="008760D9">
            <w:pPr>
              <w:pStyle w:val="TableText"/>
              <w:framePr w:hSpace="181" w:wrap="notBeside" w:vAnchor="text" w:hAnchor="page" w:xAlign="center" w:y="1"/>
              <w:spacing w:before="37" w:after="37"/>
              <w:jc w:val="center"/>
              <w:rPr>
                <w:lang w:val="es-ES_tradnl"/>
              </w:rPr>
            </w:pPr>
            <w:r>
              <w:rPr>
                <w:lang w:val="es-ES_tradnl"/>
              </w:rPr>
              <w:t>–25,5, 25,5</w:t>
            </w:r>
          </w:p>
        </w:tc>
      </w:tr>
      <w:tr w:rsidR="008760D9" w14:paraId="0A38E82D" w14:textId="77777777">
        <w:trPr>
          <w:cantSplit/>
          <w:jc w:val="center"/>
        </w:trPr>
        <w:tc>
          <w:tcPr>
            <w:tcW w:w="1588" w:type="dxa"/>
            <w:tcBorders>
              <w:top w:val="single" w:sz="6" w:space="0" w:color="auto"/>
              <w:left w:val="single" w:sz="6" w:space="0" w:color="auto"/>
              <w:bottom w:val="single" w:sz="6" w:space="0" w:color="auto"/>
              <w:right w:val="single" w:sz="6" w:space="0" w:color="auto"/>
            </w:tcBorders>
          </w:tcPr>
          <w:p w14:paraId="39D4956A" w14:textId="77777777" w:rsidR="008760D9" w:rsidRDefault="008760D9">
            <w:pPr>
              <w:pStyle w:val="TableText"/>
              <w:framePr w:hSpace="181" w:wrap="notBeside" w:vAnchor="text" w:hAnchor="page" w:xAlign="center" w:y="1"/>
              <w:spacing w:before="37" w:after="37"/>
              <w:jc w:val="center"/>
              <w:rPr>
                <w:lang w:val="es-ES_tradnl"/>
              </w:rPr>
            </w:pPr>
            <w:r>
              <w:rPr>
                <w:lang w:val="es-ES_tradnl"/>
              </w:rPr>
              <w:t>G</w:t>
            </w:r>
          </w:p>
        </w:tc>
        <w:tc>
          <w:tcPr>
            <w:tcW w:w="1622" w:type="dxa"/>
            <w:tcBorders>
              <w:top w:val="single" w:sz="6" w:space="0" w:color="auto"/>
              <w:left w:val="single" w:sz="6" w:space="0" w:color="auto"/>
              <w:bottom w:val="single" w:sz="6" w:space="0" w:color="auto"/>
              <w:right w:val="single" w:sz="6" w:space="0" w:color="auto"/>
            </w:tcBorders>
          </w:tcPr>
          <w:p w14:paraId="2B74D987" w14:textId="77777777" w:rsidR="008760D9" w:rsidRDefault="008760D9">
            <w:pPr>
              <w:pStyle w:val="TableText"/>
              <w:framePr w:hSpace="181" w:wrap="notBeside" w:vAnchor="text" w:hAnchor="page" w:xAlign="center" w:y="1"/>
              <w:tabs>
                <w:tab w:val="clear" w:pos="1191"/>
                <w:tab w:val="clear" w:pos="1588"/>
                <w:tab w:val="clear" w:pos="1985"/>
                <w:tab w:val="right" w:pos="794"/>
              </w:tabs>
              <w:spacing w:before="37" w:after="37"/>
              <w:jc w:val="left"/>
              <w:rPr>
                <w:lang w:val="es-ES_tradnl"/>
              </w:rPr>
            </w:pPr>
            <w:r>
              <w:rPr>
                <w:lang w:val="es-ES_tradnl"/>
              </w:rPr>
              <w:tab/>
              <w:t>9</w:t>
            </w:r>
          </w:p>
        </w:tc>
        <w:tc>
          <w:tcPr>
            <w:tcW w:w="1588" w:type="dxa"/>
            <w:tcBorders>
              <w:top w:val="single" w:sz="6" w:space="0" w:color="auto"/>
              <w:left w:val="single" w:sz="6" w:space="0" w:color="auto"/>
              <w:bottom w:val="single" w:sz="6" w:space="0" w:color="auto"/>
              <w:right w:val="single" w:sz="6" w:space="0" w:color="auto"/>
            </w:tcBorders>
          </w:tcPr>
          <w:p w14:paraId="3CC9D79A" w14:textId="77777777" w:rsidR="008760D9" w:rsidRDefault="008760D9">
            <w:pPr>
              <w:pStyle w:val="TableText"/>
              <w:framePr w:hSpace="181" w:wrap="notBeside" w:vAnchor="text" w:hAnchor="page" w:xAlign="center" w:y="1"/>
              <w:spacing w:before="37" w:after="37"/>
              <w:jc w:val="center"/>
              <w:rPr>
                <w:lang w:val="es-ES_tradnl"/>
              </w:rPr>
            </w:pPr>
            <w:r>
              <w:rPr>
                <w:lang w:val="es-ES_tradnl"/>
              </w:rPr>
              <w:t>300</w:t>
            </w:r>
          </w:p>
        </w:tc>
        <w:tc>
          <w:tcPr>
            <w:tcW w:w="1588" w:type="dxa"/>
            <w:tcBorders>
              <w:top w:val="single" w:sz="6" w:space="0" w:color="auto"/>
              <w:left w:val="single" w:sz="6" w:space="0" w:color="auto"/>
              <w:bottom w:val="single" w:sz="6" w:space="0" w:color="auto"/>
              <w:right w:val="single" w:sz="6" w:space="0" w:color="auto"/>
            </w:tcBorders>
          </w:tcPr>
          <w:p w14:paraId="2660F455" w14:textId="77777777" w:rsidR="008760D9" w:rsidRDefault="008760D9">
            <w:pPr>
              <w:pStyle w:val="TableText"/>
              <w:framePr w:hSpace="181" w:wrap="notBeside" w:vAnchor="text" w:hAnchor="page" w:xAlign="center" w:y="1"/>
              <w:spacing w:before="37" w:after="37"/>
              <w:jc w:val="center"/>
              <w:rPr>
                <w:lang w:val="es-ES_tradnl"/>
              </w:rPr>
            </w:pPr>
            <w:r>
              <w:rPr>
                <w:lang w:val="es-ES_tradnl"/>
              </w:rPr>
              <w:t>X2, Y2</w:t>
            </w:r>
          </w:p>
        </w:tc>
        <w:tc>
          <w:tcPr>
            <w:tcW w:w="1474" w:type="dxa"/>
            <w:tcBorders>
              <w:top w:val="single" w:sz="6" w:space="0" w:color="auto"/>
              <w:left w:val="single" w:sz="6" w:space="0" w:color="auto"/>
              <w:bottom w:val="single" w:sz="6" w:space="0" w:color="auto"/>
              <w:right w:val="single" w:sz="6" w:space="0" w:color="auto"/>
            </w:tcBorders>
          </w:tcPr>
          <w:p w14:paraId="708A1BFF" w14:textId="77777777" w:rsidR="008760D9" w:rsidRDefault="008760D9">
            <w:pPr>
              <w:pStyle w:val="TableText"/>
              <w:framePr w:hSpace="181" w:wrap="notBeside" w:vAnchor="text" w:hAnchor="page" w:xAlign="center" w:y="1"/>
              <w:spacing w:before="37" w:after="37"/>
              <w:jc w:val="center"/>
              <w:rPr>
                <w:lang w:val="es-ES_tradnl"/>
              </w:rPr>
            </w:pPr>
            <w:r>
              <w:rPr>
                <w:lang w:val="es-ES_tradnl"/>
              </w:rPr>
              <w:t>18,8</w:t>
            </w:r>
          </w:p>
        </w:tc>
        <w:tc>
          <w:tcPr>
            <w:tcW w:w="1871" w:type="dxa"/>
            <w:tcBorders>
              <w:top w:val="single" w:sz="6" w:space="0" w:color="auto"/>
              <w:left w:val="single" w:sz="6" w:space="0" w:color="auto"/>
              <w:bottom w:val="single" w:sz="6" w:space="0" w:color="auto"/>
              <w:right w:val="single" w:sz="6" w:space="0" w:color="auto"/>
            </w:tcBorders>
          </w:tcPr>
          <w:p w14:paraId="7D60EB89" w14:textId="77777777" w:rsidR="008760D9" w:rsidRDefault="008760D9">
            <w:pPr>
              <w:pStyle w:val="TableText"/>
              <w:framePr w:hSpace="181" w:wrap="notBeside" w:vAnchor="text" w:hAnchor="page" w:xAlign="center" w:y="1"/>
              <w:spacing w:before="37" w:after="37"/>
              <w:jc w:val="center"/>
              <w:rPr>
                <w:lang w:val="es-ES_tradnl"/>
              </w:rPr>
            </w:pPr>
            <w:r>
              <w:rPr>
                <w:lang w:val="es-ES_tradnl"/>
              </w:rPr>
              <w:t>–17,2, 17,2</w:t>
            </w:r>
          </w:p>
        </w:tc>
      </w:tr>
      <w:tr w:rsidR="008760D9" w14:paraId="4CBDD5F5" w14:textId="77777777">
        <w:trPr>
          <w:cantSplit/>
          <w:jc w:val="center"/>
        </w:trPr>
        <w:tc>
          <w:tcPr>
            <w:tcW w:w="1588" w:type="dxa"/>
            <w:tcBorders>
              <w:top w:val="single" w:sz="6" w:space="0" w:color="auto"/>
              <w:left w:val="single" w:sz="6" w:space="0" w:color="auto"/>
              <w:bottom w:val="single" w:sz="6" w:space="0" w:color="auto"/>
              <w:right w:val="single" w:sz="6" w:space="0" w:color="auto"/>
            </w:tcBorders>
          </w:tcPr>
          <w:p w14:paraId="442FAE22" w14:textId="77777777" w:rsidR="008760D9" w:rsidRDefault="008760D9">
            <w:pPr>
              <w:pStyle w:val="TableText"/>
              <w:framePr w:hSpace="181" w:wrap="notBeside" w:vAnchor="text" w:hAnchor="page" w:xAlign="center" w:y="1"/>
              <w:spacing w:before="37" w:after="37"/>
              <w:jc w:val="center"/>
              <w:rPr>
                <w:lang w:val="es-ES_tradnl"/>
              </w:rPr>
            </w:pPr>
            <w:r>
              <w:rPr>
                <w:lang w:val="es-ES_tradnl"/>
              </w:rPr>
              <w:t>H</w:t>
            </w:r>
          </w:p>
        </w:tc>
        <w:tc>
          <w:tcPr>
            <w:tcW w:w="1622" w:type="dxa"/>
            <w:tcBorders>
              <w:top w:val="single" w:sz="6" w:space="0" w:color="auto"/>
              <w:left w:val="single" w:sz="6" w:space="0" w:color="auto"/>
              <w:bottom w:val="single" w:sz="6" w:space="0" w:color="auto"/>
              <w:right w:val="single" w:sz="6" w:space="0" w:color="auto"/>
            </w:tcBorders>
          </w:tcPr>
          <w:p w14:paraId="7438397F" w14:textId="77777777" w:rsidR="008760D9" w:rsidRDefault="008760D9">
            <w:pPr>
              <w:pStyle w:val="TableText"/>
              <w:framePr w:hSpace="181" w:wrap="notBeside" w:vAnchor="text" w:hAnchor="page" w:xAlign="center" w:y="1"/>
              <w:tabs>
                <w:tab w:val="clear" w:pos="1191"/>
                <w:tab w:val="clear" w:pos="1588"/>
                <w:tab w:val="clear" w:pos="1985"/>
                <w:tab w:val="right" w:pos="794"/>
              </w:tabs>
              <w:spacing w:before="37" w:after="37"/>
              <w:jc w:val="left"/>
              <w:rPr>
                <w:lang w:val="es-ES_tradnl"/>
              </w:rPr>
            </w:pPr>
            <w:r>
              <w:rPr>
                <w:lang w:val="es-ES_tradnl"/>
              </w:rPr>
              <w:tab/>
              <w:t>12</w:t>
            </w:r>
          </w:p>
        </w:tc>
        <w:tc>
          <w:tcPr>
            <w:tcW w:w="1588" w:type="dxa"/>
            <w:tcBorders>
              <w:top w:val="single" w:sz="6" w:space="0" w:color="auto"/>
              <w:left w:val="single" w:sz="6" w:space="0" w:color="auto"/>
              <w:bottom w:val="single" w:sz="6" w:space="0" w:color="auto"/>
              <w:right w:val="single" w:sz="6" w:space="0" w:color="auto"/>
            </w:tcBorders>
          </w:tcPr>
          <w:p w14:paraId="2C02B39A" w14:textId="77777777" w:rsidR="008760D9" w:rsidRDefault="008760D9">
            <w:pPr>
              <w:pStyle w:val="TableText"/>
              <w:framePr w:hSpace="181" w:wrap="notBeside" w:vAnchor="text" w:hAnchor="page" w:xAlign="center" w:y="1"/>
              <w:spacing w:before="37" w:after="37"/>
              <w:jc w:val="center"/>
              <w:rPr>
                <w:lang w:val="es-ES_tradnl"/>
              </w:rPr>
            </w:pPr>
            <w:r>
              <w:rPr>
                <w:lang w:val="es-ES_tradnl"/>
              </w:rPr>
              <w:t>450</w:t>
            </w:r>
          </w:p>
        </w:tc>
        <w:tc>
          <w:tcPr>
            <w:tcW w:w="1588" w:type="dxa"/>
            <w:tcBorders>
              <w:top w:val="single" w:sz="6" w:space="0" w:color="auto"/>
              <w:left w:val="single" w:sz="6" w:space="0" w:color="auto"/>
              <w:bottom w:val="single" w:sz="6" w:space="0" w:color="auto"/>
              <w:right w:val="single" w:sz="6" w:space="0" w:color="auto"/>
            </w:tcBorders>
          </w:tcPr>
          <w:p w14:paraId="7EB0D529" w14:textId="77777777" w:rsidR="008760D9" w:rsidRDefault="008760D9">
            <w:pPr>
              <w:pStyle w:val="TableText"/>
              <w:framePr w:hSpace="181" w:wrap="notBeside" w:vAnchor="text" w:hAnchor="page" w:xAlign="center" w:y="1"/>
              <w:spacing w:before="37" w:after="37"/>
              <w:jc w:val="center"/>
              <w:rPr>
                <w:lang w:val="es-ES_tradnl"/>
              </w:rPr>
            </w:pPr>
            <w:r>
              <w:rPr>
                <w:lang w:val="es-ES_tradnl"/>
              </w:rPr>
              <w:t>X3, Y3</w:t>
            </w:r>
          </w:p>
        </w:tc>
        <w:tc>
          <w:tcPr>
            <w:tcW w:w="1474" w:type="dxa"/>
            <w:tcBorders>
              <w:top w:val="single" w:sz="6" w:space="0" w:color="auto"/>
              <w:left w:val="single" w:sz="6" w:space="0" w:color="auto"/>
              <w:bottom w:val="single" w:sz="6" w:space="0" w:color="auto"/>
              <w:right w:val="single" w:sz="6" w:space="0" w:color="auto"/>
            </w:tcBorders>
          </w:tcPr>
          <w:p w14:paraId="60EE8B44" w14:textId="77777777" w:rsidR="008760D9" w:rsidRDefault="008760D9">
            <w:pPr>
              <w:pStyle w:val="TableText"/>
              <w:framePr w:hSpace="181" w:wrap="notBeside" w:vAnchor="text" w:hAnchor="page" w:xAlign="center" w:y="1"/>
              <w:spacing w:before="37" w:after="37"/>
              <w:jc w:val="center"/>
              <w:rPr>
                <w:lang w:val="es-ES_tradnl"/>
              </w:rPr>
            </w:pPr>
            <w:r>
              <w:rPr>
                <w:lang w:val="es-ES_tradnl"/>
              </w:rPr>
              <w:t>24,9</w:t>
            </w:r>
          </w:p>
        </w:tc>
        <w:tc>
          <w:tcPr>
            <w:tcW w:w="1871" w:type="dxa"/>
            <w:tcBorders>
              <w:top w:val="single" w:sz="6" w:space="0" w:color="auto"/>
              <w:left w:val="single" w:sz="6" w:space="0" w:color="auto"/>
              <w:bottom w:val="single" w:sz="6" w:space="0" w:color="auto"/>
              <w:right w:val="single" w:sz="6" w:space="0" w:color="auto"/>
            </w:tcBorders>
          </w:tcPr>
          <w:p w14:paraId="3A6195D5" w14:textId="77777777" w:rsidR="008760D9" w:rsidRDefault="008760D9">
            <w:pPr>
              <w:pStyle w:val="TableText"/>
              <w:framePr w:hSpace="181" w:wrap="notBeside" w:vAnchor="text" w:hAnchor="page" w:xAlign="center" w:y="1"/>
              <w:spacing w:before="37" w:after="37"/>
              <w:jc w:val="center"/>
              <w:rPr>
                <w:lang w:val="es-ES_tradnl"/>
              </w:rPr>
            </w:pPr>
            <w:r>
              <w:rPr>
                <w:lang w:val="es-ES_tradnl"/>
              </w:rPr>
              <w:t>–12,9, 12,9</w:t>
            </w:r>
          </w:p>
        </w:tc>
      </w:tr>
      <w:tr w:rsidR="008760D9" w14:paraId="3345C3B0" w14:textId="77777777">
        <w:trPr>
          <w:cantSplit/>
          <w:jc w:val="center"/>
        </w:trPr>
        <w:tc>
          <w:tcPr>
            <w:tcW w:w="1588" w:type="dxa"/>
            <w:tcBorders>
              <w:top w:val="single" w:sz="6" w:space="0" w:color="auto"/>
              <w:left w:val="single" w:sz="6" w:space="0" w:color="auto"/>
              <w:bottom w:val="single" w:sz="6" w:space="0" w:color="auto"/>
              <w:right w:val="single" w:sz="6" w:space="0" w:color="auto"/>
            </w:tcBorders>
          </w:tcPr>
          <w:p w14:paraId="29C60015" w14:textId="77777777" w:rsidR="008760D9" w:rsidRDefault="008760D9">
            <w:pPr>
              <w:pStyle w:val="TableText"/>
              <w:framePr w:hSpace="181" w:wrap="notBeside" w:vAnchor="text" w:hAnchor="page" w:xAlign="center" w:y="1"/>
              <w:spacing w:before="37" w:after="37"/>
              <w:jc w:val="center"/>
              <w:rPr>
                <w:lang w:val="es-ES_tradnl"/>
              </w:rPr>
            </w:pPr>
            <w:r>
              <w:rPr>
                <w:lang w:val="es-ES_tradnl"/>
              </w:rPr>
              <w:t>I</w:t>
            </w:r>
          </w:p>
        </w:tc>
        <w:tc>
          <w:tcPr>
            <w:tcW w:w="1622" w:type="dxa"/>
            <w:tcBorders>
              <w:top w:val="single" w:sz="6" w:space="0" w:color="auto"/>
              <w:left w:val="single" w:sz="6" w:space="0" w:color="auto"/>
              <w:bottom w:val="single" w:sz="6" w:space="0" w:color="auto"/>
              <w:right w:val="single" w:sz="6" w:space="0" w:color="auto"/>
            </w:tcBorders>
          </w:tcPr>
          <w:p w14:paraId="2BFDE492" w14:textId="77777777" w:rsidR="008760D9" w:rsidRDefault="008760D9">
            <w:pPr>
              <w:pStyle w:val="TableText"/>
              <w:framePr w:hSpace="181" w:wrap="notBeside" w:vAnchor="text" w:hAnchor="page" w:xAlign="center" w:y="1"/>
              <w:tabs>
                <w:tab w:val="clear" w:pos="1191"/>
                <w:tab w:val="clear" w:pos="1588"/>
                <w:tab w:val="clear" w:pos="1985"/>
                <w:tab w:val="right" w:pos="794"/>
              </w:tabs>
              <w:spacing w:before="37" w:after="37"/>
              <w:jc w:val="left"/>
              <w:rPr>
                <w:lang w:val="es-ES_tradnl"/>
              </w:rPr>
            </w:pPr>
            <w:r>
              <w:rPr>
                <w:lang w:val="es-ES_tradnl"/>
              </w:rPr>
              <w:tab/>
              <w:t>15</w:t>
            </w:r>
          </w:p>
        </w:tc>
        <w:tc>
          <w:tcPr>
            <w:tcW w:w="1588" w:type="dxa"/>
            <w:tcBorders>
              <w:top w:val="single" w:sz="6" w:space="0" w:color="auto"/>
              <w:left w:val="single" w:sz="6" w:space="0" w:color="auto"/>
              <w:bottom w:val="single" w:sz="6" w:space="0" w:color="auto"/>
              <w:right w:val="single" w:sz="6" w:space="0" w:color="auto"/>
            </w:tcBorders>
          </w:tcPr>
          <w:p w14:paraId="46367EB2" w14:textId="77777777" w:rsidR="008760D9" w:rsidRDefault="008760D9">
            <w:pPr>
              <w:pStyle w:val="TableText"/>
              <w:framePr w:hSpace="181" w:wrap="notBeside" w:vAnchor="text" w:hAnchor="page" w:xAlign="center" w:y="1"/>
              <w:spacing w:before="37" w:after="37"/>
              <w:jc w:val="center"/>
              <w:rPr>
                <w:lang w:val="es-ES_tradnl"/>
              </w:rPr>
            </w:pPr>
            <w:r>
              <w:rPr>
                <w:lang w:val="es-ES_tradnl"/>
              </w:rPr>
              <w:t>600</w:t>
            </w:r>
          </w:p>
        </w:tc>
        <w:tc>
          <w:tcPr>
            <w:tcW w:w="1588" w:type="dxa"/>
            <w:tcBorders>
              <w:top w:val="single" w:sz="6" w:space="0" w:color="auto"/>
              <w:left w:val="single" w:sz="6" w:space="0" w:color="auto"/>
              <w:bottom w:val="single" w:sz="6" w:space="0" w:color="auto"/>
              <w:right w:val="single" w:sz="6" w:space="0" w:color="auto"/>
            </w:tcBorders>
          </w:tcPr>
          <w:p w14:paraId="33A73B58" w14:textId="77777777" w:rsidR="008760D9" w:rsidRDefault="008760D9">
            <w:pPr>
              <w:pStyle w:val="TableText"/>
              <w:framePr w:hSpace="181" w:wrap="notBeside" w:vAnchor="text" w:hAnchor="page" w:xAlign="center" w:y="1"/>
              <w:spacing w:before="37" w:after="37"/>
              <w:jc w:val="center"/>
              <w:rPr>
                <w:lang w:val="es-ES_tradnl"/>
              </w:rPr>
            </w:pPr>
            <w:r>
              <w:rPr>
                <w:lang w:val="es-ES_tradnl"/>
              </w:rPr>
              <w:t>X4, Y4</w:t>
            </w:r>
          </w:p>
        </w:tc>
        <w:tc>
          <w:tcPr>
            <w:tcW w:w="1474" w:type="dxa"/>
            <w:tcBorders>
              <w:top w:val="single" w:sz="6" w:space="0" w:color="auto"/>
              <w:left w:val="single" w:sz="6" w:space="0" w:color="auto"/>
              <w:bottom w:val="single" w:sz="6" w:space="0" w:color="auto"/>
              <w:right w:val="single" w:sz="6" w:space="0" w:color="auto"/>
            </w:tcBorders>
          </w:tcPr>
          <w:p w14:paraId="319C8027" w14:textId="77777777" w:rsidR="008760D9" w:rsidRDefault="008760D9">
            <w:pPr>
              <w:pStyle w:val="TableText"/>
              <w:framePr w:hSpace="181" w:wrap="notBeside" w:vAnchor="text" w:hAnchor="page" w:xAlign="center" w:y="1"/>
              <w:spacing w:before="37" w:after="37"/>
              <w:jc w:val="center"/>
              <w:rPr>
                <w:lang w:val="es-ES_tradnl"/>
              </w:rPr>
            </w:pPr>
            <w:r>
              <w:rPr>
                <w:lang w:val="es-ES_tradnl"/>
              </w:rPr>
              <w:t>31,5</w:t>
            </w:r>
          </w:p>
        </w:tc>
        <w:tc>
          <w:tcPr>
            <w:tcW w:w="1871" w:type="dxa"/>
            <w:tcBorders>
              <w:top w:val="single" w:sz="6" w:space="0" w:color="auto"/>
              <w:left w:val="single" w:sz="6" w:space="0" w:color="auto"/>
              <w:bottom w:val="single" w:sz="6" w:space="0" w:color="auto"/>
              <w:right w:val="single" w:sz="6" w:space="0" w:color="auto"/>
            </w:tcBorders>
          </w:tcPr>
          <w:p w14:paraId="5BED2232" w14:textId="77777777" w:rsidR="008760D9" w:rsidRDefault="008760D9">
            <w:pPr>
              <w:pStyle w:val="TableText"/>
              <w:framePr w:hSpace="181" w:wrap="notBeside" w:vAnchor="text" w:hAnchor="page" w:xAlign="center" w:y="1"/>
              <w:spacing w:before="37" w:after="37"/>
              <w:jc w:val="center"/>
              <w:rPr>
                <w:lang w:val="es-ES_tradnl"/>
              </w:rPr>
            </w:pPr>
            <w:r>
              <w:rPr>
                <w:lang w:val="es-ES_tradnl"/>
              </w:rPr>
              <w:t>–10, 10</w:t>
            </w:r>
          </w:p>
        </w:tc>
      </w:tr>
      <w:tr w:rsidR="008760D9" w14:paraId="6C8F4027" w14:textId="77777777">
        <w:trPr>
          <w:cantSplit/>
          <w:jc w:val="center"/>
        </w:trPr>
        <w:tc>
          <w:tcPr>
            <w:tcW w:w="1588" w:type="dxa"/>
            <w:tcBorders>
              <w:top w:val="single" w:sz="6" w:space="0" w:color="auto"/>
              <w:left w:val="single" w:sz="6" w:space="0" w:color="auto"/>
              <w:bottom w:val="single" w:sz="6" w:space="0" w:color="auto"/>
              <w:right w:val="single" w:sz="6" w:space="0" w:color="auto"/>
            </w:tcBorders>
          </w:tcPr>
          <w:p w14:paraId="16710384" w14:textId="77777777" w:rsidR="008760D9" w:rsidRDefault="008760D9">
            <w:pPr>
              <w:pStyle w:val="TableText"/>
              <w:framePr w:hSpace="181" w:wrap="notBeside" w:vAnchor="text" w:hAnchor="page" w:xAlign="center" w:y="1"/>
              <w:spacing w:before="37" w:after="37"/>
              <w:jc w:val="center"/>
              <w:rPr>
                <w:lang w:val="es-ES_tradnl"/>
              </w:rPr>
            </w:pPr>
            <w:r>
              <w:rPr>
                <w:lang w:val="es-ES_tradnl"/>
              </w:rPr>
              <w:t>J</w:t>
            </w:r>
          </w:p>
        </w:tc>
        <w:tc>
          <w:tcPr>
            <w:tcW w:w="1622" w:type="dxa"/>
            <w:tcBorders>
              <w:top w:val="single" w:sz="6" w:space="0" w:color="auto"/>
              <w:left w:val="single" w:sz="6" w:space="0" w:color="auto"/>
              <w:bottom w:val="single" w:sz="6" w:space="0" w:color="auto"/>
              <w:right w:val="single" w:sz="6" w:space="0" w:color="auto"/>
            </w:tcBorders>
          </w:tcPr>
          <w:p w14:paraId="08A0AADC" w14:textId="77777777" w:rsidR="008760D9" w:rsidRDefault="008760D9">
            <w:pPr>
              <w:pStyle w:val="TableText"/>
              <w:framePr w:hSpace="181" w:wrap="notBeside" w:vAnchor="text" w:hAnchor="page" w:xAlign="center" w:y="1"/>
              <w:tabs>
                <w:tab w:val="clear" w:pos="794"/>
                <w:tab w:val="clear" w:pos="1191"/>
                <w:tab w:val="clear" w:pos="1588"/>
                <w:tab w:val="clear" w:pos="1985"/>
                <w:tab w:val="right" w:pos="993"/>
              </w:tabs>
              <w:spacing w:before="37" w:after="37"/>
              <w:jc w:val="left"/>
              <w:rPr>
                <w:lang w:val="es-ES_tradnl"/>
              </w:rPr>
            </w:pPr>
            <w:r>
              <w:rPr>
                <w:lang w:val="es-ES_tradnl"/>
              </w:rPr>
              <w:tab/>
              <w:t>21,25</w:t>
            </w:r>
          </w:p>
        </w:tc>
        <w:tc>
          <w:tcPr>
            <w:tcW w:w="1588" w:type="dxa"/>
            <w:tcBorders>
              <w:top w:val="single" w:sz="6" w:space="0" w:color="auto"/>
              <w:left w:val="single" w:sz="6" w:space="0" w:color="auto"/>
              <w:bottom w:val="single" w:sz="6" w:space="0" w:color="auto"/>
              <w:right w:val="single" w:sz="6" w:space="0" w:color="auto"/>
            </w:tcBorders>
          </w:tcPr>
          <w:p w14:paraId="16C76D7A" w14:textId="77777777" w:rsidR="008760D9" w:rsidRDefault="008760D9">
            <w:pPr>
              <w:pStyle w:val="TableText"/>
              <w:framePr w:hSpace="181" w:wrap="notBeside" w:vAnchor="text" w:hAnchor="page" w:xAlign="center" w:y="1"/>
              <w:spacing w:before="37" w:after="37"/>
              <w:jc w:val="center"/>
              <w:rPr>
                <w:lang w:val="es-ES_tradnl"/>
              </w:rPr>
            </w:pPr>
            <w:r>
              <w:rPr>
                <w:lang w:val="es-ES_tradnl"/>
              </w:rPr>
              <w:t>600</w:t>
            </w:r>
          </w:p>
        </w:tc>
        <w:tc>
          <w:tcPr>
            <w:tcW w:w="1588" w:type="dxa"/>
            <w:tcBorders>
              <w:top w:val="single" w:sz="6" w:space="0" w:color="auto"/>
              <w:left w:val="single" w:sz="6" w:space="0" w:color="auto"/>
              <w:bottom w:val="single" w:sz="6" w:space="0" w:color="auto"/>
              <w:right w:val="single" w:sz="6" w:space="0" w:color="auto"/>
            </w:tcBorders>
          </w:tcPr>
          <w:p w14:paraId="7BBF9398" w14:textId="77777777" w:rsidR="008760D9" w:rsidRDefault="008760D9">
            <w:pPr>
              <w:pStyle w:val="TableText"/>
              <w:framePr w:hSpace="181" w:wrap="notBeside" w:vAnchor="text" w:hAnchor="page" w:xAlign="center" w:y="1"/>
              <w:spacing w:before="37" w:after="37"/>
              <w:jc w:val="center"/>
              <w:rPr>
                <w:lang w:val="es-ES_tradnl"/>
              </w:rPr>
            </w:pPr>
            <w:r>
              <w:rPr>
                <w:lang w:val="es-ES_tradnl"/>
              </w:rPr>
              <w:t>X5, Y5</w:t>
            </w:r>
          </w:p>
        </w:tc>
        <w:tc>
          <w:tcPr>
            <w:tcW w:w="1474" w:type="dxa"/>
            <w:tcBorders>
              <w:top w:val="single" w:sz="6" w:space="0" w:color="auto"/>
              <w:left w:val="single" w:sz="6" w:space="0" w:color="auto"/>
              <w:bottom w:val="single" w:sz="6" w:space="0" w:color="auto"/>
              <w:right w:val="single" w:sz="6" w:space="0" w:color="auto"/>
            </w:tcBorders>
          </w:tcPr>
          <w:p w14:paraId="7F8E29D9" w14:textId="77777777" w:rsidR="008760D9" w:rsidRDefault="008760D9">
            <w:pPr>
              <w:pStyle w:val="TableText"/>
              <w:framePr w:hSpace="181" w:wrap="notBeside" w:vAnchor="text" w:hAnchor="page" w:xAlign="center" w:y="1"/>
              <w:spacing w:before="37" w:after="37"/>
              <w:jc w:val="center"/>
              <w:rPr>
                <w:lang w:val="es-ES_tradnl"/>
              </w:rPr>
            </w:pPr>
            <w:r>
              <w:rPr>
                <w:lang w:val="es-ES_tradnl"/>
              </w:rPr>
              <w:t>37,3</w:t>
            </w:r>
          </w:p>
        </w:tc>
        <w:tc>
          <w:tcPr>
            <w:tcW w:w="1871" w:type="dxa"/>
            <w:tcBorders>
              <w:top w:val="single" w:sz="6" w:space="0" w:color="auto"/>
              <w:left w:val="single" w:sz="6" w:space="0" w:color="auto"/>
              <w:bottom w:val="single" w:sz="6" w:space="0" w:color="auto"/>
              <w:right w:val="single" w:sz="6" w:space="0" w:color="auto"/>
            </w:tcBorders>
          </w:tcPr>
          <w:p w14:paraId="0BE85EF3" w14:textId="77777777" w:rsidR="008760D9" w:rsidRDefault="008760D9">
            <w:pPr>
              <w:pStyle w:val="TableText"/>
              <w:framePr w:hSpace="181" w:wrap="notBeside" w:vAnchor="text" w:hAnchor="page" w:xAlign="center" w:y="1"/>
              <w:spacing w:before="37" w:after="37"/>
              <w:jc w:val="center"/>
              <w:rPr>
                <w:lang w:val="es-ES_tradnl"/>
              </w:rPr>
            </w:pPr>
            <w:r>
              <w:rPr>
                <w:lang w:val="es-ES_tradnl"/>
              </w:rPr>
              <w:t>–8,6, 8,6</w:t>
            </w:r>
          </w:p>
        </w:tc>
      </w:tr>
      <w:tr w:rsidR="008760D9" w14:paraId="4593C4E3" w14:textId="77777777">
        <w:trPr>
          <w:cantSplit/>
          <w:jc w:val="center"/>
        </w:trPr>
        <w:tc>
          <w:tcPr>
            <w:tcW w:w="1588" w:type="dxa"/>
            <w:tcBorders>
              <w:top w:val="single" w:sz="6" w:space="0" w:color="auto"/>
              <w:left w:val="single" w:sz="6" w:space="0" w:color="auto"/>
              <w:bottom w:val="single" w:sz="6" w:space="0" w:color="auto"/>
              <w:right w:val="single" w:sz="6" w:space="0" w:color="auto"/>
            </w:tcBorders>
          </w:tcPr>
          <w:p w14:paraId="4E9D1AFE" w14:textId="77777777" w:rsidR="008760D9" w:rsidRDefault="008760D9">
            <w:pPr>
              <w:pStyle w:val="TableText"/>
              <w:framePr w:hSpace="181" w:wrap="notBeside" w:vAnchor="text" w:hAnchor="page" w:xAlign="center" w:y="1"/>
              <w:spacing w:before="37" w:after="37"/>
              <w:jc w:val="center"/>
              <w:rPr>
                <w:lang w:val="es-ES_tradnl"/>
              </w:rPr>
            </w:pPr>
            <w:r>
              <w:rPr>
                <w:lang w:val="es-ES_tradnl"/>
              </w:rPr>
              <w:t>K</w:t>
            </w:r>
          </w:p>
        </w:tc>
        <w:tc>
          <w:tcPr>
            <w:tcW w:w="1622" w:type="dxa"/>
            <w:tcBorders>
              <w:top w:val="single" w:sz="6" w:space="0" w:color="auto"/>
              <w:left w:val="single" w:sz="6" w:space="0" w:color="auto"/>
              <w:bottom w:val="single" w:sz="6" w:space="0" w:color="auto"/>
              <w:right w:val="single" w:sz="6" w:space="0" w:color="auto"/>
            </w:tcBorders>
          </w:tcPr>
          <w:p w14:paraId="7C2161CE" w14:textId="77777777" w:rsidR="008760D9" w:rsidRDefault="008760D9">
            <w:pPr>
              <w:pStyle w:val="TableText"/>
              <w:framePr w:hSpace="181" w:wrap="notBeside" w:vAnchor="text" w:hAnchor="page" w:xAlign="center" w:y="1"/>
              <w:tabs>
                <w:tab w:val="clear" w:pos="794"/>
                <w:tab w:val="clear" w:pos="1191"/>
                <w:tab w:val="clear" w:pos="1588"/>
                <w:tab w:val="clear" w:pos="1985"/>
                <w:tab w:val="right" w:pos="907"/>
              </w:tabs>
              <w:spacing w:before="37" w:after="37"/>
              <w:jc w:val="left"/>
              <w:rPr>
                <w:lang w:val="es-ES_tradnl"/>
              </w:rPr>
            </w:pPr>
            <w:r>
              <w:rPr>
                <w:lang w:val="es-ES_tradnl"/>
              </w:rPr>
              <w:tab/>
              <w:t>27,5</w:t>
            </w:r>
          </w:p>
        </w:tc>
        <w:tc>
          <w:tcPr>
            <w:tcW w:w="1588" w:type="dxa"/>
            <w:tcBorders>
              <w:top w:val="single" w:sz="6" w:space="0" w:color="auto"/>
              <w:left w:val="single" w:sz="6" w:space="0" w:color="auto"/>
              <w:bottom w:val="single" w:sz="6" w:space="0" w:color="auto"/>
              <w:right w:val="single" w:sz="6" w:space="0" w:color="auto"/>
            </w:tcBorders>
          </w:tcPr>
          <w:p w14:paraId="27B20C61" w14:textId="77777777" w:rsidR="008760D9" w:rsidRDefault="008760D9">
            <w:pPr>
              <w:pStyle w:val="TableText"/>
              <w:framePr w:hSpace="181" w:wrap="notBeside" w:vAnchor="text" w:hAnchor="page" w:xAlign="center" w:y="1"/>
              <w:spacing w:before="37" w:after="37"/>
              <w:jc w:val="center"/>
              <w:rPr>
                <w:lang w:val="es-ES_tradnl"/>
              </w:rPr>
            </w:pPr>
            <w:r>
              <w:rPr>
                <w:lang w:val="es-ES_tradnl"/>
              </w:rPr>
              <w:t>600</w:t>
            </w:r>
          </w:p>
        </w:tc>
        <w:tc>
          <w:tcPr>
            <w:tcW w:w="1588" w:type="dxa"/>
            <w:tcBorders>
              <w:top w:val="single" w:sz="6" w:space="0" w:color="auto"/>
              <w:left w:val="single" w:sz="6" w:space="0" w:color="auto"/>
              <w:bottom w:val="single" w:sz="6" w:space="0" w:color="auto"/>
              <w:right w:val="single" w:sz="6" w:space="0" w:color="auto"/>
            </w:tcBorders>
          </w:tcPr>
          <w:p w14:paraId="7491B87B" w14:textId="77777777" w:rsidR="008760D9" w:rsidRDefault="008760D9">
            <w:pPr>
              <w:pStyle w:val="TableText"/>
              <w:framePr w:hSpace="181" w:wrap="notBeside" w:vAnchor="text" w:hAnchor="page" w:xAlign="center" w:y="1"/>
              <w:spacing w:before="37" w:after="37"/>
              <w:jc w:val="center"/>
              <w:rPr>
                <w:lang w:val="es-ES_tradnl"/>
              </w:rPr>
            </w:pPr>
            <w:r>
              <w:rPr>
                <w:lang w:val="es-ES_tradnl"/>
              </w:rPr>
              <w:t>X6, Y6</w:t>
            </w:r>
          </w:p>
        </w:tc>
        <w:tc>
          <w:tcPr>
            <w:tcW w:w="1474" w:type="dxa"/>
            <w:tcBorders>
              <w:top w:val="single" w:sz="6" w:space="0" w:color="auto"/>
              <w:left w:val="single" w:sz="6" w:space="0" w:color="auto"/>
              <w:bottom w:val="single" w:sz="6" w:space="0" w:color="auto"/>
              <w:right w:val="single" w:sz="6" w:space="0" w:color="auto"/>
            </w:tcBorders>
          </w:tcPr>
          <w:p w14:paraId="155F3F52" w14:textId="77777777" w:rsidR="008760D9" w:rsidRDefault="008760D9">
            <w:pPr>
              <w:pStyle w:val="TableText"/>
              <w:framePr w:hSpace="181" w:wrap="notBeside" w:vAnchor="text" w:hAnchor="page" w:xAlign="center" w:y="1"/>
              <w:spacing w:before="37" w:after="37"/>
              <w:jc w:val="center"/>
              <w:rPr>
                <w:lang w:val="es-ES_tradnl"/>
              </w:rPr>
            </w:pPr>
            <w:r>
              <w:rPr>
                <w:lang w:val="es-ES_tradnl"/>
              </w:rPr>
              <w:t>43,5</w:t>
            </w:r>
          </w:p>
        </w:tc>
        <w:tc>
          <w:tcPr>
            <w:tcW w:w="1871" w:type="dxa"/>
            <w:tcBorders>
              <w:top w:val="single" w:sz="6" w:space="0" w:color="auto"/>
              <w:left w:val="single" w:sz="6" w:space="0" w:color="auto"/>
              <w:bottom w:val="single" w:sz="6" w:space="0" w:color="auto"/>
              <w:right w:val="single" w:sz="6" w:space="0" w:color="auto"/>
            </w:tcBorders>
          </w:tcPr>
          <w:p w14:paraId="020CF15A" w14:textId="77777777" w:rsidR="008760D9" w:rsidRDefault="008760D9">
            <w:pPr>
              <w:pStyle w:val="TableText"/>
              <w:framePr w:hSpace="181" w:wrap="notBeside" w:vAnchor="text" w:hAnchor="page" w:xAlign="center" w:y="1"/>
              <w:spacing w:before="37" w:after="37"/>
              <w:jc w:val="center"/>
              <w:rPr>
                <w:lang w:val="es-ES_tradnl"/>
              </w:rPr>
            </w:pPr>
            <w:r>
              <w:rPr>
                <w:lang w:val="es-ES_tradnl"/>
              </w:rPr>
              <w:t>–7,3, 7,3</w:t>
            </w:r>
          </w:p>
        </w:tc>
      </w:tr>
      <w:tr w:rsidR="008760D9" w14:paraId="3CA67F43" w14:textId="77777777">
        <w:trPr>
          <w:cantSplit/>
          <w:jc w:val="center"/>
        </w:trPr>
        <w:tc>
          <w:tcPr>
            <w:tcW w:w="1588" w:type="dxa"/>
            <w:tcBorders>
              <w:top w:val="single" w:sz="6" w:space="0" w:color="auto"/>
              <w:left w:val="single" w:sz="6" w:space="0" w:color="auto"/>
              <w:bottom w:val="single" w:sz="6" w:space="0" w:color="auto"/>
              <w:right w:val="single" w:sz="6" w:space="0" w:color="auto"/>
            </w:tcBorders>
          </w:tcPr>
          <w:p w14:paraId="50F52556" w14:textId="77777777" w:rsidR="008760D9" w:rsidRDefault="008760D9">
            <w:pPr>
              <w:pStyle w:val="TableText"/>
              <w:framePr w:hSpace="181" w:wrap="notBeside" w:vAnchor="text" w:hAnchor="page" w:xAlign="center" w:y="1"/>
              <w:spacing w:before="37" w:after="37"/>
              <w:jc w:val="center"/>
              <w:rPr>
                <w:lang w:val="es-ES_tradnl"/>
              </w:rPr>
            </w:pPr>
            <w:r>
              <w:rPr>
                <w:lang w:val="es-ES_tradnl"/>
              </w:rPr>
              <w:t>L</w:t>
            </w:r>
          </w:p>
        </w:tc>
        <w:tc>
          <w:tcPr>
            <w:tcW w:w="1622" w:type="dxa"/>
            <w:tcBorders>
              <w:top w:val="single" w:sz="6" w:space="0" w:color="auto"/>
              <w:left w:val="single" w:sz="6" w:space="0" w:color="auto"/>
              <w:bottom w:val="single" w:sz="6" w:space="0" w:color="auto"/>
              <w:right w:val="single" w:sz="6" w:space="0" w:color="auto"/>
            </w:tcBorders>
          </w:tcPr>
          <w:p w14:paraId="67A64229" w14:textId="77777777" w:rsidR="008760D9" w:rsidRDefault="008760D9">
            <w:pPr>
              <w:pStyle w:val="TableText"/>
              <w:framePr w:hSpace="181" w:wrap="notBeside" w:vAnchor="text" w:hAnchor="page" w:xAlign="center" w:y="1"/>
              <w:tabs>
                <w:tab w:val="clear" w:pos="794"/>
                <w:tab w:val="clear" w:pos="1191"/>
                <w:tab w:val="clear" w:pos="1588"/>
                <w:tab w:val="clear" w:pos="1985"/>
                <w:tab w:val="right" w:pos="993"/>
              </w:tabs>
              <w:spacing w:before="37" w:after="37"/>
              <w:jc w:val="left"/>
              <w:rPr>
                <w:lang w:val="es-ES_tradnl"/>
              </w:rPr>
            </w:pPr>
            <w:r>
              <w:rPr>
                <w:lang w:val="es-ES_tradnl"/>
              </w:rPr>
              <w:tab/>
              <w:t>33,75</w:t>
            </w:r>
          </w:p>
        </w:tc>
        <w:tc>
          <w:tcPr>
            <w:tcW w:w="1588" w:type="dxa"/>
            <w:tcBorders>
              <w:top w:val="single" w:sz="6" w:space="0" w:color="auto"/>
              <w:left w:val="single" w:sz="6" w:space="0" w:color="auto"/>
              <w:bottom w:val="single" w:sz="6" w:space="0" w:color="auto"/>
              <w:right w:val="single" w:sz="6" w:space="0" w:color="auto"/>
            </w:tcBorders>
          </w:tcPr>
          <w:p w14:paraId="70450AA4" w14:textId="77777777" w:rsidR="008760D9" w:rsidRDefault="008760D9">
            <w:pPr>
              <w:pStyle w:val="TableText"/>
              <w:framePr w:hSpace="181" w:wrap="notBeside" w:vAnchor="text" w:hAnchor="page" w:xAlign="center" w:y="1"/>
              <w:spacing w:before="37" w:after="37"/>
              <w:jc w:val="center"/>
              <w:rPr>
                <w:lang w:val="es-ES_tradnl"/>
              </w:rPr>
            </w:pPr>
            <w:r>
              <w:rPr>
                <w:lang w:val="es-ES_tradnl"/>
              </w:rPr>
              <w:t>600</w:t>
            </w:r>
          </w:p>
        </w:tc>
        <w:tc>
          <w:tcPr>
            <w:tcW w:w="1588" w:type="dxa"/>
            <w:tcBorders>
              <w:top w:val="single" w:sz="6" w:space="0" w:color="auto"/>
              <w:left w:val="single" w:sz="6" w:space="0" w:color="auto"/>
              <w:bottom w:val="single" w:sz="6" w:space="0" w:color="auto"/>
              <w:right w:val="single" w:sz="6" w:space="0" w:color="auto"/>
            </w:tcBorders>
          </w:tcPr>
          <w:p w14:paraId="23B61710" w14:textId="77777777" w:rsidR="008760D9" w:rsidRDefault="008760D9">
            <w:pPr>
              <w:pStyle w:val="TableText"/>
              <w:framePr w:hSpace="181" w:wrap="notBeside" w:vAnchor="text" w:hAnchor="page" w:xAlign="center" w:y="1"/>
              <w:spacing w:before="37" w:after="37"/>
              <w:jc w:val="center"/>
              <w:rPr>
                <w:lang w:val="es-ES_tradnl"/>
              </w:rPr>
            </w:pPr>
            <w:r>
              <w:rPr>
                <w:lang w:val="es-ES_tradnl"/>
              </w:rPr>
              <w:t>X7, Y7</w:t>
            </w:r>
          </w:p>
        </w:tc>
        <w:tc>
          <w:tcPr>
            <w:tcW w:w="1474" w:type="dxa"/>
            <w:tcBorders>
              <w:top w:val="single" w:sz="6" w:space="0" w:color="auto"/>
              <w:left w:val="single" w:sz="6" w:space="0" w:color="auto"/>
              <w:bottom w:val="single" w:sz="6" w:space="0" w:color="auto"/>
              <w:right w:val="single" w:sz="6" w:space="0" w:color="auto"/>
            </w:tcBorders>
          </w:tcPr>
          <w:p w14:paraId="1B9F806E" w14:textId="77777777" w:rsidR="008760D9" w:rsidRDefault="008760D9">
            <w:pPr>
              <w:pStyle w:val="TableText"/>
              <w:framePr w:hSpace="181" w:wrap="notBeside" w:vAnchor="text" w:hAnchor="page" w:xAlign="center" w:y="1"/>
              <w:spacing w:before="37" w:after="37"/>
              <w:jc w:val="center"/>
              <w:rPr>
                <w:lang w:val="es-ES_tradnl"/>
              </w:rPr>
            </w:pPr>
            <w:r>
              <w:rPr>
                <w:lang w:val="es-ES_tradnl"/>
              </w:rPr>
              <w:t>18,5</w:t>
            </w:r>
          </w:p>
        </w:tc>
        <w:tc>
          <w:tcPr>
            <w:tcW w:w="1871" w:type="dxa"/>
            <w:tcBorders>
              <w:top w:val="single" w:sz="6" w:space="0" w:color="auto"/>
              <w:left w:val="single" w:sz="6" w:space="0" w:color="auto"/>
              <w:bottom w:val="single" w:sz="6" w:space="0" w:color="auto"/>
              <w:right w:val="single" w:sz="6" w:space="0" w:color="auto"/>
            </w:tcBorders>
          </w:tcPr>
          <w:p w14:paraId="510EB79A" w14:textId="77777777" w:rsidR="008760D9" w:rsidRDefault="008760D9">
            <w:pPr>
              <w:pStyle w:val="TableText"/>
              <w:framePr w:hSpace="181" w:wrap="notBeside" w:vAnchor="text" w:hAnchor="page" w:xAlign="center" w:y="1"/>
              <w:spacing w:before="37" w:after="37"/>
              <w:jc w:val="center"/>
              <w:rPr>
                <w:lang w:val="es-ES_tradnl"/>
              </w:rPr>
            </w:pPr>
            <w:r>
              <w:rPr>
                <w:lang w:val="es-ES_tradnl"/>
              </w:rPr>
              <w:t>–35, 35</w:t>
            </w:r>
          </w:p>
        </w:tc>
      </w:tr>
      <w:tr w:rsidR="008760D9" w14:paraId="39CB71D3" w14:textId="77777777">
        <w:trPr>
          <w:cantSplit/>
          <w:jc w:val="center"/>
        </w:trPr>
        <w:tc>
          <w:tcPr>
            <w:tcW w:w="1588" w:type="dxa"/>
            <w:tcBorders>
              <w:top w:val="single" w:sz="6" w:space="0" w:color="auto"/>
              <w:left w:val="single" w:sz="6" w:space="0" w:color="auto"/>
              <w:bottom w:val="single" w:sz="6" w:space="0" w:color="auto"/>
              <w:right w:val="single" w:sz="6" w:space="0" w:color="auto"/>
            </w:tcBorders>
          </w:tcPr>
          <w:p w14:paraId="5A6D11E4" w14:textId="77777777" w:rsidR="008760D9" w:rsidRDefault="008760D9">
            <w:pPr>
              <w:pStyle w:val="TableText"/>
              <w:framePr w:hSpace="181" w:wrap="notBeside" w:vAnchor="text" w:hAnchor="page" w:xAlign="center" w:y="1"/>
              <w:spacing w:before="37" w:after="37"/>
              <w:jc w:val="center"/>
              <w:rPr>
                <w:lang w:val="es-ES_tradnl"/>
              </w:rPr>
            </w:pPr>
            <w:r>
              <w:rPr>
                <w:lang w:val="es-ES_tradnl"/>
              </w:rPr>
              <w:t>M</w:t>
            </w:r>
          </w:p>
        </w:tc>
        <w:tc>
          <w:tcPr>
            <w:tcW w:w="1622" w:type="dxa"/>
            <w:tcBorders>
              <w:top w:val="single" w:sz="6" w:space="0" w:color="auto"/>
              <w:left w:val="single" w:sz="6" w:space="0" w:color="auto"/>
              <w:bottom w:val="single" w:sz="6" w:space="0" w:color="auto"/>
              <w:right w:val="single" w:sz="6" w:space="0" w:color="auto"/>
            </w:tcBorders>
          </w:tcPr>
          <w:p w14:paraId="25544EE4" w14:textId="77777777" w:rsidR="008760D9" w:rsidRDefault="008760D9">
            <w:pPr>
              <w:pStyle w:val="TableText"/>
              <w:framePr w:hSpace="181" w:wrap="notBeside" w:vAnchor="text" w:hAnchor="page" w:xAlign="center" w:y="1"/>
              <w:tabs>
                <w:tab w:val="clear" w:pos="1191"/>
                <w:tab w:val="clear" w:pos="1588"/>
                <w:tab w:val="clear" w:pos="1985"/>
                <w:tab w:val="right" w:pos="794"/>
              </w:tabs>
              <w:spacing w:before="37" w:after="37"/>
              <w:jc w:val="left"/>
              <w:rPr>
                <w:lang w:val="es-ES_tradnl"/>
              </w:rPr>
            </w:pPr>
            <w:r>
              <w:rPr>
                <w:lang w:val="es-ES_tradnl"/>
              </w:rPr>
              <w:tab/>
              <w:t>40</w:t>
            </w:r>
          </w:p>
        </w:tc>
        <w:tc>
          <w:tcPr>
            <w:tcW w:w="1588" w:type="dxa"/>
            <w:tcBorders>
              <w:top w:val="single" w:sz="6" w:space="0" w:color="auto"/>
              <w:left w:val="single" w:sz="6" w:space="0" w:color="auto"/>
              <w:bottom w:val="single" w:sz="6" w:space="0" w:color="auto"/>
              <w:right w:val="single" w:sz="6" w:space="0" w:color="auto"/>
            </w:tcBorders>
          </w:tcPr>
          <w:p w14:paraId="2E634C5B" w14:textId="77777777" w:rsidR="008760D9" w:rsidRDefault="008760D9">
            <w:pPr>
              <w:pStyle w:val="TableText"/>
              <w:framePr w:hSpace="181" w:wrap="notBeside" w:vAnchor="text" w:hAnchor="page" w:xAlign="center" w:y="1"/>
              <w:spacing w:before="37" w:after="37"/>
              <w:jc w:val="center"/>
              <w:rPr>
                <w:lang w:val="es-ES_tradnl"/>
              </w:rPr>
            </w:pPr>
            <w:r>
              <w:rPr>
                <w:lang w:val="es-ES_tradnl"/>
              </w:rPr>
              <w:t>600</w:t>
            </w:r>
          </w:p>
        </w:tc>
        <w:tc>
          <w:tcPr>
            <w:tcW w:w="1588" w:type="dxa"/>
            <w:tcBorders>
              <w:top w:val="single" w:sz="6" w:space="0" w:color="auto"/>
              <w:left w:val="single" w:sz="6" w:space="0" w:color="auto"/>
              <w:bottom w:val="single" w:sz="6" w:space="0" w:color="auto"/>
              <w:right w:val="single" w:sz="6" w:space="0" w:color="auto"/>
            </w:tcBorders>
          </w:tcPr>
          <w:p w14:paraId="32751C7F" w14:textId="77777777" w:rsidR="008760D9" w:rsidRDefault="008760D9">
            <w:pPr>
              <w:pStyle w:val="TableText"/>
              <w:framePr w:hSpace="181" w:wrap="notBeside" w:vAnchor="text" w:hAnchor="page" w:xAlign="center" w:y="1"/>
              <w:spacing w:before="37" w:after="37"/>
              <w:jc w:val="center"/>
              <w:rPr>
                <w:lang w:val="es-ES_tradnl"/>
              </w:rPr>
            </w:pPr>
            <w:r>
              <w:rPr>
                <w:lang w:val="es-ES_tradnl"/>
              </w:rPr>
              <w:t>X8, Y8</w:t>
            </w:r>
          </w:p>
        </w:tc>
        <w:tc>
          <w:tcPr>
            <w:tcW w:w="1474" w:type="dxa"/>
            <w:tcBorders>
              <w:top w:val="single" w:sz="6" w:space="0" w:color="auto"/>
              <w:left w:val="single" w:sz="6" w:space="0" w:color="auto"/>
              <w:bottom w:val="single" w:sz="6" w:space="0" w:color="auto"/>
              <w:right w:val="single" w:sz="6" w:space="0" w:color="auto"/>
            </w:tcBorders>
          </w:tcPr>
          <w:p w14:paraId="51D2FB05" w14:textId="77777777" w:rsidR="008760D9" w:rsidRDefault="008760D9">
            <w:pPr>
              <w:pStyle w:val="TableText"/>
              <w:framePr w:hSpace="181" w:wrap="notBeside" w:vAnchor="text" w:hAnchor="page" w:xAlign="center" w:y="1"/>
              <w:spacing w:before="37" w:after="37"/>
              <w:jc w:val="center"/>
              <w:rPr>
                <w:lang w:val="es-ES_tradnl"/>
              </w:rPr>
            </w:pPr>
            <w:r>
              <w:rPr>
                <w:lang w:val="es-ES_tradnl"/>
              </w:rPr>
              <w:t>24,0</w:t>
            </w:r>
          </w:p>
        </w:tc>
        <w:tc>
          <w:tcPr>
            <w:tcW w:w="1871" w:type="dxa"/>
            <w:tcBorders>
              <w:top w:val="single" w:sz="6" w:space="0" w:color="auto"/>
              <w:left w:val="single" w:sz="6" w:space="0" w:color="auto"/>
              <w:bottom w:val="single" w:sz="6" w:space="0" w:color="auto"/>
              <w:right w:val="single" w:sz="6" w:space="0" w:color="auto"/>
            </w:tcBorders>
          </w:tcPr>
          <w:p w14:paraId="25F4C237" w14:textId="77777777" w:rsidR="008760D9" w:rsidRDefault="008760D9">
            <w:pPr>
              <w:pStyle w:val="TableText"/>
              <w:framePr w:hSpace="181" w:wrap="notBeside" w:vAnchor="text" w:hAnchor="page" w:xAlign="center" w:y="1"/>
              <w:spacing w:before="37" w:after="37"/>
              <w:jc w:val="center"/>
              <w:rPr>
                <w:lang w:val="es-ES_tradnl"/>
              </w:rPr>
            </w:pPr>
            <w:r>
              <w:rPr>
                <w:lang w:val="es-ES_tradnl"/>
              </w:rPr>
              <w:t>–27,6, 27,6</w:t>
            </w:r>
          </w:p>
        </w:tc>
      </w:tr>
      <w:tr w:rsidR="008760D9" w14:paraId="44C9D3AC" w14:textId="77777777">
        <w:trPr>
          <w:cantSplit/>
          <w:jc w:val="center"/>
        </w:trPr>
        <w:tc>
          <w:tcPr>
            <w:tcW w:w="1588" w:type="dxa"/>
            <w:tcBorders>
              <w:top w:val="single" w:sz="6" w:space="0" w:color="auto"/>
              <w:left w:val="single" w:sz="6" w:space="0" w:color="auto"/>
              <w:bottom w:val="single" w:sz="6" w:space="0" w:color="auto"/>
              <w:right w:val="single" w:sz="6" w:space="0" w:color="auto"/>
            </w:tcBorders>
          </w:tcPr>
          <w:p w14:paraId="4CDA8E2F" w14:textId="77777777" w:rsidR="008760D9" w:rsidRDefault="008760D9">
            <w:pPr>
              <w:pStyle w:val="TableText"/>
              <w:framePr w:hSpace="181" w:wrap="notBeside" w:vAnchor="text" w:hAnchor="page" w:xAlign="center" w:y="1"/>
              <w:spacing w:before="37" w:after="37"/>
              <w:jc w:val="center"/>
              <w:rPr>
                <w:lang w:val="es-ES_tradnl"/>
              </w:rPr>
            </w:pPr>
            <w:r>
              <w:rPr>
                <w:lang w:val="es-ES_tradnl"/>
              </w:rPr>
              <w:t>D</w:t>
            </w:r>
          </w:p>
        </w:tc>
        <w:tc>
          <w:tcPr>
            <w:tcW w:w="1622" w:type="dxa"/>
            <w:tcBorders>
              <w:top w:val="single" w:sz="6" w:space="0" w:color="auto"/>
              <w:left w:val="single" w:sz="6" w:space="0" w:color="auto"/>
              <w:bottom w:val="single" w:sz="6" w:space="0" w:color="auto"/>
              <w:right w:val="single" w:sz="6" w:space="0" w:color="auto"/>
            </w:tcBorders>
          </w:tcPr>
          <w:p w14:paraId="778D7571" w14:textId="77777777" w:rsidR="008760D9" w:rsidRDefault="008760D9">
            <w:pPr>
              <w:pStyle w:val="TableText"/>
              <w:framePr w:hSpace="181" w:wrap="notBeside" w:vAnchor="text" w:hAnchor="page" w:xAlign="center" w:y="1"/>
              <w:tabs>
                <w:tab w:val="clear" w:pos="794"/>
                <w:tab w:val="clear" w:pos="1191"/>
                <w:tab w:val="clear" w:pos="1588"/>
                <w:tab w:val="clear" w:pos="1985"/>
                <w:tab w:val="right" w:pos="907"/>
              </w:tabs>
              <w:spacing w:before="37" w:after="37"/>
              <w:jc w:val="left"/>
              <w:rPr>
                <w:lang w:val="es-ES_tradnl"/>
              </w:rPr>
            </w:pPr>
            <w:r>
              <w:rPr>
                <w:lang w:val="es-ES_tradnl"/>
              </w:rPr>
              <w:tab/>
              <w:t>46,3</w:t>
            </w:r>
          </w:p>
        </w:tc>
        <w:tc>
          <w:tcPr>
            <w:tcW w:w="1588" w:type="dxa"/>
            <w:tcBorders>
              <w:top w:val="single" w:sz="6" w:space="0" w:color="auto"/>
              <w:left w:val="single" w:sz="6" w:space="0" w:color="auto"/>
              <w:bottom w:val="single" w:sz="6" w:space="0" w:color="auto"/>
              <w:right w:val="single" w:sz="6" w:space="0" w:color="auto"/>
            </w:tcBorders>
          </w:tcPr>
          <w:p w14:paraId="08DF5E20" w14:textId="77777777" w:rsidR="008760D9" w:rsidRDefault="008760D9">
            <w:pPr>
              <w:pStyle w:val="TableText"/>
              <w:framePr w:hSpace="181" w:wrap="notBeside" w:vAnchor="text" w:hAnchor="page" w:xAlign="center" w:y="1"/>
              <w:spacing w:before="37" w:after="37"/>
              <w:jc w:val="center"/>
              <w:rPr>
                <w:lang w:val="es-ES_tradnl"/>
              </w:rPr>
            </w:pPr>
            <w:r>
              <w:rPr>
                <w:lang w:val="es-ES_tradnl"/>
              </w:rPr>
              <w:t>600</w:t>
            </w:r>
          </w:p>
        </w:tc>
        <w:tc>
          <w:tcPr>
            <w:tcW w:w="1588" w:type="dxa"/>
            <w:tcBorders>
              <w:top w:val="single" w:sz="6" w:space="0" w:color="auto"/>
              <w:left w:val="single" w:sz="6" w:space="0" w:color="auto"/>
              <w:bottom w:val="single" w:sz="6" w:space="0" w:color="auto"/>
              <w:right w:val="single" w:sz="6" w:space="0" w:color="auto"/>
            </w:tcBorders>
          </w:tcPr>
          <w:p w14:paraId="7C2A9EA7" w14:textId="77777777" w:rsidR="008760D9" w:rsidRDefault="008760D9">
            <w:pPr>
              <w:pStyle w:val="TableText"/>
              <w:framePr w:hSpace="181" w:wrap="notBeside" w:vAnchor="text" w:hAnchor="page" w:xAlign="center" w:y="1"/>
              <w:spacing w:before="37" w:after="37"/>
              <w:jc w:val="center"/>
              <w:rPr>
                <w:lang w:val="es-ES_tradnl"/>
              </w:rPr>
            </w:pPr>
            <w:r>
              <w:rPr>
                <w:lang w:val="es-ES_tradnl"/>
              </w:rPr>
              <w:t>X9, Y9</w:t>
            </w:r>
          </w:p>
        </w:tc>
        <w:tc>
          <w:tcPr>
            <w:tcW w:w="1474" w:type="dxa"/>
            <w:tcBorders>
              <w:top w:val="single" w:sz="6" w:space="0" w:color="auto"/>
              <w:left w:val="single" w:sz="6" w:space="0" w:color="auto"/>
              <w:bottom w:val="single" w:sz="6" w:space="0" w:color="auto"/>
              <w:right w:val="single" w:sz="6" w:space="0" w:color="auto"/>
            </w:tcBorders>
          </w:tcPr>
          <w:p w14:paraId="0A15733E" w14:textId="77777777" w:rsidR="008760D9" w:rsidRDefault="008760D9">
            <w:pPr>
              <w:pStyle w:val="TableText"/>
              <w:framePr w:hSpace="181" w:wrap="notBeside" w:vAnchor="text" w:hAnchor="page" w:xAlign="center" w:y="1"/>
              <w:spacing w:before="37" w:after="37"/>
              <w:jc w:val="center"/>
              <w:rPr>
                <w:lang w:val="es-ES_tradnl"/>
              </w:rPr>
            </w:pPr>
            <w:r>
              <w:rPr>
                <w:lang w:val="es-ES_tradnl"/>
              </w:rPr>
              <w:t>29,6</w:t>
            </w:r>
          </w:p>
        </w:tc>
        <w:tc>
          <w:tcPr>
            <w:tcW w:w="1871" w:type="dxa"/>
            <w:tcBorders>
              <w:top w:val="single" w:sz="6" w:space="0" w:color="auto"/>
              <w:left w:val="single" w:sz="6" w:space="0" w:color="auto"/>
              <w:bottom w:val="single" w:sz="6" w:space="0" w:color="auto"/>
              <w:right w:val="single" w:sz="6" w:space="0" w:color="auto"/>
            </w:tcBorders>
          </w:tcPr>
          <w:p w14:paraId="73F2CDB0" w14:textId="77777777" w:rsidR="008760D9" w:rsidRDefault="008760D9">
            <w:pPr>
              <w:pStyle w:val="TableText"/>
              <w:framePr w:hSpace="181" w:wrap="notBeside" w:vAnchor="text" w:hAnchor="page" w:xAlign="center" w:y="1"/>
              <w:spacing w:before="37" w:after="37"/>
              <w:jc w:val="center"/>
              <w:rPr>
                <w:lang w:val="es-ES_tradnl"/>
              </w:rPr>
            </w:pPr>
            <w:r>
              <w:rPr>
                <w:lang w:val="es-ES_tradnl"/>
              </w:rPr>
              <w:t>–22,1, 22,1</w:t>
            </w:r>
          </w:p>
        </w:tc>
      </w:tr>
    </w:tbl>
    <w:p w14:paraId="0DCA3558" w14:textId="77777777" w:rsidR="008760D9" w:rsidRDefault="008760D9">
      <w:pPr>
        <w:pStyle w:val="Tablefin"/>
        <w:spacing w:before="0"/>
        <w:rPr>
          <w:lang w:val="es-ES_tradnl"/>
        </w:rPr>
      </w:pPr>
    </w:p>
    <w:p w14:paraId="216D2BDD" w14:textId="77777777" w:rsidR="008760D9" w:rsidRDefault="008760D9">
      <w:pPr>
        <w:spacing w:before="0"/>
        <w:rPr>
          <w:lang w:val="es-ES_tradnl"/>
        </w:rPr>
      </w:pPr>
    </w:p>
    <w:p w14:paraId="74388E48" w14:textId="77777777" w:rsidR="008760D9" w:rsidRDefault="008760D9">
      <w:pPr>
        <w:pStyle w:val="Heading3"/>
        <w:rPr>
          <w:lang w:val="es-ES_tradnl"/>
        </w:rPr>
      </w:pPr>
      <w:r>
        <w:rPr>
          <w:lang w:val="es-ES_tradnl"/>
        </w:rPr>
        <w:br w:type="page"/>
      </w:r>
      <w:r>
        <w:rPr>
          <w:lang w:val="es-ES_tradnl"/>
        </w:rPr>
        <w:lastRenderedPageBreak/>
        <w:t>2.2</w:t>
      </w:r>
      <w:r>
        <w:rPr>
          <w:lang w:val="es-ES_tradnl"/>
        </w:rPr>
        <w:tab/>
        <w:t>Puntos de prueba VOR</w:t>
      </w:r>
    </w:p>
    <w:p w14:paraId="38B7478F" w14:textId="77777777" w:rsidR="008760D9" w:rsidRDefault="008760D9">
      <w:pPr>
        <w:pStyle w:val="Heading3"/>
        <w:rPr>
          <w:lang w:val="es-ES_tradnl"/>
        </w:rPr>
      </w:pPr>
      <w:r>
        <w:rPr>
          <w:lang w:val="es-ES_tradnl"/>
        </w:rPr>
        <w:t>2.2.1</w:t>
      </w:r>
      <w:r>
        <w:rPr>
          <w:lang w:val="es-ES_tradnl"/>
        </w:rPr>
        <w:tab/>
        <w:t>Puntos de prueba relacionados con estaciones de radiodifusión que se encuentran dentro de la DOC</w:t>
      </w:r>
    </w:p>
    <w:p w14:paraId="6A4105E6" w14:textId="77777777" w:rsidR="008760D9" w:rsidRDefault="008760D9">
      <w:pPr>
        <w:rPr>
          <w:lang w:val="es-ES_tradnl"/>
        </w:rPr>
      </w:pPr>
      <w:r>
        <w:rPr>
          <w:lang w:val="es-ES_tradnl"/>
        </w:rPr>
        <w:t>Hay un punto de prueba situado en las coordenadas geográficas de la estación de radiodifusión cuya altura mínima es la mayor de:</w:t>
      </w:r>
    </w:p>
    <w:p w14:paraId="5B8C374C" w14:textId="77777777" w:rsidR="008760D9" w:rsidRDefault="008760D9">
      <w:pPr>
        <w:pStyle w:val="enumlev1"/>
        <w:rPr>
          <w:lang w:val="es-ES_tradnl"/>
        </w:rPr>
      </w:pPr>
      <w:r>
        <w:rPr>
          <w:lang w:val="es-ES_tradnl"/>
        </w:rPr>
        <w:t>–</w:t>
      </w:r>
      <w:r>
        <w:rPr>
          <w:lang w:val="es-ES_tradnl"/>
        </w:rPr>
        <w:tab/>
        <w:t>600 m por encima del terreno local (aproximadamente, 600 m por encima de la altura del emplazamiento de la estación de radiodifusión); o</w:t>
      </w:r>
    </w:p>
    <w:p w14:paraId="2D324A48" w14:textId="77777777" w:rsidR="008760D9" w:rsidRDefault="008760D9">
      <w:pPr>
        <w:pStyle w:val="enumlev1"/>
        <w:rPr>
          <w:lang w:val="es-ES_tradnl"/>
        </w:rPr>
      </w:pPr>
      <w:r>
        <w:rPr>
          <w:lang w:val="es-ES_tradnl"/>
        </w:rPr>
        <w:t>–</w:t>
      </w:r>
      <w:r>
        <w:rPr>
          <w:lang w:val="es-ES_tradnl"/>
        </w:rPr>
        <w:tab/>
        <w:t>300 m por encima de la antena de la estación de radiodifusión; o</w:t>
      </w:r>
    </w:p>
    <w:p w14:paraId="7D5886AB" w14:textId="77777777" w:rsidR="008760D9" w:rsidRDefault="008760D9">
      <w:pPr>
        <w:pStyle w:val="enumlev1"/>
        <w:rPr>
          <w:lang w:val="es-ES_tradnl"/>
        </w:rPr>
      </w:pPr>
      <w:r>
        <w:rPr>
          <w:lang w:val="es-ES_tradnl"/>
        </w:rPr>
        <w:t>–</w:t>
      </w:r>
      <w:r>
        <w:rPr>
          <w:lang w:val="es-ES_tradnl"/>
        </w:rPr>
        <w:tab/>
        <w:t>la altura obtenida de la Fig. 5 a la que se añade la altura del emplazamiento VOR.</w:t>
      </w:r>
    </w:p>
    <w:p w14:paraId="48333825" w14:textId="77777777" w:rsidR="008760D9" w:rsidRDefault="008760D9">
      <w:pPr>
        <w:rPr>
          <w:lang w:val="es-ES_tradnl"/>
        </w:rPr>
      </w:pPr>
    </w:p>
    <w:p w14:paraId="6FFDBE2D" w14:textId="77777777" w:rsidR="008760D9" w:rsidRDefault="00DF52C7">
      <w:pPr>
        <w:pStyle w:val="Fig"/>
        <w:rPr>
          <w:lang w:val="es-ES_tradnl"/>
        </w:rPr>
      </w:pPr>
      <w:r>
        <w:rPr>
          <w:noProof/>
          <w:lang w:eastAsia="zh-CN"/>
        </w:rPr>
        <w:drawing>
          <wp:inline distT="0" distB="0" distL="0" distR="0" wp14:anchorId="403BFAD5" wp14:editId="58128143">
            <wp:extent cx="5974080" cy="672846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74080" cy="6728460"/>
                    </a:xfrm>
                    <a:prstGeom prst="rect">
                      <a:avLst/>
                    </a:prstGeom>
                    <a:noFill/>
                    <a:ln>
                      <a:noFill/>
                    </a:ln>
                  </pic:spPr>
                </pic:pic>
              </a:graphicData>
            </a:graphic>
          </wp:inline>
        </w:drawing>
      </w:r>
    </w:p>
    <w:p w14:paraId="7475C346" w14:textId="77777777" w:rsidR="008760D9" w:rsidRDefault="008760D9">
      <w:pPr>
        <w:pStyle w:val="Fig0"/>
        <w:rPr>
          <w:lang w:val="es-ES_tradnl"/>
        </w:rPr>
      </w:pPr>
      <w:r>
        <w:rPr>
          <w:lang w:val="es-ES_tradnl"/>
        </w:rPr>
        <w:t>FIGURE 5/1009...</w:t>
      </w:r>
      <w:r>
        <w:rPr>
          <w:b/>
          <w:lang w:val="es-ES_tradnl"/>
        </w:rPr>
        <w:t>[D05]</w:t>
      </w:r>
      <w:r>
        <w:rPr>
          <w:lang w:val="es-ES_tradnl"/>
        </w:rPr>
        <w:t xml:space="preserve">   </w:t>
      </w:r>
      <w:r>
        <w:rPr>
          <w:rFonts w:ascii="Symbol" w:hAnsi="Symbol"/>
          <w:lang w:val="es-ES_tradnl"/>
        </w:rPr>
        <w:t></w:t>
      </w:r>
      <w:r>
        <w:rPr>
          <w:lang w:val="es-ES_tradnl"/>
        </w:rPr>
        <w:t xml:space="preserve"> 18.5   CM </w:t>
      </w:r>
    </w:p>
    <w:p w14:paraId="64D1493E" w14:textId="77777777" w:rsidR="008760D9" w:rsidRDefault="008760D9">
      <w:pPr>
        <w:pStyle w:val="Heading3"/>
        <w:rPr>
          <w:lang w:val="es-ES_tradnl"/>
        </w:rPr>
      </w:pPr>
      <w:r>
        <w:rPr>
          <w:lang w:val="es-ES_tradnl"/>
        </w:rPr>
        <w:br w:type="page"/>
      </w:r>
      <w:r>
        <w:rPr>
          <w:lang w:val="es-ES_tradnl"/>
        </w:rPr>
        <w:lastRenderedPageBreak/>
        <w:t>2.2.2</w:t>
      </w:r>
      <w:r>
        <w:rPr>
          <w:lang w:val="es-ES_tradnl"/>
        </w:rPr>
        <w:tab/>
        <w:t>Puntos de prueba relacionados con estaciones de radiodifusión que se encuentran fuera de la DOC</w:t>
      </w:r>
    </w:p>
    <w:p w14:paraId="4BF3B041" w14:textId="77777777" w:rsidR="008760D9" w:rsidRDefault="008760D9">
      <w:pPr>
        <w:rPr>
          <w:lang w:val="es-ES_tradnl"/>
        </w:rPr>
      </w:pPr>
      <w:r>
        <w:rPr>
          <w:lang w:val="es-ES_tradnl"/>
        </w:rPr>
        <w:t>Las estaciones de radiodifusión que se encuentran fuera de la DOC pero a no más de 3 km de los límites de ésta, se tratan como en el § 2.2.1. Para las estaciones a más de 3 km de la DOC, pero dentro de los límites de distancia especificados en el § 3.1.2, se genera un punto de prueba en el punto más cercano de los límites de la DOC y a una altura mínima que es la mayor de:</w:t>
      </w:r>
    </w:p>
    <w:p w14:paraId="5EBD9A8F" w14:textId="77777777" w:rsidR="008760D9" w:rsidRDefault="008760D9">
      <w:pPr>
        <w:pStyle w:val="enumlev1"/>
        <w:rPr>
          <w:lang w:val="es-ES_tradnl"/>
        </w:rPr>
      </w:pPr>
      <w:r>
        <w:rPr>
          <w:lang w:val="es-ES_tradnl"/>
        </w:rPr>
        <w:t>–</w:t>
      </w:r>
      <w:r>
        <w:rPr>
          <w:lang w:val="es-ES_tradnl"/>
        </w:rPr>
        <w:tab/>
        <w:t>600 m por encima del nivel medio del mar; o</w:t>
      </w:r>
    </w:p>
    <w:p w14:paraId="2ADF3DD6" w14:textId="77777777" w:rsidR="008760D9" w:rsidRDefault="008760D9">
      <w:pPr>
        <w:pStyle w:val="enumlev1"/>
        <w:rPr>
          <w:lang w:val="es-ES_tradnl"/>
        </w:rPr>
      </w:pPr>
      <w:r>
        <w:rPr>
          <w:lang w:val="es-ES_tradnl"/>
        </w:rPr>
        <w:t>–</w:t>
      </w:r>
      <w:r>
        <w:rPr>
          <w:lang w:val="es-ES_tradnl"/>
        </w:rPr>
        <w:tab/>
        <w:t>la altura de la antena de radiodifusión por encima del nivel medio del mar; o</w:t>
      </w:r>
    </w:p>
    <w:p w14:paraId="51540512" w14:textId="77777777" w:rsidR="008760D9" w:rsidRDefault="008760D9">
      <w:pPr>
        <w:pStyle w:val="enumlev1"/>
        <w:rPr>
          <w:lang w:val="es-ES_tradnl"/>
        </w:rPr>
      </w:pPr>
      <w:r>
        <w:rPr>
          <w:lang w:val="es-ES_tradnl"/>
        </w:rPr>
        <w:t>–</w:t>
      </w:r>
      <w:r>
        <w:rPr>
          <w:lang w:val="es-ES_tradnl"/>
        </w:rPr>
        <w:tab/>
        <w:t>la altura obtenida de la Fig. 5 a la que se añade la altura del emplazamiento VOR.</w:t>
      </w:r>
    </w:p>
    <w:p w14:paraId="1F536493" w14:textId="77777777" w:rsidR="008760D9" w:rsidRDefault="008760D9">
      <w:pPr>
        <w:rPr>
          <w:lang w:val="es-ES_tradnl"/>
        </w:rPr>
      </w:pPr>
      <w:r>
        <w:rPr>
          <w:lang w:val="es-ES_tradnl"/>
        </w:rPr>
        <w:t>Se considera que los puntos de prueba situados en los límites de la DOC y separados menos de 250 m tienen el mismo emplazamiento.</w:t>
      </w:r>
    </w:p>
    <w:p w14:paraId="5D46177E" w14:textId="77777777" w:rsidR="008760D9" w:rsidRDefault="008760D9">
      <w:pPr>
        <w:pStyle w:val="Heading3"/>
        <w:rPr>
          <w:lang w:val="es-ES_tradnl"/>
        </w:rPr>
      </w:pPr>
      <w:r>
        <w:rPr>
          <w:lang w:val="es-ES_tradnl"/>
        </w:rPr>
        <w:t>2.2.3</w:t>
      </w:r>
      <w:r>
        <w:rPr>
          <w:lang w:val="es-ES_tradnl"/>
        </w:rPr>
        <w:tab/>
        <w:t>Puntos de prueba adicionales</w:t>
      </w:r>
    </w:p>
    <w:p w14:paraId="65003089" w14:textId="77777777" w:rsidR="008760D9" w:rsidRDefault="008760D9">
      <w:pPr>
        <w:rPr>
          <w:lang w:val="es-ES_tradnl"/>
        </w:rPr>
      </w:pPr>
      <w:r>
        <w:rPr>
          <w:lang w:val="es-ES_tradnl"/>
        </w:rPr>
        <w:t>Pueden especificarse puntos de prueba adicionales dentro de la DOC para tener en cuenta una utilización particular de una VOR; por ejemplo, cuando se utiliza como ayuda de aterrizaje o cuando se requiere un servicio con un ángulo de elevación inferior a 0</w:t>
      </w:r>
      <w:r>
        <w:rPr>
          <w:rFonts w:ascii="Symbol" w:hAnsi="Symbol"/>
          <w:lang w:val="es-ES_tradnl"/>
        </w:rPr>
        <w:t></w:t>
      </w:r>
      <w:r>
        <w:rPr>
          <w:lang w:val="es-ES_tradnl"/>
        </w:rPr>
        <w:t xml:space="preserve"> (véase también el § 3.2.3.2).</w:t>
      </w:r>
    </w:p>
    <w:p w14:paraId="5352E9F6" w14:textId="77777777" w:rsidR="008760D9" w:rsidRDefault="008760D9">
      <w:pPr>
        <w:pStyle w:val="Heading1"/>
        <w:rPr>
          <w:lang w:val="es-ES_tradnl"/>
        </w:rPr>
      </w:pPr>
      <w:r>
        <w:rPr>
          <w:lang w:val="es-ES_tradnl"/>
        </w:rPr>
        <w:t>3</w:t>
      </w:r>
      <w:r>
        <w:rPr>
          <w:lang w:val="es-ES_tradnl"/>
        </w:rPr>
        <w:tab/>
        <w:t>Aplicación del método de evaluación general</w:t>
      </w:r>
    </w:p>
    <w:p w14:paraId="2EE65550" w14:textId="77777777" w:rsidR="008760D9" w:rsidRDefault="008760D9">
      <w:pPr>
        <w:pStyle w:val="Heading2"/>
        <w:rPr>
          <w:lang w:val="es-ES_tradnl"/>
        </w:rPr>
      </w:pPr>
      <w:r>
        <w:rPr>
          <w:lang w:val="es-ES_tradnl"/>
        </w:rPr>
        <w:t>3.1</w:t>
      </w:r>
      <w:r>
        <w:rPr>
          <w:lang w:val="es-ES_tradnl"/>
        </w:rPr>
        <w:tab/>
        <w:t>Generalidades</w:t>
      </w:r>
    </w:p>
    <w:p w14:paraId="5563BAD3" w14:textId="77777777" w:rsidR="008760D9" w:rsidRDefault="008760D9">
      <w:pPr>
        <w:rPr>
          <w:lang w:val="es-ES_tradnl"/>
        </w:rPr>
      </w:pPr>
      <w:r>
        <w:rPr>
          <w:lang w:val="es-ES_tradnl"/>
        </w:rPr>
        <w:t>Los criterios de compatibilidad figuran en el Anexo 1.</w:t>
      </w:r>
    </w:p>
    <w:p w14:paraId="6E03058B" w14:textId="77777777" w:rsidR="008760D9" w:rsidRDefault="008760D9">
      <w:pPr>
        <w:pStyle w:val="Heading3"/>
        <w:rPr>
          <w:lang w:val="es-ES_tradnl"/>
        </w:rPr>
      </w:pPr>
      <w:r>
        <w:rPr>
          <w:lang w:val="es-ES_tradnl"/>
        </w:rPr>
        <w:t>3.1.1</w:t>
      </w:r>
      <w:r>
        <w:rPr>
          <w:lang w:val="es-ES_tradnl"/>
        </w:rPr>
        <w:tab/>
        <w:t>Selección de puntos de prueba</w:t>
      </w:r>
    </w:p>
    <w:p w14:paraId="04F89DFC" w14:textId="77777777" w:rsidR="008760D9" w:rsidRDefault="008760D9">
      <w:pPr>
        <w:rPr>
          <w:lang w:val="es-ES_tradnl"/>
        </w:rPr>
      </w:pPr>
      <w:r>
        <w:rPr>
          <w:lang w:val="es-ES_tradnl"/>
        </w:rPr>
        <w:t>Los puntos de prueba se seleccionan conforme a los criterios del § 2.</w:t>
      </w:r>
    </w:p>
    <w:p w14:paraId="50D18305" w14:textId="77777777" w:rsidR="008760D9" w:rsidRDefault="008760D9">
      <w:pPr>
        <w:pStyle w:val="Heading3"/>
        <w:rPr>
          <w:lang w:val="es-ES_tradnl"/>
        </w:rPr>
      </w:pPr>
      <w:r>
        <w:rPr>
          <w:lang w:val="es-ES_tradnl"/>
        </w:rPr>
        <w:t>3.1.2</w:t>
      </w:r>
      <w:r>
        <w:rPr>
          <w:lang w:val="es-ES_tradnl"/>
        </w:rPr>
        <w:tab/>
        <w:t>Estaciones de radiodifusión que deben incluirse en el análisis de un punto de prueba</w:t>
      </w:r>
    </w:p>
    <w:p w14:paraId="109C32AF" w14:textId="77777777" w:rsidR="008760D9" w:rsidRDefault="008760D9">
      <w:pPr>
        <w:rPr>
          <w:lang w:val="es-ES_tradnl"/>
        </w:rPr>
      </w:pPr>
      <w:r>
        <w:rPr>
          <w:lang w:val="es-ES_tradnl"/>
        </w:rPr>
        <w:t>Las estaciones de radiodifusión se incluyen en el análisis de un punto de prueba:</w:t>
      </w:r>
    </w:p>
    <w:p w14:paraId="53510B36" w14:textId="77777777" w:rsidR="008760D9" w:rsidRDefault="008760D9">
      <w:pPr>
        <w:pStyle w:val="enumlev1"/>
        <w:rPr>
          <w:lang w:val="es-ES_tradnl"/>
        </w:rPr>
      </w:pPr>
      <w:r>
        <w:rPr>
          <w:lang w:val="es-ES_tradnl"/>
        </w:rPr>
        <w:t>–</w:t>
      </w:r>
      <w:r>
        <w:rPr>
          <w:lang w:val="es-ES_tradnl"/>
        </w:rPr>
        <w:tab/>
        <w:t>si hay un trayecto de visibilidad directa (véase la definición en el Anexo 4) entre la antena de radiodifusión y el punto de prueba y si el nivel de la señal calculado es mayor que el valor de corte B1 (Anexo 1, § 4.2.3.4);</w:t>
      </w:r>
    </w:p>
    <w:p w14:paraId="6727F3D3" w14:textId="77777777" w:rsidR="008760D9" w:rsidRDefault="008760D9">
      <w:pPr>
        <w:pStyle w:val="enumlev1"/>
        <w:rPr>
          <w:lang w:val="es-ES_tradnl"/>
        </w:rPr>
      </w:pPr>
      <w:r>
        <w:rPr>
          <w:lang w:val="es-ES_tradnl"/>
        </w:rPr>
        <w:t>–</w:t>
      </w:r>
      <w:r>
        <w:rPr>
          <w:lang w:val="es-ES_tradnl"/>
        </w:rPr>
        <w:tab/>
        <w:t>si la intensidad de campo en el espacio libre (Anexo 1, § 3.3.7) es como mínimo igual al valor que puede causar una incompatibilidad de Tipo A1 o A2 o B2 (Anexo 1, § 4.2 y § 4.3) con una distancia máxima de separación de 125 km en los casos A1 y B2.</w:t>
      </w:r>
    </w:p>
    <w:p w14:paraId="02C1E45C" w14:textId="77777777" w:rsidR="008760D9" w:rsidRDefault="008760D9">
      <w:pPr>
        <w:pStyle w:val="Heading3"/>
        <w:rPr>
          <w:lang w:val="es-ES_tradnl"/>
        </w:rPr>
      </w:pPr>
      <w:r>
        <w:rPr>
          <w:lang w:val="es-ES_tradnl"/>
        </w:rPr>
        <w:t>3.1.3</w:t>
      </w:r>
      <w:r>
        <w:rPr>
          <w:lang w:val="es-ES_tradnl"/>
        </w:rPr>
        <w:tab/>
        <w:t>Cálculos de compatibilidad</w:t>
      </w:r>
    </w:p>
    <w:p w14:paraId="636256D1" w14:textId="77777777" w:rsidR="008760D9" w:rsidRDefault="008760D9">
      <w:pPr>
        <w:rPr>
          <w:lang w:val="es-ES_tradnl"/>
        </w:rPr>
      </w:pPr>
      <w:r>
        <w:rPr>
          <w:lang w:val="es-ES_tradnl"/>
        </w:rPr>
        <w:t>Para evaluar la compatibilidad del conjunto de estaciones de radiodifusión que cumple las condiciones del § 3.1.2 en cualquier punto de prueba seleccionado (véase el § 3.1.1), es necesario:</w:t>
      </w:r>
    </w:p>
    <w:p w14:paraId="4EA96F03" w14:textId="77777777" w:rsidR="008760D9" w:rsidRDefault="008760D9">
      <w:pPr>
        <w:pStyle w:val="enumlev1"/>
        <w:rPr>
          <w:lang w:val="es-ES_tradnl"/>
        </w:rPr>
      </w:pPr>
      <w:r>
        <w:rPr>
          <w:lang w:val="es-ES_tradnl"/>
        </w:rPr>
        <w:t>–</w:t>
      </w:r>
      <w:r>
        <w:rPr>
          <w:lang w:val="es-ES_tradnl"/>
        </w:rPr>
        <w:tab/>
        <w:t xml:space="preserve">calcular la intensidad de campo en el espacio libre (véase el Anexo 1, § 3.3.7) desde cada una de las estaciones de radiodifusión al punto de prueba, teniendo en cuenta la distancia en el trayecto oblicuo (véase la definición en el Anexo 4), la </w:t>
      </w:r>
      <w:proofErr w:type="spellStart"/>
      <w:r>
        <w:rPr>
          <w:lang w:val="es-ES_tradnl"/>
        </w:rPr>
        <w:t>p.r.a</w:t>
      </w:r>
      <w:proofErr w:type="spellEnd"/>
      <w:r>
        <w:rPr>
          <w:lang w:val="es-ES_tradnl"/>
        </w:rPr>
        <w:t>. máxima y las características de la antena (véase el § 4);</w:t>
      </w:r>
    </w:p>
    <w:p w14:paraId="5514A3D3" w14:textId="77777777" w:rsidR="008760D9" w:rsidRDefault="008760D9">
      <w:pPr>
        <w:pStyle w:val="enumlev1"/>
        <w:rPr>
          <w:lang w:val="es-ES_tradnl"/>
        </w:rPr>
      </w:pPr>
      <w:r>
        <w:rPr>
          <w:lang w:val="es-ES_tradnl"/>
        </w:rPr>
        <w:t>–</w:t>
      </w:r>
      <w:r>
        <w:rPr>
          <w:lang w:val="es-ES_tradnl"/>
        </w:rPr>
        <w:tab/>
        <w:t>calcular el nivel de la señal ILS o VOR (véanse los § 3.2.2.3 y 3.2.3.2);</w:t>
      </w:r>
    </w:p>
    <w:p w14:paraId="13DDB869" w14:textId="77777777" w:rsidR="008760D9" w:rsidRDefault="008760D9">
      <w:pPr>
        <w:pStyle w:val="enumlev1"/>
        <w:rPr>
          <w:lang w:val="es-ES_tradnl"/>
        </w:rPr>
      </w:pPr>
      <w:r>
        <w:rPr>
          <w:lang w:val="es-ES_tradnl"/>
        </w:rPr>
        <w:t>–</w:t>
      </w:r>
      <w:r>
        <w:rPr>
          <w:lang w:val="es-ES_tradnl"/>
        </w:rPr>
        <w:tab/>
        <w:t>calcular la potencia de entrada a un receptor aeronáutico siguiendo el § 3.4 del Anexo 1.</w:t>
      </w:r>
    </w:p>
    <w:p w14:paraId="3BF8570E" w14:textId="77777777" w:rsidR="008760D9" w:rsidRDefault="008760D9">
      <w:pPr>
        <w:rPr>
          <w:lang w:val="es-ES_tradnl"/>
        </w:rPr>
      </w:pPr>
      <w:r>
        <w:rPr>
          <w:lang w:val="es-ES_tradnl"/>
        </w:rPr>
        <w:t>Teniendo en cuenta la frecuencia y el tipo de servicio aeronáutico (ILS o VOR) y la información obtenida, puede evaluarse la compatibilidad para cualquier tipo de interferencia, como en los § 3.1.3.1 a 3.1.3.4.</w:t>
      </w:r>
    </w:p>
    <w:p w14:paraId="413095CB" w14:textId="77777777" w:rsidR="008760D9" w:rsidRDefault="008760D9">
      <w:pPr>
        <w:pStyle w:val="Heading4"/>
        <w:rPr>
          <w:lang w:val="es-ES_tradnl"/>
        </w:rPr>
      </w:pPr>
      <w:r>
        <w:rPr>
          <w:lang w:val="es-ES_tradnl"/>
        </w:rPr>
        <w:t>3.1.3.1</w:t>
      </w:r>
      <w:r>
        <w:rPr>
          <w:lang w:val="es-ES_tradnl"/>
        </w:rPr>
        <w:tab/>
        <w:t>Interferencia de Tipo A1</w:t>
      </w:r>
    </w:p>
    <w:p w14:paraId="7FEF6130" w14:textId="77777777" w:rsidR="008760D9" w:rsidRDefault="008760D9">
      <w:pPr>
        <w:rPr>
          <w:lang w:val="es-ES_tradnl"/>
        </w:rPr>
      </w:pPr>
      <w:r>
        <w:rPr>
          <w:lang w:val="es-ES_tradnl"/>
        </w:rPr>
        <w:t>Se calculan las frecuencias de los productos de intermodulación de dos y tres componentes que pueden generarse por cualquier subgrupo de estaciones de radiodifusión situadas en el mismo emplazamiento. Se vuelve a examinar todo producto cuya frecuencia caiga en el tramo de 200 kHz de frecuencias aeronáuticas, a fin de determinar si su intensidad de campo es suficiente para causar interferencia de Tipo A1, teniendo en cuenta los criterios del § 4.2.1 del Anexo 1.</w:t>
      </w:r>
    </w:p>
    <w:p w14:paraId="1D70637A" w14:textId="77777777" w:rsidR="008760D9" w:rsidRDefault="008760D9">
      <w:pPr>
        <w:rPr>
          <w:lang w:val="es-ES_tradnl"/>
        </w:rPr>
      </w:pPr>
      <w:r>
        <w:rPr>
          <w:lang w:val="es-ES_tradnl"/>
        </w:rPr>
        <w:t>Se deben utilizar los criterios del § 4.3.1 del Anexo 1 para evaluar la compatibilidad de Tipo A1 con los receptores aeronáuticos de tipo 1998 según el Anexo 10 al Convenio de la OACI.</w:t>
      </w:r>
    </w:p>
    <w:p w14:paraId="7BA50EAB" w14:textId="77777777" w:rsidR="008760D9" w:rsidRDefault="008760D9">
      <w:pPr>
        <w:pStyle w:val="Heading4"/>
        <w:rPr>
          <w:lang w:val="es-ES_tradnl"/>
        </w:rPr>
      </w:pPr>
      <w:r>
        <w:rPr>
          <w:lang w:val="es-ES_tradnl"/>
        </w:rPr>
        <w:br w:type="page"/>
      </w:r>
      <w:r>
        <w:rPr>
          <w:lang w:val="es-ES_tradnl"/>
        </w:rPr>
        <w:lastRenderedPageBreak/>
        <w:t>3.1.3.2</w:t>
      </w:r>
      <w:r>
        <w:rPr>
          <w:lang w:val="es-ES_tradnl"/>
        </w:rPr>
        <w:tab/>
        <w:t>Interferencia de Tipo A2</w:t>
      </w:r>
    </w:p>
    <w:p w14:paraId="06309DAD" w14:textId="77777777" w:rsidR="008760D9" w:rsidRDefault="008760D9">
      <w:pPr>
        <w:rPr>
          <w:lang w:val="es-ES_tradnl"/>
        </w:rPr>
      </w:pPr>
      <w:r>
        <w:rPr>
          <w:lang w:val="es-ES_tradnl"/>
        </w:rPr>
        <w:t>Se examina cada una de las estaciones de radiodifusión (identificadas en el § 3.1.2) a fin de determinar si su frecuencia cae en los 300 kHz de las frecuencias aeronáuticas y, en caso afirmativo, si su intensidad de campo es suficiente para causar interferencia de Tipo A2, teniendo en cuenta los criterios del § 4.2.2 del Anexo 1.</w:t>
      </w:r>
    </w:p>
    <w:p w14:paraId="121DAA86" w14:textId="77777777" w:rsidR="008760D9" w:rsidRDefault="008760D9">
      <w:pPr>
        <w:rPr>
          <w:lang w:val="es-ES_tradnl"/>
        </w:rPr>
      </w:pPr>
      <w:r>
        <w:rPr>
          <w:lang w:val="es-ES_tradnl"/>
        </w:rPr>
        <w:t>Deben utilizarse los criterios del § 4.3.2 del Anexo 1 para evaluar la compatibilidad de Tipo A2 con los receptores aeronáuticos de tipo 1998 según el Anexo 10 al Convenio de la OACI.</w:t>
      </w:r>
    </w:p>
    <w:p w14:paraId="1723A4C2" w14:textId="77777777" w:rsidR="008760D9" w:rsidRDefault="008760D9">
      <w:pPr>
        <w:pStyle w:val="Heading4"/>
        <w:rPr>
          <w:lang w:val="es-ES_tradnl"/>
        </w:rPr>
      </w:pPr>
      <w:r>
        <w:rPr>
          <w:lang w:val="es-ES_tradnl"/>
        </w:rPr>
        <w:t>3.1.3.3</w:t>
      </w:r>
      <w:r>
        <w:rPr>
          <w:lang w:val="es-ES_tradnl"/>
        </w:rPr>
        <w:tab/>
        <w:t>Interferencia de Tipo B1</w:t>
      </w:r>
    </w:p>
    <w:p w14:paraId="4D74644B" w14:textId="77777777" w:rsidR="008760D9" w:rsidRDefault="008760D9">
      <w:pPr>
        <w:rPr>
          <w:lang w:val="es-ES_tradnl"/>
        </w:rPr>
      </w:pPr>
      <w:r>
        <w:rPr>
          <w:lang w:val="es-ES_tradnl"/>
        </w:rPr>
        <w:t>Se calculan las frecuencias de los productos de intermodulación de dos y tres componentes que puedan ser generados por cualquier subconjunto de estaciones de radiodifusión (identificadas en el § 3.1.2) conteniendo al menos un compo</w:t>
      </w:r>
      <w:r>
        <w:rPr>
          <w:lang w:val="es-ES_tradnl"/>
        </w:rPr>
        <w:softHyphen/>
        <w:t>nente que alcance el valor de activación (véase el § 4.2.3.4 del Anexo 1) y para el que todos los componentes se encuentran por encima del valor de corte (véase la definición en el Anexo 4) (véase el § 4.2.3.4 del Anexo 1) a la entrada del receptor aeronáutico, y se examina cualquier producto cuya frecuencia caiga en los 200 kHz de las frecuencias aeronáuticas, a fin de determinar si la suma (dBm) de las potencias a la entrada del receptor aeronáutico (véase el § 3.4 del Anexo 1) es suficiente para causar interferencia de Tipo B1, teniendo en cuenta los criterios del § 4.2.3 del Anexo 1.</w:t>
      </w:r>
    </w:p>
    <w:p w14:paraId="05386578" w14:textId="77777777" w:rsidR="008760D9" w:rsidRDefault="008760D9">
      <w:pPr>
        <w:rPr>
          <w:lang w:val="es-ES_tradnl"/>
        </w:rPr>
      </w:pPr>
      <w:r>
        <w:rPr>
          <w:lang w:val="es-ES_tradnl"/>
        </w:rPr>
        <w:t>Deben utilizarse los criterios del § 4.3.3 del Anexo 1 para evaluar la compatibilidad de Tipo B1 con los receptores aeronáuticos de tipo 1998 según el Anexo 10 al Convenio de la OACI.</w:t>
      </w:r>
    </w:p>
    <w:p w14:paraId="5F99665D" w14:textId="77777777" w:rsidR="008760D9" w:rsidRDefault="008760D9">
      <w:pPr>
        <w:pStyle w:val="Heading4"/>
        <w:rPr>
          <w:lang w:val="es-ES_tradnl"/>
        </w:rPr>
      </w:pPr>
      <w:r>
        <w:rPr>
          <w:lang w:val="es-ES_tradnl"/>
        </w:rPr>
        <w:t>3.1.3.4</w:t>
      </w:r>
      <w:r>
        <w:rPr>
          <w:lang w:val="es-ES_tradnl"/>
        </w:rPr>
        <w:tab/>
        <w:t>Interferencia de Tipo B2</w:t>
      </w:r>
    </w:p>
    <w:p w14:paraId="1AF8D95A" w14:textId="77777777" w:rsidR="008760D9" w:rsidRDefault="008760D9">
      <w:pPr>
        <w:rPr>
          <w:lang w:val="es-ES_tradnl"/>
        </w:rPr>
      </w:pPr>
      <w:r>
        <w:rPr>
          <w:lang w:val="es-ES_tradnl"/>
        </w:rPr>
        <w:t>Se examina cada una de las estaciones (identificada en el § 3.1.2) a fin de determinar si su potencia a la entrada del receptor aeronáutico (véase el § 3.4 del Anexo 1) (véase la Nota 1) es suficiente para causar interferencia de Tipo B2, teniendo en cuenta los criterios del § 4.2.4 del Anexo 1.</w:t>
      </w:r>
    </w:p>
    <w:p w14:paraId="57B703D2" w14:textId="77777777" w:rsidR="008760D9" w:rsidRDefault="008760D9">
      <w:pPr>
        <w:rPr>
          <w:lang w:val="es-ES_tradnl"/>
        </w:rPr>
      </w:pPr>
      <w:r>
        <w:rPr>
          <w:lang w:val="es-ES_tradnl"/>
        </w:rPr>
        <w:t>Deben utilizarse los criterios del § 4.3.4 del Anexo 1 para evaluar la compatibilidad de Tipo B2 con los receptores aeronáuticos de Tipo 1998 según el Anexo 10 al Convenio de la OACI.</w:t>
      </w:r>
    </w:p>
    <w:p w14:paraId="231A7CFC" w14:textId="77777777" w:rsidR="008760D9" w:rsidRDefault="008760D9">
      <w:pPr>
        <w:pStyle w:val="Note"/>
        <w:rPr>
          <w:lang w:val="es-ES_tradnl"/>
        </w:rPr>
      </w:pPr>
      <w:r>
        <w:rPr>
          <w:lang w:val="es-ES_tradnl"/>
        </w:rPr>
        <w:t>NOTA 1 – El término «potencia de entrada equivalente» se utiliza en el sentido de «la potencia a la entrada de un receptor aeronáutico después de tener en cuenta todo término dependiente de la frecuencia».</w:t>
      </w:r>
    </w:p>
    <w:p w14:paraId="4A39A663" w14:textId="77777777" w:rsidR="008760D9" w:rsidRDefault="008760D9">
      <w:pPr>
        <w:pStyle w:val="Heading2"/>
        <w:rPr>
          <w:lang w:val="es-ES_tradnl"/>
        </w:rPr>
      </w:pPr>
      <w:r>
        <w:rPr>
          <w:lang w:val="es-ES_tradnl"/>
        </w:rPr>
        <w:t>3.2</w:t>
      </w:r>
      <w:r>
        <w:rPr>
          <w:lang w:val="es-ES_tradnl"/>
        </w:rPr>
        <w:tab/>
        <w:t>Consideraciones especiales respecto a las evaluaciones de la compatibilidad</w:t>
      </w:r>
    </w:p>
    <w:p w14:paraId="20B111D0" w14:textId="77777777" w:rsidR="008760D9" w:rsidRDefault="008760D9">
      <w:pPr>
        <w:pStyle w:val="Heading3"/>
        <w:rPr>
          <w:lang w:val="es-ES_tradnl"/>
        </w:rPr>
      </w:pPr>
      <w:r>
        <w:rPr>
          <w:lang w:val="es-ES_tradnl"/>
        </w:rPr>
        <w:t>3.2.1</w:t>
      </w:r>
      <w:r>
        <w:rPr>
          <w:lang w:val="es-ES_tradnl"/>
        </w:rPr>
        <w:tab/>
        <w:t>Alturas de puntos de prueba superiores a los valores mínimos</w:t>
      </w:r>
    </w:p>
    <w:p w14:paraId="440516FA" w14:textId="77777777" w:rsidR="008760D9" w:rsidRDefault="008760D9">
      <w:pPr>
        <w:rPr>
          <w:lang w:val="es-ES_tradnl"/>
        </w:rPr>
      </w:pPr>
      <w:r>
        <w:rPr>
          <w:lang w:val="es-ES_tradnl"/>
        </w:rPr>
        <w:t>Con el fin de asegurar que se tienen en cuenta todas las situaciones de posible interferencia B1, hay que efectuar nuevos cálculos para alturas de puntos de prueba superiores, a condición de que la altura del punto de prueba no exceda de:</w:t>
      </w:r>
    </w:p>
    <w:p w14:paraId="124F5A6D" w14:textId="77777777" w:rsidR="008760D9" w:rsidRDefault="008760D9">
      <w:pPr>
        <w:pStyle w:val="enumlev1"/>
        <w:rPr>
          <w:lang w:val="es-ES_tradnl"/>
        </w:rPr>
      </w:pPr>
      <w:r>
        <w:rPr>
          <w:lang w:val="es-ES_tradnl"/>
        </w:rPr>
        <w:t>–</w:t>
      </w:r>
      <w:r>
        <w:rPr>
          <w:lang w:val="es-ES_tradnl"/>
        </w:rPr>
        <w:tab/>
        <w:t>la altura máxima de la DOC; o</w:t>
      </w:r>
    </w:p>
    <w:p w14:paraId="094CC6C4" w14:textId="77777777" w:rsidR="008760D9" w:rsidRDefault="008760D9">
      <w:pPr>
        <w:pStyle w:val="enumlev1"/>
        <w:rPr>
          <w:lang w:val="es-ES_tradnl"/>
        </w:rPr>
      </w:pPr>
      <w:r>
        <w:rPr>
          <w:lang w:val="es-ES_tradnl"/>
        </w:rPr>
        <w:t>–</w:t>
      </w:r>
      <w:r>
        <w:rPr>
          <w:lang w:val="es-ES_tradnl"/>
        </w:rPr>
        <w:tab/>
        <w:t>la altura máxima a la que puede alcanzarse el valor de activación.</w:t>
      </w:r>
    </w:p>
    <w:p w14:paraId="61720566" w14:textId="77777777" w:rsidR="008760D9" w:rsidRDefault="008760D9">
      <w:pPr>
        <w:rPr>
          <w:lang w:val="es-ES_tradnl"/>
        </w:rPr>
      </w:pPr>
      <w:r>
        <w:rPr>
          <w:lang w:val="es-ES_tradnl"/>
        </w:rPr>
        <w:t>En el § 7 del Apéndice 1 figura una explicación más detallada de este aspecto y las razones de la limitación a la inter</w:t>
      </w:r>
      <w:r>
        <w:rPr>
          <w:lang w:val="es-ES_tradnl"/>
        </w:rPr>
        <w:softHyphen/>
        <w:t>ferencia de Tipo B1.</w:t>
      </w:r>
    </w:p>
    <w:p w14:paraId="6E45FCBC" w14:textId="77777777" w:rsidR="008760D9" w:rsidRDefault="008760D9">
      <w:pPr>
        <w:pStyle w:val="Heading3"/>
        <w:rPr>
          <w:lang w:val="es-ES_tradnl"/>
        </w:rPr>
      </w:pPr>
      <w:r>
        <w:rPr>
          <w:lang w:val="es-ES_tradnl"/>
        </w:rPr>
        <w:t>3.2.2</w:t>
      </w:r>
      <w:r>
        <w:rPr>
          <w:lang w:val="es-ES_tradnl"/>
        </w:rPr>
        <w:tab/>
        <w:t>ILS</w:t>
      </w:r>
    </w:p>
    <w:p w14:paraId="0DFD9A9B" w14:textId="77777777" w:rsidR="008760D9" w:rsidRDefault="008760D9">
      <w:pPr>
        <w:pStyle w:val="Heading4"/>
        <w:rPr>
          <w:lang w:val="es-ES_tradnl"/>
        </w:rPr>
      </w:pPr>
      <w:r>
        <w:rPr>
          <w:lang w:val="es-ES_tradnl"/>
        </w:rPr>
        <w:t>3.2.2.1</w:t>
      </w:r>
      <w:r>
        <w:rPr>
          <w:lang w:val="es-ES_tradnl"/>
        </w:rPr>
        <w:tab/>
        <w:t>Puntos de prueba fijos</w:t>
      </w:r>
    </w:p>
    <w:p w14:paraId="5520EBC6" w14:textId="77777777" w:rsidR="008760D9" w:rsidRDefault="008760D9">
      <w:pPr>
        <w:rPr>
          <w:lang w:val="es-ES_tradnl"/>
        </w:rPr>
      </w:pPr>
      <w:r>
        <w:rPr>
          <w:lang w:val="es-ES_tradnl"/>
        </w:rPr>
        <w:t>En los cálculos de la intensidad de campo, se utiliza la distancia del trayecto oblicuo entre la antena de radiodifusión y un punto de prueba, si bien manteniendo el valor mínimo siguiente:</w:t>
      </w:r>
    </w:p>
    <w:p w14:paraId="6B01DEFF" w14:textId="77777777" w:rsidR="008760D9" w:rsidRDefault="008760D9">
      <w:pPr>
        <w:pStyle w:val="enumlev1"/>
        <w:rPr>
          <w:lang w:val="es-ES_tradnl"/>
        </w:rPr>
      </w:pPr>
      <w:r>
        <w:rPr>
          <w:lang w:val="es-ES_tradnl"/>
        </w:rPr>
        <w:t>–</w:t>
      </w:r>
      <w:r>
        <w:rPr>
          <w:lang w:val="es-ES_tradnl"/>
        </w:rPr>
        <w:tab/>
        <w:t>150 m si la estación de radiodifusión se encuentra dentro de la zona sombreada en la Fig. 4; o</w:t>
      </w:r>
    </w:p>
    <w:p w14:paraId="41D4D532" w14:textId="77777777" w:rsidR="008760D9" w:rsidRDefault="008760D9">
      <w:pPr>
        <w:pStyle w:val="enumlev1"/>
        <w:rPr>
          <w:lang w:val="es-ES_tradnl"/>
        </w:rPr>
      </w:pPr>
      <w:r>
        <w:rPr>
          <w:lang w:val="es-ES_tradnl"/>
        </w:rPr>
        <w:t>–</w:t>
      </w:r>
      <w:r>
        <w:rPr>
          <w:lang w:val="es-ES_tradnl"/>
        </w:rPr>
        <w:tab/>
        <w:t>300 m si la estación de radiodifusión no se encuentra en la zona sombreada de la Fig. 4.</w:t>
      </w:r>
    </w:p>
    <w:p w14:paraId="1D03C30C" w14:textId="77777777" w:rsidR="008760D9" w:rsidRDefault="008760D9">
      <w:pPr>
        <w:pStyle w:val="Heading4"/>
        <w:rPr>
          <w:lang w:val="es-ES_tradnl"/>
        </w:rPr>
      </w:pPr>
      <w:r>
        <w:rPr>
          <w:lang w:val="es-ES_tradnl"/>
        </w:rPr>
        <w:t>3.2.2.2</w:t>
      </w:r>
      <w:r>
        <w:rPr>
          <w:lang w:val="es-ES_tradnl"/>
        </w:rPr>
        <w:tab/>
        <w:t>Puntos de prueba relacionados con estaciones de radiodifusión</w:t>
      </w:r>
    </w:p>
    <w:p w14:paraId="345E5BB5" w14:textId="77777777" w:rsidR="008760D9" w:rsidRDefault="008760D9">
      <w:pPr>
        <w:rPr>
          <w:lang w:val="es-ES_tradnl"/>
        </w:rPr>
      </w:pPr>
      <w:r>
        <w:rPr>
          <w:lang w:val="es-ES_tradnl"/>
        </w:rPr>
        <w:t>Si la estación de radiodifusión se encuentra en la zona sombreada de la Fig. 4:</w:t>
      </w:r>
    </w:p>
    <w:p w14:paraId="22F0F903" w14:textId="77777777" w:rsidR="008760D9" w:rsidRDefault="008760D9">
      <w:pPr>
        <w:pStyle w:val="enumlev1"/>
        <w:rPr>
          <w:lang w:val="es-ES_tradnl"/>
        </w:rPr>
      </w:pPr>
      <w:r>
        <w:rPr>
          <w:lang w:val="es-ES_tradnl"/>
        </w:rPr>
        <w:t>–</w:t>
      </w:r>
      <w:r>
        <w:rPr>
          <w:lang w:val="es-ES_tradnl"/>
        </w:rPr>
        <w:tab/>
        <w:t xml:space="preserve">se efectúan nuevos cálculos para una distancia de separación horizontal de 150 m, utilizando el valor máximo de la </w:t>
      </w:r>
      <w:proofErr w:type="spellStart"/>
      <w:r>
        <w:rPr>
          <w:lang w:val="es-ES_tradnl"/>
        </w:rPr>
        <w:t>p.r.a</w:t>
      </w:r>
      <w:proofErr w:type="spellEnd"/>
      <w:r>
        <w:rPr>
          <w:lang w:val="es-ES_tradnl"/>
        </w:rPr>
        <w:t>. para la altura especificada en el § 2.1.2.</w:t>
      </w:r>
    </w:p>
    <w:p w14:paraId="118D9BCB" w14:textId="77777777" w:rsidR="008760D9" w:rsidRDefault="008760D9">
      <w:pPr>
        <w:rPr>
          <w:lang w:val="es-ES_tradnl"/>
        </w:rPr>
      </w:pPr>
      <w:r>
        <w:rPr>
          <w:lang w:val="es-ES_tradnl"/>
        </w:rPr>
        <w:br w:type="page"/>
      </w:r>
      <w:r>
        <w:rPr>
          <w:lang w:val="es-ES_tradnl"/>
        </w:rPr>
        <w:lastRenderedPageBreak/>
        <w:t>Si la estación de radiodifusión se encuentra en la DOC del ILS o por debajo, pero fuera de la zona sombreada de la Fig. 4:</w:t>
      </w:r>
    </w:p>
    <w:p w14:paraId="009E7AF7" w14:textId="77777777" w:rsidR="008760D9" w:rsidRDefault="008760D9">
      <w:pPr>
        <w:pStyle w:val="enumlev1"/>
        <w:rPr>
          <w:lang w:val="es-ES_tradnl"/>
        </w:rPr>
      </w:pPr>
      <w:r>
        <w:rPr>
          <w:lang w:val="es-ES_tradnl"/>
        </w:rPr>
        <w:t>–</w:t>
      </w:r>
      <w:r>
        <w:rPr>
          <w:lang w:val="es-ES_tradnl"/>
        </w:rPr>
        <w:tab/>
        <w:t>se efectúan nuevos cálculos para un emplazamiento de punto de prueba por encima de la estación de radiodifusión a la altura especificada en el § 2.1.2. Se aplica la corrección del diagrama de radiación vertical máxima pertinente obtenida del § 4.4.</w:t>
      </w:r>
    </w:p>
    <w:p w14:paraId="5ADFFC64" w14:textId="77777777" w:rsidR="008760D9" w:rsidRDefault="008760D9">
      <w:pPr>
        <w:pStyle w:val="Heading4"/>
        <w:rPr>
          <w:lang w:val="es-ES_tradnl"/>
        </w:rPr>
      </w:pPr>
      <w:r>
        <w:rPr>
          <w:lang w:val="es-ES_tradnl"/>
        </w:rPr>
        <w:t>3.2.2.3</w:t>
      </w:r>
      <w:r>
        <w:rPr>
          <w:lang w:val="es-ES_tradnl"/>
        </w:rPr>
        <w:tab/>
        <w:t>Cálculo de la intensidad de campo ILS</w:t>
      </w:r>
    </w:p>
    <w:p w14:paraId="5DE27E0A" w14:textId="77777777" w:rsidR="008760D9" w:rsidRDefault="008760D9">
      <w:pPr>
        <w:rPr>
          <w:lang w:val="es-ES_tradnl"/>
        </w:rPr>
      </w:pPr>
      <w:r>
        <w:rPr>
          <w:lang w:val="es-ES_tradnl"/>
        </w:rPr>
        <w:t>Si se cuenta con información suficiente sobre la instalación ILS, puede utilizarse el método de dos rayos del § 3.2.2.3.1.</w:t>
      </w:r>
    </w:p>
    <w:p w14:paraId="550A38A6" w14:textId="77777777" w:rsidR="008760D9" w:rsidRDefault="008760D9">
      <w:pPr>
        <w:rPr>
          <w:lang w:val="es-ES_tradnl"/>
        </w:rPr>
      </w:pPr>
      <w:r>
        <w:rPr>
          <w:lang w:val="es-ES_tradnl"/>
        </w:rPr>
        <w:t>Si no se dispone de la información requerida, puede utilizarse el método de interpolación ILS que figura en el § 3.2.2.3.2.</w:t>
      </w:r>
    </w:p>
    <w:p w14:paraId="042C0B2E" w14:textId="77777777" w:rsidR="008760D9" w:rsidRDefault="008760D9">
      <w:pPr>
        <w:pStyle w:val="Heading4"/>
        <w:rPr>
          <w:lang w:val="es-ES_tradnl"/>
        </w:rPr>
      </w:pPr>
      <w:r>
        <w:rPr>
          <w:lang w:val="es-ES_tradnl"/>
        </w:rPr>
        <w:t>3.2.2.3.1</w:t>
      </w:r>
      <w:r>
        <w:rPr>
          <w:lang w:val="es-ES_tradnl"/>
        </w:rPr>
        <w:tab/>
        <w:t>Método de los dos rayos</w:t>
      </w:r>
    </w:p>
    <w:p w14:paraId="28B59324" w14:textId="77777777" w:rsidR="008760D9" w:rsidRDefault="008760D9">
      <w:pPr>
        <w:rPr>
          <w:lang w:val="es-ES_tradnl"/>
        </w:rPr>
      </w:pPr>
      <w:r>
        <w:rPr>
          <w:lang w:val="es-ES_tradnl"/>
        </w:rPr>
        <w:t>El Apéndice 3 ofrece los detalles de un método que puede utilizarse para obtener una predicción exacta de la intensidad de campo ILS. Para utilizar este método debe disponerse de algunas informaciones detalladas sobre la instalación ILS, informaciones que se enumeran en el Apéndice 3. En los puntos de prueba A y E (véase el Cuadro 6), se utiliza la intensidad de campo mínima, 32 dB(</w:t>
      </w:r>
      <w:r>
        <w:rPr>
          <w:rFonts w:ascii="Symbol" w:hAnsi="Symbol"/>
          <w:lang w:val="es-ES_tradnl"/>
        </w:rPr>
        <w:t></w:t>
      </w:r>
      <w:r>
        <w:rPr>
          <w:lang w:val="es-ES_tradnl"/>
        </w:rPr>
        <w:t>V/m) (véase el § 3.2.1.2 del Anexo 1).</w:t>
      </w:r>
    </w:p>
    <w:p w14:paraId="58DAA517" w14:textId="77777777" w:rsidR="008760D9" w:rsidRDefault="008760D9">
      <w:pPr>
        <w:pStyle w:val="Heading4"/>
        <w:rPr>
          <w:lang w:val="es-ES_tradnl"/>
        </w:rPr>
      </w:pPr>
      <w:r>
        <w:rPr>
          <w:lang w:val="es-ES_tradnl"/>
        </w:rPr>
        <w:t>3.2.2.3.2</w:t>
      </w:r>
      <w:r>
        <w:rPr>
          <w:lang w:val="es-ES_tradnl"/>
        </w:rPr>
        <w:tab/>
        <w:t>Método de interpolación ILS</w:t>
      </w:r>
    </w:p>
    <w:p w14:paraId="56FC5B77" w14:textId="77777777" w:rsidR="008760D9" w:rsidRDefault="008760D9">
      <w:pPr>
        <w:rPr>
          <w:lang w:val="es-ES_tradnl"/>
        </w:rPr>
      </w:pPr>
      <w:r>
        <w:rPr>
          <w:lang w:val="es-ES_tradnl"/>
        </w:rPr>
        <w:t>Puede utilizarse el método de interpolación lineal siguiente para alturas superiores a 60 m por encima del emplazamiento del localizador ILS.</w:t>
      </w:r>
    </w:p>
    <w:p w14:paraId="2A4DC497" w14:textId="77777777" w:rsidR="008760D9" w:rsidRDefault="008760D9">
      <w:pPr>
        <w:rPr>
          <w:lang w:val="es-ES_tradnl"/>
        </w:rPr>
      </w:pPr>
      <w:r>
        <w:rPr>
          <w:lang w:val="es-ES_tradnl"/>
        </w:rPr>
        <w:t xml:space="preserve">Desde el centro del sistema de antena del localizador hasta una distancia (véase la Nota 1) de 18,5 km y para ángulos separados hasta </w:t>
      </w:r>
      <w:r>
        <w:rPr>
          <w:rFonts w:ascii="Symbol" w:hAnsi="Symbol"/>
          <w:lang w:val="es-ES_tradnl"/>
        </w:rPr>
        <w:t></w:t>
      </w:r>
      <w:r>
        <w:rPr>
          <w:lang w:val="es-ES_tradnl"/>
        </w:rPr>
        <w:t> 10</w:t>
      </w:r>
      <w:r>
        <w:rPr>
          <w:rFonts w:ascii="Symbol" w:hAnsi="Symbol"/>
          <w:lang w:val="es-ES_tradnl"/>
        </w:rPr>
        <w:t></w:t>
      </w:r>
      <w:r>
        <w:rPr>
          <w:lang w:val="es-ES_tradnl"/>
        </w:rPr>
        <w:t xml:space="preserve"> respecto a la línea frontal de la pista, la intensidad de campo es de 39 dB(</w:t>
      </w:r>
      <w:r>
        <w:rPr>
          <w:rFonts w:ascii="Symbol" w:hAnsi="Symbol"/>
          <w:lang w:val="es-ES_tradnl"/>
        </w:rPr>
        <w:t></w:t>
      </w:r>
      <w:r>
        <w:rPr>
          <w:lang w:val="es-ES_tradnl"/>
        </w:rPr>
        <w:t>V/m).</w:t>
      </w:r>
    </w:p>
    <w:p w14:paraId="047B9EF7" w14:textId="77777777" w:rsidR="008760D9" w:rsidRDefault="008760D9">
      <w:pPr>
        <w:pStyle w:val="Note"/>
        <w:rPr>
          <w:lang w:val="es-ES_tradnl"/>
        </w:rPr>
      </w:pPr>
      <w:r>
        <w:rPr>
          <w:lang w:val="es-ES_tradnl"/>
        </w:rPr>
        <w:t>NOTA 1 – En el § 3.2.2.3.2 las distancias utilizadas se calculan en el plano horizontal de emplazamiento del locali</w:t>
      </w:r>
      <w:r>
        <w:rPr>
          <w:lang w:val="es-ES_tradnl"/>
        </w:rPr>
        <w:softHyphen/>
        <w:t>zador ILS.</w:t>
      </w:r>
    </w:p>
    <w:p w14:paraId="158E0F7F" w14:textId="77777777" w:rsidR="008760D9" w:rsidRDefault="008760D9">
      <w:pPr>
        <w:rPr>
          <w:lang w:val="es-ES_tradnl"/>
        </w:rPr>
      </w:pPr>
      <w:r>
        <w:rPr>
          <w:lang w:val="es-ES_tradnl"/>
        </w:rPr>
        <w:t>Desde el centro del sistema de antena del localizador hasta una distancia de 31,5 km y para ángulos superiores a 10</w:t>
      </w:r>
      <w:r>
        <w:rPr>
          <w:rFonts w:ascii="Symbol" w:hAnsi="Symbol"/>
          <w:lang w:val="es-ES_tradnl"/>
        </w:rPr>
        <w:t></w:t>
      </w:r>
      <w:r>
        <w:rPr>
          <w:lang w:val="es-ES_tradnl"/>
        </w:rPr>
        <w:t xml:space="preserve"> y hasta 35</w:t>
      </w:r>
      <w:r>
        <w:rPr>
          <w:rFonts w:ascii="Symbol" w:hAnsi="Symbol"/>
          <w:lang w:val="es-ES_tradnl"/>
        </w:rPr>
        <w:t></w:t>
      </w:r>
      <w:r>
        <w:rPr>
          <w:lang w:val="es-ES_tradnl"/>
        </w:rPr>
        <w:t xml:space="preserve"> a cada lado de la línea frontal de la pista (véase la Fig. 1), la intensidad de campo ILS, </w:t>
      </w:r>
      <w:r>
        <w:rPr>
          <w:i/>
          <w:lang w:val="es-ES_tradnl"/>
        </w:rPr>
        <w:t>E</w:t>
      </w:r>
      <w:r>
        <w:rPr>
          <w:i/>
          <w:position w:val="-4"/>
          <w:sz w:val="16"/>
          <w:lang w:val="es-ES_tradnl"/>
        </w:rPr>
        <w:t>ILS</w:t>
      </w:r>
      <w:r>
        <w:rPr>
          <w:sz w:val="18"/>
          <w:lang w:val="es-ES_tradnl"/>
        </w:rPr>
        <w:t xml:space="preserve">, </w:t>
      </w:r>
      <w:r>
        <w:rPr>
          <w:lang w:val="es-ES_tradnl"/>
        </w:rPr>
        <w:t>viene dada por:</w:t>
      </w:r>
    </w:p>
    <w:p w14:paraId="05F54399" w14:textId="77777777" w:rsidR="008760D9" w:rsidRDefault="008760D9">
      <w:pPr>
        <w:pStyle w:val="Equation"/>
        <w:rPr>
          <w:lang w:val="es-ES_tradnl"/>
        </w:rPr>
      </w:pPr>
      <w:bookmarkStart w:id="17" w:name="F016"/>
      <w:r w:rsidRPr="00AC3FDE">
        <w:rPr>
          <w:lang w:val="es-ES"/>
        </w:rPr>
        <w:tab/>
      </w:r>
      <w:r w:rsidRPr="00AC3FDE">
        <w:rPr>
          <w:lang w:val="es-ES"/>
        </w:rPr>
        <w:tab/>
      </w:r>
      <w:r>
        <w:fldChar w:fldCharType="begin"/>
      </w:r>
      <w:r w:rsidRPr="00AC3FDE">
        <w:rPr>
          <w:lang w:val="es-ES"/>
        </w:rPr>
        <w:instrText xml:space="preserve">eq </w:instrText>
      </w:r>
      <w:r w:rsidRPr="00AC3FDE">
        <w:rPr>
          <w:i/>
          <w:lang w:val="es-ES"/>
        </w:rPr>
        <w:instrText>E</w:instrText>
      </w:r>
      <w:r w:rsidRPr="00AC3FDE">
        <w:rPr>
          <w:i/>
          <w:position w:val="-4"/>
          <w:sz w:val="18"/>
          <w:lang w:val="es-ES"/>
        </w:rPr>
        <w:instrText>ILS</w:instrText>
      </w:r>
      <w:r w:rsidRPr="00AC3FDE">
        <w:rPr>
          <w:lang w:val="es-ES"/>
        </w:rPr>
        <w:instrText xml:space="preserve">  </w:instrText>
      </w:r>
      <w:r w:rsidRPr="00AC3FDE">
        <w:rPr>
          <w:rFonts w:ascii="Symbol" w:hAnsi="Symbol"/>
          <w:lang w:val="es-ES"/>
        </w:rPr>
        <w:instrText>=</w:instrText>
      </w:r>
      <w:r w:rsidRPr="00AC3FDE">
        <w:rPr>
          <w:lang w:val="es-ES"/>
        </w:rPr>
        <w:instrText xml:space="preserve">  39  –  \f(</w:instrText>
      </w:r>
      <w:r w:rsidRPr="00AC3FDE">
        <w:rPr>
          <w:i/>
          <w:lang w:val="es-ES"/>
        </w:rPr>
        <w:instrText>d</w:instrText>
      </w:r>
      <w:r w:rsidRPr="00AC3FDE">
        <w:rPr>
          <w:lang w:val="es-ES"/>
        </w:rPr>
        <w:instrText>;4,5)               dB(</w:instrText>
      </w:r>
      <w:r w:rsidRPr="00AC3FDE">
        <w:rPr>
          <w:rFonts w:ascii="Symbol" w:hAnsi="Symbol"/>
          <w:lang w:val="es-ES"/>
        </w:rPr>
        <w:instrText>m</w:instrText>
      </w:r>
      <w:r w:rsidRPr="00AC3FDE">
        <w:rPr>
          <w:lang w:val="es-ES"/>
        </w:rPr>
        <w:instrText>V/m)</w:instrText>
      </w:r>
      <w:r>
        <w:rPr>
          <w:rFonts w:ascii="Times" w:hAnsi="Times"/>
          <w:noProof/>
        </w:rPr>
        <w:fldChar w:fldCharType="separate"/>
      </w:r>
      <w:r w:rsidR="00DF52C7">
        <w:rPr>
          <w:noProof/>
          <w:position w:val="-18"/>
          <w:lang w:val="en-US" w:eastAsia="zh-CN"/>
        </w:rPr>
        <w:drawing>
          <wp:inline distT="0" distB="0" distL="0" distR="0" wp14:anchorId="58F5D6E8" wp14:editId="6A426DE0">
            <wp:extent cx="228600" cy="2895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600" cy="289560"/>
                    </a:xfrm>
                    <a:prstGeom prst="rect">
                      <a:avLst/>
                    </a:prstGeom>
                    <a:noFill/>
                    <a:ln>
                      <a:noFill/>
                    </a:ln>
                  </pic:spPr>
                </pic:pic>
              </a:graphicData>
            </a:graphic>
          </wp:inline>
        </w:drawing>
      </w:r>
      <w:r>
        <w:fldChar w:fldCharType="end"/>
      </w:r>
      <w:r w:rsidRPr="00AC3FDE">
        <w:rPr>
          <w:lang w:val="es-ES"/>
        </w:rPr>
        <w:tab/>
        <w:t>(14)</w:t>
      </w:r>
      <w:bookmarkEnd w:id="17"/>
    </w:p>
    <w:p w14:paraId="2D2EEA7F" w14:textId="77777777" w:rsidR="008760D9" w:rsidRDefault="008760D9">
      <w:pPr>
        <w:rPr>
          <w:lang w:val="es-ES_tradnl"/>
        </w:rPr>
      </w:pPr>
      <w:r>
        <w:rPr>
          <w:lang w:val="es-ES_tradnl"/>
        </w:rPr>
        <w:t>siendo:</w:t>
      </w:r>
    </w:p>
    <w:p w14:paraId="7BE6E087" w14:textId="77777777" w:rsidR="008760D9" w:rsidRDefault="008760D9">
      <w:pPr>
        <w:pStyle w:val="enumlev1"/>
        <w:rPr>
          <w:lang w:val="es-ES_tradnl"/>
        </w:rPr>
      </w:pPr>
      <w:r>
        <w:rPr>
          <w:i/>
          <w:lang w:val="es-ES_tradnl"/>
        </w:rPr>
        <w:tab/>
        <w:t>d</w:t>
      </w:r>
      <w:r>
        <w:rPr>
          <w:rFonts w:ascii="Tms Rmn" w:hAnsi="Tms Rmn"/>
          <w:sz w:val="12"/>
          <w:lang w:val="es-ES_tradnl"/>
        </w:rPr>
        <w:t> </w:t>
      </w:r>
      <w:r>
        <w:rPr>
          <w:lang w:val="es-ES_tradnl"/>
        </w:rPr>
        <w:t>:</w:t>
      </w:r>
      <w:r>
        <w:rPr>
          <w:lang w:val="es-ES_tradnl"/>
        </w:rPr>
        <w:tab/>
        <w:t>distancia (km) desde el emplazamiento del localizador ILS al punto de prueba.</w:t>
      </w:r>
    </w:p>
    <w:p w14:paraId="63408570" w14:textId="77777777" w:rsidR="008760D9" w:rsidRDefault="008760D9">
      <w:pPr>
        <w:rPr>
          <w:lang w:val="es-ES_tradnl"/>
        </w:rPr>
      </w:pPr>
      <w:r>
        <w:rPr>
          <w:lang w:val="es-ES_tradnl"/>
        </w:rPr>
        <w:t xml:space="preserve">Desde una distancia de 18,5 km hasta una distancia de 46,3 km y para ángulos de hasta </w:t>
      </w:r>
      <w:r>
        <w:rPr>
          <w:rFonts w:ascii="Symbol" w:hAnsi="Symbol"/>
          <w:lang w:val="es-ES_tradnl"/>
        </w:rPr>
        <w:t></w:t>
      </w:r>
      <w:r>
        <w:rPr>
          <w:lang w:val="es-ES_tradnl"/>
        </w:rPr>
        <w:t> 10</w:t>
      </w:r>
      <w:r>
        <w:rPr>
          <w:rFonts w:ascii="Symbol" w:hAnsi="Symbol"/>
          <w:lang w:val="es-ES_tradnl"/>
        </w:rPr>
        <w:t></w:t>
      </w:r>
      <w:r>
        <w:rPr>
          <w:lang w:val="es-ES_tradnl"/>
        </w:rPr>
        <w:t xml:space="preserve"> respecto a la línea frontal de la pista, la intensidad de campo ILS, </w:t>
      </w:r>
      <w:r>
        <w:rPr>
          <w:i/>
          <w:lang w:val="es-ES_tradnl"/>
        </w:rPr>
        <w:t>E</w:t>
      </w:r>
      <w:r>
        <w:rPr>
          <w:i/>
          <w:position w:val="-4"/>
          <w:sz w:val="16"/>
          <w:lang w:val="es-ES_tradnl"/>
        </w:rPr>
        <w:t>ILS</w:t>
      </w:r>
      <w:r>
        <w:rPr>
          <w:lang w:val="es-ES_tradnl"/>
        </w:rPr>
        <w:t>, viene dada por:</w:t>
      </w:r>
    </w:p>
    <w:p w14:paraId="3D4C1731" w14:textId="77777777" w:rsidR="008760D9" w:rsidRDefault="008760D9">
      <w:pPr>
        <w:pStyle w:val="Equation"/>
        <w:rPr>
          <w:lang w:val="es-ES_tradnl"/>
        </w:rPr>
      </w:pPr>
      <w:bookmarkStart w:id="18" w:name="F017"/>
      <w:r w:rsidRPr="00AC3FDE">
        <w:rPr>
          <w:lang w:val="es-ES"/>
        </w:rPr>
        <w:tab/>
      </w:r>
      <w:r w:rsidRPr="00AC3FDE">
        <w:rPr>
          <w:lang w:val="es-ES"/>
        </w:rPr>
        <w:tab/>
      </w:r>
      <w:r>
        <w:fldChar w:fldCharType="begin"/>
      </w:r>
      <w:r w:rsidRPr="00AC3FDE">
        <w:rPr>
          <w:lang w:val="es-ES"/>
        </w:rPr>
        <w:instrText xml:space="preserve">eq </w:instrText>
      </w:r>
      <w:r w:rsidRPr="00AC3FDE">
        <w:rPr>
          <w:i/>
          <w:lang w:val="es-ES"/>
        </w:rPr>
        <w:instrText>E</w:instrText>
      </w:r>
      <w:r w:rsidRPr="00AC3FDE">
        <w:rPr>
          <w:i/>
          <w:position w:val="-4"/>
          <w:sz w:val="18"/>
          <w:lang w:val="es-ES"/>
        </w:rPr>
        <w:instrText>ILS</w:instrText>
      </w:r>
      <w:r w:rsidRPr="00AC3FDE">
        <w:rPr>
          <w:lang w:val="es-ES"/>
        </w:rPr>
        <w:instrText xml:space="preserve">  </w:instrText>
      </w:r>
      <w:r w:rsidRPr="00AC3FDE">
        <w:rPr>
          <w:rFonts w:ascii="Symbol" w:hAnsi="Symbol"/>
          <w:lang w:val="es-ES"/>
        </w:rPr>
        <w:instrText>=</w:instrText>
      </w:r>
      <w:r w:rsidRPr="00AC3FDE">
        <w:rPr>
          <w:lang w:val="es-ES"/>
        </w:rPr>
        <w:instrText xml:space="preserve">  39  –  \f(</w:instrText>
      </w:r>
      <w:r w:rsidRPr="00AC3FDE">
        <w:rPr>
          <w:i/>
          <w:lang w:val="es-ES"/>
        </w:rPr>
        <w:instrText>d</w:instrText>
      </w:r>
      <w:r w:rsidRPr="00AC3FDE">
        <w:rPr>
          <w:lang w:val="es-ES"/>
        </w:rPr>
        <w:instrText xml:space="preserve">  –  18,5;4)               dB(</w:instrText>
      </w:r>
      <w:r w:rsidRPr="00AC3FDE">
        <w:rPr>
          <w:rFonts w:ascii="Symbol" w:hAnsi="Symbol"/>
          <w:lang w:val="es-ES"/>
        </w:rPr>
        <w:instrText>m</w:instrText>
      </w:r>
      <w:r w:rsidRPr="00AC3FDE">
        <w:rPr>
          <w:lang w:val="es-ES"/>
        </w:rPr>
        <w:instrText>V/m)</w:instrText>
      </w:r>
      <w:r>
        <w:rPr>
          <w:rFonts w:ascii="Times" w:hAnsi="Times"/>
          <w:noProof/>
        </w:rPr>
        <w:fldChar w:fldCharType="separate"/>
      </w:r>
      <w:r w:rsidR="00DF52C7">
        <w:rPr>
          <w:noProof/>
          <w:position w:val="-18"/>
          <w:lang w:val="en-US" w:eastAsia="zh-CN"/>
        </w:rPr>
        <w:drawing>
          <wp:inline distT="0" distB="0" distL="0" distR="0" wp14:anchorId="117E2449" wp14:editId="2F42CC4D">
            <wp:extent cx="228600" cy="289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600" cy="289560"/>
                    </a:xfrm>
                    <a:prstGeom prst="rect">
                      <a:avLst/>
                    </a:prstGeom>
                    <a:noFill/>
                    <a:ln>
                      <a:noFill/>
                    </a:ln>
                  </pic:spPr>
                </pic:pic>
              </a:graphicData>
            </a:graphic>
          </wp:inline>
        </w:drawing>
      </w:r>
      <w:r>
        <w:fldChar w:fldCharType="end"/>
      </w:r>
      <w:r w:rsidRPr="00AC3FDE">
        <w:rPr>
          <w:lang w:val="es-ES"/>
        </w:rPr>
        <w:tab/>
        <w:t>(15)</w:t>
      </w:r>
      <w:bookmarkEnd w:id="18"/>
    </w:p>
    <w:p w14:paraId="2B229628" w14:textId="77777777" w:rsidR="008760D9" w:rsidRDefault="008760D9">
      <w:pPr>
        <w:rPr>
          <w:lang w:val="es-ES_tradnl"/>
        </w:rPr>
      </w:pPr>
      <w:r>
        <w:rPr>
          <w:lang w:val="es-ES_tradnl"/>
        </w:rPr>
        <w:t>Para alturas por debajo de 60 m, se utiliza la intensidad de campo mínima, 32 dB(</w:t>
      </w:r>
      <w:r>
        <w:rPr>
          <w:rFonts w:ascii="Symbol" w:hAnsi="Symbol"/>
          <w:lang w:val="es-ES_tradnl"/>
        </w:rPr>
        <w:t></w:t>
      </w:r>
      <w:r>
        <w:rPr>
          <w:lang w:val="es-ES_tradnl"/>
        </w:rPr>
        <w:t>V/m).</w:t>
      </w:r>
    </w:p>
    <w:p w14:paraId="68E750D3" w14:textId="77777777" w:rsidR="008760D9" w:rsidRDefault="008760D9">
      <w:pPr>
        <w:rPr>
          <w:lang w:val="es-ES_tradnl"/>
        </w:rPr>
      </w:pPr>
      <w:r>
        <w:rPr>
          <w:lang w:val="es-ES_tradnl"/>
        </w:rPr>
        <w:t xml:space="preserve">Los valores de la intensidad de campo ILS, </w:t>
      </w:r>
      <w:r>
        <w:rPr>
          <w:i/>
          <w:lang w:val="es-ES_tradnl"/>
        </w:rPr>
        <w:t>E</w:t>
      </w:r>
      <w:r>
        <w:rPr>
          <w:i/>
          <w:position w:val="-4"/>
          <w:sz w:val="16"/>
          <w:lang w:val="es-ES_tradnl"/>
        </w:rPr>
        <w:t>ILS</w:t>
      </w:r>
      <w:r>
        <w:rPr>
          <w:position w:val="-6"/>
          <w:sz w:val="18"/>
          <w:lang w:val="es-ES_tradnl"/>
        </w:rPr>
        <w:t xml:space="preserve"> </w:t>
      </w:r>
      <w:r>
        <w:rPr>
          <w:lang w:val="es-ES_tradnl"/>
        </w:rPr>
        <w:t>utilizados en este método de interpolación son los valores mínimos especificados en el Anexo 10 del Convenio de la OACI (véase también el Apéndice 1 al Anexo 1), y como no se permiten variaciones por debajo de estos mínimos, no se requiere un margen de seguridad.</w:t>
      </w:r>
    </w:p>
    <w:p w14:paraId="0D1495C2" w14:textId="77777777" w:rsidR="008760D9" w:rsidRDefault="008760D9">
      <w:pPr>
        <w:pStyle w:val="Heading3"/>
        <w:rPr>
          <w:lang w:val="es-ES_tradnl"/>
        </w:rPr>
      </w:pPr>
      <w:r>
        <w:rPr>
          <w:lang w:val="es-ES_tradnl"/>
        </w:rPr>
        <w:t>3.2.3</w:t>
      </w:r>
      <w:r>
        <w:rPr>
          <w:lang w:val="es-ES_tradnl"/>
        </w:rPr>
        <w:tab/>
        <w:t>VOR</w:t>
      </w:r>
    </w:p>
    <w:p w14:paraId="69C1E48D" w14:textId="77777777" w:rsidR="008760D9" w:rsidRDefault="008760D9">
      <w:pPr>
        <w:pStyle w:val="Heading4"/>
        <w:rPr>
          <w:lang w:val="es-ES_tradnl"/>
        </w:rPr>
      </w:pPr>
      <w:r>
        <w:rPr>
          <w:lang w:val="es-ES_tradnl"/>
        </w:rPr>
        <w:t>3.2.3.1</w:t>
      </w:r>
      <w:r>
        <w:rPr>
          <w:lang w:val="es-ES_tradnl"/>
        </w:rPr>
        <w:tab/>
        <w:t>Puntos de prueba adicionales</w:t>
      </w:r>
    </w:p>
    <w:p w14:paraId="4E69F473" w14:textId="77777777" w:rsidR="008760D9" w:rsidRDefault="008760D9">
      <w:pPr>
        <w:rPr>
          <w:lang w:val="es-ES_tradnl"/>
        </w:rPr>
      </w:pPr>
      <w:r>
        <w:rPr>
          <w:lang w:val="es-ES_tradnl"/>
        </w:rPr>
        <w:t>En los cálculos de la intensidad de campo se utiliza la distancia en el trayecto oblicuo entre la antena de la estación de radiodifusión y cualquier otro punto de prueba (véase el § 2.2.3). No obstante, hay que respetar un valor mínimo de 300 m.</w:t>
      </w:r>
    </w:p>
    <w:p w14:paraId="51D3C9F3" w14:textId="77777777" w:rsidR="008760D9" w:rsidRDefault="008760D9">
      <w:pPr>
        <w:pStyle w:val="Heading4"/>
        <w:rPr>
          <w:lang w:val="es-ES_tradnl"/>
        </w:rPr>
      </w:pPr>
      <w:r>
        <w:rPr>
          <w:lang w:val="es-ES_tradnl"/>
        </w:rPr>
        <w:br w:type="page"/>
      </w:r>
      <w:r>
        <w:rPr>
          <w:lang w:val="es-ES_tradnl"/>
        </w:rPr>
        <w:lastRenderedPageBreak/>
        <w:t>3.2.3.2</w:t>
      </w:r>
      <w:r>
        <w:rPr>
          <w:lang w:val="es-ES_tradnl"/>
        </w:rPr>
        <w:tab/>
        <w:t>Cálculo de la intensidad de campo VOR en los puntos de prueba</w:t>
      </w:r>
    </w:p>
    <w:p w14:paraId="44F757E1" w14:textId="77777777" w:rsidR="008760D9" w:rsidRDefault="008760D9">
      <w:pPr>
        <w:rPr>
          <w:lang w:val="es-ES_tradnl"/>
        </w:rPr>
      </w:pPr>
      <w:r>
        <w:rPr>
          <w:lang w:val="es-ES_tradnl"/>
        </w:rPr>
        <w:t>Para los puntos de prueba con ángulos de elevación superiores a 0</w:t>
      </w:r>
      <w:r>
        <w:rPr>
          <w:rFonts w:ascii="Symbol" w:hAnsi="Symbol"/>
          <w:lang w:val="es-ES_tradnl"/>
        </w:rPr>
        <w:t></w:t>
      </w:r>
      <w:r>
        <w:rPr>
          <w:lang w:val="es-ES_tradnl"/>
        </w:rPr>
        <w:t xml:space="preserve"> e inferiores a 2,5</w:t>
      </w:r>
      <w:r>
        <w:rPr>
          <w:rFonts w:ascii="Symbol" w:hAnsi="Symbol"/>
          <w:lang w:val="es-ES_tradnl"/>
        </w:rPr>
        <w:t></w:t>
      </w:r>
      <w:r>
        <w:rPr>
          <w:lang w:val="es-ES_tradnl"/>
        </w:rPr>
        <w:t>, se aplica la fórmula indicada a continuación en aquellas instalaciones que en el centro de radiación de la antena transmisora VOR se encuentra a más de 7 m por encima del nivel del suelo:</w:t>
      </w:r>
    </w:p>
    <w:p w14:paraId="5FF31C17" w14:textId="77777777" w:rsidR="008760D9" w:rsidRDefault="008760D9">
      <w:pPr>
        <w:pStyle w:val="Equation"/>
        <w:rPr>
          <w:lang w:val="es-ES_tradnl"/>
        </w:rPr>
      </w:pPr>
      <w:bookmarkStart w:id="19" w:name="F018"/>
      <w:r w:rsidRPr="00AC3FDE">
        <w:rPr>
          <w:lang w:val="es-ES"/>
        </w:rPr>
        <w:tab/>
      </w:r>
      <w:r w:rsidRPr="00AC3FDE">
        <w:rPr>
          <w:lang w:val="es-ES"/>
        </w:rPr>
        <w:tab/>
      </w:r>
      <w:r w:rsidRPr="00AC3FDE">
        <w:rPr>
          <w:i/>
          <w:lang w:val="es-ES"/>
        </w:rPr>
        <w:t>E</w:t>
      </w:r>
      <w:r w:rsidRPr="00AC3FDE">
        <w:rPr>
          <w:i/>
          <w:position w:val="-4"/>
          <w:sz w:val="18"/>
          <w:lang w:val="es-ES"/>
        </w:rPr>
        <w:t>VOR</w:t>
      </w:r>
      <w:r w:rsidRPr="00AC3FDE">
        <w:rPr>
          <w:lang w:val="es-ES"/>
        </w:rPr>
        <w:t xml:space="preserve">  </w:t>
      </w:r>
      <w:r>
        <w:rPr>
          <w:rFonts w:ascii="Symbol" w:hAnsi="Symbol"/>
        </w:rPr>
        <w:t></w:t>
      </w:r>
      <w:r w:rsidRPr="00AC3FDE">
        <w:rPr>
          <w:lang w:val="es-ES"/>
        </w:rPr>
        <w:t xml:space="preserve">  </w:t>
      </w:r>
      <w:r w:rsidRPr="00AC3FDE">
        <w:rPr>
          <w:i/>
          <w:lang w:val="es-ES"/>
        </w:rPr>
        <w:t>E</w:t>
      </w:r>
      <w:r w:rsidRPr="00AC3FDE">
        <w:rPr>
          <w:i/>
          <w:position w:val="-4"/>
          <w:sz w:val="18"/>
          <w:lang w:val="es-ES"/>
        </w:rPr>
        <w:t>MÍN</w:t>
      </w:r>
      <w:r w:rsidRPr="00AC3FDE">
        <w:rPr>
          <w:lang w:val="es-ES"/>
        </w:rPr>
        <w:t xml:space="preserve">  </w:t>
      </w:r>
      <w:r>
        <w:rPr>
          <w:rFonts w:ascii="Symbol" w:hAnsi="Symbol"/>
        </w:rPr>
        <w:t></w:t>
      </w:r>
      <w:r w:rsidRPr="00AC3FDE">
        <w:rPr>
          <w:lang w:val="es-ES"/>
        </w:rPr>
        <w:t xml:space="preserve">  </w:t>
      </w:r>
      <w:proofErr w:type="spellStart"/>
      <w:r w:rsidRPr="00AC3FDE">
        <w:rPr>
          <w:lang w:val="es-ES"/>
        </w:rPr>
        <w:t>máx</w:t>
      </w:r>
      <w:proofErr w:type="spellEnd"/>
      <w:r w:rsidRPr="00AC3FDE">
        <w:rPr>
          <w:lang w:val="es-ES"/>
        </w:rPr>
        <w:t xml:space="preserve"> </w:t>
      </w:r>
      <w:r w:rsidRPr="00AC3FDE">
        <w:rPr>
          <w:sz w:val="30"/>
          <w:lang w:val="es-ES"/>
        </w:rPr>
        <w:t>(</w:t>
      </w:r>
      <w:r w:rsidRPr="00AC3FDE">
        <w:rPr>
          <w:lang w:val="es-ES"/>
        </w:rPr>
        <w:t>20 log (</w:t>
      </w:r>
      <w:r>
        <w:rPr>
          <w:rFonts w:ascii="Symbol" w:hAnsi="Symbol"/>
        </w:rPr>
        <w:t></w:t>
      </w:r>
      <w:r w:rsidRPr="00AC3FDE">
        <w:rPr>
          <w:lang w:val="es-ES"/>
        </w:rPr>
        <w:t xml:space="preserve"> </w:t>
      </w:r>
      <w:r w:rsidRPr="00AC3FDE">
        <w:rPr>
          <w:i/>
          <w:lang w:val="es-ES"/>
        </w:rPr>
        <w:t>D</w:t>
      </w:r>
      <w:r w:rsidRPr="00AC3FDE">
        <w:rPr>
          <w:i/>
          <w:position w:val="-4"/>
          <w:sz w:val="18"/>
          <w:lang w:val="es-ES"/>
        </w:rPr>
        <w:t>MX</w:t>
      </w:r>
      <w:r w:rsidRPr="00AC3FDE">
        <w:rPr>
          <w:lang w:val="es-ES"/>
        </w:rPr>
        <w:t xml:space="preserve"> / </w:t>
      </w:r>
      <w:r w:rsidRPr="00AC3FDE">
        <w:rPr>
          <w:i/>
          <w:lang w:val="es-ES"/>
        </w:rPr>
        <w:t>D</w:t>
      </w:r>
      <w:r w:rsidRPr="00AC3FDE">
        <w:rPr>
          <w:i/>
          <w:position w:val="-4"/>
          <w:sz w:val="18"/>
          <w:lang w:val="es-ES"/>
        </w:rPr>
        <w:t>TP</w:t>
      </w:r>
      <w:r w:rsidRPr="00AC3FDE">
        <w:rPr>
          <w:lang w:val="es-ES"/>
        </w:rPr>
        <w:t>); 0</w:t>
      </w:r>
      <w:r w:rsidRPr="00AC3FDE">
        <w:rPr>
          <w:sz w:val="30"/>
          <w:lang w:val="es-ES"/>
        </w:rPr>
        <w:t>)</w:t>
      </w:r>
      <w:r w:rsidRPr="00AC3FDE">
        <w:rPr>
          <w:lang w:val="es-ES"/>
        </w:rPr>
        <w:tab/>
        <w:t>(16)</w:t>
      </w:r>
      <w:bookmarkEnd w:id="19"/>
    </w:p>
    <w:p w14:paraId="0C8997E5" w14:textId="77777777" w:rsidR="008760D9" w:rsidRDefault="008760D9">
      <w:pPr>
        <w:rPr>
          <w:lang w:val="es-ES_tradnl"/>
        </w:rPr>
      </w:pPr>
      <w:r>
        <w:rPr>
          <w:lang w:val="es-ES_tradnl"/>
        </w:rPr>
        <w:t>siendo:</w:t>
      </w:r>
    </w:p>
    <w:p w14:paraId="1594D122" w14:textId="77777777" w:rsidR="008760D9" w:rsidRDefault="008760D9">
      <w:pPr>
        <w:pStyle w:val="enumlev1"/>
        <w:tabs>
          <w:tab w:val="left" w:pos="1021"/>
        </w:tabs>
        <w:ind w:left="1021" w:hanging="1021"/>
        <w:rPr>
          <w:lang w:val="es-ES_tradnl"/>
        </w:rPr>
      </w:pPr>
      <w:r>
        <w:rPr>
          <w:i/>
          <w:lang w:val="es-ES_tradnl"/>
        </w:rPr>
        <w:tab/>
        <w:t>E</w:t>
      </w:r>
      <w:r>
        <w:rPr>
          <w:i/>
          <w:position w:val="-4"/>
          <w:sz w:val="16"/>
          <w:lang w:val="es-ES_tradnl"/>
        </w:rPr>
        <w:t>MÍN</w:t>
      </w:r>
      <w:r>
        <w:rPr>
          <w:rFonts w:ascii="Tms Rmn" w:hAnsi="Tms Rmn"/>
          <w:sz w:val="12"/>
          <w:lang w:val="es-ES_tradnl"/>
        </w:rPr>
        <w:t> </w:t>
      </w:r>
      <w:r>
        <w:rPr>
          <w:lang w:val="es-ES_tradnl"/>
        </w:rPr>
        <w:t>:</w:t>
      </w:r>
      <w:r>
        <w:rPr>
          <w:lang w:val="es-ES_tradnl"/>
        </w:rPr>
        <w:tab/>
        <w:t>intensidad de campo mínima OACI (39 dB(</w:t>
      </w:r>
      <w:r>
        <w:rPr>
          <w:rFonts w:ascii="Symbol" w:hAnsi="Symbol"/>
          <w:lang w:val="es-ES_tradnl"/>
        </w:rPr>
        <w:t></w:t>
      </w:r>
      <w:r>
        <w:rPr>
          <w:lang w:val="es-ES_tradnl"/>
        </w:rPr>
        <w:t>V/m))</w:t>
      </w:r>
    </w:p>
    <w:p w14:paraId="0927CDE3" w14:textId="77777777" w:rsidR="008760D9" w:rsidRDefault="008760D9">
      <w:pPr>
        <w:pStyle w:val="enumlev1"/>
        <w:tabs>
          <w:tab w:val="left" w:pos="1021"/>
        </w:tabs>
        <w:ind w:left="1021" w:hanging="1021"/>
        <w:rPr>
          <w:sz w:val="16"/>
          <w:lang w:val="es-ES_tradnl"/>
        </w:rPr>
      </w:pPr>
      <w:r>
        <w:rPr>
          <w:i/>
          <w:lang w:val="es-ES_tradnl"/>
        </w:rPr>
        <w:tab/>
        <w:t>D</w:t>
      </w:r>
      <w:r>
        <w:rPr>
          <w:i/>
          <w:position w:val="-4"/>
          <w:sz w:val="16"/>
          <w:lang w:val="es-ES_tradnl"/>
        </w:rPr>
        <w:t>MX</w:t>
      </w:r>
      <w:r>
        <w:rPr>
          <w:rFonts w:ascii="Tms Rmn" w:hAnsi="Tms Rmn"/>
          <w:sz w:val="12"/>
          <w:lang w:val="es-ES_tradnl"/>
        </w:rPr>
        <w:t> </w:t>
      </w:r>
      <w:r>
        <w:rPr>
          <w:sz w:val="16"/>
          <w:lang w:val="es-ES_tradnl"/>
        </w:rPr>
        <w:t>:</w:t>
      </w:r>
      <w:r>
        <w:rPr>
          <w:sz w:val="16"/>
          <w:lang w:val="es-ES_tradnl"/>
        </w:rPr>
        <w:tab/>
      </w:r>
      <w:r>
        <w:rPr>
          <w:lang w:val="es-ES_tradnl"/>
        </w:rPr>
        <w:t>alcance especificado del VOR (km) en la dirección del punto de prueba</w:t>
      </w:r>
    </w:p>
    <w:p w14:paraId="57122A59" w14:textId="77777777" w:rsidR="008760D9" w:rsidRDefault="008760D9">
      <w:pPr>
        <w:pStyle w:val="enumlev1"/>
        <w:tabs>
          <w:tab w:val="left" w:pos="1021"/>
        </w:tabs>
        <w:ind w:left="1021" w:hanging="1021"/>
        <w:rPr>
          <w:lang w:val="es-ES_tradnl"/>
        </w:rPr>
      </w:pPr>
      <w:r>
        <w:rPr>
          <w:i/>
          <w:lang w:val="es-ES_tradnl"/>
        </w:rPr>
        <w:tab/>
        <w:t>D</w:t>
      </w:r>
      <w:r>
        <w:rPr>
          <w:i/>
          <w:position w:val="-4"/>
          <w:sz w:val="16"/>
          <w:lang w:val="es-ES_tradnl"/>
        </w:rPr>
        <w:t>TP</w:t>
      </w:r>
      <w:r>
        <w:rPr>
          <w:rFonts w:ascii="Tms Rmn" w:hAnsi="Tms Rmn"/>
          <w:sz w:val="12"/>
          <w:lang w:val="es-ES_tradnl"/>
        </w:rPr>
        <w:t> </w:t>
      </w:r>
      <w:r>
        <w:rPr>
          <w:lang w:val="es-ES_tradnl"/>
        </w:rPr>
        <w:t>:</w:t>
      </w:r>
      <w:r>
        <w:rPr>
          <w:lang w:val="es-ES_tradnl"/>
        </w:rPr>
        <w:tab/>
        <w:t>distancia oblicua (km) desde el emplazamiento transmisor VOR al punto de prueba</w:t>
      </w:r>
    </w:p>
    <w:p w14:paraId="6EEF6A9A" w14:textId="77777777" w:rsidR="008760D9" w:rsidRDefault="008760D9">
      <w:pPr>
        <w:pStyle w:val="enumlev1"/>
        <w:tabs>
          <w:tab w:val="left" w:pos="1021"/>
        </w:tabs>
        <w:ind w:left="1021" w:hanging="1021"/>
        <w:rPr>
          <w:lang w:val="es-ES_tradnl"/>
        </w:rPr>
      </w:pPr>
      <w:r>
        <w:rPr>
          <w:rFonts w:ascii="Symbol" w:hAnsi="Symbol"/>
          <w:lang w:val="es-ES_tradnl"/>
        </w:rPr>
        <w:tab/>
      </w:r>
      <w:r>
        <w:rPr>
          <w:rFonts w:ascii="Symbol" w:hAnsi="Symbol"/>
          <w:lang w:val="es-ES_tradnl"/>
        </w:rPr>
        <w:t></w:t>
      </w:r>
      <w:r>
        <w:rPr>
          <w:rFonts w:ascii="Tms Rmn" w:hAnsi="Tms Rmn"/>
          <w:sz w:val="12"/>
          <w:lang w:val="es-ES_tradnl"/>
        </w:rPr>
        <w:t> </w:t>
      </w:r>
      <w:r>
        <w:rPr>
          <w:lang w:val="es-ES_tradnl"/>
        </w:rPr>
        <w:t>:</w:t>
      </w:r>
      <w:r>
        <w:rPr>
          <w:lang w:val="es-ES_tradnl"/>
        </w:rPr>
        <w:tab/>
        <w:t>ángulo de elevación (grados) del punto de prueba respecto a la antena VOR y que viene dado por:</w:t>
      </w:r>
    </w:p>
    <w:p w14:paraId="71D980B7" w14:textId="77777777" w:rsidR="008760D9" w:rsidRDefault="008760D9">
      <w:pPr>
        <w:pStyle w:val="Equation"/>
        <w:rPr>
          <w:lang w:val="es-ES_tradnl"/>
        </w:rPr>
      </w:pPr>
      <w:bookmarkStart w:id="20" w:name="F019"/>
      <w:r>
        <w:rPr>
          <w:rFonts w:ascii="Symbol" w:hAnsi="Symbol"/>
          <w:lang w:val="es-ES_tradnl"/>
        </w:rPr>
        <w:tab/>
      </w:r>
      <w:r>
        <w:rPr>
          <w:rFonts w:ascii="Symbol" w:hAnsi="Symbol"/>
          <w:lang w:val="es-ES_tradnl"/>
        </w:rPr>
        <w:tab/>
      </w:r>
      <w:r>
        <w:fldChar w:fldCharType="begin"/>
      </w:r>
      <w:r w:rsidRPr="00AC3FDE">
        <w:rPr>
          <w:lang w:val="es-ES"/>
        </w:rPr>
        <w:instrText xml:space="preserve">eq </w:instrText>
      </w:r>
      <w:r w:rsidRPr="00AC3FDE">
        <w:rPr>
          <w:rFonts w:ascii="Symbol" w:hAnsi="Symbol"/>
          <w:lang w:val="es-ES"/>
        </w:rPr>
        <w:instrText>q</w:instrText>
      </w:r>
      <w:r w:rsidRPr="00AC3FDE">
        <w:rPr>
          <w:lang w:val="es-ES"/>
        </w:rPr>
        <w:instrText xml:space="preserve">  </w:instrText>
      </w:r>
      <w:r w:rsidRPr="00AC3FDE">
        <w:rPr>
          <w:rFonts w:ascii="Symbol" w:hAnsi="Symbol"/>
          <w:lang w:val="es-ES"/>
        </w:rPr>
        <w:instrText>=</w:instrText>
      </w:r>
      <w:r w:rsidRPr="00AC3FDE">
        <w:rPr>
          <w:lang w:val="es-ES"/>
        </w:rPr>
        <w:instrText xml:space="preserve">  tg</w:instrText>
      </w:r>
      <w:r w:rsidRPr="00AC3FDE">
        <w:rPr>
          <w:position w:val="6"/>
          <w:sz w:val="18"/>
          <w:lang w:val="es-ES"/>
        </w:rPr>
        <w:instrText>–1</w:instrText>
      </w:r>
      <w:r w:rsidRPr="00AC3FDE">
        <w:rPr>
          <w:lang w:val="es-ES"/>
        </w:rPr>
        <w:instrText xml:space="preserve">  \b\bc\((\S(\s\up7()) \d\ba2()\b\bc\[(\S( )\d\ba3()</w:instrText>
      </w:r>
      <w:r w:rsidRPr="00AC3FDE">
        <w:rPr>
          <w:i/>
          <w:lang w:val="es-ES"/>
        </w:rPr>
        <w:instrText>H</w:instrText>
      </w:r>
      <w:r w:rsidRPr="00AC3FDE">
        <w:rPr>
          <w:i/>
          <w:position w:val="-4"/>
          <w:sz w:val="18"/>
          <w:lang w:val="es-ES"/>
        </w:rPr>
        <w:instrText>TP</w:instrText>
      </w:r>
      <w:r w:rsidRPr="00AC3FDE">
        <w:rPr>
          <w:lang w:val="es-ES"/>
        </w:rPr>
        <w:instrText xml:space="preserve">  –  </w:instrText>
      </w:r>
      <w:r w:rsidRPr="00AC3FDE">
        <w:rPr>
          <w:i/>
          <w:lang w:val="es-ES"/>
        </w:rPr>
        <w:instrText>H</w:instrText>
      </w:r>
      <w:r w:rsidRPr="00AC3FDE">
        <w:rPr>
          <w:i/>
          <w:position w:val="-4"/>
          <w:sz w:val="18"/>
          <w:lang w:val="es-ES"/>
        </w:rPr>
        <w:instrText>VOR</w:instrText>
      </w:r>
      <w:r w:rsidRPr="00AC3FDE">
        <w:rPr>
          <w:lang w:val="es-ES"/>
        </w:rPr>
        <w:instrText xml:space="preserve">  –  (</w:instrText>
      </w:r>
      <w:r w:rsidRPr="00AC3FDE">
        <w:rPr>
          <w:i/>
          <w:lang w:val="es-ES"/>
        </w:rPr>
        <w:instrText>D</w:instrText>
      </w:r>
      <w:r w:rsidRPr="00AC3FDE">
        <w:rPr>
          <w:i/>
          <w:position w:val="-4"/>
          <w:sz w:val="18"/>
          <w:lang w:val="es-ES"/>
        </w:rPr>
        <w:instrText>TP</w:instrText>
      </w:r>
      <w:r w:rsidRPr="00AC3FDE">
        <w:rPr>
          <w:lang w:val="es-ES"/>
        </w:rPr>
        <w:instrText xml:space="preserve"> / 4,1)</w:instrText>
      </w:r>
      <w:r w:rsidRPr="00AC3FDE">
        <w:rPr>
          <w:position w:val="10"/>
          <w:sz w:val="18"/>
          <w:lang w:val="es-ES"/>
        </w:rPr>
        <w:instrText>2</w:instrText>
      </w:r>
      <w:r w:rsidRPr="00AC3FDE">
        <w:rPr>
          <w:lang w:val="es-ES"/>
        </w:rPr>
        <w:instrText>)  \b\lc\</w:instrText>
      </w:r>
      <w:r w:rsidRPr="00AC3FDE">
        <w:rPr>
          <w:rFonts w:ascii="Symbol" w:hAnsi="Symbol"/>
          <w:position w:val="-2"/>
          <w:lang w:val="es-ES"/>
        </w:rPr>
        <w:instrText>/</w:instrText>
      </w:r>
      <w:r w:rsidRPr="00AC3FDE">
        <w:rPr>
          <w:lang w:val="es-ES"/>
        </w:rPr>
        <w:instrText>(  \b\bc\[(\S( )\d\ba5()1</w:instrText>
      </w:r>
      <w:r w:rsidRPr="00AC3FDE">
        <w:rPr>
          <w:sz w:val="12"/>
          <w:lang w:val="es-ES"/>
        </w:rPr>
        <w:instrText> </w:instrText>
      </w:r>
      <w:r w:rsidRPr="00AC3FDE">
        <w:rPr>
          <w:lang w:val="es-ES"/>
        </w:rPr>
        <w:instrText xml:space="preserve">000 </w:instrText>
      </w:r>
      <w:r w:rsidRPr="00AC3FDE">
        <w:rPr>
          <w:i/>
          <w:lang w:val="es-ES"/>
        </w:rPr>
        <w:instrText>D</w:instrText>
      </w:r>
      <w:r w:rsidRPr="00AC3FDE">
        <w:rPr>
          <w:i/>
          <w:position w:val="-4"/>
          <w:sz w:val="18"/>
          <w:lang w:val="es-ES"/>
        </w:rPr>
        <w:instrText>TP</w:instrText>
      </w:r>
      <w:r w:rsidRPr="00AC3FDE">
        <w:rPr>
          <w:lang w:val="es-ES"/>
        </w:rPr>
        <w:instrText>)))</w:instrText>
      </w:r>
      <w:r>
        <w:rPr>
          <w:rFonts w:ascii="Times" w:hAnsi="Times"/>
          <w:noProof/>
        </w:rPr>
        <w:fldChar w:fldCharType="separate"/>
      </w:r>
      <w:r w:rsidR="00DF52C7">
        <w:rPr>
          <w:noProof/>
          <w:position w:val="-20"/>
          <w:lang w:val="en-US" w:eastAsia="zh-CN"/>
        </w:rPr>
        <w:drawing>
          <wp:inline distT="0" distB="0" distL="0" distR="0" wp14:anchorId="30A48043" wp14:editId="31D95F76">
            <wp:extent cx="2644140" cy="32004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44140" cy="320040"/>
                    </a:xfrm>
                    <a:prstGeom prst="rect">
                      <a:avLst/>
                    </a:prstGeom>
                    <a:noFill/>
                    <a:ln>
                      <a:noFill/>
                    </a:ln>
                  </pic:spPr>
                </pic:pic>
              </a:graphicData>
            </a:graphic>
          </wp:inline>
        </w:drawing>
      </w:r>
      <w:r>
        <w:fldChar w:fldCharType="end"/>
      </w:r>
      <w:r w:rsidRPr="00AC3FDE">
        <w:rPr>
          <w:lang w:val="es-ES"/>
        </w:rPr>
        <w:tab/>
        <w:t>(17)</w:t>
      </w:r>
      <w:bookmarkEnd w:id="20"/>
    </w:p>
    <w:p w14:paraId="402BE68A" w14:textId="77777777" w:rsidR="008760D9" w:rsidRDefault="008760D9">
      <w:pPr>
        <w:rPr>
          <w:lang w:val="es-ES_tradnl"/>
        </w:rPr>
      </w:pPr>
      <w:r>
        <w:rPr>
          <w:lang w:val="es-ES_tradnl"/>
        </w:rPr>
        <w:t>siendo:</w:t>
      </w:r>
    </w:p>
    <w:p w14:paraId="6F3811EC" w14:textId="77777777" w:rsidR="008760D9" w:rsidRDefault="008760D9">
      <w:pPr>
        <w:pStyle w:val="enumlev1"/>
        <w:tabs>
          <w:tab w:val="left" w:pos="1021"/>
        </w:tabs>
        <w:rPr>
          <w:lang w:val="es-ES_tradnl"/>
        </w:rPr>
      </w:pPr>
      <w:r>
        <w:rPr>
          <w:i/>
          <w:lang w:val="es-ES_tradnl"/>
        </w:rPr>
        <w:tab/>
        <w:t>H</w:t>
      </w:r>
      <w:r>
        <w:rPr>
          <w:i/>
          <w:position w:val="-4"/>
          <w:sz w:val="16"/>
          <w:lang w:val="es-ES_tradnl"/>
        </w:rPr>
        <w:t>TP</w:t>
      </w:r>
      <w:r>
        <w:rPr>
          <w:rFonts w:ascii="Tms Rmn" w:hAnsi="Tms Rmn"/>
          <w:sz w:val="12"/>
          <w:lang w:val="es-ES_tradnl"/>
        </w:rPr>
        <w:t> </w:t>
      </w:r>
      <w:r>
        <w:rPr>
          <w:lang w:val="es-ES_tradnl"/>
        </w:rPr>
        <w:t>:</w:t>
      </w:r>
      <w:r>
        <w:rPr>
          <w:lang w:val="es-ES_tradnl"/>
        </w:rPr>
        <w:tab/>
        <w:t>altura del punto de prueba (m) por encima del nivel del mar</w:t>
      </w:r>
    </w:p>
    <w:p w14:paraId="55148A1D" w14:textId="77777777" w:rsidR="008760D9" w:rsidRDefault="008760D9">
      <w:pPr>
        <w:pStyle w:val="enumlev1"/>
        <w:tabs>
          <w:tab w:val="left" w:pos="1021"/>
        </w:tabs>
        <w:rPr>
          <w:lang w:val="es-ES_tradnl"/>
        </w:rPr>
      </w:pPr>
      <w:r>
        <w:rPr>
          <w:i/>
          <w:lang w:val="es-ES_tradnl"/>
        </w:rPr>
        <w:tab/>
        <w:t>H</w:t>
      </w:r>
      <w:r>
        <w:rPr>
          <w:i/>
          <w:position w:val="-4"/>
          <w:sz w:val="16"/>
          <w:lang w:val="es-ES_tradnl"/>
        </w:rPr>
        <w:t>VOR</w:t>
      </w:r>
      <w:r>
        <w:rPr>
          <w:rFonts w:ascii="Tms Rmn" w:hAnsi="Tms Rmn"/>
          <w:sz w:val="12"/>
          <w:lang w:val="es-ES_tradnl"/>
        </w:rPr>
        <w:t> </w:t>
      </w:r>
      <w:r>
        <w:rPr>
          <w:lang w:val="es-ES_tradnl"/>
        </w:rPr>
        <w:t>:</w:t>
      </w:r>
      <w:r>
        <w:rPr>
          <w:lang w:val="es-ES_tradnl"/>
        </w:rPr>
        <w:tab/>
        <w:t>altura de la antena VOR (m) por encima del nivel del mar.</w:t>
      </w:r>
    </w:p>
    <w:p w14:paraId="10034C49" w14:textId="77777777" w:rsidR="008760D9" w:rsidRDefault="008760D9">
      <w:pPr>
        <w:rPr>
          <w:lang w:val="es-ES_tradnl"/>
        </w:rPr>
      </w:pPr>
      <w:r>
        <w:rPr>
          <w:lang w:val="es-ES_tradnl"/>
        </w:rPr>
        <w:t>Para ángulos de elevación superiores a 2,5</w:t>
      </w:r>
      <w:r>
        <w:rPr>
          <w:rFonts w:ascii="Symbol" w:hAnsi="Symbol"/>
          <w:lang w:val="es-ES_tradnl"/>
        </w:rPr>
        <w:t></w:t>
      </w:r>
      <w:r>
        <w:rPr>
          <w:lang w:val="es-ES_tradnl"/>
        </w:rPr>
        <w:t>, la intensidad de campo se calcula utilizando el ángulo de elevación de 2,5</w:t>
      </w:r>
      <w:r>
        <w:rPr>
          <w:rFonts w:ascii="Symbol" w:hAnsi="Symbol"/>
          <w:lang w:val="es-ES_tradnl"/>
        </w:rPr>
        <w:t></w:t>
      </w:r>
      <w:r>
        <w:rPr>
          <w:lang w:val="es-ES_tradnl"/>
        </w:rPr>
        <w:t>.</w:t>
      </w:r>
    </w:p>
    <w:p w14:paraId="69924683" w14:textId="77777777" w:rsidR="008760D9" w:rsidRDefault="008760D9">
      <w:pPr>
        <w:rPr>
          <w:lang w:val="es-ES_tradnl"/>
        </w:rPr>
      </w:pPr>
      <w:r>
        <w:rPr>
          <w:lang w:val="es-ES_tradnl"/>
        </w:rPr>
        <w:t>En las instalaciones en que la antena transmisora VOR se encuentra a más de 7 m por encima del nivel del suelo o cuando se requiere un servicio con ángulos de elevación inferiores a 0</w:t>
      </w:r>
      <w:r>
        <w:rPr>
          <w:rFonts w:ascii="Symbol" w:hAnsi="Symbol"/>
          <w:lang w:val="es-ES_tradnl"/>
        </w:rPr>
        <w:t></w:t>
      </w:r>
      <w:r>
        <w:rPr>
          <w:lang w:val="es-ES_tradnl"/>
        </w:rPr>
        <w:t>, se ha de utilizar el valor mínimo de la intensidad de campo VOR (39 dB(</w:t>
      </w:r>
      <w:r>
        <w:rPr>
          <w:rFonts w:ascii="Symbol" w:hAnsi="Symbol"/>
          <w:lang w:val="es-ES_tradnl"/>
        </w:rPr>
        <w:t></w:t>
      </w:r>
      <w:r>
        <w:rPr>
          <w:lang w:val="es-ES_tradnl"/>
        </w:rPr>
        <w:t>V/m)) para todos los puntos de prueba.</w:t>
      </w:r>
    </w:p>
    <w:p w14:paraId="2BA8000F" w14:textId="77777777" w:rsidR="008760D9" w:rsidRDefault="008760D9">
      <w:pPr>
        <w:rPr>
          <w:lang w:val="es-ES_tradnl"/>
        </w:rPr>
      </w:pPr>
      <w:r>
        <w:rPr>
          <w:lang w:val="es-ES_tradnl"/>
        </w:rPr>
        <w:t>El método descrito es un método de interpolación basado en un valor mínimo de intensidad de campo y por tanto, no requiere un margen de seguridad.</w:t>
      </w:r>
    </w:p>
    <w:p w14:paraId="67170B93" w14:textId="77777777" w:rsidR="008760D9" w:rsidRDefault="008760D9">
      <w:pPr>
        <w:pStyle w:val="Heading3"/>
        <w:rPr>
          <w:lang w:val="es-ES_tradnl"/>
        </w:rPr>
      </w:pPr>
      <w:r>
        <w:rPr>
          <w:lang w:val="es-ES_tradnl"/>
        </w:rPr>
        <w:t>3.2.4</w:t>
      </w:r>
      <w:r>
        <w:rPr>
          <w:lang w:val="es-ES_tradnl"/>
        </w:rPr>
        <w:tab/>
        <w:t>Cálculo de la interferencia potencial de Tipo A1</w:t>
      </w:r>
    </w:p>
    <w:p w14:paraId="7A23F538" w14:textId="77777777" w:rsidR="008760D9" w:rsidRDefault="008760D9">
      <w:pPr>
        <w:rPr>
          <w:lang w:val="es-ES_tradnl"/>
        </w:rPr>
      </w:pPr>
      <w:r>
        <w:rPr>
          <w:lang w:val="es-ES_tradnl"/>
        </w:rPr>
        <w:t>Las emisiones no esenciales, exceptuando los productos de intermodulación radiados, deben, como medida general, mantenerse a un nivel reducido, de forma que no haya que volver a considerarlos en el análisis de compatibilidad. Así pues, los cálculos de la interferencia de Tipo A1 se efectúan únicamente para el caso de productos de intermodulación procedentes de estaciones de radiodifusión con el mismo emplazamiento.</w:t>
      </w:r>
    </w:p>
    <w:p w14:paraId="508357FC" w14:textId="77777777" w:rsidR="008760D9" w:rsidRDefault="008760D9">
      <w:pPr>
        <w:rPr>
          <w:lang w:val="es-ES_tradnl"/>
        </w:rPr>
      </w:pPr>
      <w:r>
        <w:rPr>
          <w:lang w:val="es-ES_tradnl"/>
        </w:rPr>
        <w:t xml:space="preserve">Como no siempre se conoce la </w:t>
      </w:r>
      <w:proofErr w:type="spellStart"/>
      <w:r>
        <w:rPr>
          <w:lang w:val="es-ES_tradnl"/>
        </w:rPr>
        <w:t>p.r.a</w:t>
      </w:r>
      <w:proofErr w:type="spellEnd"/>
      <w:r>
        <w:rPr>
          <w:lang w:val="es-ES_tradnl"/>
        </w:rPr>
        <w:t>. del producto de intermodulación, el margen de interferencia A1 se calcula indirectamente, teniendo en cuenta el valor de la intensidad de campo no deseada en un punto de prueba para cada una de las emisiones de una estación de radiodifusión situada en el mismo emplazamiento, junto con el valor pertinente de supresión A1 para cada uno de los transmisores.</w:t>
      </w:r>
    </w:p>
    <w:p w14:paraId="59D33516" w14:textId="77777777" w:rsidR="008760D9" w:rsidRDefault="008760D9">
      <w:pPr>
        <w:rPr>
          <w:lang w:val="es-ES_tradnl"/>
        </w:rPr>
      </w:pPr>
      <w:r>
        <w:rPr>
          <w:lang w:val="es-ES_tradnl"/>
        </w:rPr>
        <w:t>El margen de interferencia A1 se calcula mediante la fórmula:</w:t>
      </w:r>
    </w:p>
    <w:p w14:paraId="16A88554" w14:textId="77777777" w:rsidR="008760D9" w:rsidRPr="00AC3FDE" w:rsidRDefault="008760D9">
      <w:pPr>
        <w:pStyle w:val="Equation"/>
        <w:rPr>
          <w:lang w:val="fr-FR"/>
        </w:rPr>
      </w:pPr>
      <w:bookmarkStart w:id="21" w:name="F020"/>
      <w:r>
        <w:rPr>
          <w:lang w:val="es-ES_tradnl"/>
        </w:rPr>
        <w:tab/>
      </w:r>
      <w:r>
        <w:rPr>
          <w:lang w:val="es-ES_tradnl"/>
        </w:rPr>
        <w:tab/>
      </w:r>
      <w:r w:rsidRPr="00AC3FDE">
        <w:rPr>
          <w:i/>
          <w:lang w:val="fr-FR"/>
        </w:rPr>
        <w:t>IM</w:t>
      </w:r>
      <w:r w:rsidRPr="00AC3FDE">
        <w:rPr>
          <w:lang w:val="fr-FR"/>
        </w:rPr>
        <w:t xml:space="preserve">  </w:t>
      </w:r>
      <w:r>
        <w:rPr>
          <w:rFonts w:ascii="Symbol" w:hAnsi="Symbol"/>
        </w:rPr>
        <w:t></w:t>
      </w:r>
      <w:r w:rsidRPr="00AC3FDE">
        <w:rPr>
          <w:lang w:val="fr-FR"/>
        </w:rPr>
        <w:t xml:space="preserve">  </w:t>
      </w:r>
      <w:proofErr w:type="spellStart"/>
      <w:r w:rsidRPr="00AC3FDE">
        <w:rPr>
          <w:lang w:val="fr-FR"/>
        </w:rPr>
        <w:t>máx</w:t>
      </w:r>
      <w:proofErr w:type="spellEnd"/>
      <w:r w:rsidRPr="00AC3FDE">
        <w:rPr>
          <w:rFonts w:ascii="Tms Rmn" w:hAnsi="Tms Rmn"/>
          <w:sz w:val="12"/>
          <w:lang w:val="fr-FR"/>
        </w:rPr>
        <w:t> </w:t>
      </w:r>
      <w:r w:rsidRPr="00AC3FDE">
        <w:rPr>
          <w:sz w:val="30"/>
          <w:lang w:val="fr-FR"/>
        </w:rPr>
        <w:t>(</w:t>
      </w:r>
      <w:r w:rsidRPr="00AC3FDE">
        <w:rPr>
          <w:lang w:val="fr-FR"/>
        </w:rPr>
        <w:t>(</w:t>
      </w:r>
      <w:r w:rsidRPr="00AC3FDE">
        <w:rPr>
          <w:i/>
          <w:lang w:val="fr-FR"/>
        </w:rPr>
        <w:t>E</w:t>
      </w:r>
      <w:r w:rsidRPr="00AC3FDE">
        <w:rPr>
          <w:i/>
          <w:position w:val="-4"/>
          <w:sz w:val="18"/>
          <w:lang w:val="fr-FR"/>
        </w:rPr>
        <w:t>i</w:t>
      </w:r>
      <w:r w:rsidRPr="00AC3FDE">
        <w:rPr>
          <w:lang w:val="fr-FR"/>
        </w:rPr>
        <w:t xml:space="preserve">  –  </w:t>
      </w:r>
      <w:r w:rsidRPr="00AC3FDE">
        <w:rPr>
          <w:i/>
          <w:lang w:val="fr-FR"/>
        </w:rPr>
        <w:t>S</w:t>
      </w:r>
      <w:r w:rsidRPr="00AC3FDE">
        <w:rPr>
          <w:i/>
          <w:position w:val="-4"/>
          <w:sz w:val="18"/>
          <w:lang w:val="fr-FR"/>
        </w:rPr>
        <w:t>i</w:t>
      </w:r>
      <w:r w:rsidRPr="00AC3FDE">
        <w:rPr>
          <w:lang w:val="fr-FR"/>
        </w:rPr>
        <w:t>); ...; (</w:t>
      </w:r>
      <w:r w:rsidRPr="00AC3FDE">
        <w:rPr>
          <w:i/>
          <w:lang w:val="fr-FR"/>
        </w:rPr>
        <w:t>E</w:t>
      </w:r>
      <w:r w:rsidRPr="00AC3FDE">
        <w:rPr>
          <w:i/>
          <w:position w:val="-4"/>
          <w:sz w:val="18"/>
          <w:lang w:val="fr-FR"/>
        </w:rPr>
        <w:t>N</w:t>
      </w:r>
      <w:r w:rsidRPr="00AC3FDE">
        <w:rPr>
          <w:lang w:val="fr-FR"/>
        </w:rPr>
        <w:t xml:space="preserve">  –  </w:t>
      </w:r>
      <w:r w:rsidRPr="00AC3FDE">
        <w:rPr>
          <w:i/>
          <w:lang w:val="fr-FR"/>
        </w:rPr>
        <w:t>S</w:t>
      </w:r>
      <w:r w:rsidRPr="00AC3FDE">
        <w:rPr>
          <w:i/>
          <w:position w:val="-4"/>
          <w:sz w:val="18"/>
          <w:lang w:val="fr-FR"/>
        </w:rPr>
        <w:t>N</w:t>
      </w:r>
      <w:r w:rsidRPr="00AC3FDE">
        <w:rPr>
          <w:lang w:val="fr-FR"/>
        </w:rPr>
        <w:t>)</w:t>
      </w:r>
      <w:r w:rsidRPr="00AC3FDE">
        <w:rPr>
          <w:sz w:val="30"/>
          <w:lang w:val="fr-FR"/>
        </w:rPr>
        <w:t>)</w:t>
      </w:r>
      <w:r w:rsidRPr="00AC3FDE">
        <w:rPr>
          <w:lang w:val="fr-FR"/>
        </w:rPr>
        <w:t xml:space="preserve"> </w:t>
      </w:r>
      <w:r>
        <w:rPr>
          <w:rFonts w:ascii="Symbol" w:hAnsi="Symbol"/>
        </w:rPr>
        <w:t></w:t>
      </w:r>
      <w:r w:rsidRPr="00AC3FDE">
        <w:rPr>
          <w:lang w:val="fr-FR"/>
        </w:rPr>
        <w:t xml:space="preserve">  </w:t>
      </w:r>
      <w:r w:rsidRPr="00AC3FDE">
        <w:rPr>
          <w:i/>
          <w:lang w:val="fr-FR"/>
        </w:rPr>
        <w:t>PR</w:t>
      </w:r>
      <w:r w:rsidRPr="00AC3FDE">
        <w:rPr>
          <w:lang w:val="fr-FR"/>
        </w:rPr>
        <w:t xml:space="preserve">  –  </w:t>
      </w:r>
      <w:proofErr w:type="spellStart"/>
      <w:r w:rsidRPr="00AC3FDE">
        <w:rPr>
          <w:i/>
          <w:lang w:val="fr-FR"/>
        </w:rPr>
        <w:t>Ew</w:t>
      </w:r>
      <w:proofErr w:type="spellEnd"/>
      <w:r w:rsidRPr="00AC3FDE">
        <w:rPr>
          <w:lang w:val="fr-FR"/>
        </w:rPr>
        <w:tab/>
        <w:t>(18)</w:t>
      </w:r>
      <w:bookmarkEnd w:id="21"/>
    </w:p>
    <w:p w14:paraId="5A0FB66A" w14:textId="77777777" w:rsidR="008760D9" w:rsidRDefault="008760D9">
      <w:pPr>
        <w:rPr>
          <w:lang w:val="es-ES_tradnl"/>
        </w:rPr>
      </w:pPr>
      <w:r>
        <w:rPr>
          <w:lang w:val="es-ES_tradnl"/>
        </w:rPr>
        <w:t>siendo:</w:t>
      </w:r>
    </w:p>
    <w:p w14:paraId="27D5E49D" w14:textId="77777777" w:rsidR="008760D9" w:rsidRDefault="008760D9">
      <w:pPr>
        <w:pStyle w:val="enumlev1"/>
        <w:tabs>
          <w:tab w:val="left" w:pos="907"/>
        </w:tabs>
        <w:ind w:left="907" w:hanging="907"/>
        <w:rPr>
          <w:lang w:val="es-ES_tradnl"/>
        </w:rPr>
      </w:pPr>
      <w:r>
        <w:rPr>
          <w:i/>
          <w:lang w:val="es-ES_tradnl"/>
        </w:rPr>
        <w:tab/>
        <w:t>IM</w:t>
      </w:r>
      <w:r>
        <w:rPr>
          <w:rFonts w:ascii="Tms Rmn" w:hAnsi="Tms Rmn"/>
          <w:sz w:val="12"/>
          <w:lang w:val="es-ES_tradnl"/>
        </w:rPr>
        <w:t> </w:t>
      </w:r>
      <w:r>
        <w:rPr>
          <w:lang w:val="es-ES_tradnl"/>
        </w:rPr>
        <w:t>:</w:t>
      </w:r>
      <w:r>
        <w:rPr>
          <w:lang w:val="es-ES_tradnl"/>
        </w:rPr>
        <w:tab/>
        <w:t>margen de interferencia A1 (dB)</w:t>
      </w:r>
    </w:p>
    <w:p w14:paraId="53B02849" w14:textId="77777777" w:rsidR="008760D9" w:rsidRDefault="008760D9">
      <w:pPr>
        <w:pStyle w:val="enumlev1"/>
        <w:tabs>
          <w:tab w:val="left" w:pos="907"/>
        </w:tabs>
        <w:ind w:left="907" w:hanging="907"/>
        <w:rPr>
          <w:lang w:val="es-ES_tradnl"/>
        </w:rPr>
      </w:pPr>
      <w:r>
        <w:rPr>
          <w:i/>
          <w:lang w:val="es-ES_tradnl"/>
        </w:rPr>
        <w:tab/>
        <w:t>N</w:t>
      </w:r>
      <w:r>
        <w:rPr>
          <w:rFonts w:ascii="Tms Rmn" w:hAnsi="Tms Rmn"/>
          <w:sz w:val="12"/>
          <w:lang w:val="es-ES_tradnl"/>
        </w:rPr>
        <w:t> </w:t>
      </w:r>
      <w:r>
        <w:rPr>
          <w:lang w:val="es-ES_tradnl"/>
        </w:rPr>
        <w:t>:</w:t>
      </w:r>
      <w:r>
        <w:rPr>
          <w:lang w:val="es-ES_tradnl"/>
        </w:rPr>
        <w:tab/>
        <w:t>número de componentes de intermodulación (</w:t>
      </w:r>
      <w:r>
        <w:rPr>
          <w:i/>
          <w:lang w:val="es-ES_tradnl"/>
        </w:rPr>
        <w:t>N</w:t>
      </w:r>
      <w:r>
        <w:rPr>
          <w:lang w:val="es-ES_tradnl"/>
        </w:rPr>
        <w:t xml:space="preserve">  </w:t>
      </w:r>
      <w:r>
        <w:rPr>
          <w:rFonts w:ascii="Symbol" w:hAnsi="Symbol"/>
          <w:lang w:val="es-ES_tradnl"/>
        </w:rPr>
        <w:t></w:t>
      </w:r>
      <w:r>
        <w:rPr>
          <w:lang w:val="es-ES_tradnl"/>
        </w:rPr>
        <w:t xml:space="preserve">  2 </w:t>
      </w:r>
      <w:proofErr w:type="spellStart"/>
      <w:r>
        <w:rPr>
          <w:lang w:val="es-ES_tradnl"/>
        </w:rPr>
        <w:t>ó</w:t>
      </w:r>
      <w:proofErr w:type="spellEnd"/>
      <w:r>
        <w:rPr>
          <w:lang w:val="es-ES_tradnl"/>
        </w:rPr>
        <w:t> 3)</w:t>
      </w:r>
    </w:p>
    <w:p w14:paraId="28065CC6" w14:textId="77777777" w:rsidR="008760D9" w:rsidRDefault="008760D9">
      <w:pPr>
        <w:pStyle w:val="enumlev1"/>
        <w:tabs>
          <w:tab w:val="left" w:pos="907"/>
        </w:tabs>
        <w:ind w:left="907" w:hanging="907"/>
        <w:rPr>
          <w:lang w:val="es-ES_tradnl"/>
        </w:rPr>
      </w:pPr>
      <w:r>
        <w:rPr>
          <w:i/>
          <w:lang w:val="es-ES_tradnl"/>
        </w:rPr>
        <w:tab/>
        <w:t>E</w:t>
      </w:r>
      <w:r>
        <w:rPr>
          <w:i/>
          <w:position w:val="-4"/>
          <w:sz w:val="16"/>
          <w:lang w:val="es-ES_tradnl"/>
        </w:rPr>
        <w:t>i</w:t>
      </w:r>
      <w:r>
        <w:rPr>
          <w:rFonts w:ascii="Tms Rmn" w:hAnsi="Tms Rmn"/>
          <w:position w:val="-6"/>
          <w:sz w:val="12"/>
          <w:lang w:val="es-ES_tradnl"/>
        </w:rPr>
        <w:t> </w:t>
      </w:r>
      <w:r>
        <w:rPr>
          <w:lang w:val="es-ES_tradnl"/>
        </w:rPr>
        <w:t>:</w:t>
      </w:r>
      <w:r>
        <w:rPr>
          <w:lang w:val="es-ES_tradnl"/>
        </w:rPr>
        <w:tab/>
        <w:t>intensidad de campo no deseada (dB(</w:t>
      </w:r>
      <w:r>
        <w:rPr>
          <w:rFonts w:ascii="Symbol" w:hAnsi="Symbol"/>
          <w:lang w:val="es-ES_tradnl"/>
        </w:rPr>
        <w:t></w:t>
      </w:r>
      <w:r>
        <w:rPr>
          <w:lang w:val="es-ES_tradnl"/>
        </w:rPr>
        <w:t>V/m)) de la emisión de radiodifusión </w:t>
      </w:r>
      <w:r>
        <w:rPr>
          <w:i/>
          <w:lang w:val="es-ES_tradnl"/>
        </w:rPr>
        <w:t>i</w:t>
      </w:r>
      <w:r>
        <w:rPr>
          <w:lang w:val="es-ES_tradnl"/>
        </w:rPr>
        <w:t xml:space="preserve"> en el punto de prueba</w:t>
      </w:r>
    </w:p>
    <w:p w14:paraId="1721F31F" w14:textId="77777777" w:rsidR="008760D9" w:rsidRDefault="008760D9">
      <w:pPr>
        <w:pStyle w:val="enumlev1"/>
        <w:tabs>
          <w:tab w:val="left" w:pos="907"/>
        </w:tabs>
        <w:ind w:left="907" w:hanging="907"/>
        <w:rPr>
          <w:lang w:val="es-ES_tradnl"/>
        </w:rPr>
      </w:pPr>
      <w:r>
        <w:rPr>
          <w:i/>
          <w:lang w:val="es-ES_tradnl"/>
        </w:rPr>
        <w:tab/>
        <w:t>S</w:t>
      </w:r>
      <w:r>
        <w:rPr>
          <w:i/>
          <w:position w:val="-4"/>
          <w:sz w:val="16"/>
          <w:lang w:val="es-ES_tradnl"/>
        </w:rPr>
        <w:t>i</w:t>
      </w:r>
      <w:r>
        <w:rPr>
          <w:rFonts w:ascii="Tms Rmn" w:hAnsi="Tms Rmn"/>
          <w:position w:val="-6"/>
          <w:sz w:val="12"/>
          <w:lang w:val="es-ES_tradnl"/>
        </w:rPr>
        <w:t> </w:t>
      </w:r>
      <w:r>
        <w:rPr>
          <w:lang w:val="es-ES_tradnl"/>
        </w:rPr>
        <w:t>:</w:t>
      </w:r>
      <w:r>
        <w:rPr>
          <w:lang w:val="es-ES_tradnl"/>
        </w:rPr>
        <w:tab/>
        <w:t>supresión A1 (dB) del transmisor de radiodifusión </w:t>
      </w:r>
      <w:r>
        <w:rPr>
          <w:i/>
          <w:lang w:val="es-ES_tradnl"/>
        </w:rPr>
        <w:t>i</w:t>
      </w:r>
    </w:p>
    <w:p w14:paraId="0C78A1EA" w14:textId="77777777" w:rsidR="008760D9" w:rsidRDefault="008760D9">
      <w:pPr>
        <w:pStyle w:val="enumlev1"/>
        <w:tabs>
          <w:tab w:val="left" w:pos="907"/>
        </w:tabs>
        <w:ind w:left="907" w:hanging="907"/>
        <w:rPr>
          <w:lang w:val="es-ES_tradnl"/>
        </w:rPr>
      </w:pPr>
      <w:r>
        <w:rPr>
          <w:i/>
          <w:lang w:val="es-ES_tradnl"/>
        </w:rPr>
        <w:tab/>
        <w:t>PR</w:t>
      </w:r>
      <w:r>
        <w:rPr>
          <w:rFonts w:ascii="Tms Rmn" w:hAnsi="Tms Rmn"/>
          <w:sz w:val="12"/>
          <w:lang w:val="es-ES_tradnl"/>
        </w:rPr>
        <w:t> </w:t>
      </w:r>
      <w:r>
        <w:rPr>
          <w:lang w:val="es-ES_tradnl"/>
        </w:rPr>
        <w:t>:</w:t>
      </w:r>
      <w:r>
        <w:rPr>
          <w:lang w:val="es-ES_tradnl"/>
        </w:rPr>
        <w:tab/>
        <w:t>relación de protección (dB) adecuada para la diferencia de frecuencias entre producto de intermodulación y las frecuencias aeronáuticas (véase el Cuadro 2)</w:t>
      </w:r>
    </w:p>
    <w:p w14:paraId="0AE84396" w14:textId="77777777" w:rsidR="008760D9" w:rsidRDefault="008760D9">
      <w:pPr>
        <w:pStyle w:val="enumlev1"/>
        <w:tabs>
          <w:tab w:val="left" w:pos="907"/>
        </w:tabs>
        <w:ind w:left="907" w:hanging="907"/>
        <w:rPr>
          <w:lang w:val="es-ES_tradnl"/>
        </w:rPr>
      </w:pPr>
      <w:r>
        <w:rPr>
          <w:i/>
          <w:lang w:val="es-ES_tradnl"/>
        </w:rPr>
        <w:tab/>
      </w:r>
      <w:proofErr w:type="spellStart"/>
      <w:r>
        <w:rPr>
          <w:i/>
          <w:lang w:val="es-ES_tradnl"/>
        </w:rPr>
        <w:t>Ew</w:t>
      </w:r>
      <w:proofErr w:type="spellEnd"/>
      <w:r>
        <w:rPr>
          <w:rFonts w:ascii="Tms Rmn" w:hAnsi="Tms Rmn"/>
          <w:sz w:val="12"/>
          <w:lang w:val="es-ES_tradnl"/>
        </w:rPr>
        <w:t> </w:t>
      </w:r>
      <w:r>
        <w:rPr>
          <w:lang w:val="es-ES_tradnl"/>
        </w:rPr>
        <w:t>:</w:t>
      </w:r>
      <w:r>
        <w:rPr>
          <w:sz w:val="18"/>
          <w:lang w:val="es-ES_tradnl"/>
        </w:rPr>
        <w:tab/>
        <w:t>i</w:t>
      </w:r>
      <w:r>
        <w:rPr>
          <w:lang w:val="es-ES_tradnl"/>
        </w:rPr>
        <w:t>ntensidad de campo (dB(</w:t>
      </w:r>
      <w:r>
        <w:rPr>
          <w:rFonts w:ascii="Symbol" w:hAnsi="Symbol"/>
          <w:lang w:val="es-ES_tradnl"/>
        </w:rPr>
        <w:t></w:t>
      </w:r>
      <w:r>
        <w:rPr>
          <w:lang w:val="es-ES_tradnl"/>
        </w:rPr>
        <w:t>V/m)) de la señal aeronáutica en el punto de prueba (al menos 32 dB(</w:t>
      </w:r>
      <w:r>
        <w:rPr>
          <w:rFonts w:ascii="Symbol" w:hAnsi="Symbol"/>
          <w:lang w:val="es-ES_tradnl"/>
        </w:rPr>
        <w:t></w:t>
      </w:r>
      <w:r>
        <w:rPr>
          <w:lang w:val="es-ES_tradnl"/>
        </w:rPr>
        <w:t>V/m) para el ILS y 39 dB(</w:t>
      </w:r>
      <w:r>
        <w:rPr>
          <w:rFonts w:ascii="Symbol" w:hAnsi="Symbol"/>
          <w:lang w:val="es-ES_tradnl"/>
        </w:rPr>
        <w:t></w:t>
      </w:r>
      <w:r>
        <w:rPr>
          <w:lang w:val="es-ES_tradnl"/>
        </w:rPr>
        <w:t>V/m) para el VOR).</w:t>
      </w:r>
    </w:p>
    <w:p w14:paraId="0B75801A" w14:textId="77777777" w:rsidR="008760D9" w:rsidRDefault="008760D9">
      <w:pPr>
        <w:rPr>
          <w:lang w:val="es-ES_tradnl"/>
        </w:rPr>
      </w:pPr>
      <w:r>
        <w:rPr>
          <w:lang w:val="es-ES_tradnl"/>
        </w:rPr>
        <w:t>En el caso en que se conozca el valor de supresión A1 para un transmisor de radiodifusión, debe usarse dicho valor al calcular la compatibilidad.</w:t>
      </w:r>
    </w:p>
    <w:p w14:paraId="35C0182C" w14:textId="77777777" w:rsidR="008760D9" w:rsidRDefault="008760D9">
      <w:pPr>
        <w:pStyle w:val="Heading3"/>
        <w:rPr>
          <w:lang w:val="es-ES_tradnl"/>
        </w:rPr>
      </w:pPr>
      <w:r>
        <w:rPr>
          <w:lang w:val="es-ES_tradnl"/>
        </w:rPr>
        <w:br w:type="page"/>
      </w:r>
      <w:r>
        <w:rPr>
          <w:lang w:val="es-ES_tradnl"/>
        </w:rPr>
        <w:lastRenderedPageBreak/>
        <w:t>3.2.5</w:t>
      </w:r>
      <w:r>
        <w:rPr>
          <w:lang w:val="es-ES_tradnl"/>
        </w:rPr>
        <w:tab/>
        <w:t>Cálculo de la interferencia potencial de Tipo B1</w:t>
      </w:r>
    </w:p>
    <w:p w14:paraId="256C28B4" w14:textId="77777777" w:rsidR="008760D9" w:rsidRDefault="008760D9">
      <w:pPr>
        <w:rPr>
          <w:lang w:val="es-ES_tradnl"/>
        </w:rPr>
      </w:pPr>
      <w:r>
        <w:rPr>
          <w:lang w:val="es-ES_tradnl"/>
        </w:rPr>
        <w:t>A fin de asegurar que se obtienen los resultados del caso más desfavorable de interferencia B1 para las estaciones de radiodifusión próximas entre sí, toda estación de radiodifusión a menos de 3 km de un punto de prueba se considera que está por debajo de dicho punto (véase también el Apéndice 1).</w:t>
      </w:r>
    </w:p>
    <w:p w14:paraId="41623744" w14:textId="77777777" w:rsidR="008760D9" w:rsidRDefault="008760D9">
      <w:pPr>
        <w:pStyle w:val="Heading3"/>
        <w:rPr>
          <w:lang w:val="es-ES_tradnl"/>
        </w:rPr>
      </w:pPr>
      <w:r>
        <w:rPr>
          <w:lang w:val="es-ES_tradnl"/>
        </w:rPr>
        <w:t>3.2.6</w:t>
      </w:r>
      <w:r>
        <w:rPr>
          <w:lang w:val="es-ES_tradnl"/>
        </w:rPr>
        <w:tab/>
        <w:t>Cálculo de la interferencia potencial de Tipo B2</w:t>
      </w:r>
    </w:p>
    <w:p w14:paraId="6FEEF62E" w14:textId="77777777" w:rsidR="008760D9" w:rsidRDefault="008760D9">
      <w:pPr>
        <w:rPr>
          <w:lang w:val="es-ES_tradnl"/>
        </w:rPr>
      </w:pPr>
      <w:r>
        <w:rPr>
          <w:lang w:val="es-ES_tradnl"/>
        </w:rPr>
        <w:t>En el cálculo de la interferencia potencial de Tipo B2 no se da ningún margen para el nivel de la señal aeronáutica y por tanto, se emplean los valores mínimos de 32 y 39 dB(</w:t>
      </w:r>
      <w:r>
        <w:rPr>
          <w:rFonts w:ascii="Symbol" w:hAnsi="Symbol"/>
          <w:lang w:val="es-ES_tradnl"/>
        </w:rPr>
        <w:t></w:t>
      </w:r>
      <w:r>
        <w:rPr>
          <w:lang w:val="es-ES_tradnl"/>
        </w:rPr>
        <w:t>V/m) para el ILS y el VOR, respectivamente.</w:t>
      </w:r>
    </w:p>
    <w:p w14:paraId="3D6731AE" w14:textId="77777777" w:rsidR="008760D9" w:rsidRDefault="008760D9">
      <w:pPr>
        <w:pStyle w:val="Heading3"/>
        <w:rPr>
          <w:lang w:val="es-ES_tradnl"/>
        </w:rPr>
      </w:pPr>
      <w:r>
        <w:rPr>
          <w:lang w:val="es-ES_tradnl"/>
        </w:rPr>
        <w:t>3.2.7</w:t>
      </w:r>
      <w:r>
        <w:rPr>
          <w:lang w:val="es-ES_tradnl"/>
        </w:rPr>
        <w:tab/>
        <w:t>Interferencia múltiple</w:t>
      </w:r>
    </w:p>
    <w:p w14:paraId="3AE9BA80" w14:textId="77777777" w:rsidR="008760D9" w:rsidRDefault="008760D9">
      <w:pPr>
        <w:rPr>
          <w:lang w:val="es-ES_tradnl"/>
        </w:rPr>
      </w:pPr>
      <w:r>
        <w:rPr>
          <w:lang w:val="es-ES_tradnl"/>
        </w:rPr>
        <w:t>En principio, debe tenerse en cuenta el efecto combinado de fuentes múltiples de interferencia potencial en un servicio aeronáutico, en un punto de prueba determinado. No obstante, en el método de evaluación general:</w:t>
      </w:r>
    </w:p>
    <w:p w14:paraId="33A4959F" w14:textId="77777777" w:rsidR="008760D9" w:rsidRDefault="008760D9">
      <w:pPr>
        <w:pStyle w:val="enumlev1"/>
        <w:rPr>
          <w:lang w:val="es-ES_tradnl"/>
        </w:rPr>
      </w:pPr>
      <w:r>
        <w:rPr>
          <w:lang w:val="es-ES_tradnl"/>
        </w:rPr>
        <w:t>–</w:t>
      </w:r>
      <w:r>
        <w:rPr>
          <w:lang w:val="es-ES_tradnl"/>
        </w:rPr>
        <w:tab/>
        <w:t>la utilización de un método de cálculo en el espacio libre da normalmente una sobrestimación de toda intensidad de campo no deseada;</w:t>
      </w:r>
    </w:p>
    <w:p w14:paraId="4C0CB56D" w14:textId="77777777" w:rsidR="008760D9" w:rsidRDefault="008760D9">
      <w:pPr>
        <w:pStyle w:val="enumlev1"/>
        <w:rPr>
          <w:lang w:val="es-ES_tradnl"/>
        </w:rPr>
      </w:pPr>
      <w:r>
        <w:rPr>
          <w:lang w:val="es-ES_tradnl"/>
        </w:rPr>
        <w:t>–</w:t>
      </w:r>
      <w:r>
        <w:rPr>
          <w:lang w:val="es-ES_tradnl"/>
        </w:rPr>
        <w:tab/>
        <w:t>la utilización del método de cálculo de los § 3.2.2.3 y 3.2.3.2 para el localizador ILS y el VOR respectivamente da normalmente una subestimación de toda intensidad de campo deseada aeronáutica.</w:t>
      </w:r>
    </w:p>
    <w:p w14:paraId="1E98E713" w14:textId="77777777" w:rsidR="008760D9" w:rsidRDefault="008760D9">
      <w:pPr>
        <w:rPr>
          <w:lang w:val="es-ES_tradnl"/>
        </w:rPr>
      </w:pPr>
      <w:r>
        <w:rPr>
          <w:lang w:val="es-ES_tradnl"/>
        </w:rPr>
        <w:t>Por tanto, no se considera necesario tener en cuenta la interferencia múltiple en el método de estimación general.</w:t>
      </w:r>
    </w:p>
    <w:p w14:paraId="6AE57A86" w14:textId="77777777" w:rsidR="008760D9" w:rsidRDefault="008760D9">
      <w:pPr>
        <w:rPr>
          <w:lang w:val="es-ES_tradnl"/>
        </w:rPr>
      </w:pPr>
      <w:r>
        <w:rPr>
          <w:lang w:val="es-ES_tradnl"/>
        </w:rPr>
        <w:t xml:space="preserve">Aun así, en el caso de los cálculos de compatibilidad de Tipo A1, cuando la diferencia de frecuencias entre la señal deseada y la emisión no esencial es de 0 </w:t>
      </w:r>
      <w:proofErr w:type="spellStart"/>
      <w:r>
        <w:rPr>
          <w:lang w:val="es-ES_tradnl"/>
        </w:rPr>
        <w:t>ó</w:t>
      </w:r>
      <w:proofErr w:type="spellEnd"/>
      <w:r>
        <w:rPr>
          <w:lang w:val="es-ES_tradnl"/>
        </w:rPr>
        <w:t xml:space="preserve"> 50 kHz, debe aumentarse la relación de protección en 3 dB para dar un margen de seguridad.</w:t>
      </w:r>
    </w:p>
    <w:p w14:paraId="009A507C" w14:textId="77777777" w:rsidR="008760D9" w:rsidRDefault="008760D9">
      <w:pPr>
        <w:pStyle w:val="Heading1"/>
        <w:rPr>
          <w:lang w:val="es-ES_tradnl"/>
        </w:rPr>
      </w:pPr>
      <w:r>
        <w:rPr>
          <w:lang w:val="es-ES_tradnl"/>
        </w:rPr>
        <w:t>4</w:t>
      </w:r>
      <w:r>
        <w:rPr>
          <w:lang w:val="es-ES_tradnl"/>
        </w:rPr>
        <w:tab/>
        <w:t>Correcciones de la antena de la estación de radiodifusión</w:t>
      </w:r>
    </w:p>
    <w:p w14:paraId="3B0E4471" w14:textId="77777777" w:rsidR="008760D9" w:rsidRDefault="008760D9">
      <w:pPr>
        <w:pStyle w:val="Heading2"/>
        <w:rPr>
          <w:lang w:val="es-ES_tradnl"/>
        </w:rPr>
      </w:pPr>
      <w:r>
        <w:rPr>
          <w:lang w:val="es-ES_tradnl"/>
        </w:rPr>
        <w:t>4.1</w:t>
      </w:r>
      <w:r>
        <w:rPr>
          <w:lang w:val="es-ES_tradnl"/>
        </w:rPr>
        <w:tab/>
        <w:t>Generalidades</w:t>
      </w:r>
    </w:p>
    <w:p w14:paraId="2D648103" w14:textId="77777777" w:rsidR="008760D9" w:rsidRDefault="008760D9">
      <w:pPr>
        <w:rPr>
          <w:lang w:val="es-ES_tradnl"/>
        </w:rPr>
      </w:pPr>
      <w:r>
        <w:rPr>
          <w:lang w:val="es-ES_tradnl"/>
        </w:rPr>
        <w:t>Al calcular los valores de la intensidad de campo (véase el § 3.3.7 del Anexo 1), se tendrán en cuenta las características de directividad de las antenas transmisoras de estación de radiodifusión.</w:t>
      </w:r>
    </w:p>
    <w:p w14:paraId="03B62CDB" w14:textId="77777777" w:rsidR="008760D9" w:rsidRDefault="008760D9">
      <w:pPr>
        <w:pStyle w:val="Heading2"/>
        <w:rPr>
          <w:lang w:val="es-ES_tradnl"/>
        </w:rPr>
      </w:pPr>
      <w:r>
        <w:rPr>
          <w:lang w:val="es-ES_tradnl"/>
        </w:rPr>
        <w:t>4.2</w:t>
      </w:r>
      <w:r>
        <w:rPr>
          <w:lang w:val="es-ES_tradnl"/>
        </w:rPr>
        <w:tab/>
        <w:t>Discriminación de polarización</w:t>
      </w:r>
    </w:p>
    <w:p w14:paraId="7EE37C16" w14:textId="77777777" w:rsidR="008760D9" w:rsidRDefault="008760D9">
      <w:pPr>
        <w:rPr>
          <w:lang w:val="es-ES_tradnl"/>
        </w:rPr>
      </w:pPr>
      <w:r>
        <w:rPr>
          <w:lang w:val="es-ES_tradnl"/>
        </w:rPr>
        <w:t>No se tiene en cuenta la discriminación de polarización entre las emisiones de radiodifusión y de radionavegación aeronáutica (excepto para lo indicado en el Anexo 1, § 3.3.7).</w:t>
      </w:r>
    </w:p>
    <w:p w14:paraId="781C5079" w14:textId="77777777" w:rsidR="008760D9" w:rsidRDefault="008760D9">
      <w:pPr>
        <w:pStyle w:val="Heading2"/>
        <w:rPr>
          <w:lang w:val="es-ES_tradnl"/>
        </w:rPr>
      </w:pPr>
      <w:r>
        <w:rPr>
          <w:lang w:val="es-ES_tradnl"/>
        </w:rPr>
        <w:t>4.3</w:t>
      </w:r>
      <w:r>
        <w:rPr>
          <w:lang w:val="es-ES_tradnl"/>
        </w:rPr>
        <w:tab/>
        <w:t>Diagrama de radiación horizontal</w:t>
      </w:r>
    </w:p>
    <w:p w14:paraId="71483527" w14:textId="77777777" w:rsidR="008760D9" w:rsidRDefault="008760D9">
      <w:pPr>
        <w:rPr>
          <w:lang w:val="es-ES_tradnl"/>
        </w:rPr>
      </w:pPr>
      <w:r>
        <w:rPr>
          <w:lang w:val="es-ES_tradnl"/>
        </w:rPr>
        <w:t>Para una estación de radiodifusión con antena direccional, los datos del diagrama de radiación horizontal se especifican con intervalos de 10</w:t>
      </w:r>
      <w:r>
        <w:rPr>
          <w:rFonts w:ascii="Symbol" w:hAnsi="Symbol"/>
          <w:lang w:val="es-ES_tradnl"/>
        </w:rPr>
        <w:t></w:t>
      </w:r>
      <w:r>
        <w:rPr>
          <w:lang w:val="es-ES_tradnl"/>
        </w:rPr>
        <w:t xml:space="preserve">, a partir del norte verdadero. La corrección </w:t>
      </w:r>
      <w:r>
        <w:rPr>
          <w:i/>
          <w:lang w:val="es-ES_tradnl"/>
        </w:rPr>
        <w:t>H</w:t>
      </w:r>
      <w:r>
        <w:rPr>
          <w:lang w:val="es-ES_tradnl"/>
        </w:rPr>
        <w:t xml:space="preserve"> (dB) del diagrama de radiación horizontal viene dada por:</w:t>
      </w:r>
    </w:p>
    <w:p w14:paraId="7A2C1B77" w14:textId="77777777" w:rsidR="008760D9" w:rsidRDefault="008760D9">
      <w:pPr>
        <w:pStyle w:val="Equation"/>
        <w:rPr>
          <w:lang w:val="es-ES_tradnl"/>
        </w:rPr>
      </w:pPr>
      <w:bookmarkStart w:id="22" w:name="F021"/>
      <w:r w:rsidRPr="00AC3FDE">
        <w:rPr>
          <w:lang w:val="es-ES"/>
        </w:rPr>
        <w:tab/>
      </w:r>
      <w:r w:rsidRPr="00AC3FDE">
        <w:rPr>
          <w:lang w:val="es-ES"/>
        </w:rPr>
        <w:tab/>
      </w:r>
      <w:r w:rsidRPr="00AC3FDE">
        <w:rPr>
          <w:i/>
          <w:lang w:val="es-ES"/>
        </w:rPr>
        <w:t>H</w:t>
      </w:r>
      <w:r w:rsidRPr="00AC3FDE">
        <w:rPr>
          <w:lang w:val="es-ES"/>
        </w:rPr>
        <w:t xml:space="preserve">  </w:t>
      </w:r>
      <w:r>
        <w:rPr>
          <w:rFonts w:ascii="Symbol" w:hAnsi="Symbol"/>
        </w:rPr>
        <w:t></w:t>
      </w:r>
      <w:r w:rsidRPr="00AC3FDE">
        <w:rPr>
          <w:lang w:val="es-ES"/>
        </w:rPr>
        <w:t xml:space="preserve">  (</w:t>
      </w:r>
      <w:proofErr w:type="spellStart"/>
      <w:r w:rsidRPr="00AC3FDE">
        <w:rPr>
          <w:lang w:val="es-ES"/>
        </w:rPr>
        <w:t>p.r.a</w:t>
      </w:r>
      <w:proofErr w:type="spellEnd"/>
      <w:r w:rsidRPr="00AC3FDE">
        <w:rPr>
          <w:lang w:val="es-ES"/>
        </w:rPr>
        <w:t>. en la dirección pertinente)  –  (</w:t>
      </w:r>
      <w:proofErr w:type="spellStart"/>
      <w:r w:rsidRPr="00AC3FDE">
        <w:rPr>
          <w:lang w:val="es-ES"/>
        </w:rPr>
        <w:t>p.r.a</w:t>
      </w:r>
      <w:proofErr w:type="spellEnd"/>
      <w:r w:rsidRPr="00AC3FDE">
        <w:rPr>
          <w:lang w:val="es-ES"/>
        </w:rPr>
        <w:t>. máxima)</w:t>
      </w:r>
      <w:r w:rsidRPr="00AC3FDE">
        <w:rPr>
          <w:lang w:val="es-ES"/>
        </w:rPr>
        <w:tab/>
        <w:t>(19)</w:t>
      </w:r>
      <w:bookmarkEnd w:id="22"/>
    </w:p>
    <w:p w14:paraId="09269FA4" w14:textId="77777777" w:rsidR="008760D9" w:rsidRDefault="008760D9">
      <w:pPr>
        <w:pStyle w:val="Heading2"/>
        <w:rPr>
          <w:lang w:val="es-ES_tradnl"/>
        </w:rPr>
      </w:pPr>
      <w:r>
        <w:rPr>
          <w:lang w:val="es-ES_tradnl"/>
        </w:rPr>
        <w:t>4.4</w:t>
      </w:r>
      <w:r>
        <w:rPr>
          <w:lang w:val="es-ES_tradnl"/>
        </w:rPr>
        <w:tab/>
        <w:t>Corrección del diagrama de radiación vertical</w:t>
      </w:r>
    </w:p>
    <w:p w14:paraId="29C71059" w14:textId="77777777" w:rsidR="008760D9" w:rsidRDefault="008760D9">
      <w:pPr>
        <w:rPr>
          <w:lang w:val="es-ES_tradnl"/>
        </w:rPr>
      </w:pPr>
      <w:r>
        <w:rPr>
          <w:lang w:val="es-ES_tradnl"/>
        </w:rPr>
        <w:t>Se aplican correcciones del diagrama de radiación vertical únicamente para los ángulos de elevación por encima del plano horizontal que pasa por la antena de radiodifusión.</w:t>
      </w:r>
    </w:p>
    <w:p w14:paraId="54CB01E5" w14:textId="77777777" w:rsidR="008760D9" w:rsidRDefault="008760D9">
      <w:pPr>
        <w:rPr>
          <w:lang w:val="es-ES_tradnl"/>
        </w:rPr>
      </w:pPr>
      <w:r>
        <w:rPr>
          <w:lang w:val="es-ES_tradnl"/>
        </w:rPr>
        <w:t xml:space="preserve">Los tipos de antena de radiodifusión van desde la antena sencilla, tal como un dipolo, utilizada a menudo en las estaciones de baja potencia, a las antenas más complejas </w:t>
      </w:r>
      <w:proofErr w:type="spellStart"/>
      <w:r>
        <w:rPr>
          <w:lang w:val="es-ES_tradnl"/>
        </w:rPr>
        <w:t>multiplano</w:t>
      </w:r>
      <w:proofErr w:type="spellEnd"/>
      <w:r>
        <w:rPr>
          <w:lang w:val="es-ES_tradnl"/>
        </w:rPr>
        <w:t xml:space="preserve"> utilizadas normalmente en estaciones de gran potencia.</w:t>
      </w:r>
    </w:p>
    <w:p w14:paraId="0B1486AF" w14:textId="77777777" w:rsidR="008760D9" w:rsidRDefault="008760D9">
      <w:pPr>
        <w:rPr>
          <w:lang w:val="es-ES_tradnl"/>
        </w:rPr>
      </w:pPr>
      <w:r>
        <w:rPr>
          <w:lang w:val="es-ES_tradnl"/>
        </w:rPr>
        <w:t xml:space="preserve">Cuando no se conoce la apertura real de la antena, se utiliza el Cuadro 7 para la correspondencia entre la </w:t>
      </w:r>
      <w:proofErr w:type="spellStart"/>
      <w:r>
        <w:rPr>
          <w:lang w:val="es-ES_tradnl"/>
        </w:rPr>
        <w:t>p.r.a</w:t>
      </w:r>
      <w:proofErr w:type="spellEnd"/>
      <w:r>
        <w:rPr>
          <w:lang w:val="es-ES_tradnl"/>
        </w:rPr>
        <w:t>. máxima con la apertura vertical, sobre la base de análisis estadísticos de la práctica de la explotación.</w:t>
      </w:r>
    </w:p>
    <w:p w14:paraId="2D7FAEE8" w14:textId="77777777" w:rsidR="008760D9" w:rsidRDefault="008760D9">
      <w:pPr>
        <w:rPr>
          <w:lang w:val="es-ES_tradnl"/>
        </w:rPr>
      </w:pPr>
      <w:r>
        <w:rPr>
          <w:lang w:val="es-ES_tradnl"/>
        </w:rPr>
        <w:t>Las correcciones del diagrama de radiación vertical que se describen en los § 4.4.1 y 4.4.2 se aplican a las emisiones polarizadas horizontal y verticalmente y los valores limitativos mencionados tienen en cuenta el caso más desfavorable de trayecto oblicuo.</w:t>
      </w:r>
    </w:p>
    <w:p w14:paraId="1665D120" w14:textId="77777777" w:rsidR="008760D9" w:rsidRDefault="008760D9">
      <w:pPr>
        <w:pStyle w:val="Table"/>
        <w:rPr>
          <w:lang w:val="es-ES_tradnl"/>
        </w:rPr>
      </w:pPr>
      <w:r>
        <w:rPr>
          <w:lang w:val="es-ES_tradnl"/>
        </w:rPr>
        <w:lastRenderedPageBreak/>
        <w:t>CUADRO  7</w:t>
      </w:r>
    </w:p>
    <w:p w14:paraId="5B14801B" w14:textId="77777777" w:rsidR="008760D9" w:rsidRDefault="008760D9">
      <w:pPr>
        <w:pStyle w:val="Blanc"/>
        <w:rPr>
          <w:lang w:val="es-ES_tradnl"/>
        </w:rPr>
      </w:pPr>
    </w:p>
    <w:tbl>
      <w:tblPr>
        <w:tblW w:w="0" w:type="auto"/>
        <w:jc w:val="center"/>
        <w:tblLayout w:type="fixed"/>
        <w:tblCellMar>
          <w:left w:w="0" w:type="dxa"/>
          <w:right w:w="0" w:type="dxa"/>
        </w:tblCellMar>
        <w:tblLook w:val="0000" w:firstRow="0" w:lastRow="0" w:firstColumn="0" w:lastColumn="0" w:noHBand="0" w:noVBand="0"/>
      </w:tblPr>
      <w:tblGrid>
        <w:gridCol w:w="3175"/>
        <w:gridCol w:w="3175"/>
      </w:tblGrid>
      <w:tr w:rsidR="008760D9" w14:paraId="540D4E3F" w14:textId="77777777">
        <w:trPr>
          <w:cantSplit/>
          <w:jc w:val="center"/>
        </w:trPr>
        <w:tc>
          <w:tcPr>
            <w:tcW w:w="3175" w:type="dxa"/>
            <w:tcBorders>
              <w:top w:val="single" w:sz="6" w:space="0" w:color="auto"/>
              <w:left w:val="single" w:sz="6" w:space="0" w:color="auto"/>
              <w:bottom w:val="single" w:sz="6" w:space="0" w:color="auto"/>
              <w:right w:val="single" w:sz="6" w:space="0" w:color="auto"/>
            </w:tcBorders>
          </w:tcPr>
          <w:p w14:paraId="3C837096" w14:textId="77777777" w:rsidR="008760D9" w:rsidRDefault="008760D9">
            <w:pPr>
              <w:pStyle w:val="TableText"/>
              <w:framePr w:hSpace="181" w:wrap="notBeside" w:vAnchor="text" w:hAnchor="page" w:xAlign="center" w:y="1"/>
              <w:spacing w:before="80" w:after="80"/>
              <w:jc w:val="center"/>
              <w:rPr>
                <w:lang w:val="es-ES_tradnl"/>
              </w:rPr>
            </w:pPr>
            <w:proofErr w:type="spellStart"/>
            <w:r>
              <w:rPr>
                <w:lang w:val="es-ES_tradnl"/>
              </w:rPr>
              <w:t>p.r.a</w:t>
            </w:r>
            <w:proofErr w:type="spellEnd"/>
            <w:r>
              <w:rPr>
                <w:lang w:val="es-ES_tradnl"/>
              </w:rPr>
              <w:t>. máxima</w:t>
            </w:r>
            <w:r>
              <w:rPr>
                <w:lang w:val="es-ES_tradnl"/>
              </w:rPr>
              <w:br/>
              <w:t>(</w:t>
            </w:r>
            <w:proofErr w:type="spellStart"/>
            <w:r>
              <w:rPr>
                <w:lang w:val="es-ES_tradnl"/>
              </w:rPr>
              <w:t>dBW</w:t>
            </w:r>
            <w:proofErr w:type="spellEnd"/>
            <w:r>
              <w:rPr>
                <w:lang w:val="es-ES_tradnl"/>
              </w:rPr>
              <w:t>)</w:t>
            </w:r>
          </w:p>
        </w:tc>
        <w:tc>
          <w:tcPr>
            <w:tcW w:w="3175" w:type="dxa"/>
            <w:tcBorders>
              <w:top w:val="single" w:sz="6" w:space="0" w:color="auto"/>
              <w:left w:val="single" w:sz="6" w:space="0" w:color="auto"/>
              <w:bottom w:val="single" w:sz="6" w:space="0" w:color="auto"/>
              <w:right w:val="single" w:sz="6" w:space="0" w:color="auto"/>
            </w:tcBorders>
          </w:tcPr>
          <w:p w14:paraId="19831019" w14:textId="77777777" w:rsidR="008760D9" w:rsidRDefault="008760D9">
            <w:pPr>
              <w:pStyle w:val="TableText"/>
              <w:framePr w:hSpace="181" w:wrap="notBeside" w:vAnchor="text" w:hAnchor="page" w:xAlign="center" w:y="1"/>
              <w:spacing w:before="80" w:after="80"/>
              <w:jc w:val="center"/>
              <w:rPr>
                <w:lang w:val="es-ES_tradnl"/>
              </w:rPr>
            </w:pPr>
            <w:r>
              <w:rPr>
                <w:lang w:val="es-ES_tradnl"/>
              </w:rPr>
              <w:t>Apertura vertical en</w:t>
            </w:r>
            <w:r>
              <w:rPr>
                <w:lang w:val="es-ES_tradnl"/>
              </w:rPr>
              <w:br/>
              <w:t>longitudes de onda</w:t>
            </w:r>
          </w:p>
        </w:tc>
      </w:tr>
      <w:tr w:rsidR="008760D9" w14:paraId="68CD2006" w14:textId="77777777">
        <w:trPr>
          <w:cantSplit/>
          <w:jc w:val="center"/>
        </w:trPr>
        <w:tc>
          <w:tcPr>
            <w:tcW w:w="3175" w:type="dxa"/>
            <w:tcBorders>
              <w:top w:val="single" w:sz="6" w:space="0" w:color="auto"/>
              <w:left w:val="single" w:sz="6" w:space="0" w:color="auto"/>
              <w:right w:val="single" w:sz="6" w:space="0" w:color="auto"/>
            </w:tcBorders>
          </w:tcPr>
          <w:p w14:paraId="1D7FA573" w14:textId="77777777" w:rsidR="008760D9" w:rsidRDefault="008760D9">
            <w:pPr>
              <w:pStyle w:val="TableText"/>
              <w:framePr w:hSpace="181" w:wrap="notBeside" w:vAnchor="text" w:hAnchor="page" w:xAlign="center" w:y="1"/>
              <w:spacing w:before="70" w:after="70"/>
              <w:jc w:val="center"/>
              <w:rPr>
                <w:lang w:val="es-ES_tradnl"/>
              </w:rPr>
            </w:pPr>
            <w:proofErr w:type="spellStart"/>
            <w:r>
              <w:rPr>
                <w:lang w:val="es-ES_tradnl"/>
              </w:rPr>
              <w:t>p.r.a</w:t>
            </w:r>
            <w:proofErr w:type="spellEnd"/>
            <w:r>
              <w:rPr>
                <w:lang w:val="es-ES_tradnl"/>
              </w:rPr>
              <w:t xml:space="preserve">.  </w:t>
            </w:r>
            <w:r>
              <w:rPr>
                <w:rFonts w:ascii="Symbol" w:hAnsi="Symbol"/>
                <w:lang w:val="es-ES_tradnl"/>
              </w:rPr>
              <w:t></w:t>
            </w:r>
            <w:r>
              <w:rPr>
                <w:lang w:val="es-ES_tradnl"/>
              </w:rPr>
              <w:t xml:space="preserve">  44</w:t>
            </w:r>
          </w:p>
        </w:tc>
        <w:tc>
          <w:tcPr>
            <w:tcW w:w="3175" w:type="dxa"/>
            <w:tcBorders>
              <w:top w:val="single" w:sz="6" w:space="0" w:color="auto"/>
              <w:left w:val="single" w:sz="6" w:space="0" w:color="auto"/>
              <w:right w:val="single" w:sz="6" w:space="0" w:color="auto"/>
            </w:tcBorders>
          </w:tcPr>
          <w:p w14:paraId="44FAE918" w14:textId="77777777" w:rsidR="008760D9" w:rsidRDefault="008760D9">
            <w:pPr>
              <w:pStyle w:val="TableText"/>
              <w:framePr w:hSpace="181" w:wrap="notBeside" w:vAnchor="text" w:hAnchor="page" w:xAlign="center" w:y="1"/>
              <w:spacing w:before="70" w:after="70"/>
              <w:jc w:val="center"/>
              <w:rPr>
                <w:lang w:val="es-ES_tradnl"/>
              </w:rPr>
            </w:pPr>
            <w:r>
              <w:rPr>
                <w:lang w:val="es-ES_tradnl"/>
              </w:rPr>
              <w:t>8</w:t>
            </w:r>
          </w:p>
        </w:tc>
      </w:tr>
      <w:tr w:rsidR="008760D9" w14:paraId="3022D04F" w14:textId="77777777">
        <w:trPr>
          <w:cantSplit/>
          <w:jc w:val="center"/>
        </w:trPr>
        <w:tc>
          <w:tcPr>
            <w:tcW w:w="3175" w:type="dxa"/>
            <w:tcBorders>
              <w:left w:val="single" w:sz="6" w:space="0" w:color="auto"/>
              <w:right w:val="single" w:sz="6" w:space="0" w:color="auto"/>
            </w:tcBorders>
          </w:tcPr>
          <w:p w14:paraId="20526C02" w14:textId="77777777" w:rsidR="008760D9" w:rsidRDefault="008760D9">
            <w:pPr>
              <w:pStyle w:val="TableText"/>
              <w:framePr w:hSpace="181" w:wrap="notBeside" w:vAnchor="text" w:hAnchor="page" w:xAlign="center" w:y="1"/>
              <w:spacing w:before="70" w:after="70"/>
              <w:jc w:val="center"/>
              <w:rPr>
                <w:lang w:val="es-ES_tradnl"/>
              </w:rPr>
            </w:pPr>
            <w:r>
              <w:rPr>
                <w:lang w:val="es-ES_tradnl"/>
              </w:rPr>
              <w:t xml:space="preserve">37  </w:t>
            </w:r>
            <w:r>
              <w:rPr>
                <w:rFonts w:ascii="Symbol" w:hAnsi="Symbol"/>
                <w:lang w:val="es-ES_tradnl"/>
              </w:rPr>
              <w:t></w:t>
            </w:r>
            <w:r>
              <w:rPr>
                <w:lang w:val="es-ES_tradnl"/>
              </w:rPr>
              <w:t xml:space="preserve">  </w:t>
            </w:r>
            <w:proofErr w:type="spellStart"/>
            <w:r>
              <w:rPr>
                <w:lang w:val="es-ES_tradnl"/>
              </w:rPr>
              <w:t>p.r.a</w:t>
            </w:r>
            <w:proofErr w:type="spellEnd"/>
            <w:r>
              <w:rPr>
                <w:lang w:val="es-ES_tradnl"/>
              </w:rPr>
              <w:t xml:space="preserve">.  </w:t>
            </w:r>
            <w:r>
              <w:rPr>
                <w:rFonts w:ascii="Symbol" w:hAnsi="Symbol"/>
                <w:lang w:val="es-ES_tradnl"/>
              </w:rPr>
              <w:t></w:t>
            </w:r>
            <w:r>
              <w:rPr>
                <w:lang w:val="es-ES_tradnl"/>
              </w:rPr>
              <w:t xml:space="preserve">  44</w:t>
            </w:r>
          </w:p>
        </w:tc>
        <w:tc>
          <w:tcPr>
            <w:tcW w:w="3175" w:type="dxa"/>
            <w:tcBorders>
              <w:left w:val="single" w:sz="6" w:space="0" w:color="auto"/>
              <w:right w:val="single" w:sz="6" w:space="0" w:color="auto"/>
            </w:tcBorders>
          </w:tcPr>
          <w:p w14:paraId="15065CCD" w14:textId="77777777" w:rsidR="008760D9" w:rsidRDefault="008760D9">
            <w:pPr>
              <w:pStyle w:val="TableText"/>
              <w:framePr w:hSpace="181" w:wrap="notBeside" w:vAnchor="text" w:hAnchor="page" w:xAlign="center" w:y="1"/>
              <w:spacing w:before="70" w:after="70"/>
              <w:jc w:val="center"/>
              <w:rPr>
                <w:lang w:val="es-ES_tradnl"/>
              </w:rPr>
            </w:pPr>
            <w:r>
              <w:rPr>
                <w:lang w:val="es-ES_tradnl"/>
              </w:rPr>
              <w:t>4</w:t>
            </w:r>
          </w:p>
        </w:tc>
      </w:tr>
      <w:tr w:rsidR="008760D9" w14:paraId="107256AB" w14:textId="77777777">
        <w:trPr>
          <w:cantSplit/>
          <w:jc w:val="center"/>
        </w:trPr>
        <w:tc>
          <w:tcPr>
            <w:tcW w:w="3175" w:type="dxa"/>
            <w:tcBorders>
              <w:left w:val="single" w:sz="6" w:space="0" w:color="auto"/>
              <w:right w:val="single" w:sz="6" w:space="0" w:color="auto"/>
            </w:tcBorders>
          </w:tcPr>
          <w:p w14:paraId="429E2424" w14:textId="77777777" w:rsidR="008760D9" w:rsidRDefault="008760D9">
            <w:pPr>
              <w:pStyle w:val="TableText"/>
              <w:framePr w:hSpace="181" w:wrap="notBeside" w:vAnchor="text" w:hAnchor="page" w:xAlign="center" w:y="1"/>
              <w:spacing w:before="70" w:after="70"/>
              <w:jc w:val="center"/>
              <w:rPr>
                <w:lang w:val="es-ES_tradnl"/>
              </w:rPr>
            </w:pPr>
            <w:r>
              <w:rPr>
                <w:lang w:val="es-ES_tradnl"/>
              </w:rPr>
              <w:t xml:space="preserve">30  </w:t>
            </w:r>
            <w:r>
              <w:rPr>
                <w:rFonts w:ascii="Symbol" w:hAnsi="Symbol"/>
                <w:lang w:val="es-ES_tradnl"/>
              </w:rPr>
              <w:t></w:t>
            </w:r>
            <w:r>
              <w:rPr>
                <w:lang w:val="es-ES_tradnl"/>
              </w:rPr>
              <w:t xml:space="preserve">  </w:t>
            </w:r>
            <w:proofErr w:type="spellStart"/>
            <w:r>
              <w:rPr>
                <w:lang w:val="es-ES_tradnl"/>
              </w:rPr>
              <w:t>p.r.a</w:t>
            </w:r>
            <w:proofErr w:type="spellEnd"/>
            <w:r>
              <w:rPr>
                <w:lang w:val="es-ES_tradnl"/>
              </w:rPr>
              <w:t xml:space="preserve">.  </w:t>
            </w:r>
            <w:r>
              <w:rPr>
                <w:rFonts w:ascii="Symbol" w:hAnsi="Symbol"/>
                <w:lang w:val="es-ES_tradnl"/>
              </w:rPr>
              <w:t></w:t>
            </w:r>
            <w:r>
              <w:rPr>
                <w:lang w:val="es-ES_tradnl"/>
              </w:rPr>
              <w:t xml:space="preserve">  37</w:t>
            </w:r>
          </w:p>
        </w:tc>
        <w:tc>
          <w:tcPr>
            <w:tcW w:w="3175" w:type="dxa"/>
            <w:tcBorders>
              <w:left w:val="single" w:sz="6" w:space="0" w:color="auto"/>
              <w:right w:val="single" w:sz="6" w:space="0" w:color="auto"/>
            </w:tcBorders>
          </w:tcPr>
          <w:p w14:paraId="47DD50D2" w14:textId="77777777" w:rsidR="008760D9" w:rsidRDefault="008760D9">
            <w:pPr>
              <w:pStyle w:val="TableText"/>
              <w:framePr w:hSpace="181" w:wrap="notBeside" w:vAnchor="text" w:hAnchor="page" w:xAlign="center" w:y="1"/>
              <w:spacing w:before="70" w:after="70"/>
              <w:jc w:val="center"/>
              <w:rPr>
                <w:lang w:val="es-ES_tradnl"/>
              </w:rPr>
            </w:pPr>
            <w:r>
              <w:rPr>
                <w:lang w:val="es-ES_tradnl"/>
              </w:rPr>
              <w:t>2</w:t>
            </w:r>
          </w:p>
        </w:tc>
      </w:tr>
      <w:tr w:rsidR="008760D9" w14:paraId="79A9FF38" w14:textId="77777777">
        <w:trPr>
          <w:cantSplit/>
          <w:jc w:val="center"/>
        </w:trPr>
        <w:tc>
          <w:tcPr>
            <w:tcW w:w="3175" w:type="dxa"/>
            <w:tcBorders>
              <w:left w:val="single" w:sz="6" w:space="0" w:color="auto"/>
              <w:bottom w:val="single" w:sz="6" w:space="0" w:color="auto"/>
              <w:right w:val="single" w:sz="6" w:space="0" w:color="auto"/>
            </w:tcBorders>
          </w:tcPr>
          <w:p w14:paraId="0D739173" w14:textId="77777777" w:rsidR="008760D9" w:rsidRDefault="008760D9">
            <w:pPr>
              <w:pStyle w:val="TableText"/>
              <w:framePr w:hSpace="181" w:wrap="notBeside" w:vAnchor="text" w:hAnchor="page" w:xAlign="center" w:y="1"/>
              <w:spacing w:before="70" w:after="70"/>
              <w:jc w:val="center"/>
              <w:rPr>
                <w:lang w:val="es-ES_tradnl"/>
              </w:rPr>
            </w:pPr>
            <w:proofErr w:type="spellStart"/>
            <w:r>
              <w:rPr>
                <w:lang w:val="es-ES_tradnl"/>
              </w:rPr>
              <w:t>p.r.a</w:t>
            </w:r>
            <w:proofErr w:type="spellEnd"/>
            <w:r>
              <w:rPr>
                <w:lang w:val="es-ES_tradnl"/>
              </w:rPr>
              <w:t xml:space="preserve">.  </w:t>
            </w:r>
            <w:r>
              <w:rPr>
                <w:rFonts w:ascii="Symbol" w:hAnsi="Symbol"/>
                <w:lang w:val="es-ES_tradnl"/>
              </w:rPr>
              <w:t></w:t>
            </w:r>
            <w:r>
              <w:rPr>
                <w:lang w:val="es-ES_tradnl"/>
              </w:rPr>
              <w:t xml:space="preserve">  30</w:t>
            </w:r>
          </w:p>
        </w:tc>
        <w:tc>
          <w:tcPr>
            <w:tcW w:w="3175" w:type="dxa"/>
            <w:tcBorders>
              <w:left w:val="single" w:sz="6" w:space="0" w:color="auto"/>
              <w:bottom w:val="single" w:sz="6" w:space="0" w:color="auto"/>
              <w:right w:val="single" w:sz="6" w:space="0" w:color="auto"/>
            </w:tcBorders>
          </w:tcPr>
          <w:p w14:paraId="259FAC84" w14:textId="77777777" w:rsidR="008760D9" w:rsidRDefault="008760D9">
            <w:pPr>
              <w:pStyle w:val="TableText"/>
              <w:framePr w:hSpace="181" w:wrap="notBeside" w:vAnchor="text" w:hAnchor="page" w:xAlign="center" w:y="1"/>
              <w:spacing w:before="70" w:after="70"/>
              <w:jc w:val="center"/>
              <w:rPr>
                <w:lang w:val="es-ES_tradnl"/>
              </w:rPr>
            </w:pPr>
            <w:r>
              <w:rPr>
                <w:lang w:val="es-ES_tradnl"/>
              </w:rPr>
              <w:t>1</w:t>
            </w:r>
          </w:p>
        </w:tc>
      </w:tr>
    </w:tbl>
    <w:p w14:paraId="09B0FB30" w14:textId="77777777" w:rsidR="008760D9" w:rsidRDefault="008760D9">
      <w:pPr>
        <w:pStyle w:val="Tablefin"/>
        <w:spacing w:before="0"/>
        <w:rPr>
          <w:lang w:val="es-ES_tradnl"/>
        </w:rPr>
      </w:pPr>
    </w:p>
    <w:p w14:paraId="65A10D05" w14:textId="77777777" w:rsidR="008760D9" w:rsidRDefault="008760D9">
      <w:pPr>
        <w:spacing w:before="0"/>
        <w:rPr>
          <w:lang w:val="es-ES_tradnl"/>
        </w:rPr>
      </w:pPr>
    </w:p>
    <w:p w14:paraId="6E7D5593" w14:textId="77777777" w:rsidR="008760D9" w:rsidRDefault="008760D9">
      <w:pPr>
        <w:pStyle w:val="Heading3"/>
        <w:rPr>
          <w:lang w:val="es-ES_tradnl"/>
        </w:rPr>
      </w:pPr>
      <w:r>
        <w:rPr>
          <w:lang w:val="es-ES_tradnl"/>
        </w:rPr>
        <w:t>4.4.1</w:t>
      </w:r>
      <w:r>
        <w:rPr>
          <w:lang w:val="es-ES_tradnl"/>
        </w:rPr>
        <w:tab/>
        <w:t>Correcciones del diagrama de radiación vertical para aperturas verticales de dos o más longitudes de onda</w:t>
      </w:r>
    </w:p>
    <w:p w14:paraId="5948E3A8" w14:textId="77777777" w:rsidR="008760D9" w:rsidRDefault="008760D9">
      <w:pPr>
        <w:rPr>
          <w:lang w:val="es-ES_tradnl"/>
        </w:rPr>
      </w:pPr>
      <w:r>
        <w:rPr>
          <w:lang w:val="es-ES_tradnl"/>
        </w:rPr>
        <w:t xml:space="preserve">Para establecer un modelo de la envolvente del diagrama de radiación vertical de las antenas con aperturas de dos o más longitudes de onda, se calcula la corrección del diagrama de radiación vertical, </w:t>
      </w:r>
      <w:r>
        <w:rPr>
          <w:i/>
          <w:lang w:val="es-ES_tradnl"/>
        </w:rPr>
        <w:t>V</w:t>
      </w:r>
      <w:r>
        <w:rPr>
          <w:lang w:val="es-ES_tradnl"/>
        </w:rPr>
        <w:t xml:space="preserve"> (dB) utilizando la fórmula siguiente:</w:t>
      </w:r>
    </w:p>
    <w:p w14:paraId="5C529C97" w14:textId="77777777" w:rsidR="008760D9" w:rsidRDefault="008760D9">
      <w:pPr>
        <w:pStyle w:val="Equation"/>
        <w:rPr>
          <w:lang w:val="es-ES_tradnl"/>
        </w:rPr>
      </w:pPr>
      <w:bookmarkStart w:id="23" w:name="F022"/>
      <w:r w:rsidRPr="00AC3FDE">
        <w:rPr>
          <w:lang w:val="es-ES"/>
        </w:rPr>
        <w:tab/>
      </w:r>
      <w:r w:rsidRPr="00AC3FDE">
        <w:rPr>
          <w:lang w:val="es-ES"/>
        </w:rPr>
        <w:tab/>
      </w:r>
      <w:r w:rsidRPr="00AC3FDE">
        <w:rPr>
          <w:i/>
          <w:lang w:val="es-ES"/>
        </w:rPr>
        <w:t>V</w:t>
      </w:r>
      <w:r w:rsidRPr="00AC3FDE">
        <w:rPr>
          <w:lang w:val="es-ES"/>
        </w:rPr>
        <w:t xml:space="preserve">  </w:t>
      </w:r>
      <w:r>
        <w:rPr>
          <w:rFonts w:ascii="Symbol" w:hAnsi="Symbol"/>
        </w:rPr>
        <w:t></w:t>
      </w:r>
      <w:r w:rsidRPr="00AC3FDE">
        <w:rPr>
          <w:lang w:val="es-ES"/>
        </w:rPr>
        <w:t xml:space="preserve">  –</w:t>
      </w:r>
      <w:r w:rsidRPr="00AC3FDE">
        <w:rPr>
          <w:sz w:val="12"/>
          <w:lang w:val="es-ES"/>
        </w:rPr>
        <w:t> </w:t>
      </w:r>
      <w:r w:rsidRPr="00AC3FDE">
        <w:rPr>
          <w:lang w:val="es-ES"/>
        </w:rPr>
        <w:t>20 log (</w:t>
      </w:r>
      <w:r>
        <w:rPr>
          <w:rFonts w:ascii="Symbol" w:hAnsi="Symbol"/>
        </w:rPr>
        <w:t></w:t>
      </w:r>
      <w:r w:rsidRPr="00AC3FDE">
        <w:rPr>
          <w:lang w:val="es-ES"/>
        </w:rPr>
        <w:t xml:space="preserve"> </w:t>
      </w:r>
      <w:r w:rsidRPr="00AC3FDE">
        <w:rPr>
          <w:i/>
          <w:lang w:val="es-ES"/>
        </w:rPr>
        <w:t>A</w:t>
      </w:r>
      <w:r w:rsidRPr="00AC3FDE">
        <w:rPr>
          <w:lang w:val="es-ES"/>
        </w:rPr>
        <w:t xml:space="preserve"> sen </w:t>
      </w:r>
      <w:r>
        <w:rPr>
          <w:rFonts w:ascii="Symbol" w:hAnsi="Symbol"/>
        </w:rPr>
        <w:t></w:t>
      </w:r>
      <w:r w:rsidRPr="00AC3FDE">
        <w:rPr>
          <w:lang w:val="es-ES"/>
        </w:rPr>
        <w:t>)</w:t>
      </w:r>
      <w:r w:rsidRPr="00AC3FDE">
        <w:rPr>
          <w:lang w:val="es-ES"/>
        </w:rPr>
        <w:tab/>
        <w:t>(20)</w:t>
      </w:r>
      <w:bookmarkEnd w:id="23"/>
    </w:p>
    <w:p w14:paraId="684E30A8" w14:textId="77777777" w:rsidR="008760D9" w:rsidRDefault="008760D9">
      <w:pPr>
        <w:rPr>
          <w:lang w:val="es-ES_tradnl"/>
        </w:rPr>
      </w:pPr>
      <w:r>
        <w:rPr>
          <w:lang w:val="es-ES_tradnl"/>
        </w:rPr>
        <w:t>siendo:</w:t>
      </w:r>
    </w:p>
    <w:p w14:paraId="1AAD9B23" w14:textId="77777777" w:rsidR="008760D9" w:rsidRDefault="008760D9">
      <w:pPr>
        <w:pStyle w:val="enumlev1"/>
        <w:rPr>
          <w:lang w:val="es-ES_tradnl"/>
        </w:rPr>
      </w:pPr>
      <w:r>
        <w:rPr>
          <w:i/>
          <w:lang w:val="es-ES_tradnl"/>
        </w:rPr>
        <w:tab/>
        <w:t>A</w:t>
      </w:r>
      <w:r>
        <w:rPr>
          <w:rFonts w:ascii="Tms Rmn" w:hAnsi="Tms Rmn"/>
          <w:sz w:val="12"/>
          <w:lang w:val="es-ES_tradnl"/>
        </w:rPr>
        <w:t> </w:t>
      </w:r>
      <w:r>
        <w:rPr>
          <w:lang w:val="es-ES_tradnl"/>
        </w:rPr>
        <w:t>:</w:t>
      </w:r>
      <w:r>
        <w:rPr>
          <w:lang w:val="es-ES_tradnl"/>
        </w:rPr>
        <w:tab/>
        <w:t>apertura vertical en longitudes de onda</w:t>
      </w:r>
    </w:p>
    <w:p w14:paraId="11255C18" w14:textId="77777777" w:rsidR="008760D9" w:rsidRDefault="008760D9">
      <w:pPr>
        <w:pStyle w:val="enumlev1"/>
        <w:rPr>
          <w:lang w:val="es-ES_tradnl"/>
        </w:rPr>
      </w:pPr>
      <w:r>
        <w:rPr>
          <w:rFonts w:ascii="Symbol" w:hAnsi="Symbol"/>
          <w:lang w:val="es-ES_tradnl"/>
        </w:rPr>
        <w:tab/>
      </w:r>
      <w:r>
        <w:rPr>
          <w:rFonts w:ascii="Symbol" w:hAnsi="Symbol"/>
          <w:lang w:val="es-ES_tradnl"/>
        </w:rPr>
        <w:t></w:t>
      </w:r>
      <w:r>
        <w:rPr>
          <w:rFonts w:ascii="Tms Rmn" w:hAnsi="Tms Rmn"/>
          <w:sz w:val="12"/>
          <w:lang w:val="es-ES_tradnl"/>
        </w:rPr>
        <w:t> </w:t>
      </w:r>
      <w:r>
        <w:rPr>
          <w:lang w:val="es-ES_tradnl"/>
        </w:rPr>
        <w:t xml:space="preserve">: </w:t>
      </w:r>
      <w:r>
        <w:rPr>
          <w:lang w:val="es-ES_tradnl"/>
        </w:rPr>
        <w:tab/>
        <w:t>ángulo de elevación (con relación a la horizontal).</w:t>
      </w:r>
    </w:p>
    <w:p w14:paraId="614AB80B" w14:textId="77777777" w:rsidR="008760D9" w:rsidRDefault="008760D9">
      <w:pPr>
        <w:rPr>
          <w:lang w:val="es-ES_tradnl"/>
        </w:rPr>
      </w:pPr>
      <w:r>
        <w:rPr>
          <w:lang w:val="es-ES_tradnl"/>
        </w:rPr>
        <w:t xml:space="preserve">Hay que señalar que para ángulos pequeños de elevación, esta expresión puede dar valores positivos de </w:t>
      </w:r>
      <w:r>
        <w:rPr>
          <w:i/>
          <w:lang w:val="es-ES_tradnl"/>
        </w:rPr>
        <w:t>V</w:t>
      </w:r>
      <w:r>
        <w:rPr>
          <w:lang w:val="es-ES_tradnl"/>
        </w:rPr>
        <w:t xml:space="preserve">. En dichos casos, </w:t>
      </w:r>
      <w:r>
        <w:rPr>
          <w:i/>
          <w:lang w:val="es-ES_tradnl"/>
        </w:rPr>
        <w:t>V</w:t>
      </w:r>
      <w:r>
        <w:rPr>
          <w:lang w:val="es-ES_tradnl"/>
        </w:rPr>
        <w:t xml:space="preserve"> se pone a 0 dB (es decir, no se aplica corrección del diagrama de radiación vertical).</w:t>
      </w:r>
    </w:p>
    <w:p w14:paraId="0A836819" w14:textId="77777777" w:rsidR="008760D9" w:rsidRDefault="008760D9">
      <w:pPr>
        <w:rPr>
          <w:lang w:val="es-ES_tradnl"/>
        </w:rPr>
      </w:pPr>
      <w:r>
        <w:rPr>
          <w:lang w:val="es-ES_tradnl"/>
        </w:rPr>
        <w:t xml:space="preserve">Para ángulos de elevación grandes, </w:t>
      </w:r>
      <w:r>
        <w:rPr>
          <w:i/>
          <w:lang w:val="es-ES_tradnl"/>
        </w:rPr>
        <w:t>V</w:t>
      </w:r>
      <w:r>
        <w:rPr>
          <w:lang w:val="es-ES_tradnl"/>
        </w:rPr>
        <w:t xml:space="preserve"> se limita a un valor de –14 dB, es decir, 0 </w:t>
      </w:r>
      <w:r>
        <w:rPr>
          <w:rFonts w:ascii="Symbol" w:hAnsi="Symbol"/>
          <w:lang w:val="es-ES_tradnl"/>
        </w:rPr>
        <w:t></w:t>
      </w:r>
      <w:r>
        <w:rPr>
          <w:lang w:val="es-ES_tradnl"/>
        </w:rPr>
        <w:t> </w:t>
      </w:r>
      <w:r>
        <w:rPr>
          <w:i/>
          <w:lang w:val="es-ES_tradnl"/>
        </w:rPr>
        <w:t>V</w:t>
      </w:r>
      <w:r>
        <w:rPr>
          <w:lang w:val="es-ES_tradnl"/>
        </w:rPr>
        <w:t> </w:t>
      </w:r>
      <w:r>
        <w:rPr>
          <w:rFonts w:ascii="Symbol" w:hAnsi="Symbol"/>
          <w:lang w:val="es-ES_tradnl"/>
        </w:rPr>
        <w:t></w:t>
      </w:r>
      <w:r>
        <w:rPr>
          <w:lang w:val="es-ES_tradnl"/>
        </w:rPr>
        <w:t> – 14 dB.</w:t>
      </w:r>
    </w:p>
    <w:p w14:paraId="6E3D4259" w14:textId="77777777" w:rsidR="008760D9" w:rsidRDefault="008760D9">
      <w:pPr>
        <w:rPr>
          <w:lang w:val="es-ES_tradnl"/>
        </w:rPr>
      </w:pPr>
      <w:r>
        <w:rPr>
          <w:lang w:val="es-ES_tradnl"/>
        </w:rPr>
        <w:t>Cuando se conoce la corrección del diagrama de radiación vertical máxima real, debe utilizarse como valor limitativo en lugar de –14 dB.</w:t>
      </w:r>
    </w:p>
    <w:p w14:paraId="3F27442C" w14:textId="77777777" w:rsidR="008760D9" w:rsidRDefault="008760D9">
      <w:pPr>
        <w:pStyle w:val="Heading3"/>
        <w:rPr>
          <w:lang w:val="es-ES_tradnl"/>
        </w:rPr>
      </w:pPr>
      <w:r>
        <w:rPr>
          <w:lang w:val="es-ES_tradnl"/>
        </w:rPr>
        <w:t>4.4.2</w:t>
      </w:r>
      <w:r>
        <w:rPr>
          <w:lang w:val="es-ES_tradnl"/>
        </w:rPr>
        <w:tab/>
        <w:t>Correcciones del diagrama de radiación vertical para aperturas verticales inferiores a dos longitudes de onda</w:t>
      </w:r>
    </w:p>
    <w:p w14:paraId="606F1EEE" w14:textId="77777777" w:rsidR="008760D9" w:rsidRDefault="008760D9">
      <w:pPr>
        <w:rPr>
          <w:lang w:val="es-ES_tradnl"/>
        </w:rPr>
      </w:pPr>
      <w:r>
        <w:rPr>
          <w:lang w:val="es-ES_tradnl"/>
        </w:rPr>
        <w:t>Cuando se utilizan antenas de baja ganancia (las que tienen aperturas verticales de menos de dos longitudes de onda) los valores del Cuadro 8 caracterizan la envolvente del diagrama de radiación vertical.</w:t>
      </w:r>
    </w:p>
    <w:p w14:paraId="22026D39" w14:textId="77777777" w:rsidR="008760D9" w:rsidRDefault="008760D9">
      <w:pPr>
        <w:rPr>
          <w:lang w:val="es-ES_tradnl"/>
        </w:rPr>
      </w:pPr>
      <w:r>
        <w:rPr>
          <w:lang w:val="es-ES_tradnl"/>
        </w:rPr>
        <w:t>Para ángulos intermedios se utiliza una interpolación lineal.</w:t>
      </w:r>
    </w:p>
    <w:p w14:paraId="5224F89A" w14:textId="77777777" w:rsidR="008760D9" w:rsidRDefault="008760D9">
      <w:pPr>
        <w:pStyle w:val="Table"/>
        <w:rPr>
          <w:lang w:val="es-ES_tradnl"/>
        </w:rPr>
      </w:pPr>
      <w:r>
        <w:rPr>
          <w:lang w:val="es-ES_tradnl"/>
        </w:rPr>
        <w:t>CUADRO  8</w:t>
      </w:r>
    </w:p>
    <w:p w14:paraId="6F61FE10" w14:textId="77777777" w:rsidR="008760D9" w:rsidRDefault="008760D9">
      <w:pPr>
        <w:pStyle w:val="Blanc"/>
        <w:rPr>
          <w:lang w:val="es-ES_tradnl"/>
        </w:rPr>
      </w:pPr>
    </w:p>
    <w:tbl>
      <w:tblPr>
        <w:tblW w:w="0" w:type="auto"/>
        <w:jc w:val="center"/>
        <w:tblLayout w:type="fixed"/>
        <w:tblCellMar>
          <w:left w:w="0" w:type="dxa"/>
          <w:right w:w="0" w:type="dxa"/>
        </w:tblCellMar>
        <w:tblLook w:val="0000" w:firstRow="0" w:lastRow="0" w:firstColumn="0" w:lastColumn="0" w:noHBand="0" w:noVBand="0"/>
      </w:tblPr>
      <w:tblGrid>
        <w:gridCol w:w="2835"/>
        <w:gridCol w:w="2835"/>
      </w:tblGrid>
      <w:tr w:rsidR="008760D9" w:rsidRPr="00AC3FDE" w14:paraId="7495FB82" w14:textId="77777777">
        <w:trPr>
          <w:cantSplit/>
          <w:jc w:val="center"/>
        </w:trPr>
        <w:tc>
          <w:tcPr>
            <w:tcW w:w="2835" w:type="dxa"/>
            <w:tcBorders>
              <w:top w:val="single" w:sz="6" w:space="0" w:color="auto"/>
              <w:left w:val="single" w:sz="6" w:space="0" w:color="auto"/>
              <w:bottom w:val="single" w:sz="6" w:space="0" w:color="auto"/>
              <w:right w:val="single" w:sz="6" w:space="0" w:color="auto"/>
            </w:tcBorders>
          </w:tcPr>
          <w:p w14:paraId="1D5CAF04" w14:textId="77777777" w:rsidR="008760D9" w:rsidRDefault="008760D9">
            <w:pPr>
              <w:pStyle w:val="TableText"/>
              <w:framePr w:hSpace="181" w:wrap="notBeside" w:vAnchor="text" w:hAnchor="page" w:xAlign="center" w:y="1"/>
              <w:spacing w:before="200"/>
              <w:jc w:val="center"/>
              <w:rPr>
                <w:lang w:val="es-ES_tradnl"/>
              </w:rPr>
            </w:pPr>
            <w:r>
              <w:rPr>
                <w:lang w:val="es-ES_tradnl"/>
              </w:rPr>
              <w:t>Ángulo de elevación</w:t>
            </w:r>
            <w:r>
              <w:rPr>
                <w:lang w:val="es-ES_tradnl"/>
              </w:rPr>
              <w:br/>
              <w:t>(grados)</w:t>
            </w:r>
          </w:p>
        </w:tc>
        <w:tc>
          <w:tcPr>
            <w:tcW w:w="2835" w:type="dxa"/>
            <w:tcBorders>
              <w:top w:val="single" w:sz="6" w:space="0" w:color="auto"/>
              <w:left w:val="single" w:sz="6" w:space="0" w:color="auto"/>
              <w:bottom w:val="single" w:sz="6" w:space="0" w:color="auto"/>
              <w:right w:val="single" w:sz="6" w:space="0" w:color="auto"/>
            </w:tcBorders>
          </w:tcPr>
          <w:p w14:paraId="07B2E208" w14:textId="77777777" w:rsidR="008760D9" w:rsidRDefault="008760D9">
            <w:pPr>
              <w:pStyle w:val="TableText"/>
              <w:framePr w:hSpace="181" w:wrap="notBeside" w:vAnchor="text" w:hAnchor="page" w:xAlign="center" w:y="1"/>
              <w:jc w:val="center"/>
              <w:rPr>
                <w:lang w:val="es-ES_tradnl"/>
              </w:rPr>
            </w:pPr>
            <w:r>
              <w:rPr>
                <w:lang w:val="es-ES_tradnl"/>
              </w:rPr>
              <w:t xml:space="preserve">Corrección del diagrama </w:t>
            </w:r>
            <w:r>
              <w:rPr>
                <w:lang w:val="es-ES_tradnl"/>
              </w:rPr>
              <w:br/>
              <w:t>de radiación vertical</w:t>
            </w:r>
            <w:r>
              <w:rPr>
                <w:lang w:val="es-ES_tradnl"/>
              </w:rPr>
              <w:br/>
              <w:t>(dB)</w:t>
            </w:r>
          </w:p>
        </w:tc>
      </w:tr>
      <w:tr w:rsidR="008760D9" w14:paraId="5FD05034" w14:textId="77777777">
        <w:trPr>
          <w:cantSplit/>
          <w:jc w:val="center"/>
        </w:trPr>
        <w:tc>
          <w:tcPr>
            <w:tcW w:w="2835" w:type="dxa"/>
            <w:tcBorders>
              <w:top w:val="single" w:sz="6" w:space="0" w:color="auto"/>
              <w:left w:val="single" w:sz="6" w:space="0" w:color="auto"/>
              <w:right w:val="single" w:sz="6" w:space="0" w:color="auto"/>
            </w:tcBorders>
          </w:tcPr>
          <w:p w14:paraId="38DEA9AE" w14:textId="77777777" w:rsidR="008760D9" w:rsidRDefault="008760D9">
            <w:pPr>
              <w:pStyle w:val="TableText"/>
              <w:framePr w:hSpace="181" w:wrap="notBeside" w:vAnchor="text" w:hAnchor="page" w:xAlign="center" w:y="1"/>
              <w:spacing w:before="70" w:after="70"/>
              <w:jc w:val="center"/>
              <w:rPr>
                <w:lang w:val="es-ES_tradnl"/>
              </w:rPr>
            </w:pPr>
            <w:r>
              <w:rPr>
                <w:color w:val="FFFFFF"/>
                <w:lang w:val="es-ES_tradnl"/>
              </w:rPr>
              <w:t>0</w:t>
            </w:r>
            <w:r>
              <w:rPr>
                <w:lang w:val="es-ES_tradnl"/>
              </w:rPr>
              <w:t>0</w:t>
            </w:r>
          </w:p>
        </w:tc>
        <w:tc>
          <w:tcPr>
            <w:tcW w:w="2835" w:type="dxa"/>
            <w:tcBorders>
              <w:top w:val="single" w:sz="6" w:space="0" w:color="auto"/>
              <w:left w:val="single" w:sz="6" w:space="0" w:color="auto"/>
              <w:right w:val="single" w:sz="6" w:space="0" w:color="auto"/>
            </w:tcBorders>
          </w:tcPr>
          <w:p w14:paraId="51205100" w14:textId="77777777" w:rsidR="008760D9" w:rsidRDefault="008760D9">
            <w:pPr>
              <w:pStyle w:val="TableText"/>
              <w:framePr w:hSpace="181" w:wrap="notBeside" w:vAnchor="text" w:hAnchor="page" w:xAlign="center" w:y="1"/>
              <w:spacing w:before="70" w:after="70"/>
              <w:ind w:left="86"/>
              <w:jc w:val="center"/>
              <w:rPr>
                <w:lang w:val="es-ES_tradnl"/>
              </w:rPr>
            </w:pPr>
            <w:r>
              <w:rPr>
                <w:lang w:val="es-ES_tradnl"/>
              </w:rPr>
              <w:t>0</w:t>
            </w:r>
          </w:p>
        </w:tc>
      </w:tr>
      <w:tr w:rsidR="008760D9" w14:paraId="000EBF26" w14:textId="77777777">
        <w:trPr>
          <w:cantSplit/>
          <w:jc w:val="center"/>
        </w:trPr>
        <w:tc>
          <w:tcPr>
            <w:tcW w:w="2835" w:type="dxa"/>
            <w:tcBorders>
              <w:left w:val="single" w:sz="6" w:space="0" w:color="auto"/>
              <w:right w:val="single" w:sz="6" w:space="0" w:color="auto"/>
            </w:tcBorders>
          </w:tcPr>
          <w:p w14:paraId="55A1C79C" w14:textId="77777777" w:rsidR="008760D9" w:rsidRDefault="008760D9">
            <w:pPr>
              <w:pStyle w:val="TableText"/>
              <w:framePr w:hSpace="181" w:wrap="notBeside" w:vAnchor="text" w:hAnchor="page" w:xAlign="center" w:y="1"/>
              <w:spacing w:before="70" w:after="70"/>
              <w:jc w:val="center"/>
              <w:rPr>
                <w:lang w:val="es-ES_tradnl"/>
              </w:rPr>
            </w:pPr>
            <w:r>
              <w:rPr>
                <w:lang w:val="es-ES_tradnl"/>
              </w:rPr>
              <w:t>10</w:t>
            </w:r>
          </w:p>
        </w:tc>
        <w:tc>
          <w:tcPr>
            <w:tcW w:w="2835" w:type="dxa"/>
            <w:tcBorders>
              <w:left w:val="single" w:sz="6" w:space="0" w:color="auto"/>
              <w:right w:val="single" w:sz="6" w:space="0" w:color="auto"/>
            </w:tcBorders>
          </w:tcPr>
          <w:p w14:paraId="3A739B04" w14:textId="77777777" w:rsidR="008760D9" w:rsidRDefault="008760D9">
            <w:pPr>
              <w:pStyle w:val="TableText"/>
              <w:framePr w:hSpace="181" w:wrap="notBeside" w:vAnchor="text" w:hAnchor="page" w:xAlign="center" w:y="1"/>
              <w:spacing w:before="70" w:after="70"/>
              <w:ind w:left="86"/>
              <w:jc w:val="center"/>
              <w:rPr>
                <w:lang w:val="es-ES_tradnl"/>
              </w:rPr>
            </w:pPr>
            <w:r>
              <w:rPr>
                <w:lang w:val="es-ES_tradnl"/>
              </w:rPr>
              <w:t>0</w:t>
            </w:r>
          </w:p>
        </w:tc>
      </w:tr>
      <w:tr w:rsidR="008760D9" w14:paraId="7B8D842F" w14:textId="77777777">
        <w:trPr>
          <w:cantSplit/>
          <w:jc w:val="center"/>
        </w:trPr>
        <w:tc>
          <w:tcPr>
            <w:tcW w:w="2835" w:type="dxa"/>
            <w:tcBorders>
              <w:left w:val="single" w:sz="6" w:space="0" w:color="auto"/>
              <w:right w:val="single" w:sz="6" w:space="0" w:color="auto"/>
            </w:tcBorders>
          </w:tcPr>
          <w:p w14:paraId="50C7CE59" w14:textId="77777777" w:rsidR="008760D9" w:rsidRDefault="008760D9">
            <w:pPr>
              <w:pStyle w:val="TableText"/>
              <w:framePr w:hSpace="181" w:wrap="notBeside" w:vAnchor="text" w:hAnchor="page" w:xAlign="center" w:y="1"/>
              <w:spacing w:before="70" w:after="70"/>
              <w:jc w:val="center"/>
              <w:rPr>
                <w:lang w:val="es-ES_tradnl"/>
              </w:rPr>
            </w:pPr>
            <w:r>
              <w:rPr>
                <w:lang w:val="es-ES_tradnl"/>
              </w:rPr>
              <w:t>20</w:t>
            </w:r>
          </w:p>
        </w:tc>
        <w:tc>
          <w:tcPr>
            <w:tcW w:w="2835" w:type="dxa"/>
            <w:tcBorders>
              <w:left w:val="single" w:sz="6" w:space="0" w:color="auto"/>
              <w:right w:val="single" w:sz="6" w:space="0" w:color="auto"/>
            </w:tcBorders>
          </w:tcPr>
          <w:p w14:paraId="1C44195B" w14:textId="77777777" w:rsidR="008760D9" w:rsidRDefault="008760D9">
            <w:pPr>
              <w:pStyle w:val="TableText"/>
              <w:framePr w:hSpace="181" w:wrap="notBeside" w:vAnchor="text" w:hAnchor="page" w:xAlign="center" w:y="1"/>
              <w:spacing w:before="70" w:after="70"/>
              <w:jc w:val="center"/>
              <w:rPr>
                <w:lang w:val="es-ES_tradnl"/>
              </w:rPr>
            </w:pPr>
            <w:r>
              <w:rPr>
                <w:lang w:val="es-ES_tradnl"/>
              </w:rPr>
              <w:t>–1</w:t>
            </w:r>
          </w:p>
        </w:tc>
      </w:tr>
      <w:tr w:rsidR="008760D9" w14:paraId="06F44FEF" w14:textId="77777777">
        <w:trPr>
          <w:cantSplit/>
          <w:jc w:val="center"/>
        </w:trPr>
        <w:tc>
          <w:tcPr>
            <w:tcW w:w="2835" w:type="dxa"/>
            <w:tcBorders>
              <w:left w:val="single" w:sz="6" w:space="0" w:color="auto"/>
              <w:right w:val="single" w:sz="6" w:space="0" w:color="auto"/>
            </w:tcBorders>
          </w:tcPr>
          <w:p w14:paraId="7F14EDE4" w14:textId="77777777" w:rsidR="008760D9" w:rsidRDefault="008760D9">
            <w:pPr>
              <w:pStyle w:val="TableText"/>
              <w:framePr w:hSpace="181" w:wrap="notBeside" w:vAnchor="text" w:hAnchor="page" w:xAlign="center" w:y="1"/>
              <w:spacing w:before="70" w:after="70"/>
              <w:jc w:val="center"/>
              <w:rPr>
                <w:lang w:val="es-ES_tradnl"/>
              </w:rPr>
            </w:pPr>
            <w:r>
              <w:rPr>
                <w:lang w:val="es-ES_tradnl"/>
              </w:rPr>
              <w:t>30</w:t>
            </w:r>
          </w:p>
        </w:tc>
        <w:tc>
          <w:tcPr>
            <w:tcW w:w="2835" w:type="dxa"/>
            <w:tcBorders>
              <w:left w:val="single" w:sz="6" w:space="0" w:color="auto"/>
              <w:right w:val="single" w:sz="6" w:space="0" w:color="auto"/>
            </w:tcBorders>
          </w:tcPr>
          <w:p w14:paraId="60F7368B" w14:textId="77777777" w:rsidR="008760D9" w:rsidRDefault="008760D9">
            <w:pPr>
              <w:pStyle w:val="TableText"/>
              <w:framePr w:hSpace="181" w:wrap="notBeside" w:vAnchor="text" w:hAnchor="page" w:xAlign="center" w:y="1"/>
              <w:spacing w:before="70" w:after="70"/>
              <w:jc w:val="center"/>
              <w:rPr>
                <w:lang w:val="es-ES_tradnl"/>
              </w:rPr>
            </w:pPr>
            <w:r>
              <w:rPr>
                <w:lang w:val="es-ES_tradnl"/>
              </w:rPr>
              <w:t>–2</w:t>
            </w:r>
          </w:p>
        </w:tc>
      </w:tr>
      <w:tr w:rsidR="008760D9" w14:paraId="65C6F303" w14:textId="77777777">
        <w:trPr>
          <w:cantSplit/>
          <w:jc w:val="center"/>
        </w:trPr>
        <w:tc>
          <w:tcPr>
            <w:tcW w:w="2835" w:type="dxa"/>
            <w:tcBorders>
              <w:left w:val="single" w:sz="6" w:space="0" w:color="auto"/>
              <w:right w:val="single" w:sz="6" w:space="0" w:color="auto"/>
            </w:tcBorders>
          </w:tcPr>
          <w:p w14:paraId="65AB4AB4" w14:textId="77777777" w:rsidR="008760D9" w:rsidRDefault="008760D9">
            <w:pPr>
              <w:pStyle w:val="TableText"/>
              <w:framePr w:hSpace="181" w:wrap="notBeside" w:vAnchor="text" w:hAnchor="page" w:xAlign="center" w:y="1"/>
              <w:spacing w:before="70" w:after="70"/>
              <w:jc w:val="center"/>
              <w:rPr>
                <w:lang w:val="es-ES_tradnl"/>
              </w:rPr>
            </w:pPr>
            <w:r>
              <w:rPr>
                <w:lang w:val="es-ES_tradnl"/>
              </w:rPr>
              <w:t>40</w:t>
            </w:r>
          </w:p>
        </w:tc>
        <w:tc>
          <w:tcPr>
            <w:tcW w:w="2835" w:type="dxa"/>
            <w:tcBorders>
              <w:left w:val="single" w:sz="6" w:space="0" w:color="auto"/>
              <w:right w:val="single" w:sz="6" w:space="0" w:color="auto"/>
            </w:tcBorders>
          </w:tcPr>
          <w:p w14:paraId="775DD525" w14:textId="77777777" w:rsidR="008760D9" w:rsidRDefault="008760D9">
            <w:pPr>
              <w:pStyle w:val="TableText"/>
              <w:framePr w:hSpace="181" w:wrap="notBeside" w:vAnchor="text" w:hAnchor="page" w:xAlign="center" w:y="1"/>
              <w:spacing w:before="70" w:after="70"/>
              <w:jc w:val="center"/>
              <w:rPr>
                <w:lang w:val="es-ES_tradnl"/>
              </w:rPr>
            </w:pPr>
            <w:r>
              <w:rPr>
                <w:lang w:val="es-ES_tradnl"/>
              </w:rPr>
              <w:t>–4</w:t>
            </w:r>
          </w:p>
        </w:tc>
      </w:tr>
      <w:tr w:rsidR="008760D9" w14:paraId="1C46640F" w14:textId="77777777">
        <w:trPr>
          <w:cantSplit/>
          <w:jc w:val="center"/>
        </w:trPr>
        <w:tc>
          <w:tcPr>
            <w:tcW w:w="2835" w:type="dxa"/>
            <w:tcBorders>
              <w:left w:val="single" w:sz="6" w:space="0" w:color="auto"/>
              <w:right w:val="single" w:sz="6" w:space="0" w:color="auto"/>
            </w:tcBorders>
          </w:tcPr>
          <w:p w14:paraId="1C659C9F" w14:textId="77777777" w:rsidR="008760D9" w:rsidRDefault="008760D9">
            <w:pPr>
              <w:pStyle w:val="TableText"/>
              <w:framePr w:hSpace="181" w:wrap="notBeside" w:vAnchor="text" w:hAnchor="page" w:xAlign="center" w:y="1"/>
              <w:spacing w:before="70" w:after="70"/>
              <w:jc w:val="center"/>
              <w:rPr>
                <w:lang w:val="es-ES_tradnl"/>
              </w:rPr>
            </w:pPr>
            <w:r>
              <w:rPr>
                <w:lang w:val="es-ES_tradnl"/>
              </w:rPr>
              <w:t>50</w:t>
            </w:r>
          </w:p>
        </w:tc>
        <w:tc>
          <w:tcPr>
            <w:tcW w:w="2835" w:type="dxa"/>
            <w:tcBorders>
              <w:left w:val="single" w:sz="6" w:space="0" w:color="auto"/>
              <w:right w:val="single" w:sz="6" w:space="0" w:color="auto"/>
            </w:tcBorders>
          </w:tcPr>
          <w:p w14:paraId="01365423" w14:textId="77777777" w:rsidR="008760D9" w:rsidRDefault="008760D9">
            <w:pPr>
              <w:pStyle w:val="TableText"/>
              <w:framePr w:hSpace="181" w:wrap="notBeside" w:vAnchor="text" w:hAnchor="page" w:xAlign="center" w:y="1"/>
              <w:spacing w:before="70" w:after="70"/>
              <w:jc w:val="center"/>
              <w:rPr>
                <w:lang w:val="es-ES_tradnl"/>
              </w:rPr>
            </w:pPr>
            <w:r>
              <w:rPr>
                <w:lang w:val="es-ES_tradnl"/>
              </w:rPr>
              <w:t>–6</w:t>
            </w:r>
          </w:p>
        </w:tc>
      </w:tr>
      <w:tr w:rsidR="008760D9" w14:paraId="09DC3DAD" w14:textId="77777777">
        <w:trPr>
          <w:cantSplit/>
          <w:jc w:val="center"/>
        </w:trPr>
        <w:tc>
          <w:tcPr>
            <w:tcW w:w="2835" w:type="dxa"/>
            <w:tcBorders>
              <w:left w:val="single" w:sz="6" w:space="0" w:color="auto"/>
              <w:right w:val="single" w:sz="6" w:space="0" w:color="auto"/>
            </w:tcBorders>
          </w:tcPr>
          <w:p w14:paraId="537966C5" w14:textId="77777777" w:rsidR="008760D9" w:rsidRDefault="008760D9">
            <w:pPr>
              <w:pStyle w:val="TableText"/>
              <w:framePr w:hSpace="181" w:wrap="notBeside" w:vAnchor="text" w:hAnchor="page" w:xAlign="center" w:y="1"/>
              <w:spacing w:before="70" w:after="70"/>
              <w:jc w:val="center"/>
              <w:rPr>
                <w:lang w:val="es-ES_tradnl"/>
              </w:rPr>
            </w:pPr>
            <w:r>
              <w:rPr>
                <w:lang w:val="es-ES_tradnl"/>
              </w:rPr>
              <w:t>60</w:t>
            </w:r>
          </w:p>
        </w:tc>
        <w:tc>
          <w:tcPr>
            <w:tcW w:w="2835" w:type="dxa"/>
            <w:tcBorders>
              <w:left w:val="single" w:sz="6" w:space="0" w:color="auto"/>
              <w:right w:val="single" w:sz="6" w:space="0" w:color="auto"/>
            </w:tcBorders>
          </w:tcPr>
          <w:p w14:paraId="7368784E" w14:textId="77777777" w:rsidR="008760D9" w:rsidRDefault="008760D9">
            <w:pPr>
              <w:pStyle w:val="TableText"/>
              <w:framePr w:hSpace="181" w:wrap="notBeside" w:vAnchor="text" w:hAnchor="page" w:xAlign="center" w:y="1"/>
              <w:spacing w:before="70" w:after="70"/>
              <w:jc w:val="center"/>
              <w:rPr>
                <w:lang w:val="es-ES_tradnl"/>
              </w:rPr>
            </w:pPr>
            <w:r>
              <w:rPr>
                <w:lang w:val="es-ES_tradnl"/>
              </w:rPr>
              <w:t>–8</w:t>
            </w:r>
          </w:p>
        </w:tc>
      </w:tr>
      <w:tr w:rsidR="008760D9" w14:paraId="6037DCAD" w14:textId="77777777">
        <w:trPr>
          <w:cantSplit/>
          <w:jc w:val="center"/>
        </w:trPr>
        <w:tc>
          <w:tcPr>
            <w:tcW w:w="2835" w:type="dxa"/>
            <w:tcBorders>
              <w:left w:val="single" w:sz="6" w:space="0" w:color="auto"/>
              <w:right w:val="single" w:sz="6" w:space="0" w:color="auto"/>
            </w:tcBorders>
          </w:tcPr>
          <w:p w14:paraId="6136DAB4" w14:textId="77777777" w:rsidR="008760D9" w:rsidRDefault="008760D9">
            <w:pPr>
              <w:pStyle w:val="TableText"/>
              <w:framePr w:hSpace="181" w:wrap="notBeside" w:vAnchor="text" w:hAnchor="page" w:xAlign="center" w:y="1"/>
              <w:spacing w:before="70" w:after="70"/>
              <w:jc w:val="center"/>
              <w:rPr>
                <w:lang w:val="es-ES_tradnl"/>
              </w:rPr>
            </w:pPr>
            <w:r>
              <w:rPr>
                <w:lang w:val="es-ES_tradnl"/>
              </w:rPr>
              <w:t>70</w:t>
            </w:r>
          </w:p>
        </w:tc>
        <w:tc>
          <w:tcPr>
            <w:tcW w:w="2835" w:type="dxa"/>
            <w:tcBorders>
              <w:left w:val="single" w:sz="6" w:space="0" w:color="auto"/>
              <w:right w:val="single" w:sz="6" w:space="0" w:color="auto"/>
            </w:tcBorders>
          </w:tcPr>
          <w:p w14:paraId="107128D3" w14:textId="77777777" w:rsidR="008760D9" w:rsidRDefault="008760D9">
            <w:pPr>
              <w:pStyle w:val="TableText"/>
              <w:framePr w:hSpace="181" w:wrap="notBeside" w:vAnchor="text" w:hAnchor="page" w:xAlign="center" w:y="1"/>
              <w:spacing w:before="70" w:after="70"/>
              <w:jc w:val="center"/>
              <w:rPr>
                <w:lang w:val="es-ES_tradnl"/>
              </w:rPr>
            </w:pPr>
            <w:r>
              <w:rPr>
                <w:lang w:val="es-ES_tradnl"/>
              </w:rPr>
              <w:t>–8</w:t>
            </w:r>
          </w:p>
        </w:tc>
      </w:tr>
      <w:tr w:rsidR="008760D9" w14:paraId="1F03ED24" w14:textId="77777777">
        <w:trPr>
          <w:cantSplit/>
          <w:jc w:val="center"/>
        </w:trPr>
        <w:tc>
          <w:tcPr>
            <w:tcW w:w="2835" w:type="dxa"/>
            <w:tcBorders>
              <w:left w:val="single" w:sz="6" w:space="0" w:color="auto"/>
              <w:right w:val="single" w:sz="6" w:space="0" w:color="auto"/>
            </w:tcBorders>
          </w:tcPr>
          <w:p w14:paraId="5A19B143" w14:textId="77777777" w:rsidR="008760D9" w:rsidRDefault="008760D9">
            <w:pPr>
              <w:pStyle w:val="TableText"/>
              <w:framePr w:hSpace="181" w:wrap="notBeside" w:vAnchor="text" w:hAnchor="page" w:xAlign="center" w:y="1"/>
              <w:spacing w:before="70" w:after="70"/>
              <w:jc w:val="center"/>
              <w:rPr>
                <w:lang w:val="es-ES_tradnl"/>
              </w:rPr>
            </w:pPr>
            <w:r>
              <w:rPr>
                <w:lang w:val="es-ES_tradnl"/>
              </w:rPr>
              <w:t>80</w:t>
            </w:r>
          </w:p>
        </w:tc>
        <w:tc>
          <w:tcPr>
            <w:tcW w:w="2835" w:type="dxa"/>
            <w:tcBorders>
              <w:left w:val="single" w:sz="6" w:space="0" w:color="auto"/>
              <w:right w:val="single" w:sz="6" w:space="0" w:color="auto"/>
            </w:tcBorders>
          </w:tcPr>
          <w:p w14:paraId="26B23E12" w14:textId="77777777" w:rsidR="008760D9" w:rsidRDefault="008760D9">
            <w:pPr>
              <w:pStyle w:val="TableText"/>
              <w:framePr w:hSpace="181" w:wrap="notBeside" w:vAnchor="text" w:hAnchor="page" w:xAlign="center" w:y="1"/>
              <w:spacing w:before="70" w:after="70"/>
              <w:jc w:val="center"/>
              <w:rPr>
                <w:lang w:val="es-ES_tradnl"/>
              </w:rPr>
            </w:pPr>
            <w:r>
              <w:rPr>
                <w:lang w:val="es-ES_tradnl"/>
              </w:rPr>
              <w:t>–8</w:t>
            </w:r>
          </w:p>
        </w:tc>
      </w:tr>
      <w:tr w:rsidR="008760D9" w14:paraId="6A68AAB8" w14:textId="77777777">
        <w:trPr>
          <w:cantSplit/>
          <w:jc w:val="center"/>
        </w:trPr>
        <w:tc>
          <w:tcPr>
            <w:tcW w:w="2835" w:type="dxa"/>
            <w:tcBorders>
              <w:left w:val="single" w:sz="6" w:space="0" w:color="auto"/>
              <w:bottom w:val="single" w:sz="6" w:space="0" w:color="auto"/>
              <w:right w:val="single" w:sz="6" w:space="0" w:color="auto"/>
            </w:tcBorders>
          </w:tcPr>
          <w:p w14:paraId="74AD452F" w14:textId="77777777" w:rsidR="008760D9" w:rsidRDefault="008760D9">
            <w:pPr>
              <w:pStyle w:val="TableText"/>
              <w:framePr w:hSpace="181" w:wrap="notBeside" w:vAnchor="text" w:hAnchor="page" w:xAlign="center" w:y="1"/>
              <w:spacing w:before="70" w:after="70"/>
              <w:jc w:val="center"/>
              <w:rPr>
                <w:lang w:val="es-ES_tradnl"/>
              </w:rPr>
            </w:pPr>
            <w:r>
              <w:rPr>
                <w:lang w:val="es-ES_tradnl"/>
              </w:rPr>
              <w:t>90</w:t>
            </w:r>
          </w:p>
        </w:tc>
        <w:tc>
          <w:tcPr>
            <w:tcW w:w="2835" w:type="dxa"/>
            <w:tcBorders>
              <w:left w:val="single" w:sz="6" w:space="0" w:color="auto"/>
              <w:bottom w:val="single" w:sz="6" w:space="0" w:color="auto"/>
              <w:right w:val="single" w:sz="6" w:space="0" w:color="auto"/>
            </w:tcBorders>
          </w:tcPr>
          <w:p w14:paraId="36440460" w14:textId="77777777" w:rsidR="008760D9" w:rsidRDefault="008760D9">
            <w:pPr>
              <w:pStyle w:val="TableText"/>
              <w:framePr w:hSpace="181" w:wrap="notBeside" w:vAnchor="text" w:hAnchor="page" w:xAlign="center" w:y="1"/>
              <w:spacing w:before="70" w:after="70"/>
              <w:jc w:val="center"/>
              <w:rPr>
                <w:lang w:val="es-ES_tradnl"/>
              </w:rPr>
            </w:pPr>
            <w:r>
              <w:rPr>
                <w:lang w:val="es-ES_tradnl"/>
              </w:rPr>
              <w:t>–8</w:t>
            </w:r>
          </w:p>
        </w:tc>
      </w:tr>
    </w:tbl>
    <w:p w14:paraId="4C6A387F" w14:textId="77777777" w:rsidR="008760D9" w:rsidRDefault="008760D9">
      <w:pPr>
        <w:pStyle w:val="Tablefin"/>
        <w:spacing w:before="0"/>
        <w:rPr>
          <w:lang w:val="es-ES_tradnl"/>
        </w:rPr>
      </w:pPr>
    </w:p>
    <w:p w14:paraId="2206504E" w14:textId="77777777" w:rsidR="008760D9" w:rsidRDefault="008760D9">
      <w:pPr>
        <w:spacing w:before="0"/>
        <w:rPr>
          <w:sz w:val="8"/>
          <w:lang w:val="es-ES_tradnl"/>
        </w:rPr>
      </w:pPr>
    </w:p>
    <w:p w14:paraId="674396F3" w14:textId="77777777" w:rsidR="008760D9" w:rsidRDefault="008760D9">
      <w:pPr>
        <w:pStyle w:val="Heading3"/>
        <w:rPr>
          <w:lang w:val="es-ES_tradnl"/>
        </w:rPr>
      </w:pPr>
      <w:r>
        <w:rPr>
          <w:lang w:val="es-ES_tradnl"/>
        </w:rPr>
        <w:br w:type="page"/>
      </w:r>
      <w:r>
        <w:rPr>
          <w:lang w:val="es-ES_tradnl"/>
        </w:rPr>
        <w:lastRenderedPageBreak/>
        <w:t>4.4.3</w:t>
      </w:r>
      <w:r>
        <w:rPr>
          <w:lang w:val="es-ES_tradnl"/>
        </w:rPr>
        <w:tab/>
        <w:t>Correcciones del diagrama de radiación vertical para emisiones no esenciales en la banda 108-118 MHz</w:t>
      </w:r>
    </w:p>
    <w:p w14:paraId="2702E795" w14:textId="77777777" w:rsidR="008760D9" w:rsidRDefault="008760D9">
      <w:pPr>
        <w:rPr>
          <w:lang w:val="es-ES_tradnl"/>
        </w:rPr>
      </w:pPr>
      <w:r>
        <w:rPr>
          <w:lang w:val="es-ES_tradnl"/>
        </w:rPr>
        <w:t>Las correcciones del diagrama de radiación vertical de los § 4.4.1 y 4.4.2 se aplican también a las emisiones no esenciales de la banda 108</w:t>
      </w:r>
      <w:r>
        <w:rPr>
          <w:lang w:val="es-ES_tradnl"/>
        </w:rPr>
        <w:noBreakHyphen/>
        <w:t>118 MHz.</w:t>
      </w:r>
    </w:p>
    <w:p w14:paraId="357B09E9" w14:textId="77777777" w:rsidR="008760D9" w:rsidRDefault="008760D9">
      <w:pPr>
        <w:pStyle w:val="Heading2"/>
        <w:rPr>
          <w:lang w:val="es-ES_tradnl"/>
        </w:rPr>
      </w:pPr>
      <w:r>
        <w:rPr>
          <w:lang w:val="es-ES_tradnl"/>
        </w:rPr>
        <w:t>4.5</w:t>
      </w:r>
      <w:r>
        <w:rPr>
          <w:lang w:val="es-ES_tradnl"/>
        </w:rPr>
        <w:tab/>
        <w:t>Combinación de diagramas de radiación horizontal y vertical</w:t>
      </w:r>
    </w:p>
    <w:p w14:paraId="4C37EDC2" w14:textId="77777777" w:rsidR="008760D9" w:rsidRDefault="008760D9">
      <w:pPr>
        <w:rPr>
          <w:lang w:val="es-ES_tradnl"/>
        </w:rPr>
      </w:pPr>
      <w:r>
        <w:rPr>
          <w:lang w:val="es-ES_tradnl"/>
        </w:rPr>
        <w:t>Los valores pertinentes (dB) de las correcciones de los diagramas de radiación horizontal y vertical se suman aritmética</w:t>
      </w:r>
      <w:r>
        <w:rPr>
          <w:lang w:val="es-ES_tradnl"/>
        </w:rPr>
        <w:softHyphen/>
        <w:t>mente, respetando una corrección combinada máxima de –20 dB, o el máximo de la corrección vertical, cualquiera que sea mayor. Para ángulos de elevación por encima de 45</w:t>
      </w:r>
      <w:r>
        <w:rPr>
          <w:rFonts w:ascii="Symbol" w:hAnsi="Symbol"/>
          <w:lang w:val="es-ES_tradnl"/>
        </w:rPr>
        <w:t></w:t>
      </w:r>
      <w:r>
        <w:rPr>
          <w:lang w:val="es-ES_tradnl"/>
        </w:rPr>
        <w:t>, no se aplican correcciones del diagrama de radiación horizontal.</w:t>
      </w:r>
    </w:p>
    <w:p w14:paraId="18A91B92" w14:textId="77777777" w:rsidR="008760D9" w:rsidRDefault="008760D9">
      <w:pPr>
        <w:rPr>
          <w:lang w:val="es-ES_tradnl"/>
        </w:rPr>
      </w:pPr>
    </w:p>
    <w:p w14:paraId="2A937FB1" w14:textId="77777777" w:rsidR="008760D9" w:rsidRDefault="008760D9">
      <w:pPr>
        <w:pStyle w:val="Appendix"/>
        <w:rPr>
          <w:lang w:val="es-ES_tradnl"/>
        </w:rPr>
      </w:pPr>
      <w:r>
        <w:rPr>
          <w:lang w:val="es-ES_tradnl"/>
        </w:rPr>
        <w:t>APÉNDICE  1</w:t>
      </w:r>
    </w:p>
    <w:p w14:paraId="77965FFF" w14:textId="77777777" w:rsidR="008760D9" w:rsidRDefault="008760D9">
      <w:pPr>
        <w:pStyle w:val="AppendixRef"/>
        <w:rPr>
          <w:lang w:val="es-ES_tradnl"/>
        </w:rPr>
      </w:pPr>
      <w:r>
        <w:rPr>
          <w:lang w:val="es-ES_tradnl"/>
        </w:rPr>
        <w:t>AL  ANEXO  2</w:t>
      </w:r>
    </w:p>
    <w:p w14:paraId="5EEDAA67" w14:textId="77777777" w:rsidR="008760D9" w:rsidRDefault="008760D9">
      <w:pPr>
        <w:pStyle w:val="AppendixTitle"/>
        <w:rPr>
          <w:lang w:val="es-ES_tradnl"/>
        </w:rPr>
      </w:pPr>
      <w:r>
        <w:rPr>
          <w:lang w:val="es-ES_tradnl"/>
        </w:rPr>
        <w:t>Emplazamiento de puntos de prueba con potencial de interferencia máximo</w:t>
      </w:r>
    </w:p>
    <w:p w14:paraId="5EAF197E" w14:textId="77777777" w:rsidR="008760D9" w:rsidRDefault="008760D9">
      <w:pPr>
        <w:jc w:val="center"/>
        <w:rPr>
          <w:lang w:val="es-ES_tradnl"/>
        </w:rPr>
      </w:pPr>
      <w:r>
        <w:rPr>
          <w:i/>
          <w:lang w:val="es-ES_tradnl"/>
        </w:rPr>
        <w:t>Explicación del método de evaluación general</w:t>
      </w:r>
    </w:p>
    <w:p w14:paraId="7E71DC13" w14:textId="77777777" w:rsidR="008760D9" w:rsidRDefault="008760D9">
      <w:pPr>
        <w:pStyle w:val="Normalaftertitle"/>
        <w:rPr>
          <w:lang w:val="es-ES_tradnl"/>
        </w:rPr>
      </w:pPr>
      <w:r>
        <w:rPr>
          <w:lang w:val="es-ES_tradnl"/>
        </w:rPr>
        <w:t>Este Apéndice constituye una aclaración de la relación entre el emplazamiento de los puntos de prueba y los valores máximos del potencial de interferencia, en el método de evaluación general.</w:t>
      </w:r>
    </w:p>
    <w:p w14:paraId="7114B4EB" w14:textId="77777777" w:rsidR="008760D9" w:rsidRDefault="008760D9">
      <w:pPr>
        <w:pStyle w:val="Heading1"/>
        <w:rPr>
          <w:lang w:val="es-ES_tradnl"/>
        </w:rPr>
      </w:pPr>
      <w:r>
        <w:rPr>
          <w:lang w:val="es-ES_tradnl"/>
        </w:rPr>
        <w:t>1</w:t>
      </w:r>
      <w:r>
        <w:rPr>
          <w:lang w:val="es-ES_tradnl"/>
        </w:rPr>
        <w:tab/>
        <w:t>Aeronave a la misma altura de una antena de estación de radiodifusión</w:t>
      </w:r>
    </w:p>
    <w:p w14:paraId="426D8A7D" w14:textId="77777777" w:rsidR="008760D9" w:rsidRDefault="008760D9">
      <w:pPr>
        <w:rPr>
          <w:lang w:val="es-ES_tradnl"/>
        </w:rPr>
      </w:pPr>
      <w:r>
        <w:rPr>
          <w:lang w:val="es-ES_tradnl"/>
        </w:rPr>
        <w:t>Considérese la situación de una aeronave que vuela en las proximidades de una estación de radiodifusión. Si dicha aeronave vuela a la misma altura que la antena de radiodifusión, el valor máximo de la intensidad de campo de radiodifusión percibida por la aeronave se encontrará en el punto de aproximación máxima. En el caso de una antena de radiodifusión omnidireccional, los puntos de intensidad de campo máxima se encuentran en un círculo cuyo centro es la antena.</w:t>
      </w:r>
    </w:p>
    <w:p w14:paraId="7F66C5A2" w14:textId="77777777" w:rsidR="008760D9" w:rsidRDefault="008760D9">
      <w:pPr>
        <w:pStyle w:val="Heading1"/>
        <w:rPr>
          <w:lang w:val="es-ES_tradnl"/>
        </w:rPr>
      </w:pPr>
      <w:r>
        <w:rPr>
          <w:lang w:val="es-ES_tradnl"/>
        </w:rPr>
        <w:t>2</w:t>
      </w:r>
      <w:r>
        <w:rPr>
          <w:lang w:val="es-ES_tradnl"/>
        </w:rPr>
        <w:tab/>
        <w:t>Aeronave a altura superior a la de la antena de la estación de radiodifusión</w:t>
      </w:r>
    </w:p>
    <w:p w14:paraId="24B8CB18" w14:textId="77777777" w:rsidR="008760D9" w:rsidRDefault="008760D9">
      <w:pPr>
        <w:rPr>
          <w:lang w:val="es-ES_tradnl"/>
        </w:rPr>
      </w:pPr>
      <w:r>
        <w:rPr>
          <w:lang w:val="es-ES_tradnl"/>
        </w:rPr>
        <w:t>Si la aeronave vuela a una altura constante sobre un eje radial hacia el emplazamiento de la antena de radiodifusión y sobre ella, el punto de intensidad de campo máximo está situado verticalmente encima de la antena (véase el Apéndice 2 al Anexo 2).</w:t>
      </w:r>
    </w:p>
    <w:p w14:paraId="60541948" w14:textId="77777777" w:rsidR="008760D9" w:rsidRDefault="008760D9">
      <w:pPr>
        <w:pStyle w:val="Heading1"/>
        <w:rPr>
          <w:lang w:val="es-ES_tradnl"/>
        </w:rPr>
      </w:pPr>
      <w:r>
        <w:rPr>
          <w:lang w:val="es-ES_tradnl"/>
        </w:rPr>
        <w:t>3</w:t>
      </w:r>
      <w:r>
        <w:rPr>
          <w:lang w:val="es-ES_tradnl"/>
        </w:rPr>
        <w:tab/>
        <w:t>Relación entre las distancias de separación vertical y horizontal</w:t>
      </w:r>
    </w:p>
    <w:p w14:paraId="155AB687" w14:textId="77777777" w:rsidR="008760D9" w:rsidRDefault="008760D9">
      <w:pPr>
        <w:rPr>
          <w:lang w:val="es-ES_tradnl"/>
        </w:rPr>
      </w:pPr>
      <w:r>
        <w:rPr>
          <w:lang w:val="es-ES_tradnl"/>
        </w:rPr>
        <w:t xml:space="preserve">Si el valor máximo de la corrección del diagrama de radiación vertical para la antena de radiodifusión es de –14 dB, el valor máximo de la intensidad de campo obtenida para una separación vertical de </w:t>
      </w:r>
      <w:r>
        <w:rPr>
          <w:i/>
          <w:lang w:val="es-ES_tradnl"/>
        </w:rPr>
        <w:t>y</w:t>
      </w:r>
      <w:r>
        <w:rPr>
          <w:lang w:val="es-ES_tradnl"/>
        </w:rPr>
        <w:t xml:space="preserve"> m es el mismo que el de una separación de 5</w:t>
      </w:r>
      <w:r>
        <w:rPr>
          <w:i/>
          <w:lang w:val="es-ES_tradnl"/>
        </w:rPr>
        <w:t>y</w:t>
      </w:r>
      <w:r>
        <w:rPr>
          <w:lang w:val="es-ES_tradnl"/>
        </w:rPr>
        <w:t> m en el plano horizontal que pasa por la antena de radiodifusión (siendo cero la corrección del diagrama de radiación vertical).</w:t>
      </w:r>
    </w:p>
    <w:p w14:paraId="54190493" w14:textId="77777777" w:rsidR="008760D9" w:rsidRDefault="008760D9">
      <w:pPr>
        <w:pStyle w:val="Heading1"/>
        <w:rPr>
          <w:lang w:val="es-ES_tradnl"/>
        </w:rPr>
      </w:pPr>
      <w:r>
        <w:rPr>
          <w:lang w:val="es-ES_tradnl"/>
        </w:rPr>
        <w:t>4</w:t>
      </w:r>
      <w:r>
        <w:rPr>
          <w:lang w:val="es-ES_tradnl"/>
        </w:rPr>
        <w:tab/>
        <w:t>Localización del potencial máximo de interferencia</w:t>
      </w:r>
    </w:p>
    <w:p w14:paraId="5ED169B2" w14:textId="77777777" w:rsidR="008760D9" w:rsidRDefault="008760D9">
      <w:pPr>
        <w:rPr>
          <w:lang w:val="es-ES_tradnl"/>
        </w:rPr>
      </w:pPr>
      <w:r>
        <w:rPr>
          <w:lang w:val="es-ES_tradnl"/>
        </w:rPr>
        <w:t>Para los cálculos de interferencia de tipo A1, A2 y B2, los conceptos de separación vertical y separación horizontal son equivalentes porque la fuente de las señales de radiodifusión está en el mismo emplazamiento. En el caso B1, las fuentes contributivas no están, por lo general, situadas en el mismo emplazamiento y la posición del potencial máximo de interferencia no podrá obtenerse de forma inmediata si se utiliza el concepto de separación horizontal.</w:t>
      </w:r>
    </w:p>
    <w:p w14:paraId="22D0B9E4" w14:textId="77777777" w:rsidR="008760D9" w:rsidRDefault="008760D9">
      <w:pPr>
        <w:rPr>
          <w:lang w:val="es-ES_tradnl"/>
        </w:rPr>
      </w:pPr>
      <w:r>
        <w:rPr>
          <w:lang w:val="es-ES_tradnl"/>
        </w:rPr>
        <w:t>No obstante, si se utiliza el concepto de separación vertical, el punto de potencial máximo de interferencia se encuentra por encima de una u otra antena de radiodifusión (véase el Apéndice 2 al Anexo 2).</w:t>
      </w:r>
    </w:p>
    <w:p w14:paraId="3C782CB5" w14:textId="77777777" w:rsidR="008760D9" w:rsidRDefault="008760D9">
      <w:pPr>
        <w:rPr>
          <w:lang w:val="es-ES_tradnl"/>
        </w:rPr>
      </w:pPr>
      <w:r>
        <w:rPr>
          <w:lang w:val="es-ES_tradnl"/>
        </w:rPr>
        <w:t>Así pues, se define una pareja (o un trío) de puntos para un cálculo de caso más desfavorable, sin tener que basarse en un número muy elevado de puntos de cálculo en algún tipo de entramado tridimensional.</w:t>
      </w:r>
    </w:p>
    <w:p w14:paraId="6957DD2A" w14:textId="77777777" w:rsidR="008760D9" w:rsidRDefault="008760D9">
      <w:pPr>
        <w:pStyle w:val="Heading1"/>
        <w:rPr>
          <w:lang w:val="es-ES_tradnl"/>
        </w:rPr>
      </w:pPr>
      <w:r>
        <w:rPr>
          <w:lang w:val="es-ES_tradnl"/>
        </w:rPr>
        <w:br w:type="page"/>
      </w:r>
      <w:r>
        <w:rPr>
          <w:lang w:val="es-ES_tradnl"/>
        </w:rPr>
        <w:lastRenderedPageBreak/>
        <w:t>5</w:t>
      </w:r>
      <w:r>
        <w:rPr>
          <w:lang w:val="es-ES_tradnl"/>
        </w:rPr>
        <w:tab/>
        <w:t>Puntos de prueba para el VOR</w:t>
      </w:r>
    </w:p>
    <w:p w14:paraId="6ACC840C" w14:textId="77777777" w:rsidR="008760D9" w:rsidRDefault="008760D9">
      <w:pPr>
        <w:rPr>
          <w:lang w:val="es-ES_tradnl"/>
        </w:rPr>
      </w:pPr>
      <w:r>
        <w:rPr>
          <w:lang w:val="es-ES_tradnl"/>
        </w:rPr>
        <w:t>En el método de evaluación general, se utiliza este enfoque directo para los cálculos de compatibilidad del VOR y se le amplía con puntos de prueba adicionales situados en el contorno de la DOC (o en sus proximidades) para asegurar que se tienen debidamente en cuenta las estaciones de radiodifusión situadas fuera de la DOC.</w:t>
      </w:r>
    </w:p>
    <w:p w14:paraId="42F2C0DD" w14:textId="77777777" w:rsidR="008760D9" w:rsidRDefault="008760D9">
      <w:pPr>
        <w:pStyle w:val="Heading1"/>
        <w:rPr>
          <w:lang w:val="es-ES_tradnl"/>
        </w:rPr>
      </w:pPr>
      <w:r>
        <w:rPr>
          <w:lang w:val="es-ES_tradnl"/>
        </w:rPr>
        <w:t>6</w:t>
      </w:r>
      <w:r>
        <w:rPr>
          <w:lang w:val="es-ES_tradnl"/>
        </w:rPr>
        <w:tab/>
        <w:t>Puntos de prueba para el ILS</w:t>
      </w:r>
    </w:p>
    <w:p w14:paraId="75DDA58A" w14:textId="77777777" w:rsidR="008760D9" w:rsidRDefault="008760D9">
      <w:pPr>
        <w:rPr>
          <w:lang w:val="es-ES_tradnl"/>
        </w:rPr>
      </w:pPr>
      <w:r>
        <w:rPr>
          <w:lang w:val="es-ES_tradnl"/>
        </w:rPr>
        <w:t>A diferencia de la situación del VOR, hay relativamente pocas estaciones de radiodifusión situadas dentro o por debajo de la DOC del ILS, y en consecuencia, es más fácil demostrar la evaluación completa de la compatibilidad utilizando un conjunto de puntos de prueba fijos para completar los puntos de prueba generados anteriormente o que se encuentran cerca de cualquier estación de radiodifusión situada dentro de la DOC.</w:t>
      </w:r>
    </w:p>
    <w:p w14:paraId="5324955E" w14:textId="77777777" w:rsidR="008760D9" w:rsidRDefault="008760D9">
      <w:pPr>
        <w:rPr>
          <w:lang w:val="es-ES_tradnl"/>
        </w:rPr>
      </w:pPr>
      <w:r>
        <w:rPr>
          <w:lang w:val="es-ES_tradnl"/>
        </w:rPr>
        <w:t>Los puntos de prueba situados dentro de la zona sombreada de la Fig. 4 se han elegido para poder evaluar la compa</w:t>
      </w:r>
      <w:r>
        <w:rPr>
          <w:lang w:val="es-ES_tradnl"/>
        </w:rPr>
        <w:softHyphen/>
        <w:t>tibilidad desde el nivel del suelo hacia arriba y las alturas de los puntos de prueba se eligen representando una trayectoria de descenso con una pendiente de 3</w:t>
      </w:r>
      <w:r>
        <w:rPr>
          <w:rFonts w:ascii="Symbol" w:hAnsi="Symbol"/>
          <w:lang w:val="es-ES_tradnl"/>
        </w:rPr>
        <w:t></w:t>
      </w:r>
      <w:r>
        <w:rPr>
          <w:lang w:val="es-ES_tradnl"/>
        </w:rPr>
        <w:t>.</w:t>
      </w:r>
    </w:p>
    <w:p w14:paraId="3D832944" w14:textId="77777777" w:rsidR="008760D9" w:rsidRDefault="008760D9">
      <w:pPr>
        <w:pStyle w:val="Heading1"/>
        <w:rPr>
          <w:lang w:val="es-ES_tradnl"/>
        </w:rPr>
      </w:pPr>
      <w:r>
        <w:rPr>
          <w:lang w:val="es-ES_tradnl"/>
        </w:rPr>
        <w:t>7</w:t>
      </w:r>
      <w:r>
        <w:rPr>
          <w:lang w:val="es-ES_tradnl"/>
        </w:rPr>
        <w:tab/>
        <w:t>Efecto del aumento de la altura de un punto de prueba</w:t>
      </w:r>
    </w:p>
    <w:p w14:paraId="6BD2E1AE" w14:textId="77777777" w:rsidR="008760D9" w:rsidRDefault="008760D9">
      <w:pPr>
        <w:rPr>
          <w:lang w:val="es-ES_tradnl"/>
        </w:rPr>
      </w:pPr>
      <w:r>
        <w:rPr>
          <w:lang w:val="es-ES_tradnl"/>
        </w:rPr>
        <w:t>Los cálculos del potencial de interferencia de Tipo B1 con dos o tres componentes dan los resultados del caso más desfavorable a la altura mínima del punto de prueba para cualquier subgrupo de estaciones de radiodifusión situadas en la línea de visibilidad directa de dicho punto de prueba. No obstante, para alturas superiores de puntos de prueba, es posible que otras estaciones de radiodifusión se encuentren en la línea de visibilidad directa del punto de prueba y se necesitan nuevos cálculos para determinar si dichas estaciones pueden contribuir al potencial de interferencia de Tipo B1. El valor máximo de toda interferencia potencial se produce a la altura mínima para la cual todas las estaciones de radiodifusión pertinentes se encuentran en la línea de visibilidad del punto de prueba. La altura máxima que ha de considerarse es inferior a:</w:t>
      </w:r>
    </w:p>
    <w:p w14:paraId="1428B119" w14:textId="77777777" w:rsidR="008760D9" w:rsidRDefault="008760D9">
      <w:pPr>
        <w:pStyle w:val="enumlev1"/>
        <w:rPr>
          <w:lang w:val="es-ES_tradnl"/>
        </w:rPr>
      </w:pPr>
      <w:r>
        <w:rPr>
          <w:lang w:val="es-ES_tradnl"/>
        </w:rPr>
        <w:t>–</w:t>
      </w:r>
      <w:r>
        <w:rPr>
          <w:lang w:val="es-ES_tradnl"/>
        </w:rPr>
        <w:tab/>
        <w:t>la altura máxima de la DOC; o</w:t>
      </w:r>
    </w:p>
    <w:p w14:paraId="781EBA4F" w14:textId="77777777" w:rsidR="008760D9" w:rsidRDefault="008760D9">
      <w:pPr>
        <w:pStyle w:val="enumlev1"/>
        <w:rPr>
          <w:lang w:val="es-ES_tradnl"/>
        </w:rPr>
      </w:pPr>
      <w:r>
        <w:rPr>
          <w:lang w:val="es-ES_tradnl"/>
        </w:rPr>
        <w:t>–</w:t>
      </w:r>
      <w:r>
        <w:rPr>
          <w:lang w:val="es-ES_tradnl"/>
        </w:rPr>
        <w:tab/>
        <w:t>la altura máxima a la que el nivel de la señal procedente de una estación de radiodifusión alcanza el valor de activación.</w:t>
      </w:r>
    </w:p>
    <w:p w14:paraId="4DDE6BAC" w14:textId="77777777" w:rsidR="008760D9" w:rsidRDefault="008760D9">
      <w:pPr>
        <w:rPr>
          <w:lang w:val="es-ES_tradnl"/>
        </w:rPr>
      </w:pPr>
    </w:p>
    <w:p w14:paraId="68D592CD" w14:textId="77777777" w:rsidR="008760D9" w:rsidRDefault="008760D9">
      <w:pPr>
        <w:pStyle w:val="Appendix"/>
        <w:rPr>
          <w:lang w:val="es-ES_tradnl"/>
        </w:rPr>
      </w:pPr>
      <w:r>
        <w:rPr>
          <w:lang w:val="es-ES_tradnl"/>
        </w:rPr>
        <w:t>APÉNDICE  2</w:t>
      </w:r>
    </w:p>
    <w:p w14:paraId="646DC333" w14:textId="77777777" w:rsidR="008760D9" w:rsidRDefault="008760D9">
      <w:pPr>
        <w:pStyle w:val="AppendixRef"/>
        <w:rPr>
          <w:lang w:val="es-ES_tradnl"/>
        </w:rPr>
      </w:pPr>
      <w:r>
        <w:rPr>
          <w:lang w:val="es-ES_tradnl"/>
        </w:rPr>
        <w:t>AL  ANEXO  2</w:t>
      </w:r>
    </w:p>
    <w:p w14:paraId="61E6579D" w14:textId="77777777" w:rsidR="008760D9" w:rsidRDefault="008760D9">
      <w:pPr>
        <w:pStyle w:val="AppendixTitle"/>
        <w:rPr>
          <w:lang w:val="es-ES_tradnl"/>
        </w:rPr>
      </w:pPr>
      <w:r>
        <w:rPr>
          <w:lang w:val="es-ES_tradnl"/>
        </w:rPr>
        <w:t>Consideraciones sobre la intensidad de campo máxima</w:t>
      </w:r>
      <w:r>
        <w:rPr>
          <w:lang w:val="es-ES_tradnl"/>
        </w:rPr>
        <w:br/>
        <w:t>y el potencial de interferencia máximo</w:t>
      </w:r>
    </w:p>
    <w:p w14:paraId="5CBC04F0" w14:textId="77777777" w:rsidR="008760D9" w:rsidRDefault="008760D9">
      <w:pPr>
        <w:pStyle w:val="Heading1"/>
        <w:rPr>
          <w:lang w:val="es-ES_tradnl"/>
        </w:rPr>
      </w:pPr>
      <w:r>
        <w:rPr>
          <w:lang w:val="es-ES_tradnl"/>
        </w:rPr>
        <w:t>1</w:t>
      </w:r>
      <w:r>
        <w:rPr>
          <w:lang w:val="es-ES_tradnl"/>
        </w:rPr>
        <w:tab/>
        <w:t>Intensidad de campo máxima</w:t>
      </w:r>
    </w:p>
    <w:p w14:paraId="34166266" w14:textId="77777777" w:rsidR="008760D9" w:rsidRDefault="008760D9">
      <w:pPr>
        <w:rPr>
          <w:lang w:val="es-ES_tradnl"/>
        </w:rPr>
      </w:pPr>
      <w:r>
        <w:rPr>
          <w:lang w:val="es-ES_tradnl"/>
        </w:rPr>
        <w:t>Considérese una aeronave que vuela en un trayecto a altura constante a lo largo de un radio hacia una estación de radiodifusión, siendo la altura de la aeronave superior a la de la antena de radiodifusión (véase la Fig. 6).</w:t>
      </w:r>
    </w:p>
    <w:p w14:paraId="59C9BC85" w14:textId="77777777" w:rsidR="008760D9" w:rsidRDefault="008760D9">
      <w:pPr>
        <w:rPr>
          <w:lang w:val="es-ES_tradnl"/>
        </w:rPr>
      </w:pPr>
      <w:r>
        <w:rPr>
          <w:lang w:val="es-ES_tradnl"/>
        </w:rPr>
        <w:t>Considerando:</w:t>
      </w:r>
    </w:p>
    <w:p w14:paraId="2B520F83" w14:textId="77777777" w:rsidR="008760D9" w:rsidRDefault="008760D9">
      <w:pPr>
        <w:pStyle w:val="enumlev1"/>
        <w:rPr>
          <w:lang w:val="es-ES_tradnl"/>
        </w:rPr>
      </w:pPr>
      <w:r>
        <w:rPr>
          <w:i/>
          <w:lang w:val="es-ES_tradnl"/>
        </w:rPr>
        <w:tab/>
        <w:t>P</w:t>
      </w:r>
      <w:r>
        <w:rPr>
          <w:rFonts w:ascii="Tms Rmn" w:hAnsi="Tms Rmn"/>
          <w:sz w:val="12"/>
          <w:lang w:val="es-ES_tradnl"/>
        </w:rPr>
        <w:t> </w:t>
      </w:r>
      <w:r>
        <w:rPr>
          <w:lang w:val="es-ES_tradnl"/>
        </w:rPr>
        <w:t>:</w:t>
      </w:r>
      <w:r>
        <w:rPr>
          <w:lang w:val="es-ES_tradnl"/>
        </w:rPr>
        <w:tab/>
      </w:r>
      <w:proofErr w:type="spellStart"/>
      <w:r>
        <w:rPr>
          <w:lang w:val="es-ES_tradnl"/>
        </w:rPr>
        <w:t>p.r.a</w:t>
      </w:r>
      <w:proofErr w:type="spellEnd"/>
      <w:r>
        <w:rPr>
          <w:lang w:val="es-ES_tradnl"/>
        </w:rPr>
        <w:t>. (</w:t>
      </w:r>
      <w:proofErr w:type="spellStart"/>
      <w:r>
        <w:rPr>
          <w:lang w:val="es-ES_tradnl"/>
        </w:rPr>
        <w:t>dBW</w:t>
      </w:r>
      <w:proofErr w:type="spellEnd"/>
      <w:r>
        <w:rPr>
          <w:lang w:val="es-ES_tradnl"/>
        </w:rPr>
        <w:t>)</w:t>
      </w:r>
    </w:p>
    <w:p w14:paraId="0629DC3A" w14:textId="77777777" w:rsidR="008760D9" w:rsidRDefault="008760D9">
      <w:pPr>
        <w:pStyle w:val="enumlev1"/>
        <w:rPr>
          <w:lang w:val="es-ES_tradnl"/>
        </w:rPr>
      </w:pPr>
      <w:r>
        <w:rPr>
          <w:i/>
          <w:lang w:val="es-ES_tradnl"/>
        </w:rPr>
        <w:tab/>
        <w:t>h</w:t>
      </w:r>
      <w:r>
        <w:rPr>
          <w:rFonts w:ascii="Tms Rmn" w:hAnsi="Tms Rmn"/>
          <w:sz w:val="12"/>
          <w:lang w:val="es-ES_tradnl"/>
        </w:rPr>
        <w:t> </w:t>
      </w:r>
      <w:r>
        <w:rPr>
          <w:lang w:val="es-ES_tradnl"/>
        </w:rPr>
        <w:t>:</w:t>
      </w:r>
      <w:r>
        <w:rPr>
          <w:lang w:val="es-ES_tradnl"/>
        </w:rPr>
        <w:tab/>
        <w:t>diferencia de altura (km)</w:t>
      </w:r>
    </w:p>
    <w:p w14:paraId="0EF24310" w14:textId="77777777" w:rsidR="008760D9" w:rsidRDefault="008760D9">
      <w:pPr>
        <w:pStyle w:val="enumlev1"/>
        <w:rPr>
          <w:lang w:val="es-ES_tradnl"/>
        </w:rPr>
      </w:pPr>
      <w:r>
        <w:rPr>
          <w:i/>
          <w:lang w:val="es-ES_tradnl"/>
        </w:rPr>
        <w:tab/>
        <w:t>d</w:t>
      </w:r>
      <w:r>
        <w:rPr>
          <w:rFonts w:ascii="Tms Rmn" w:hAnsi="Tms Rmn"/>
          <w:sz w:val="12"/>
          <w:lang w:val="es-ES_tradnl"/>
        </w:rPr>
        <w:t> </w:t>
      </w:r>
      <w:r>
        <w:rPr>
          <w:lang w:val="es-ES_tradnl"/>
        </w:rPr>
        <w:t>:</w:t>
      </w:r>
      <w:r>
        <w:rPr>
          <w:lang w:val="es-ES_tradnl"/>
        </w:rPr>
        <w:tab/>
        <w:t>distancia oblicua (km)</w:t>
      </w:r>
    </w:p>
    <w:p w14:paraId="7F0373CE" w14:textId="77777777" w:rsidR="008760D9" w:rsidRDefault="008760D9">
      <w:pPr>
        <w:pStyle w:val="enumlev1"/>
        <w:rPr>
          <w:lang w:val="es-ES_tradnl"/>
        </w:rPr>
      </w:pPr>
      <w:r>
        <w:rPr>
          <w:rFonts w:ascii="Symbol" w:hAnsi="Symbol"/>
          <w:lang w:val="es-ES_tradnl"/>
        </w:rPr>
        <w:tab/>
      </w:r>
      <w:r>
        <w:rPr>
          <w:rFonts w:ascii="Symbol" w:hAnsi="Symbol"/>
          <w:lang w:val="es-ES_tradnl"/>
        </w:rPr>
        <w:t></w:t>
      </w:r>
      <w:r>
        <w:rPr>
          <w:rFonts w:ascii="Tms Rmn" w:hAnsi="Tms Rmn"/>
          <w:sz w:val="12"/>
          <w:lang w:val="es-ES_tradnl"/>
        </w:rPr>
        <w:t> </w:t>
      </w:r>
      <w:r>
        <w:rPr>
          <w:rFonts w:ascii="Symbol" w:hAnsi="Symbol"/>
          <w:lang w:val="es-ES_tradnl"/>
        </w:rPr>
        <w:t></w:t>
      </w:r>
      <w:r>
        <w:rPr>
          <w:rFonts w:ascii="Symbol" w:hAnsi="Symbol"/>
          <w:lang w:val="es-ES_tradnl"/>
        </w:rPr>
        <w:tab/>
      </w:r>
      <w:r>
        <w:rPr>
          <w:lang w:val="es-ES_tradnl"/>
        </w:rPr>
        <w:t>ángulo de elevación en relación a la horizontal, en la antena de radiodifusión</w:t>
      </w:r>
    </w:p>
    <w:p w14:paraId="427EB27A" w14:textId="77777777" w:rsidR="008760D9" w:rsidRDefault="008760D9">
      <w:pPr>
        <w:pStyle w:val="enumlev1"/>
        <w:rPr>
          <w:lang w:val="es-ES_tradnl"/>
        </w:rPr>
      </w:pPr>
      <w:r>
        <w:rPr>
          <w:i/>
          <w:lang w:val="es-ES_tradnl"/>
        </w:rPr>
        <w:tab/>
        <w:t>V</w:t>
      </w:r>
      <w:r>
        <w:rPr>
          <w:rFonts w:ascii="Tms Rmn" w:hAnsi="Tms Rmn"/>
          <w:sz w:val="12"/>
          <w:lang w:val="es-ES_tradnl"/>
        </w:rPr>
        <w:t> </w:t>
      </w:r>
      <w:r>
        <w:rPr>
          <w:lang w:val="es-ES_tradnl"/>
        </w:rPr>
        <w:t>:</w:t>
      </w:r>
      <w:r>
        <w:rPr>
          <w:lang w:val="es-ES_tradnl"/>
        </w:rPr>
        <w:tab/>
        <w:t>la corrección del diagrama de radiación vertical (dB)</w:t>
      </w:r>
    </w:p>
    <w:p w14:paraId="1191C9EA" w14:textId="77777777" w:rsidR="008760D9" w:rsidRDefault="008760D9">
      <w:pPr>
        <w:rPr>
          <w:lang w:val="es-ES_tradnl"/>
        </w:rPr>
      </w:pPr>
      <w:r>
        <w:rPr>
          <w:lang w:val="es-ES_tradnl"/>
        </w:rPr>
        <w:t xml:space="preserve">en cualquier punto T, la intensidad de campo </w:t>
      </w:r>
      <w:r>
        <w:rPr>
          <w:i/>
          <w:lang w:val="es-ES_tradnl"/>
        </w:rPr>
        <w:t>E</w:t>
      </w:r>
      <w:r>
        <w:rPr>
          <w:lang w:val="es-ES_tradnl"/>
        </w:rPr>
        <w:t xml:space="preserve"> (dB(</w:t>
      </w:r>
      <w:r>
        <w:rPr>
          <w:rFonts w:ascii="Symbol" w:hAnsi="Symbol"/>
          <w:lang w:val="es-ES_tradnl"/>
        </w:rPr>
        <w:t></w:t>
      </w:r>
      <w:r>
        <w:rPr>
          <w:lang w:val="es-ES_tradnl"/>
        </w:rPr>
        <w:t>V/m) (véase la Nota 1) es (véase el § 3.3.7 del Anexo 1):</w:t>
      </w:r>
    </w:p>
    <w:p w14:paraId="20FBD673" w14:textId="77777777" w:rsidR="008760D9" w:rsidRDefault="008760D9">
      <w:pPr>
        <w:pStyle w:val="Equation"/>
        <w:rPr>
          <w:lang w:val="es-ES_tradnl"/>
        </w:rPr>
      </w:pPr>
      <w:bookmarkStart w:id="24" w:name="F023"/>
      <w:r w:rsidRPr="00AC3FDE">
        <w:rPr>
          <w:lang w:val="es-ES"/>
        </w:rPr>
        <w:tab/>
      </w:r>
      <w:r w:rsidRPr="00AC3FDE">
        <w:rPr>
          <w:lang w:val="es-ES"/>
        </w:rPr>
        <w:tab/>
      </w:r>
      <w:r w:rsidRPr="00AC3FDE">
        <w:rPr>
          <w:i/>
          <w:lang w:val="es-ES"/>
        </w:rPr>
        <w:t>E</w:t>
      </w:r>
      <w:r w:rsidRPr="00AC3FDE">
        <w:rPr>
          <w:lang w:val="es-ES"/>
        </w:rPr>
        <w:t xml:space="preserve">  </w:t>
      </w:r>
      <w:r>
        <w:rPr>
          <w:rFonts w:ascii="Symbol" w:hAnsi="Symbol"/>
        </w:rPr>
        <w:t></w:t>
      </w:r>
      <w:r w:rsidRPr="00AC3FDE">
        <w:rPr>
          <w:lang w:val="es-ES"/>
        </w:rPr>
        <w:t xml:space="preserve">  76,9  </w:t>
      </w:r>
      <w:r>
        <w:rPr>
          <w:rFonts w:ascii="Symbol" w:hAnsi="Symbol"/>
        </w:rPr>
        <w:t></w:t>
      </w:r>
      <w:r w:rsidRPr="00AC3FDE">
        <w:rPr>
          <w:lang w:val="es-ES"/>
        </w:rPr>
        <w:t xml:space="preserve">  </w:t>
      </w:r>
      <w:r w:rsidRPr="00AC3FDE">
        <w:rPr>
          <w:i/>
          <w:lang w:val="es-ES"/>
        </w:rPr>
        <w:t>P</w:t>
      </w:r>
      <w:r w:rsidRPr="00AC3FDE">
        <w:rPr>
          <w:lang w:val="es-ES"/>
        </w:rPr>
        <w:t xml:space="preserve">  –  20 log </w:t>
      </w:r>
      <w:r w:rsidRPr="00AC3FDE">
        <w:rPr>
          <w:i/>
          <w:lang w:val="es-ES"/>
        </w:rPr>
        <w:t>d</w:t>
      </w:r>
      <w:r w:rsidRPr="00AC3FDE">
        <w:rPr>
          <w:lang w:val="es-ES"/>
        </w:rPr>
        <w:t xml:space="preserve">  </w:t>
      </w:r>
      <w:r>
        <w:rPr>
          <w:rFonts w:ascii="Symbol" w:hAnsi="Symbol"/>
        </w:rPr>
        <w:t></w:t>
      </w:r>
      <w:r w:rsidRPr="00AC3FDE">
        <w:rPr>
          <w:lang w:val="es-ES"/>
        </w:rPr>
        <w:t xml:space="preserve">  </w:t>
      </w:r>
      <w:r w:rsidRPr="00AC3FDE">
        <w:rPr>
          <w:i/>
          <w:lang w:val="es-ES"/>
        </w:rPr>
        <w:t>V</w:t>
      </w:r>
      <w:r w:rsidRPr="00AC3FDE">
        <w:rPr>
          <w:lang w:val="es-ES"/>
        </w:rPr>
        <w:tab/>
        <w:t>(21)</w:t>
      </w:r>
      <w:bookmarkEnd w:id="24"/>
    </w:p>
    <w:p w14:paraId="785EB558" w14:textId="77777777" w:rsidR="008760D9" w:rsidRDefault="008760D9">
      <w:pPr>
        <w:pStyle w:val="Note"/>
        <w:rPr>
          <w:lang w:val="es-ES_tradnl"/>
        </w:rPr>
      </w:pPr>
      <w:r>
        <w:rPr>
          <w:lang w:val="es-ES_tradnl"/>
        </w:rPr>
        <w:t>NOTA 1 – Para simplificar, se supone que no hay corrección del diagrama de antena horizontal.</w:t>
      </w:r>
    </w:p>
    <w:p w14:paraId="645FDA51" w14:textId="77777777" w:rsidR="008760D9" w:rsidRDefault="008760D9">
      <w:pPr>
        <w:rPr>
          <w:lang w:val="es-ES_tradnl"/>
        </w:rPr>
      </w:pPr>
      <w:r>
        <w:rPr>
          <w:lang w:val="es-ES_tradnl"/>
        </w:rPr>
        <w:br w:type="page"/>
      </w:r>
      <w:r>
        <w:rPr>
          <w:lang w:val="es-ES_tradnl"/>
        </w:rPr>
        <w:lastRenderedPageBreak/>
        <w:t>La corrección del diagrama de radiación vertical se representa en forma de –20 log (</w:t>
      </w:r>
      <w:r>
        <w:rPr>
          <w:rFonts w:ascii="Symbol" w:hAnsi="Symbol"/>
          <w:lang w:val="es-ES_tradnl"/>
        </w:rPr>
        <w:t></w:t>
      </w:r>
      <w:r>
        <w:rPr>
          <w:lang w:val="es-ES_tradnl"/>
        </w:rPr>
        <w:t> </w:t>
      </w:r>
      <w:r>
        <w:rPr>
          <w:i/>
          <w:lang w:val="es-ES_tradnl"/>
        </w:rPr>
        <w:t>A</w:t>
      </w:r>
      <w:r>
        <w:rPr>
          <w:lang w:val="es-ES_tradnl"/>
        </w:rPr>
        <w:t> sen </w:t>
      </w:r>
      <w:r>
        <w:rPr>
          <w:rFonts w:ascii="Symbol" w:hAnsi="Symbol"/>
          <w:lang w:val="es-ES_tradnl"/>
        </w:rPr>
        <w:t></w:t>
      </w:r>
      <w:r>
        <w:rPr>
          <w:lang w:val="es-ES_tradnl"/>
        </w:rPr>
        <w:t xml:space="preserve">), donde </w:t>
      </w:r>
      <w:r>
        <w:rPr>
          <w:i/>
          <w:lang w:val="es-ES_tradnl"/>
        </w:rPr>
        <w:t>A</w:t>
      </w:r>
      <w:r>
        <w:rPr>
          <w:lang w:val="es-ES_tradnl"/>
        </w:rPr>
        <w:t xml:space="preserve"> es la apertura vertical de las antenas en longitudes de onda, con un valor máximo de la corrección para valores elevados de </w:t>
      </w:r>
      <w:r>
        <w:rPr>
          <w:rFonts w:ascii="Symbol" w:hAnsi="Symbol"/>
          <w:lang w:val="es-ES_tradnl"/>
        </w:rPr>
        <w:t></w:t>
      </w:r>
      <w:r>
        <w:rPr>
          <w:lang w:val="es-ES_tradnl"/>
        </w:rPr>
        <w:t>.</w:t>
      </w:r>
    </w:p>
    <w:p w14:paraId="4C473E40" w14:textId="77777777" w:rsidR="008760D9" w:rsidRDefault="00DF52C7">
      <w:pPr>
        <w:pStyle w:val="Fig"/>
        <w:rPr>
          <w:lang w:val="es-ES_tradnl"/>
        </w:rPr>
      </w:pPr>
      <w:r>
        <w:rPr>
          <w:noProof/>
          <w:lang w:eastAsia="zh-CN"/>
        </w:rPr>
        <w:drawing>
          <wp:inline distT="0" distB="0" distL="0" distR="0" wp14:anchorId="7B2FF287" wp14:editId="79781BE0">
            <wp:extent cx="4023360" cy="24079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23360" cy="2407920"/>
                    </a:xfrm>
                    <a:prstGeom prst="rect">
                      <a:avLst/>
                    </a:prstGeom>
                    <a:noFill/>
                    <a:ln>
                      <a:noFill/>
                    </a:ln>
                  </pic:spPr>
                </pic:pic>
              </a:graphicData>
            </a:graphic>
          </wp:inline>
        </w:drawing>
      </w:r>
    </w:p>
    <w:p w14:paraId="642BFB82" w14:textId="77777777" w:rsidR="008760D9" w:rsidRDefault="008760D9">
      <w:pPr>
        <w:rPr>
          <w:lang w:val="es-ES_tradnl"/>
        </w:rPr>
      </w:pPr>
      <w:r>
        <w:rPr>
          <w:b/>
          <w:lang w:val="es-ES_tradnl"/>
        </w:rPr>
        <w:t>1.1</w:t>
      </w:r>
      <w:r>
        <w:rPr>
          <w:lang w:val="es-ES_tradnl"/>
        </w:rPr>
        <w:tab/>
        <w:t>Para valores reducidos de </w:t>
      </w:r>
      <w:r>
        <w:rPr>
          <w:rFonts w:ascii="Symbol" w:hAnsi="Symbol"/>
          <w:lang w:val="es-ES_tradnl"/>
        </w:rPr>
        <w:t></w:t>
      </w:r>
      <w:r>
        <w:rPr>
          <w:lang w:val="es-ES_tradnl"/>
        </w:rPr>
        <w:t xml:space="preserve">, (estando </w:t>
      </w:r>
      <w:r>
        <w:rPr>
          <w:i/>
          <w:lang w:val="es-ES_tradnl"/>
        </w:rPr>
        <w:t>V</w:t>
      </w:r>
      <w:r>
        <w:rPr>
          <w:lang w:val="es-ES_tradnl"/>
        </w:rPr>
        <w:t xml:space="preserve"> entre 0 y su valor máximo),</w:t>
      </w:r>
    </w:p>
    <w:p w14:paraId="065C9767" w14:textId="77777777" w:rsidR="008760D9" w:rsidRDefault="008760D9">
      <w:pPr>
        <w:pStyle w:val="Equation"/>
        <w:rPr>
          <w:lang w:val="es-ES_tradnl"/>
        </w:rPr>
      </w:pPr>
      <w:bookmarkStart w:id="25" w:name="F024"/>
      <w:r w:rsidRPr="00AC3FDE">
        <w:rPr>
          <w:lang w:val="es-ES"/>
        </w:rPr>
        <w:tab/>
      </w:r>
      <w:r w:rsidRPr="00AC3FDE">
        <w:rPr>
          <w:lang w:val="es-ES"/>
        </w:rPr>
        <w:tab/>
      </w:r>
      <w:r w:rsidRPr="00AC3FDE">
        <w:rPr>
          <w:i/>
          <w:lang w:val="es-ES"/>
        </w:rPr>
        <w:t>E</w:t>
      </w:r>
      <w:r w:rsidRPr="00AC3FDE">
        <w:rPr>
          <w:lang w:val="es-ES"/>
        </w:rPr>
        <w:t xml:space="preserve">  </w:t>
      </w:r>
      <w:r>
        <w:rPr>
          <w:rFonts w:ascii="Symbol" w:hAnsi="Symbol"/>
        </w:rPr>
        <w:t></w:t>
      </w:r>
      <w:r w:rsidRPr="00AC3FDE">
        <w:rPr>
          <w:lang w:val="es-ES"/>
        </w:rPr>
        <w:t xml:space="preserve">  76,9  </w:t>
      </w:r>
      <w:r>
        <w:rPr>
          <w:rFonts w:ascii="Symbol" w:hAnsi="Symbol"/>
        </w:rPr>
        <w:t></w:t>
      </w:r>
      <w:r w:rsidRPr="00AC3FDE">
        <w:rPr>
          <w:lang w:val="es-ES"/>
        </w:rPr>
        <w:t xml:space="preserve">  </w:t>
      </w:r>
      <w:r w:rsidRPr="00AC3FDE">
        <w:rPr>
          <w:i/>
          <w:lang w:val="es-ES"/>
        </w:rPr>
        <w:t>P</w:t>
      </w:r>
      <w:r w:rsidRPr="00AC3FDE">
        <w:rPr>
          <w:lang w:val="es-ES"/>
        </w:rPr>
        <w:t xml:space="preserve">  –  20 log </w:t>
      </w:r>
      <w:r w:rsidRPr="00AC3FDE">
        <w:rPr>
          <w:i/>
          <w:lang w:val="es-ES"/>
        </w:rPr>
        <w:t>d</w:t>
      </w:r>
      <w:r w:rsidRPr="00AC3FDE">
        <w:rPr>
          <w:lang w:val="es-ES"/>
        </w:rPr>
        <w:t xml:space="preserve">  –  20 log (</w:t>
      </w:r>
      <w:r>
        <w:rPr>
          <w:rFonts w:ascii="Symbol" w:hAnsi="Symbol"/>
        </w:rPr>
        <w:t></w:t>
      </w:r>
      <w:r w:rsidRPr="00AC3FDE">
        <w:rPr>
          <w:lang w:val="es-ES"/>
        </w:rPr>
        <w:t xml:space="preserve"> </w:t>
      </w:r>
      <w:r w:rsidRPr="00AC3FDE">
        <w:rPr>
          <w:i/>
          <w:lang w:val="es-ES"/>
        </w:rPr>
        <w:t>A</w:t>
      </w:r>
      <w:r w:rsidRPr="00AC3FDE">
        <w:rPr>
          <w:lang w:val="es-ES"/>
        </w:rPr>
        <w:t xml:space="preserve"> sen </w:t>
      </w:r>
      <w:r>
        <w:rPr>
          <w:rFonts w:ascii="Symbol" w:hAnsi="Symbol"/>
        </w:rPr>
        <w:t></w:t>
      </w:r>
      <w:r w:rsidRPr="00AC3FDE">
        <w:rPr>
          <w:lang w:val="es-ES"/>
        </w:rPr>
        <w:t>)</w:t>
      </w:r>
      <w:r w:rsidRPr="00AC3FDE">
        <w:rPr>
          <w:lang w:val="es-ES"/>
        </w:rPr>
        <w:tab/>
        <w:t>(22)</w:t>
      </w:r>
      <w:bookmarkEnd w:id="25"/>
    </w:p>
    <w:p w14:paraId="2928F07C" w14:textId="77777777" w:rsidR="008760D9" w:rsidRPr="00AC3FDE" w:rsidRDefault="008760D9">
      <w:pPr>
        <w:pStyle w:val="enumlev1"/>
        <w:rPr>
          <w:lang w:val="es-ES"/>
        </w:rPr>
      </w:pPr>
      <w:r>
        <w:rPr>
          <w:lang w:val="es-ES_tradnl"/>
        </w:rPr>
        <w:tab/>
        <w:t xml:space="preserve">pero </w:t>
      </w:r>
      <w:r>
        <w:rPr>
          <w:i/>
          <w:lang w:val="es-ES_tradnl"/>
        </w:rPr>
        <w:t>d</w:t>
      </w:r>
      <w:r>
        <w:rPr>
          <w:lang w:val="es-ES_tradnl"/>
        </w:rPr>
        <w:t>  </w:t>
      </w:r>
      <w:r>
        <w:rPr>
          <w:rFonts w:ascii="Symbol" w:hAnsi="Symbol"/>
          <w:lang w:val="es-ES_tradnl"/>
        </w:rPr>
        <w:t></w:t>
      </w:r>
      <w:r>
        <w:rPr>
          <w:lang w:val="es-ES_tradnl"/>
        </w:rPr>
        <w:t>  </w:t>
      </w:r>
      <w:r>
        <w:rPr>
          <w:i/>
          <w:lang w:val="es-ES_tradnl"/>
        </w:rPr>
        <w:t>h</w:t>
      </w:r>
      <w:r>
        <w:rPr>
          <w:rFonts w:ascii="Tms Rmn" w:hAnsi="Tms Rmn"/>
          <w:i/>
          <w:sz w:val="12"/>
          <w:lang w:val="es-ES_tradnl"/>
        </w:rPr>
        <w:t> </w:t>
      </w:r>
      <w:r>
        <w:rPr>
          <w:lang w:val="es-ES_tradnl"/>
        </w:rPr>
        <w:t>/</w:t>
      </w:r>
      <w:r>
        <w:rPr>
          <w:rFonts w:ascii="Tms Rmn" w:hAnsi="Tms Rmn"/>
          <w:sz w:val="12"/>
          <w:lang w:val="es-ES_tradnl"/>
        </w:rPr>
        <w:t> </w:t>
      </w:r>
      <w:r>
        <w:rPr>
          <w:lang w:val="es-ES_tradnl"/>
        </w:rPr>
        <w:t>sen </w:t>
      </w:r>
      <w:r>
        <w:rPr>
          <w:rFonts w:ascii="Symbol" w:hAnsi="Symbol"/>
          <w:lang w:val="es-ES_tradnl"/>
        </w:rPr>
        <w:t></w:t>
      </w:r>
    </w:p>
    <w:p w14:paraId="229E8304" w14:textId="77777777" w:rsidR="008760D9" w:rsidRDefault="008760D9">
      <w:pPr>
        <w:rPr>
          <w:lang w:val="es-ES_tradnl"/>
        </w:rPr>
      </w:pPr>
      <w:r>
        <w:rPr>
          <w:lang w:val="es-ES_tradnl"/>
        </w:rPr>
        <w:t>por lo que:</w:t>
      </w:r>
    </w:p>
    <w:p w14:paraId="3614EC3F" w14:textId="77777777" w:rsidR="008760D9" w:rsidRDefault="008760D9">
      <w:pPr>
        <w:pStyle w:val="Equation"/>
        <w:rPr>
          <w:lang w:val="es-ES_tradnl"/>
        </w:rPr>
      </w:pPr>
      <w:bookmarkStart w:id="26" w:name="F025"/>
      <w:r w:rsidRPr="00AC3FDE">
        <w:rPr>
          <w:lang w:val="es-ES"/>
        </w:rPr>
        <w:tab/>
      </w:r>
      <w:r w:rsidRPr="00AC3FDE">
        <w:rPr>
          <w:lang w:val="es-ES"/>
        </w:rPr>
        <w:tab/>
      </w:r>
      <w:r>
        <w:fldChar w:fldCharType="begin"/>
      </w:r>
      <w:r w:rsidRPr="00AC3FDE">
        <w:rPr>
          <w:lang w:val="es-ES"/>
        </w:rPr>
        <w:instrText xml:space="preserve">eq </w:instrText>
      </w:r>
      <w:r w:rsidRPr="00AC3FDE">
        <w:rPr>
          <w:i/>
          <w:lang w:val="es-ES"/>
        </w:rPr>
        <w:instrText>E</w:instrText>
      </w:r>
      <w:r w:rsidRPr="00AC3FDE">
        <w:rPr>
          <w:lang w:val="es-ES"/>
        </w:rPr>
        <w:instrText xml:space="preserve">  </w:instrText>
      </w:r>
      <w:r w:rsidRPr="00AC3FDE">
        <w:rPr>
          <w:rFonts w:ascii="Symbol" w:hAnsi="Symbol"/>
          <w:lang w:val="es-ES"/>
        </w:rPr>
        <w:instrText>=</w:instrText>
      </w:r>
      <w:r w:rsidRPr="00AC3FDE">
        <w:rPr>
          <w:lang w:val="es-ES"/>
        </w:rPr>
        <w:instrText xml:space="preserve">  76,9  </w:instrText>
      </w:r>
      <w:r w:rsidRPr="00AC3FDE">
        <w:rPr>
          <w:rFonts w:ascii="Symbol" w:hAnsi="Symbol"/>
          <w:lang w:val="es-ES"/>
        </w:rPr>
        <w:instrText>+</w:instrText>
      </w:r>
      <w:r w:rsidRPr="00AC3FDE">
        <w:rPr>
          <w:lang w:val="es-ES"/>
        </w:rPr>
        <w:instrText xml:space="preserve">  </w:instrText>
      </w:r>
      <w:r w:rsidRPr="00AC3FDE">
        <w:rPr>
          <w:i/>
          <w:lang w:val="es-ES"/>
        </w:rPr>
        <w:instrText>P</w:instrText>
      </w:r>
      <w:r w:rsidRPr="00AC3FDE">
        <w:rPr>
          <w:lang w:val="es-ES"/>
        </w:rPr>
        <w:instrText xml:space="preserve">  –  20 log \b\bc\((\f(\s\di2(</w:instrText>
      </w:r>
      <w:r w:rsidRPr="00AC3FDE">
        <w:rPr>
          <w:i/>
          <w:lang w:val="es-ES"/>
        </w:rPr>
        <w:instrText>h</w:instrText>
      </w:r>
      <w:r w:rsidRPr="00AC3FDE">
        <w:rPr>
          <w:lang w:val="es-ES"/>
        </w:rPr>
        <w:instrText xml:space="preserve"> </w:instrText>
      </w:r>
      <w:r w:rsidRPr="00AC3FDE">
        <w:rPr>
          <w:rFonts w:ascii="Symbol" w:hAnsi="Symbol"/>
          <w:lang w:val="es-ES"/>
        </w:rPr>
        <w:instrText>p</w:instrText>
      </w:r>
      <w:r w:rsidRPr="00AC3FDE">
        <w:rPr>
          <w:lang w:val="es-ES"/>
        </w:rPr>
        <w:instrText xml:space="preserve"> </w:instrText>
      </w:r>
      <w:r w:rsidRPr="00AC3FDE">
        <w:rPr>
          <w:i/>
          <w:lang w:val="es-ES"/>
        </w:rPr>
        <w:instrText>A</w:instrText>
      </w:r>
      <w:r w:rsidRPr="00AC3FDE">
        <w:rPr>
          <w:lang w:val="es-ES"/>
        </w:rPr>
        <w:instrText xml:space="preserve"> sen </w:instrText>
      </w:r>
      <w:r w:rsidRPr="00AC3FDE">
        <w:rPr>
          <w:rFonts w:ascii="Symbol" w:hAnsi="Symbol"/>
          <w:lang w:val="es-ES"/>
        </w:rPr>
        <w:instrText>q</w:instrText>
      </w:r>
      <w:r w:rsidRPr="00AC3FDE">
        <w:rPr>
          <w:lang w:val="es-ES"/>
        </w:rPr>
        <w:instrText xml:space="preserve">);sen </w:instrText>
      </w:r>
      <w:r w:rsidRPr="00AC3FDE">
        <w:rPr>
          <w:rFonts w:ascii="Symbol" w:hAnsi="Symbol"/>
          <w:lang w:val="es-ES"/>
        </w:rPr>
        <w:instrText>q</w:instrText>
      </w:r>
      <w:r w:rsidRPr="00AC3FDE">
        <w:rPr>
          <w:lang w:val="es-ES"/>
        </w:rPr>
        <w:instrText>))</w:instrText>
      </w:r>
      <w:r>
        <w:fldChar w:fldCharType="end"/>
      </w:r>
      <w:r w:rsidRPr="00AC3FDE">
        <w:rPr>
          <w:lang w:val="es-ES"/>
        </w:rPr>
        <w:t xml:space="preserve">  </w:t>
      </w:r>
      <w:r>
        <w:rPr>
          <w:rFonts w:ascii="Symbol" w:hAnsi="Symbol"/>
        </w:rPr>
        <w:t></w:t>
      </w:r>
      <w:r w:rsidRPr="00AC3FDE">
        <w:rPr>
          <w:lang w:val="es-ES"/>
        </w:rPr>
        <w:t xml:space="preserve">  76,9  </w:t>
      </w:r>
      <w:r>
        <w:rPr>
          <w:rFonts w:ascii="Symbol" w:hAnsi="Symbol"/>
        </w:rPr>
        <w:t></w:t>
      </w:r>
      <w:r w:rsidRPr="00AC3FDE">
        <w:rPr>
          <w:lang w:val="es-ES"/>
        </w:rPr>
        <w:t xml:space="preserve">  </w:t>
      </w:r>
      <w:r w:rsidRPr="00AC3FDE">
        <w:rPr>
          <w:i/>
          <w:lang w:val="es-ES"/>
        </w:rPr>
        <w:t>P</w:t>
      </w:r>
      <w:r w:rsidRPr="00AC3FDE">
        <w:rPr>
          <w:lang w:val="es-ES"/>
        </w:rPr>
        <w:t xml:space="preserve">  –  20 log (</w:t>
      </w:r>
      <w:r w:rsidRPr="00AC3FDE">
        <w:rPr>
          <w:i/>
          <w:lang w:val="es-ES"/>
        </w:rPr>
        <w:t>h</w:t>
      </w:r>
      <w:r w:rsidRPr="00AC3FDE">
        <w:rPr>
          <w:lang w:val="es-ES"/>
        </w:rPr>
        <w:t xml:space="preserve"> </w:t>
      </w:r>
      <w:r>
        <w:rPr>
          <w:rFonts w:ascii="Symbol" w:hAnsi="Symbol"/>
        </w:rPr>
        <w:t></w:t>
      </w:r>
      <w:r w:rsidRPr="00AC3FDE">
        <w:rPr>
          <w:lang w:val="es-ES"/>
        </w:rPr>
        <w:t xml:space="preserve"> </w:t>
      </w:r>
      <w:r w:rsidRPr="00AC3FDE">
        <w:rPr>
          <w:i/>
          <w:lang w:val="es-ES"/>
        </w:rPr>
        <w:t>A</w:t>
      </w:r>
      <w:r>
        <w:rPr>
          <w:rFonts w:ascii="Symbol" w:hAnsi="Symbol"/>
        </w:rPr>
        <w:t></w:t>
      </w:r>
      <w:r w:rsidRPr="00AC3FDE">
        <w:rPr>
          <w:lang w:val="es-ES"/>
        </w:rPr>
        <w:tab/>
        <w:t>(23)</w:t>
      </w:r>
      <w:bookmarkEnd w:id="26"/>
    </w:p>
    <w:p w14:paraId="5BB804C7" w14:textId="77777777" w:rsidR="008760D9" w:rsidRDefault="008760D9">
      <w:pPr>
        <w:rPr>
          <w:lang w:val="es-ES_tradnl"/>
        </w:rPr>
      </w:pPr>
      <w:r>
        <w:rPr>
          <w:lang w:val="es-ES_tradnl"/>
        </w:rPr>
        <w:t>Así pues, el valor de la intensidad de campo es constante.</w:t>
      </w:r>
    </w:p>
    <w:p w14:paraId="3D9C229B" w14:textId="77777777" w:rsidR="008760D9" w:rsidRDefault="008760D9">
      <w:pPr>
        <w:rPr>
          <w:lang w:val="es-ES_tradnl"/>
        </w:rPr>
      </w:pPr>
      <w:r>
        <w:rPr>
          <w:b/>
          <w:lang w:val="es-ES_tradnl"/>
        </w:rPr>
        <w:t>1.2</w:t>
      </w:r>
      <w:r>
        <w:rPr>
          <w:lang w:val="es-ES_tradnl"/>
        </w:rPr>
        <w:tab/>
        <w:t xml:space="preserve">Para valores grandes de </w:t>
      </w:r>
      <w:r>
        <w:rPr>
          <w:rFonts w:ascii="Symbol" w:hAnsi="Symbol"/>
          <w:lang w:val="es-ES_tradnl"/>
        </w:rPr>
        <w:t></w:t>
      </w:r>
      <w:r>
        <w:rPr>
          <w:lang w:val="es-ES_tradnl"/>
        </w:rPr>
        <w:t>, (habiendo </w:t>
      </w:r>
      <w:r>
        <w:rPr>
          <w:i/>
          <w:lang w:val="es-ES_tradnl"/>
        </w:rPr>
        <w:t>V</w:t>
      </w:r>
      <w:r>
        <w:rPr>
          <w:lang w:val="es-ES_tradnl"/>
        </w:rPr>
        <w:t xml:space="preserve"> alcanzado su valor máximo), esto es, cerca de la estación de radiodifusión (la zona sombreada de la Fig. 6), la corrección del diagrama de radiación vertical permanece constante en su valor máximo. Con ello:</w:t>
      </w:r>
    </w:p>
    <w:p w14:paraId="29E865C2" w14:textId="77777777" w:rsidR="008760D9" w:rsidRDefault="008760D9">
      <w:pPr>
        <w:pStyle w:val="Equation"/>
        <w:rPr>
          <w:lang w:val="es-ES_tradnl"/>
        </w:rPr>
      </w:pPr>
      <w:bookmarkStart w:id="27" w:name="F026"/>
      <w:r w:rsidRPr="00AC3FDE">
        <w:rPr>
          <w:lang w:val="es-ES"/>
        </w:rPr>
        <w:tab/>
      </w:r>
      <w:r w:rsidRPr="00AC3FDE">
        <w:rPr>
          <w:lang w:val="es-ES"/>
        </w:rPr>
        <w:tab/>
      </w:r>
      <w:r w:rsidRPr="00AC3FDE">
        <w:rPr>
          <w:i/>
          <w:lang w:val="es-ES"/>
        </w:rPr>
        <w:t>E</w:t>
      </w:r>
      <w:r w:rsidRPr="00AC3FDE">
        <w:rPr>
          <w:lang w:val="es-ES"/>
        </w:rPr>
        <w:t xml:space="preserve">  </w:t>
      </w:r>
      <w:r>
        <w:rPr>
          <w:rFonts w:ascii="Symbol" w:hAnsi="Symbol"/>
        </w:rPr>
        <w:t></w:t>
      </w:r>
      <w:r w:rsidRPr="00AC3FDE">
        <w:rPr>
          <w:lang w:val="es-ES"/>
        </w:rPr>
        <w:t xml:space="preserve">  76,9  </w:t>
      </w:r>
      <w:r>
        <w:rPr>
          <w:rFonts w:ascii="Symbol" w:hAnsi="Symbol"/>
        </w:rPr>
        <w:t></w:t>
      </w:r>
      <w:r w:rsidRPr="00AC3FDE">
        <w:rPr>
          <w:lang w:val="es-ES"/>
        </w:rPr>
        <w:t xml:space="preserve">  </w:t>
      </w:r>
      <w:r w:rsidRPr="00AC3FDE">
        <w:rPr>
          <w:i/>
          <w:lang w:val="es-ES"/>
        </w:rPr>
        <w:t>P</w:t>
      </w:r>
      <w:r w:rsidRPr="00AC3FDE">
        <w:rPr>
          <w:lang w:val="es-ES"/>
        </w:rPr>
        <w:t xml:space="preserve">  –  20 log </w:t>
      </w:r>
      <w:r w:rsidRPr="00AC3FDE">
        <w:rPr>
          <w:i/>
          <w:lang w:val="es-ES"/>
        </w:rPr>
        <w:t>d</w:t>
      </w:r>
      <w:r w:rsidRPr="00AC3FDE">
        <w:rPr>
          <w:lang w:val="es-ES"/>
        </w:rPr>
        <w:t xml:space="preserve">  </w:t>
      </w:r>
      <w:r>
        <w:rPr>
          <w:rFonts w:ascii="Symbol" w:hAnsi="Symbol"/>
        </w:rPr>
        <w:t></w:t>
      </w:r>
      <w:r w:rsidRPr="00AC3FDE">
        <w:rPr>
          <w:lang w:val="es-ES"/>
        </w:rPr>
        <w:t xml:space="preserve">  constante</w:t>
      </w:r>
      <w:r w:rsidRPr="00AC3FDE">
        <w:rPr>
          <w:lang w:val="es-ES"/>
        </w:rPr>
        <w:tab/>
        <w:t>(24)</w:t>
      </w:r>
      <w:bookmarkEnd w:id="27"/>
    </w:p>
    <w:p w14:paraId="539487F6" w14:textId="77777777" w:rsidR="008760D9" w:rsidRDefault="008760D9">
      <w:pPr>
        <w:rPr>
          <w:lang w:val="es-ES_tradnl"/>
        </w:rPr>
      </w:pPr>
      <w:r>
        <w:rPr>
          <w:lang w:val="es-ES_tradnl"/>
        </w:rPr>
        <w:t xml:space="preserve">El valor máximo de la intensidad de campo se logra cuando </w:t>
      </w:r>
      <w:r>
        <w:rPr>
          <w:i/>
          <w:lang w:val="es-ES_tradnl"/>
        </w:rPr>
        <w:t>d</w:t>
      </w:r>
      <w:r>
        <w:rPr>
          <w:lang w:val="es-ES_tradnl"/>
        </w:rPr>
        <w:t xml:space="preserve"> alcanza su valor mínimo (</w:t>
      </w:r>
      <w:r>
        <w:rPr>
          <w:rFonts w:ascii="Symbol" w:hAnsi="Symbol"/>
          <w:lang w:val="es-ES_tradnl"/>
        </w:rPr>
        <w:t></w:t>
      </w:r>
      <w:r>
        <w:rPr>
          <w:lang w:val="es-ES_tradnl"/>
        </w:rPr>
        <w:t> </w:t>
      </w:r>
      <w:r>
        <w:rPr>
          <w:i/>
          <w:lang w:val="es-ES_tradnl"/>
        </w:rPr>
        <w:t>h</w:t>
      </w:r>
      <w:r>
        <w:rPr>
          <w:lang w:val="es-ES_tradnl"/>
        </w:rPr>
        <w:t>), justamente encima de la antena de radiodifusión.</w:t>
      </w:r>
    </w:p>
    <w:p w14:paraId="0430C2F6" w14:textId="77777777" w:rsidR="008760D9" w:rsidRDefault="008760D9">
      <w:pPr>
        <w:pStyle w:val="Heading1"/>
        <w:rPr>
          <w:lang w:val="es-ES_tradnl"/>
        </w:rPr>
      </w:pPr>
      <w:r>
        <w:rPr>
          <w:lang w:val="es-ES_tradnl"/>
        </w:rPr>
        <w:t>2</w:t>
      </w:r>
      <w:r>
        <w:rPr>
          <w:lang w:val="es-ES_tradnl"/>
        </w:rPr>
        <w:tab/>
        <w:t>Interferencia potencial B1 máxima</w:t>
      </w:r>
    </w:p>
    <w:p w14:paraId="5DB3FBA2" w14:textId="77777777" w:rsidR="008760D9" w:rsidRDefault="008760D9">
      <w:pPr>
        <w:rPr>
          <w:lang w:val="es-ES_tradnl"/>
        </w:rPr>
      </w:pPr>
      <w:r>
        <w:rPr>
          <w:lang w:val="es-ES_tradnl"/>
        </w:rPr>
        <w:t>Considérese una aeronave que vuela en un trayecto a altura constante por encima de la línea que une dos antenas de radiodifusión (véase la Fig. 7).</w:t>
      </w:r>
    </w:p>
    <w:p w14:paraId="5CC94C64" w14:textId="77777777" w:rsidR="008760D9" w:rsidRDefault="00DF52C7">
      <w:pPr>
        <w:pStyle w:val="Fig"/>
        <w:rPr>
          <w:lang w:val="es-ES_tradnl"/>
        </w:rPr>
      </w:pPr>
      <w:r>
        <w:rPr>
          <w:noProof/>
          <w:lang w:eastAsia="zh-CN"/>
        </w:rPr>
        <w:drawing>
          <wp:inline distT="0" distB="0" distL="0" distR="0" wp14:anchorId="0FD263E1" wp14:editId="154E59D3">
            <wp:extent cx="3634740" cy="240792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34740" cy="2407920"/>
                    </a:xfrm>
                    <a:prstGeom prst="rect">
                      <a:avLst/>
                    </a:prstGeom>
                    <a:noFill/>
                    <a:ln>
                      <a:noFill/>
                    </a:ln>
                  </pic:spPr>
                </pic:pic>
              </a:graphicData>
            </a:graphic>
          </wp:inline>
        </w:drawing>
      </w:r>
    </w:p>
    <w:p w14:paraId="318490AA" w14:textId="77777777" w:rsidR="008760D9" w:rsidRDefault="008760D9">
      <w:pPr>
        <w:rPr>
          <w:lang w:val="es-ES_tradnl"/>
        </w:rPr>
      </w:pPr>
      <w:r>
        <w:rPr>
          <w:lang w:val="es-ES_tradnl"/>
        </w:rPr>
        <w:br w:type="page"/>
      </w:r>
      <w:r>
        <w:rPr>
          <w:lang w:val="es-ES_tradnl"/>
        </w:rPr>
        <w:lastRenderedPageBreak/>
        <w:t>Fuera de las zonas sombreadas, los valores de la intensidad de campo son constantes (tal como se describe en el § 1.1), su suma es constante y por tanto, el potencial de interferencia B1 es también constante.</w:t>
      </w:r>
    </w:p>
    <w:p w14:paraId="45AE98A8" w14:textId="77777777" w:rsidR="008760D9" w:rsidRDefault="008760D9">
      <w:pPr>
        <w:rPr>
          <w:lang w:val="es-ES_tradnl"/>
        </w:rPr>
      </w:pPr>
      <w:r>
        <w:rPr>
          <w:lang w:val="es-ES_tradnl"/>
        </w:rPr>
        <w:t>Dentro de cada zona sombreada, el valor de la intensidad de campo procedente del transmisor más próximo aumenta hasta un máximo local justamente encima de su antena (como se describe en el § 1.2).</w:t>
      </w:r>
    </w:p>
    <w:p w14:paraId="56234922" w14:textId="77777777" w:rsidR="008760D9" w:rsidRDefault="008760D9">
      <w:pPr>
        <w:rPr>
          <w:lang w:val="es-ES_tradnl"/>
        </w:rPr>
      </w:pPr>
      <w:r>
        <w:rPr>
          <w:lang w:val="es-ES_tradnl"/>
        </w:rPr>
        <w:t>En el método de evaluación general, se examinan ambos máximos locales, lo que permite identificar el caso más desfavorable.</w:t>
      </w:r>
    </w:p>
    <w:p w14:paraId="22B990F8" w14:textId="77777777" w:rsidR="008760D9" w:rsidRDefault="008760D9">
      <w:pPr>
        <w:rPr>
          <w:lang w:val="es-ES_tradnl"/>
        </w:rPr>
      </w:pPr>
      <w:r>
        <w:rPr>
          <w:lang w:val="es-ES_tradnl"/>
        </w:rPr>
        <w:t>Se aplica un razonamiento similar al caso de tres estaciones.</w:t>
      </w:r>
    </w:p>
    <w:p w14:paraId="43FB37FC" w14:textId="77777777" w:rsidR="008760D9" w:rsidRDefault="008760D9">
      <w:pPr>
        <w:rPr>
          <w:lang w:val="es-ES_tradnl"/>
        </w:rPr>
      </w:pPr>
    </w:p>
    <w:p w14:paraId="179F99BD" w14:textId="77777777" w:rsidR="008760D9" w:rsidRDefault="008760D9">
      <w:pPr>
        <w:pStyle w:val="Appendix"/>
        <w:rPr>
          <w:lang w:val="es-ES_tradnl"/>
        </w:rPr>
      </w:pPr>
      <w:r>
        <w:rPr>
          <w:lang w:val="es-ES_tradnl"/>
        </w:rPr>
        <w:t>APÉNDICE  3</w:t>
      </w:r>
    </w:p>
    <w:p w14:paraId="60D99D4F" w14:textId="77777777" w:rsidR="008760D9" w:rsidRDefault="008760D9">
      <w:pPr>
        <w:pStyle w:val="AppendixRef"/>
        <w:rPr>
          <w:lang w:val="es-ES_tradnl"/>
        </w:rPr>
      </w:pPr>
      <w:r>
        <w:rPr>
          <w:lang w:val="es-ES_tradnl"/>
        </w:rPr>
        <w:t>AL  ANEXO  2</w:t>
      </w:r>
    </w:p>
    <w:p w14:paraId="1774BBA4" w14:textId="77777777" w:rsidR="008760D9" w:rsidRDefault="008760D9">
      <w:pPr>
        <w:pStyle w:val="AppendixTitle"/>
        <w:rPr>
          <w:lang w:val="es-ES_tradnl"/>
        </w:rPr>
      </w:pPr>
      <w:r>
        <w:rPr>
          <w:lang w:val="es-ES_tradnl"/>
        </w:rPr>
        <w:t>Predicción de la intensidad de campo ILS utilizando la geometría de dos rayos</w:t>
      </w:r>
    </w:p>
    <w:p w14:paraId="744F312E" w14:textId="77777777" w:rsidR="008760D9" w:rsidRDefault="008760D9">
      <w:pPr>
        <w:pStyle w:val="Normalaftertitle"/>
        <w:rPr>
          <w:lang w:val="es-ES_tradnl"/>
        </w:rPr>
      </w:pPr>
      <w:r>
        <w:rPr>
          <w:lang w:val="es-ES_tradnl"/>
        </w:rPr>
        <w:t>Este modelo utiliza la geometría de dos rayos en una tierra esférica lisa. En este método existe el requisito de que el suelo en las proximidades del punto de reflexión constituya una aproximación razonable a una tierra lisa.</w:t>
      </w:r>
    </w:p>
    <w:p w14:paraId="1D1EB12B" w14:textId="77777777" w:rsidR="008760D9" w:rsidRDefault="008760D9">
      <w:pPr>
        <w:rPr>
          <w:lang w:val="es-ES_tradnl"/>
        </w:rPr>
      </w:pPr>
      <w:r>
        <w:rPr>
          <w:lang w:val="es-ES_tradnl"/>
        </w:rPr>
        <w:t>Para una señal de localizador ILS, la zona en la que se produce la reflexión estará sobre el propio aeropuerto (o muy próximo a él) y en esta zona el suelo es bastante plano y por tanto constituye una aproximación bastante buena de las condiciones requeridas.</w:t>
      </w:r>
    </w:p>
    <w:p w14:paraId="3D7F710C" w14:textId="77777777" w:rsidR="008760D9" w:rsidRDefault="008760D9">
      <w:pPr>
        <w:rPr>
          <w:lang w:val="es-ES_tradnl"/>
        </w:rPr>
      </w:pPr>
      <w:r>
        <w:rPr>
          <w:lang w:val="es-ES_tradnl"/>
        </w:rPr>
        <w:t>Los elementos necesarios para efectuar el cálculo son:</w:t>
      </w:r>
    </w:p>
    <w:p w14:paraId="5D20BC90" w14:textId="77777777" w:rsidR="008760D9" w:rsidRDefault="008760D9">
      <w:pPr>
        <w:pStyle w:val="enumlev1"/>
        <w:rPr>
          <w:lang w:val="es-ES_tradnl"/>
        </w:rPr>
      </w:pPr>
      <w:r>
        <w:rPr>
          <w:lang w:val="es-ES_tradnl"/>
        </w:rPr>
        <w:t>–</w:t>
      </w:r>
      <w:r>
        <w:rPr>
          <w:lang w:val="es-ES_tradnl"/>
        </w:rPr>
        <w:tab/>
        <w:t xml:space="preserve">la </w:t>
      </w:r>
      <w:proofErr w:type="spellStart"/>
      <w:r>
        <w:rPr>
          <w:lang w:val="es-ES_tradnl"/>
        </w:rPr>
        <w:t>p.r.a</w:t>
      </w:r>
      <w:proofErr w:type="spellEnd"/>
      <w:r>
        <w:rPr>
          <w:lang w:val="es-ES_tradnl"/>
        </w:rPr>
        <w:t>. máxima de la instalación del localizador ILS</w:t>
      </w:r>
    </w:p>
    <w:p w14:paraId="4BEECD08" w14:textId="77777777" w:rsidR="008760D9" w:rsidRDefault="008760D9">
      <w:pPr>
        <w:pStyle w:val="enumlev1"/>
        <w:rPr>
          <w:lang w:val="es-ES_tradnl"/>
        </w:rPr>
      </w:pPr>
      <w:r>
        <w:rPr>
          <w:lang w:val="es-ES_tradnl"/>
        </w:rPr>
        <w:t>–</w:t>
      </w:r>
      <w:r>
        <w:rPr>
          <w:lang w:val="es-ES_tradnl"/>
        </w:rPr>
        <w:tab/>
        <w:t>la distancia en el trayecto oblicuo entre la antena del localizador ILS y el punto de prueba</w:t>
      </w:r>
    </w:p>
    <w:p w14:paraId="233C9B40" w14:textId="77777777" w:rsidR="008760D9" w:rsidRDefault="008760D9">
      <w:pPr>
        <w:pStyle w:val="enumlev1"/>
        <w:rPr>
          <w:lang w:val="es-ES_tradnl"/>
        </w:rPr>
      </w:pPr>
      <w:r>
        <w:rPr>
          <w:lang w:val="es-ES_tradnl"/>
        </w:rPr>
        <w:t>–</w:t>
      </w:r>
      <w:r>
        <w:rPr>
          <w:lang w:val="es-ES_tradnl"/>
        </w:rPr>
        <w:tab/>
        <w:t>el diagrama de radiación horizontal de la antena del localizador ILS</w:t>
      </w:r>
    </w:p>
    <w:p w14:paraId="671CBCF1" w14:textId="77777777" w:rsidR="008760D9" w:rsidRDefault="008760D9">
      <w:pPr>
        <w:pStyle w:val="enumlev1"/>
        <w:rPr>
          <w:lang w:val="es-ES_tradnl"/>
        </w:rPr>
      </w:pPr>
      <w:r>
        <w:rPr>
          <w:lang w:val="es-ES_tradnl"/>
        </w:rPr>
        <w:t>–</w:t>
      </w:r>
      <w:r>
        <w:rPr>
          <w:lang w:val="es-ES_tradnl"/>
        </w:rPr>
        <w:tab/>
        <w:t>la marcación del punto de prueba</w:t>
      </w:r>
    </w:p>
    <w:p w14:paraId="54894975" w14:textId="77777777" w:rsidR="008760D9" w:rsidRDefault="008760D9">
      <w:pPr>
        <w:pStyle w:val="enumlev1"/>
        <w:rPr>
          <w:lang w:val="es-ES_tradnl"/>
        </w:rPr>
      </w:pPr>
      <w:r>
        <w:rPr>
          <w:lang w:val="es-ES_tradnl"/>
        </w:rPr>
        <w:t>–</w:t>
      </w:r>
      <w:r>
        <w:rPr>
          <w:lang w:val="es-ES_tradnl"/>
        </w:rPr>
        <w:tab/>
        <w:t>la altura de la antena del localizador ILS por encima del nivel del suelo (</w:t>
      </w:r>
      <w:proofErr w:type="spellStart"/>
      <w:r>
        <w:rPr>
          <w:lang w:val="es-ES_tradnl"/>
        </w:rPr>
        <w:t>a.g.l</w:t>
      </w:r>
      <w:proofErr w:type="spellEnd"/>
      <w:r>
        <w:rPr>
          <w:lang w:val="es-ES_tradnl"/>
        </w:rPr>
        <w:t>.)</w:t>
      </w:r>
    </w:p>
    <w:p w14:paraId="31D3FA87" w14:textId="77777777" w:rsidR="008760D9" w:rsidRDefault="008760D9">
      <w:pPr>
        <w:pStyle w:val="enumlev1"/>
        <w:rPr>
          <w:lang w:val="es-ES_tradnl"/>
        </w:rPr>
      </w:pPr>
      <w:r>
        <w:rPr>
          <w:lang w:val="es-ES_tradnl"/>
        </w:rPr>
        <w:t>–</w:t>
      </w:r>
      <w:r>
        <w:rPr>
          <w:lang w:val="es-ES_tradnl"/>
        </w:rPr>
        <w:tab/>
        <w:t>la altura del emplazamiento del localizador ILS por encima del nivel medio del mar (</w:t>
      </w:r>
      <w:proofErr w:type="spellStart"/>
      <w:r>
        <w:rPr>
          <w:lang w:val="es-ES_tradnl"/>
        </w:rPr>
        <w:t>a.m.s.l</w:t>
      </w:r>
      <w:proofErr w:type="spellEnd"/>
      <w:r>
        <w:rPr>
          <w:lang w:val="es-ES_tradnl"/>
        </w:rPr>
        <w:t>.)</w:t>
      </w:r>
    </w:p>
    <w:p w14:paraId="2C3ECB89" w14:textId="77777777" w:rsidR="008760D9" w:rsidRDefault="008760D9">
      <w:pPr>
        <w:pStyle w:val="enumlev1"/>
        <w:rPr>
          <w:lang w:val="es-ES_tradnl"/>
        </w:rPr>
      </w:pPr>
      <w:r>
        <w:rPr>
          <w:lang w:val="es-ES_tradnl"/>
        </w:rPr>
        <w:t>–</w:t>
      </w:r>
      <w:r>
        <w:rPr>
          <w:lang w:val="es-ES_tradnl"/>
        </w:rPr>
        <w:tab/>
        <w:t>la altura del punto de prueba por encima del nivel medio del mar.</w:t>
      </w:r>
    </w:p>
    <w:p w14:paraId="00130CFB" w14:textId="77777777" w:rsidR="008760D9" w:rsidRDefault="008760D9">
      <w:pPr>
        <w:rPr>
          <w:lang w:val="es-ES_tradnl"/>
        </w:rPr>
      </w:pPr>
      <w:r>
        <w:rPr>
          <w:lang w:val="es-ES_tradnl"/>
        </w:rPr>
        <w:t>Como el ángulo máximo de elevación que ha de considerarse en cualquier DOC del ILS es de 7</w:t>
      </w:r>
      <w:r>
        <w:rPr>
          <w:rFonts w:ascii="Symbol" w:hAnsi="Symbol"/>
          <w:lang w:val="es-ES_tradnl"/>
        </w:rPr>
        <w:t></w:t>
      </w:r>
      <w:r>
        <w:rPr>
          <w:lang w:val="es-ES_tradnl"/>
        </w:rPr>
        <w:t xml:space="preserve"> (véase la Fig. 1), no es necesario incluir en el cálculo el diagrama de radiación vertical de la antena del localizador ILS.</w:t>
      </w:r>
    </w:p>
    <w:p w14:paraId="75E5B439" w14:textId="77777777" w:rsidR="008760D9" w:rsidRDefault="008760D9">
      <w:pPr>
        <w:rPr>
          <w:lang w:val="es-ES_tradnl"/>
        </w:rPr>
      </w:pPr>
      <w:r>
        <w:rPr>
          <w:lang w:val="es-ES_tradnl"/>
        </w:rPr>
        <w:t>En el caso de un trayecto inferior a unos cientos de kilómetros, es bastante aproximado suponer que la Tierra puede representarse como una parábola cuyas alturas se miden en el eje y, y las distancias en el eje x (véase la Fig. 8).</w:t>
      </w:r>
    </w:p>
    <w:p w14:paraId="083FF402" w14:textId="77777777" w:rsidR="008760D9" w:rsidRDefault="008760D9">
      <w:pPr>
        <w:rPr>
          <w:lang w:val="es-ES_tradnl"/>
        </w:rPr>
      </w:pPr>
      <w:r>
        <w:rPr>
          <w:lang w:val="es-ES_tradnl"/>
        </w:rPr>
        <w:t xml:space="preserve">En dichas circunstancias, la diferencia de la longitud del trayecto, </w:t>
      </w:r>
      <w:r>
        <w:rPr>
          <w:rFonts w:ascii="Symbol" w:hAnsi="Symbol"/>
          <w:lang w:val="es-ES_tradnl"/>
        </w:rPr>
        <w:t></w:t>
      </w:r>
      <w:r>
        <w:rPr>
          <w:lang w:val="es-ES_tradnl"/>
        </w:rPr>
        <w:t xml:space="preserve"> (m) entre el trayecto directo y el que incluye una reflexión en la superficie de la Tierra, viene dada por:</w:t>
      </w:r>
    </w:p>
    <w:p w14:paraId="1880B73D" w14:textId="77777777" w:rsidR="008760D9" w:rsidRDefault="008760D9">
      <w:pPr>
        <w:pStyle w:val="Equation"/>
        <w:rPr>
          <w:lang w:val="es-ES_tradnl"/>
        </w:rPr>
      </w:pPr>
      <w:bookmarkStart w:id="28" w:name="F027"/>
      <w:r w:rsidRPr="00AC3FDE">
        <w:rPr>
          <w:lang w:val="es-ES"/>
        </w:rPr>
        <w:tab/>
      </w:r>
      <w:r w:rsidRPr="00AC3FDE">
        <w:rPr>
          <w:lang w:val="es-ES"/>
        </w:rPr>
        <w:tab/>
      </w:r>
      <w:r w:rsidR="00D8159A" w:rsidRPr="00D8159A">
        <w:rPr>
          <w:position w:val="-64"/>
          <w:lang w:val="fr-FR"/>
        </w:rPr>
        <w:object w:dxaOrig="3379" w:dyaOrig="1400" w14:anchorId="79D8B822">
          <v:shape id="_x0000_i1034" type="#_x0000_t75" style="width:168.95pt;height:70.35pt" o:ole="">
            <v:imagedata r:id="rId43" o:title=""/>
          </v:shape>
          <o:OLEObject Type="Embed" ProgID="Equation.3" ShapeID="_x0000_i1034" DrawAspect="Content" ObjectID="_1652520889" r:id="rId44"/>
        </w:object>
      </w:r>
      <w:r w:rsidRPr="00AC3FDE">
        <w:rPr>
          <w:lang w:val="es-ES"/>
        </w:rPr>
        <w:t>          </w:t>
      </w:r>
      <w:r w:rsidR="00D8159A" w:rsidRPr="00AC3FDE">
        <w:rPr>
          <w:lang w:val="es-ES"/>
        </w:rPr>
        <w:t>      </w:t>
      </w:r>
      <w:r w:rsidRPr="00AC3FDE">
        <w:rPr>
          <w:lang w:val="es-ES"/>
        </w:rPr>
        <w:t>m</w:t>
      </w:r>
      <w:r w:rsidRPr="00AC3FDE">
        <w:rPr>
          <w:lang w:val="es-ES"/>
        </w:rPr>
        <w:tab/>
        <w:t>(25)</w:t>
      </w:r>
      <w:bookmarkEnd w:id="28"/>
    </w:p>
    <w:p w14:paraId="1D024FB7" w14:textId="77777777" w:rsidR="008760D9" w:rsidRDefault="008760D9">
      <w:pPr>
        <w:rPr>
          <w:lang w:val="es-ES_tradnl"/>
        </w:rPr>
      </w:pPr>
      <w:r>
        <w:rPr>
          <w:lang w:val="es-ES_tradnl"/>
        </w:rPr>
        <w:t>donde:</w:t>
      </w:r>
    </w:p>
    <w:p w14:paraId="7CB8EDED" w14:textId="77777777" w:rsidR="008760D9" w:rsidRDefault="008760D9">
      <w:pPr>
        <w:pStyle w:val="enumlev1"/>
        <w:rPr>
          <w:lang w:val="es-ES_tradnl"/>
        </w:rPr>
      </w:pPr>
      <w:r>
        <w:rPr>
          <w:i/>
          <w:lang w:val="es-ES_tradnl"/>
        </w:rPr>
        <w:tab/>
        <w:t>D</w:t>
      </w:r>
      <w:r>
        <w:rPr>
          <w:rFonts w:ascii="Tms Rmn" w:hAnsi="Tms Rmn"/>
          <w:sz w:val="12"/>
          <w:lang w:val="es-ES_tradnl"/>
        </w:rPr>
        <w:t> </w:t>
      </w:r>
      <w:r>
        <w:rPr>
          <w:lang w:val="es-ES_tradnl"/>
        </w:rPr>
        <w:t>:</w:t>
      </w:r>
      <w:r>
        <w:rPr>
          <w:lang w:val="es-ES_tradnl"/>
        </w:rPr>
        <w:tab/>
        <w:t>distancia horizontal (km) desde el emplazamiento del localizador ILS al punto de prueba</w:t>
      </w:r>
    </w:p>
    <w:p w14:paraId="5D8CA41E" w14:textId="77777777" w:rsidR="008760D9" w:rsidRDefault="008760D9">
      <w:pPr>
        <w:pStyle w:val="enumlev1"/>
        <w:rPr>
          <w:lang w:val="es-ES_tradnl"/>
        </w:rPr>
      </w:pPr>
      <w:r>
        <w:rPr>
          <w:i/>
          <w:lang w:val="es-ES_tradnl"/>
        </w:rPr>
        <w:tab/>
        <w:t>h</w:t>
      </w:r>
      <w:r>
        <w:rPr>
          <w:position w:val="-4"/>
          <w:sz w:val="16"/>
          <w:lang w:val="es-ES_tradnl"/>
        </w:rPr>
        <w:t>1</w:t>
      </w:r>
      <w:r>
        <w:rPr>
          <w:rFonts w:ascii="Tms Rmn" w:hAnsi="Tms Rmn"/>
          <w:position w:val="-6"/>
          <w:sz w:val="12"/>
          <w:lang w:val="es-ES_tradnl"/>
        </w:rPr>
        <w:t> </w:t>
      </w:r>
      <w:r>
        <w:rPr>
          <w:sz w:val="18"/>
          <w:lang w:val="es-ES_tradnl"/>
        </w:rPr>
        <w:t>:</w:t>
      </w:r>
      <w:r>
        <w:rPr>
          <w:lang w:val="es-ES_tradnl"/>
        </w:rPr>
        <w:tab/>
        <w:t>altura de la antena transmisora ILS (m) por encima del plano de reflexión</w:t>
      </w:r>
    </w:p>
    <w:p w14:paraId="7780F906" w14:textId="77777777" w:rsidR="008760D9" w:rsidRDefault="008760D9">
      <w:pPr>
        <w:pStyle w:val="enumlev1"/>
        <w:rPr>
          <w:lang w:val="es-ES_tradnl"/>
        </w:rPr>
      </w:pPr>
      <w:r>
        <w:rPr>
          <w:i/>
          <w:lang w:val="es-ES_tradnl"/>
        </w:rPr>
        <w:tab/>
        <w:t>h</w:t>
      </w:r>
      <w:r>
        <w:rPr>
          <w:position w:val="-4"/>
          <w:sz w:val="16"/>
          <w:lang w:val="es-ES_tradnl"/>
        </w:rPr>
        <w:t>2</w:t>
      </w:r>
      <w:r>
        <w:rPr>
          <w:rFonts w:ascii="Tms Rmn" w:hAnsi="Tms Rmn"/>
          <w:position w:val="-4"/>
          <w:sz w:val="12"/>
          <w:lang w:val="es-ES_tradnl"/>
        </w:rPr>
        <w:t> </w:t>
      </w:r>
      <w:r>
        <w:rPr>
          <w:sz w:val="18"/>
          <w:lang w:val="es-ES_tradnl"/>
        </w:rPr>
        <w:t>:</w:t>
      </w:r>
      <w:r>
        <w:rPr>
          <w:position w:val="-6"/>
          <w:sz w:val="18"/>
          <w:lang w:val="es-ES_tradnl"/>
        </w:rPr>
        <w:tab/>
      </w:r>
      <w:r>
        <w:rPr>
          <w:lang w:val="es-ES_tradnl"/>
        </w:rPr>
        <w:t xml:space="preserve">altura del punto de prueba (m) </w:t>
      </w:r>
      <w:proofErr w:type="spellStart"/>
      <w:r>
        <w:rPr>
          <w:lang w:val="es-ES_tradnl"/>
        </w:rPr>
        <w:t>a.m.s.l</w:t>
      </w:r>
      <w:proofErr w:type="spellEnd"/>
      <w:r>
        <w:rPr>
          <w:lang w:val="es-ES_tradnl"/>
        </w:rPr>
        <w:t>.</w:t>
      </w:r>
    </w:p>
    <w:p w14:paraId="29DE4B20" w14:textId="77777777" w:rsidR="008760D9" w:rsidRDefault="008760D9">
      <w:pPr>
        <w:pStyle w:val="enumlev1"/>
        <w:rPr>
          <w:lang w:val="es-ES_tradnl"/>
        </w:rPr>
      </w:pPr>
      <w:r>
        <w:rPr>
          <w:i/>
          <w:lang w:val="es-ES_tradnl"/>
        </w:rPr>
        <w:tab/>
        <w:t>h</w:t>
      </w:r>
      <w:r>
        <w:rPr>
          <w:i/>
          <w:position w:val="-4"/>
          <w:sz w:val="16"/>
          <w:lang w:val="es-ES_tradnl"/>
        </w:rPr>
        <w:t>p</w:t>
      </w:r>
      <w:r>
        <w:rPr>
          <w:rFonts w:ascii="Tms Rmn" w:hAnsi="Tms Rmn"/>
          <w:i/>
          <w:position w:val="-4"/>
          <w:sz w:val="12"/>
          <w:lang w:val="es-ES_tradnl"/>
        </w:rPr>
        <w:t> </w:t>
      </w:r>
      <w:r>
        <w:rPr>
          <w:sz w:val="18"/>
          <w:lang w:val="es-ES_tradnl"/>
        </w:rPr>
        <w:t>:</w:t>
      </w:r>
      <w:r>
        <w:rPr>
          <w:lang w:val="es-ES_tradnl"/>
        </w:rPr>
        <w:tab/>
        <w:t>altura del plano de reflexión </w:t>
      </w:r>
      <w:proofErr w:type="spellStart"/>
      <w:r>
        <w:rPr>
          <w:lang w:val="es-ES_tradnl"/>
        </w:rPr>
        <w:t>a.m.s.l</w:t>
      </w:r>
      <w:proofErr w:type="spellEnd"/>
      <w:r>
        <w:rPr>
          <w:lang w:val="es-ES_tradnl"/>
        </w:rPr>
        <w:t>. (m) que es igual a la altura del emplazamiento del localizador ILS,</w:t>
      </w:r>
    </w:p>
    <w:p w14:paraId="4FF4CC7C" w14:textId="77777777" w:rsidR="008760D9" w:rsidRDefault="008760D9">
      <w:pPr>
        <w:rPr>
          <w:lang w:val="es-ES_tradnl"/>
        </w:rPr>
      </w:pPr>
      <w:r>
        <w:rPr>
          <w:lang w:val="es-ES_tradnl"/>
        </w:rPr>
        <w:t>debe tenerse en cuenta la Nota 1 de la Fig. 8.</w:t>
      </w:r>
    </w:p>
    <w:p w14:paraId="7D55A448" w14:textId="77777777" w:rsidR="008760D9" w:rsidRDefault="008760D9">
      <w:pPr>
        <w:pStyle w:val="Fig"/>
        <w:rPr>
          <w:lang w:val="es-ES_tradnl"/>
        </w:rPr>
      </w:pPr>
      <w:r>
        <w:rPr>
          <w:lang w:val="es-ES_tradnl"/>
        </w:rPr>
        <w:br w:type="page"/>
      </w:r>
      <w:r w:rsidR="00DF52C7">
        <w:rPr>
          <w:noProof/>
          <w:lang w:eastAsia="zh-CN"/>
        </w:rPr>
        <w:lastRenderedPageBreak/>
        <w:drawing>
          <wp:inline distT="0" distB="0" distL="0" distR="0" wp14:anchorId="0A1CF14F" wp14:editId="1362080B">
            <wp:extent cx="4472940" cy="402336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72940" cy="4023360"/>
                    </a:xfrm>
                    <a:prstGeom prst="rect">
                      <a:avLst/>
                    </a:prstGeom>
                    <a:noFill/>
                    <a:ln>
                      <a:noFill/>
                    </a:ln>
                  </pic:spPr>
                </pic:pic>
              </a:graphicData>
            </a:graphic>
          </wp:inline>
        </w:drawing>
      </w:r>
    </w:p>
    <w:p w14:paraId="598C6C4B" w14:textId="77777777" w:rsidR="008760D9" w:rsidRDefault="008760D9">
      <w:pPr>
        <w:pStyle w:val="Fig0"/>
        <w:rPr>
          <w:lang w:val="es-ES_tradnl"/>
        </w:rPr>
      </w:pPr>
      <w:r>
        <w:rPr>
          <w:lang w:val="es-ES_tradnl"/>
        </w:rPr>
        <w:t>FIGURE 8/1009...</w:t>
      </w:r>
      <w:r>
        <w:rPr>
          <w:b/>
          <w:lang w:val="es-ES_tradnl"/>
        </w:rPr>
        <w:t>[D08]</w:t>
      </w:r>
      <w:r>
        <w:rPr>
          <w:lang w:val="es-ES_tradnl"/>
        </w:rPr>
        <w:t xml:space="preserve">  </w:t>
      </w:r>
      <w:r>
        <w:rPr>
          <w:rFonts w:ascii="Symbol" w:hAnsi="Symbol"/>
          <w:lang w:val="es-ES_tradnl"/>
        </w:rPr>
        <w:t></w:t>
      </w:r>
      <w:r>
        <w:rPr>
          <w:lang w:val="es-ES_tradnl"/>
        </w:rPr>
        <w:t xml:space="preserve"> 11  CM </w:t>
      </w:r>
    </w:p>
    <w:p w14:paraId="7B23691C" w14:textId="77777777" w:rsidR="008760D9" w:rsidRDefault="008760D9">
      <w:pPr>
        <w:rPr>
          <w:lang w:val="es-ES_tradnl"/>
        </w:rPr>
      </w:pPr>
      <w:r>
        <w:rPr>
          <w:lang w:val="es-ES_tradnl"/>
        </w:rPr>
        <w:t>Con los ángulos de reflexión en cuestión, la Tierra tiene un coeficiente de reflexión muy próximo a –1 y el factor de corrección, </w:t>
      </w:r>
      <w:r>
        <w:rPr>
          <w:i/>
          <w:lang w:val="es-ES_tradnl"/>
        </w:rPr>
        <w:t>C</w:t>
      </w:r>
      <w:r>
        <w:rPr>
          <w:lang w:val="es-ES_tradnl"/>
        </w:rPr>
        <w:t>, debido a la suma de las dos señales componentes viene dado por:</w:t>
      </w:r>
    </w:p>
    <w:p w14:paraId="18845EA5" w14:textId="77777777" w:rsidR="008760D9" w:rsidRDefault="008760D9">
      <w:pPr>
        <w:pStyle w:val="Equation"/>
        <w:rPr>
          <w:lang w:val="es-ES_tradnl"/>
        </w:rPr>
      </w:pPr>
      <w:bookmarkStart w:id="29" w:name="F028"/>
      <w:r w:rsidRPr="00AC3FDE">
        <w:rPr>
          <w:lang w:val="es-ES"/>
        </w:rPr>
        <w:tab/>
      </w:r>
      <w:r w:rsidRPr="00AC3FDE">
        <w:rPr>
          <w:lang w:val="es-ES"/>
        </w:rPr>
        <w:tab/>
      </w:r>
      <w:r w:rsidRPr="00AC3FDE">
        <w:rPr>
          <w:i/>
          <w:lang w:val="es-ES"/>
        </w:rPr>
        <w:t>C</w:t>
      </w:r>
      <w:r w:rsidRPr="00AC3FDE">
        <w:rPr>
          <w:lang w:val="es-ES"/>
        </w:rPr>
        <w:t xml:space="preserve">  =  10 log </w:t>
      </w:r>
      <w:r w:rsidRPr="00AC3FDE">
        <w:rPr>
          <w:sz w:val="30"/>
          <w:lang w:val="es-ES"/>
        </w:rPr>
        <w:t>(</w:t>
      </w:r>
      <w:r w:rsidRPr="00AC3FDE">
        <w:rPr>
          <w:lang w:val="es-ES"/>
        </w:rPr>
        <w:t>2  –  2 cos (2</w:t>
      </w:r>
      <w:r>
        <w:rPr>
          <w:rFonts w:ascii="Symbol" w:hAnsi="Symbol"/>
        </w:rPr>
        <w:t></w:t>
      </w:r>
      <w:r w:rsidRPr="00AC3FDE">
        <w:rPr>
          <w:lang w:val="es-ES"/>
        </w:rPr>
        <w:t xml:space="preserve"> </w:t>
      </w:r>
      <w:r>
        <w:rPr>
          <w:rFonts w:ascii="Symbol" w:hAnsi="Symbol"/>
        </w:rPr>
        <w:t></w:t>
      </w:r>
      <w:r w:rsidRPr="00AC3FDE">
        <w:rPr>
          <w:lang w:val="es-ES"/>
        </w:rPr>
        <w:t xml:space="preserve"> / </w:t>
      </w:r>
      <w:r>
        <w:rPr>
          <w:rFonts w:ascii="Symbol" w:hAnsi="Symbol"/>
        </w:rPr>
        <w:t></w:t>
      </w:r>
      <w:r w:rsidRPr="00AC3FDE">
        <w:rPr>
          <w:lang w:val="es-ES"/>
        </w:rPr>
        <w:t>)</w:t>
      </w:r>
      <w:r w:rsidRPr="00AC3FDE">
        <w:rPr>
          <w:sz w:val="30"/>
          <w:lang w:val="es-ES"/>
        </w:rPr>
        <w:t>)</w:t>
      </w:r>
      <w:r w:rsidRPr="00AC3FDE">
        <w:rPr>
          <w:lang w:val="es-ES"/>
        </w:rPr>
        <w:tab/>
        <w:t>(26)</w:t>
      </w:r>
      <w:bookmarkEnd w:id="29"/>
    </w:p>
    <w:p w14:paraId="292FA301" w14:textId="77777777" w:rsidR="008760D9" w:rsidRDefault="008760D9">
      <w:pPr>
        <w:rPr>
          <w:lang w:val="es-ES_tradnl"/>
        </w:rPr>
      </w:pPr>
      <w:r>
        <w:rPr>
          <w:lang w:val="es-ES_tradnl"/>
        </w:rPr>
        <w:t>donde:</w:t>
      </w:r>
    </w:p>
    <w:p w14:paraId="238D26A5" w14:textId="77777777" w:rsidR="008760D9" w:rsidRDefault="008760D9">
      <w:pPr>
        <w:pStyle w:val="enumlev1"/>
        <w:rPr>
          <w:lang w:val="es-ES_tradnl"/>
        </w:rPr>
      </w:pPr>
      <w:r>
        <w:rPr>
          <w:rFonts w:ascii="Symbol" w:hAnsi="Symbol"/>
          <w:lang w:val="es-ES_tradnl"/>
        </w:rPr>
        <w:tab/>
      </w:r>
      <w:r>
        <w:rPr>
          <w:rFonts w:ascii="Symbol" w:hAnsi="Symbol"/>
          <w:lang w:val="es-ES_tradnl"/>
        </w:rPr>
        <w:t></w:t>
      </w:r>
      <w:r>
        <w:rPr>
          <w:rFonts w:ascii="Tms Rmn" w:hAnsi="Tms Rmn"/>
          <w:sz w:val="12"/>
          <w:lang w:val="es-ES_tradnl"/>
        </w:rPr>
        <w:t> </w:t>
      </w:r>
      <w:r>
        <w:rPr>
          <w:rFonts w:ascii="Symbol" w:hAnsi="Symbol"/>
          <w:lang w:val="es-ES_tradnl"/>
        </w:rPr>
        <w:t></w:t>
      </w:r>
      <w:r>
        <w:rPr>
          <w:rFonts w:ascii="Symbol" w:hAnsi="Symbol"/>
          <w:lang w:val="es-ES_tradnl"/>
        </w:rPr>
        <w:tab/>
      </w:r>
      <w:r>
        <w:rPr>
          <w:lang w:val="es-ES_tradnl"/>
        </w:rPr>
        <w:t>longitud de onda (m) de la señal ILS.</w:t>
      </w:r>
    </w:p>
    <w:p w14:paraId="79105424" w14:textId="77777777" w:rsidR="008760D9" w:rsidRDefault="008760D9">
      <w:pPr>
        <w:rPr>
          <w:lang w:val="es-ES_tradnl"/>
        </w:rPr>
      </w:pPr>
      <w:r>
        <w:rPr>
          <w:lang w:val="es-ES_tradnl"/>
        </w:rPr>
        <w:t>La zona de reflexión está próxima al emplazamiento del transmisor y este último está a algunos cientos de metros desde el final de la pista, por lo que la zona de reflexión se encontrará entre estos dos puntos. Se ha de actuar con cautela al determinar la altura de la antena transmisora ILS por encima de la zona de reflexión, en el caso en que el suelo tenga pendiente. Esto significa que se requiere un perfil preciso del suelo para obtener resultados exactos de la intensidad de campo. Para una mayor exactitud, debe trazarse el plano de reflexión a lo largo de la pendiente del suelo en la zona de reflexión, volviendo a calcular adecuadamente las alturas por encima del plano de reflexión.</w:t>
      </w:r>
    </w:p>
    <w:p w14:paraId="0278DEDF" w14:textId="77777777" w:rsidR="008760D9" w:rsidRDefault="008760D9">
      <w:pPr>
        <w:rPr>
          <w:lang w:val="es-ES_tradnl"/>
        </w:rPr>
      </w:pPr>
      <w:r>
        <w:rPr>
          <w:lang w:val="es-ES_tradnl"/>
        </w:rPr>
        <w:t xml:space="preserve">La intensidad de campo predicha, </w:t>
      </w:r>
      <w:r>
        <w:rPr>
          <w:i/>
          <w:lang w:val="es-ES_tradnl"/>
        </w:rPr>
        <w:t>E</w:t>
      </w:r>
      <w:r>
        <w:rPr>
          <w:position w:val="-4"/>
          <w:sz w:val="16"/>
          <w:lang w:val="es-ES_tradnl"/>
        </w:rPr>
        <w:t>1</w:t>
      </w:r>
      <w:r>
        <w:rPr>
          <w:lang w:val="es-ES_tradnl"/>
        </w:rPr>
        <w:t xml:space="preserve"> (dB(</w:t>
      </w:r>
      <w:r>
        <w:rPr>
          <w:rFonts w:ascii="Symbol" w:hAnsi="Symbol"/>
          <w:lang w:val="es-ES_tradnl"/>
        </w:rPr>
        <w:t></w:t>
      </w:r>
      <w:r>
        <w:rPr>
          <w:lang w:val="es-ES_tradnl"/>
        </w:rPr>
        <w:t>V/m)) viene dada por:</w:t>
      </w:r>
    </w:p>
    <w:p w14:paraId="720AB2CD" w14:textId="77777777" w:rsidR="008760D9" w:rsidRDefault="008760D9">
      <w:pPr>
        <w:pStyle w:val="Equation"/>
        <w:rPr>
          <w:lang w:val="es-ES_tradnl"/>
        </w:rPr>
      </w:pPr>
      <w:bookmarkStart w:id="30" w:name="F029"/>
      <w:r w:rsidRPr="00AC3FDE">
        <w:rPr>
          <w:lang w:val="es-ES"/>
        </w:rPr>
        <w:tab/>
      </w:r>
      <w:r w:rsidRPr="00AC3FDE">
        <w:rPr>
          <w:lang w:val="es-ES"/>
        </w:rPr>
        <w:tab/>
      </w:r>
      <w:r w:rsidRPr="00AC3FDE">
        <w:rPr>
          <w:i/>
          <w:lang w:val="es-ES"/>
        </w:rPr>
        <w:t>E</w:t>
      </w:r>
      <w:r w:rsidRPr="00AC3FDE">
        <w:rPr>
          <w:lang w:val="es-ES"/>
        </w:rPr>
        <w:t xml:space="preserve">  </w:t>
      </w:r>
      <w:r>
        <w:rPr>
          <w:rFonts w:ascii="Symbol" w:hAnsi="Symbol"/>
        </w:rPr>
        <w:t></w:t>
      </w:r>
      <w:r w:rsidRPr="00AC3FDE">
        <w:rPr>
          <w:lang w:val="es-ES"/>
        </w:rPr>
        <w:t xml:space="preserve">  76,9  </w:t>
      </w:r>
      <w:r>
        <w:rPr>
          <w:rFonts w:ascii="Symbol" w:hAnsi="Symbol"/>
        </w:rPr>
        <w:t></w:t>
      </w:r>
      <w:r w:rsidRPr="00AC3FDE">
        <w:rPr>
          <w:lang w:val="es-ES"/>
        </w:rPr>
        <w:t xml:space="preserve">  </w:t>
      </w:r>
      <w:r w:rsidRPr="00AC3FDE">
        <w:rPr>
          <w:i/>
          <w:lang w:val="es-ES"/>
        </w:rPr>
        <w:t>P</w:t>
      </w:r>
      <w:r w:rsidRPr="00AC3FDE">
        <w:rPr>
          <w:lang w:val="es-ES"/>
        </w:rPr>
        <w:t xml:space="preserve">  –  20 log </w:t>
      </w:r>
      <w:r w:rsidRPr="00AC3FDE">
        <w:rPr>
          <w:i/>
          <w:lang w:val="es-ES"/>
        </w:rPr>
        <w:t>d</w:t>
      </w:r>
      <w:r w:rsidRPr="00AC3FDE">
        <w:rPr>
          <w:lang w:val="es-ES"/>
        </w:rPr>
        <w:t xml:space="preserve">  </w:t>
      </w:r>
      <w:r>
        <w:rPr>
          <w:rFonts w:ascii="Symbol" w:hAnsi="Symbol"/>
        </w:rPr>
        <w:t></w:t>
      </w:r>
      <w:r w:rsidRPr="00AC3FDE">
        <w:rPr>
          <w:lang w:val="es-ES"/>
        </w:rPr>
        <w:t xml:space="preserve">  </w:t>
      </w:r>
      <w:r w:rsidRPr="00AC3FDE">
        <w:rPr>
          <w:i/>
          <w:lang w:val="es-ES"/>
        </w:rPr>
        <w:t>C</w:t>
      </w:r>
      <w:r w:rsidRPr="00AC3FDE">
        <w:rPr>
          <w:lang w:val="es-ES"/>
        </w:rPr>
        <w:t xml:space="preserve">  </w:t>
      </w:r>
      <w:r>
        <w:rPr>
          <w:rFonts w:ascii="Symbol" w:hAnsi="Symbol"/>
        </w:rPr>
        <w:t></w:t>
      </w:r>
      <w:r w:rsidRPr="00AC3FDE">
        <w:rPr>
          <w:lang w:val="es-ES"/>
        </w:rPr>
        <w:t xml:space="preserve">  </w:t>
      </w:r>
      <w:r w:rsidRPr="00AC3FDE">
        <w:rPr>
          <w:i/>
          <w:lang w:val="es-ES"/>
        </w:rPr>
        <w:t>H</w:t>
      </w:r>
      <w:r w:rsidRPr="00AC3FDE">
        <w:rPr>
          <w:lang w:val="es-ES"/>
        </w:rPr>
        <w:tab/>
        <w:t>(27)</w:t>
      </w:r>
      <w:bookmarkEnd w:id="30"/>
    </w:p>
    <w:p w14:paraId="1F7A5F9C" w14:textId="77777777" w:rsidR="008760D9" w:rsidRDefault="008760D9">
      <w:pPr>
        <w:rPr>
          <w:lang w:val="es-ES_tradnl"/>
        </w:rPr>
      </w:pPr>
      <w:r>
        <w:rPr>
          <w:lang w:val="es-ES_tradnl"/>
        </w:rPr>
        <w:t>donde:</w:t>
      </w:r>
    </w:p>
    <w:p w14:paraId="34B294E7" w14:textId="77777777" w:rsidR="008760D9" w:rsidRDefault="008760D9">
      <w:pPr>
        <w:pStyle w:val="enumlev1"/>
        <w:rPr>
          <w:lang w:val="es-ES_tradnl"/>
        </w:rPr>
      </w:pPr>
      <w:r>
        <w:rPr>
          <w:i/>
          <w:lang w:val="es-ES_tradnl"/>
        </w:rPr>
        <w:tab/>
        <w:t>P</w:t>
      </w:r>
      <w:r>
        <w:rPr>
          <w:rFonts w:ascii="Tms Rmn" w:hAnsi="Tms Rmn"/>
          <w:sz w:val="12"/>
          <w:lang w:val="es-ES_tradnl"/>
        </w:rPr>
        <w:t> </w:t>
      </w:r>
      <w:r>
        <w:rPr>
          <w:lang w:val="es-ES_tradnl"/>
        </w:rPr>
        <w:t>:</w:t>
      </w:r>
      <w:r>
        <w:rPr>
          <w:lang w:val="es-ES_tradnl"/>
        </w:rPr>
        <w:tab/>
      </w:r>
      <w:proofErr w:type="spellStart"/>
      <w:r>
        <w:rPr>
          <w:lang w:val="es-ES_tradnl"/>
        </w:rPr>
        <w:t>p.r.a</w:t>
      </w:r>
      <w:proofErr w:type="spellEnd"/>
      <w:r>
        <w:rPr>
          <w:lang w:val="es-ES_tradnl"/>
        </w:rPr>
        <w:t>. (</w:t>
      </w:r>
      <w:proofErr w:type="spellStart"/>
      <w:r>
        <w:rPr>
          <w:lang w:val="es-ES_tradnl"/>
        </w:rPr>
        <w:t>dBW</w:t>
      </w:r>
      <w:proofErr w:type="spellEnd"/>
      <w:r>
        <w:rPr>
          <w:lang w:val="es-ES_tradnl"/>
        </w:rPr>
        <w:t>) de la instalación del localizador ILS</w:t>
      </w:r>
    </w:p>
    <w:p w14:paraId="4207225B" w14:textId="77777777" w:rsidR="008760D9" w:rsidRDefault="008760D9">
      <w:pPr>
        <w:pStyle w:val="enumlev1"/>
        <w:rPr>
          <w:lang w:val="es-ES_tradnl"/>
        </w:rPr>
      </w:pPr>
      <w:r>
        <w:rPr>
          <w:i/>
          <w:lang w:val="es-ES_tradnl"/>
        </w:rPr>
        <w:tab/>
        <w:t>d</w:t>
      </w:r>
      <w:r>
        <w:rPr>
          <w:rFonts w:ascii="Tms Rmn" w:hAnsi="Tms Rmn"/>
          <w:sz w:val="12"/>
          <w:lang w:val="es-ES_tradnl"/>
        </w:rPr>
        <w:t> </w:t>
      </w:r>
      <w:r>
        <w:rPr>
          <w:lang w:val="es-ES_tradnl"/>
        </w:rPr>
        <w:t>:</w:t>
      </w:r>
      <w:r>
        <w:rPr>
          <w:lang w:val="es-ES_tradnl"/>
        </w:rPr>
        <w:tab/>
        <w:t>distancia en el trayecto oblicuo (km)</w:t>
      </w:r>
    </w:p>
    <w:p w14:paraId="26BDDEFE" w14:textId="77777777" w:rsidR="008760D9" w:rsidRDefault="008760D9">
      <w:pPr>
        <w:pStyle w:val="enumlev1"/>
        <w:rPr>
          <w:lang w:val="es-ES_tradnl"/>
        </w:rPr>
      </w:pPr>
      <w:r>
        <w:rPr>
          <w:i/>
          <w:lang w:val="es-ES_tradnl"/>
        </w:rPr>
        <w:tab/>
        <w:t>C</w:t>
      </w:r>
      <w:r>
        <w:rPr>
          <w:rFonts w:ascii="Tms Rmn" w:hAnsi="Tms Rmn"/>
          <w:sz w:val="12"/>
          <w:lang w:val="es-ES_tradnl"/>
        </w:rPr>
        <w:t> </w:t>
      </w:r>
      <w:r>
        <w:rPr>
          <w:lang w:val="es-ES_tradnl"/>
        </w:rPr>
        <w:t>:</w:t>
      </w:r>
      <w:r>
        <w:rPr>
          <w:lang w:val="es-ES_tradnl"/>
        </w:rPr>
        <w:tab/>
        <w:t>factor de corrección (dB) de la ecuación (26)</w:t>
      </w:r>
    </w:p>
    <w:p w14:paraId="5D207942" w14:textId="77777777" w:rsidR="008760D9" w:rsidRDefault="008760D9">
      <w:pPr>
        <w:pStyle w:val="enumlev1"/>
        <w:rPr>
          <w:lang w:val="es-ES_tradnl"/>
        </w:rPr>
      </w:pPr>
      <w:r>
        <w:rPr>
          <w:i/>
          <w:lang w:val="es-ES_tradnl"/>
        </w:rPr>
        <w:tab/>
        <w:t>H</w:t>
      </w:r>
      <w:r>
        <w:rPr>
          <w:rFonts w:ascii="Tms Rmn" w:hAnsi="Tms Rmn"/>
          <w:sz w:val="12"/>
          <w:lang w:val="es-ES_tradnl"/>
        </w:rPr>
        <w:t> </w:t>
      </w:r>
      <w:r>
        <w:rPr>
          <w:lang w:val="es-ES_tradnl"/>
        </w:rPr>
        <w:t>:</w:t>
      </w:r>
      <w:r>
        <w:rPr>
          <w:lang w:val="es-ES_tradnl"/>
        </w:rPr>
        <w:tab/>
        <w:t>corrección del plano de reflexión horizontal de la antena transmisora ILS en la dirección del punto de prueba.</w:t>
      </w:r>
    </w:p>
    <w:p w14:paraId="41D8C1A7" w14:textId="77777777" w:rsidR="008760D9" w:rsidRDefault="008760D9">
      <w:pPr>
        <w:rPr>
          <w:lang w:val="es-ES_tradnl"/>
        </w:rPr>
      </w:pPr>
      <w:r>
        <w:rPr>
          <w:lang w:val="es-ES_tradnl"/>
        </w:rPr>
        <w:t>Hay que dejar un margen de 8 dB para seguridad, pero se toma como límite mínimo la intensidad de campo calculado según el § 3.2.2.3.1.</w:t>
      </w:r>
    </w:p>
    <w:p w14:paraId="3389F3FE" w14:textId="77777777" w:rsidR="008760D9" w:rsidRDefault="008760D9">
      <w:pPr>
        <w:rPr>
          <w:lang w:val="es-ES_tradnl"/>
        </w:rPr>
      </w:pPr>
      <w:r>
        <w:rPr>
          <w:lang w:val="es-ES_tradnl"/>
        </w:rPr>
        <w:t xml:space="preserve">La intensidad de campo, </w:t>
      </w:r>
      <w:r>
        <w:rPr>
          <w:i/>
          <w:lang w:val="es-ES_tradnl"/>
        </w:rPr>
        <w:t>E</w:t>
      </w:r>
      <w:r>
        <w:rPr>
          <w:i/>
          <w:position w:val="-4"/>
          <w:sz w:val="16"/>
          <w:lang w:val="es-ES_tradnl"/>
        </w:rPr>
        <w:t>ILS</w:t>
      </w:r>
      <w:r>
        <w:rPr>
          <w:lang w:val="es-ES_tradnl"/>
        </w:rPr>
        <w:t xml:space="preserve"> (dB(</w:t>
      </w:r>
      <w:r>
        <w:rPr>
          <w:rFonts w:ascii="Symbol" w:hAnsi="Symbol"/>
          <w:lang w:val="es-ES_tradnl"/>
        </w:rPr>
        <w:t></w:t>
      </w:r>
      <w:r>
        <w:rPr>
          <w:lang w:val="es-ES_tradnl"/>
        </w:rPr>
        <w:t>V/m)) que ha de utilizarse en los cálculos de compatibilidad es pues:</w:t>
      </w:r>
    </w:p>
    <w:p w14:paraId="4E622652" w14:textId="77777777" w:rsidR="008760D9" w:rsidRDefault="008760D9">
      <w:pPr>
        <w:pStyle w:val="Equation"/>
        <w:rPr>
          <w:lang w:val="es-ES_tradnl"/>
        </w:rPr>
      </w:pPr>
      <w:bookmarkStart w:id="31" w:name="F030"/>
      <w:r w:rsidRPr="00AC3FDE">
        <w:rPr>
          <w:lang w:val="es-ES"/>
        </w:rPr>
        <w:tab/>
      </w:r>
      <w:r w:rsidRPr="00AC3FDE">
        <w:rPr>
          <w:lang w:val="es-ES"/>
        </w:rPr>
        <w:tab/>
      </w:r>
      <w:r w:rsidRPr="00AC3FDE">
        <w:rPr>
          <w:i/>
          <w:lang w:val="es-ES"/>
        </w:rPr>
        <w:t>E</w:t>
      </w:r>
      <w:r w:rsidRPr="00AC3FDE">
        <w:rPr>
          <w:i/>
          <w:position w:val="-4"/>
          <w:sz w:val="18"/>
          <w:lang w:val="es-ES"/>
        </w:rPr>
        <w:t>ILS</w:t>
      </w:r>
      <w:r w:rsidRPr="00AC3FDE">
        <w:rPr>
          <w:lang w:val="es-ES"/>
        </w:rPr>
        <w:t xml:space="preserve">  </w:t>
      </w:r>
      <w:r>
        <w:rPr>
          <w:rFonts w:ascii="Symbol" w:hAnsi="Symbol"/>
        </w:rPr>
        <w:t></w:t>
      </w:r>
      <w:r w:rsidRPr="00AC3FDE">
        <w:rPr>
          <w:lang w:val="es-ES"/>
        </w:rPr>
        <w:t xml:space="preserve">  </w:t>
      </w:r>
      <w:proofErr w:type="spellStart"/>
      <w:r w:rsidRPr="00AC3FDE">
        <w:rPr>
          <w:lang w:val="es-ES"/>
        </w:rPr>
        <w:t>máx</w:t>
      </w:r>
      <w:proofErr w:type="spellEnd"/>
      <w:r w:rsidRPr="00AC3FDE">
        <w:rPr>
          <w:lang w:val="es-ES"/>
        </w:rPr>
        <w:t xml:space="preserve"> (</w:t>
      </w:r>
      <w:r w:rsidRPr="00AC3FDE">
        <w:rPr>
          <w:i/>
          <w:lang w:val="es-ES"/>
        </w:rPr>
        <w:t>E</w:t>
      </w:r>
      <w:r w:rsidRPr="00AC3FDE">
        <w:rPr>
          <w:lang w:val="es-ES"/>
        </w:rPr>
        <w:t xml:space="preserve">  –  8; valor del § 3.2.2.3.2)</w:t>
      </w:r>
      <w:r w:rsidRPr="00AC3FDE">
        <w:rPr>
          <w:lang w:val="es-ES"/>
        </w:rPr>
        <w:tab/>
        <w:t>(28)</w:t>
      </w:r>
      <w:bookmarkEnd w:id="31"/>
    </w:p>
    <w:p w14:paraId="266509D5" w14:textId="77777777" w:rsidR="008760D9" w:rsidRDefault="008760D9">
      <w:pPr>
        <w:pStyle w:val="Annex"/>
        <w:rPr>
          <w:lang w:val="es-ES_tradnl"/>
        </w:rPr>
      </w:pPr>
      <w:r>
        <w:rPr>
          <w:lang w:val="es-ES_tradnl"/>
        </w:rPr>
        <w:lastRenderedPageBreak/>
        <w:t>ANEXO  3</w:t>
      </w:r>
    </w:p>
    <w:p w14:paraId="0D36F564" w14:textId="77777777" w:rsidR="008760D9" w:rsidRDefault="008760D9">
      <w:pPr>
        <w:pStyle w:val="AnnexTitle"/>
        <w:rPr>
          <w:lang w:val="es-ES_tradnl"/>
        </w:rPr>
      </w:pPr>
      <w:r>
        <w:rPr>
          <w:lang w:val="es-ES_tradnl"/>
        </w:rPr>
        <w:t>Evaluación detallada de la compatibilidad y verificación práctica</w:t>
      </w:r>
    </w:p>
    <w:p w14:paraId="1070BBF9" w14:textId="77777777" w:rsidR="008760D9" w:rsidRDefault="008760D9">
      <w:pPr>
        <w:jc w:val="center"/>
        <w:rPr>
          <w:lang w:val="es-ES_tradnl"/>
        </w:rPr>
      </w:pPr>
      <w:r>
        <w:rPr>
          <w:lang w:val="es-ES_tradnl"/>
        </w:rPr>
        <w:t>ÍNDICE</w:t>
      </w:r>
    </w:p>
    <w:p w14:paraId="4FE7ED3D" w14:textId="77777777" w:rsidR="008760D9" w:rsidRDefault="008760D9">
      <w:pPr>
        <w:jc w:val="right"/>
        <w:rPr>
          <w:lang w:val="es-ES_tradnl"/>
        </w:rPr>
      </w:pPr>
      <w:r>
        <w:rPr>
          <w:i/>
          <w:lang w:val="es-ES_tradnl"/>
        </w:rPr>
        <w:t>Página</w:t>
      </w:r>
    </w:p>
    <w:p w14:paraId="0F851654" w14:textId="77777777" w:rsidR="008760D9" w:rsidRDefault="008760D9">
      <w:pPr>
        <w:pStyle w:val="TOC1"/>
        <w:rPr>
          <w:lang w:val="es-ES_tradnl"/>
        </w:rPr>
      </w:pPr>
      <w:r w:rsidRPr="00AC3FDE">
        <w:rPr>
          <w:lang w:val="es-ES"/>
        </w:rPr>
        <w:t>1</w:t>
      </w:r>
      <w:r>
        <w:rPr>
          <w:lang w:val="es-ES_tradnl"/>
        </w:rPr>
        <w:tab/>
        <w:t>Introducción</w:t>
      </w:r>
      <w:r>
        <w:rPr>
          <w:lang w:val="es-ES_tradnl"/>
        </w:rPr>
        <w:tab/>
      </w:r>
      <w:r>
        <w:rPr>
          <w:lang w:val="es-ES_tradnl"/>
        </w:rPr>
        <w:tab/>
        <w:t>32</w:t>
      </w:r>
    </w:p>
    <w:p w14:paraId="7FB64DD5" w14:textId="77777777" w:rsidR="008760D9" w:rsidRDefault="008760D9">
      <w:pPr>
        <w:pStyle w:val="TOC1"/>
        <w:rPr>
          <w:lang w:val="es-ES_tradnl"/>
        </w:rPr>
      </w:pPr>
      <w:r w:rsidRPr="00AC3FDE">
        <w:rPr>
          <w:lang w:val="es-ES"/>
        </w:rPr>
        <w:t>2</w:t>
      </w:r>
      <w:r>
        <w:rPr>
          <w:lang w:val="es-ES_tradnl"/>
        </w:rPr>
        <w:tab/>
        <w:t>Aspectos que exigen un examen especial</w:t>
      </w:r>
      <w:r>
        <w:rPr>
          <w:lang w:val="es-ES_tradnl"/>
        </w:rPr>
        <w:tab/>
      </w:r>
      <w:r>
        <w:rPr>
          <w:lang w:val="es-ES_tradnl"/>
        </w:rPr>
        <w:tab/>
        <w:t>32</w:t>
      </w:r>
    </w:p>
    <w:p w14:paraId="0FD4E2DC" w14:textId="77777777" w:rsidR="008760D9" w:rsidRDefault="008760D9">
      <w:pPr>
        <w:pStyle w:val="TOC2"/>
        <w:rPr>
          <w:lang w:val="es-ES_tradnl"/>
        </w:rPr>
      </w:pPr>
      <w:r w:rsidRPr="00AC3FDE">
        <w:rPr>
          <w:lang w:val="es-ES"/>
        </w:rPr>
        <w:t>2.1</w:t>
      </w:r>
      <w:r>
        <w:rPr>
          <w:lang w:val="es-ES_tradnl"/>
        </w:rPr>
        <w:tab/>
        <w:t>Predicción de las intensidades de campo de radiodifusión</w:t>
      </w:r>
      <w:r>
        <w:rPr>
          <w:lang w:val="es-ES_tradnl"/>
        </w:rPr>
        <w:tab/>
      </w:r>
      <w:r>
        <w:rPr>
          <w:lang w:val="es-ES_tradnl"/>
        </w:rPr>
        <w:tab/>
        <w:t>32</w:t>
      </w:r>
    </w:p>
    <w:p w14:paraId="750FDCC6" w14:textId="77777777" w:rsidR="008760D9" w:rsidRDefault="008760D9">
      <w:pPr>
        <w:pStyle w:val="TOC2"/>
        <w:rPr>
          <w:lang w:val="es-ES_tradnl"/>
        </w:rPr>
      </w:pPr>
      <w:r w:rsidRPr="00AC3FDE">
        <w:rPr>
          <w:lang w:val="es-ES"/>
        </w:rPr>
        <w:t>2.2</w:t>
      </w:r>
      <w:r>
        <w:rPr>
          <w:lang w:val="es-ES_tradnl"/>
        </w:rPr>
        <w:tab/>
        <w:t>Consideraciones sobre los puntos de prueba</w:t>
      </w:r>
      <w:r>
        <w:rPr>
          <w:lang w:val="es-ES_tradnl"/>
        </w:rPr>
        <w:tab/>
      </w:r>
      <w:r>
        <w:rPr>
          <w:lang w:val="es-ES_tradnl"/>
        </w:rPr>
        <w:tab/>
        <w:t>33</w:t>
      </w:r>
    </w:p>
    <w:p w14:paraId="7C958360" w14:textId="77777777" w:rsidR="008760D9" w:rsidRDefault="008760D9">
      <w:pPr>
        <w:pStyle w:val="TOC2"/>
        <w:rPr>
          <w:lang w:val="es-ES_tradnl"/>
        </w:rPr>
      </w:pPr>
      <w:r w:rsidRPr="00AC3FDE">
        <w:rPr>
          <w:lang w:val="es-ES"/>
        </w:rPr>
        <w:t>2.3</w:t>
      </w:r>
      <w:r>
        <w:rPr>
          <w:lang w:val="es-ES_tradnl"/>
        </w:rPr>
        <w:tab/>
        <w:t>Consideraciones sobre las estaciones coordinadas</w:t>
      </w:r>
      <w:r>
        <w:rPr>
          <w:lang w:val="es-ES_tradnl"/>
        </w:rPr>
        <w:tab/>
      </w:r>
      <w:r>
        <w:rPr>
          <w:lang w:val="es-ES_tradnl"/>
        </w:rPr>
        <w:tab/>
        <w:t>33</w:t>
      </w:r>
    </w:p>
    <w:p w14:paraId="0EDDE600" w14:textId="77777777" w:rsidR="008760D9" w:rsidRDefault="008760D9">
      <w:pPr>
        <w:pStyle w:val="TOC2"/>
        <w:rPr>
          <w:lang w:val="es-ES_tradnl"/>
        </w:rPr>
      </w:pPr>
      <w:r w:rsidRPr="00AC3FDE">
        <w:rPr>
          <w:lang w:val="es-ES"/>
        </w:rPr>
        <w:t>2.4</w:t>
      </w:r>
      <w:r>
        <w:rPr>
          <w:lang w:val="es-ES_tradnl"/>
        </w:rPr>
        <w:tab/>
        <w:t>Consideración de las estaciones operativas</w:t>
      </w:r>
      <w:r>
        <w:rPr>
          <w:lang w:val="es-ES_tradnl"/>
        </w:rPr>
        <w:tab/>
      </w:r>
      <w:r>
        <w:rPr>
          <w:lang w:val="es-ES_tradnl"/>
        </w:rPr>
        <w:tab/>
        <w:t>33</w:t>
      </w:r>
    </w:p>
    <w:p w14:paraId="71CD45AB" w14:textId="77777777" w:rsidR="008760D9" w:rsidRDefault="008760D9">
      <w:pPr>
        <w:pStyle w:val="TOC1"/>
        <w:rPr>
          <w:lang w:val="es-ES_tradnl"/>
        </w:rPr>
      </w:pPr>
      <w:r w:rsidRPr="00AC3FDE">
        <w:rPr>
          <w:lang w:val="es-ES"/>
        </w:rPr>
        <w:t>3</w:t>
      </w:r>
      <w:r>
        <w:rPr>
          <w:lang w:val="es-ES_tradnl"/>
        </w:rPr>
        <w:tab/>
        <w:t>Interferencia múltiple</w:t>
      </w:r>
      <w:r>
        <w:rPr>
          <w:lang w:val="es-ES_tradnl"/>
        </w:rPr>
        <w:tab/>
      </w:r>
      <w:r>
        <w:rPr>
          <w:lang w:val="es-ES_tradnl"/>
        </w:rPr>
        <w:tab/>
        <w:t>34</w:t>
      </w:r>
    </w:p>
    <w:p w14:paraId="6AF6AFBF" w14:textId="77777777" w:rsidR="008760D9" w:rsidRDefault="008760D9">
      <w:pPr>
        <w:pStyle w:val="TOC1"/>
        <w:rPr>
          <w:lang w:val="es-ES_tradnl"/>
        </w:rPr>
      </w:pPr>
      <w:r w:rsidRPr="00AC3FDE">
        <w:rPr>
          <w:lang w:val="es-ES"/>
        </w:rPr>
        <w:t>4</w:t>
      </w:r>
      <w:r>
        <w:rPr>
          <w:lang w:val="es-ES_tradnl"/>
        </w:rPr>
        <w:tab/>
        <w:t>Evaluación detallada de la compatibilidad</w:t>
      </w:r>
      <w:r>
        <w:rPr>
          <w:lang w:val="es-ES_tradnl"/>
        </w:rPr>
        <w:tab/>
      </w:r>
      <w:r>
        <w:rPr>
          <w:lang w:val="es-ES_tradnl"/>
        </w:rPr>
        <w:tab/>
        <w:t>34</w:t>
      </w:r>
    </w:p>
    <w:p w14:paraId="14C131B1" w14:textId="77777777" w:rsidR="008760D9" w:rsidRDefault="008760D9">
      <w:pPr>
        <w:pStyle w:val="TOC1"/>
        <w:rPr>
          <w:lang w:val="es-ES_tradnl"/>
        </w:rPr>
      </w:pPr>
      <w:r w:rsidRPr="00AC3FDE">
        <w:rPr>
          <w:lang w:val="es-ES"/>
        </w:rPr>
        <w:t>5</w:t>
      </w:r>
      <w:r>
        <w:rPr>
          <w:lang w:val="es-ES_tradnl"/>
        </w:rPr>
        <w:tab/>
        <w:t>Proceso de verificación práctica</w:t>
      </w:r>
      <w:r>
        <w:rPr>
          <w:lang w:val="es-ES_tradnl"/>
        </w:rPr>
        <w:tab/>
      </w:r>
      <w:r>
        <w:rPr>
          <w:lang w:val="es-ES_tradnl"/>
        </w:rPr>
        <w:tab/>
        <w:t>34</w:t>
      </w:r>
    </w:p>
    <w:p w14:paraId="529C1E27" w14:textId="77777777" w:rsidR="008760D9" w:rsidRDefault="008760D9">
      <w:pPr>
        <w:pStyle w:val="TOC1"/>
        <w:rPr>
          <w:lang w:val="es-ES_tradnl"/>
        </w:rPr>
      </w:pPr>
      <w:r w:rsidRPr="00AC3FDE">
        <w:rPr>
          <w:lang w:val="es-ES"/>
        </w:rPr>
        <w:t>6</w:t>
      </w:r>
      <w:r>
        <w:rPr>
          <w:lang w:val="es-ES_tradnl"/>
        </w:rPr>
        <w:tab/>
        <w:t>Resumen</w:t>
      </w:r>
      <w:r>
        <w:rPr>
          <w:lang w:val="es-ES_tradnl"/>
        </w:rPr>
        <w:tab/>
      </w:r>
      <w:r>
        <w:rPr>
          <w:lang w:val="es-ES_tradnl"/>
        </w:rPr>
        <w:tab/>
        <w:t>35</w:t>
      </w:r>
    </w:p>
    <w:p w14:paraId="4A3DA99D" w14:textId="77777777" w:rsidR="008760D9" w:rsidRDefault="008760D9">
      <w:pPr>
        <w:rPr>
          <w:lang w:val="es-ES_tradnl"/>
        </w:rPr>
      </w:pPr>
    </w:p>
    <w:p w14:paraId="3AA0D802" w14:textId="77777777" w:rsidR="008760D9" w:rsidRDefault="008760D9">
      <w:pPr>
        <w:pStyle w:val="Heading1"/>
        <w:rPr>
          <w:lang w:val="es-ES_tradnl"/>
        </w:rPr>
      </w:pPr>
      <w:r>
        <w:rPr>
          <w:lang w:val="es-ES_tradnl"/>
        </w:rPr>
        <w:t>1</w:t>
      </w:r>
      <w:r>
        <w:rPr>
          <w:lang w:val="es-ES_tradnl"/>
        </w:rPr>
        <w:tab/>
        <w:t>Introducción</w:t>
      </w:r>
    </w:p>
    <w:p w14:paraId="478B94C0" w14:textId="77777777" w:rsidR="008760D9" w:rsidRDefault="008760D9">
      <w:pPr>
        <w:rPr>
          <w:lang w:val="es-ES_tradnl"/>
        </w:rPr>
      </w:pPr>
      <w:r>
        <w:rPr>
          <w:lang w:val="es-ES_tradnl"/>
        </w:rPr>
        <w:t>El método de evaluación general prevé más incompatibilidades potenciales con el servicio de radionavegación aeronáutica que las que pueden producirse en la práctica. No obstante, los resultados de las pruebas de correlación muestran que, cuando se utilizan los datos medidos en el análisis de compatibilidad, los resultados calculados se adaptan estrechamente a la experiencia práctica. Así pues, la utilización de datos medidos mejorará la precisión de un análisis de compatibilidad.</w:t>
      </w:r>
    </w:p>
    <w:p w14:paraId="50D6634A" w14:textId="77777777" w:rsidR="008760D9" w:rsidRDefault="008760D9">
      <w:pPr>
        <w:rPr>
          <w:lang w:val="es-ES_tradnl"/>
        </w:rPr>
      </w:pPr>
      <w:r>
        <w:rPr>
          <w:lang w:val="es-ES_tradnl"/>
        </w:rPr>
        <w:t>Como ampliación del método de evaluación general, puede efectuarse un análisis detallado de caso a caso, utilizando parámetros obtenidos de los modelos con mayor exactitud. Dichos modelos pueden utilizarse de forma individual o combinada y se aproximan a la experiencia práctica cuando los valores calculados de cada uno de los parámetros se aproximan más estrechamente a los valores medidos. La ventaja de este enfoque por modelos es que permite efectuar un análisis eficaz de la compatibilidad y que puede arrojar resultados exactos, de forma que se evita la necesidad de mediciones en vuelo prolongadas con sus dificultades prácticas correspondientes.</w:t>
      </w:r>
    </w:p>
    <w:p w14:paraId="4BABEA0B" w14:textId="77777777" w:rsidR="008760D9" w:rsidRDefault="008760D9">
      <w:pPr>
        <w:pStyle w:val="Heading1"/>
        <w:rPr>
          <w:lang w:val="es-ES_tradnl"/>
        </w:rPr>
      </w:pPr>
      <w:r>
        <w:rPr>
          <w:lang w:val="es-ES_tradnl"/>
        </w:rPr>
        <w:t>2</w:t>
      </w:r>
      <w:r>
        <w:rPr>
          <w:lang w:val="es-ES_tradnl"/>
        </w:rPr>
        <w:tab/>
        <w:t>Aspectos que exigen un examen especial</w:t>
      </w:r>
    </w:p>
    <w:p w14:paraId="1D3E91DF" w14:textId="77777777" w:rsidR="008760D9" w:rsidRDefault="008760D9">
      <w:pPr>
        <w:pStyle w:val="Heading2"/>
        <w:rPr>
          <w:lang w:val="es-ES_tradnl"/>
        </w:rPr>
      </w:pPr>
      <w:r>
        <w:rPr>
          <w:lang w:val="es-ES_tradnl"/>
        </w:rPr>
        <w:t>2.1</w:t>
      </w:r>
      <w:r>
        <w:rPr>
          <w:lang w:val="es-ES_tradnl"/>
        </w:rPr>
        <w:tab/>
        <w:t>Predicción de las intensidades de campo de radiodifusión</w:t>
      </w:r>
    </w:p>
    <w:p w14:paraId="046EE4BE" w14:textId="77777777" w:rsidR="008760D9" w:rsidRDefault="008760D9">
      <w:pPr>
        <w:rPr>
          <w:lang w:val="es-ES_tradnl"/>
        </w:rPr>
      </w:pPr>
      <w:r>
        <w:rPr>
          <w:lang w:val="es-ES_tradnl"/>
        </w:rPr>
        <w:t>En el método de evaluación general, la predicción de las intensidades de campo de radiodifusión se basa en la propagación en el espacio libre. No obstante, las mediciones muestran que la predicción de la propagación en el espacio libre puede conducir a una sobrestimación considerable en el caso en que las antenas de transmisión y recepción se encuentren a poca altura (por ejemplo, –150 m) sobre el suelo.</w:t>
      </w:r>
    </w:p>
    <w:p w14:paraId="2D4A0080" w14:textId="77777777" w:rsidR="008760D9" w:rsidRDefault="008760D9">
      <w:pPr>
        <w:rPr>
          <w:lang w:val="es-ES_tradnl"/>
        </w:rPr>
      </w:pPr>
      <w:r>
        <w:rPr>
          <w:lang w:val="es-ES_tradnl"/>
        </w:rPr>
        <w:t xml:space="preserve">En general, no se pueden efectuar otros cálculos que sean más realistas que los basados en la propagación en el espacio libre porque no se cuenta con información suficiente sobre el trayecto de propagación entre la antena de la estación de radiodifusión y el punto de prueba. En particular, se requiere información sobre el perfil del suelo a lo largo de dicho trayecto. No obstante, cuando se dispone de esta información, por ejemplo a partir de un banco de datos del terreno, pueden efectuarse cálculos de la intensidad de campo más realistas. Dadas las razones mencionadas, cabe esperar que los valores de la intensidad de campo calculados con un método más detallado, en particular, para los trayectos de propagación con </w:t>
      </w:r>
      <w:proofErr w:type="spellStart"/>
      <w:r>
        <w:rPr>
          <w:lang w:val="es-ES_tradnl"/>
        </w:rPr>
        <w:t>despejamiento</w:t>
      </w:r>
      <w:proofErr w:type="spellEnd"/>
      <w:r>
        <w:rPr>
          <w:lang w:val="es-ES_tradnl"/>
        </w:rPr>
        <w:t xml:space="preserve"> del terreno restringido, serán significativamente inferiores a los valores obtenidos utilizando únicamente la propagación en el espacio libre. En estas circunstancias, los métodos más detallados para el cálculo de la intensidad de campo se traducirán en una reducción significativa del potencial de incompatibilidad.</w:t>
      </w:r>
    </w:p>
    <w:p w14:paraId="0B02002D" w14:textId="77777777" w:rsidR="008760D9" w:rsidRDefault="008760D9">
      <w:pPr>
        <w:pStyle w:val="Heading2"/>
        <w:rPr>
          <w:lang w:val="es-ES_tradnl"/>
        </w:rPr>
      </w:pPr>
      <w:r>
        <w:rPr>
          <w:lang w:val="es-ES_tradnl"/>
        </w:rPr>
        <w:br w:type="page"/>
      </w:r>
      <w:r>
        <w:rPr>
          <w:lang w:val="es-ES_tradnl"/>
        </w:rPr>
        <w:lastRenderedPageBreak/>
        <w:t>2.2</w:t>
      </w:r>
      <w:r>
        <w:rPr>
          <w:lang w:val="es-ES_tradnl"/>
        </w:rPr>
        <w:tab/>
        <w:t>Consideraciones sobre los puntos de prueba</w:t>
      </w:r>
    </w:p>
    <w:p w14:paraId="66CD715F" w14:textId="77777777" w:rsidR="008760D9" w:rsidRDefault="008760D9">
      <w:pPr>
        <w:rPr>
          <w:lang w:val="es-ES_tradnl"/>
        </w:rPr>
      </w:pPr>
      <w:r>
        <w:rPr>
          <w:lang w:val="es-ES_tradnl"/>
        </w:rPr>
        <w:t>Al efectuar un análisis detallado de la compatibilidad para todo punto de prueba en el que el método de evaluación general haya indicado un potencial de incompatibilidad, ha de verificarse cuidadosamente la validez del punto de prueba en relación con el volumen del servicio aeronáutico. Como el método de evaluación general produce automáticamente puntos de prueba, es posible que alguno de éstos coincida con los emplazamientos en los que, según la documentación aeronáutica publicada:</w:t>
      </w:r>
    </w:p>
    <w:p w14:paraId="72833E19" w14:textId="77777777" w:rsidR="008760D9" w:rsidRDefault="008760D9">
      <w:pPr>
        <w:pStyle w:val="enumlev1"/>
        <w:rPr>
          <w:lang w:val="es-ES_tradnl"/>
        </w:rPr>
      </w:pPr>
      <w:r>
        <w:rPr>
          <w:lang w:val="es-ES_tradnl"/>
        </w:rPr>
        <w:t>–</w:t>
      </w:r>
      <w:r>
        <w:rPr>
          <w:lang w:val="es-ES_tradnl"/>
        </w:rPr>
        <w:tab/>
        <w:t>la aeronave no pueda volar debido a obstrucciones naturales o artificiales;</w:t>
      </w:r>
    </w:p>
    <w:p w14:paraId="2FF23733" w14:textId="77777777" w:rsidR="008760D9" w:rsidRDefault="008760D9">
      <w:pPr>
        <w:pStyle w:val="enumlev1"/>
        <w:rPr>
          <w:lang w:val="es-ES_tradnl"/>
        </w:rPr>
      </w:pPr>
      <w:r>
        <w:rPr>
          <w:lang w:val="es-ES_tradnl"/>
        </w:rPr>
        <w:t>–</w:t>
      </w:r>
      <w:r>
        <w:rPr>
          <w:lang w:val="es-ES_tradnl"/>
        </w:rPr>
        <w:tab/>
        <w:t>la aeronave no esté autorizada a volar debido a limitaciones específicas del vuelo;</w:t>
      </w:r>
    </w:p>
    <w:p w14:paraId="7A3C6B94" w14:textId="77777777" w:rsidR="008760D9" w:rsidRDefault="008760D9">
      <w:pPr>
        <w:pStyle w:val="enumlev1"/>
        <w:rPr>
          <w:lang w:val="es-ES_tradnl"/>
        </w:rPr>
      </w:pPr>
      <w:r>
        <w:rPr>
          <w:lang w:val="es-ES_tradnl"/>
        </w:rPr>
        <w:t>–</w:t>
      </w:r>
      <w:r>
        <w:rPr>
          <w:lang w:val="es-ES_tradnl"/>
        </w:rPr>
        <w:tab/>
        <w:t>los pilotos tienen orden de no utilizar la facilidad de navegación aeronáutica pues se sabe que da resultados que no son fiables en una zona particular.</w:t>
      </w:r>
    </w:p>
    <w:p w14:paraId="7AF7F49D" w14:textId="77777777" w:rsidR="008760D9" w:rsidRDefault="008760D9">
      <w:pPr>
        <w:rPr>
          <w:lang w:val="es-ES_tradnl"/>
        </w:rPr>
      </w:pPr>
      <w:r>
        <w:rPr>
          <w:lang w:val="es-ES_tradnl"/>
        </w:rPr>
        <w:t>Además, puede haber circunstancias en las que los puntos de prueba generados por el método de evaluación general sean más bajos y por tanto, caigan fuera del volumen de servicio de un VOR. Esto puede ocurrir con mayor probabilidad en las instalaciones VOR de baja potencia.</w:t>
      </w:r>
    </w:p>
    <w:p w14:paraId="157021F3" w14:textId="77777777" w:rsidR="008760D9" w:rsidRDefault="008760D9">
      <w:pPr>
        <w:pStyle w:val="Heading2"/>
        <w:rPr>
          <w:lang w:val="es-ES_tradnl"/>
        </w:rPr>
      </w:pPr>
      <w:r>
        <w:rPr>
          <w:lang w:val="es-ES_tradnl"/>
        </w:rPr>
        <w:t>2.3</w:t>
      </w:r>
      <w:r>
        <w:rPr>
          <w:lang w:val="es-ES_tradnl"/>
        </w:rPr>
        <w:tab/>
        <w:t>Consideraciones sobre las estaciones coordinadas</w:t>
      </w:r>
    </w:p>
    <w:p w14:paraId="09D324F2" w14:textId="77777777" w:rsidR="008760D9" w:rsidRDefault="008760D9">
      <w:pPr>
        <w:rPr>
          <w:lang w:val="es-ES_tradnl"/>
        </w:rPr>
      </w:pPr>
      <w:r>
        <w:rPr>
          <w:lang w:val="es-ES_tradnl"/>
        </w:rPr>
        <w:t>Se ha coordinado entre las administraciones un gran número de estaciones aeronáuticas y de radiodifusión, utilizando criterios de compatibilidad distintos de los que figuran en el Anexo 1. En particular, en la Región 1 y en ciertos países de la Región 3, se han utilizado ampliamente los criterios del Acuerdo de Ginebra de 1984, durante muchos años. Aunque en la mayoría de los casos los cálculos efectuados con el método de evaluación general utilizando los criterios de inter</w:t>
      </w:r>
      <w:r>
        <w:rPr>
          <w:lang w:val="es-ES_tradnl"/>
        </w:rPr>
        <w:softHyphen/>
        <w:t>ferencia B1 del Anexo 1 para el receptor de Montreal darán unas probabilidades de interferencia inferiores a las de los cálculos utilizando los criterios del Acuerdo de Ginebra de 1984, habrá otros casos en que el cálculo dará un potencial de interferencia mayor. La Fig. 9 muestra con sombreado las gamas de frecuencia para las estaciones aeronáuticas y de radiodifusión en donde el cálculo señala una mayor probabilidad de interferencia. Como el método de evaluación general lleva consigo algunas hipótesis de caso más desfavorable, cabe esperar que, en la gran mayoría de los casos en que el método muestra un mayor potencial de interferencia, una evaluación más detallada de la compatibilidad que tenga en cuenta las propuestas de este Anexo indicará que, en la práctica, no habrá una reducción de la compatibilidad. En particular, la utilización de intensidades de campo aeronáuticas y de radiodifusión realistas, en vez de valores mínimos o de espacio libre, respectivamente, producirá una reducción significativa del potencial de interferencia calculado.</w:t>
      </w:r>
    </w:p>
    <w:p w14:paraId="043D1E33" w14:textId="77777777" w:rsidR="008760D9" w:rsidRDefault="008760D9">
      <w:pPr>
        <w:rPr>
          <w:lang w:val="es-ES_tradnl"/>
        </w:rPr>
      </w:pPr>
    </w:p>
    <w:p w14:paraId="37BC4C8A" w14:textId="77777777" w:rsidR="008760D9" w:rsidRDefault="00DF52C7">
      <w:pPr>
        <w:pStyle w:val="Fig"/>
        <w:rPr>
          <w:lang w:val="es-ES_tradnl"/>
        </w:rPr>
      </w:pPr>
      <w:r>
        <w:rPr>
          <w:noProof/>
          <w:lang w:eastAsia="zh-CN"/>
        </w:rPr>
        <w:drawing>
          <wp:inline distT="0" distB="0" distL="0" distR="0" wp14:anchorId="32DB4525" wp14:editId="20F86A4B">
            <wp:extent cx="4869180" cy="1539240"/>
            <wp:effectExtent l="0" t="0" r="762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69180" cy="1539240"/>
                    </a:xfrm>
                    <a:prstGeom prst="rect">
                      <a:avLst/>
                    </a:prstGeom>
                    <a:noFill/>
                    <a:ln>
                      <a:noFill/>
                    </a:ln>
                  </pic:spPr>
                </pic:pic>
              </a:graphicData>
            </a:graphic>
          </wp:inline>
        </w:drawing>
      </w:r>
    </w:p>
    <w:p w14:paraId="4DD124F2" w14:textId="77777777" w:rsidR="008760D9" w:rsidRDefault="008760D9">
      <w:pPr>
        <w:pStyle w:val="Fig0"/>
        <w:rPr>
          <w:lang w:val="es-ES_tradnl"/>
        </w:rPr>
      </w:pPr>
      <w:r>
        <w:rPr>
          <w:lang w:val="es-ES_tradnl"/>
        </w:rPr>
        <w:t>FIGURE 9/1009...</w:t>
      </w:r>
      <w:r>
        <w:rPr>
          <w:b/>
          <w:lang w:val="es-ES_tradnl"/>
        </w:rPr>
        <w:t>[D09]</w:t>
      </w:r>
      <w:r>
        <w:rPr>
          <w:lang w:val="es-ES_tradnl"/>
        </w:rPr>
        <w:t xml:space="preserve">  </w:t>
      </w:r>
      <w:r>
        <w:rPr>
          <w:rFonts w:ascii="Symbol" w:hAnsi="Symbol"/>
          <w:lang w:val="es-ES_tradnl"/>
        </w:rPr>
        <w:t></w:t>
      </w:r>
      <w:r>
        <w:rPr>
          <w:lang w:val="es-ES_tradnl"/>
        </w:rPr>
        <w:t xml:space="preserve"> 4 CM </w:t>
      </w:r>
    </w:p>
    <w:p w14:paraId="6B833772" w14:textId="77777777" w:rsidR="008760D9" w:rsidRDefault="008760D9">
      <w:pPr>
        <w:rPr>
          <w:lang w:val="es-ES_tradnl"/>
        </w:rPr>
      </w:pPr>
      <w:r>
        <w:rPr>
          <w:lang w:val="es-ES_tradnl"/>
        </w:rPr>
        <w:t>En sombreado se representa la gama de frecuencias en que el receptor de Montreal puede tener mayor interferencia potencial de tipo B1 que el receptor GE84.</w:t>
      </w:r>
    </w:p>
    <w:p w14:paraId="23F300F5" w14:textId="77777777" w:rsidR="008760D9" w:rsidRDefault="008760D9">
      <w:pPr>
        <w:rPr>
          <w:lang w:val="es-ES_tradnl"/>
        </w:rPr>
      </w:pPr>
      <w:r>
        <w:rPr>
          <w:lang w:val="es-ES_tradnl"/>
        </w:rPr>
        <w:t>Puede haber casos en que el análisis más detallado no pueda restituir la compatibilidad a los valores calculados previamente. Si se confirman las incompatibilidades, por ejemplo, mediante pruebas en vuelo, las administraciones en cuestión deben adoptar las medidas necesarias para asegurar la compatibilidad.</w:t>
      </w:r>
    </w:p>
    <w:p w14:paraId="3C788A40" w14:textId="77777777" w:rsidR="008760D9" w:rsidRDefault="008760D9">
      <w:pPr>
        <w:pStyle w:val="Heading2"/>
        <w:rPr>
          <w:lang w:val="es-ES_tradnl"/>
        </w:rPr>
      </w:pPr>
      <w:r>
        <w:rPr>
          <w:lang w:val="es-ES_tradnl"/>
        </w:rPr>
        <w:t>2.4</w:t>
      </w:r>
      <w:r>
        <w:rPr>
          <w:lang w:val="es-ES_tradnl"/>
        </w:rPr>
        <w:tab/>
        <w:t>Consideración de las estaciones operativas</w:t>
      </w:r>
    </w:p>
    <w:p w14:paraId="775C8B85" w14:textId="77777777" w:rsidR="008760D9" w:rsidRDefault="008760D9">
      <w:pPr>
        <w:rPr>
          <w:lang w:val="es-ES_tradnl"/>
        </w:rPr>
      </w:pPr>
      <w:r>
        <w:rPr>
          <w:lang w:val="es-ES_tradnl"/>
        </w:rPr>
        <w:t>Como el método de evaluación general pretende calcular todas las incompatibilidades potenciales significativas en un volumen de servicio aeronáutico, se adopta una serie de hipótesis de peor caso. De esta manera, es probable que haya una sobrestimación de la interferencia potencial y puede resultar que el método de evaluación general indique interferencia potencial en situaciones en que las estaciones aeronáutica y de radiodifusión pertinentes están en funcionamiento y no parece plantearse en la práctica ningún problema de interferencia. Dichas situaciones deben examinarse pues pueden aportar información útil que conduzca a una mejora del método de evaluación.</w:t>
      </w:r>
    </w:p>
    <w:p w14:paraId="34615817" w14:textId="77777777" w:rsidR="008760D9" w:rsidRDefault="008760D9">
      <w:pPr>
        <w:pStyle w:val="Heading1"/>
        <w:rPr>
          <w:lang w:val="es-ES_tradnl"/>
        </w:rPr>
      </w:pPr>
      <w:r>
        <w:rPr>
          <w:lang w:val="es-ES_tradnl"/>
        </w:rPr>
        <w:lastRenderedPageBreak/>
        <w:t>3</w:t>
      </w:r>
      <w:r>
        <w:rPr>
          <w:lang w:val="es-ES_tradnl"/>
        </w:rPr>
        <w:tab/>
        <w:t>Interferencia múltiple</w:t>
      </w:r>
    </w:p>
    <w:p w14:paraId="157D3E0E" w14:textId="77777777" w:rsidR="008760D9" w:rsidRDefault="008760D9">
      <w:pPr>
        <w:rPr>
          <w:lang w:val="es-ES_tradnl"/>
        </w:rPr>
      </w:pPr>
      <w:r>
        <w:rPr>
          <w:lang w:val="es-ES_tradnl"/>
        </w:rPr>
        <w:t>Cuando se dispone de valores medidos o predicciones relativamente exactas de las intensidades de campo deseada y no deseada, deben tenerse en cuenta los productos de intermodulación múltiples en cada modo de interferencia. Esto puede realizarse utilizando la suma de potencias de los márgenes individuales de interferencia, IM, en un punto de prueba determinado.</w:t>
      </w:r>
    </w:p>
    <w:p w14:paraId="00C24E72" w14:textId="77777777" w:rsidR="008760D9" w:rsidRDefault="008760D9">
      <w:pPr>
        <w:rPr>
          <w:lang w:val="es-ES_tradnl"/>
        </w:rPr>
      </w:pPr>
      <w:r>
        <w:rPr>
          <w:lang w:val="es-ES_tradnl"/>
        </w:rPr>
        <w:t xml:space="preserve">El margen total de interferencia </w:t>
      </w:r>
      <w:r>
        <w:rPr>
          <w:i/>
          <w:lang w:val="es-ES_tradnl"/>
        </w:rPr>
        <w:t>IM</w:t>
      </w:r>
      <w:r>
        <w:rPr>
          <w:lang w:val="es-ES_tradnl"/>
        </w:rPr>
        <w:t xml:space="preserve"> (dB) viene dado por:</w:t>
      </w:r>
    </w:p>
    <w:p w14:paraId="39481719" w14:textId="77777777" w:rsidR="008760D9" w:rsidRDefault="008760D9">
      <w:pPr>
        <w:pStyle w:val="Equation"/>
        <w:rPr>
          <w:lang w:val="es-ES_tradnl"/>
        </w:rPr>
      </w:pPr>
      <w:bookmarkStart w:id="32" w:name="F031"/>
      <w:r w:rsidRPr="00AC3FDE">
        <w:rPr>
          <w:lang w:val="es-ES"/>
        </w:rPr>
        <w:tab/>
      </w:r>
      <w:r w:rsidRPr="00AC3FDE">
        <w:rPr>
          <w:lang w:val="es-ES"/>
        </w:rPr>
        <w:tab/>
      </w:r>
      <w:r>
        <w:rPr>
          <w:position w:val="-44"/>
          <w:lang w:val="fr-FR"/>
        </w:rPr>
        <w:object w:dxaOrig="2700" w:dyaOrig="980" w14:anchorId="75128E84">
          <v:shape id="_x0000_i1035" type="#_x0000_t75" style="width:134.85pt;height:49.1pt" o:ole="">
            <v:imagedata r:id="rId47" o:title=""/>
          </v:shape>
          <o:OLEObject Type="Embed" ProgID="Equation.3" ShapeID="_x0000_i1035" DrawAspect="Content" ObjectID="_1652520890" r:id="rId48"/>
        </w:object>
      </w:r>
      <w:r w:rsidRPr="00AC3FDE">
        <w:rPr>
          <w:lang w:val="es-ES"/>
        </w:rPr>
        <w:tab/>
        <w:t>(29)</w:t>
      </w:r>
      <w:bookmarkEnd w:id="32"/>
    </w:p>
    <w:p w14:paraId="1DAAEFF4" w14:textId="77777777" w:rsidR="008760D9" w:rsidRDefault="008760D9">
      <w:pPr>
        <w:rPr>
          <w:lang w:val="es-ES_tradnl"/>
        </w:rPr>
      </w:pPr>
      <w:r>
        <w:rPr>
          <w:lang w:val="es-ES_tradnl"/>
        </w:rPr>
        <w:t>siendo:</w:t>
      </w:r>
    </w:p>
    <w:p w14:paraId="41C428BA" w14:textId="77777777" w:rsidR="008760D9" w:rsidRDefault="008760D9">
      <w:pPr>
        <w:pStyle w:val="enumlev1"/>
        <w:tabs>
          <w:tab w:val="left" w:pos="907"/>
        </w:tabs>
        <w:rPr>
          <w:lang w:val="es-ES_tradnl"/>
        </w:rPr>
      </w:pPr>
      <w:r>
        <w:rPr>
          <w:i/>
          <w:lang w:val="es-ES_tradnl"/>
        </w:rPr>
        <w:tab/>
        <w:t>N</w:t>
      </w:r>
      <w:r>
        <w:rPr>
          <w:rFonts w:ascii="Tms Rmn" w:hAnsi="Tms Rmn"/>
          <w:sz w:val="12"/>
          <w:lang w:val="es-ES_tradnl"/>
        </w:rPr>
        <w:t> </w:t>
      </w:r>
      <w:r>
        <w:rPr>
          <w:lang w:val="es-ES_tradnl"/>
        </w:rPr>
        <w:t>:</w:t>
      </w:r>
      <w:r>
        <w:rPr>
          <w:lang w:val="es-ES_tradnl"/>
        </w:rPr>
        <w:tab/>
        <w:t>número de márgenes de interferencia individuales</w:t>
      </w:r>
    </w:p>
    <w:p w14:paraId="1D5B2D2E" w14:textId="77777777" w:rsidR="008760D9" w:rsidRDefault="008760D9">
      <w:pPr>
        <w:pStyle w:val="enumlev1"/>
        <w:tabs>
          <w:tab w:val="left" w:pos="907"/>
        </w:tabs>
        <w:rPr>
          <w:lang w:val="es-ES_tradnl"/>
        </w:rPr>
      </w:pPr>
      <w:r>
        <w:rPr>
          <w:i/>
          <w:lang w:val="es-ES_tradnl"/>
        </w:rPr>
        <w:tab/>
        <w:t>IM</w:t>
      </w:r>
      <w:r>
        <w:rPr>
          <w:i/>
          <w:position w:val="-4"/>
          <w:sz w:val="16"/>
          <w:lang w:val="es-ES_tradnl"/>
        </w:rPr>
        <w:t>i</w:t>
      </w:r>
      <w:r>
        <w:rPr>
          <w:rFonts w:ascii="Tms Rmn" w:hAnsi="Tms Rmn"/>
          <w:sz w:val="12"/>
          <w:lang w:val="es-ES_tradnl"/>
        </w:rPr>
        <w:t> </w:t>
      </w:r>
      <w:r>
        <w:rPr>
          <w:lang w:val="es-ES_tradnl"/>
        </w:rPr>
        <w:t>:</w:t>
      </w:r>
      <w:r>
        <w:rPr>
          <w:lang w:val="es-ES_tradnl"/>
        </w:rPr>
        <w:tab/>
        <w:t xml:space="preserve">valor del margen de interferencia </w:t>
      </w:r>
      <w:r>
        <w:rPr>
          <w:i/>
          <w:lang w:val="es-ES_tradnl"/>
        </w:rPr>
        <w:t>i</w:t>
      </w:r>
      <w:r>
        <w:rPr>
          <w:lang w:val="es-ES_tradnl"/>
        </w:rPr>
        <w:t>-</w:t>
      </w:r>
      <w:proofErr w:type="spellStart"/>
      <w:r>
        <w:rPr>
          <w:lang w:val="es-ES_tradnl"/>
        </w:rPr>
        <w:t>ésimo</w:t>
      </w:r>
      <w:proofErr w:type="spellEnd"/>
      <w:r>
        <w:rPr>
          <w:lang w:val="es-ES_tradnl"/>
        </w:rPr>
        <w:t>.</w:t>
      </w:r>
    </w:p>
    <w:p w14:paraId="4DE10DBC" w14:textId="77777777" w:rsidR="008760D9" w:rsidRDefault="008760D9">
      <w:pPr>
        <w:pStyle w:val="Heading1"/>
        <w:rPr>
          <w:lang w:val="es-ES_tradnl"/>
        </w:rPr>
      </w:pPr>
      <w:r>
        <w:rPr>
          <w:lang w:val="es-ES_tradnl"/>
        </w:rPr>
        <w:t>4</w:t>
      </w:r>
      <w:r>
        <w:rPr>
          <w:lang w:val="es-ES_tradnl"/>
        </w:rPr>
        <w:tab/>
        <w:t>Evaluación detallada de la compatibilidad</w:t>
      </w:r>
    </w:p>
    <w:p w14:paraId="4DD8BED6" w14:textId="77777777" w:rsidR="008760D9" w:rsidRDefault="008760D9">
      <w:pPr>
        <w:rPr>
          <w:lang w:val="es-ES_tradnl"/>
        </w:rPr>
      </w:pPr>
      <w:r>
        <w:rPr>
          <w:lang w:val="es-ES_tradnl"/>
        </w:rPr>
        <w:t>Las pruebas han demostrado que, cuando se sustituyen los valores predichos de los datos por valores medidos, los resultados del cálculo de compatibilidad se aproximan a los de la experiencia. Cuando todos los valores de los datos del análisis se sustituyen por valores medidos, los resultados del cálculo de compatibilidad se aproximan mucho a los resultados de las pruebas de correlación en vuelo.</w:t>
      </w:r>
    </w:p>
    <w:p w14:paraId="0F1DF3E8" w14:textId="77777777" w:rsidR="008760D9" w:rsidRDefault="008760D9">
      <w:pPr>
        <w:rPr>
          <w:lang w:val="es-ES_tradnl"/>
        </w:rPr>
      </w:pPr>
      <w:r>
        <w:rPr>
          <w:lang w:val="es-ES_tradnl"/>
        </w:rPr>
        <w:t>Así pues, en una evaluación detallada de la compatibilidad caso a caso, deben utilizarse los valores más precisos disponibles. En particular, se mejorará la precisión de los cálculos de compatibilidad:</w:t>
      </w:r>
    </w:p>
    <w:p w14:paraId="0B22CECC" w14:textId="77777777" w:rsidR="008760D9" w:rsidRDefault="008760D9">
      <w:pPr>
        <w:pStyle w:val="enumlev1"/>
        <w:rPr>
          <w:lang w:val="es-ES_tradnl"/>
        </w:rPr>
      </w:pPr>
      <w:r>
        <w:rPr>
          <w:lang w:val="es-ES_tradnl"/>
        </w:rPr>
        <w:t>–</w:t>
      </w:r>
      <w:r>
        <w:rPr>
          <w:lang w:val="es-ES_tradnl"/>
        </w:rPr>
        <w:tab/>
        <w:t>sustituyendo el diagrama de radiación horizontal previsto para una antena de radiodifusión por un diagrama medido con la antena instalada;</w:t>
      </w:r>
    </w:p>
    <w:p w14:paraId="51640E79" w14:textId="77777777" w:rsidR="008760D9" w:rsidRDefault="008760D9">
      <w:pPr>
        <w:pStyle w:val="enumlev1"/>
        <w:rPr>
          <w:lang w:val="es-ES_tradnl"/>
        </w:rPr>
      </w:pPr>
      <w:r>
        <w:rPr>
          <w:lang w:val="es-ES_tradnl"/>
        </w:rPr>
        <w:t>–</w:t>
      </w:r>
      <w:r>
        <w:rPr>
          <w:lang w:val="es-ES_tradnl"/>
        </w:rPr>
        <w:tab/>
        <w:t>sustituyendo el diagrama de radiación vertical previsto para una antena de radiodifusión (véase el § 4 del Anexo 2) por el diagrama medido para la antena instalada;</w:t>
      </w:r>
    </w:p>
    <w:p w14:paraId="068C11CD" w14:textId="77777777" w:rsidR="008760D9" w:rsidRDefault="008760D9">
      <w:pPr>
        <w:pStyle w:val="enumlev1"/>
        <w:rPr>
          <w:lang w:val="es-ES_tradnl"/>
        </w:rPr>
      </w:pPr>
      <w:r>
        <w:rPr>
          <w:lang w:val="es-ES_tradnl"/>
        </w:rPr>
        <w:t>–</w:t>
      </w:r>
      <w:r>
        <w:rPr>
          <w:lang w:val="es-ES_tradnl"/>
        </w:rPr>
        <w:tab/>
        <w:t>en el caso del ILS, calculando el nivel de la señal deseada mediante el método de dos rayos del § 3.2.2.3.1 en lugar del método de interpolación del § 3.2.2.3.2;</w:t>
      </w:r>
    </w:p>
    <w:p w14:paraId="469390C8" w14:textId="77777777" w:rsidR="008760D9" w:rsidRDefault="008760D9">
      <w:pPr>
        <w:pStyle w:val="enumlev1"/>
        <w:rPr>
          <w:lang w:val="es-ES_tradnl"/>
        </w:rPr>
      </w:pPr>
      <w:r>
        <w:rPr>
          <w:lang w:val="es-ES_tradnl"/>
        </w:rPr>
        <w:t>–</w:t>
      </w:r>
      <w:r>
        <w:rPr>
          <w:lang w:val="es-ES_tradnl"/>
        </w:rPr>
        <w:tab/>
        <w:t>sustituyendo el diagrama de radiación horizontal previsto para una antena de transmisión de localizador ILS por un diagrama medido para la antena instalada.</w:t>
      </w:r>
    </w:p>
    <w:p w14:paraId="2626220C" w14:textId="77777777" w:rsidR="008760D9" w:rsidRDefault="008760D9">
      <w:pPr>
        <w:rPr>
          <w:lang w:val="es-ES_tradnl"/>
        </w:rPr>
      </w:pPr>
      <w:r>
        <w:rPr>
          <w:lang w:val="es-ES_tradnl"/>
        </w:rPr>
        <w:t>Pueden obtenerse nuevas mejoras de la precisión del cálculo de compatibilidad:</w:t>
      </w:r>
    </w:p>
    <w:p w14:paraId="1FF4F496" w14:textId="77777777" w:rsidR="008760D9" w:rsidRDefault="008760D9">
      <w:pPr>
        <w:pStyle w:val="enumlev1"/>
        <w:rPr>
          <w:lang w:val="es-ES_tradnl"/>
        </w:rPr>
      </w:pPr>
      <w:r>
        <w:rPr>
          <w:lang w:val="es-ES_tradnl"/>
        </w:rPr>
        <w:t>–</w:t>
      </w:r>
      <w:r>
        <w:rPr>
          <w:lang w:val="es-ES_tradnl"/>
        </w:rPr>
        <w:tab/>
        <w:t>sustituyendo los valores previstos de las señales de radiodifusión por valores medidos durante ensayos en vuelo;</w:t>
      </w:r>
    </w:p>
    <w:p w14:paraId="1357EA3F" w14:textId="77777777" w:rsidR="008760D9" w:rsidRDefault="008760D9">
      <w:pPr>
        <w:pStyle w:val="enumlev1"/>
        <w:rPr>
          <w:lang w:val="es-ES_tradnl"/>
        </w:rPr>
      </w:pPr>
      <w:r>
        <w:rPr>
          <w:lang w:val="es-ES_tradnl"/>
        </w:rPr>
        <w:t>–</w:t>
      </w:r>
      <w:r>
        <w:rPr>
          <w:lang w:val="es-ES_tradnl"/>
        </w:rPr>
        <w:tab/>
        <w:t>sustituyendo los niveles previstos de las señales aeronáuticas por valores obtenidos mediante pruebas en vuelo.</w:t>
      </w:r>
    </w:p>
    <w:p w14:paraId="2EC23EDE" w14:textId="77777777" w:rsidR="008760D9" w:rsidRDefault="008760D9">
      <w:pPr>
        <w:rPr>
          <w:lang w:val="es-ES_tradnl"/>
        </w:rPr>
      </w:pPr>
      <w:r>
        <w:rPr>
          <w:lang w:val="es-ES_tradnl"/>
        </w:rPr>
        <w:t>En este último caso, se ha visto que es posible medir las intensidades de campo del localizador ILS a lo largo de la línea central de la pista y utilizar un diagrama de radiación horizontal predicho o medido de la antena ILS para obtener valores precisos de las intensidades de campo en emplazamientos situados fuera de la línea de pista ampliada. Con ello se evita la necesidad de efectuar medidas amplias en toda la DOC del ILS.</w:t>
      </w:r>
    </w:p>
    <w:p w14:paraId="6CF2852A" w14:textId="77777777" w:rsidR="008760D9" w:rsidRDefault="008760D9">
      <w:pPr>
        <w:pStyle w:val="Heading1"/>
        <w:rPr>
          <w:lang w:val="es-ES_tradnl"/>
        </w:rPr>
      </w:pPr>
      <w:r>
        <w:rPr>
          <w:lang w:val="es-ES_tradnl"/>
        </w:rPr>
        <w:t>5</w:t>
      </w:r>
      <w:r>
        <w:rPr>
          <w:lang w:val="es-ES_tradnl"/>
        </w:rPr>
        <w:tab/>
        <w:t>Proceso de verificación práctica</w:t>
      </w:r>
    </w:p>
    <w:p w14:paraId="2EEB9724" w14:textId="77777777" w:rsidR="008760D9" w:rsidRDefault="008760D9">
      <w:pPr>
        <w:rPr>
          <w:lang w:val="es-ES_tradnl"/>
        </w:rPr>
      </w:pPr>
      <w:r>
        <w:rPr>
          <w:lang w:val="es-ES_tradnl"/>
        </w:rPr>
        <w:t>La verificación de los resultados del cálculo de evaluación de la compatibilidad puede obtenerse:</w:t>
      </w:r>
    </w:p>
    <w:p w14:paraId="1F1215B9" w14:textId="77777777" w:rsidR="008760D9" w:rsidRDefault="008760D9">
      <w:pPr>
        <w:pStyle w:val="enumlev1"/>
        <w:rPr>
          <w:lang w:val="es-ES_tradnl"/>
        </w:rPr>
      </w:pPr>
      <w:r>
        <w:rPr>
          <w:lang w:val="es-ES_tradnl"/>
        </w:rPr>
        <w:t>–</w:t>
      </w:r>
      <w:r>
        <w:rPr>
          <w:lang w:val="es-ES_tradnl"/>
        </w:rPr>
        <w:tab/>
        <w:t>midiendo los niveles de las señales de radiodifusión a la entrada de un receptor aeronáutico;</w:t>
      </w:r>
    </w:p>
    <w:p w14:paraId="13D8254A" w14:textId="77777777" w:rsidR="008760D9" w:rsidRDefault="008760D9">
      <w:pPr>
        <w:pStyle w:val="enumlev1"/>
        <w:rPr>
          <w:lang w:val="es-ES_tradnl"/>
        </w:rPr>
      </w:pPr>
      <w:r>
        <w:rPr>
          <w:lang w:val="es-ES_tradnl"/>
        </w:rPr>
        <w:t>–</w:t>
      </w:r>
      <w:r>
        <w:rPr>
          <w:lang w:val="es-ES_tradnl"/>
        </w:rPr>
        <w:tab/>
        <w:t>midiendo el nivel de una señal aeronáutica a la entrada de su receptor;</w:t>
      </w:r>
    </w:p>
    <w:p w14:paraId="661B3B82" w14:textId="77777777" w:rsidR="008760D9" w:rsidRDefault="008760D9">
      <w:pPr>
        <w:pStyle w:val="enumlev1"/>
        <w:rPr>
          <w:lang w:val="es-ES_tradnl"/>
        </w:rPr>
      </w:pPr>
      <w:r>
        <w:rPr>
          <w:lang w:val="es-ES_tradnl"/>
        </w:rPr>
        <w:t>–</w:t>
      </w:r>
      <w:r>
        <w:rPr>
          <w:lang w:val="es-ES_tradnl"/>
        </w:rPr>
        <w:tab/>
        <w:t>utilizando un receptor aeronáutico con características medidas en ensayos, teniendo en cuenta una gama adecuada de niveles y frecuencias de señales de radiodifusión y aeronáuticas, y teniendo en cuenta la diferencia entre estas características medidas y las que se utilizan en los cálculos teóricos;</w:t>
      </w:r>
    </w:p>
    <w:p w14:paraId="3DC6C9D6" w14:textId="77777777" w:rsidR="008760D9" w:rsidRDefault="008760D9">
      <w:pPr>
        <w:pStyle w:val="enumlev1"/>
        <w:rPr>
          <w:lang w:val="es-ES_tradnl"/>
        </w:rPr>
      </w:pPr>
      <w:r>
        <w:rPr>
          <w:lang w:val="es-ES_tradnl"/>
        </w:rPr>
        <w:t>–</w:t>
      </w:r>
      <w:r>
        <w:rPr>
          <w:lang w:val="es-ES_tradnl"/>
        </w:rPr>
        <w:tab/>
        <w:t>utilizando una antena de recepción de aeronave con un diagrama de radiación y con una respuesta en frecuencia medida, y teniendo en cuenta la diferencia entre estas características medidas y las utilizadas en los cálculos teóricos.</w:t>
      </w:r>
    </w:p>
    <w:p w14:paraId="0E39E7E5" w14:textId="77777777" w:rsidR="008760D9" w:rsidRDefault="008760D9">
      <w:pPr>
        <w:rPr>
          <w:lang w:val="es-ES_tradnl"/>
        </w:rPr>
      </w:pPr>
      <w:r>
        <w:rPr>
          <w:lang w:val="es-ES_tradnl"/>
        </w:rPr>
        <w:br w:type="page"/>
      </w:r>
      <w:r>
        <w:rPr>
          <w:lang w:val="es-ES_tradnl"/>
        </w:rPr>
        <w:lastRenderedPageBreak/>
        <w:t>Es especialmente importante utilizar una antena de recepción de aeronave con características medidas si se desea efectuar una comparación precisa entre los valores predichos de la intensidad de campo de las estaciones de radiodifusión y los niveles de sus señales a la entrada de un receptor aeronáutico.</w:t>
      </w:r>
    </w:p>
    <w:p w14:paraId="5E81E4CD" w14:textId="77777777" w:rsidR="008760D9" w:rsidRDefault="008760D9">
      <w:pPr>
        <w:pStyle w:val="Heading1"/>
        <w:rPr>
          <w:lang w:val="es-ES_tradnl"/>
        </w:rPr>
      </w:pPr>
      <w:r>
        <w:rPr>
          <w:lang w:val="es-ES_tradnl"/>
        </w:rPr>
        <w:t>6</w:t>
      </w:r>
      <w:r>
        <w:rPr>
          <w:lang w:val="es-ES_tradnl"/>
        </w:rPr>
        <w:tab/>
        <w:t>Resumen</w:t>
      </w:r>
    </w:p>
    <w:p w14:paraId="3833778C" w14:textId="77777777" w:rsidR="008760D9" w:rsidRDefault="008760D9">
      <w:pPr>
        <w:rPr>
          <w:lang w:val="es-ES_tradnl"/>
        </w:rPr>
      </w:pPr>
      <w:r>
        <w:rPr>
          <w:lang w:val="es-ES_tradnl"/>
        </w:rPr>
        <w:t>Puede mejorarse la precisión de un cálculo de evaluación de la compatibilidad, utilizando datos más precisos, por ejemplo:</w:t>
      </w:r>
    </w:p>
    <w:p w14:paraId="297DFEFE" w14:textId="77777777" w:rsidR="008760D9" w:rsidRDefault="008760D9">
      <w:pPr>
        <w:pStyle w:val="enumlev1"/>
        <w:rPr>
          <w:lang w:val="es-ES_tradnl"/>
        </w:rPr>
      </w:pPr>
      <w:r>
        <w:rPr>
          <w:lang w:val="es-ES_tradnl"/>
        </w:rPr>
        <w:t>–</w:t>
      </w:r>
      <w:r>
        <w:rPr>
          <w:lang w:val="es-ES_tradnl"/>
        </w:rPr>
        <w:tab/>
        <w:t>diagramas de radiación horizontal de antena de radiodifusión medidos;</w:t>
      </w:r>
    </w:p>
    <w:p w14:paraId="61AC148A" w14:textId="77777777" w:rsidR="008760D9" w:rsidRDefault="008760D9">
      <w:pPr>
        <w:pStyle w:val="enumlev1"/>
        <w:rPr>
          <w:lang w:val="es-ES_tradnl"/>
        </w:rPr>
      </w:pPr>
      <w:r>
        <w:rPr>
          <w:lang w:val="es-ES_tradnl"/>
        </w:rPr>
        <w:t>–</w:t>
      </w:r>
      <w:r>
        <w:rPr>
          <w:lang w:val="es-ES_tradnl"/>
        </w:rPr>
        <w:tab/>
        <w:t>diagramas de radiación vertical de antena de radiodifusión medidos;</w:t>
      </w:r>
    </w:p>
    <w:p w14:paraId="219CC9CD" w14:textId="77777777" w:rsidR="008760D9" w:rsidRDefault="008760D9">
      <w:pPr>
        <w:pStyle w:val="enumlev1"/>
        <w:rPr>
          <w:lang w:val="es-ES_tradnl"/>
        </w:rPr>
      </w:pPr>
      <w:r>
        <w:rPr>
          <w:lang w:val="es-ES_tradnl"/>
        </w:rPr>
        <w:t>–</w:t>
      </w:r>
      <w:r>
        <w:rPr>
          <w:lang w:val="es-ES_tradnl"/>
        </w:rPr>
        <w:tab/>
        <w:t>una mejor predicción de la intensidad de campo del localizador ILS;</w:t>
      </w:r>
    </w:p>
    <w:p w14:paraId="16F684E2" w14:textId="77777777" w:rsidR="008760D9" w:rsidRDefault="008760D9">
      <w:pPr>
        <w:pStyle w:val="enumlev1"/>
        <w:rPr>
          <w:lang w:val="es-ES_tradnl"/>
        </w:rPr>
      </w:pPr>
      <w:r>
        <w:rPr>
          <w:lang w:val="es-ES_tradnl"/>
        </w:rPr>
        <w:t>–</w:t>
      </w:r>
      <w:r>
        <w:rPr>
          <w:lang w:val="es-ES_tradnl"/>
        </w:rPr>
        <w:tab/>
        <w:t>un diagrama de radiación horizontal de la antena transmisora ILS medido.</w:t>
      </w:r>
    </w:p>
    <w:p w14:paraId="0A54898D" w14:textId="77777777" w:rsidR="008760D9" w:rsidRDefault="008760D9">
      <w:pPr>
        <w:rPr>
          <w:lang w:val="es-ES_tradnl"/>
        </w:rPr>
      </w:pPr>
      <w:r>
        <w:rPr>
          <w:lang w:val="es-ES_tradnl"/>
        </w:rPr>
        <w:t>La verificación de los cálculos de evaluación de la compatibilidad pueden realizarse utilizando:</w:t>
      </w:r>
    </w:p>
    <w:p w14:paraId="682DA995" w14:textId="77777777" w:rsidR="008760D9" w:rsidRDefault="008760D9">
      <w:pPr>
        <w:pStyle w:val="enumlev1"/>
        <w:rPr>
          <w:lang w:val="es-ES_tradnl"/>
        </w:rPr>
      </w:pPr>
      <w:r>
        <w:rPr>
          <w:lang w:val="es-ES_tradnl"/>
        </w:rPr>
        <w:t>–</w:t>
      </w:r>
      <w:r>
        <w:rPr>
          <w:lang w:val="es-ES_tradnl"/>
        </w:rPr>
        <w:tab/>
        <w:t>niveles medidos de señales de radiodifusión;</w:t>
      </w:r>
    </w:p>
    <w:p w14:paraId="3ACF9E48" w14:textId="77777777" w:rsidR="008760D9" w:rsidRDefault="008760D9">
      <w:pPr>
        <w:pStyle w:val="enumlev1"/>
        <w:rPr>
          <w:lang w:val="es-ES_tradnl"/>
        </w:rPr>
      </w:pPr>
      <w:r>
        <w:rPr>
          <w:lang w:val="es-ES_tradnl"/>
        </w:rPr>
        <w:t>–</w:t>
      </w:r>
      <w:r>
        <w:rPr>
          <w:lang w:val="es-ES_tradnl"/>
        </w:rPr>
        <w:tab/>
        <w:t>niveles medidos de señales aeronáuticas;</w:t>
      </w:r>
    </w:p>
    <w:p w14:paraId="49F8123D" w14:textId="77777777" w:rsidR="008760D9" w:rsidRDefault="008760D9">
      <w:pPr>
        <w:pStyle w:val="enumlev1"/>
        <w:rPr>
          <w:lang w:val="es-ES_tradnl"/>
        </w:rPr>
      </w:pPr>
      <w:r>
        <w:rPr>
          <w:lang w:val="es-ES_tradnl"/>
        </w:rPr>
        <w:t>–</w:t>
      </w:r>
      <w:r>
        <w:rPr>
          <w:lang w:val="es-ES_tradnl"/>
        </w:rPr>
        <w:tab/>
        <w:t>un receptor aeronáutico cuyas características se hayan medido;</w:t>
      </w:r>
    </w:p>
    <w:p w14:paraId="4CE07F15" w14:textId="77777777" w:rsidR="008760D9" w:rsidRDefault="008760D9">
      <w:pPr>
        <w:pStyle w:val="enumlev1"/>
        <w:rPr>
          <w:lang w:val="es-ES_tradnl"/>
        </w:rPr>
      </w:pPr>
      <w:r>
        <w:rPr>
          <w:lang w:val="es-ES_tradnl"/>
        </w:rPr>
        <w:t>–</w:t>
      </w:r>
      <w:r>
        <w:rPr>
          <w:lang w:val="es-ES_tradnl"/>
        </w:rPr>
        <w:tab/>
        <w:t>una antena de recepción de aeronave cuyo diagrama de radiación y respuesta en frecuencia se hayan medido.</w:t>
      </w:r>
    </w:p>
    <w:p w14:paraId="5B78290F" w14:textId="77777777" w:rsidR="008760D9" w:rsidRDefault="008760D9">
      <w:pPr>
        <w:rPr>
          <w:lang w:val="es-ES_tradnl"/>
        </w:rPr>
      </w:pPr>
    </w:p>
    <w:p w14:paraId="2BCC1BE3" w14:textId="77777777" w:rsidR="008760D9" w:rsidRDefault="008760D9">
      <w:pPr>
        <w:rPr>
          <w:lang w:val="es-ES_tradnl"/>
        </w:rPr>
      </w:pPr>
    </w:p>
    <w:p w14:paraId="50569B78" w14:textId="77777777" w:rsidR="008760D9" w:rsidRDefault="008760D9">
      <w:pPr>
        <w:pStyle w:val="Annex"/>
        <w:rPr>
          <w:lang w:val="es-ES_tradnl"/>
        </w:rPr>
      </w:pPr>
      <w:bookmarkStart w:id="33" w:name="dsgno"/>
      <w:bookmarkEnd w:id="33"/>
      <w:r>
        <w:rPr>
          <w:lang w:val="es-ES_tradnl"/>
        </w:rPr>
        <w:t>ANEXO  4</w:t>
      </w:r>
    </w:p>
    <w:p w14:paraId="259739CA" w14:textId="77777777" w:rsidR="008760D9" w:rsidRDefault="008760D9">
      <w:pPr>
        <w:pStyle w:val="AnnexTitle"/>
        <w:rPr>
          <w:lang w:val="es-ES_tradnl"/>
        </w:rPr>
      </w:pPr>
      <w:r>
        <w:rPr>
          <w:lang w:val="es-ES_tradnl"/>
        </w:rPr>
        <w:t>Definiciones</w:t>
      </w:r>
    </w:p>
    <w:p w14:paraId="3590C324" w14:textId="77777777" w:rsidR="008760D9" w:rsidRDefault="008760D9">
      <w:pPr>
        <w:pStyle w:val="Heading1"/>
        <w:rPr>
          <w:lang w:val="es-ES_tradnl"/>
        </w:rPr>
      </w:pPr>
      <w:r>
        <w:rPr>
          <w:lang w:val="es-ES_tradnl"/>
        </w:rPr>
        <w:t>Alineación de pista</w:t>
      </w:r>
    </w:p>
    <w:p w14:paraId="0D9AFDDE" w14:textId="77777777" w:rsidR="008760D9" w:rsidRDefault="008760D9">
      <w:pPr>
        <w:rPr>
          <w:lang w:val="es-ES_tradnl"/>
        </w:rPr>
      </w:pPr>
      <w:r>
        <w:rPr>
          <w:lang w:val="es-ES_tradnl"/>
        </w:rPr>
        <w:t>Es la proyección en el plano horizontal del trayecto que seguiría una aeronave si siguiera la indicación de un receptor de localizador ILS que dé una corriente de guiado nula (es decir, la diferencia de índices de modulación igual a 0). Para las aproximaciones ILS normales, la alineación de pista debe ser idéntica a la prolongación del eje de la pista (véase la Fig. 1).</w:t>
      </w:r>
    </w:p>
    <w:p w14:paraId="0E09F38F" w14:textId="77777777" w:rsidR="008760D9" w:rsidRDefault="008760D9">
      <w:pPr>
        <w:pStyle w:val="Heading1"/>
        <w:rPr>
          <w:lang w:val="es-ES_tradnl"/>
        </w:rPr>
      </w:pPr>
      <w:r>
        <w:rPr>
          <w:lang w:val="es-ES_tradnl"/>
        </w:rPr>
        <w:t>Anexo 10 del Convenio de la OACI</w:t>
      </w:r>
    </w:p>
    <w:p w14:paraId="2ED17A7C" w14:textId="77777777" w:rsidR="008760D9" w:rsidRDefault="008760D9">
      <w:pPr>
        <w:rPr>
          <w:lang w:val="es-ES_tradnl"/>
        </w:rPr>
      </w:pPr>
      <w:r>
        <w:rPr>
          <w:lang w:val="es-ES_tradnl"/>
        </w:rPr>
        <w:t>«Normas internacionales, prácticas recomendadas y procedimientos para los servicios de navegación aérea: telecomuni</w:t>
      </w:r>
      <w:r>
        <w:rPr>
          <w:lang w:val="es-ES_tradnl"/>
        </w:rPr>
        <w:softHyphen/>
        <w:t>caciones aeronáuticas, Anexo 10 al Convenio de la Organización de la Aviación Civil Internacional, Volumen I», Organización de la Aviación Civil Internacional, Montreal (1985).</w:t>
      </w:r>
    </w:p>
    <w:p w14:paraId="3554B01A" w14:textId="77777777" w:rsidR="008760D9" w:rsidRDefault="008760D9">
      <w:pPr>
        <w:pStyle w:val="Heading1"/>
        <w:rPr>
          <w:lang w:val="es-ES_tradnl"/>
        </w:rPr>
      </w:pPr>
      <w:r>
        <w:rPr>
          <w:lang w:val="es-ES_tradnl"/>
        </w:rPr>
        <w:t>Ángulo de elevación</w:t>
      </w:r>
    </w:p>
    <w:p w14:paraId="0CF4B31C" w14:textId="77777777" w:rsidR="008760D9" w:rsidRDefault="008760D9">
      <w:pPr>
        <w:rPr>
          <w:lang w:val="es-ES_tradnl"/>
        </w:rPr>
      </w:pPr>
      <w:r>
        <w:rPr>
          <w:lang w:val="es-ES_tradnl"/>
        </w:rPr>
        <w:t>Ángulo respecto a la horizontal entre dos emplazamientos (positivo sobre la horizontal), utilizando el radio efectivo de la Tierra definido anteriormente (véase la Fig. 6).</w:t>
      </w:r>
    </w:p>
    <w:p w14:paraId="2287EE99" w14:textId="77777777" w:rsidR="008760D9" w:rsidRDefault="008760D9">
      <w:pPr>
        <w:pStyle w:val="Heading1"/>
        <w:rPr>
          <w:lang w:val="es-ES_tradnl"/>
        </w:rPr>
      </w:pPr>
      <w:r>
        <w:rPr>
          <w:lang w:val="es-ES_tradnl"/>
        </w:rPr>
        <w:t>Bandera</w:t>
      </w:r>
    </w:p>
    <w:p w14:paraId="53D92A9D" w14:textId="77777777" w:rsidR="008760D9" w:rsidRDefault="008760D9">
      <w:pPr>
        <w:rPr>
          <w:lang w:val="es-ES_tradnl"/>
        </w:rPr>
      </w:pPr>
      <w:r>
        <w:rPr>
          <w:lang w:val="es-ES_tradnl"/>
        </w:rPr>
        <w:t>Dispositivo de aviso visual que se materializa en el indicador del piloto con un localizador ILS o receptor VOR y que indica cuando el receptor es operativo, cuando no funciona satisfactoriamente o cuando el nivel de la señal o la calidad de la señal recibida caen por debajo de valores aceptables.</w:t>
      </w:r>
    </w:p>
    <w:p w14:paraId="4D44AA5E" w14:textId="77777777" w:rsidR="008760D9" w:rsidRDefault="008760D9">
      <w:pPr>
        <w:pStyle w:val="Heading1"/>
        <w:rPr>
          <w:lang w:val="es-ES_tradnl"/>
        </w:rPr>
      </w:pPr>
      <w:r>
        <w:rPr>
          <w:lang w:val="es-ES_tradnl"/>
        </w:rPr>
        <w:lastRenderedPageBreak/>
        <w:t>Cobertura operacional designada (DOC)</w:t>
      </w:r>
    </w:p>
    <w:p w14:paraId="5E48B01D" w14:textId="77777777" w:rsidR="008760D9" w:rsidRDefault="008760D9">
      <w:pPr>
        <w:rPr>
          <w:lang w:val="es-ES_tradnl"/>
        </w:rPr>
      </w:pPr>
      <w:r>
        <w:rPr>
          <w:lang w:val="es-ES_tradnl"/>
        </w:rPr>
        <w:t>Volumen dentro del cual se satisfacen los requisitos operacionales del servicio aeronáutico; se trata del volumen de cobertura que indican los documentos aeronáuticos.</w:t>
      </w:r>
    </w:p>
    <w:p w14:paraId="25992BD1" w14:textId="77777777" w:rsidR="008760D9" w:rsidRDefault="008760D9">
      <w:pPr>
        <w:pStyle w:val="Heading1"/>
        <w:rPr>
          <w:lang w:val="es-ES_tradnl"/>
        </w:rPr>
      </w:pPr>
      <w:r>
        <w:rPr>
          <w:lang w:val="es-ES_tradnl"/>
        </w:rPr>
        <w:t>COM</w:t>
      </w:r>
    </w:p>
    <w:p w14:paraId="0032BE42" w14:textId="77777777" w:rsidR="008760D9" w:rsidRDefault="008760D9">
      <w:pPr>
        <w:rPr>
          <w:lang w:val="es-ES_tradnl"/>
        </w:rPr>
      </w:pPr>
      <w:r>
        <w:rPr>
          <w:lang w:val="es-ES_tradnl"/>
        </w:rPr>
        <w:t>Sistema de radiocomunicaciones (aire-suelo) bidireccional que funciona en la banda 118-137 MHz.</w:t>
      </w:r>
    </w:p>
    <w:p w14:paraId="35B98879" w14:textId="77777777" w:rsidR="008760D9" w:rsidRDefault="008760D9">
      <w:pPr>
        <w:pStyle w:val="Heading1"/>
        <w:rPr>
          <w:lang w:val="es-ES_tradnl"/>
        </w:rPr>
      </w:pPr>
      <w:r>
        <w:rPr>
          <w:lang w:val="es-ES_tradnl"/>
        </w:rPr>
        <w:t>Correcciones de antena</w:t>
      </w:r>
    </w:p>
    <w:p w14:paraId="29B56107" w14:textId="77777777" w:rsidR="008760D9" w:rsidRDefault="008760D9">
      <w:pPr>
        <w:rPr>
          <w:lang w:val="es-ES_tradnl"/>
        </w:rPr>
      </w:pPr>
      <w:r>
        <w:rPr>
          <w:lang w:val="es-ES_tradnl"/>
        </w:rPr>
        <w:t>Se trata de reducciones de la potencia radiada aparente (</w:t>
      </w:r>
      <w:proofErr w:type="spellStart"/>
      <w:r>
        <w:rPr>
          <w:lang w:val="es-ES_tradnl"/>
        </w:rPr>
        <w:t>p.r.a</w:t>
      </w:r>
      <w:proofErr w:type="spellEnd"/>
      <w:r>
        <w:rPr>
          <w:lang w:val="es-ES_tradnl"/>
        </w:rPr>
        <w:t xml:space="preserve">.) en marcaciones acimutales y ángulos de elevación específicos en relación con el valor de la </w:t>
      </w:r>
      <w:proofErr w:type="spellStart"/>
      <w:r>
        <w:rPr>
          <w:lang w:val="es-ES_tradnl"/>
        </w:rPr>
        <w:t>p.r.a</w:t>
      </w:r>
      <w:proofErr w:type="spellEnd"/>
      <w:r>
        <w:rPr>
          <w:lang w:val="es-ES_tradnl"/>
        </w:rPr>
        <w:t>. en la dirección de la radiación máxima. Se especifican normalmente como correcciones horizontales y verticales (dB).</w:t>
      </w:r>
    </w:p>
    <w:p w14:paraId="2E580DF4" w14:textId="77777777" w:rsidR="008760D9" w:rsidRDefault="008760D9">
      <w:pPr>
        <w:pStyle w:val="Heading1"/>
        <w:rPr>
          <w:lang w:val="es-ES_tradnl"/>
        </w:rPr>
      </w:pPr>
      <w:r>
        <w:rPr>
          <w:lang w:val="es-ES_tradnl"/>
        </w:rPr>
        <w:t>Corriente de guía del rumbo</w:t>
      </w:r>
    </w:p>
    <w:p w14:paraId="031C1D44" w14:textId="77777777" w:rsidR="008760D9" w:rsidRDefault="008760D9">
      <w:pPr>
        <w:rPr>
          <w:lang w:val="es-ES_tradnl"/>
        </w:rPr>
      </w:pPr>
      <w:r>
        <w:rPr>
          <w:lang w:val="es-ES_tradnl"/>
        </w:rPr>
        <w:t>Salida del receptor que se aplica al indicador del piloto y al autopiloto. En el caso del receptor del localizador ILS, da un guiado izquierdo/derecho proporcional a la diferencia de índices de modulación de las señales de 90 Hz y 150 Hz para un desplazamiento angular determinado respecto al eje de la pista. En el caso de un receptor VOR, da un guiado izquierdo/derecho proporcional a la diferencia de fase de las dos señales de 30 Hz.</w:t>
      </w:r>
    </w:p>
    <w:p w14:paraId="689B6216" w14:textId="77777777" w:rsidR="008760D9" w:rsidRDefault="008760D9">
      <w:pPr>
        <w:pStyle w:val="Heading1"/>
        <w:rPr>
          <w:lang w:val="es-ES_tradnl"/>
        </w:rPr>
      </w:pPr>
      <w:r>
        <w:rPr>
          <w:lang w:val="es-ES_tradnl"/>
        </w:rPr>
        <w:t>Diferencia de índices de modulación (DDM)</w:t>
      </w:r>
    </w:p>
    <w:p w14:paraId="2C0EE287" w14:textId="77777777" w:rsidR="008760D9" w:rsidRDefault="008760D9">
      <w:pPr>
        <w:rPr>
          <w:lang w:val="es-ES_tradnl"/>
        </w:rPr>
      </w:pPr>
      <w:r>
        <w:rPr>
          <w:lang w:val="es-ES_tradnl"/>
        </w:rPr>
        <w:t>El índice de modulación es la relación de las amplitudes de la modulación de las señales de 90 Hz o 150 Hz y amplitud de la portadora. La DDM es el índice de modulación de la señal más intensa menos el índice de modulación de la señal más débil.</w:t>
      </w:r>
    </w:p>
    <w:p w14:paraId="52151B2D" w14:textId="77777777" w:rsidR="008760D9" w:rsidRDefault="008760D9">
      <w:pPr>
        <w:pStyle w:val="Heading1"/>
        <w:rPr>
          <w:lang w:val="es-ES_tradnl"/>
        </w:rPr>
      </w:pPr>
      <w:r>
        <w:rPr>
          <w:lang w:val="es-ES_tradnl"/>
        </w:rPr>
        <w:t>Distancia oblicua</w:t>
      </w:r>
    </w:p>
    <w:p w14:paraId="0EC067CA" w14:textId="77777777" w:rsidR="008760D9" w:rsidRDefault="008760D9">
      <w:pPr>
        <w:rPr>
          <w:lang w:val="es-ES_tradnl"/>
        </w:rPr>
      </w:pPr>
      <w:r>
        <w:rPr>
          <w:lang w:val="es-ES_tradnl"/>
        </w:rPr>
        <w:t>Distancia más corta entre dos puntos por encima de la superficie de la Tierra (por ejemplo, entre una antena de radiodifusión y un punto de prueba).</w:t>
      </w:r>
    </w:p>
    <w:p w14:paraId="065A6D14" w14:textId="77777777" w:rsidR="008760D9" w:rsidRDefault="008760D9">
      <w:pPr>
        <w:pStyle w:val="Heading1"/>
        <w:rPr>
          <w:lang w:val="es-ES_tradnl"/>
        </w:rPr>
      </w:pPr>
      <w:r>
        <w:rPr>
          <w:lang w:val="es-ES_tradnl"/>
        </w:rPr>
        <w:t>Distancia y cálculo de la distancia</w:t>
      </w:r>
    </w:p>
    <w:p w14:paraId="561750B0" w14:textId="77777777" w:rsidR="008760D9" w:rsidRDefault="008760D9">
      <w:pPr>
        <w:rPr>
          <w:lang w:val="es-ES_tradnl"/>
        </w:rPr>
      </w:pPr>
      <w:r>
        <w:rPr>
          <w:lang w:val="es-ES_tradnl"/>
        </w:rPr>
        <w:t>Cuando dos emplazamientos están separados más de 100 km, la distancia entre ellos se calcula como la distancia más corta en el suelo por el círculo máximo. Para distancias inferiores a 100 km, se tienen en cuenta la altura de la antena del transmisor de radiodifusión y la altura del punto de prueba, y si hay un trayecto de visibilidad directa entre ellos, se calcula la distancia oblicua.</w:t>
      </w:r>
    </w:p>
    <w:p w14:paraId="577F4129" w14:textId="77777777" w:rsidR="008760D9" w:rsidRDefault="008760D9">
      <w:pPr>
        <w:pStyle w:val="Heading1"/>
        <w:rPr>
          <w:lang w:val="es-ES_tradnl"/>
        </w:rPr>
      </w:pPr>
      <w:r>
        <w:rPr>
          <w:lang w:val="es-ES_tradnl"/>
        </w:rPr>
        <w:t>Distancias mínimas de separación</w:t>
      </w:r>
    </w:p>
    <w:p w14:paraId="47F397D6" w14:textId="77777777" w:rsidR="008760D9" w:rsidRDefault="008760D9">
      <w:pPr>
        <w:rPr>
          <w:lang w:val="es-ES_tradnl"/>
        </w:rPr>
      </w:pPr>
      <w:r>
        <w:rPr>
          <w:lang w:val="es-ES_tradnl"/>
        </w:rPr>
        <w:t>Distancias de separación mínimas horizontal y vertical que definen una zona alrededor de una antena de radiodifusión dentro de la cual la aeronave no volará normalmente.</w:t>
      </w:r>
    </w:p>
    <w:p w14:paraId="6714D3B1" w14:textId="77777777" w:rsidR="008760D9" w:rsidRDefault="008760D9">
      <w:pPr>
        <w:pStyle w:val="Heading1"/>
        <w:rPr>
          <w:lang w:val="es-ES_tradnl"/>
        </w:rPr>
      </w:pPr>
      <w:r>
        <w:rPr>
          <w:lang w:val="es-ES_tradnl"/>
        </w:rPr>
        <w:t>Incompatibilidad potencial</w:t>
      </w:r>
    </w:p>
    <w:p w14:paraId="250A1D2C" w14:textId="77777777" w:rsidR="008760D9" w:rsidRDefault="008760D9">
      <w:pPr>
        <w:rPr>
          <w:lang w:val="es-ES_tradnl"/>
        </w:rPr>
      </w:pPr>
      <w:r>
        <w:rPr>
          <w:lang w:val="es-ES_tradnl"/>
        </w:rPr>
        <w:t>Se considera que se produce una incompatibilidad potencial cuando no se cumplen en un punto de prueba los criterios convenidos de protección.</w:t>
      </w:r>
    </w:p>
    <w:p w14:paraId="100DDBBB" w14:textId="77777777" w:rsidR="008760D9" w:rsidRDefault="008760D9">
      <w:pPr>
        <w:pStyle w:val="Heading1"/>
        <w:rPr>
          <w:lang w:val="es-ES_tradnl"/>
        </w:rPr>
      </w:pPr>
      <w:r>
        <w:rPr>
          <w:lang w:val="es-ES_tradnl"/>
        </w:rPr>
        <w:t>Línea de visibilidad directa</w:t>
      </w:r>
    </w:p>
    <w:p w14:paraId="7EB357FE" w14:textId="77777777" w:rsidR="008760D9" w:rsidRDefault="008760D9">
      <w:pPr>
        <w:rPr>
          <w:lang w:val="es-ES_tradnl"/>
        </w:rPr>
      </w:pPr>
      <w:r>
        <w:rPr>
          <w:lang w:val="es-ES_tradnl"/>
        </w:rPr>
        <w:t>Trayectos sin obstrucciones entre dos emplazamientos que utilizan el radio efectivo de la Tierra definido anteriormente.</w:t>
      </w:r>
    </w:p>
    <w:p w14:paraId="41439AEB" w14:textId="77777777" w:rsidR="008760D9" w:rsidRDefault="008760D9">
      <w:pPr>
        <w:pStyle w:val="Heading1"/>
        <w:rPr>
          <w:lang w:val="es-ES_tradnl"/>
        </w:rPr>
      </w:pPr>
      <w:r>
        <w:rPr>
          <w:lang w:val="es-ES_tradnl"/>
        </w:rPr>
        <w:lastRenderedPageBreak/>
        <w:t>Localizador ILS</w:t>
      </w:r>
    </w:p>
    <w:p w14:paraId="599AF5B9" w14:textId="77777777" w:rsidR="008760D9" w:rsidRDefault="008760D9">
      <w:pPr>
        <w:rPr>
          <w:lang w:val="es-ES_tradnl"/>
        </w:rPr>
      </w:pPr>
      <w:r>
        <w:rPr>
          <w:lang w:val="es-ES_tradnl"/>
        </w:rPr>
        <w:t>Componente de un ILS que da guiado en el plano horizontal. El transmisor con su antena asociada producen un diagrama de campo compuesto modulado en amplitud en 90 Hz y 150 Hz. El diagrama de campo radiado es tal que para un observador situado frente al localizador en el extremo de aproximación de la pista, el índice de modulación de la frecuencia portadora debido al tono de 150 Hz domina en el lado derecho, mientras que el índice debido al tono de 90 Hz domina en el lado izquierdo. La diferencia de índices de modulación es 0 en el eje y en la prolongación del eje de la pista.</w:t>
      </w:r>
    </w:p>
    <w:p w14:paraId="28D19792" w14:textId="77777777" w:rsidR="008760D9" w:rsidRDefault="008760D9">
      <w:pPr>
        <w:pStyle w:val="Heading1"/>
        <w:rPr>
          <w:lang w:val="es-ES_tradnl"/>
        </w:rPr>
      </w:pPr>
      <w:r>
        <w:rPr>
          <w:lang w:val="es-ES_tradnl"/>
        </w:rPr>
        <w:t>País proveedor</w:t>
      </w:r>
    </w:p>
    <w:p w14:paraId="0BB07BF5" w14:textId="77777777" w:rsidR="008760D9" w:rsidRDefault="008760D9">
      <w:pPr>
        <w:rPr>
          <w:lang w:val="es-ES_tradnl"/>
        </w:rPr>
      </w:pPr>
      <w:r>
        <w:rPr>
          <w:lang w:val="es-ES_tradnl"/>
        </w:rPr>
        <w:t>Autoridad responsable de la provisión de los servicios aeronáuticos en un país u otra zona especificada.</w:t>
      </w:r>
    </w:p>
    <w:p w14:paraId="0C901729" w14:textId="77777777" w:rsidR="008760D9" w:rsidRDefault="008760D9">
      <w:pPr>
        <w:pStyle w:val="Heading1"/>
        <w:rPr>
          <w:lang w:val="es-ES_tradnl"/>
        </w:rPr>
      </w:pPr>
      <w:r>
        <w:rPr>
          <w:lang w:val="es-ES_tradnl"/>
        </w:rPr>
        <w:t>Publicación de información aeronáutica (AIP)</w:t>
      </w:r>
    </w:p>
    <w:p w14:paraId="0ED5395E" w14:textId="77777777" w:rsidR="008760D9" w:rsidRDefault="008760D9">
      <w:pPr>
        <w:rPr>
          <w:lang w:val="es-ES_tradnl"/>
        </w:rPr>
      </w:pPr>
      <w:r>
        <w:rPr>
          <w:lang w:val="es-ES_tradnl"/>
        </w:rPr>
        <w:t>Documento publicado por un país proveedor que describe, entre otras cosas, las características y la DOC de las instalaciones aeronáuticas.</w:t>
      </w:r>
    </w:p>
    <w:p w14:paraId="25068AD7" w14:textId="77777777" w:rsidR="008760D9" w:rsidRDefault="008760D9">
      <w:pPr>
        <w:pStyle w:val="Heading1"/>
        <w:rPr>
          <w:lang w:val="es-ES_tradnl"/>
        </w:rPr>
      </w:pPr>
      <w:r>
        <w:rPr>
          <w:lang w:val="es-ES_tradnl"/>
        </w:rPr>
        <w:t>Punto de contacto en la pista</w:t>
      </w:r>
    </w:p>
    <w:p w14:paraId="07091CB8" w14:textId="77777777" w:rsidR="008760D9" w:rsidRDefault="008760D9">
      <w:pPr>
        <w:rPr>
          <w:lang w:val="es-ES_tradnl"/>
        </w:rPr>
      </w:pPr>
      <w:r>
        <w:rPr>
          <w:lang w:val="es-ES_tradnl"/>
        </w:rPr>
        <w:t>Punto de la pista que define el inicio de la superficie en que las ruedas de la aeronave pueden tomar contacto con el suelo, normalmente posterior al umbral de la pista.</w:t>
      </w:r>
    </w:p>
    <w:p w14:paraId="039F84AE" w14:textId="77777777" w:rsidR="008760D9" w:rsidRDefault="008760D9">
      <w:pPr>
        <w:pStyle w:val="Heading1"/>
        <w:rPr>
          <w:lang w:val="es-ES_tradnl"/>
        </w:rPr>
      </w:pPr>
      <w:r>
        <w:rPr>
          <w:lang w:val="es-ES_tradnl"/>
        </w:rPr>
        <w:t>Punto de prueba</w:t>
      </w:r>
    </w:p>
    <w:p w14:paraId="19B1C5C7" w14:textId="77777777" w:rsidR="008760D9" w:rsidRDefault="008760D9">
      <w:pPr>
        <w:rPr>
          <w:lang w:val="es-ES_tradnl"/>
        </w:rPr>
      </w:pPr>
      <w:r>
        <w:rPr>
          <w:lang w:val="es-ES_tradnl"/>
        </w:rPr>
        <w:t>Punto en el que se efectúa un cálculo de compatibilidad. Queda completamente descrito por los parámetros de una posición geográfica y su altura.</w:t>
      </w:r>
    </w:p>
    <w:p w14:paraId="53FD3078" w14:textId="77777777" w:rsidR="008760D9" w:rsidRDefault="008760D9">
      <w:pPr>
        <w:pStyle w:val="Heading1"/>
        <w:rPr>
          <w:lang w:val="es-ES_tradnl"/>
        </w:rPr>
      </w:pPr>
      <w:r>
        <w:rPr>
          <w:lang w:val="es-ES_tradnl"/>
        </w:rPr>
        <w:t>Radio efectivo de la Tierra</w:t>
      </w:r>
    </w:p>
    <w:p w14:paraId="333948E1" w14:textId="77777777" w:rsidR="008760D9" w:rsidRDefault="008760D9">
      <w:pPr>
        <w:rPr>
          <w:lang w:val="es-ES_tradnl"/>
        </w:rPr>
      </w:pPr>
      <w:r>
        <w:rPr>
          <w:lang w:val="es-ES_tradnl"/>
        </w:rPr>
        <w:t>Se utiliza un radio efectivo de la Tierra de 4/3 veces el valor real para los cálculos de distancia.</w:t>
      </w:r>
    </w:p>
    <w:p w14:paraId="37ADBF0C" w14:textId="77777777" w:rsidR="008760D9" w:rsidRDefault="008760D9">
      <w:pPr>
        <w:pStyle w:val="Heading1"/>
        <w:rPr>
          <w:lang w:val="es-ES_tradnl"/>
        </w:rPr>
      </w:pPr>
      <w:r>
        <w:rPr>
          <w:lang w:val="es-ES_tradnl"/>
        </w:rPr>
        <w:t>Radiofaro omnidireccional en ondas métricas (VOR)</w:t>
      </w:r>
    </w:p>
    <w:p w14:paraId="1F870B00" w14:textId="77777777" w:rsidR="008760D9" w:rsidRDefault="008760D9">
      <w:pPr>
        <w:rPr>
          <w:lang w:val="es-ES_tradnl"/>
        </w:rPr>
      </w:pPr>
      <w:r>
        <w:rPr>
          <w:lang w:val="es-ES_tradnl"/>
        </w:rPr>
        <w:t>Ayuda a la navegación de alcance reducido (hasta 370 km o 200 millas náuticas, aproximadamente) que da a la aeronave una presentación continua y automática de información de marcación desde un emplazamiento conocido en el suelo.</w:t>
      </w:r>
    </w:p>
    <w:p w14:paraId="1ABDB819" w14:textId="77777777" w:rsidR="008760D9" w:rsidRDefault="008760D9">
      <w:pPr>
        <w:pStyle w:val="Heading1"/>
        <w:rPr>
          <w:lang w:val="es-ES_tradnl"/>
        </w:rPr>
      </w:pPr>
      <w:r>
        <w:rPr>
          <w:lang w:val="es-ES_tradnl"/>
        </w:rPr>
        <w:t>Receptores aeronáuticos de inmunidad futura</w:t>
      </w:r>
    </w:p>
    <w:p w14:paraId="7B4C5A4A" w14:textId="77777777" w:rsidR="008760D9" w:rsidRDefault="008760D9">
      <w:pPr>
        <w:rPr>
          <w:lang w:val="es-ES_tradnl"/>
        </w:rPr>
      </w:pPr>
      <w:r>
        <w:rPr>
          <w:lang w:val="es-ES_tradnl"/>
        </w:rPr>
        <w:t>Receptores que cumplen, como mínimo, los criterios de inmunidad a la interferencia de Tipo B especificados en el Anexo 10 al Convenio de la OACI. A partir del 1 de enero de 1998, se considerará que todos los receptores en utili</w:t>
      </w:r>
      <w:r>
        <w:rPr>
          <w:lang w:val="es-ES_tradnl"/>
        </w:rPr>
        <w:softHyphen/>
        <w:t>zación tienen este grado de inmunidad. Estos receptores pueden denominarse «receptores de 1998 según el Anexo 10 del Convenio de la OACI».</w:t>
      </w:r>
    </w:p>
    <w:p w14:paraId="3B30C677" w14:textId="77777777" w:rsidR="008760D9" w:rsidRDefault="008760D9">
      <w:pPr>
        <w:pStyle w:val="Heading1"/>
        <w:rPr>
          <w:lang w:val="es-ES_tradnl"/>
        </w:rPr>
      </w:pPr>
      <w:r>
        <w:rPr>
          <w:lang w:val="es-ES_tradnl"/>
        </w:rPr>
        <w:t>Receptores aeronáuticos de tipo Montreal</w:t>
      </w:r>
    </w:p>
    <w:p w14:paraId="593A8730" w14:textId="77777777" w:rsidR="008760D9" w:rsidRDefault="008760D9">
      <w:pPr>
        <w:rPr>
          <w:lang w:val="es-ES_tradnl"/>
        </w:rPr>
      </w:pPr>
      <w:r>
        <w:rPr>
          <w:lang w:val="es-ES_tradnl"/>
        </w:rPr>
        <w:t>Localizador ILS o receptor VOR cuyas características se definen mediante las ecuaciones especificadas en el § 4.2 del Anexo 1. (Estas características fueron acordadas en la reunión de 1992 del Grupo de Tareas Especiales 12/1, en Montreal.) El término comprende los receptores denominados previamente de «inmunidad actual» y de «inmunidad deficiente».</w:t>
      </w:r>
    </w:p>
    <w:p w14:paraId="356132FA" w14:textId="77777777" w:rsidR="008760D9" w:rsidRDefault="008760D9">
      <w:pPr>
        <w:pStyle w:val="Heading1"/>
        <w:rPr>
          <w:lang w:val="es-ES_tradnl"/>
        </w:rPr>
      </w:pPr>
      <w:r>
        <w:rPr>
          <w:lang w:val="es-ES_tradnl"/>
        </w:rPr>
        <w:t>Sector de alineación de pista</w:t>
      </w:r>
    </w:p>
    <w:p w14:paraId="6CED61EE" w14:textId="77777777" w:rsidR="008760D9" w:rsidRDefault="008760D9">
      <w:pPr>
        <w:rPr>
          <w:lang w:val="es-ES_tradnl"/>
        </w:rPr>
      </w:pPr>
      <w:r>
        <w:rPr>
          <w:lang w:val="es-ES_tradnl"/>
        </w:rPr>
        <w:t xml:space="preserve">Sector en el plano horizontal que se inicia en la antena del localizador ILS, contiene la alineación de la pista y que está limitada por la desviación a plena escala de la corrección izquierda y de la corrección derecha del indicador del receptor </w:t>
      </w:r>
      <w:r>
        <w:rPr>
          <w:lang w:val="es-ES_tradnl"/>
        </w:rPr>
        <w:lastRenderedPageBreak/>
        <w:t xml:space="preserve">de un localizador ILS. La desviación a plena escala es equivalente a una corriente de guiado de </w:t>
      </w:r>
      <w:r>
        <w:rPr>
          <w:rFonts w:ascii="Symbol" w:hAnsi="Symbol"/>
          <w:lang w:val="es-ES_tradnl"/>
        </w:rPr>
        <w:t></w:t>
      </w:r>
      <w:r>
        <w:rPr>
          <w:lang w:val="es-ES_tradnl"/>
        </w:rPr>
        <w:t> 150 </w:t>
      </w:r>
      <w:r>
        <w:rPr>
          <w:rFonts w:ascii="Symbol" w:hAnsi="Symbol"/>
          <w:lang w:val="es-ES_tradnl"/>
        </w:rPr>
        <w:t></w:t>
      </w:r>
      <w:r>
        <w:rPr>
          <w:lang w:val="es-ES_tradnl"/>
        </w:rPr>
        <w:t>A (diferencia de índices de modulación </w:t>
      </w:r>
      <w:r>
        <w:rPr>
          <w:rFonts w:ascii="Symbol" w:hAnsi="Symbol"/>
          <w:lang w:val="es-ES_tradnl"/>
        </w:rPr>
        <w:t></w:t>
      </w:r>
      <w:r>
        <w:rPr>
          <w:lang w:val="es-ES_tradnl"/>
        </w:rPr>
        <w:t> 0,155).</w:t>
      </w:r>
    </w:p>
    <w:p w14:paraId="69D2E1BE" w14:textId="77777777" w:rsidR="008760D9" w:rsidRDefault="008760D9">
      <w:pPr>
        <w:pStyle w:val="Heading1"/>
        <w:rPr>
          <w:lang w:val="es-ES_tradnl"/>
        </w:rPr>
      </w:pPr>
      <w:r>
        <w:rPr>
          <w:lang w:val="es-ES_tradnl"/>
        </w:rPr>
        <w:t>Sector frontal de alineación de pista</w:t>
      </w:r>
    </w:p>
    <w:p w14:paraId="5A2B20A5" w14:textId="77777777" w:rsidR="008760D9" w:rsidRDefault="008760D9">
      <w:pPr>
        <w:rPr>
          <w:lang w:val="es-ES_tradnl"/>
        </w:rPr>
      </w:pPr>
      <w:r>
        <w:rPr>
          <w:lang w:val="es-ES_tradnl"/>
        </w:rPr>
        <w:t>Sector de alineación de pista que comprende ésta. La anchura del sector frontal se ajusta entre 3</w:t>
      </w:r>
      <w:r>
        <w:rPr>
          <w:rFonts w:ascii="Symbol" w:hAnsi="Symbol"/>
          <w:lang w:val="es-ES_tradnl"/>
        </w:rPr>
        <w:t></w:t>
      </w:r>
      <w:r>
        <w:rPr>
          <w:lang w:val="es-ES_tradnl"/>
        </w:rPr>
        <w:t xml:space="preserve"> y 6</w:t>
      </w:r>
      <w:r>
        <w:rPr>
          <w:rFonts w:ascii="Symbol" w:hAnsi="Symbol"/>
          <w:lang w:val="es-ES_tradnl"/>
        </w:rPr>
        <w:t></w:t>
      </w:r>
      <w:r>
        <w:rPr>
          <w:lang w:val="es-ES_tradnl"/>
        </w:rPr>
        <w:t xml:space="preserve"> (normalmente, 5</w:t>
      </w:r>
      <w:r>
        <w:rPr>
          <w:rFonts w:ascii="Symbol" w:hAnsi="Symbol"/>
          <w:lang w:val="es-ES_tradnl"/>
        </w:rPr>
        <w:t></w:t>
      </w:r>
      <w:r>
        <w:rPr>
          <w:lang w:val="es-ES_tradnl"/>
        </w:rPr>
        <w:t>) de forma que la distancia entre una desviación a plena escala para la corrección izquierda y una desviación a plena escala para la corrección derecha en el indicador del receptor ILS sea igual a una anchura de unos 210 m en el umbral de la pista (véase la Fig. 1).</w:t>
      </w:r>
    </w:p>
    <w:p w14:paraId="439045FD" w14:textId="77777777" w:rsidR="008760D9" w:rsidRDefault="008760D9">
      <w:pPr>
        <w:pStyle w:val="Heading1"/>
        <w:rPr>
          <w:lang w:val="es-ES_tradnl"/>
        </w:rPr>
      </w:pPr>
      <w:r>
        <w:rPr>
          <w:lang w:val="es-ES_tradnl"/>
        </w:rPr>
        <w:t>Sistema de aterrizaje por instrumentos (ILS)</w:t>
      </w:r>
    </w:p>
    <w:p w14:paraId="10D9D1E8" w14:textId="77777777" w:rsidR="008760D9" w:rsidRDefault="008760D9">
      <w:pPr>
        <w:rPr>
          <w:lang w:val="es-ES_tradnl"/>
        </w:rPr>
      </w:pPr>
      <w:r>
        <w:rPr>
          <w:lang w:val="es-ES_tradnl"/>
        </w:rPr>
        <w:t>Sistema de radionavegación especificado en el Anexo 10 al Convenio de la OACI y convenido internacionalmente como norma actual de aproximación de precisión y ayuda al aterrizaje para las aeronaves.</w:t>
      </w:r>
    </w:p>
    <w:p w14:paraId="0F566057" w14:textId="77777777" w:rsidR="008760D9" w:rsidRDefault="008760D9">
      <w:pPr>
        <w:pStyle w:val="Heading1"/>
        <w:rPr>
          <w:lang w:val="es-ES_tradnl"/>
        </w:rPr>
      </w:pPr>
      <w:r>
        <w:rPr>
          <w:lang w:val="es-ES_tradnl"/>
        </w:rPr>
        <w:t>Trayectoria de descenso</w:t>
      </w:r>
    </w:p>
    <w:p w14:paraId="7FBA9FC6" w14:textId="77777777" w:rsidR="008760D9" w:rsidRDefault="008760D9">
      <w:pPr>
        <w:rPr>
          <w:lang w:val="es-ES_tradnl"/>
        </w:rPr>
      </w:pPr>
      <w:r>
        <w:rPr>
          <w:lang w:val="es-ES_tradnl"/>
        </w:rPr>
        <w:t>Perfil de descenso sobre una pista, normalmente de 3</w:t>
      </w:r>
      <w:r>
        <w:rPr>
          <w:rFonts w:ascii="Symbol" w:hAnsi="Symbol"/>
          <w:lang w:val="es-ES_tradnl"/>
        </w:rPr>
        <w:t></w:t>
      </w:r>
      <w:r>
        <w:rPr>
          <w:lang w:val="es-ES_tradnl"/>
        </w:rPr>
        <w:t>, que da un transmisor del trayecto de descenso ILS y un sistema de antenas que funcionan en la banda 329,3</w:t>
      </w:r>
      <w:r>
        <w:rPr>
          <w:lang w:val="es-ES_tradnl"/>
        </w:rPr>
        <w:noBreakHyphen/>
        <w:t>335,0 MHz.</w:t>
      </w:r>
    </w:p>
    <w:p w14:paraId="35907BA5" w14:textId="77777777" w:rsidR="008760D9" w:rsidRDefault="008760D9">
      <w:pPr>
        <w:pStyle w:val="Heading1"/>
        <w:rPr>
          <w:lang w:val="es-ES_tradnl"/>
        </w:rPr>
      </w:pPr>
      <w:r>
        <w:rPr>
          <w:lang w:val="es-ES_tradnl"/>
        </w:rPr>
        <w:t>Umbral de pista</w:t>
      </w:r>
    </w:p>
    <w:p w14:paraId="02E44794" w14:textId="77777777" w:rsidR="008760D9" w:rsidRDefault="008760D9">
      <w:pPr>
        <w:rPr>
          <w:lang w:val="es-ES_tradnl"/>
        </w:rPr>
      </w:pPr>
      <w:r>
        <w:rPr>
          <w:lang w:val="es-ES_tradnl"/>
        </w:rPr>
        <w:t>Inicio de la parte de la pista utilizable para el aterrizaje.</w:t>
      </w:r>
    </w:p>
    <w:p w14:paraId="0A9ABC0E" w14:textId="77777777" w:rsidR="008760D9" w:rsidRDefault="008760D9">
      <w:pPr>
        <w:pStyle w:val="Heading1"/>
        <w:rPr>
          <w:lang w:val="es-ES_tradnl"/>
        </w:rPr>
      </w:pPr>
      <w:r>
        <w:rPr>
          <w:lang w:val="es-ES_tradnl"/>
        </w:rPr>
        <w:t>Valor de activación</w:t>
      </w:r>
    </w:p>
    <w:p w14:paraId="6D2D1CE8" w14:textId="77777777" w:rsidR="008760D9" w:rsidRDefault="008760D9">
      <w:pPr>
        <w:rPr>
          <w:lang w:val="es-ES_tradnl"/>
        </w:rPr>
      </w:pPr>
      <w:r>
        <w:rPr>
          <w:lang w:val="es-ES_tradnl"/>
        </w:rPr>
        <w:t>Valor mínimo de una señal de radiodifusión MF que, cuando se aplica a la entrada de un receptor aeronáutico, es capaz de iniciar la generación de un producto de intermodulación de tercer orden con potencia suficiente para constituir interferencia potencial.</w:t>
      </w:r>
    </w:p>
    <w:p w14:paraId="76BAED79" w14:textId="77777777" w:rsidR="008760D9" w:rsidRDefault="008760D9">
      <w:pPr>
        <w:pStyle w:val="Heading1"/>
        <w:rPr>
          <w:lang w:val="es-ES_tradnl"/>
        </w:rPr>
      </w:pPr>
      <w:r>
        <w:rPr>
          <w:lang w:val="es-ES_tradnl"/>
        </w:rPr>
        <w:t>Valor de corte</w:t>
      </w:r>
    </w:p>
    <w:p w14:paraId="7C353FF4" w14:textId="77777777" w:rsidR="008760D9" w:rsidRDefault="008760D9">
      <w:pPr>
        <w:rPr>
          <w:lang w:val="es-ES_tradnl"/>
        </w:rPr>
      </w:pPr>
      <w:r>
        <w:rPr>
          <w:lang w:val="es-ES_tradnl"/>
        </w:rPr>
        <w:t>Nivel de potencia mínimo de una señal de radiodifusión a la entrada de un receptor aeronáutico en el que se considera que esta señal constituye una fuente probable de interferencia de Tipo B1.</w:t>
      </w:r>
    </w:p>
    <w:p w14:paraId="21E35D5E" w14:textId="77777777" w:rsidR="008760D9" w:rsidRDefault="008760D9">
      <w:pPr>
        <w:rPr>
          <w:lang w:val="es-ES_tradnl"/>
        </w:rPr>
      </w:pPr>
    </w:p>
    <w:p w14:paraId="2A819E04" w14:textId="77777777" w:rsidR="008760D9" w:rsidRDefault="008760D9">
      <w:pPr>
        <w:pStyle w:val="Line"/>
        <w:rPr>
          <w:lang w:val="es-ES_tradnl"/>
        </w:rPr>
      </w:pPr>
    </w:p>
    <w:p w14:paraId="4997C224" w14:textId="77777777" w:rsidR="008760D9" w:rsidRDefault="008760D9">
      <w:pPr>
        <w:rPr>
          <w:lang w:val="es-ES_tradnl"/>
        </w:rPr>
      </w:pPr>
    </w:p>
    <w:p w14:paraId="5DFFABE1" w14:textId="77777777" w:rsidR="008760D9" w:rsidRDefault="008760D9">
      <w:pPr>
        <w:rPr>
          <w:lang w:val="es-ES_tradnl"/>
        </w:rPr>
      </w:pPr>
    </w:p>
    <w:p w14:paraId="3471B78C" w14:textId="77777777" w:rsidR="008760D9" w:rsidRDefault="008760D9">
      <w:pPr>
        <w:rPr>
          <w:lang w:val="es-ES_tradnl"/>
        </w:rPr>
      </w:pPr>
    </w:p>
    <w:p w14:paraId="099B436A" w14:textId="77777777" w:rsidR="008760D9" w:rsidRDefault="008760D9">
      <w:pPr>
        <w:rPr>
          <w:lang w:val="es-ES_tradnl"/>
        </w:rPr>
      </w:pPr>
    </w:p>
    <w:p w14:paraId="2475ECE9" w14:textId="77777777" w:rsidR="008760D9" w:rsidRDefault="008760D9">
      <w:pPr>
        <w:rPr>
          <w:lang w:val="es-ES_tradnl"/>
        </w:rPr>
      </w:pPr>
    </w:p>
    <w:p w14:paraId="5B0E7159" w14:textId="77777777" w:rsidR="008760D9" w:rsidRDefault="008760D9">
      <w:pPr>
        <w:rPr>
          <w:lang w:val="es-ES_tradnl"/>
        </w:rPr>
      </w:pPr>
    </w:p>
    <w:p w14:paraId="541F40D7" w14:textId="77777777" w:rsidR="008760D9" w:rsidRDefault="008760D9">
      <w:pPr>
        <w:rPr>
          <w:lang w:val="es-ES_tradnl"/>
        </w:rPr>
      </w:pPr>
    </w:p>
    <w:p w14:paraId="4E076C52" w14:textId="77777777" w:rsidR="008760D9" w:rsidRDefault="008760D9">
      <w:pPr>
        <w:rPr>
          <w:lang w:val="es-ES_tradnl"/>
        </w:rPr>
      </w:pPr>
    </w:p>
    <w:p w14:paraId="0DD35511" w14:textId="77777777" w:rsidR="008760D9" w:rsidRDefault="008760D9">
      <w:pPr>
        <w:rPr>
          <w:lang w:val="es-ES_tradnl"/>
        </w:rPr>
      </w:pPr>
    </w:p>
    <w:p w14:paraId="7F732764" w14:textId="77777777" w:rsidR="008760D9" w:rsidRDefault="008760D9">
      <w:pPr>
        <w:rPr>
          <w:lang w:val="es-ES_tradnl"/>
        </w:rPr>
        <w:sectPr w:rsidR="008760D9">
          <w:headerReference w:type="even" r:id="rId49"/>
          <w:headerReference w:type="default" r:id="rId50"/>
          <w:footnotePr>
            <w:pos w:val="beneathText"/>
          </w:footnotePr>
          <w:type w:val="continuous"/>
          <w:pgSz w:w="11907" w:h="16834"/>
          <w:pgMar w:top="1088" w:right="1088" w:bottom="1088" w:left="1088" w:header="483" w:footer="483" w:gutter="0"/>
          <w:paperSrc w:first="1" w:other="1"/>
          <w:cols w:space="720"/>
          <w:vAlign w:val="both"/>
        </w:sectPr>
      </w:pPr>
    </w:p>
    <w:p w14:paraId="7FBB2CB2" w14:textId="77777777" w:rsidR="008760D9" w:rsidRDefault="008760D9" w:rsidP="00AD5364">
      <w:pPr>
        <w:rPr>
          <w:lang w:val="es-ES_tradnl"/>
        </w:rPr>
      </w:pPr>
    </w:p>
    <w:sectPr w:rsidR="008760D9">
      <w:headerReference w:type="default" r:id="rId51"/>
      <w:footnotePr>
        <w:pos w:val="beneathText"/>
      </w:footnotePr>
      <w:pgSz w:w="11907" w:h="16834"/>
      <w:pgMar w:top="1088" w:right="1088" w:bottom="1088" w:left="1088" w:header="483" w:footer="483" w:gutter="0"/>
      <w:paperSrc w:first="1" w:other="1"/>
      <w:cols w:space="720"/>
      <w:vAlign w:val="both"/>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ED4CC5" w14:textId="77777777" w:rsidR="00753773" w:rsidRDefault="00753773">
      <w:pPr>
        <w:spacing w:before="0"/>
      </w:pPr>
      <w:r>
        <w:separator/>
      </w:r>
    </w:p>
  </w:endnote>
  <w:endnote w:type="continuationSeparator" w:id="0">
    <w:p w14:paraId="33788AF6" w14:textId="77777777" w:rsidR="00753773" w:rsidRDefault="0075377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F264E6" w14:textId="77777777" w:rsidR="00753773" w:rsidRDefault="00753773">
      <w:r>
        <w:rPr>
          <w:b/>
        </w:rPr>
        <w:t>_______________</w:t>
      </w:r>
    </w:p>
  </w:footnote>
  <w:footnote w:type="continuationSeparator" w:id="0">
    <w:p w14:paraId="0B401C50" w14:textId="77777777" w:rsidR="00753773" w:rsidRDefault="00753773">
      <w:pPr>
        <w:spacing w:before="0"/>
      </w:pPr>
      <w:r>
        <w:continuationSeparator/>
      </w:r>
    </w:p>
  </w:footnote>
  <w:footnote w:id="1">
    <w:p w14:paraId="30D0060B" w14:textId="36ED8139" w:rsidR="00753773" w:rsidRPr="00D8159A" w:rsidRDefault="00753773" w:rsidP="00D8159A">
      <w:pPr>
        <w:pStyle w:val="FootnoteText"/>
        <w:ind w:left="313" w:hanging="313"/>
        <w:rPr>
          <w:lang w:val="es-ES_tradnl"/>
        </w:rPr>
      </w:pPr>
      <w:r w:rsidRPr="00DF52C7">
        <w:rPr>
          <w:rStyle w:val="FootnoteReference"/>
          <w:lang w:val="es-ES_tradnl"/>
        </w:rPr>
        <w:t>*</w:t>
      </w:r>
      <w:r w:rsidRPr="00DF52C7">
        <w:rPr>
          <w:lang w:val="es-ES_tradnl"/>
        </w:rPr>
        <w:t xml:space="preserve"> </w:t>
      </w:r>
      <w:r w:rsidRPr="00DF52C7">
        <w:rPr>
          <w:lang w:val="es-ES_tradnl"/>
        </w:rPr>
        <w:tab/>
      </w:r>
      <w:r w:rsidRPr="00D8159A">
        <w:rPr>
          <w:lang w:val="es-ES_tradnl"/>
        </w:rPr>
        <w:t>La Comisión de Estudio 1 de Radiocomunicaciones efectuó modificaciones de redacción en esta Recomendación en 2010</w:t>
      </w:r>
      <w:r>
        <w:rPr>
          <w:lang w:val="es-ES_tradnl"/>
        </w:rPr>
        <w:t xml:space="preserve"> y 2019</w:t>
      </w:r>
      <w:r w:rsidRPr="00D8159A">
        <w:rPr>
          <w:lang w:val="es-ES_tradnl"/>
        </w:rPr>
        <w:t>, de acuerdo con lo dispuesto en la Recomendación UIT-R.</w:t>
      </w:r>
    </w:p>
  </w:footnote>
  <w:footnote w:id="2">
    <w:p w14:paraId="3784AC0A" w14:textId="77777777" w:rsidR="00753773" w:rsidRPr="00AC3FDE" w:rsidRDefault="00753773">
      <w:pPr>
        <w:pStyle w:val="FootnoteText"/>
        <w:rPr>
          <w:lang w:val="es-ES"/>
        </w:rPr>
      </w:pPr>
      <w:r w:rsidRPr="00AC3FDE">
        <w:rPr>
          <w:i/>
          <w:lang w:val="es-ES"/>
        </w:rPr>
        <w:t>Notas del Director:</w:t>
      </w:r>
    </w:p>
    <w:p w14:paraId="77C8BF84" w14:textId="77777777" w:rsidR="00753773" w:rsidRPr="00AC3FDE" w:rsidRDefault="00753773">
      <w:pPr>
        <w:pStyle w:val="FootnoteText"/>
        <w:ind w:left="313" w:hanging="313"/>
        <w:rPr>
          <w:lang w:val="es-ES"/>
        </w:rPr>
      </w:pPr>
      <w:r w:rsidRPr="00AC3FDE">
        <w:rPr>
          <w:position w:val="6"/>
          <w:sz w:val="16"/>
          <w:lang w:val="es-ES"/>
        </w:rPr>
        <w:t>*</w:t>
      </w:r>
      <w:r w:rsidRPr="00AC3FDE">
        <w:rPr>
          <w:lang w:val="es-ES"/>
        </w:rPr>
        <w:tab/>
        <w:t>Para la descripción de las características de las estaciones de radiodifusión con modulación de frecuencia, véase el Informe UIT</w:t>
      </w:r>
      <w:r w:rsidRPr="00AC3FDE">
        <w:rPr>
          <w:lang w:val="es-ES"/>
        </w:rPr>
        <w:noBreakHyphen/>
        <w:t>R BS.1198.</w:t>
      </w:r>
    </w:p>
  </w:footnote>
  <w:footnote w:id="3">
    <w:p w14:paraId="6B681A85" w14:textId="77777777" w:rsidR="00753773" w:rsidRPr="00AC3FDE" w:rsidRDefault="00753773">
      <w:pPr>
        <w:pStyle w:val="FootnoteText"/>
        <w:ind w:left="313" w:hanging="313"/>
        <w:rPr>
          <w:lang w:val="es-ES"/>
        </w:rPr>
      </w:pPr>
      <w:r w:rsidRPr="00AC3FDE">
        <w:rPr>
          <w:rStyle w:val="FootnoteReference"/>
          <w:lang w:val="es-ES"/>
        </w:rPr>
        <w:t>**</w:t>
      </w:r>
      <w:r w:rsidRPr="00AC3FDE">
        <w:rPr>
          <w:lang w:val="es-ES"/>
        </w:rPr>
        <w:tab/>
        <w:t>Para la descripción de los sistemas de aterrizaje con instrumentos, de radiofaros omnidireccionales en ondas métricas y de comunicaciones en ondas métricas, véase el Informe UIT-R M.927.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A324F" w14:textId="77777777" w:rsidR="00753773" w:rsidRDefault="00753773">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4F845" w14:textId="77777777" w:rsidR="00753773" w:rsidRDefault="00753773" w:rsidP="008760D9">
    <w:pPr>
      <w:pStyle w:val="Header"/>
      <w:ind w:right="360" w:firstLine="360"/>
    </w:pPr>
    <w:r>
      <w:rPr>
        <w:noProof/>
        <w:lang w:val="en-US" w:eastAsia="zh-CN"/>
      </w:rPr>
      <w:drawing>
        <wp:anchor distT="0" distB="0" distL="114300" distR="114300" simplePos="0" relativeHeight="251659264" behindDoc="1" locked="0" layoutInCell="1" allowOverlap="1" wp14:anchorId="5A1831E7" wp14:editId="6D3F4F3F">
          <wp:simplePos x="0" y="0"/>
          <wp:positionH relativeFrom="page">
            <wp:posOffset>0</wp:posOffset>
          </wp:positionH>
          <wp:positionV relativeFrom="page">
            <wp:posOffset>0</wp:posOffset>
          </wp:positionV>
          <wp:extent cx="7592060" cy="10760075"/>
          <wp:effectExtent l="0" t="0" r="8890" b="3175"/>
          <wp:wrapNone/>
          <wp:docPr id="2" name="Picture 1" descr="Description: 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ec_S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BA627" w14:textId="2C758E43" w:rsidR="00753773" w:rsidRDefault="00753773" w:rsidP="00D8159A">
    <w:pPr>
      <w:pStyle w:val="Header"/>
      <w:jc w:val="left"/>
    </w:pPr>
    <w:r>
      <w:rPr>
        <w:rStyle w:val="PageNumber"/>
        <w:b w:val="0"/>
        <w:bCs/>
      </w:rPr>
      <w:fldChar w:fldCharType="begin"/>
    </w:r>
    <w:r>
      <w:rPr>
        <w:rStyle w:val="PageNumber"/>
        <w:bCs/>
      </w:rPr>
      <w:instrText xml:space="preserve"> PAGE </w:instrText>
    </w:r>
    <w:r>
      <w:rPr>
        <w:rStyle w:val="PageNumber"/>
        <w:b w:val="0"/>
        <w:bCs/>
      </w:rPr>
      <w:fldChar w:fldCharType="separate"/>
    </w:r>
    <w:r>
      <w:rPr>
        <w:rStyle w:val="PageNumber"/>
        <w:bCs/>
        <w:noProof/>
      </w:rPr>
      <w:t>ii</w:t>
    </w:r>
    <w:r>
      <w:rPr>
        <w:rStyle w:val="PageNumber"/>
        <w:b w:val="0"/>
        <w:bCs/>
      </w:rPr>
      <w:fldChar w:fldCharType="end"/>
    </w:r>
    <w:r>
      <w:tab/>
    </w:r>
    <w:r>
      <w:fldChar w:fldCharType="begin"/>
    </w:r>
    <w:r>
      <w:instrText>styleref head_foot</w:instrText>
    </w:r>
    <w:r>
      <w:fldChar w:fldCharType="separate"/>
    </w:r>
    <w:r w:rsidR="007607B7">
      <w:rPr>
        <w:noProof/>
      </w:rPr>
      <w:t>Rec.  UIT-R  SM.1009-1</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44D42" w14:textId="6463894B" w:rsidR="00753773" w:rsidRDefault="00753773">
    <w:pPr>
      <w:pStyle w:val="Header"/>
    </w:pPr>
    <w:r>
      <w:tab/>
    </w:r>
    <w:r>
      <w:rPr>
        <w:lang w:val="fr-FR"/>
      </w:rPr>
      <w:fldChar w:fldCharType="begin"/>
    </w:r>
    <w:r>
      <w:instrText xml:space="preserve"> DOCPROPERTY "Header" \* MERGEFORMAT </w:instrText>
    </w:r>
    <w:r>
      <w:rPr>
        <w:lang w:val="fr-FR"/>
      </w:rPr>
      <w:fldChar w:fldCharType="separate"/>
    </w:r>
    <w:r>
      <w:rPr>
        <w:b w:val="0"/>
        <w:bCs/>
        <w:lang w:val="en-US"/>
      </w:rPr>
      <w:t>Error! Unknown document property name.</w:t>
    </w:r>
    <w:r>
      <w:rPr>
        <w:lang w:val="en-US"/>
      </w:rPr>
      <w:fldChar w:fldCharType="end"/>
    </w:r>
    <w:r>
      <w:rPr>
        <w:bCs/>
      </w:rPr>
      <w:t xml:space="preserve">  </w:t>
    </w:r>
    <w:r>
      <w:rPr>
        <w:b w:val="0"/>
        <w:bCs/>
      </w:rPr>
      <w:fldChar w:fldCharType="begin"/>
    </w:r>
    <w:r>
      <w:rPr>
        <w:bCs/>
      </w:rPr>
      <w:instrText>styleref href</w:instrText>
    </w:r>
    <w:r>
      <w:rPr>
        <w:b w:val="0"/>
        <w:bCs/>
      </w:rPr>
      <w:fldChar w:fldCharType="separate"/>
    </w:r>
    <w:r>
      <w:rPr>
        <w:noProof/>
        <w:lang w:val="en-US"/>
      </w:rPr>
      <w:t>Error! Use the Home tab to apply href to the text that you want to appear here.</w:t>
    </w:r>
    <w:r>
      <w:rPr>
        <w:b w:val="0"/>
        <w:bCs/>
      </w:rPr>
      <w:fldChar w:fldCharType="end"/>
    </w:r>
    <w:r>
      <w:tab/>
    </w:r>
    <w:r>
      <w:rPr>
        <w:rStyle w:val="PageNumber"/>
        <w:b w:val="0"/>
        <w:bCs/>
      </w:rPr>
      <w:fldChar w:fldCharType="begin"/>
    </w:r>
    <w:r>
      <w:rPr>
        <w:rStyle w:val="PageNumber"/>
        <w:bCs/>
      </w:rPr>
      <w:instrText xml:space="preserve"> PAGE </w:instrText>
    </w:r>
    <w:r>
      <w:rPr>
        <w:rStyle w:val="PageNumber"/>
        <w:b w:val="0"/>
        <w:bCs/>
      </w:rPr>
      <w:fldChar w:fldCharType="separate"/>
    </w:r>
    <w:r>
      <w:rPr>
        <w:rStyle w:val="PageNumber"/>
        <w:bCs/>
        <w:noProof/>
      </w:rPr>
      <w:t>iii</w:t>
    </w:r>
    <w:r>
      <w:rPr>
        <w:rStyle w:val="PageNumber"/>
        <w:b w:val="0"/>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CD4BC" w14:textId="493AD6A2" w:rsidR="00753773" w:rsidRDefault="00753773">
    <w:pPr>
      <w:pStyle w:val="Header"/>
      <w:jc w:val="left"/>
    </w:pPr>
    <w:r>
      <w:fldChar w:fldCharType="begin"/>
    </w:r>
    <w:r>
      <w:instrText>PAGE</w:instrText>
    </w:r>
    <w:r>
      <w:fldChar w:fldCharType="separate"/>
    </w:r>
    <w:r>
      <w:rPr>
        <w:noProof/>
      </w:rPr>
      <w:t>16</w:t>
    </w:r>
    <w:r>
      <w:fldChar w:fldCharType="end"/>
    </w:r>
    <w:r>
      <w:tab/>
    </w:r>
    <w:r>
      <w:fldChar w:fldCharType="begin"/>
    </w:r>
    <w:r>
      <w:instrText>styleref head_foot</w:instrText>
    </w:r>
    <w:r>
      <w:fldChar w:fldCharType="separate"/>
    </w:r>
    <w:r w:rsidR="007607B7">
      <w:rPr>
        <w:noProof/>
      </w:rPr>
      <w:t>Rec.  UIT-R  SM.1009-1</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CB7AC" w14:textId="13600F1D" w:rsidR="00753773" w:rsidRDefault="00753773">
    <w:pPr>
      <w:pStyle w:val="Header"/>
      <w:jc w:val="left"/>
    </w:pPr>
    <w:r>
      <w:tab/>
    </w:r>
    <w:r>
      <w:fldChar w:fldCharType="begin"/>
    </w:r>
    <w:r>
      <w:instrText>styleref head_foot</w:instrText>
    </w:r>
    <w:r>
      <w:fldChar w:fldCharType="separate"/>
    </w:r>
    <w:r w:rsidR="007607B7">
      <w:rPr>
        <w:noProof/>
      </w:rPr>
      <w:t>Rec.  UIT-R  SM.1009-1</w:t>
    </w:r>
    <w:r>
      <w:fldChar w:fldCharType="end"/>
    </w:r>
    <w:r>
      <w:tab/>
    </w:r>
    <w:r>
      <w:fldChar w:fldCharType="begin"/>
    </w:r>
    <w:r>
      <w:instrText>PAGE</w:instrText>
    </w:r>
    <w:r>
      <w:fldChar w:fldCharType="separate"/>
    </w:r>
    <w:r>
      <w:rPr>
        <w:noProof/>
      </w:rPr>
      <w:t>17</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A026A" w14:textId="6F559043" w:rsidR="00753773" w:rsidRDefault="00753773">
    <w:pPr>
      <w:pStyle w:val="Header"/>
      <w:jc w:val="left"/>
    </w:pPr>
    <w:r>
      <w:fldChar w:fldCharType="begin"/>
    </w:r>
    <w:r>
      <w:instrText>PAGE</w:instrText>
    </w:r>
    <w:r>
      <w:fldChar w:fldCharType="separate"/>
    </w:r>
    <w:r>
      <w:rPr>
        <w:noProof/>
      </w:rPr>
      <w:t>38</w:t>
    </w:r>
    <w:r>
      <w:fldChar w:fldCharType="end"/>
    </w:r>
    <w:r>
      <w:tab/>
    </w:r>
    <w:r>
      <w:fldChar w:fldCharType="begin"/>
    </w:r>
    <w:r>
      <w:instrText>styleref head_foot</w:instrText>
    </w:r>
    <w:r>
      <w:fldChar w:fldCharType="separate"/>
    </w:r>
    <w:r w:rsidR="007607B7">
      <w:rPr>
        <w:noProof/>
      </w:rPr>
      <w:t>Rec.  UIT-R  SM.1009-1</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41CD3" w14:textId="60A5F8D5" w:rsidR="00753773" w:rsidRDefault="00753773">
    <w:pPr>
      <w:pStyle w:val="Header"/>
    </w:pPr>
    <w:r>
      <w:tab/>
    </w:r>
    <w:r>
      <w:fldChar w:fldCharType="begin"/>
    </w:r>
    <w:r>
      <w:instrText>styleref head_foot</w:instrText>
    </w:r>
    <w:r>
      <w:fldChar w:fldCharType="separate"/>
    </w:r>
    <w:r w:rsidR="007607B7">
      <w:rPr>
        <w:noProof/>
      </w:rPr>
      <w:t>Rec.  UIT-R  SM.1009-1</w:t>
    </w:r>
    <w:r>
      <w:fldChar w:fldCharType="end"/>
    </w:r>
    <w:r>
      <w:tab/>
    </w:r>
    <w:r>
      <w:fldChar w:fldCharType="begin"/>
    </w:r>
    <w:r>
      <w:instrText>PAGE</w:instrText>
    </w:r>
    <w:r>
      <w:fldChar w:fldCharType="separate"/>
    </w:r>
    <w:r>
      <w:rPr>
        <w:noProof/>
      </w:rPr>
      <w:t>37</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6151BD" w14:textId="77777777" w:rsidR="00753773" w:rsidRDefault="0075377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intFractionalCharacterWidth/>
  <w:hideSpellingErrors/>
  <w:proofState w:spelling="clean"/>
  <w:attachedTemplate r:id="rId1"/>
  <w:defaultTabStop w:val="720"/>
  <w:doNotHyphenateCaps/>
  <w:evenAndOddHeader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52C7"/>
    <w:rsid w:val="00412E81"/>
    <w:rsid w:val="00574371"/>
    <w:rsid w:val="005D5219"/>
    <w:rsid w:val="00753773"/>
    <w:rsid w:val="007607B7"/>
    <w:rsid w:val="008760D9"/>
    <w:rsid w:val="00AC3FDE"/>
    <w:rsid w:val="00AD5364"/>
    <w:rsid w:val="00D8159A"/>
    <w:rsid w:val="00DF52C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2"/>
    </o:shapelayout>
  </w:shapeDefaults>
  <w:decimalSymbol w:val="."/>
  <w:listSeparator w:val=","/>
  <w14:docId w14:val="55011021"/>
  <w15:docId w15:val="{9383360B-C16D-49B6-BE39-CF8C3A3B3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New Roman" w:hAnsi="Times"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hAnsi="Times New Roman"/>
      <w:lang w:val="en-GB" w:eastAsia="en-US"/>
    </w:rPr>
  </w:style>
  <w:style w:type="paragraph" w:styleId="Heading1">
    <w:name w:val="heading 1"/>
    <w:basedOn w:val="Normal"/>
    <w:next w:val="Normal"/>
    <w:qFormat/>
    <w:pPr>
      <w:keepNext/>
      <w:keepLines/>
      <w:tabs>
        <w:tab w:val="clear" w:pos="1191"/>
        <w:tab w:val="clear" w:pos="1588"/>
        <w:tab w:val="clear" w:pos="1985"/>
      </w:tabs>
      <w:spacing w:before="480"/>
      <w:ind w:left="794" w:hanging="794"/>
      <w:outlineLvl w:val="0"/>
    </w:pPr>
    <w:rPr>
      <w:b/>
      <w:sz w:val="24"/>
    </w:rPr>
  </w:style>
  <w:style w:type="paragraph" w:styleId="Heading2">
    <w:name w:val="heading 2"/>
    <w:basedOn w:val="Normal"/>
    <w:next w:val="Normal"/>
    <w:qFormat/>
    <w:pPr>
      <w:keepNext/>
      <w:keepLines/>
      <w:tabs>
        <w:tab w:val="clear" w:pos="1191"/>
        <w:tab w:val="clear" w:pos="1588"/>
        <w:tab w:val="clear" w:pos="1985"/>
      </w:tabs>
      <w:spacing w:before="313"/>
      <w:ind w:left="794" w:hanging="794"/>
      <w:outlineLvl w:val="1"/>
    </w:pPr>
    <w:rPr>
      <w:b/>
      <w:sz w:val="22"/>
    </w:rPr>
  </w:style>
  <w:style w:type="paragraph" w:styleId="Heading3">
    <w:name w:val="heading 3"/>
    <w:basedOn w:val="Normal"/>
    <w:next w:val="Normal"/>
    <w:qFormat/>
    <w:pPr>
      <w:keepNext/>
      <w:keepLines/>
      <w:tabs>
        <w:tab w:val="clear" w:pos="1191"/>
        <w:tab w:val="clear" w:pos="1588"/>
        <w:tab w:val="clear" w:pos="1985"/>
      </w:tabs>
      <w:spacing w:before="181"/>
      <w:ind w:left="794" w:hanging="794"/>
      <w:outlineLvl w:val="2"/>
    </w:pPr>
    <w:rPr>
      <w:b/>
    </w:rPr>
  </w:style>
  <w:style w:type="paragraph" w:styleId="Heading4">
    <w:name w:val="heading 4"/>
    <w:basedOn w:val="Heading3"/>
    <w:next w:val="Normal"/>
    <w:qFormat/>
    <w:pPr>
      <w:tabs>
        <w:tab w:val="clear" w:pos="794"/>
        <w:tab w:val="left" w:pos="851"/>
      </w:tabs>
      <w:ind w:left="851" w:hanging="851"/>
      <w:outlineLvl w:val="3"/>
    </w:pPr>
  </w:style>
  <w:style w:type="paragraph" w:styleId="Heading5">
    <w:name w:val="heading 5"/>
    <w:basedOn w:val="Heading3"/>
    <w:next w:val="Normal"/>
    <w:qFormat/>
    <w:pPr>
      <w:tabs>
        <w:tab w:val="clear" w:pos="794"/>
        <w:tab w:val="left" w:pos="1021"/>
      </w:tabs>
      <w:ind w:left="1021" w:hanging="1021"/>
      <w:outlineLvl w:val="4"/>
    </w:pPr>
  </w:style>
  <w:style w:type="paragraph" w:styleId="Heading6">
    <w:name w:val="heading 6"/>
    <w:basedOn w:val="Heading3"/>
    <w:next w:val="Normal"/>
    <w:qFormat/>
    <w:pPr>
      <w:tabs>
        <w:tab w:val="clear" w:pos="794"/>
        <w:tab w:val="left" w:pos="1191"/>
      </w:tabs>
      <w:ind w:left="1191" w:hanging="1191"/>
      <w:outlineLvl w:val="5"/>
    </w:pPr>
  </w:style>
  <w:style w:type="paragraph" w:styleId="Heading7">
    <w:name w:val="heading 7"/>
    <w:basedOn w:val="Heading3"/>
    <w:next w:val="Normal"/>
    <w:qFormat/>
    <w:pPr>
      <w:tabs>
        <w:tab w:val="clear" w:pos="794"/>
        <w:tab w:val="left" w:pos="1361"/>
      </w:tabs>
      <w:spacing w:before="200"/>
      <w:ind w:left="0" w:firstLine="0"/>
      <w:outlineLvl w:val="6"/>
    </w:pPr>
  </w:style>
  <w:style w:type="paragraph" w:styleId="Heading8">
    <w:name w:val="heading 8"/>
    <w:basedOn w:val="Heading3"/>
    <w:next w:val="Normal"/>
    <w:qFormat/>
    <w:pPr>
      <w:tabs>
        <w:tab w:val="clear" w:pos="794"/>
        <w:tab w:val="left" w:pos="1418"/>
      </w:tabs>
      <w:ind w:left="1418" w:hanging="1418"/>
      <w:outlineLvl w:val="7"/>
    </w:pPr>
  </w:style>
  <w:style w:type="paragraph" w:styleId="Heading9">
    <w:name w:val="heading 9"/>
    <w:basedOn w:val="Heading3"/>
    <w:next w:val="Normal"/>
    <w:qFormat/>
    <w:pPr>
      <w:tabs>
        <w:tab w:val="clear" w:pos="794"/>
        <w:tab w:val="left" w:pos="1531"/>
      </w:tabs>
      <w:ind w:left="1531" w:hanging="1531"/>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semiHidden/>
    <w:rPr>
      <w:vertAlign w:val="superscript"/>
    </w:rPr>
  </w:style>
  <w:style w:type="paragraph" w:customStyle="1" w:styleId="Line1">
    <w:name w:val="Line_1"/>
    <w:basedOn w:val="Normal"/>
    <w:next w:val="Normal"/>
    <w:pPr>
      <w:pBdr>
        <w:top w:val="dashed" w:sz="6" w:space="1" w:color="auto"/>
      </w:pBdr>
      <w:tabs>
        <w:tab w:val="clear" w:pos="794"/>
        <w:tab w:val="clear" w:pos="1191"/>
        <w:tab w:val="clear" w:pos="1588"/>
        <w:tab w:val="clear" w:pos="1985"/>
      </w:tabs>
      <w:spacing w:before="240"/>
      <w:ind w:left="3997" w:right="3997"/>
      <w:jc w:val="center"/>
    </w:pPr>
  </w:style>
  <w:style w:type="paragraph" w:styleId="TOC8">
    <w:name w:val="toc 8"/>
    <w:basedOn w:val="Normal"/>
    <w:next w:val="Normal"/>
    <w:semiHidden/>
    <w:pPr>
      <w:tabs>
        <w:tab w:val="left" w:pos="7711"/>
        <w:tab w:val="right" w:leader="dot" w:pos="9725"/>
      </w:tabs>
      <w:ind w:left="6350"/>
    </w:pPr>
  </w:style>
  <w:style w:type="paragraph" w:styleId="TOC7">
    <w:name w:val="toc 7"/>
    <w:basedOn w:val="TOC2"/>
    <w:next w:val="Normal"/>
    <w:semiHidden/>
    <w:pPr>
      <w:spacing w:before="20"/>
      <w:ind w:right="652"/>
    </w:pPr>
  </w:style>
  <w:style w:type="paragraph" w:styleId="TOC6">
    <w:name w:val="toc 6"/>
    <w:basedOn w:val="Normal"/>
    <w:next w:val="Normal"/>
    <w:semiHidden/>
    <w:pPr>
      <w:tabs>
        <w:tab w:val="left" w:pos="5104"/>
        <w:tab w:val="right" w:leader="dot" w:pos="9725"/>
      </w:tabs>
      <w:ind w:left="3969"/>
    </w:pPr>
  </w:style>
  <w:style w:type="paragraph" w:styleId="TOC5">
    <w:name w:val="toc 5"/>
    <w:basedOn w:val="Normal"/>
    <w:next w:val="Normal"/>
    <w:semiHidden/>
    <w:pPr>
      <w:tabs>
        <w:tab w:val="left" w:pos="3969"/>
        <w:tab w:val="right" w:leader="dot" w:pos="9725"/>
      </w:tabs>
      <w:ind w:left="2948"/>
    </w:pPr>
  </w:style>
  <w:style w:type="paragraph" w:styleId="TOC4">
    <w:name w:val="toc 4"/>
    <w:basedOn w:val="TOC3"/>
    <w:next w:val="TOC5"/>
    <w:semiHidden/>
    <w:pPr>
      <w:tabs>
        <w:tab w:val="left" w:pos="2948"/>
      </w:tabs>
      <w:ind w:left="2948" w:hanging="907"/>
    </w:pPr>
  </w:style>
  <w:style w:type="paragraph" w:styleId="TOC3">
    <w:name w:val="toc 3"/>
    <w:basedOn w:val="TOC2"/>
    <w:next w:val="TOC4"/>
    <w:semiHidden/>
    <w:pPr>
      <w:tabs>
        <w:tab w:val="clear" w:pos="1247"/>
        <w:tab w:val="left" w:pos="2041"/>
      </w:tabs>
      <w:spacing w:before="20"/>
      <w:ind w:left="2041" w:hanging="794"/>
    </w:pPr>
  </w:style>
  <w:style w:type="paragraph" w:styleId="TOC2">
    <w:name w:val="toc 2"/>
    <w:basedOn w:val="TOC1"/>
    <w:next w:val="TOC3"/>
    <w:semiHidden/>
    <w:pPr>
      <w:tabs>
        <w:tab w:val="clear" w:pos="567"/>
        <w:tab w:val="left" w:pos="1247"/>
      </w:tabs>
      <w:spacing w:before="40"/>
      <w:ind w:left="1247" w:hanging="680"/>
    </w:pPr>
  </w:style>
  <w:style w:type="paragraph" w:styleId="TOC1">
    <w:name w:val="toc 1"/>
    <w:basedOn w:val="Normal"/>
    <w:next w:val="TOC2"/>
    <w:semiHidden/>
    <w:pPr>
      <w:keepNext/>
      <w:tabs>
        <w:tab w:val="clear" w:pos="794"/>
        <w:tab w:val="clear" w:pos="1191"/>
        <w:tab w:val="clear" w:pos="1588"/>
        <w:tab w:val="clear" w:pos="1985"/>
        <w:tab w:val="left" w:pos="567"/>
        <w:tab w:val="right" w:leader="dot" w:pos="9072"/>
        <w:tab w:val="right" w:pos="9725"/>
      </w:tabs>
      <w:spacing w:before="120"/>
      <w:ind w:left="567" w:right="653" w:hanging="567"/>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emiHidden/>
  </w:style>
  <w:style w:type="paragraph" w:styleId="IndexHeading">
    <w:name w:val="index heading"/>
    <w:basedOn w:val="Normal"/>
    <w:next w:val="Index1"/>
    <w:semiHidden/>
  </w:style>
  <w:style w:type="paragraph" w:styleId="Footer">
    <w:name w:val="footer"/>
    <w:basedOn w:val="Normal"/>
    <w:semiHidden/>
    <w:pPr>
      <w:tabs>
        <w:tab w:val="clear" w:pos="794"/>
        <w:tab w:val="clear" w:pos="1191"/>
        <w:tab w:val="clear" w:pos="1588"/>
        <w:tab w:val="clear" w:pos="1985"/>
        <w:tab w:val="center" w:pos="4849"/>
        <w:tab w:val="right" w:pos="9696"/>
      </w:tabs>
      <w:jc w:val="left"/>
    </w:pPr>
    <w:rPr>
      <w:b/>
    </w:rPr>
  </w:style>
  <w:style w:type="paragraph" w:styleId="Header">
    <w:name w:val="header"/>
    <w:basedOn w:val="Normal"/>
    <w:pPr>
      <w:tabs>
        <w:tab w:val="clear" w:pos="794"/>
        <w:tab w:val="clear" w:pos="1191"/>
        <w:tab w:val="clear" w:pos="1588"/>
        <w:tab w:val="clear" w:pos="1985"/>
        <w:tab w:val="center" w:pos="4849"/>
        <w:tab w:val="right" w:pos="9696"/>
      </w:tabs>
    </w:pPr>
    <w:rPr>
      <w:b/>
    </w:rPr>
  </w:style>
  <w:style w:type="character" w:styleId="FootnoteReference">
    <w:name w:val="footnote reference"/>
    <w:basedOn w:val="DefaultParagraphFont"/>
    <w:semiHidden/>
    <w:rPr>
      <w:position w:val="4"/>
      <w:sz w:val="16"/>
    </w:rPr>
  </w:style>
  <w:style w:type="paragraph" w:styleId="FootnoteText">
    <w:name w:val="footnote text"/>
    <w:basedOn w:val="Normal"/>
    <w:semiHidden/>
    <w:pPr>
      <w:tabs>
        <w:tab w:val="clear" w:pos="794"/>
        <w:tab w:val="clear" w:pos="1191"/>
        <w:tab w:val="clear" w:pos="1588"/>
        <w:tab w:val="clear" w:pos="1985"/>
        <w:tab w:val="left" w:pos="313"/>
      </w:tabs>
    </w:pPr>
    <w:rPr>
      <w:sz w:val="18"/>
    </w:rPr>
  </w:style>
  <w:style w:type="paragraph" w:styleId="NormalIndent">
    <w:name w:val="Normal Indent"/>
    <w:basedOn w:val="Normal"/>
    <w:semiHidden/>
    <w:pPr>
      <w:ind w:left="600"/>
    </w:p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0"/>
      <w:jc w:val="left"/>
    </w:pPr>
    <w:rPr>
      <w:noProof/>
    </w:rPr>
  </w:style>
  <w:style w:type="paragraph" w:customStyle="1" w:styleId="head">
    <w:name w:val="head"/>
    <w:basedOn w:val="headfoot"/>
    <w:rPr>
      <w:lang w:val="es-ES_tradnl"/>
    </w:rPr>
  </w:style>
  <w:style w:type="paragraph" w:customStyle="1" w:styleId="foot">
    <w:name w:val="foot"/>
    <w:basedOn w:val="headfoot"/>
    <w:rPr>
      <w:lang w:val="es-ES_tradnl"/>
    </w:rPr>
  </w:style>
  <w:style w:type="character" w:styleId="PageNumber">
    <w:name w:val="page number"/>
    <w:rsid w:val="00DF52C7"/>
  </w:style>
  <w:style w:type="paragraph" w:customStyle="1" w:styleId="TableLegend">
    <w:name w:val="Table_Legend"/>
    <w:basedOn w:val="Normal"/>
    <w:next w:val="Normal"/>
    <w:pPr>
      <w:keepNext/>
      <w:spacing w:before="86" w:line="199" w:lineRule="exact"/>
      <w:ind w:left="-85" w:right="-85"/>
    </w:pPr>
    <w:rPr>
      <w:sz w:val="18"/>
    </w:rPr>
  </w:style>
  <w:style w:type="paragraph" w:customStyle="1" w:styleId="TableTitle">
    <w:name w:val="Table_Title"/>
    <w:basedOn w:val="Table"/>
    <w:next w:val="Blanc"/>
    <w:pPr>
      <w:spacing w:before="0"/>
    </w:pPr>
    <w:rPr>
      <w:b/>
    </w:rPr>
  </w:style>
  <w:style w:type="paragraph" w:customStyle="1" w:styleId="TableText">
    <w:name w:val="Table_Text"/>
    <w:basedOn w:val="TableLegend"/>
    <w:pPr>
      <w:spacing w:before="100" w:after="100" w:line="190" w:lineRule="exact"/>
      <w:ind w:left="0" w:right="0"/>
    </w:pPr>
  </w:style>
  <w:style w:type="paragraph" w:customStyle="1" w:styleId="enumlev1">
    <w:name w:val="enumlev1"/>
    <w:basedOn w:val="Normal"/>
    <w:next w:val="Normal"/>
    <w:pPr>
      <w:tabs>
        <w:tab w:val="clear" w:pos="794"/>
        <w:tab w:val="clear" w:pos="1191"/>
        <w:tab w:val="clear" w:pos="1588"/>
        <w:tab w:val="clear" w:pos="1985"/>
        <w:tab w:val="left" w:pos="397"/>
      </w:tabs>
      <w:spacing w:before="86"/>
      <w:ind w:left="397" w:hanging="397"/>
    </w:pPr>
  </w:style>
  <w:style w:type="paragraph" w:customStyle="1" w:styleId="enumlev2">
    <w:name w:val="enumlev2"/>
    <w:basedOn w:val="enumlev1"/>
    <w:pPr>
      <w:tabs>
        <w:tab w:val="clear" w:pos="397"/>
        <w:tab w:val="left" w:pos="794"/>
      </w:tabs>
      <w:ind w:left="794"/>
    </w:pPr>
  </w:style>
  <w:style w:type="paragraph" w:customStyle="1" w:styleId="enumlev3">
    <w:name w:val="enumlev3"/>
    <w:basedOn w:val="enumlev2"/>
    <w:pPr>
      <w:tabs>
        <w:tab w:val="clear" w:pos="794"/>
        <w:tab w:val="left" w:pos="1191"/>
      </w:tabs>
      <w:ind w:left="1191"/>
    </w:pPr>
  </w:style>
  <w:style w:type="paragraph" w:customStyle="1" w:styleId="Table">
    <w:name w:val="Table_#"/>
    <w:basedOn w:val="Normal"/>
    <w:next w:val="TableTitle"/>
    <w:pPr>
      <w:keepNext/>
      <w:tabs>
        <w:tab w:val="clear" w:pos="794"/>
        <w:tab w:val="clear" w:pos="1191"/>
        <w:tab w:val="clear" w:pos="1588"/>
        <w:tab w:val="clear" w:pos="1985"/>
      </w:tabs>
      <w:spacing w:before="567" w:after="113"/>
      <w:jc w:val="center"/>
    </w:pPr>
    <w:rPr>
      <w:sz w:val="18"/>
    </w:rPr>
  </w:style>
  <w:style w:type="paragraph" w:customStyle="1" w:styleId="Figure">
    <w:name w:val="Figure"/>
    <w:basedOn w:val="Normal"/>
    <w:next w:val="Normal"/>
    <w:pPr>
      <w:keepNext/>
      <w:keepLines/>
      <w:spacing w:before="240"/>
      <w:jc w:val="center"/>
    </w:pPr>
  </w:style>
  <w:style w:type="paragraph" w:customStyle="1" w:styleId="FigureLegend">
    <w:name w:val="Figure_Legend"/>
    <w:basedOn w:val="TableLegend"/>
    <w:next w:val="FigureRemark"/>
    <w:pPr>
      <w:jc w:val="left"/>
    </w:pPr>
  </w:style>
  <w:style w:type="paragraph" w:customStyle="1" w:styleId="Figure0">
    <w:name w:val="Figure_#"/>
    <w:basedOn w:val="Table"/>
    <w:next w:val="FigureTitle"/>
  </w:style>
  <w:style w:type="paragraph" w:customStyle="1" w:styleId="FigureTitle">
    <w:name w:val="Figure_Title"/>
    <w:basedOn w:val="TableTitle"/>
    <w:next w:val="FigureLegend"/>
    <w:pPr>
      <w:spacing w:after="240"/>
    </w:pPr>
  </w:style>
  <w:style w:type="paragraph" w:customStyle="1" w:styleId="Annex">
    <w:name w:val="Annex_#"/>
    <w:basedOn w:val="Normal"/>
    <w:next w:val="AnnexRef"/>
    <w:pPr>
      <w:tabs>
        <w:tab w:val="clear" w:pos="794"/>
        <w:tab w:val="clear" w:pos="1191"/>
        <w:tab w:val="clear" w:pos="1588"/>
        <w:tab w:val="clear" w:pos="1985"/>
        <w:tab w:val="center" w:pos="4849"/>
        <w:tab w:val="right" w:pos="9696"/>
      </w:tabs>
      <w:spacing w:before="720" w:after="68"/>
      <w:jc w:val="center"/>
    </w:pPr>
  </w:style>
  <w:style w:type="paragraph" w:customStyle="1" w:styleId="AnnexRef">
    <w:name w:val="Annex_Ref"/>
    <w:basedOn w:val="Normal"/>
    <w:next w:val="AnnexTitle"/>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
    <w:pPr>
      <w:tabs>
        <w:tab w:val="clear" w:pos="794"/>
        <w:tab w:val="clear" w:pos="1191"/>
        <w:tab w:val="clear" w:pos="1588"/>
        <w:tab w:val="clear" w:pos="1985"/>
        <w:tab w:val="left" w:pos="4849"/>
        <w:tab w:val="right" w:pos="9696"/>
      </w:tabs>
      <w:spacing w:after="200"/>
      <w:jc w:val="center"/>
    </w:pPr>
    <w:rPr>
      <w:b/>
      <w:sz w:val="24"/>
    </w:r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keepNext/>
      <w:keepLines/>
      <w:tabs>
        <w:tab w:val="clear" w:pos="794"/>
        <w:tab w:val="clear" w:pos="1191"/>
        <w:tab w:val="clear" w:pos="1588"/>
        <w:tab w:val="clear" w:pos="1985"/>
      </w:tabs>
      <w:spacing w:before="600"/>
      <w:jc w:val="center"/>
    </w:pPr>
    <w:rPr>
      <w:sz w:val="18"/>
    </w:rPr>
  </w:style>
  <w:style w:type="paragraph" w:customStyle="1" w:styleId="RefText">
    <w:name w:val="Ref_Text"/>
    <w:basedOn w:val="Normal"/>
    <w:pPr>
      <w:ind w:left="567" w:hanging="567"/>
    </w:pPr>
    <w:rPr>
      <w:sz w:val="18"/>
    </w:rPr>
  </w:style>
  <w:style w:type="paragraph" w:customStyle="1" w:styleId="listitem">
    <w:name w:val="listitem"/>
    <w:basedOn w:val="Normal"/>
    <w:pPr>
      <w:keepLines/>
      <w:spacing w:before="0"/>
      <w:jc w:val="left"/>
    </w:pPr>
  </w:style>
  <w:style w:type="paragraph" w:customStyle="1" w:styleId="Rec">
    <w:name w:val="Rec_#"/>
    <w:basedOn w:val="Normal"/>
    <w:next w:val="RecTitle"/>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
    <w:name w:val="Rec_Title"/>
    <w:basedOn w:val="Rec"/>
    <w:next w:val="RecTitleRef"/>
    <w:pPr>
      <w:spacing w:before="180"/>
    </w:pPr>
    <w:rPr>
      <w:b/>
    </w:rPr>
  </w:style>
  <w:style w:type="paragraph" w:customStyle="1" w:styleId="Normalaftertitle">
    <w:name w:val="Normal after title"/>
    <w:basedOn w:val="Normal"/>
    <w:next w:val="Normal"/>
    <w:pPr>
      <w:spacing w:before="480"/>
    </w:pPr>
  </w:style>
  <w:style w:type="paragraph" w:customStyle="1" w:styleId="call">
    <w:name w:val="call"/>
    <w:basedOn w:val="Normal"/>
    <w:next w:val="Normal"/>
    <w:pPr>
      <w:keepNext/>
      <w:keepLines/>
      <w:tabs>
        <w:tab w:val="clear" w:pos="1191"/>
        <w:tab w:val="clear" w:pos="1588"/>
        <w:tab w:val="clear" w:pos="1985"/>
      </w:tabs>
      <w:spacing w:before="227"/>
      <w:ind w:left="794"/>
      <w:jc w:val="left"/>
    </w:pPr>
    <w:rPr>
      <w:i/>
    </w:rPr>
  </w:style>
  <w:style w:type="paragraph" w:customStyle="1" w:styleId="deftitle">
    <w:name w:val="def title"/>
    <w:basedOn w:val="Heading2"/>
    <w:next w:val="deftexte"/>
    <w:pPr>
      <w:outlineLvl w:val="9"/>
    </w:pPr>
  </w:style>
  <w:style w:type="paragraph" w:customStyle="1" w:styleId="deftexte">
    <w:name w:val="def texte"/>
    <w:basedOn w:val="Normal"/>
  </w:style>
  <w:style w:type="paragraph" w:customStyle="1" w:styleId="Equation">
    <w:name w:val="Equation"/>
    <w:basedOn w:val="Normal"/>
    <w:pPr>
      <w:tabs>
        <w:tab w:val="clear" w:pos="1191"/>
        <w:tab w:val="clear" w:pos="1588"/>
        <w:tab w:val="clear" w:pos="1985"/>
        <w:tab w:val="center" w:pos="4849"/>
        <w:tab w:val="right" w:pos="9696"/>
      </w:tabs>
      <w:spacing w:before="140" w:after="40"/>
      <w:jc w:val="left"/>
    </w:pPr>
    <w:rPr>
      <w:sz w:val="22"/>
    </w:rPr>
  </w:style>
  <w:style w:type="paragraph" w:customStyle="1" w:styleId="Section">
    <w:name w:val="Section #"/>
    <w:basedOn w:val="Normal"/>
    <w:next w:val="Sectiontitle"/>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
    <w:name w:val="Section title"/>
    <w:basedOn w:val="Section"/>
    <w:next w:val="Rec"/>
    <w:pPr>
      <w:pageBreakBefore w:val="0"/>
      <w:spacing w:before="240"/>
    </w:pPr>
    <w:rPr>
      <w:i/>
    </w:rPr>
  </w:style>
  <w:style w:type="paragraph" w:customStyle="1" w:styleId="RecTitleRef">
    <w:name w:val="Rec_Title/Ref"/>
    <w:basedOn w:val="RecTitle"/>
    <w:next w:val="RecTitleDate"/>
    <w:pPr>
      <w:spacing w:before="136"/>
    </w:pPr>
    <w:rPr>
      <w:b w:val="0"/>
    </w:rPr>
  </w:style>
  <w:style w:type="paragraph" w:customStyle="1" w:styleId="RecTitleDate">
    <w:name w:val="Rec_Title/Date"/>
    <w:basedOn w:val="RecTitleRef"/>
    <w:next w:val="headfoot"/>
    <w:pPr>
      <w:tabs>
        <w:tab w:val="clear" w:pos="4849"/>
      </w:tabs>
      <w:jc w:val="right"/>
    </w:pPr>
  </w:style>
  <w:style w:type="paragraph" w:customStyle="1" w:styleId="heading">
    <w:name w:val="heading"/>
    <w:basedOn w:val="Heading2"/>
    <w:pPr>
      <w:tabs>
        <w:tab w:val="left" w:pos="1191"/>
        <w:tab w:val="left" w:pos="1588"/>
      </w:tabs>
      <w:outlineLvl w:val="9"/>
    </w:p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style>
  <w:style w:type="paragraph" w:customStyle="1" w:styleId="headfoot">
    <w:name w:val="head_foot"/>
    <w:basedOn w:val="Normal"/>
    <w:next w:val="Normalaftertitle"/>
    <w:pPr>
      <w:tabs>
        <w:tab w:val="clear" w:pos="794"/>
        <w:tab w:val="clear" w:pos="1191"/>
        <w:tab w:val="clear" w:pos="1588"/>
        <w:tab w:val="clear" w:pos="1985"/>
      </w:tabs>
      <w:spacing w:before="0"/>
    </w:pPr>
    <w:rPr>
      <w:b/>
      <w:color w:val="FFFFFF"/>
      <w:sz w:val="8"/>
    </w:rPr>
  </w:style>
  <w:style w:type="paragraph" w:customStyle="1" w:styleId="Part">
    <w:name w:val="Part_#"/>
    <w:basedOn w:val="Annex"/>
    <w:next w:val="PartRef"/>
  </w:style>
  <w:style w:type="paragraph" w:customStyle="1" w:styleId="PartRef">
    <w:name w:val="Part_Ref"/>
    <w:basedOn w:val="AnnexRef"/>
  </w:style>
  <w:style w:type="paragraph" w:customStyle="1" w:styleId="PartTitle">
    <w:name w:val="Part_Title"/>
    <w:basedOn w:val="AnnexTitle"/>
    <w:next w:val="Normalaftertitle"/>
  </w:style>
  <w:style w:type="paragraph" w:customStyle="1" w:styleId="Rep">
    <w:name w:val="Rep_#"/>
    <w:basedOn w:val="Rec"/>
    <w:next w:val="RepTitle"/>
  </w:style>
  <w:style w:type="paragraph" w:customStyle="1" w:styleId="RepTitle">
    <w:name w:val="Rep_Title"/>
    <w:basedOn w:val="RecTitle"/>
    <w:next w:val="RepTitleRef"/>
  </w:style>
  <w:style w:type="paragraph" w:customStyle="1" w:styleId="RepTitleDate">
    <w:name w:val="Rep_Title/Date"/>
    <w:basedOn w:val="RecTitleDate"/>
    <w:next w:val="headfoot"/>
  </w:style>
  <w:style w:type="paragraph" w:customStyle="1" w:styleId="RepTitleRef">
    <w:name w:val="Rep_Title/Ref"/>
    <w:basedOn w:val="RecTitleRef"/>
    <w:next w:val="RepTitleDate"/>
  </w:style>
  <w:style w:type="paragraph" w:customStyle="1" w:styleId="RefDoc">
    <w:name w:val="Ref_Doc"/>
    <w:basedOn w:val="RefText"/>
    <w:next w:val="RefText"/>
    <w:pPr>
      <w:spacing w:before="227"/>
    </w:pPr>
    <w:rPr>
      <w:i/>
    </w:rPr>
  </w:style>
  <w:style w:type="paragraph" w:customStyle="1" w:styleId="Question">
    <w:name w:val="Question_#"/>
    <w:basedOn w:val="Rec"/>
    <w:next w:val="QuestionTitle"/>
    <w:pPr>
      <w:spacing w:before="0"/>
    </w:pPr>
  </w:style>
  <w:style w:type="paragraph" w:customStyle="1" w:styleId="QuestionTitle">
    <w:name w:val="Question_Title"/>
    <w:basedOn w:val="RecTitle"/>
    <w:next w:val="QuestionTitleRef"/>
  </w:style>
  <w:style w:type="paragraph" w:customStyle="1" w:styleId="QuestionTitleDate">
    <w:name w:val="Question_Title/Date"/>
    <w:basedOn w:val="RecTitleDate"/>
    <w:next w:val="headfoot"/>
  </w:style>
  <w:style w:type="paragraph" w:customStyle="1" w:styleId="QuestionTitleRef">
    <w:name w:val="Question_Title/Ref"/>
    <w:basedOn w:val="RecTitleRef"/>
    <w:next w:val="QuestionTitleDate"/>
  </w:style>
  <w:style w:type="paragraph" w:customStyle="1" w:styleId="Res">
    <w:name w:val="Res_#"/>
    <w:basedOn w:val="Rec"/>
    <w:next w:val="ResTitle"/>
  </w:style>
  <w:style w:type="paragraph" w:customStyle="1" w:styleId="ResTitle">
    <w:name w:val="Res_Title"/>
    <w:basedOn w:val="RecTitle"/>
    <w:next w:val="ResTitleRef"/>
  </w:style>
  <w:style w:type="paragraph" w:customStyle="1" w:styleId="ResTitleDate">
    <w:name w:val="Res_Title/Date"/>
    <w:basedOn w:val="RecTitleDate"/>
    <w:next w:val="headfoot"/>
  </w:style>
  <w:style w:type="paragraph" w:customStyle="1" w:styleId="ResTitleRef">
    <w:name w:val="Res_Title/Ref"/>
    <w:basedOn w:val="RecTitleRef"/>
    <w:next w:val="ResTitleDate"/>
  </w:style>
  <w:style w:type="paragraph" w:customStyle="1" w:styleId="Tablefin">
    <w:name w:val="Table_fin"/>
    <w:basedOn w:val="Normal"/>
    <w:next w:val="Normal"/>
    <w:pPr>
      <w:spacing w:before="284"/>
    </w:pPr>
  </w:style>
  <w:style w:type="paragraph" w:customStyle="1" w:styleId="Note">
    <w:name w:val="Note"/>
    <w:basedOn w:val="Normal"/>
    <w:next w:val="Normal"/>
    <w:pPr>
      <w:tabs>
        <w:tab w:val="clear" w:pos="794"/>
        <w:tab w:val="clear" w:pos="1191"/>
        <w:tab w:val="clear" w:pos="1588"/>
        <w:tab w:val="clear" w:pos="1985"/>
      </w:tabs>
      <w:spacing w:before="80"/>
    </w:pPr>
  </w:style>
  <w:style w:type="paragraph" w:customStyle="1" w:styleId="Style">
    <w:name w:val="Style"/>
    <w:basedOn w:val="Normal"/>
    <w:pPr>
      <w:tabs>
        <w:tab w:val="center" w:pos="4196"/>
        <w:tab w:val="left" w:pos="9242"/>
        <w:tab w:val="center" w:pos="12587"/>
      </w:tabs>
      <w:spacing w:before="340" w:line="318" w:lineRule="atLeast"/>
      <w:ind w:right="618"/>
    </w:pPr>
    <w:rPr>
      <w:i/>
      <w:sz w:val="28"/>
    </w:rPr>
  </w:style>
  <w:style w:type="paragraph" w:customStyle="1" w:styleId="Sectionsous">
    <w:name w:val="Section_sous"/>
    <w:basedOn w:val="Section"/>
    <w:next w:val="Rec"/>
    <w:pPr>
      <w:pageBreakBefore w:val="0"/>
      <w:spacing w:before="240"/>
    </w:pPr>
  </w:style>
  <w:style w:type="paragraph" w:customStyle="1" w:styleId="CCI">
    <w:name w:val="CCI"/>
    <w:basedOn w:val="Normal"/>
    <w:next w:val="call"/>
    <w:pPr>
      <w:keepNext/>
      <w:keepLines/>
      <w:tabs>
        <w:tab w:val="clear" w:pos="794"/>
        <w:tab w:val="clear" w:pos="1191"/>
        <w:tab w:val="clear" w:pos="1588"/>
        <w:tab w:val="clear" w:pos="1985"/>
      </w:tabs>
      <w:spacing w:before="199"/>
    </w:pPr>
  </w:style>
  <w:style w:type="paragraph" w:customStyle="1" w:styleId="FigureRemark">
    <w:name w:val="Figure_Remark"/>
    <w:basedOn w:val="TableLegend"/>
    <w:pPr>
      <w:tabs>
        <w:tab w:val="clear" w:pos="794"/>
        <w:tab w:val="clear" w:pos="1191"/>
        <w:tab w:val="clear" w:pos="1588"/>
        <w:tab w:val="clear" w:pos="1985"/>
        <w:tab w:val="center" w:pos="284"/>
      </w:tabs>
      <w:spacing w:before="142"/>
    </w:p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Fig">
    <w:name w:val="Fig"/>
    <w:basedOn w:val="Figure"/>
    <w:next w:val="Fig0"/>
    <w:pPr>
      <w:keepNext w:val="0"/>
      <w:keepLines w:val="0"/>
      <w:spacing w:before="136"/>
    </w:pPr>
    <w:rPr>
      <w:lang w:val="en-US"/>
    </w:rPr>
  </w:style>
  <w:style w:type="paragraph" w:customStyle="1" w:styleId="Fig0">
    <w:name w:val="Fig_#"/>
    <w:basedOn w:val="Fig"/>
    <w:next w:val="Normal"/>
    <w:pPr>
      <w:jc w:val="left"/>
    </w:pPr>
    <w:rPr>
      <w:color w:val="FFFFFF"/>
    </w:rPr>
  </w:style>
  <w:style w:type="paragraph" w:customStyle="1" w:styleId="Tablehead">
    <w:name w:val="Table_head"/>
    <w:basedOn w:val="Normal"/>
    <w:next w:val="Normal"/>
    <w:rsid w:val="00DF52C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Tabletext0">
    <w:name w:val="Table_text"/>
    <w:basedOn w:val="Normal"/>
    <w:rsid w:val="00DF52C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Chaptitle">
    <w:name w:val="Chap_title"/>
    <w:basedOn w:val="Normal"/>
    <w:next w:val="Normal"/>
    <w:rsid w:val="00DF52C7"/>
    <w:pPr>
      <w:keepNext/>
      <w:keepLines/>
      <w:spacing w:before="240"/>
      <w:jc w:val="center"/>
    </w:pPr>
    <w:rPr>
      <w:b/>
      <w:sz w:val="28"/>
      <w:lang w:val="fr-FR"/>
    </w:rPr>
  </w:style>
  <w:style w:type="character" w:styleId="Hyperlink">
    <w:name w:val="Hyperlink"/>
    <w:rsid w:val="00DF52C7"/>
    <w:rPr>
      <w:color w:val="0000FF"/>
      <w:u w:val="single"/>
    </w:rPr>
  </w:style>
  <w:style w:type="table" w:styleId="TableGrid">
    <w:name w:val="Table Grid"/>
    <w:basedOn w:val="TableNormal"/>
    <w:rsid w:val="00DF52C7"/>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b">
    <w:name w:val="Heading_b"/>
    <w:basedOn w:val="Heading3"/>
    <w:next w:val="Normal"/>
    <w:link w:val="HeadingbChar"/>
    <w:qFormat/>
    <w:rsid w:val="00AC3FDE"/>
    <w:pPr>
      <w:tabs>
        <w:tab w:val="left" w:pos="1191"/>
        <w:tab w:val="left" w:pos="1588"/>
        <w:tab w:val="left" w:pos="1985"/>
      </w:tabs>
      <w:spacing w:before="160"/>
      <w:ind w:left="0" w:firstLine="0"/>
      <w:outlineLvl w:val="9"/>
    </w:pPr>
    <w:rPr>
      <w:sz w:val="24"/>
      <w:lang w:val="fr-FR"/>
    </w:rPr>
  </w:style>
  <w:style w:type="character" w:customStyle="1" w:styleId="HeadingbChar">
    <w:name w:val="Heading_b Char"/>
    <w:basedOn w:val="DefaultParagraphFont"/>
    <w:link w:val="Headingb"/>
    <w:locked/>
    <w:rsid w:val="00AC3FDE"/>
    <w:rPr>
      <w:rFonts w:ascii="Times New Roman" w:hAnsi="Times New Roman"/>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7.wmf"/><Relationship Id="rId3" Type="http://schemas.openxmlformats.org/officeDocument/2006/relationships/webSettings" Target="webSettings.xml"/><Relationship Id="rId21" Type="http://schemas.openxmlformats.org/officeDocument/2006/relationships/image" Target="media/image8.wmf"/><Relationship Id="rId34" Type="http://schemas.openxmlformats.org/officeDocument/2006/relationships/oleObject" Target="embeddings/oleObject10.bin"/><Relationship Id="rId42" Type="http://schemas.openxmlformats.org/officeDocument/2006/relationships/image" Target="media/image20.wmf"/><Relationship Id="rId47" Type="http://schemas.openxmlformats.org/officeDocument/2006/relationships/image" Target="media/image24.wmf"/><Relationship Id="rId50" Type="http://schemas.openxmlformats.org/officeDocument/2006/relationships/header" Target="header8.xml"/><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image" Target="media/image16.wmf"/><Relationship Id="rId46" Type="http://schemas.openxmlformats.org/officeDocument/2006/relationships/image" Target="media/image23.wmf"/><Relationship Id="rId2" Type="http://schemas.openxmlformats.org/officeDocument/2006/relationships/settings" Target="setting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2.wmf"/><Relationship Id="rId41" Type="http://schemas.openxmlformats.org/officeDocument/2006/relationships/image" Target="media/image19.w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5.wmf"/><Relationship Id="rId40" Type="http://schemas.openxmlformats.org/officeDocument/2006/relationships/image" Target="media/image18.wmf"/><Relationship Id="rId45" Type="http://schemas.openxmlformats.org/officeDocument/2006/relationships/image" Target="media/image22.wmf"/><Relationship Id="rId53"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7.bin"/><Relationship Id="rId36" Type="http://schemas.openxmlformats.org/officeDocument/2006/relationships/header" Target="header6.xml"/><Relationship Id="rId49" Type="http://schemas.openxmlformats.org/officeDocument/2006/relationships/header" Target="header7.xml"/><Relationship Id="rId10" Type="http://schemas.openxmlformats.org/officeDocument/2006/relationships/header" Target="header3.xml"/><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1.bin"/><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4.wmf"/><Relationship Id="rId22" Type="http://schemas.openxmlformats.org/officeDocument/2006/relationships/oleObject" Target="embeddings/oleObject4.bin"/><Relationship Id="rId27" Type="http://schemas.openxmlformats.org/officeDocument/2006/relationships/image" Target="media/image11.wmf"/><Relationship Id="rId30" Type="http://schemas.openxmlformats.org/officeDocument/2006/relationships/oleObject" Target="embeddings/oleObject8.bin"/><Relationship Id="rId35" Type="http://schemas.openxmlformats.org/officeDocument/2006/relationships/header" Target="header5.xml"/><Relationship Id="rId43" Type="http://schemas.openxmlformats.org/officeDocument/2006/relationships/image" Target="media/image21.wmf"/><Relationship Id="rId48" Type="http://schemas.openxmlformats.org/officeDocument/2006/relationships/oleObject" Target="embeddings/oleObject12.bin"/><Relationship Id="rId8" Type="http://schemas.openxmlformats.org/officeDocument/2006/relationships/hyperlink" Target="http://www.itu.int/ITU-R/go/patents/es" TargetMode="External"/><Relationship Id="rId51"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BR_RE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BR_REC.DOT</Template>
  <TotalTime>33</TotalTime>
  <Pages>41</Pages>
  <Words>14900</Words>
  <Characters>84935</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SM.1009-1 - Compatibilidad entre el servicio de radiodifusión sonora en la banda de aproximadamente 87-108 MHz y los servicios aeronáuticos en la banda 108-137 MHz</vt:lpstr>
    </vt:vector>
  </TitlesOfParts>
  <Manager>CJ..1682</Manager>
  <Company>ITU</Company>
  <LinksUpToDate>false</LinksUpToDate>
  <CharactersWithSpaces>99636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SM.1009-1 - Compatibilidad entre el servicio de radiodifusión sonora en la banda de aproximadamente 87-108 MHz y los servicios aeronáuticos en la banda 108-137 MHz</dc:title>
  <dc:subject>Serie SM = Compartición y compatibilidad entre servicios</dc:subject>
  <dc:creator>Oficina de Radiocomunicaciones del UIT (BR)</dc:creator>
  <cp:keywords>IS, 1009-1</cp:keywords>
  <dc:description>Saisie+Ins.FO+FIG+MEP:  16+25.09.96/DD_x000d_
Corr. BAT:  04.10.96/DD_x000d_
Ultimes:     11.10.96   JC_x000d_
WW2/WW7 + CORR. TM   14.11.97   JC_x000d_
Corr. pour Volume-2000: 15.05.2001/MP_x000d_
Corr. pour Volume-2000: 25.05.2001/DD_x000d_
ULT:  31.07+08.08.2001/DD_x000d_
</dc:description>
  <cp:lastModifiedBy>Catalano Moreira, Rossana</cp:lastModifiedBy>
  <cp:revision>8</cp:revision>
  <cp:lastPrinted>2020-06-01T10:25:00Z</cp:lastPrinted>
  <dcterms:created xsi:type="dcterms:W3CDTF">2011-06-07T12:41:00Z</dcterms:created>
  <dcterms:modified xsi:type="dcterms:W3CDTF">2020-06-01T10:44:00Z</dcterms:modified>
  <cp:category>\\ WW9 // Folios 1 - 38</cp:category>
</cp:coreProperties>
</file>