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5852" w:rsidRDefault="00255852"/>
    <w:p w:rsidR="00255852" w:rsidRDefault="00255852"/>
    <w:p w:rsidR="00255852" w:rsidRDefault="00255852"/>
    <w:p w:rsidR="00255852" w:rsidRDefault="00255852"/>
    <w:p w:rsidR="00255852" w:rsidRDefault="00255852"/>
    <w:p w:rsidR="00255852" w:rsidRDefault="00255852"/>
    <w:p w:rsidR="00255852" w:rsidRDefault="00255852"/>
    <w:p w:rsidR="00255852" w:rsidRDefault="00255852"/>
    <w:p w:rsidR="00255852" w:rsidRDefault="00255852"/>
    <w:p w:rsidR="00255852" w:rsidRDefault="00255852"/>
    <w:p w:rsidR="00255852" w:rsidRDefault="00255852"/>
    <w:p w:rsidR="00255852" w:rsidRDefault="00255852"/>
    <w:tbl>
      <w:tblPr>
        <w:tblW w:w="10089" w:type="dxa"/>
        <w:tblLook w:val="01E0" w:firstRow="1" w:lastRow="1" w:firstColumn="1" w:lastColumn="1" w:noHBand="0" w:noVBand="0"/>
      </w:tblPr>
      <w:tblGrid>
        <w:gridCol w:w="10089"/>
      </w:tblGrid>
      <w:tr w:rsidR="00255852" w:rsidRPr="00A443C2">
        <w:tc>
          <w:tcPr>
            <w:tcW w:w="10089" w:type="dxa"/>
          </w:tcPr>
          <w:p w:rsidR="00255852" w:rsidRPr="00B033C8" w:rsidRDefault="00255852" w:rsidP="002D679B">
            <w:pPr>
              <w:spacing w:before="380" w:line="280" w:lineRule="exact"/>
              <w:jc w:val="right"/>
              <w:rPr>
                <w:rFonts w:ascii="Tahoma" w:hAnsi="Tahoma" w:cs="Tahoma"/>
                <w:b/>
                <w:bCs/>
                <w:iCs/>
                <w:color w:val="243285"/>
                <w:sz w:val="32"/>
                <w:szCs w:val="32"/>
                <w:lang w:val="en-US"/>
              </w:rPr>
            </w:pPr>
          </w:p>
          <w:p w:rsidR="00255852" w:rsidRPr="00A443C2" w:rsidRDefault="00255852" w:rsidP="002D679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sidR="002D679B">
              <w:rPr>
                <w:rFonts w:ascii="Tahoma" w:hAnsi="Tahoma" w:cs="Tahoma"/>
                <w:b/>
                <w:bCs/>
                <w:iCs/>
                <w:color w:val="243285"/>
                <w:sz w:val="36"/>
                <w:szCs w:val="36"/>
              </w:rPr>
              <w:t>1009-1</w:t>
            </w:r>
          </w:p>
          <w:p w:rsidR="00255852" w:rsidRPr="00A443C2" w:rsidRDefault="00255852" w:rsidP="002D679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2D679B">
              <w:rPr>
                <w:rFonts w:ascii="Tahoma" w:hAnsi="Tahoma" w:cs="Tahoma"/>
                <w:b/>
                <w:bCs/>
                <w:iCs/>
                <w:color w:val="243285"/>
                <w:szCs w:val="24"/>
              </w:rPr>
              <w:t>10</w:t>
            </w:r>
            <w:r w:rsidRPr="00A443C2">
              <w:rPr>
                <w:rFonts w:ascii="Tahoma" w:hAnsi="Tahoma" w:cs="Tahoma"/>
                <w:b/>
                <w:bCs/>
                <w:iCs/>
                <w:color w:val="243285"/>
                <w:szCs w:val="24"/>
              </w:rPr>
              <w:t>/</w:t>
            </w:r>
            <w:r w:rsidR="002D679B">
              <w:rPr>
                <w:rFonts w:ascii="Tahoma" w:hAnsi="Tahoma" w:cs="Tahoma"/>
                <w:b/>
                <w:bCs/>
                <w:iCs/>
                <w:color w:val="243285"/>
                <w:szCs w:val="24"/>
              </w:rPr>
              <w:t>1995</w:t>
            </w:r>
            <w:r w:rsidRPr="00A443C2">
              <w:rPr>
                <w:rFonts w:ascii="Tahoma" w:hAnsi="Tahoma" w:cs="Tahoma"/>
                <w:b/>
                <w:bCs/>
                <w:iCs/>
                <w:color w:val="243285"/>
                <w:szCs w:val="24"/>
              </w:rPr>
              <w:t>)</w:t>
            </w:r>
          </w:p>
        </w:tc>
      </w:tr>
      <w:tr w:rsidR="00255852" w:rsidRPr="00F54FBD">
        <w:tc>
          <w:tcPr>
            <w:tcW w:w="10089" w:type="dxa"/>
          </w:tcPr>
          <w:p w:rsidR="00255852" w:rsidRDefault="00255852" w:rsidP="002D679B">
            <w:pPr>
              <w:spacing w:before="80" w:line="500" w:lineRule="exact"/>
              <w:jc w:val="right"/>
              <w:rPr>
                <w:rFonts w:ascii="Tahoma" w:hAnsi="Tahoma" w:cs="Tahoma"/>
                <w:b/>
                <w:bCs/>
                <w:iCs/>
                <w:color w:val="243285"/>
                <w:sz w:val="44"/>
                <w:szCs w:val="44"/>
              </w:rPr>
            </w:pPr>
          </w:p>
          <w:p w:rsidR="00255852" w:rsidRPr="00F54FBD" w:rsidRDefault="009145B5" w:rsidP="009145B5">
            <w:pPr>
              <w:spacing w:before="80" w:line="500" w:lineRule="exact"/>
              <w:jc w:val="right"/>
              <w:rPr>
                <w:rFonts w:ascii="Tahoma" w:hAnsi="Tahoma" w:cs="Tahoma"/>
                <w:b/>
                <w:bCs/>
                <w:iCs/>
                <w:color w:val="243285"/>
                <w:sz w:val="44"/>
                <w:szCs w:val="44"/>
              </w:rPr>
            </w:pPr>
            <w:r w:rsidRPr="009145B5">
              <w:rPr>
                <w:rFonts w:ascii="Tahoma" w:hAnsi="Tahoma" w:cs="Tahoma"/>
                <w:b/>
                <w:color w:val="243285"/>
                <w:sz w:val="44"/>
                <w:szCs w:val="44"/>
              </w:rPr>
              <w:t>Compatibilité entre le service de</w:t>
            </w:r>
            <w:r>
              <w:rPr>
                <w:rFonts w:ascii="Tahoma" w:hAnsi="Tahoma" w:cs="Tahoma"/>
                <w:b/>
                <w:color w:val="243285"/>
                <w:sz w:val="44"/>
                <w:szCs w:val="44"/>
              </w:rPr>
              <w:t xml:space="preserve"> </w:t>
            </w:r>
            <w:r w:rsidRPr="009145B5">
              <w:rPr>
                <w:rFonts w:ascii="Tahoma" w:hAnsi="Tahoma" w:cs="Tahoma"/>
                <w:b/>
                <w:color w:val="243285"/>
                <w:sz w:val="44"/>
                <w:szCs w:val="44"/>
              </w:rPr>
              <w:t>radiodiffusion sonore dans</w:t>
            </w:r>
            <w:r>
              <w:rPr>
                <w:rFonts w:ascii="Tahoma" w:hAnsi="Tahoma" w:cs="Tahoma"/>
                <w:b/>
                <w:color w:val="243285"/>
                <w:sz w:val="44"/>
                <w:szCs w:val="44"/>
              </w:rPr>
              <w:t xml:space="preserve"> </w:t>
            </w:r>
            <w:r w:rsidRPr="009145B5">
              <w:rPr>
                <w:rFonts w:ascii="Tahoma" w:hAnsi="Tahoma" w:cs="Tahoma"/>
                <w:b/>
                <w:color w:val="243285"/>
                <w:sz w:val="44"/>
                <w:szCs w:val="44"/>
              </w:rPr>
              <w:t>la bande</w:t>
            </w:r>
            <w:r>
              <w:rPr>
                <w:rFonts w:ascii="Tahoma" w:hAnsi="Tahoma" w:cs="Tahoma"/>
                <w:b/>
                <w:color w:val="243285"/>
                <w:sz w:val="44"/>
                <w:szCs w:val="44"/>
              </w:rPr>
              <w:t xml:space="preserve"> </w:t>
            </w:r>
            <w:r w:rsidRPr="009145B5">
              <w:rPr>
                <w:rFonts w:ascii="Tahoma" w:hAnsi="Tahoma" w:cs="Tahoma"/>
                <w:b/>
                <w:color w:val="243285"/>
                <w:sz w:val="44"/>
                <w:szCs w:val="44"/>
              </w:rPr>
              <w:t>d'environ 87-108 MHz et les services</w:t>
            </w:r>
            <w:r>
              <w:rPr>
                <w:rFonts w:ascii="Tahoma" w:hAnsi="Tahoma" w:cs="Tahoma"/>
                <w:b/>
                <w:color w:val="243285"/>
                <w:sz w:val="44"/>
                <w:szCs w:val="44"/>
              </w:rPr>
              <w:t xml:space="preserve"> </w:t>
            </w:r>
            <w:r w:rsidRPr="009145B5">
              <w:rPr>
                <w:rFonts w:ascii="Tahoma" w:hAnsi="Tahoma" w:cs="Tahoma"/>
                <w:b/>
                <w:color w:val="243285"/>
                <w:sz w:val="44"/>
                <w:szCs w:val="44"/>
              </w:rPr>
              <w:t>aéronautiques</w:t>
            </w:r>
            <w:r>
              <w:rPr>
                <w:rFonts w:ascii="Tahoma" w:hAnsi="Tahoma" w:cs="Tahoma"/>
                <w:b/>
                <w:color w:val="243285"/>
                <w:sz w:val="44"/>
                <w:szCs w:val="44"/>
              </w:rPr>
              <w:t xml:space="preserve"> </w:t>
            </w:r>
            <w:r w:rsidRPr="009145B5">
              <w:rPr>
                <w:rFonts w:ascii="Tahoma" w:hAnsi="Tahoma" w:cs="Tahoma"/>
                <w:b/>
                <w:color w:val="243285"/>
                <w:sz w:val="44"/>
                <w:szCs w:val="44"/>
              </w:rPr>
              <w:t>dans la bande 108-137 MHz</w:t>
            </w:r>
          </w:p>
        </w:tc>
      </w:tr>
      <w:tr w:rsidR="00255852" w:rsidRPr="00F54FBD">
        <w:tc>
          <w:tcPr>
            <w:tcW w:w="10089" w:type="dxa"/>
          </w:tcPr>
          <w:p w:rsidR="00255852" w:rsidRPr="00F54FBD" w:rsidRDefault="00255852" w:rsidP="002D679B">
            <w:pPr>
              <w:spacing w:before="80" w:line="280" w:lineRule="exact"/>
              <w:ind w:right="640"/>
              <w:rPr>
                <w:rFonts w:ascii="Tahoma" w:hAnsi="Tahoma" w:cs="Tahoma"/>
                <w:b/>
                <w:bCs/>
                <w:iCs/>
                <w:color w:val="243285"/>
                <w:sz w:val="32"/>
                <w:szCs w:val="32"/>
              </w:rPr>
            </w:pPr>
          </w:p>
          <w:p w:rsidR="00255852" w:rsidRPr="00F54FBD" w:rsidRDefault="00255852" w:rsidP="002D679B">
            <w:pPr>
              <w:spacing w:before="80" w:line="280" w:lineRule="exact"/>
              <w:ind w:right="640"/>
              <w:rPr>
                <w:rFonts w:ascii="Tahoma" w:hAnsi="Tahoma" w:cs="Tahoma"/>
                <w:b/>
                <w:bCs/>
                <w:iCs/>
                <w:color w:val="243285"/>
                <w:sz w:val="32"/>
                <w:szCs w:val="32"/>
              </w:rPr>
            </w:pPr>
          </w:p>
          <w:p w:rsidR="00255852" w:rsidRPr="00F54FBD" w:rsidRDefault="00255852" w:rsidP="002D679B">
            <w:pPr>
              <w:spacing w:before="80" w:after="180" w:line="360" w:lineRule="exact"/>
              <w:ind w:right="720"/>
              <w:rPr>
                <w:rFonts w:ascii="Tahoma" w:hAnsi="Tahoma" w:cs="Tahoma"/>
                <w:b/>
                <w:bCs/>
                <w:iCs/>
                <w:color w:val="243285"/>
                <w:sz w:val="36"/>
                <w:szCs w:val="36"/>
              </w:rPr>
            </w:pPr>
          </w:p>
          <w:p w:rsidR="00255852" w:rsidRPr="00F54FBD" w:rsidRDefault="00255852" w:rsidP="002D679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255852" w:rsidRPr="00F54FBD" w:rsidRDefault="00255852" w:rsidP="002D679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255852" w:rsidRPr="00F54FBD" w:rsidRDefault="00255852" w:rsidP="002D679B">
      <w:pPr>
        <w:spacing w:before="80"/>
        <w:rPr>
          <w:i/>
          <w:sz w:val="22"/>
        </w:rPr>
      </w:pPr>
    </w:p>
    <w:p w:rsidR="00255852" w:rsidRPr="00F54FBD" w:rsidRDefault="00255852" w:rsidP="002D679B">
      <w:pPr>
        <w:spacing w:before="80"/>
        <w:rPr>
          <w:i/>
          <w:sz w:val="22"/>
        </w:rPr>
      </w:pPr>
    </w:p>
    <w:p w:rsidR="00255852" w:rsidRPr="00F54FBD" w:rsidRDefault="00255852" w:rsidP="002D679B">
      <w:pPr>
        <w:spacing w:before="80"/>
        <w:rPr>
          <w:i/>
          <w:sz w:val="22"/>
        </w:rPr>
      </w:pPr>
    </w:p>
    <w:p w:rsidR="00255852" w:rsidRPr="00F54FBD" w:rsidRDefault="00255852" w:rsidP="002D679B">
      <w:pPr>
        <w:spacing w:before="80"/>
        <w:rPr>
          <w:i/>
          <w:sz w:val="22"/>
        </w:rPr>
      </w:pPr>
    </w:p>
    <w:p w:rsidR="00255852" w:rsidRPr="00F54FBD" w:rsidRDefault="00255852" w:rsidP="002D679B">
      <w:pPr>
        <w:spacing w:before="80"/>
        <w:rPr>
          <w:i/>
          <w:sz w:val="22"/>
        </w:rPr>
      </w:pPr>
    </w:p>
    <w:p w:rsidR="00255852" w:rsidRPr="00F54FBD" w:rsidRDefault="00255852" w:rsidP="002D679B">
      <w:pPr>
        <w:spacing w:before="80"/>
        <w:rPr>
          <w:i/>
          <w:sz w:val="22"/>
        </w:rPr>
      </w:pPr>
    </w:p>
    <w:p w:rsidR="00255852" w:rsidRPr="00F54FBD" w:rsidRDefault="00255852" w:rsidP="002D679B">
      <w:pPr>
        <w:pStyle w:val="Equation"/>
        <w:tabs>
          <w:tab w:val="clear" w:pos="4820"/>
          <w:tab w:val="clear" w:pos="9639"/>
          <w:tab w:val="left" w:pos="1191"/>
          <w:tab w:val="left" w:pos="1588"/>
          <w:tab w:val="left" w:pos="1985"/>
        </w:tabs>
        <w:rPr>
          <w:rFonts w:ascii="Palatino Linotype" w:hAnsi="Palatino Linotype"/>
        </w:rPr>
        <w:sectPr w:rsidR="00255852" w:rsidRPr="00F54FBD" w:rsidSect="002D679B">
          <w:headerReference w:type="even" r:id="rId7"/>
          <w:headerReference w:type="default" r:id="rId8"/>
          <w:pgSz w:w="11907" w:h="16834" w:code="9"/>
          <w:pgMar w:top="1418" w:right="1134" w:bottom="1134" w:left="1134" w:header="720" w:footer="482" w:gutter="0"/>
          <w:paperSrc w:first="15" w:other="15"/>
          <w:cols w:space="720"/>
        </w:sectPr>
      </w:pPr>
    </w:p>
    <w:p w:rsidR="00255852" w:rsidRPr="00F54FBD" w:rsidRDefault="00255852" w:rsidP="002D67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255852" w:rsidRPr="00F54FBD" w:rsidRDefault="00255852" w:rsidP="002D679B">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55852" w:rsidRPr="00F54FBD" w:rsidRDefault="00255852" w:rsidP="002D679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55852" w:rsidRPr="00E44CBB" w:rsidRDefault="00255852" w:rsidP="002D679B">
      <w:pPr>
        <w:pStyle w:val="Heading1"/>
        <w:spacing w:before="360"/>
        <w:jc w:val="center"/>
        <w:rPr>
          <w:szCs w:val="24"/>
        </w:rPr>
      </w:pPr>
      <w:bookmarkStart w:id="1" w:name="_Toc289760513"/>
      <w:bookmarkStart w:id="2" w:name="_Toc289760853"/>
      <w:bookmarkStart w:id="3" w:name="_Toc289761177"/>
      <w:r w:rsidRPr="003F6436">
        <w:rPr>
          <w:szCs w:val="24"/>
        </w:rPr>
        <w:t>Politique en matière de droits de propriété intellectuelle</w:t>
      </w:r>
      <w:r w:rsidRPr="00E44CBB">
        <w:rPr>
          <w:szCs w:val="24"/>
        </w:rPr>
        <w:t xml:space="preserve"> (IPR)</w:t>
      </w:r>
      <w:bookmarkEnd w:id="1"/>
      <w:bookmarkEnd w:id="2"/>
      <w:bookmarkEnd w:id="3"/>
    </w:p>
    <w:p w:rsidR="00255852" w:rsidRPr="00E44CBB" w:rsidRDefault="00255852" w:rsidP="002D679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55852" w:rsidRPr="00255852" w:rsidRDefault="00255852" w:rsidP="002D679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55852" w:rsidRPr="009454F8">
        <w:tc>
          <w:tcPr>
            <w:tcW w:w="9360" w:type="dxa"/>
            <w:gridSpan w:val="2"/>
          </w:tcPr>
          <w:p w:rsidR="00255852" w:rsidRPr="009454F8" w:rsidRDefault="00255852" w:rsidP="002D679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55852" w:rsidRPr="009454F8" w:rsidRDefault="00255852" w:rsidP="002D67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255852" w:rsidRPr="00036EE3" w:rsidTr="002D679B">
        <w:tc>
          <w:tcPr>
            <w:tcW w:w="1140" w:type="dxa"/>
            <w:tcBorders>
              <w:bottom w:val="nil"/>
            </w:tcBorders>
          </w:tcPr>
          <w:p w:rsidR="00255852" w:rsidRPr="00614CC6" w:rsidRDefault="00255852" w:rsidP="002D679B">
            <w:pPr>
              <w:spacing w:before="90" w:after="100"/>
              <w:ind w:left="57"/>
              <w:rPr>
                <w:b/>
                <w:bCs/>
                <w:sz w:val="20"/>
                <w:lang w:val="en-US"/>
              </w:rPr>
            </w:pPr>
            <w:r w:rsidRPr="00614CC6">
              <w:rPr>
                <w:b/>
                <w:bCs/>
                <w:sz w:val="20"/>
                <w:lang w:val="en-US"/>
              </w:rPr>
              <w:t>Séries</w:t>
            </w:r>
          </w:p>
        </w:tc>
        <w:tc>
          <w:tcPr>
            <w:tcW w:w="8220" w:type="dxa"/>
            <w:tcBorders>
              <w:bottom w:val="nil"/>
            </w:tcBorders>
          </w:tcPr>
          <w:p w:rsidR="00255852" w:rsidRPr="00614CC6" w:rsidRDefault="00255852" w:rsidP="002D67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55852" w:rsidRPr="005E427C" w:rsidTr="002D679B">
        <w:tc>
          <w:tcPr>
            <w:tcW w:w="1140" w:type="dxa"/>
            <w:tcBorders>
              <w:top w:val="nil"/>
              <w:bottom w:val="nil"/>
            </w:tcBorders>
            <w:shd w:val="clear" w:color="auto" w:fill="auto"/>
          </w:tcPr>
          <w:p w:rsidR="00255852" w:rsidRPr="005E427C" w:rsidRDefault="00255852" w:rsidP="002D679B">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255852" w:rsidRPr="005E427C" w:rsidRDefault="00255852" w:rsidP="002D67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255852" w:rsidRPr="009454F8" w:rsidTr="002D679B">
        <w:tc>
          <w:tcPr>
            <w:tcW w:w="1140" w:type="dxa"/>
            <w:tcBorders>
              <w:top w:val="nil"/>
              <w:bottom w:val="nil"/>
            </w:tcBorders>
          </w:tcPr>
          <w:p w:rsidR="00255852" w:rsidRPr="00614CC6" w:rsidRDefault="00255852" w:rsidP="002D679B">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255852" w:rsidRPr="00614CC6" w:rsidRDefault="00255852" w:rsidP="002D67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55852" w:rsidRPr="00E80F1D" w:rsidTr="002D679B">
        <w:tc>
          <w:tcPr>
            <w:tcW w:w="1140" w:type="dxa"/>
            <w:tcBorders>
              <w:top w:val="nil"/>
              <w:bottom w:val="nil"/>
            </w:tcBorders>
            <w:shd w:val="clear" w:color="auto" w:fill="auto"/>
          </w:tcPr>
          <w:p w:rsidR="00255852" w:rsidRPr="00E80F1D" w:rsidRDefault="00255852" w:rsidP="002D679B">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255852" w:rsidRPr="00E80F1D" w:rsidRDefault="00255852" w:rsidP="002D67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255852" w:rsidRPr="00ED2695" w:rsidTr="002D679B">
        <w:tc>
          <w:tcPr>
            <w:tcW w:w="1140" w:type="dxa"/>
            <w:tcBorders>
              <w:top w:val="nil"/>
              <w:bottom w:val="nil"/>
            </w:tcBorders>
            <w:shd w:val="clear" w:color="auto" w:fill="auto"/>
          </w:tcPr>
          <w:p w:rsidR="00255852" w:rsidRPr="00614CC6" w:rsidRDefault="00255852" w:rsidP="002D679B">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255852" w:rsidRPr="00614CC6" w:rsidRDefault="00255852" w:rsidP="002D67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55852" w:rsidRPr="00DE5EA2" w:rsidTr="002D679B">
        <w:tc>
          <w:tcPr>
            <w:tcW w:w="1140" w:type="dxa"/>
            <w:tcBorders>
              <w:top w:val="nil"/>
              <w:bottom w:val="nil"/>
            </w:tcBorders>
            <w:shd w:val="clear" w:color="auto" w:fill="auto"/>
          </w:tcPr>
          <w:p w:rsidR="00255852" w:rsidRPr="00DE5EA2" w:rsidRDefault="00255852" w:rsidP="002D679B">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255852" w:rsidRPr="00DE5EA2" w:rsidRDefault="00255852" w:rsidP="002D67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255852" w:rsidRPr="00B21066" w:rsidTr="002D679B">
        <w:tc>
          <w:tcPr>
            <w:tcW w:w="1140" w:type="dxa"/>
            <w:tcBorders>
              <w:top w:val="nil"/>
              <w:bottom w:val="nil"/>
            </w:tcBorders>
            <w:shd w:val="clear" w:color="auto" w:fill="auto"/>
          </w:tcPr>
          <w:p w:rsidR="00255852" w:rsidRPr="00B21066" w:rsidRDefault="00255852" w:rsidP="002D679B">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255852" w:rsidRPr="00B21066" w:rsidRDefault="00255852" w:rsidP="002D679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255852" w:rsidRPr="00EC361D" w:rsidTr="002D679B">
        <w:tc>
          <w:tcPr>
            <w:tcW w:w="1140" w:type="dxa"/>
            <w:tcBorders>
              <w:top w:val="nil"/>
              <w:bottom w:val="nil"/>
            </w:tcBorders>
            <w:shd w:val="clear" w:color="auto" w:fill="auto"/>
          </w:tcPr>
          <w:p w:rsidR="00255852" w:rsidRPr="00EC361D" w:rsidRDefault="00255852" w:rsidP="002D679B">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255852" w:rsidRPr="00EC361D" w:rsidRDefault="00255852" w:rsidP="002D679B">
            <w:pPr>
              <w:spacing w:before="30" w:after="30"/>
              <w:jc w:val="left"/>
              <w:rPr>
                <w:sz w:val="20"/>
                <w:lang w:val="fr-CH"/>
              </w:rPr>
            </w:pPr>
            <w:r w:rsidRPr="00EC361D">
              <w:rPr>
                <w:sz w:val="20"/>
              </w:rPr>
              <w:t>Propagation des ondes radioélectriques</w:t>
            </w:r>
          </w:p>
        </w:tc>
      </w:tr>
      <w:tr w:rsidR="00255852" w:rsidRPr="004822EF" w:rsidTr="002D679B">
        <w:tc>
          <w:tcPr>
            <w:tcW w:w="1140" w:type="dxa"/>
            <w:tcBorders>
              <w:top w:val="nil"/>
              <w:bottom w:val="nil"/>
            </w:tcBorders>
            <w:shd w:val="clear" w:color="auto" w:fill="auto"/>
          </w:tcPr>
          <w:p w:rsidR="00255852" w:rsidRPr="004822EF" w:rsidRDefault="00255852" w:rsidP="002D679B">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255852" w:rsidRPr="004822EF" w:rsidRDefault="00255852" w:rsidP="002D67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255852" w:rsidRPr="00326525" w:rsidTr="002D679B">
        <w:tc>
          <w:tcPr>
            <w:tcW w:w="1140" w:type="dxa"/>
            <w:tcBorders>
              <w:top w:val="nil"/>
              <w:bottom w:val="nil"/>
            </w:tcBorders>
            <w:shd w:val="clear" w:color="auto" w:fill="auto"/>
          </w:tcPr>
          <w:p w:rsidR="00255852" w:rsidRPr="00326525" w:rsidRDefault="00255852" w:rsidP="002D679B">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255852" w:rsidRPr="00326525" w:rsidRDefault="00255852" w:rsidP="002D679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255852" w:rsidRPr="00C40D3E" w:rsidTr="002D679B">
        <w:tc>
          <w:tcPr>
            <w:tcW w:w="1140" w:type="dxa"/>
            <w:tcBorders>
              <w:top w:val="nil"/>
              <w:bottom w:val="nil"/>
            </w:tcBorders>
            <w:shd w:val="clear" w:color="auto" w:fill="auto"/>
          </w:tcPr>
          <w:p w:rsidR="00255852" w:rsidRPr="00C40D3E" w:rsidRDefault="00255852" w:rsidP="002D679B">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255852" w:rsidRPr="00C40D3E" w:rsidRDefault="00255852" w:rsidP="002D679B">
            <w:pPr>
              <w:spacing w:before="30" w:after="30"/>
              <w:jc w:val="left"/>
              <w:rPr>
                <w:sz w:val="20"/>
                <w:lang w:val="en-US"/>
              </w:rPr>
            </w:pPr>
            <w:r w:rsidRPr="00C40D3E">
              <w:rPr>
                <w:sz w:val="20"/>
              </w:rPr>
              <w:t>Service fixe par satellite</w:t>
            </w:r>
          </w:p>
        </w:tc>
      </w:tr>
      <w:tr w:rsidR="00255852" w:rsidRPr="00595D3D" w:rsidTr="002D679B">
        <w:tc>
          <w:tcPr>
            <w:tcW w:w="1140" w:type="dxa"/>
            <w:tcBorders>
              <w:top w:val="nil"/>
              <w:bottom w:val="nil"/>
            </w:tcBorders>
            <w:shd w:val="clear" w:color="auto" w:fill="auto"/>
          </w:tcPr>
          <w:p w:rsidR="00255852" w:rsidRPr="00595D3D" w:rsidRDefault="00255852" w:rsidP="002D679B">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255852" w:rsidRPr="00595D3D" w:rsidRDefault="00255852" w:rsidP="002D679B">
            <w:pPr>
              <w:spacing w:before="30" w:after="30"/>
              <w:jc w:val="left"/>
              <w:rPr>
                <w:sz w:val="20"/>
                <w:lang w:val="en-US"/>
              </w:rPr>
            </w:pPr>
            <w:r w:rsidRPr="00595D3D">
              <w:rPr>
                <w:sz w:val="20"/>
              </w:rPr>
              <w:t>Applications spatiales et météorologie</w:t>
            </w:r>
          </w:p>
        </w:tc>
      </w:tr>
      <w:tr w:rsidR="00255852" w:rsidRPr="009B5564" w:rsidTr="002D679B">
        <w:tc>
          <w:tcPr>
            <w:tcW w:w="1140" w:type="dxa"/>
            <w:tcBorders>
              <w:top w:val="nil"/>
              <w:bottom w:val="nil"/>
            </w:tcBorders>
            <w:shd w:val="clear" w:color="auto" w:fill="auto"/>
          </w:tcPr>
          <w:p w:rsidR="00255852" w:rsidRPr="009B5564" w:rsidRDefault="00255852" w:rsidP="002D679B">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255852" w:rsidRPr="009B5564" w:rsidRDefault="00255852" w:rsidP="002D679B">
            <w:pPr>
              <w:spacing w:before="30" w:after="30"/>
              <w:jc w:val="left"/>
              <w:rPr>
                <w:bCs/>
                <w:sz w:val="20"/>
              </w:rPr>
            </w:pPr>
            <w:r w:rsidRPr="009B5564">
              <w:rPr>
                <w:bCs/>
                <w:sz w:val="20"/>
              </w:rPr>
              <w:t>Partage des fréquences et coordination entre les systèmes du service fixe par satellite et du service fixe</w:t>
            </w:r>
          </w:p>
        </w:tc>
      </w:tr>
      <w:tr w:rsidR="00255852" w:rsidRPr="009B5564" w:rsidTr="002D679B">
        <w:tc>
          <w:tcPr>
            <w:tcW w:w="1140" w:type="dxa"/>
            <w:tcBorders>
              <w:top w:val="nil"/>
              <w:bottom w:val="nil"/>
            </w:tcBorders>
            <w:shd w:val="clear" w:color="auto" w:fill="F3F3F3"/>
          </w:tcPr>
          <w:p w:rsidR="00255852" w:rsidRPr="009B5564" w:rsidRDefault="00255852" w:rsidP="002D679B">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255852" w:rsidRPr="009B5564" w:rsidRDefault="00255852" w:rsidP="002D679B">
            <w:pPr>
              <w:spacing w:before="30" w:after="30"/>
              <w:jc w:val="left"/>
              <w:rPr>
                <w:b/>
                <w:bCs/>
                <w:color w:val="000080"/>
                <w:sz w:val="20"/>
                <w:lang w:val="en-US"/>
              </w:rPr>
            </w:pPr>
            <w:r w:rsidRPr="009B5564">
              <w:rPr>
                <w:b/>
                <w:bCs/>
                <w:color w:val="000080"/>
                <w:sz w:val="20"/>
              </w:rPr>
              <w:t>Gestion du spectre</w:t>
            </w:r>
          </w:p>
        </w:tc>
      </w:tr>
      <w:tr w:rsidR="00255852" w:rsidRPr="00036EE3" w:rsidTr="002D679B">
        <w:tc>
          <w:tcPr>
            <w:tcW w:w="1140" w:type="dxa"/>
            <w:tcBorders>
              <w:top w:val="nil"/>
            </w:tcBorders>
          </w:tcPr>
          <w:p w:rsidR="00255852" w:rsidRPr="00614CC6" w:rsidRDefault="00255852" w:rsidP="002D679B">
            <w:pPr>
              <w:spacing w:before="30" w:after="30"/>
              <w:ind w:left="57"/>
              <w:jc w:val="left"/>
              <w:rPr>
                <w:b/>
                <w:bCs/>
                <w:sz w:val="20"/>
                <w:lang w:val="en-US"/>
              </w:rPr>
            </w:pPr>
            <w:r w:rsidRPr="00614CC6">
              <w:rPr>
                <w:b/>
                <w:bCs/>
                <w:sz w:val="20"/>
                <w:lang w:val="en-US"/>
              </w:rPr>
              <w:t>SNG</w:t>
            </w:r>
          </w:p>
        </w:tc>
        <w:tc>
          <w:tcPr>
            <w:tcW w:w="8220" w:type="dxa"/>
            <w:tcBorders>
              <w:top w:val="nil"/>
            </w:tcBorders>
          </w:tcPr>
          <w:p w:rsidR="00255852" w:rsidRPr="00614CC6" w:rsidRDefault="00255852" w:rsidP="002D679B">
            <w:pPr>
              <w:spacing w:before="30" w:after="30"/>
              <w:jc w:val="left"/>
              <w:rPr>
                <w:sz w:val="20"/>
                <w:lang w:val="en-US"/>
              </w:rPr>
            </w:pPr>
            <w:r w:rsidRPr="00614CC6">
              <w:rPr>
                <w:sz w:val="20"/>
              </w:rPr>
              <w:t>Reportage d'actualités par satellite</w:t>
            </w:r>
          </w:p>
        </w:tc>
      </w:tr>
      <w:tr w:rsidR="00255852" w:rsidRPr="00614CC6">
        <w:tc>
          <w:tcPr>
            <w:tcW w:w="1140" w:type="dxa"/>
          </w:tcPr>
          <w:p w:rsidR="00255852" w:rsidRPr="00614CC6" w:rsidRDefault="00255852" w:rsidP="002D679B">
            <w:pPr>
              <w:spacing w:before="30" w:after="30"/>
              <w:ind w:left="57"/>
              <w:jc w:val="left"/>
              <w:rPr>
                <w:b/>
                <w:bCs/>
                <w:sz w:val="20"/>
                <w:lang w:val="en-US"/>
              </w:rPr>
            </w:pPr>
            <w:r w:rsidRPr="00614CC6">
              <w:rPr>
                <w:b/>
                <w:bCs/>
                <w:sz w:val="20"/>
                <w:lang w:val="en-US"/>
              </w:rPr>
              <w:t>TF</w:t>
            </w:r>
          </w:p>
        </w:tc>
        <w:tc>
          <w:tcPr>
            <w:tcW w:w="8220" w:type="dxa"/>
          </w:tcPr>
          <w:p w:rsidR="00255852" w:rsidRPr="00614CC6" w:rsidRDefault="00255852" w:rsidP="002D679B">
            <w:pPr>
              <w:spacing w:before="30" w:after="30"/>
              <w:jc w:val="left"/>
              <w:rPr>
                <w:sz w:val="20"/>
              </w:rPr>
            </w:pPr>
            <w:r w:rsidRPr="00614CC6">
              <w:rPr>
                <w:sz w:val="20"/>
              </w:rPr>
              <w:t>Emissions de fréquences étalon et de signaux horaires</w:t>
            </w:r>
          </w:p>
        </w:tc>
      </w:tr>
      <w:tr w:rsidR="00255852" w:rsidRPr="00036EE3">
        <w:tc>
          <w:tcPr>
            <w:tcW w:w="1140" w:type="dxa"/>
          </w:tcPr>
          <w:p w:rsidR="00255852" w:rsidRPr="00614CC6" w:rsidRDefault="00255852" w:rsidP="002D679B">
            <w:pPr>
              <w:spacing w:before="30" w:after="30"/>
              <w:ind w:left="57"/>
              <w:jc w:val="left"/>
              <w:rPr>
                <w:b/>
                <w:bCs/>
                <w:sz w:val="20"/>
                <w:lang w:val="en-US"/>
              </w:rPr>
            </w:pPr>
            <w:r w:rsidRPr="00614CC6">
              <w:rPr>
                <w:b/>
                <w:bCs/>
                <w:sz w:val="20"/>
                <w:lang w:val="en-US"/>
              </w:rPr>
              <w:t>V</w:t>
            </w:r>
          </w:p>
        </w:tc>
        <w:tc>
          <w:tcPr>
            <w:tcW w:w="8220" w:type="dxa"/>
          </w:tcPr>
          <w:p w:rsidR="00255852" w:rsidRPr="00614CC6" w:rsidRDefault="00255852" w:rsidP="002D679B">
            <w:pPr>
              <w:spacing w:before="30" w:after="140"/>
              <w:jc w:val="left"/>
              <w:rPr>
                <w:sz w:val="20"/>
                <w:lang w:val="en-US"/>
              </w:rPr>
            </w:pPr>
            <w:r w:rsidRPr="00614CC6">
              <w:rPr>
                <w:sz w:val="20"/>
              </w:rPr>
              <w:t>Vocabulaire et sujets associés</w:t>
            </w:r>
          </w:p>
        </w:tc>
      </w:tr>
    </w:tbl>
    <w:p w:rsidR="00255852" w:rsidRPr="00036EE3" w:rsidRDefault="00255852" w:rsidP="002D679B">
      <w:pPr>
        <w:spacing w:before="0"/>
        <w:jc w:val="center"/>
        <w:rPr>
          <w:sz w:val="20"/>
          <w:lang w:val="en-US"/>
        </w:rPr>
      </w:pPr>
    </w:p>
    <w:p w:rsidR="00255852" w:rsidRPr="00036EE3" w:rsidRDefault="00255852" w:rsidP="002D679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55852" w:rsidRPr="00756B4D">
        <w:tc>
          <w:tcPr>
            <w:tcW w:w="9360" w:type="dxa"/>
          </w:tcPr>
          <w:p w:rsidR="00255852" w:rsidRPr="00756B4D" w:rsidRDefault="00255852" w:rsidP="002D679B">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255852" w:rsidRPr="00756B4D" w:rsidRDefault="00255852" w:rsidP="002D679B">
      <w:pPr>
        <w:spacing w:before="0"/>
        <w:jc w:val="center"/>
        <w:rPr>
          <w:sz w:val="22"/>
        </w:rPr>
      </w:pPr>
    </w:p>
    <w:p w:rsidR="00255852" w:rsidRPr="00614CC6" w:rsidRDefault="00255852" w:rsidP="002D679B">
      <w:pPr>
        <w:spacing w:before="100"/>
        <w:jc w:val="right"/>
        <w:rPr>
          <w:i/>
          <w:iCs/>
          <w:sz w:val="20"/>
        </w:rPr>
      </w:pPr>
      <w:r w:rsidRPr="00614CC6">
        <w:rPr>
          <w:i/>
          <w:iCs/>
          <w:sz w:val="20"/>
        </w:rPr>
        <w:t>Publication électronique</w:t>
      </w:r>
    </w:p>
    <w:p w:rsidR="00255852" w:rsidRPr="00614CC6" w:rsidRDefault="00255852" w:rsidP="009145B5">
      <w:pPr>
        <w:spacing w:before="0"/>
        <w:jc w:val="right"/>
        <w:rPr>
          <w:sz w:val="20"/>
        </w:rPr>
      </w:pPr>
      <w:r w:rsidRPr="00614CC6">
        <w:rPr>
          <w:sz w:val="20"/>
        </w:rPr>
        <w:t>Genève, 20</w:t>
      </w:r>
      <w:r>
        <w:rPr>
          <w:sz w:val="20"/>
        </w:rPr>
        <w:t>1</w:t>
      </w:r>
      <w:r w:rsidR="009145B5">
        <w:rPr>
          <w:sz w:val="20"/>
        </w:rPr>
        <w:t>1</w:t>
      </w:r>
    </w:p>
    <w:p w:rsidR="00255852" w:rsidRPr="00614CC6" w:rsidRDefault="00255852" w:rsidP="009145B5">
      <w:pPr>
        <w:spacing w:before="200"/>
        <w:jc w:val="center"/>
        <w:rPr>
          <w:sz w:val="20"/>
        </w:rPr>
      </w:pPr>
      <w:r w:rsidRPr="00470E28">
        <w:rPr>
          <w:sz w:val="20"/>
          <w:lang w:val="en-US"/>
        </w:rPr>
        <w:sym w:font="Symbol" w:char="F0E3"/>
      </w:r>
      <w:r w:rsidRPr="00614CC6">
        <w:rPr>
          <w:sz w:val="20"/>
        </w:rPr>
        <w:t xml:space="preserve"> UIT </w:t>
      </w:r>
      <w:bookmarkStart w:id="4" w:name="iiannee"/>
      <w:bookmarkEnd w:id="4"/>
      <w:r w:rsidRPr="00614CC6">
        <w:rPr>
          <w:sz w:val="20"/>
        </w:rPr>
        <w:t>20</w:t>
      </w:r>
      <w:r>
        <w:rPr>
          <w:sz w:val="20"/>
        </w:rPr>
        <w:t>1</w:t>
      </w:r>
      <w:r w:rsidR="009145B5">
        <w:rPr>
          <w:sz w:val="20"/>
        </w:rPr>
        <w:t>1</w:t>
      </w:r>
    </w:p>
    <w:p w:rsidR="00255852" w:rsidRPr="00614CC6" w:rsidRDefault="00255852" w:rsidP="002D679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55852" w:rsidRPr="00614CC6" w:rsidRDefault="00255852" w:rsidP="002D679B">
      <w:pPr>
        <w:spacing w:before="160"/>
        <w:rPr>
          <w:i/>
          <w:sz w:val="20"/>
          <w:highlight w:val="yellow"/>
        </w:rPr>
        <w:sectPr w:rsidR="00255852" w:rsidRPr="00614CC6" w:rsidSect="002D679B">
          <w:headerReference w:type="even" r:id="rId11"/>
          <w:headerReference w:type="default" r:id="rId12"/>
          <w:pgSz w:w="11907" w:h="16834" w:code="9"/>
          <w:pgMar w:top="1418" w:right="1134" w:bottom="1134" w:left="1134" w:header="720" w:footer="482" w:gutter="0"/>
          <w:pgNumType w:fmt="lowerRoman" w:start="2"/>
          <w:cols w:space="720"/>
        </w:sectPr>
      </w:pPr>
    </w:p>
    <w:p w:rsidR="00255852" w:rsidRPr="00756B4D" w:rsidRDefault="00255852" w:rsidP="002D679B">
      <w:pPr>
        <w:pStyle w:val="RecNo"/>
        <w:spacing w:before="0"/>
      </w:pPr>
      <w:bookmarkStart w:id="5" w:name="irecnoe"/>
      <w:bookmarkEnd w:id="5"/>
      <w:r w:rsidRPr="002D679B">
        <w:rPr>
          <w:sz w:val="20"/>
        </w:rPr>
        <w:lastRenderedPageBreak/>
        <w:t xml:space="preserve">RECOMMANDATION  </w:t>
      </w:r>
      <w:r w:rsidRPr="002D679B">
        <w:rPr>
          <w:rStyle w:val="href"/>
          <w:sz w:val="20"/>
        </w:rPr>
        <w:t>UIT-R  SM.</w:t>
      </w:r>
      <w:r w:rsidR="002D679B" w:rsidRPr="002D679B">
        <w:rPr>
          <w:rStyle w:val="href"/>
          <w:sz w:val="20"/>
        </w:rPr>
        <w:t>1009-1</w:t>
      </w:r>
      <w:r w:rsidR="002D679B" w:rsidRPr="00202380">
        <w:rPr>
          <w:position w:val="4"/>
          <w:sz w:val="16"/>
          <w:lang w:val="fr-CH"/>
        </w:rPr>
        <w:footnoteReference w:customMarkFollows="1" w:id="1"/>
        <w:t>*</w:t>
      </w:r>
    </w:p>
    <w:p w:rsidR="002D679B" w:rsidRPr="00EE5FBE" w:rsidRDefault="002D679B" w:rsidP="00F47624">
      <w:pPr>
        <w:pStyle w:val="RecTitle0"/>
        <w:rPr>
          <w:lang w:val="fr-CH"/>
        </w:rPr>
      </w:pPr>
      <w:r w:rsidRPr="00EE5FBE">
        <w:rPr>
          <w:lang w:val="fr-CH"/>
        </w:rPr>
        <w:t>COMPATIBILITÉ  ENTRE  LE  SERVICE  DE  RADIODIFFUSION  SONORE  DANS</w:t>
      </w:r>
      <w:r w:rsidRPr="00EE5FBE">
        <w:rPr>
          <w:lang w:val="fr-CH"/>
        </w:rPr>
        <w:br/>
        <w:t>LA  BANDE  D'ENVIRON  87-108  MHz  ET  LES  SERVICES  AÉRONAUTIQUES</w:t>
      </w:r>
      <w:r w:rsidRPr="00EE5FBE">
        <w:rPr>
          <w:lang w:val="fr-CH"/>
        </w:rPr>
        <w:br/>
        <w:t>DANS  LA  BANDE  108-137  MHz</w:t>
      </w:r>
    </w:p>
    <w:p w:rsidR="00F47624" w:rsidRPr="00F47624" w:rsidRDefault="00F47624" w:rsidP="00E73109">
      <w:pPr>
        <w:pStyle w:val="RecTitleDate"/>
        <w:spacing w:before="360"/>
        <w:rPr>
          <w:lang w:val="fr-CH"/>
        </w:rPr>
      </w:pPr>
      <w:r w:rsidRPr="002D679B">
        <w:rPr>
          <w:lang w:val="fr-CH"/>
        </w:rPr>
        <w:t>(1993-1995)</w:t>
      </w:r>
    </w:p>
    <w:p w:rsidR="00E73109" w:rsidRPr="00E73109" w:rsidRDefault="00E73109" w:rsidP="00E73109">
      <w:pPr>
        <w:spacing w:before="360"/>
        <w:rPr>
          <w:b/>
          <w:bCs/>
          <w:sz w:val="20"/>
        </w:rPr>
      </w:pPr>
      <w:r w:rsidRPr="00E73109">
        <w:rPr>
          <w:b/>
          <w:bCs/>
          <w:sz w:val="20"/>
        </w:rPr>
        <w:t>Domaine d'application</w:t>
      </w:r>
    </w:p>
    <w:p w:rsidR="00E73109" w:rsidRPr="00E73109" w:rsidRDefault="00E73109" w:rsidP="00E73109">
      <w:pPr>
        <w:rPr>
          <w:sz w:val="20"/>
        </w:rPr>
      </w:pPr>
      <w:r w:rsidRPr="00DD745A">
        <w:rPr>
          <w:sz w:val="20"/>
        </w:rPr>
        <w:t xml:space="preserve">La présente Recommandation fournit des critères, </w:t>
      </w:r>
      <w:r w:rsidRPr="00E73109">
        <w:rPr>
          <w:sz w:val="20"/>
        </w:rPr>
        <w:t xml:space="preserve">une </w:t>
      </w:r>
      <w:r w:rsidRPr="00DD745A">
        <w:rPr>
          <w:sz w:val="20"/>
        </w:rPr>
        <w:t xml:space="preserve">méthode et des techniques pour </w:t>
      </w:r>
      <w:r w:rsidRPr="00E73109">
        <w:rPr>
          <w:sz w:val="20"/>
        </w:rPr>
        <w:t xml:space="preserve">assurer </w:t>
      </w:r>
      <w:r w:rsidRPr="00DD745A">
        <w:rPr>
          <w:sz w:val="20"/>
        </w:rPr>
        <w:t>la compatibilité entre le service de radiodiffusion sonore dans la bande d'environ 87-108 MHz et les services aéronautiques dans la bande 108-137 MHz.</w:t>
      </w:r>
    </w:p>
    <w:p w:rsidR="00E73109" w:rsidRPr="00DD745A" w:rsidRDefault="00E73109" w:rsidP="00E73109">
      <w:pPr>
        <w:rPr>
          <w:b/>
          <w:sz w:val="20"/>
        </w:rPr>
      </w:pPr>
      <w:r w:rsidRPr="00DD745A">
        <w:rPr>
          <w:b/>
          <w:sz w:val="20"/>
        </w:rPr>
        <w:t>Mots clés</w:t>
      </w:r>
    </w:p>
    <w:p w:rsidR="00E73109" w:rsidRPr="00E73109" w:rsidRDefault="00E73109" w:rsidP="00E73109">
      <w:pPr>
        <w:rPr>
          <w:sz w:val="20"/>
          <w:lang w:val="fr-CH"/>
        </w:rPr>
      </w:pPr>
      <w:r w:rsidRPr="00DD745A">
        <w:rPr>
          <w:sz w:val="20"/>
        </w:rPr>
        <w:t>Compatibilité, service de radiodiffusion so</w:t>
      </w:r>
      <w:r w:rsidRPr="00E73109">
        <w:rPr>
          <w:sz w:val="20"/>
        </w:rPr>
        <w:t>nore</w:t>
      </w:r>
      <w:r w:rsidRPr="00DD745A">
        <w:rPr>
          <w:sz w:val="20"/>
        </w:rPr>
        <w:t>, service</w:t>
      </w:r>
      <w:r w:rsidRPr="00E73109">
        <w:rPr>
          <w:sz w:val="20"/>
        </w:rPr>
        <w:t xml:space="preserve"> aéronautique</w:t>
      </w:r>
    </w:p>
    <w:p w:rsidR="002D679B" w:rsidRPr="002D679B" w:rsidRDefault="002D679B" w:rsidP="00E73109">
      <w:pPr>
        <w:spacing w:before="480"/>
        <w:rPr>
          <w:sz w:val="20"/>
        </w:rPr>
      </w:pPr>
      <w:r w:rsidRPr="002D679B">
        <w:rPr>
          <w:sz w:val="20"/>
        </w:rPr>
        <w:t>L'Assemblée des radiocommunications de l'UIT,</w:t>
      </w:r>
    </w:p>
    <w:p w:rsidR="002D679B" w:rsidRPr="002D679B" w:rsidRDefault="002D679B" w:rsidP="002D679B">
      <w:pPr>
        <w:keepNext/>
        <w:keepLines/>
        <w:tabs>
          <w:tab w:val="clear" w:pos="1191"/>
          <w:tab w:val="clear" w:pos="1588"/>
          <w:tab w:val="clear" w:pos="1985"/>
        </w:tabs>
        <w:spacing w:before="227"/>
        <w:ind w:left="794"/>
        <w:jc w:val="left"/>
        <w:rPr>
          <w:i/>
          <w:sz w:val="20"/>
        </w:rPr>
      </w:pPr>
      <w:r w:rsidRPr="002D679B">
        <w:rPr>
          <w:i/>
          <w:sz w:val="20"/>
        </w:rPr>
        <w:t>considérant</w:t>
      </w:r>
    </w:p>
    <w:p w:rsidR="002D679B" w:rsidRPr="002D679B" w:rsidRDefault="002D679B" w:rsidP="002D679B">
      <w:pPr>
        <w:spacing w:before="136"/>
        <w:rPr>
          <w:sz w:val="20"/>
        </w:rPr>
      </w:pPr>
      <w:r w:rsidRPr="002D679B">
        <w:rPr>
          <w:sz w:val="20"/>
        </w:rPr>
        <w:t>a)</w:t>
      </w:r>
      <w:r w:rsidRPr="002D679B">
        <w:rPr>
          <w:sz w:val="20"/>
        </w:rPr>
        <w:tab/>
        <w:t>que, pour améliorer l'efficacité d'utilisation du spectre, il est nécessaire de préciser les critères employés lors de l'évaluation de la compatibilité entre le service de radiodiffusion sonore dans la bande d'environ 87-108 MHz et les services aéronautiques dans la bande 108-137 MHz;</w:t>
      </w:r>
    </w:p>
    <w:p w:rsidR="002D679B" w:rsidRPr="002D679B" w:rsidRDefault="002D679B" w:rsidP="002D679B">
      <w:pPr>
        <w:spacing w:before="136"/>
        <w:rPr>
          <w:sz w:val="20"/>
        </w:rPr>
      </w:pPr>
      <w:r w:rsidRPr="002D679B">
        <w:rPr>
          <w:sz w:val="20"/>
        </w:rPr>
        <w:t>b)</w:t>
      </w:r>
      <w:r w:rsidRPr="002D679B">
        <w:rPr>
          <w:sz w:val="20"/>
        </w:rPr>
        <w:tab/>
        <w:t>qu'il faut une méthode d'analyse de la compatibilité pour détecter les éventuelles incompatibilités associées à un plan important d'assignation de fréquences de radiodiffusion;</w:t>
      </w:r>
    </w:p>
    <w:p w:rsidR="002D679B" w:rsidRPr="002D679B" w:rsidRDefault="002D679B" w:rsidP="002D679B">
      <w:pPr>
        <w:spacing w:before="136"/>
        <w:rPr>
          <w:sz w:val="20"/>
        </w:rPr>
      </w:pPr>
      <w:r w:rsidRPr="002D679B">
        <w:rPr>
          <w:sz w:val="20"/>
        </w:rPr>
        <w:t>c)</w:t>
      </w:r>
      <w:r w:rsidRPr="002D679B">
        <w:rPr>
          <w:sz w:val="20"/>
        </w:rPr>
        <w:tab/>
        <w:t>qu'il faut une méthode d'analyse détaillée de la compatibilité (cas par cas) afin d'étudier plus en profondeur les cas d'incompatibilité détectés par l'analyse à grande échelle ou afin d'effectuer les évaluations individuelles relatives aux propositions d'assignations aux services de radiodiffusion ou aux services aéronautiques;</w:t>
      </w:r>
    </w:p>
    <w:p w:rsidR="002D679B" w:rsidRPr="002D679B" w:rsidRDefault="002D679B" w:rsidP="002D679B">
      <w:pPr>
        <w:spacing w:before="136"/>
        <w:rPr>
          <w:sz w:val="20"/>
        </w:rPr>
      </w:pPr>
      <w:r w:rsidRPr="002D679B">
        <w:rPr>
          <w:sz w:val="20"/>
        </w:rPr>
        <w:t>d)</w:t>
      </w:r>
      <w:r w:rsidRPr="002D679B">
        <w:rPr>
          <w:sz w:val="20"/>
        </w:rPr>
        <w:tab/>
        <w:t>qu'il faut poursuivre l'amélioration de la précision des critères et des méthodes d'évaluation de la compatibilité,</w:t>
      </w:r>
    </w:p>
    <w:p w:rsidR="002D679B" w:rsidRPr="002D679B" w:rsidRDefault="002D679B" w:rsidP="002D679B">
      <w:pPr>
        <w:keepNext/>
        <w:keepLines/>
        <w:tabs>
          <w:tab w:val="clear" w:pos="1191"/>
          <w:tab w:val="clear" w:pos="1588"/>
          <w:tab w:val="clear" w:pos="1985"/>
        </w:tabs>
        <w:spacing w:before="227"/>
        <w:ind w:left="794"/>
        <w:jc w:val="left"/>
        <w:rPr>
          <w:i/>
          <w:sz w:val="20"/>
        </w:rPr>
      </w:pPr>
      <w:r w:rsidRPr="002D679B">
        <w:rPr>
          <w:i/>
          <w:sz w:val="20"/>
        </w:rPr>
        <w:t>reconnaissant</w:t>
      </w:r>
    </w:p>
    <w:p w:rsidR="002D679B" w:rsidRPr="002D679B" w:rsidRDefault="002D679B" w:rsidP="00B45125">
      <w:pPr>
        <w:spacing w:before="136"/>
        <w:rPr>
          <w:sz w:val="20"/>
        </w:rPr>
      </w:pPr>
      <w:r w:rsidRPr="002D679B">
        <w:rPr>
          <w:sz w:val="20"/>
        </w:rPr>
        <w:tab/>
        <w:t>que la coordination est effectuée depuis 1984, selon d'autres critères et/ou méthodes</w:t>
      </w:r>
      <w:r w:rsidR="00B45125">
        <w:rPr>
          <w:sz w:val="20"/>
        </w:rPr>
        <w:t>,</w:t>
      </w:r>
    </w:p>
    <w:p w:rsidR="002D679B" w:rsidRPr="002D679B" w:rsidRDefault="002D679B" w:rsidP="002D679B">
      <w:pPr>
        <w:keepNext/>
        <w:keepLines/>
        <w:tabs>
          <w:tab w:val="clear" w:pos="1191"/>
          <w:tab w:val="clear" w:pos="1588"/>
          <w:tab w:val="clear" w:pos="1985"/>
        </w:tabs>
        <w:spacing w:before="227"/>
        <w:ind w:left="794"/>
        <w:jc w:val="left"/>
        <w:rPr>
          <w:i/>
          <w:sz w:val="20"/>
        </w:rPr>
      </w:pPr>
      <w:r w:rsidRPr="002D679B">
        <w:rPr>
          <w:i/>
          <w:sz w:val="20"/>
        </w:rPr>
        <w:t>recommande</w:t>
      </w:r>
    </w:p>
    <w:p w:rsidR="002D679B" w:rsidRPr="002D679B" w:rsidRDefault="002D679B" w:rsidP="002D679B">
      <w:pPr>
        <w:spacing w:before="136"/>
        <w:rPr>
          <w:sz w:val="20"/>
        </w:rPr>
      </w:pPr>
      <w:r w:rsidRPr="002D679B">
        <w:rPr>
          <w:b/>
          <w:sz w:val="20"/>
        </w:rPr>
        <w:t>1</w:t>
      </w:r>
      <w:r w:rsidRPr="002D679B">
        <w:rPr>
          <w:sz w:val="20"/>
        </w:rPr>
        <w:tab/>
        <w:t>que les critères indiqués dans l'Annexe 1 soient utilisés pour les calculs de compatibilité;</w:t>
      </w:r>
    </w:p>
    <w:p w:rsidR="002D679B" w:rsidRPr="002D679B" w:rsidRDefault="002D679B" w:rsidP="002D679B">
      <w:pPr>
        <w:spacing w:before="136"/>
        <w:rPr>
          <w:sz w:val="20"/>
        </w:rPr>
      </w:pPr>
      <w:r w:rsidRPr="002D679B">
        <w:rPr>
          <w:b/>
          <w:sz w:val="20"/>
        </w:rPr>
        <w:t>2</w:t>
      </w:r>
      <w:r w:rsidRPr="002D679B">
        <w:rPr>
          <w:sz w:val="20"/>
        </w:rPr>
        <w:tab/>
        <w:t>que la méthode indiquée dans l'Annexe 2 soit utilisée pour prédire les incompatibilités pouvant être associées à un plan d'assignation de nombreuses fréquences de radiodiffusion;</w:t>
      </w:r>
    </w:p>
    <w:p w:rsidR="002D679B" w:rsidRPr="002D679B" w:rsidRDefault="002D679B" w:rsidP="002D679B">
      <w:pPr>
        <w:spacing w:before="136"/>
        <w:rPr>
          <w:sz w:val="20"/>
        </w:rPr>
      </w:pPr>
      <w:r w:rsidRPr="002D679B">
        <w:rPr>
          <w:b/>
          <w:sz w:val="20"/>
        </w:rPr>
        <w:t>3</w:t>
      </w:r>
      <w:r w:rsidRPr="002D679B">
        <w:rPr>
          <w:sz w:val="20"/>
        </w:rPr>
        <w:tab/>
        <w:t>que les techniques décrites dans l'Annexe 3 soient utilisées pour les calculs détaillés de compatibilité cas par cas concernant les brouillages potentiels détectés par la méthode indiquée dans l'Annexe 2 ou concernant les évaluations individuelles relatives aux propositions d'assignation aux services de radiodiffusion ou aux services aéronautiques;</w:t>
      </w:r>
    </w:p>
    <w:p w:rsidR="002D679B" w:rsidRPr="002D679B" w:rsidRDefault="002D679B" w:rsidP="002D679B">
      <w:pPr>
        <w:spacing w:before="136"/>
        <w:rPr>
          <w:sz w:val="20"/>
        </w:rPr>
      </w:pPr>
      <w:r w:rsidRPr="002D679B">
        <w:rPr>
          <w:b/>
          <w:sz w:val="20"/>
        </w:rPr>
        <w:t>4</w:t>
      </w:r>
      <w:r w:rsidRPr="002D679B">
        <w:rPr>
          <w:sz w:val="20"/>
        </w:rPr>
        <w:tab/>
        <w:t>qu'en outre, les résultats des vérifications sur le terrain des situations de compatibilité prédites, ainsi que d'autres renseignements pertinents, puissent être utilisés pour la coordination et pour poursuivre l'amélioration des critères de compatibilité, de la méthode d'évaluation et des techniques figurant respectivement dans les Annexes 1, 2 et 3.</w:t>
      </w:r>
    </w:p>
    <w:p w:rsidR="002D679B" w:rsidRDefault="002D679B" w:rsidP="00B45125">
      <w:pPr>
        <w:tabs>
          <w:tab w:val="clear" w:pos="794"/>
          <w:tab w:val="clear" w:pos="1191"/>
          <w:tab w:val="clear" w:pos="1588"/>
          <w:tab w:val="clear" w:pos="1985"/>
        </w:tabs>
        <w:spacing w:before="80"/>
        <w:rPr>
          <w:sz w:val="20"/>
        </w:rPr>
      </w:pPr>
      <w:r w:rsidRPr="002D679B">
        <w:rPr>
          <w:i/>
          <w:sz w:val="20"/>
        </w:rPr>
        <w:t>Note du Directeur</w:t>
      </w:r>
      <w:r w:rsidRPr="002D679B">
        <w:rPr>
          <w:sz w:val="20"/>
        </w:rPr>
        <w:t> – On trouvera ci-dessous une liste de documents choisis qui pourront servir aux études de compatibilité entre les services de radionavigation et radiocommunication aéronautiques et le service de radiodiffusion sonore.</w:t>
      </w:r>
    </w:p>
    <w:p w:rsidR="009D0C4F" w:rsidRPr="002D679B" w:rsidRDefault="009D0C4F" w:rsidP="00B45125">
      <w:pPr>
        <w:tabs>
          <w:tab w:val="clear" w:pos="794"/>
          <w:tab w:val="clear" w:pos="1191"/>
          <w:tab w:val="clear" w:pos="1588"/>
          <w:tab w:val="clear" w:pos="1985"/>
        </w:tabs>
        <w:spacing w:before="80"/>
        <w:rPr>
          <w:sz w:val="20"/>
        </w:rPr>
      </w:pPr>
      <w:bookmarkStart w:id="6" w:name="_GoBack"/>
      <w:bookmarkEnd w:id="6"/>
    </w:p>
    <w:p w:rsidR="002D679B" w:rsidRPr="002D679B" w:rsidRDefault="002D679B" w:rsidP="002D679B">
      <w:pPr>
        <w:tabs>
          <w:tab w:val="clear" w:pos="794"/>
          <w:tab w:val="clear" w:pos="1191"/>
          <w:tab w:val="clear" w:pos="1588"/>
          <w:tab w:val="clear" w:pos="1985"/>
        </w:tabs>
        <w:spacing w:before="80"/>
        <w:rPr>
          <w:sz w:val="20"/>
        </w:rPr>
      </w:pPr>
      <w:r w:rsidRPr="002D679B">
        <w:rPr>
          <w:b/>
          <w:sz w:val="20"/>
        </w:rPr>
        <w:t>1</w:t>
      </w:r>
      <w:r w:rsidRPr="002D679B">
        <w:rPr>
          <w:b/>
          <w:sz w:val="20"/>
        </w:rPr>
        <w:tab/>
        <w:t>Documents de Conférences de l'UIT</w:t>
      </w:r>
    </w:p>
    <w:p w:rsidR="002D679B" w:rsidRPr="002D679B" w:rsidRDefault="002D679B" w:rsidP="002D679B">
      <w:pPr>
        <w:tabs>
          <w:tab w:val="clear" w:pos="794"/>
          <w:tab w:val="clear" w:pos="1191"/>
          <w:tab w:val="clear" w:pos="1588"/>
          <w:tab w:val="clear" w:pos="1985"/>
        </w:tabs>
        <w:spacing w:before="80"/>
        <w:ind w:left="720" w:hanging="720"/>
        <w:rPr>
          <w:sz w:val="20"/>
        </w:rPr>
      </w:pPr>
      <w:r w:rsidRPr="002D679B">
        <w:rPr>
          <w:sz w:val="20"/>
        </w:rPr>
        <w:tab/>
        <w:t>Conférence administrative régionale de radiodiffusion sonore à modulation de fréquence dans la bande des ondes métriques (Région 1 et certains pays concernés de la Région 3). Première session (Genève, 1982) Rapport à la seconde session de la Conférence (Genève, 1982).</w:t>
      </w:r>
    </w:p>
    <w:p w:rsidR="002D679B" w:rsidRDefault="002D679B" w:rsidP="002D679B">
      <w:pPr>
        <w:tabs>
          <w:tab w:val="clear" w:pos="794"/>
          <w:tab w:val="clear" w:pos="1191"/>
          <w:tab w:val="clear" w:pos="1588"/>
          <w:tab w:val="clear" w:pos="1985"/>
        </w:tabs>
        <w:spacing w:before="80"/>
        <w:ind w:left="720" w:hanging="720"/>
        <w:rPr>
          <w:sz w:val="20"/>
        </w:rPr>
      </w:pPr>
      <w:r w:rsidRPr="002D679B">
        <w:rPr>
          <w:sz w:val="20"/>
        </w:rPr>
        <w:tab/>
        <w:t>Actes finals de la Conférence administrative régionale pour la planification de la radiodiffusion sonore en ondes métriques (Région 1 et partie de la Région 3) (Genève, 1984).</w:t>
      </w:r>
    </w:p>
    <w:p w:rsidR="0045207C" w:rsidRDefault="0045207C" w:rsidP="002D679B">
      <w:pPr>
        <w:tabs>
          <w:tab w:val="clear" w:pos="794"/>
          <w:tab w:val="clear" w:pos="1191"/>
          <w:tab w:val="clear" w:pos="1588"/>
          <w:tab w:val="clear" w:pos="1985"/>
        </w:tabs>
        <w:spacing w:before="80"/>
        <w:ind w:left="720" w:hanging="720"/>
        <w:rPr>
          <w:sz w:val="20"/>
        </w:rPr>
      </w:pPr>
    </w:p>
    <w:p w:rsidR="0045207C" w:rsidRPr="002D679B" w:rsidRDefault="0045207C" w:rsidP="002D679B">
      <w:pPr>
        <w:tabs>
          <w:tab w:val="clear" w:pos="794"/>
          <w:tab w:val="clear" w:pos="1191"/>
          <w:tab w:val="clear" w:pos="1588"/>
          <w:tab w:val="clear" w:pos="1985"/>
        </w:tabs>
        <w:spacing w:before="80"/>
        <w:ind w:left="720" w:hanging="720"/>
        <w:rPr>
          <w:sz w:val="20"/>
        </w:rPr>
      </w:pPr>
    </w:p>
    <w:p w:rsidR="002D679B" w:rsidRPr="002D679B" w:rsidRDefault="002D679B" w:rsidP="001C25CF">
      <w:pPr>
        <w:keepNext/>
        <w:keepLines/>
        <w:tabs>
          <w:tab w:val="clear" w:pos="794"/>
          <w:tab w:val="clear" w:pos="1191"/>
          <w:tab w:val="clear" w:pos="1588"/>
          <w:tab w:val="clear" w:pos="1985"/>
        </w:tabs>
        <w:spacing w:before="80"/>
        <w:rPr>
          <w:sz w:val="20"/>
        </w:rPr>
      </w:pPr>
      <w:r w:rsidRPr="002D679B">
        <w:rPr>
          <w:b/>
          <w:sz w:val="20"/>
        </w:rPr>
        <w:t>2</w:t>
      </w:r>
      <w:r w:rsidRPr="002D679B">
        <w:rPr>
          <w:b/>
          <w:sz w:val="20"/>
        </w:rPr>
        <w:tab/>
        <w:t>Documents de l'ex-CCIR (Düsseldorf, 1990)</w:t>
      </w:r>
    </w:p>
    <w:p w:rsidR="002D679B" w:rsidRPr="002D679B" w:rsidRDefault="002D679B" w:rsidP="00B45125">
      <w:pPr>
        <w:keepNext/>
        <w:keepLines/>
        <w:tabs>
          <w:tab w:val="clear" w:pos="794"/>
          <w:tab w:val="clear" w:pos="1191"/>
          <w:tab w:val="clear" w:pos="1588"/>
          <w:tab w:val="clear" w:pos="1985"/>
        </w:tabs>
        <w:spacing w:before="80"/>
        <w:ind w:left="720" w:hanging="720"/>
        <w:rPr>
          <w:sz w:val="20"/>
        </w:rPr>
      </w:pPr>
      <w:r w:rsidRPr="002D679B">
        <w:rPr>
          <w:sz w:val="20"/>
        </w:rPr>
        <w:tab/>
        <w:t>Rapport 929-2</w:t>
      </w:r>
      <w:r w:rsidR="00B45125">
        <w:rPr>
          <w:sz w:val="20"/>
        </w:rPr>
        <w:t xml:space="preserve"> </w:t>
      </w:r>
      <w:r w:rsidR="00B45125" w:rsidRPr="00B45125">
        <w:rPr>
          <w:sz w:val="20"/>
        </w:rPr>
        <w:t>–</w:t>
      </w:r>
      <w:r w:rsidRPr="002D679B">
        <w:rPr>
          <w:sz w:val="20"/>
        </w:rPr>
        <w:t xml:space="preserve"> Compatibilité entre le service de radiodiffusion dans la bande d'environ 87-108 MHz et les services aéronautiques dans la bande 108-137 MHz.</w:t>
      </w:r>
    </w:p>
    <w:p w:rsidR="002D679B" w:rsidRPr="002D679B" w:rsidRDefault="002D679B" w:rsidP="00B45125">
      <w:pPr>
        <w:tabs>
          <w:tab w:val="clear" w:pos="794"/>
          <w:tab w:val="clear" w:pos="1191"/>
          <w:tab w:val="clear" w:pos="1588"/>
          <w:tab w:val="clear" w:pos="1985"/>
        </w:tabs>
        <w:spacing w:before="80"/>
        <w:ind w:left="720" w:hanging="720"/>
        <w:rPr>
          <w:sz w:val="20"/>
        </w:rPr>
      </w:pPr>
      <w:r w:rsidRPr="002D679B">
        <w:rPr>
          <w:sz w:val="20"/>
        </w:rPr>
        <w:tab/>
        <w:t>Rapport 1198</w:t>
      </w:r>
      <w:r w:rsidR="00B45125">
        <w:rPr>
          <w:sz w:val="20"/>
        </w:rPr>
        <w:t xml:space="preserve"> </w:t>
      </w:r>
      <w:r w:rsidR="00B45125" w:rsidRPr="00B45125">
        <w:rPr>
          <w:sz w:val="20"/>
        </w:rPr>
        <w:t>–</w:t>
      </w:r>
      <w:r w:rsidRPr="002D679B">
        <w:rPr>
          <w:sz w:val="20"/>
        </w:rPr>
        <w:t xml:space="preserve"> Compatibilité entre le service de radiodiffusion dans la bande 87,5-108 MHz et les services aéronautiques dans la bande 108-137 MHz.</w:t>
      </w:r>
    </w:p>
    <w:p w:rsidR="002D679B" w:rsidRPr="002D679B" w:rsidRDefault="002D679B" w:rsidP="00B45125">
      <w:pPr>
        <w:tabs>
          <w:tab w:val="clear" w:pos="794"/>
          <w:tab w:val="clear" w:pos="1191"/>
          <w:tab w:val="clear" w:pos="1588"/>
          <w:tab w:val="clear" w:pos="1985"/>
        </w:tabs>
        <w:spacing w:before="80"/>
        <w:ind w:left="720" w:hanging="720"/>
        <w:rPr>
          <w:sz w:val="20"/>
        </w:rPr>
      </w:pPr>
      <w:r w:rsidRPr="002D679B">
        <w:rPr>
          <w:sz w:val="20"/>
        </w:rPr>
        <w:tab/>
        <w:t>Rapport 927-2</w:t>
      </w:r>
      <w:r w:rsidR="00B45125">
        <w:rPr>
          <w:sz w:val="20"/>
        </w:rPr>
        <w:t xml:space="preserve"> </w:t>
      </w:r>
      <w:r w:rsidR="00B45125" w:rsidRPr="00B45125">
        <w:rPr>
          <w:sz w:val="20"/>
        </w:rPr>
        <w:t>–</w:t>
      </w:r>
      <w:r w:rsidRPr="002D679B">
        <w:rPr>
          <w:sz w:val="20"/>
        </w:rPr>
        <w:t xml:space="preserve"> Considérations générales relatives au brouillage préjudiciable du point de vue des services mobiles aéronautiques et du service de radionavigation aéronautique.</w:t>
      </w:r>
    </w:p>
    <w:p w:rsidR="002D679B" w:rsidRPr="002D679B" w:rsidRDefault="002D679B" w:rsidP="002D679B">
      <w:pPr>
        <w:tabs>
          <w:tab w:val="clear" w:pos="794"/>
          <w:tab w:val="clear" w:pos="1191"/>
          <w:tab w:val="clear" w:pos="1588"/>
          <w:tab w:val="clear" w:pos="1985"/>
        </w:tabs>
        <w:spacing w:before="80"/>
        <w:rPr>
          <w:sz w:val="20"/>
        </w:rPr>
      </w:pPr>
      <w:r w:rsidRPr="002D679B">
        <w:rPr>
          <w:i/>
          <w:sz w:val="20"/>
        </w:rPr>
        <w:tab/>
      </w:r>
      <w:r w:rsidRPr="002D679B">
        <w:rPr>
          <w:sz w:val="20"/>
        </w:rPr>
        <w:t>NOTE 1 – Les Rapports 929-2 et 1198 représentent l'aboutissement des travaux:</w:t>
      </w:r>
    </w:p>
    <w:p w:rsidR="002D679B" w:rsidRPr="002D679B" w:rsidRDefault="002D679B" w:rsidP="002D679B">
      <w:pPr>
        <w:tabs>
          <w:tab w:val="clear" w:pos="794"/>
          <w:tab w:val="clear" w:pos="1191"/>
          <w:tab w:val="clear" w:pos="1588"/>
          <w:tab w:val="clear" w:pos="1985"/>
          <w:tab w:val="left" w:pos="737"/>
          <w:tab w:val="left" w:pos="1021"/>
        </w:tabs>
        <w:spacing w:before="80"/>
        <w:rPr>
          <w:sz w:val="20"/>
        </w:rPr>
      </w:pPr>
      <w:r w:rsidRPr="002D679B">
        <w:rPr>
          <w:sz w:val="20"/>
        </w:rPr>
        <w:tab/>
        <w:t>–</w:t>
      </w:r>
      <w:r w:rsidRPr="002D679B">
        <w:rPr>
          <w:sz w:val="20"/>
        </w:rPr>
        <w:tab/>
        <w:t>du Groupe de travail intérimaire 8/12 (Annapolis, 1983)</w:t>
      </w:r>
    </w:p>
    <w:p w:rsidR="002D679B" w:rsidRPr="002D679B" w:rsidRDefault="002D679B" w:rsidP="002D679B">
      <w:pPr>
        <w:tabs>
          <w:tab w:val="clear" w:pos="794"/>
          <w:tab w:val="clear" w:pos="1191"/>
          <w:tab w:val="clear" w:pos="1588"/>
          <w:tab w:val="clear" w:pos="1985"/>
          <w:tab w:val="left" w:pos="737"/>
          <w:tab w:val="left" w:pos="1021"/>
        </w:tabs>
        <w:spacing w:before="80"/>
        <w:rPr>
          <w:sz w:val="20"/>
        </w:rPr>
      </w:pPr>
      <w:r w:rsidRPr="002D679B">
        <w:rPr>
          <w:sz w:val="20"/>
        </w:rPr>
        <w:tab/>
        <w:t>–</w:t>
      </w:r>
      <w:r w:rsidRPr="002D679B">
        <w:rPr>
          <w:sz w:val="20"/>
        </w:rPr>
        <w:tab/>
        <w:t>du Groupe de travail intérimaire 10/8 (Paris, 1983)</w:t>
      </w:r>
    </w:p>
    <w:p w:rsidR="002D679B" w:rsidRPr="002D679B" w:rsidRDefault="002D679B" w:rsidP="002D679B">
      <w:pPr>
        <w:tabs>
          <w:tab w:val="clear" w:pos="794"/>
          <w:tab w:val="clear" w:pos="1191"/>
          <w:tab w:val="clear" w:pos="1588"/>
          <w:tab w:val="clear" w:pos="1985"/>
          <w:tab w:val="left" w:pos="737"/>
          <w:tab w:val="left" w:pos="1021"/>
        </w:tabs>
        <w:spacing w:before="80"/>
        <w:rPr>
          <w:sz w:val="20"/>
        </w:rPr>
      </w:pPr>
      <w:r w:rsidRPr="002D679B">
        <w:rPr>
          <w:sz w:val="20"/>
        </w:rPr>
        <w:tab/>
        <w:t>–</w:t>
      </w:r>
      <w:r w:rsidRPr="002D679B">
        <w:rPr>
          <w:sz w:val="20"/>
        </w:rPr>
        <w:tab/>
        <w:t>du Groupe de travail intérimaire mixte 8-10/1, Première réunion (Genève, 1984)</w:t>
      </w:r>
    </w:p>
    <w:p w:rsidR="002D679B" w:rsidRPr="002D679B" w:rsidRDefault="002D679B" w:rsidP="002D679B">
      <w:pPr>
        <w:tabs>
          <w:tab w:val="clear" w:pos="794"/>
          <w:tab w:val="clear" w:pos="1191"/>
          <w:tab w:val="clear" w:pos="1588"/>
          <w:tab w:val="clear" w:pos="1985"/>
          <w:tab w:val="left" w:pos="737"/>
          <w:tab w:val="left" w:pos="1021"/>
        </w:tabs>
        <w:spacing w:before="80"/>
        <w:rPr>
          <w:sz w:val="20"/>
        </w:rPr>
      </w:pPr>
      <w:r w:rsidRPr="002D679B">
        <w:rPr>
          <w:sz w:val="20"/>
        </w:rPr>
        <w:tab/>
        <w:t>–</w:t>
      </w:r>
      <w:r w:rsidRPr="002D679B">
        <w:rPr>
          <w:sz w:val="20"/>
        </w:rPr>
        <w:tab/>
        <w:t>du Groupe de travail intérimaire mixte 8-10/1, Deuxième réunion (Rio de Janeiro, 1987)</w:t>
      </w:r>
    </w:p>
    <w:p w:rsidR="002D679B" w:rsidRPr="002D679B" w:rsidRDefault="002D679B" w:rsidP="002D679B">
      <w:pPr>
        <w:tabs>
          <w:tab w:val="clear" w:pos="794"/>
          <w:tab w:val="clear" w:pos="1191"/>
          <w:tab w:val="clear" w:pos="1588"/>
          <w:tab w:val="clear" w:pos="1985"/>
          <w:tab w:val="left" w:pos="737"/>
          <w:tab w:val="left" w:pos="1021"/>
        </w:tabs>
        <w:spacing w:before="80"/>
        <w:rPr>
          <w:sz w:val="20"/>
        </w:rPr>
      </w:pPr>
      <w:r w:rsidRPr="002D679B">
        <w:rPr>
          <w:sz w:val="20"/>
        </w:rPr>
        <w:tab/>
        <w:t>–</w:t>
      </w:r>
      <w:r w:rsidRPr="002D679B">
        <w:rPr>
          <w:sz w:val="20"/>
        </w:rPr>
        <w:tab/>
        <w:t>du Groupe de travail intérimaire mixte 8-10/1, Troisième réunion (Helsinki, 1988)</w:t>
      </w:r>
    </w:p>
    <w:p w:rsidR="002D679B" w:rsidRPr="002D679B" w:rsidRDefault="002D679B" w:rsidP="002D679B">
      <w:pPr>
        <w:tabs>
          <w:tab w:val="clear" w:pos="794"/>
          <w:tab w:val="clear" w:pos="1191"/>
          <w:tab w:val="clear" w:pos="1588"/>
          <w:tab w:val="clear" w:pos="1985"/>
        </w:tabs>
        <w:spacing w:before="80"/>
        <w:rPr>
          <w:sz w:val="20"/>
        </w:rPr>
      </w:pPr>
      <w:r w:rsidRPr="002D679B">
        <w:rPr>
          <w:sz w:val="20"/>
        </w:rPr>
        <w:tab/>
        <w:t>et sont contenus dans la Publication suivante de l'ex-CCIR (Düsseldorf, 1990):</w:t>
      </w:r>
    </w:p>
    <w:p w:rsidR="002D679B" w:rsidRPr="002D679B" w:rsidRDefault="002D679B" w:rsidP="002D679B">
      <w:pPr>
        <w:tabs>
          <w:tab w:val="clear" w:pos="794"/>
          <w:tab w:val="clear" w:pos="1191"/>
          <w:tab w:val="clear" w:pos="1588"/>
          <w:tab w:val="clear" w:pos="1985"/>
          <w:tab w:val="left" w:pos="737"/>
          <w:tab w:val="left" w:pos="1021"/>
        </w:tabs>
        <w:spacing w:before="80"/>
        <w:ind w:left="1021" w:hanging="1021"/>
        <w:rPr>
          <w:sz w:val="20"/>
        </w:rPr>
      </w:pPr>
      <w:r w:rsidRPr="002D679B">
        <w:rPr>
          <w:sz w:val="20"/>
        </w:rPr>
        <w:tab/>
        <w:t>–</w:t>
      </w:r>
      <w:r w:rsidRPr="002D679B">
        <w:rPr>
          <w:sz w:val="20"/>
        </w:rPr>
        <w:tab/>
        <w:t>Compatibilité entre le service de radiodiffusion dans la bande d'environ 87-108 MHz et les services aéronautiques dans la bande 108</w:t>
      </w:r>
      <w:r w:rsidRPr="002D679B">
        <w:rPr>
          <w:sz w:val="20"/>
        </w:rPr>
        <w:noBreakHyphen/>
        <w:t>137 MHz.</w:t>
      </w:r>
    </w:p>
    <w:p w:rsidR="002D679B" w:rsidRPr="002D679B" w:rsidRDefault="002D679B" w:rsidP="002D679B">
      <w:pPr>
        <w:tabs>
          <w:tab w:val="clear" w:pos="794"/>
          <w:tab w:val="clear" w:pos="1191"/>
          <w:tab w:val="clear" w:pos="1588"/>
          <w:tab w:val="clear" w:pos="1985"/>
        </w:tabs>
        <w:spacing w:before="80"/>
        <w:rPr>
          <w:sz w:val="20"/>
        </w:rPr>
      </w:pPr>
      <w:r w:rsidRPr="002D679B">
        <w:rPr>
          <w:b/>
          <w:sz w:val="20"/>
        </w:rPr>
        <w:t>3</w:t>
      </w:r>
      <w:r w:rsidRPr="002D679B">
        <w:rPr>
          <w:b/>
          <w:sz w:val="20"/>
        </w:rPr>
        <w:tab/>
        <w:t>Documents de l'Organisation de l'aviation civile internationale (OACI)</w:t>
      </w:r>
    </w:p>
    <w:p w:rsidR="002D679B" w:rsidRPr="002D679B" w:rsidRDefault="002D679B" w:rsidP="002D679B">
      <w:pPr>
        <w:tabs>
          <w:tab w:val="clear" w:pos="794"/>
          <w:tab w:val="clear" w:pos="1191"/>
          <w:tab w:val="clear" w:pos="1588"/>
          <w:tab w:val="clear" w:pos="1985"/>
        </w:tabs>
        <w:spacing w:before="80"/>
        <w:ind w:left="720" w:hanging="720"/>
        <w:rPr>
          <w:sz w:val="20"/>
        </w:rPr>
      </w:pPr>
      <w:r w:rsidRPr="002D679B">
        <w:rPr>
          <w:sz w:val="20"/>
        </w:rPr>
        <w:tab/>
        <w:t>[OACI, 1985] Normes et pratiques recommandées internationales et procédures pour les services de navigation aérienne – Télécommunications aéronautiques – Annexe 10 à la Convention relative à l'aviation civile internationale – Volume I, Organisation de l'aviation civile internationale, Montréal, Canada.</w:t>
      </w:r>
    </w:p>
    <w:p w:rsidR="002D679B" w:rsidRPr="002D679B" w:rsidRDefault="002D679B" w:rsidP="002D679B">
      <w:pPr>
        <w:tabs>
          <w:tab w:val="clear" w:pos="794"/>
          <w:tab w:val="clear" w:pos="1191"/>
          <w:tab w:val="clear" w:pos="1588"/>
          <w:tab w:val="clear" w:pos="1985"/>
        </w:tabs>
        <w:spacing w:before="80"/>
        <w:ind w:left="720" w:hanging="720"/>
        <w:rPr>
          <w:sz w:val="20"/>
        </w:rPr>
      </w:pPr>
      <w:r w:rsidRPr="002D679B">
        <w:rPr>
          <w:sz w:val="20"/>
        </w:rPr>
        <w:tab/>
        <w:t>[OACI, 1992] Handbook for evaluation of EMC between ILS and FM broadcasting stations using flight tests (Manuel d'évaluation par essais en vol de la compatibilité électromagnétique entre systèmes d'atterrissage aux instruments (ILS) et stations de radiodiffusion en modulation de fréquence), Organisation de l'aviation civile internationale, Montréal, Canada.</w:t>
      </w:r>
    </w:p>
    <w:p w:rsidR="002D679B" w:rsidRPr="002D679B" w:rsidRDefault="002D679B" w:rsidP="002D679B">
      <w:pPr>
        <w:tabs>
          <w:tab w:val="clear" w:pos="794"/>
          <w:tab w:val="clear" w:pos="1191"/>
          <w:tab w:val="clear" w:pos="1588"/>
          <w:tab w:val="clear" w:pos="1985"/>
        </w:tabs>
        <w:spacing w:before="80"/>
        <w:rPr>
          <w:sz w:val="20"/>
        </w:rPr>
      </w:pPr>
      <w:r w:rsidRPr="002D679B">
        <w:rPr>
          <w:b/>
          <w:sz w:val="20"/>
        </w:rPr>
        <w:t>4</w:t>
      </w:r>
      <w:r w:rsidRPr="002D679B">
        <w:rPr>
          <w:b/>
          <w:sz w:val="20"/>
        </w:rPr>
        <w:tab/>
        <w:t>Autres documents</w:t>
      </w:r>
    </w:p>
    <w:p w:rsidR="002D679B" w:rsidRPr="002D679B" w:rsidRDefault="002D679B" w:rsidP="002D679B">
      <w:pPr>
        <w:tabs>
          <w:tab w:val="clear" w:pos="794"/>
          <w:tab w:val="clear" w:pos="1191"/>
          <w:tab w:val="clear" w:pos="1588"/>
          <w:tab w:val="clear" w:pos="1985"/>
        </w:tabs>
        <w:spacing w:before="80"/>
        <w:ind w:left="720" w:hanging="720"/>
        <w:rPr>
          <w:sz w:val="20"/>
        </w:rPr>
      </w:pPr>
      <w:r w:rsidRPr="002D679B">
        <w:rPr>
          <w:sz w:val="20"/>
        </w:rPr>
        <w:tab/>
        <w:t>AUGSTMAN, E. et VOWLES, S. [1986] Frequency response characteristics of aircraft VOR/localizer antennas in the band 88</w:t>
      </w:r>
      <w:r w:rsidRPr="002D679B">
        <w:rPr>
          <w:sz w:val="20"/>
        </w:rPr>
        <w:noBreakHyphen/>
        <w:t>118 MHz (Fonctions de transfert isochrone des antennes de radiophare équidirectif à ondes métriques (VOR) ou de radiophare d'alignement de piste pour les services aéronautiques dans la bande 88</w:t>
      </w:r>
      <w:r w:rsidRPr="002D679B">
        <w:rPr>
          <w:sz w:val="20"/>
        </w:rPr>
        <w:noBreakHyphen/>
        <w:t>118 MHz), TP-7942E, Transport Canada, Ottawa, Canada.</w:t>
      </w:r>
    </w:p>
    <w:p w:rsidR="002D679B" w:rsidRPr="002D679B" w:rsidRDefault="002D679B" w:rsidP="002D679B">
      <w:pPr>
        <w:tabs>
          <w:tab w:val="clear" w:pos="794"/>
          <w:tab w:val="clear" w:pos="1191"/>
          <w:tab w:val="clear" w:pos="1588"/>
          <w:tab w:val="clear" w:pos="1985"/>
        </w:tabs>
        <w:spacing w:before="80"/>
        <w:ind w:left="720" w:hanging="720"/>
        <w:rPr>
          <w:sz w:val="20"/>
        </w:rPr>
      </w:pPr>
      <w:r w:rsidRPr="002D679B">
        <w:rPr>
          <w:sz w:val="20"/>
        </w:rPr>
        <w:tab/>
        <w:t>DONG, J.G. et SAWTELLE, E.M. [1977] Interference in communications and navigation avionics from commercial FM stations (Brouillages des services de radiocommunication et de radionavigation par des stations privées en modulation de fréquence) – FAA Report No. RD-78-35, Federal Aviation Administration, Washington, DC, Etats-Unis d'Amérique.</w:t>
      </w:r>
    </w:p>
    <w:p w:rsidR="002D679B" w:rsidRPr="002D679B" w:rsidRDefault="002D679B" w:rsidP="002D679B">
      <w:pPr>
        <w:tabs>
          <w:tab w:val="clear" w:pos="794"/>
          <w:tab w:val="clear" w:pos="1191"/>
          <w:tab w:val="clear" w:pos="1588"/>
          <w:tab w:val="clear" w:pos="1985"/>
        </w:tabs>
        <w:spacing w:before="80"/>
        <w:ind w:left="720" w:hanging="720"/>
        <w:rPr>
          <w:sz w:val="20"/>
        </w:rPr>
      </w:pPr>
      <w:r w:rsidRPr="002D679B">
        <w:rPr>
          <w:sz w:val="20"/>
        </w:rPr>
        <w:tab/>
        <w:t>FAA [1992] User’s manual and technical reference for the airspace analysis mathematical model, Version 4.1 (Manuel de l'utilisateur et référence technique pour le modèle mathématique d'analyse dans l'espace aérien), Federal Aviation Administration, Washington, DC, Etats-Unis d'Amérique.</w:t>
      </w:r>
    </w:p>
    <w:p w:rsidR="002D679B" w:rsidRPr="002D679B" w:rsidRDefault="002D679B" w:rsidP="002D679B">
      <w:pPr>
        <w:tabs>
          <w:tab w:val="clear" w:pos="794"/>
          <w:tab w:val="clear" w:pos="1191"/>
          <w:tab w:val="clear" w:pos="1588"/>
          <w:tab w:val="clear" w:pos="1985"/>
        </w:tabs>
        <w:spacing w:before="80"/>
        <w:ind w:left="720" w:hanging="720"/>
        <w:rPr>
          <w:sz w:val="20"/>
        </w:rPr>
      </w:pPr>
      <w:r w:rsidRPr="002D679B">
        <w:rPr>
          <w:sz w:val="20"/>
        </w:rPr>
        <w:tab/>
        <w:t>HARDING, S.J. [1989] Aeronautical receiver immunity to high level signals from FM broadcast transmitters (Insensibilité des récepteurs aéronautiques aux signaux de grande amplitude issus d'émetteurs de radiodiffusion en modulation de fréquence) – CAA Paper 89012. Civil Aviation Authorithy, Londres, Royaume-Uni.</w:t>
      </w:r>
    </w:p>
    <w:p w:rsidR="002D679B" w:rsidRPr="002D679B" w:rsidRDefault="002D679B" w:rsidP="002D679B">
      <w:pPr>
        <w:tabs>
          <w:tab w:val="clear" w:pos="794"/>
          <w:tab w:val="clear" w:pos="1191"/>
          <w:tab w:val="clear" w:pos="1588"/>
          <w:tab w:val="clear" w:pos="1985"/>
        </w:tabs>
        <w:spacing w:before="80"/>
        <w:ind w:left="720" w:hanging="720"/>
        <w:rPr>
          <w:sz w:val="20"/>
        </w:rPr>
      </w:pPr>
      <w:r w:rsidRPr="002D679B">
        <w:rPr>
          <w:sz w:val="20"/>
        </w:rPr>
        <w:tab/>
        <w:t xml:space="preserve">HUNT, K., DOEVEN, J. et FINNIE, J. [septembre, 1993] LEGBAC: De la réunion de Church House à celle de Malaga en passant par Aviemore, </w:t>
      </w:r>
      <w:r w:rsidRPr="002D679B">
        <w:rPr>
          <w:i/>
          <w:sz w:val="20"/>
        </w:rPr>
        <w:t>Journal des Télécom.</w:t>
      </w:r>
      <w:r w:rsidRPr="002D679B">
        <w:rPr>
          <w:sz w:val="20"/>
        </w:rPr>
        <w:t>, Vol. 60, N</w:t>
      </w:r>
      <w:r w:rsidRPr="002D679B">
        <w:rPr>
          <w:rFonts w:ascii="Symbol" w:hAnsi="Symbol"/>
          <w:sz w:val="20"/>
          <w:lang w:val="en-GB"/>
        </w:rPr>
        <w:t></w:t>
      </w:r>
      <w:r w:rsidRPr="002D679B">
        <w:rPr>
          <w:sz w:val="20"/>
        </w:rPr>
        <w:t xml:space="preserve"> IX.</w:t>
      </w:r>
    </w:p>
    <w:p w:rsidR="002D679B" w:rsidRPr="002D679B" w:rsidRDefault="002D679B" w:rsidP="002D679B">
      <w:pPr>
        <w:tabs>
          <w:tab w:val="clear" w:pos="794"/>
          <w:tab w:val="clear" w:pos="1191"/>
          <w:tab w:val="clear" w:pos="1588"/>
          <w:tab w:val="clear" w:pos="1985"/>
        </w:tabs>
        <w:spacing w:before="80"/>
        <w:ind w:left="720" w:hanging="720"/>
        <w:rPr>
          <w:sz w:val="20"/>
        </w:rPr>
      </w:pPr>
      <w:r w:rsidRPr="002D679B">
        <w:rPr>
          <w:sz w:val="20"/>
        </w:rPr>
        <w:tab/>
        <w:t>RTCA [1981] FM broadcast interference related to airborne ILS, VOR and VHF communications (Brouillages par radiodiffusion en modulation de fréquence dans le cas de communications aéronautiques par systèmes ILS, par équipements VOR et en ondes métriques), Document No. RTCA/DO-176. Radio Technical Commission for Aeronautics, Washington, DC, Etats-Unis d'Amérique.</w:t>
      </w:r>
    </w:p>
    <w:p w:rsidR="002D679B" w:rsidRPr="002D679B" w:rsidRDefault="002D679B" w:rsidP="002D679B">
      <w:pPr>
        <w:tabs>
          <w:tab w:val="clear" w:pos="794"/>
          <w:tab w:val="clear" w:pos="1191"/>
          <w:tab w:val="clear" w:pos="1588"/>
          <w:tab w:val="clear" w:pos="1985"/>
        </w:tabs>
        <w:spacing w:before="80"/>
        <w:ind w:left="720" w:hanging="720"/>
        <w:rPr>
          <w:sz w:val="20"/>
        </w:rPr>
      </w:pPr>
      <w:r w:rsidRPr="002D679B">
        <w:rPr>
          <w:sz w:val="20"/>
        </w:rPr>
        <w:tab/>
        <w:t>RTCA [1985] Minimum operational performance standards for airborne radio communications receiving equipment operating within the radio frequency range of 117.975-137.000 MHz (Caractéristiques de qualité minimale des équipements embarqués de réception de signaux de radiocommunication, exploités dans la gamme de fréquences 117,975-137,000 MHz), Document No. RTCA/DO-186. Radio Technical Commission for Aeronautics, Washington, DC, Etats-Unis d'Amérique.</w:t>
      </w:r>
    </w:p>
    <w:p w:rsidR="002D679B" w:rsidRPr="002D679B" w:rsidRDefault="002D679B" w:rsidP="0045207C">
      <w:pPr>
        <w:keepNext/>
        <w:keepLines/>
        <w:tabs>
          <w:tab w:val="clear" w:pos="794"/>
          <w:tab w:val="clear" w:pos="1191"/>
          <w:tab w:val="clear" w:pos="1588"/>
          <w:tab w:val="clear" w:pos="1985"/>
        </w:tabs>
        <w:spacing w:before="80"/>
        <w:ind w:left="720" w:hanging="720"/>
        <w:rPr>
          <w:sz w:val="20"/>
        </w:rPr>
      </w:pPr>
      <w:r w:rsidRPr="002D679B">
        <w:rPr>
          <w:sz w:val="20"/>
        </w:rPr>
        <w:tab/>
        <w:t>RTCA [1986a] Minimum operational performance standards for airborne ILS localizer receiving equipment operating within the frequency range of 108-112 MHz (Caractéristiques de qualité de fonctionnement minimale des équipements embarqués de réception de signaux de système d'atterrissage aux instruments (avec radioali</w:t>
      </w:r>
      <w:r w:rsidRPr="002D679B">
        <w:rPr>
          <w:sz w:val="20"/>
        </w:rPr>
        <w:softHyphen/>
        <w:t>gnement de piste), exploités dans la gamme de fréquences 108-112 MHz), Document No. RTCA/DO</w:t>
      </w:r>
      <w:r w:rsidRPr="002D679B">
        <w:rPr>
          <w:sz w:val="20"/>
        </w:rPr>
        <w:noBreakHyphen/>
        <w:t>195. Radio Technical Commission for Aeronautics, Washington, DC, Etats-Unis d'Amérique.</w:t>
      </w:r>
    </w:p>
    <w:p w:rsidR="002D679B" w:rsidRDefault="002D679B" w:rsidP="002D679B">
      <w:pPr>
        <w:tabs>
          <w:tab w:val="clear" w:pos="794"/>
          <w:tab w:val="clear" w:pos="1191"/>
          <w:tab w:val="clear" w:pos="1588"/>
          <w:tab w:val="clear" w:pos="1985"/>
        </w:tabs>
        <w:spacing w:before="80"/>
        <w:ind w:left="720" w:hanging="720"/>
        <w:rPr>
          <w:sz w:val="20"/>
        </w:rPr>
      </w:pPr>
      <w:r w:rsidRPr="002D679B">
        <w:rPr>
          <w:sz w:val="20"/>
        </w:rPr>
        <w:tab/>
        <w:t>RTCA [1986b] Minimum operational performance standards for airborne VOR receiving equipement operating within the frequency range of 108-117.95 MHz (Caractéristiques de qualité de fonctionnement minimale des équipements embarqués de réception des signaux de radiophare équidirectif, exploités dans la gamme de fréquences 108-117,95 MHz), Document No. RTCA/DO-196. Radio Technical Commission for Aeronautics, DC, Washington, DC, Etats-Unis d'Amérique.</w:t>
      </w:r>
    </w:p>
    <w:p w:rsidR="009A42B8" w:rsidRDefault="009A42B8" w:rsidP="002D679B">
      <w:pPr>
        <w:tabs>
          <w:tab w:val="clear" w:pos="794"/>
          <w:tab w:val="clear" w:pos="1191"/>
          <w:tab w:val="clear" w:pos="1588"/>
          <w:tab w:val="clear" w:pos="1985"/>
        </w:tabs>
        <w:spacing w:before="80"/>
        <w:ind w:left="720" w:hanging="720"/>
        <w:rPr>
          <w:sz w:val="20"/>
        </w:rPr>
      </w:pPr>
    </w:p>
    <w:p w:rsidR="009A42B8" w:rsidRDefault="009A42B8" w:rsidP="002D679B">
      <w:pPr>
        <w:tabs>
          <w:tab w:val="clear" w:pos="794"/>
          <w:tab w:val="clear" w:pos="1191"/>
          <w:tab w:val="clear" w:pos="1588"/>
          <w:tab w:val="clear" w:pos="1985"/>
        </w:tabs>
        <w:spacing w:before="80"/>
        <w:ind w:left="720" w:hanging="720"/>
        <w:rPr>
          <w:sz w:val="20"/>
        </w:rPr>
      </w:pPr>
    </w:p>
    <w:p w:rsidR="002D679B" w:rsidRPr="00EE5FBE" w:rsidRDefault="002D679B" w:rsidP="009A42B8">
      <w:pPr>
        <w:pStyle w:val="Annex"/>
        <w:rPr>
          <w:lang w:val="fr-CH"/>
        </w:rPr>
      </w:pPr>
      <w:r w:rsidRPr="00EE5FBE">
        <w:rPr>
          <w:lang w:val="fr-CH"/>
        </w:rPr>
        <w:t>ANNEXE  1</w:t>
      </w:r>
    </w:p>
    <w:p w:rsidR="002D679B" w:rsidRPr="00EE5FBE" w:rsidRDefault="002D679B" w:rsidP="00202380">
      <w:pPr>
        <w:pStyle w:val="AnnexTitle"/>
        <w:rPr>
          <w:lang w:val="fr-CH"/>
        </w:rPr>
      </w:pPr>
      <w:r w:rsidRPr="00EE5FBE">
        <w:rPr>
          <w:lang w:val="fr-CH"/>
        </w:rPr>
        <w:t>Mécanismes de brouillage, caractéristiques des systèmes</w:t>
      </w:r>
      <w:r w:rsidRPr="00EE5FBE">
        <w:rPr>
          <w:lang w:val="fr-CH"/>
        </w:rPr>
        <w:br/>
        <w:t>et critères d'évaluation de la compatibilité</w:t>
      </w:r>
    </w:p>
    <w:p w:rsidR="002D679B" w:rsidRPr="002D679B" w:rsidRDefault="002D679B" w:rsidP="002D679B">
      <w:pPr>
        <w:spacing w:before="136"/>
        <w:jc w:val="center"/>
        <w:rPr>
          <w:sz w:val="20"/>
        </w:rPr>
      </w:pPr>
      <w:r w:rsidRPr="002D679B">
        <w:rPr>
          <w:sz w:val="20"/>
        </w:rPr>
        <w:t>TABLE  DES  MATIÈRES</w:t>
      </w:r>
    </w:p>
    <w:p w:rsidR="002D679B" w:rsidRPr="002D679B" w:rsidRDefault="002D679B" w:rsidP="002D679B">
      <w:pPr>
        <w:spacing w:before="136"/>
        <w:jc w:val="right"/>
        <w:rPr>
          <w:b/>
          <w:sz w:val="20"/>
        </w:rPr>
      </w:pPr>
      <w:r w:rsidRPr="002D679B">
        <w:rPr>
          <w:i/>
          <w:sz w:val="20"/>
        </w:rPr>
        <w:t>Page</w:t>
      </w:r>
    </w:p>
    <w:p w:rsidR="009A42B8" w:rsidRPr="00DD6628" w:rsidRDefault="009A42B8" w:rsidP="00DB496D">
      <w:pPr>
        <w:pStyle w:val="TOC1"/>
        <w:rPr>
          <w:rFonts w:eastAsiaTheme="minorEastAsia"/>
          <w:sz w:val="20"/>
          <w:lang w:val="fr-CH"/>
        </w:rPr>
      </w:pPr>
      <w:r w:rsidRPr="00DD6628">
        <w:rPr>
          <w:sz w:val="20"/>
          <w:lang w:val="fr-CH"/>
        </w:rPr>
        <w:t>1</w:t>
      </w:r>
      <w:r w:rsidRPr="00DD6628">
        <w:rPr>
          <w:rFonts w:eastAsiaTheme="minorEastAsia"/>
          <w:sz w:val="20"/>
          <w:lang w:val="fr-CH"/>
        </w:rPr>
        <w:tab/>
      </w:r>
      <w:r w:rsidRPr="00DD6628">
        <w:rPr>
          <w:sz w:val="20"/>
          <w:lang w:val="fr-CH"/>
        </w:rPr>
        <w:t>Généralités et introduction</w:t>
      </w:r>
      <w:r w:rsidRPr="00DD6628">
        <w:rPr>
          <w:webHidden/>
          <w:sz w:val="20"/>
          <w:lang w:val="fr-CH"/>
        </w:rPr>
        <w:tab/>
      </w:r>
      <w:r w:rsidR="00DD6628">
        <w:rPr>
          <w:webHidden/>
          <w:sz w:val="20"/>
          <w:lang w:val="fr-CH"/>
        </w:rPr>
        <w:tab/>
      </w:r>
      <w:r w:rsidR="00DD6628" w:rsidRPr="00DD6628">
        <w:rPr>
          <w:webHidden/>
          <w:sz w:val="20"/>
          <w:lang w:val="fr-CH"/>
        </w:rPr>
        <w:t>3</w:t>
      </w:r>
    </w:p>
    <w:p w:rsidR="009A42B8" w:rsidRPr="00DD6628" w:rsidRDefault="009A42B8" w:rsidP="00DD6628">
      <w:pPr>
        <w:pStyle w:val="TOC1"/>
        <w:rPr>
          <w:rFonts w:eastAsiaTheme="minorEastAsia"/>
          <w:sz w:val="20"/>
          <w:lang w:val="fr-CH"/>
        </w:rPr>
      </w:pPr>
      <w:r w:rsidRPr="00DD6628">
        <w:rPr>
          <w:sz w:val="20"/>
          <w:lang w:val="fr-CH"/>
        </w:rPr>
        <w:t>2</w:t>
      </w:r>
      <w:r w:rsidRPr="00DD6628">
        <w:rPr>
          <w:rFonts w:eastAsiaTheme="minorEastAsia"/>
          <w:sz w:val="20"/>
          <w:lang w:val="fr-CH"/>
        </w:rPr>
        <w:tab/>
      </w:r>
      <w:r w:rsidRPr="00DD6628">
        <w:rPr>
          <w:sz w:val="20"/>
          <w:lang w:val="fr-CH"/>
        </w:rPr>
        <w:t>Types de mécanismes de brouillage</w:t>
      </w:r>
      <w:r w:rsidRPr="00DD6628">
        <w:rPr>
          <w:webHidden/>
          <w:sz w:val="20"/>
          <w:lang w:val="fr-CH"/>
        </w:rPr>
        <w:tab/>
      </w:r>
      <w:r w:rsidR="00DD6628">
        <w:rPr>
          <w:webHidden/>
          <w:sz w:val="20"/>
          <w:lang w:val="fr-CH"/>
        </w:rPr>
        <w:tab/>
      </w:r>
      <w:r w:rsidR="00DD6628" w:rsidRPr="00DD6628">
        <w:rPr>
          <w:webHidden/>
          <w:sz w:val="20"/>
          <w:lang w:val="fr-CH"/>
        </w:rPr>
        <w:t>4</w:t>
      </w:r>
    </w:p>
    <w:p w:rsidR="009A42B8" w:rsidRPr="00DD6628" w:rsidRDefault="009A42B8" w:rsidP="00DD6628">
      <w:pPr>
        <w:pStyle w:val="TOC1"/>
        <w:rPr>
          <w:rFonts w:eastAsiaTheme="minorEastAsia"/>
          <w:sz w:val="20"/>
          <w:lang w:val="fr-CH"/>
        </w:rPr>
      </w:pPr>
      <w:r w:rsidRPr="00DD6628">
        <w:rPr>
          <w:sz w:val="20"/>
          <w:lang w:val="fr-CH"/>
        </w:rPr>
        <w:t>3</w:t>
      </w:r>
      <w:r w:rsidRPr="00DD6628">
        <w:rPr>
          <w:rFonts w:eastAsiaTheme="minorEastAsia"/>
          <w:sz w:val="20"/>
          <w:lang w:val="fr-CH"/>
        </w:rPr>
        <w:tab/>
      </w:r>
      <w:r w:rsidRPr="00DD6628">
        <w:rPr>
          <w:sz w:val="20"/>
          <w:lang w:val="fr-CH"/>
        </w:rPr>
        <w:t>Paramètres utilisés pour l'évaluation de la compatibilité</w:t>
      </w:r>
      <w:r w:rsidRPr="00DD6628">
        <w:rPr>
          <w:webHidden/>
          <w:sz w:val="20"/>
          <w:lang w:val="fr-CH"/>
        </w:rPr>
        <w:tab/>
      </w:r>
      <w:r w:rsidR="00DD6628">
        <w:rPr>
          <w:webHidden/>
          <w:sz w:val="20"/>
          <w:lang w:val="fr-CH"/>
        </w:rPr>
        <w:tab/>
      </w:r>
      <w:r w:rsidR="00DD6628" w:rsidRPr="00DD6628">
        <w:rPr>
          <w:webHidden/>
          <w:sz w:val="20"/>
          <w:lang w:val="fr-CH"/>
        </w:rPr>
        <w:t>5</w:t>
      </w:r>
    </w:p>
    <w:p w:rsidR="009A42B8" w:rsidRPr="00DD6628" w:rsidRDefault="009A42B8" w:rsidP="00DD6628">
      <w:pPr>
        <w:pStyle w:val="TOC1"/>
        <w:rPr>
          <w:rFonts w:eastAsiaTheme="minorEastAsia"/>
          <w:sz w:val="20"/>
          <w:lang w:val="fr-CH"/>
        </w:rPr>
      </w:pPr>
      <w:r w:rsidRPr="00DD6628">
        <w:rPr>
          <w:sz w:val="20"/>
          <w:lang w:val="fr-CH"/>
        </w:rPr>
        <w:t>4</w:t>
      </w:r>
      <w:r w:rsidRPr="00DD6628">
        <w:rPr>
          <w:rFonts w:eastAsiaTheme="minorEastAsia"/>
          <w:sz w:val="20"/>
          <w:lang w:val="fr-CH"/>
        </w:rPr>
        <w:tab/>
      </w:r>
      <w:r w:rsidRPr="00DD6628">
        <w:rPr>
          <w:sz w:val="20"/>
          <w:lang w:val="fr-CH"/>
        </w:rPr>
        <w:t>Critères d'évaluation de la compatibilité</w:t>
      </w:r>
      <w:r w:rsidRPr="00DD6628">
        <w:rPr>
          <w:webHidden/>
          <w:sz w:val="20"/>
          <w:lang w:val="fr-CH"/>
        </w:rPr>
        <w:tab/>
      </w:r>
      <w:r w:rsidR="00DD6628">
        <w:rPr>
          <w:webHidden/>
          <w:sz w:val="20"/>
          <w:lang w:val="fr-CH"/>
        </w:rPr>
        <w:tab/>
      </w:r>
      <w:r w:rsidR="00DD6628" w:rsidRPr="00DD6628">
        <w:rPr>
          <w:webHidden/>
          <w:sz w:val="20"/>
          <w:lang w:val="fr-CH"/>
        </w:rPr>
        <w:t>10</w:t>
      </w:r>
    </w:p>
    <w:p w:rsidR="002D679B" w:rsidRPr="00DD6628" w:rsidRDefault="009A42B8" w:rsidP="00DB496D">
      <w:pPr>
        <w:pStyle w:val="TOC1"/>
        <w:rPr>
          <w:sz w:val="20"/>
          <w:lang w:val="fr-CH"/>
        </w:rPr>
      </w:pPr>
      <w:r w:rsidRPr="00DD6628">
        <w:rPr>
          <w:sz w:val="20"/>
          <w:lang w:val="fr-CH"/>
        </w:rPr>
        <w:t>A</w:t>
      </w:r>
      <w:r w:rsidR="00B45125" w:rsidRPr="00DD6628">
        <w:rPr>
          <w:sz w:val="20"/>
          <w:lang w:val="fr-CH"/>
        </w:rPr>
        <w:t>ppendice</w:t>
      </w:r>
      <w:r w:rsidRPr="00DD6628">
        <w:rPr>
          <w:sz w:val="20"/>
          <w:lang w:val="fr-CH"/>
        </w:rPr>
        <w:t xml:space="preserve"> 1</w:t>
      </w:r>
      <w:r w:rsidR="00DD6628">
        <w:rPr>
          <w:webHidden/>
          <w:sz w:val="20"/>
          <w:lang w:val="fr-CH"/>
        </w:rPr>
        <w:t xml:space="preserve"> </w:t>
      </w:r>
      <w:r w:rsidR="00DD6628" w:rsidRPr="00DD6628">
        <w:rPr>
          <w:webHidden/>
          <w:sz w:val="20"/>
          <w:lang w:val="fr-CH"/>
        </w:rPr>
        <w:t>–</w:t>
      </w:r>
      <w:r w:rsidR="00DD6628">
        <w:rPr>
          <w:webHidden/>
          <w:sz w:val="20"/>
          <w:lang w:val="fr-CH"/>
        </w:rPr>
        <w:t xml:space="preserve"> </w:t>
      </w:r>
      <w:r w:rsidRPr="00DD6628">
        <w:rPr>
          <w:sz w:val="20"/>
          <w:lang w:val="fr-CH"/>
        </w:rPr>
        <w:t>Zone de couverture et intensités de champ minimales des radiophares d'alignement de piste (ILS) et des radiophares équidirectifs en ondes métriques (VOR)</w:t>
      </w:r>
      <w:r w:rsidRPr="00DD6628">
        <w:rPr>
          <w:webHidden/>
          <w:sz w:val="20"/>
          <w:lang w:val="fr-CH"/>
        </w:rPr>
        <w:tab/>
      </w:r>
      <w:r w:rsidR="00DD6628">
        <w:rPr>
          <w:webHidden/>
          <w:sz w:val="20"/>
          <w:lang w:val="fr-CH"/>
        </w:rPr>
        <w:tab/>
      </w:r>
      <w:r w:rsidR="00DD6628" w:rsidRPr="00DD6628">
        <w:rPr>
          <w:webHidden/>
          <w:sz w:val="20"/>
          <w:lang w:val="fr-CH"/>
        </w:rPr>
        <w:t>17</w:t>
      </w:r>
    </w:p>
    <w:p w:rsidR="002D679B" w:rsidRPr="002D679B" w:rsidRDefault="002D679B" w:rsidP="00202380">
      <w:pPr>
        <w:pStyle w:val="Heading1"/>
      </w:pPr>
      <w:bookmarkStart w:id="7" w:name="_Toc289760514"/>
      <w:bookmarkStart w:id="8" w:name="_Toc289760854"/>
      <w:bookmarkStart w:id="9" w:name="_Toc289761178"/>
      <w:r w:rsidRPr="002D679B">
        <w:t>1</w:t>
      </w:r>
      <w:r w:rsidRPr="002D679B">
        <w:tab/>
        <w:t>Généralités et introduction</w:t>
      </w:r>
      <w:bookmarkEnd w:id="7"/>
      <w:bookmarkEnd w:id="8"/>
      <w:bookmarkEnd w:id="9"/>
    </w:p>
    <w:p w:rsidR="002D679B" w:rsidRPr="002D679B" w:rsidRDefault="002D679B" w:rsidP="002D679B">
      <w:pPr>
        <w:spacing w:before="136"/>
        <w:rPr>
          <w:sz w:val="20"/>
        </w:rPr>
      </w:pPr>
      <w:r w:rsidRPr="002D679B">
        <w:rPr>
          <w:sz w:val="20"/>
        </w:rPr>
        <w:t>Le brouillage – par le service de radiodiffusion en modulation de fréquence (MF)</w:t>
      </w:r>
      <w:r w:rsidRPr="002D679B">
        <w:rPr>
          <w:position w:val="4"/>
          <w:sz w:val="16"/>
        </w:rPr>
        <w:footnoteReference w:customMarkFollows="1" w:id="2"/>
        <w:t>*</w:t>
      </w:r>
      <w:r w:rsidRPr="002D679B">
        <w:rPr>
          <w:sz w:val="20"/>
        </w:rPr>
        <w:t xml:space="preserve"> – des signaux issus des radiophares d'alignement de piste pour système d'atterrissage aux instruments (ILS), des radiophares équidirectifs à ondes métriques (VOR) et des équipements de radiocommunication (COM) en ondes métriques</w:t>
      </w:r>
      <w:r w:rsidRPr="002D679B">
        <w:rPr>
          <w:position w:val="4"/>
          <w:sz w:val="16"/>
        </w:rPr>
        <w:footnoteReference w:customMarkFollows="1" w:id="3"/>
        <w:t>**</w:t>
      </w:r>
      <w:r w:rsidRPr="002D679B">
        <w:rPr>
          <w:sz w:val="20"/>
        </w:rPr>
        <w:t xml:space="preserve"> est un problème bien connu des utilisateurs d'installations aéronautiques. Dans les récepteurs de trafic air-sol, les manifestations de ce brouillage vont d'un fond de signaux audibles de radiodiffusion MF, générateur de distractions, à la distorsion et au chevauchement des signaux de contrôle de la circulation aérienne reçus. Dans les récepteurs embarqués de signaux d'alignement ILS et VOR, les manifestations de ce brouillage vont d'un fond de signaux audibles, générateur de distractions, à des erreurs de cap et d'alignement des drapeaux avertisseurs. On considère que le brouillage de ces récepteurs de navigation est le plus grave car une erreur de cap, surtout pendant la phase critique d'approche et d'atterrissage, n'est pas aussi évidente pour le pilote qu'une interruption des communications.</w:t>
      </w:r>
    </w:p>
    <w:p w:rsidR="002D679B" w:rsidRPr="002D679B" w:rsidRDefault="002D679B" w:rsidP="002D679B">
      <w:pPr>
        <w:spacing w:before="136"/>
        <w:rPr>
          <w:sz w:val="20"/>
        </w:rPr>
      </w:pPr>
      <w:r w:rsidRPr="002D679B">
        <w:rPr>
          <w:sz w:val="20"/>
        </w:rPr>
        <w:t>Le brouillage subi par les récepteurs de navigation et de communication embarqués à bord des aéronefs diffère selon leur exécution et leur modèle. La probabilité de brouillage préjudiciable augmente en même temps que le besoin de nouvelles assignations de fréquence aux services aéronautiques et de radiodiffusion.</w:t>
      </w:r>
    </w:p>
    <w:p w:rsidR="002D679B" w:rsidRPr="002D679B" w:rsidRDefault="002D679B" w:rsidP="002D679B">
      <w:pPr>
        <w:spacing w:before="136"/>
        <w:rPr>
          <w:sz w:val="20"/>
        </w:rPr>
      </w:pPr>
      <w:r w:rsidRPr="002D679B">
        <w:rPr>
          <w:sz w:val="20"/>
        </w:rPr>
        <w:t xml:space="preserve">La présente </w:t>
      </w:r>
      <w:r w:rsidR="00B45125" w:rsidRPr="002D679B">
        <w:rPr>
          <w:sz w:val="20"/>
        </w:rPr>
        <w:t>a</w:t>
      </w:r>
      <w:r w:rsidRPr="002D679B">
        <w:rPr>
          <w:sz w:val="20"/>
        </w:rPr>
        <w:t>nnexe décrira:</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les mécanismes de brouillage;</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les caractéristiques des systèmes de radionavigation et de radiocommunication aéronautiques affectés;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les caractéristiques techniques des stations de radiodiffusion en modulation de fréquence;</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les critères d'évaluation de la compatibilité pour récepteurs de type Montréal (voir les définitions dans l'Annexe 4);</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les critères d'évaluation de la compatibilité pour récepteurs de type 1998 selon l'Annexe 10 de l'OACI, établis à partir des méthodes de mesure de la Recommandation UIT</w:t>
      </w:r>
      <w:r w:rsidRPr="002D679B">
        <w:rPr>
          <w:sz w:val="20"/>
        </w:rPr>
        <w:noBreakHyphen/>
        <w:t>R SM.1140.</w:t>
      </w:r>
    </w:p>
    <w:p w:rsidR="002D679B" w:rsidRPr="002D679B" w:rsidRDefault="002D679B" w:rsidP="00202380">
      <w:pPr>
        <w:pStyle w:val="Heading1"/>
      </w:pPr>
      <w:bookmarkStart w:id="10" w:name="_Toc289760515"/>
      <w:bookmarkStart w:id="11" w:name="_Toc289760855"/>
      <w:bookmarkStart w:id="12" w:name="_Toc289761179"/>
      <w:r w:rsidRPr="002D679B">
        <w:t>2</w:t>
      </w:r>
      <w:r w:rsidRPr="002D679B">
        <w:tab/>
        <w:t>Types de mécanismes de brouillage</w:t>
      </w:r>
      <w:bookmarkEnd w:id="10"/>
      <w:bookmarkEnd w:id="11"/>
      <w:bookmarkEnd w:id="12"/>
    </w:p>
    <w:p w:rsidR="002D679B" w:rsidRDefault="002D679B" w:rsidP="001F6663">
      <w:pPr>
        <w:rPr>
          <w:sz w:val="20"/>
        </w:rPr>
      </w:pPr>
      <w:r w:rsidRPr="002D679B">
        <w:rPr>
          <w:sz w:val="20"/>
        </w:rPr>
        <w:t>Du point de vue d'un récepteur de signaux de radioalignement ILS et de signaux VOR, on peut considérer les signaux modulés en fréquence par une station de radiodiffusion comme étant du bruit. Les fréquences de 90 Hz et de 150 Hz sont toutefois des valeurs particulièrement importantes pour le récepteur ILS, de même que les fréquences de 30 Hz et de 9</w:t>
      </w:r>
      <w:r w:rsidRPr="002D679B">
        <w:rPr>
          <w:rFonts w:ascii="Tms Rmn" w:hAnsi="Tms Rmn"/>
          <w:sz w:val="12"/>
        </w:rPr>
        <w:t> </w:t>
      </w:r>
      <w:r w:rsidRPr="002D679B">
        <w:rPr>
          <w:sz w:val="20"/>
        </w:rPr>
        <w:t>960 Hz sont des valeurs particulièrement importantes pour le récepteur VOR car elles fournissent des données de guidage critiques pour les systèmes concernés et sont donc sensibles aux brouillages.</w:t>
      </w:r>
    </w:p>
    <w:p w:rsidR="002D679B" w:rsidRPr="002D679B" w:rsidRDefault="002D679B" w:rsidP="001F6663">
      <w:pPr>
        <w:pStyle w:val="Heading2"/>
      </w:pPr>
      <w:bookmarkStart w:id="13" w:name="_Toc289761180"/>
      <w:r w:rsidRPr="002D679B">
        <w:t>2.1</w:t>
      </w:r>
      <w:r w:rsidRPr="002D679B">
        <w:tab/>
        <w:t>Brouillage de type A</w:t>
      </w:r>
      <w:bookmarkEnd w:id="13"/>
    </w:p>
    <w:p w:rsidR="002D679B" w:rsidRPr="00202380" w:rsidRDefault="002D679B" w:rsidP="001F6663">
      <w:pPr>
        <w:pStyle w:val="Heading3"/>
        <w:rPr>
          <w:sz w:val="20"/>
        </w:rPr>
      </w:pPr>
      <w:r w:rsidRPr="00202380">
        <w:rPr>
          <w:sz w:val="20"/>
        </w:rPr>
        <w:t>2.1.1</w:t>
      </w:r>
      <w:r w:rsidRPr="00202380">
        <w:rPr>
          <w:sz w:val="20"/>
        </w:rPr>
        <w:tab/>
        <w:t>Introduction</w:t>
      </w:r>
    </w:p>
    <w:p w:rsidR="002D679B" w:rsidRPr="002D679B" w:rsidRDefault="002D679B" w:rsidP="001F6663">
      <w:pPr>
        <w:keepNext/>
        <w:keepLines/>
        <w:spacing w:before="136"/>
        <w:rPr>
          <w:sz w:val="20"/>
        </w:rPr>
      </w:pPr>
      <w:r w:rsidRPr="002D679B">
        <w:rPr>
          <w:sz w:val="20"/>
        </w:rPr>
        <w:t>Le brouillage de type A est provoqué par des rayonnements non désirés dans la bande des services aéronautiques, issus d'un ou de plusieurs émetteurs de radiodiffusion.</w:t>
      </w:r>
    </w:p>
    <w:p w:rsidR="002D679B" w:rsidRPr="00202380" w:rsidRDefault="002D679B" w:rsidP="00202380">
      <w:pPr>
        <w:pStyle w:val="Heading3"/>
        <w:rPr>
          <w:sz w:val="20"/>
        </w:rPr>
      </w:pPr>
      <w:r w:rsidRPr="00202380">
        <w:rPr>
          <w:sz w:val="20"/>
        </w:rPr>
        <w:t>2.1.2</w:t>
      </w:r>
      <w:r w:rsidRPr="00202380">
        <w:rPr>
          <w:sz w:val="20"/>
        </w:rPr>
        <w:tab/>
        <w:t>Brouillage de type A1</w:t>
      </w:r>
    </w:p>
    <w:p w:rsidR="002D679B" w:rsidRPr="002D679B" w:rsidRDefault="002D679B" w:rsidP="002D679B">
      <w:pPr>
        <w:spacing w:before="136"/>
        <w:rPr>
          <w:sz w:val="20"/>
        </w:rPr>
      </w:pPr>
      <w:r w:rsidRPr="002D679B">
        <w:rPr>
          <w:sz w:val="20"/>
        </w:rPr>
        <w:t>Un seul émetteur peut créer des rayonnements non essentiels ou plusieurs émetteurs de radiodiffusion peuvent intermoduler et produire des composantes à des fréquences se trouvant dans les bandes réservées aux services aéronautiques; un tel mécanisme sera appelé «brouillage de type A1».</w:t>
      </w:r>
    </w:p>
    <w:p w:rsidR="002D679B" w:rsidRPr="00202380" w:rsidRDefault="002D679B" w:rsidP="00202380">
      <w:pPr>
        <w:pStyle w:val="Heading3"/>
        <w:rPr>
          <w:sz w:val="20"/>
        </w:rPr>
      </w:pPr>
      <w:r w:rsidRPr="00202380">
        <w:rPr>
          <w:sz w:val="20"/>
        </w:rPr>
        <w:t>2.1.3</w:t>
      </w:r>
      <w:r w:rsidRPr="00202380">
        <w:rPr>
          <w:sz w:val="20"/>
        </w:rPr>
        <w:tab/>
        <w:t>Brouillage de type A2</w:t>
      </w:r>
    </w:p>
    <w:p w:rsidR="002D679B" w:rsidRPr="002D679B" w:rsidRDefault="002D679B" w:rsidP="002D679B">
      <w:pPr>
        <w:spacing w:before="136"/>
        <w:rPr>
          <w:sz w:val="20"/>
        </w:rPr>
      </w:pPr>
      <w:r w:rsidRPr="002D679B">
        <w:rPr>
          <w:sz w:val="20"/>
        </w:rPr>
        <w:t>Un signal de radiodiffusion peut comporter des composantes non négligeables à des fréquences appartenant aux bandes aéronautiques; ce mécanisme, appelé «brouillage de type A2», n'apparaîtra en pratique que lorsque l'émetteur de radio</w:t>
      </w:r>
      <w:r w:rsidRPr="002D679B">
        <w:rPr>
          <w:sz w:val="20"/>
        </w:rPr>
        <w:softHyphen/>
        <w:t>diffusion aura une fréquence proche de 108 MHz. Celui-ci ne brouillera que les services de radioalignement ILS/VOR utilisant des fréquences proches de 108 MHz.</w:t>
      </w:r>
    </w:p>
    <w:p w:rsidR="002D679B" w:rsidRPr="00202380" w:rsidRDefault="002D679B" w:rsidP="00202380">
      <w:pPr>
        <w:pStyle w:val="Heading2"/>
        <w:rPr>
          <w:sz w:val="22"/>
          <w:szCs w:val="22"/>
        </w:rPr>
      </w:pPr>
      <w:bookmarkStart w:id="14" w:name="_Toc289761181"/>
      <w:r w:rsidRPr="00202380">
        <w:rPr>
          <w:sz w:val="22"/>
          <w:szCs w:val="22"/>
        </w:rPr>
        <w:t>2.2</w:t>
      </w:r>
      <w:r w:rsidRPr="00202380">
        <w:rPr>
          <w:sz w:val="22"/>
          <w:szCs w:val="22"/>
        </w:rPr>
        <w:tab/>
        <w:t>Brouillage de type B</w:t>
      </w:r>
      <w:bookmarkEnd w:id="14"/>
    </w:p>
    <w:p w:rsidR="002D679B" w:rsidRPr="00202380" w:rsidRDefault="002D679B" w:rsidP="00202380">
      <w:pPr>
        <w:pStyle w:val="Heading3"/>
        <w:rPr>
          <w:sz w:val="20"/>
        </w:rPr>
      </w:pPr>
      <w:r w:rsidRPr="00202380">
        <w:rPr>
          <w:sz w:val="20"/>
        </w:rPr>
        <w:t>2.2.1</w:t>
      </w:r>
      <w:r w:rsidRPr="00202380">
        <w:rPr>
          <w:sz w:val="20"/>
        </w:rPr>
        <w:tab/>
        <w:t>Introduction</w:t>
      </w:r>
    </w:p>
    <w:p w:rsidR="002D679B" w:rsidRPr="002D679B" w:rsidRDefault="002D679B" w:rsidP="002D679B">
      <w:pPr>
        <w:spacing w:before="136"/>
        <w:rPr>
          <w:sz w:val="20"/>
        </w:rPr>
      </w:pPr>
      <w:r w:rsidRPr="002D679B">
        <w:rPr>
          <w:sz w:val="20"/>
        </w:rPr>
        <w:t>Le «brouillage de type B» est celui qui est causé à un récepteur aéronautique par des émissions de radiodiffusion sur des fréquences extérieures à la bande des services aéronautiques.</w:t>
      </w:r>
    </w:p>
    <w:p w:rsidR="002D679B" w:rsidRPr="00202380" w:rsidRDefault="002D679B" w:rsidP="00202380">
      <w:pPr>
        <w:pStyle w:val="Heading3"/>
        <w:rPr>
          <w:sz w:val="20"/>
        </w:rPr>
      </w:pPr>
      <w:r w:rsidRPr="00202380">
        <w:rPr>
          <w:sz w:val="20"/>
        </w:rPr>
        <w:t>2.2.2</w:t>
      </w:r>
      <w:r w:rsidRPr="00202380">
        <w:rPr>
          <w:sz w:val="20"/>
        </w:rPr>
        <w:tab/>
        <w:t>Brouillage de type B1</w:t>
      </w:r>
    </w:p>
    <w:p w:rsidR="002D679B" w:rsidRPr="002D679B" w:rsidRDefault="002D679B" w:rsidP="002D679B">
      <w:pPr>
        <w:spacing w:before="136"/>
        <w:rPr>
          <w:sz w:val="20"/>
        </w:rPr>
      </w:pPr>
      <w:r w:rsidRPr="002D679B">
        <w:rPr>
          <w:sz w:val="20"/>
        </w:rPr>
        <w:t>On appelle «brouillage de type B1» l'intermodulation qui peut se produire au sein d'un récepteur aéronautique lorsque des signaux de radiodiffusion, extérieurs à la bande aéronautique, l'amènent à fonctionner dans sa plage de non-linéarité. Pour que ce type de brouillage se produise, il faut normalement la présence d'au moins deux signaux de radiodiffusion ayant une relation de fréquences qui, étant donné le fonctionnement non linéaire du récepteur, peuvent se combiner pour créer un produit d'intermodulation tombant dans le canal radioélectrique utilisé par le récepteur de bord. Un des signaux de radiodiffusion doit avoir une amplitude suffisante pour amener le récepteur à fonctionner dans des régions de non-linéarité; mais le brouillage peut se produire même si l'autre signal a (ou si les autres signaux ont) une amplitude beaucoup plus faible.</w:t>
      </w:r>
    </w:p>
    <w:p w:rsidR="002D679B" w:rsidRPr="002D679B" w:rsidRDefault="002D679B" w:rsidP="009A42B8">
      <w:pPr>
        <w:keepNext/>
        <w:keepLines/>
        <w:spacing w:before="136"/>
        <w:rPr>
          <w:sz w:val="20"/>
        </w:rPr>
      </w:pPr>
      <w:r w:rsidRPr="002D679B">
        <w:rPr>
          <w:sz w:val="20"/>
        </w:rPr>
        <w:t>Seuls les produits d'intermodulation du troisième ordre sont pris en considération; ils auront la forme suivante:</w:t>
      </w:r>
    </w:p>
    <w:p w:rsidR="002D679B" w:rsidRPr="002D679B" w:rsidRDefault="002D679B" w:rsidP="009A42B8">
      <w:pPr>
        <w:keepNext/>
        <w:keepLines/>
        <w:tabs>
          <w:tab w:val="clear" w:pos="1191"/>
          <w:tab w:val="clear" w:pos="1588"/>
          <w:tab w:val="clear" w:pos="1985"/>
          <w:tab w:val="left" w:pos="2552"/>
          <w:tab w:val="center" w:pos="4849"/>
          <w:tab w:val="left" w:pos="5670"/>
          <w:tab w:val="right" w:pos="9696"/>
        </w:tabs>
        <w:spacing w:before="140" w:after="40"/>
        <w:jc w:val="left"/>
        <w:rPr>
          <w:sz w:val="22"/>
        </w:rPr>
      </w:pPr>
      <w:r w:rsidRPr="002D679B">
        <w:rPr>
          <w:sz w:val="22"/>
        </w:rPr>
        <w:tab/>
      </w:r>
      <w:r w:rsidRPr="002D679B">
        <w:rPr>
          <w:sz w:val="22"/>
        </w:rPr>
        <w:tab/>
      </w:r>
      <w:r w:rsidRPr="002D679B">
        <w:rPr>
          <w:i/>
          <w:sz w:val="22"/>
        </w:rPr>
        <w:t>f</w:t>
      </w:r>
      <w:r w:rsidRPr="002D679B">
        <w:rPr>
          <w:i/>
          <w:position w:val="-4"/>
          <w:sz w:val="18"/>
        </w:rPr>
        <w:t>intermod</w:t>
      </w:r>
      <w:r w:rsidRPr="002D679B">
        <w:rPr>
          <w:sz w:val="22"/>
        </w:rPr>
        <w:t xml:space="preserve">  </w:t>
      </w:r>
      <w:r w:rsidRPr="002D679B">
        <w:rPr>
          <w:rFonts w:ascii="Symbol" w:hAnsi="Symbol"/>
          <w:sz w:val="22"/>
          <w:lang w:val="en-GB"/>
        </w:rPr>
        <w:t></w:t>
      </w:r>
      <w:r w:rsidRPr="002D679B">
        <w:rPr>
          <w:sz w:val="22"/>
        </w:rPr>
        <w:t xml:space="preserve">  2 </w:t>
      </w:r>
      <w:r w:rsidRPr="002D679B">
        <w:rPr>
          <w:i/>
          <w:sz w:val="22"/>
        </w:rPr>
        <w:t>f</w:t>
      </w:r>
      <w:r w:rsidRPr="002D679B">
        <w:rPr>
          <w:position w:val="-4"/>
          <w:sz w:val="18"/>
        </w:rPr>
        <w:t>1</w:t>
      </w:r>
      <w:r w:rsidRPr="002D679B">
        <w:rPr>
          <w:sz w:val="22"/>
        </w:rPr>
        <w:t xml:space="preserve">  –  </w:t>
      </w:r>
      <w:r w:rsidRPr="002D679B">
        <w:rPr>
          <w:i/>
          <w:sz w:val="22"/>
        </w:rPr>
        <w:t>f</w:t>
      </w:r>
      <w:r w:rsidRPr="002D679B">
        <w:rPr>
          <w:position w:val="-4"/>
          <w:sz w:val="18"/>
        </w:rPr>
        <w:t>2</w:t>
      </w:r>
      <w:r w:rsidRPr="002D679B">
        <w:rPr>
          <w:position w:val="-4"/>
          <w:sz w:val="18"/>
        </w:rPr>
        <w:tab/>
      </w:r>
      <w:r w:rsidRPr="002D679B">
        <w:rPr>
          <w:position w:val="-4"/>
          <w:sz w:val="18"/>
        </w:rPr>
        <w:tab/>
      </w:r>
      <w:r w:rsidRPr="002D679B">
        <w:rPr>
          <w:sz w:val="22"/>
        </w:rPr>
        <w:t>dans le cas de deux signaux, ou</w:t>
      </w:r>
    </w:p>
    <w:p w:rsidR="002D679B" w:rsidRPr="002D679B" w:rsidRDefault="002D679B" w:rsidP="002D679B">
      <w:pPr>
        <w:tabs>
          <w:tab w:val="clear" w:pos="1191"/>
          <w:tab w:val="clear" w:pos="1588"/>
          <w:tab w:val="clear" w:pos="1985"/>
          <w:tab w:val="left" w:pos="2552"/>
          <w:tab w:val="center" w:pos="4849"/>
          <w:tab w:val="left" w:pos="5670"/>
          <w:tab w:val="right" w:pos="9696"/>
        </w:tabs>
        <w:spacing w:before="140" w:after="40"/>
        <w:jc w:val="left"/>
        <w:rPr>
          <w:sz w:val="22"/>
        </w:rPr>
      </w:pPr>
      <w:r w:rsidRPr="002D679B">
        <w:rPr>
          <w:sz w:val="22"/>
        </w:rPr>
        <w:tab/>
      </w:r>
      <w:r w:rsidRPr="002D679B">
        <w:rPr>
          <w:sz w:val="22"/>
        </w:rPr>
        <w:tab/>
      </w:r>
      <w:r w:rsidRPr="002D679B">
        <w:rPr>
          <w:i/>
          <w:sz w:val="22"/>
        </w:rPr>
        <w:t>f</w:t>
      </w:r>
      <w:r w:rsidRPr="002D679B">
        <w:rPr>
          <w:i/>
          <w:position w:val="-3"/>
          <w:sz w:val="18"/>
        </w:rPr>
        <w:t>intermod</w:t>
      </w:r>
      <w:r w:rsidRPr="002D679B">
        <w:rPr>
          <w:sz w:val="22"/>
        </w:rPr>
        <w:t xml:space="preserve">  </w:t>
      </w:r>
      <w:r w:rsidRPr="002D679B">
        <w:rPr>
          <w:rFonts w:ascii="Symbol" w:hAnsi="Symbol"/>
          <w:sz w:val="22"/>
          <w:lang w:val="en-GB"/>
        </w:rPr>
        <w:t></w:t>
      </w:r>
      <w:r w:rsidRPr="002D679B">
        <w:rPr>
          <w:sz w:val="22"/>
        </w:rPr>
        <w:t xml:space="preserve">  </w:t>
      </w:r>
      <w:r w:rsidRPr="002D679B">
        <w:rPr>
          <w:i/>
          <w:sz w:val="22"/>
        </w:rPr>
        <w:t>f</w:t>
      </w:r>
      <w:r w:rsidRPr="002D679B">
        <w:rPr>
          <w:position w:val="-3"/>
          <w:sz w:val="18"/>
        </w:rPr>
        <w:t>1</w:t>
      </w:r>
      <w:r w:rsidRPr="002D679B">
        <w:rPr>
          <w:sz w:val="22"/>
        </w:rPr>
        <w:t xml:space="preserve">  </w:t>
      </w:r>
      <w:r w:rsidRPr="002D679B">
        <w:rPr>
          <w:rFonts w:ascii="Symbol" w:hAnsi="Symbol"/>
          <w:sz w:val="22"/>
          <w:lang w:val="en-GB"/>
        </w:rPr>
        <w:t></w:t>
      </w:r>
      <w:r w:rsidRPr="002D679B">
        <w:rPr>
          <w:sz w:val="22"/>
        </w:rPr>
        <w:t xml:space="preserve">  </w:t>
      </w:r>
      <w:r w:rsidRPr="002D679B">
        <w:rPr>
          <w:i/>
          <w:sz w:val="22"/>
        </w:rPr>
        <w:t>f</w:t>
      </w:r>
      <w:r w:rsidRPr="002D679B">
        <w:rPr>
          <w:position w:val="-3"/>
          <w:sz w:val="18"/>
        </w:rPr>
        <w:t>2</w:t>
      </w:r>
      <w:r w:rsidRPr="002D679B">
        <w:rPr>
          <w:sz w:val="22"/>
        </w:rPr>
        <w:t xml:space="preserve">  –  </w:t>
      </w:r>
      <w:r w:rsidRPr="002D679B">
        <w:rPr>
          <w:i/>
          <w:sz w:val="22"/>
        </w:rPr>
        <w:t>f</w:t>
      </w:r>
      <w:r w:rsidRPr="002D679B">
        <w:rPr>
          <w:position w:val="-3"/>
          <w:sz w:val="18"/>
        </w:rPr>
        <w:t>3</w:t>
      </w:r>
      <w:r w:rsidRPr="002D679B">
        <w:rPr>
          <w:position w:val="-3"/>
          <w:sz w:val="18"/>
        </w:rPr>
        <w:tab/>
      </w:r>
      <w:r w:rsidRPr="002D679B">
        <w:rPr>
          <w:position w:val="-3"/>
          <w:sz w:val="18"/>
        </w:rPr>
        <w:tab/>
      </w:r>
      <w:r w:rsidRPr="002D679B">
        <w:rPr>
          <w:sz w:val="22"/>
        </w:rPr>
        <w:t>dans le cas de trois signaux</w:t>
      </w:r>
    </w:p>
    <w:p w:rsidR="002D679B" w:rsidRPr="002D679B" w:rsidRDefault="002D679B" w:rsidP="00DD6628">
      <w:pPr>
        <w:keepNext/>
        <w:keepLines/>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f</w:t>
      </w:r>
      <w:r w:rsidRPr="002D679B">
        <w:rPr>
          <w:i/>
          <w:position w:val="-4"/>
          <w:sz w:val="16"/>
        </w:rPr>
        <w:t>intermod</w:t>
      </w:r>
      <w:r w:rsidRPr="002D679B">
        <w:rPr>
          <w:rFonts w:ascii="Tms Rmn" w:hAnsi="Tms Rmn"/>
          <w:sz w:val="12"/>
        </w:rPr>
        <w:t> </w:t>
      </w:r>
      <w:r w:rsidRPr="002D679B">
        <w:rPr>
          <w:sz w:val="20"/>
        </w:rPr>
        <w:t>:</w:t>
      </w:r>
      <w:r w:rsidRPr="002D679B">
        <w:rPr>
          <w:sz w:val="20"/>
        </w:rPr>
        <w:tab/>
        <w:t>fréquence du produit d'intermodulation (MHz)</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f</w:t>
      </w:r>
      <w:r w:rsidRPr="002D679B">
        <w:rPr>
          <w:position w:val="-4"/>
          <w:sz w:val="16"/>
        </w:rPr>
        <w:t>1</w:t>
      </w:r>
      <w:r w:rsidRPr="002D679B">
        <w:rPr>
          <w:sz w:val="20"/>
        </w:rPr>
        <w:t xml:space="preserve">, </w:t>
      </w:r>
      <w:r w:rsidRPr="002D679B">
        <w:rPr>
          <w:i/>
          <w:sz w:val="20"/>
        </w:rPr>
        <w:t>f</w:t>
      </w:r>
      <w:r w:rsidRPr="002D679B">
        <w:rPr>
          <w:position w:val="-4"/>
          <w:sz w:val="16"/>
        </w:rPr>
        <w:t>2</w:t>
      </w:r>
      <w:r w:rsidRPr="002D679B">
        <w:rPr>
          <w:sz w:val="20"/>
        </w:rPr>
        <w:t xml:space="preserve"> et </w:t>
      </w:r>
      <w:r w:rsidRPr="002D679B">
        <w:rPr>
          <w:i/>
          <w:sz w:val="20"/>
        </w:rPr>
        <w:t>f</w:t>
      </w:r>
      <w:r w:rsidRPr="002D679B">
        <w:rPr>
          <w:position w:val="-4"/>
          <w:sz w:val="16"/>
        </w:rPr>
        <w:t>3</w:t>
      </w:r>
      <w:r w:rsidRPr="002D679B">
        <w:rPr>
          <w:rFonts w:ascii="Tms Rmn" w:hAnsi="Tms Rmn"/>
          <w:sz w:val="12"/>
        </w:rPr>
        <w:t> </w:t>
      </w:r>
      <w:r w:rsidRPr="002D679B">
        <w:rPr>
          <w:sz w:val="20"/>
        </w:rPr>
        <w:t>:</w:t>
      </w:r>
      <w:r w:rsidRPr="002D679B">
        <w:rPr>
          <w:sz w:val="20"/>
        </w:rPr>
        <w:tab/>
        <w:t xml:space="preserve">fréquences de radiodiffusion (MHz) telles que </w:t>
      </w:r>
      <w:r w:rsidRPr="002D679B">
        <w:rPr>
          <w:i/>
          <w:sz w:val="20"/>
        </w:rPr>
        <w:t>f</w:t>
      </w:r>
      <w:r w:rsidRPr="002D679B">
        <w:rPr>
          <w:position w:val="-3"/>
          <w:sz w:val="16"/>
        </w:rPr>
        <w:t>1</w:t>
      </w:r>
      <w:r w:rsidRPr="002D679B">
        <w:rPr>
          <w:sz w:val="20"/>
        </w:rPr>
        <w:t xml:space="preserve"> </w:t>
      </w:r>
      <w:r w:rsidRPr="002D679B">
        <w:rPr>
          <w:rFonts w:ascii="Symbol" w:hAnsi="Symbol"/>
          <w:sz w:val="20"/>
          <w:lang w:val="en-GB"/>
        </w:rPr>
        <w:t></w:t>
      </w:r>
      <w:r w:rsidRPr="002D679B">
        <w:rPr>
          <w:sz w:val="20"/>
        </w:rPr>
        <w:t xml:space="preserve"> </w:t>
      </w:r>
      <w:r w:rsidRPr="002D679B">
        <w:rPr>
          <w:i/>
          <w:sz w:val="20"/>
        </w:rPr>
        <w:t>f</w:t>
      </w:r>
      <w:r w:rsidRPr="002D679B">
        <w:rPr>
          <w:position w:val="-3"/>
          <w:sz w:val="16"/>
        </w:rPr>
        <w:t>2</w:t>
      </w:r>
      <w:r w:rsidRPr="002D679B">
        <w:rPr>
          <w:sz w:val="20"/>
        </w:rPr>
        <w:t xml:space="preserve"> </w:t>
      </w:r>
      <w:r w:rsidRPr="002D679B">
        <w:rPr>
          <w:rFonts w:ascii="Symbol" w:hAnsi="Symbol"/>
          <w:sz w:val="20"/>
          <w:lang w:val="en-GB"/>
        </w:rPr>
        <w:t></w:t>
      </w:r>
      <w:r w:rsidRPr="002D679B">
        <w:rPr>
          <w:sz w:val="20"/>
        </w:rPr>
        <w:t xml:space="preserve"> </w:t>
      </w:r>
      <w:r w:rsidRPr="002D679B">
        <w:rPr>
          <w:i/>
          <w:sz w:val="20"/>
        </w:rPr>
        <w:t>f</w:t>
      </w:r>
      <w:r w:rsidRPr="002D679B">
        <w:rPr>
          <w:position w:val="-4"/>
          <w:sz w:val="16"/>
        </w:rPr>
        <w:t>3</w:t>
      </w:r>
      <w:r w:rsidRPr="002D679B">
        <w:rPr>
          <w:sz w:val="20"/>
        </w:rPr>
        <w:t>.</w:t>
      </w:r>
    </w:p>
    <w:p w:rsidR="002D679B" w:rsidRPr="00202380" w:rsidRDefault="002D679B" w:rsidP="00202380">
      <w:pPr>
        <w:pStyle w:val="Heading3"/>
        <w:rPr>
          <w:sz w:val="20"/>
        </w:rPr>
      </w:pPr>
      <w:r w:rsidRPr="00202380">
        <w:rPr>
          <w:sz w:val="20"/>
        </w:rPr>
        <w:t>2.2.3</w:t>
      </w:r>
      <w:r w:rsidRPr="00202380">
        <w:rPr>
          <w:sz w:val="20"/>
        </w:rPr>
        <w:tab/>
        <w:t>Brouillage de type B2</w:t>
      </w:r>
    </w:p>
    <w:p w:rsidR="002D679B" w:rsidRPr="002D679B" w:rsidRDefault="002D679B" w:rsidP="002D679B">
      <w:pPr>
        <w:spacing w:before="136"/>
        <w:rPr>
          <w:sz w:val="20"/>
        </w:rPr>
      </w:pPr>
      <w:r w:rsidRPr="002D679B">
        <w:rPr>
          <w:sz w:val="20"/>
        </w:rPr>
        <w:t>Désensibilisation qui se produit lorsque l'étage HF d'un récepteur aéronautique est soumis à une surcharge par une ou par plusieurs émission(s) de radiodiffusion.</w:t>
      </w:r>
    </w:p>
    <w:p w:rsidR="002D679B" w:rsidRPr="002D679B" w:rsidRDefault="002D679B" w:rsidP="00202380">
      <w:pPr>
        <w:pStyle w:val="Heading1"/>
      </w:pPr>
      <w:bookmarkStart w:id="15" w:name="_Toc289760516"/>
      <w:bookmarkStart w:id="16" w:name="_Toc289760856"/>
      <w:bookmarkStart w:id="17" w:name="_Toc289761182"/>
      <w:r w:rsidRPr="002D679B">
        <w:t>3</w:t>
      </w:r>
      <w:r w:rsidRPr="002D679B">
        <w:tab/>
        <w:t>Paramètres utilisés pour l'évaluation de la compatibilité</w:t>
      </w:r>
      <w:bookmarkEnd w:id="15"/>
      <w:bookmarkEnd w:id="16"/>
      <w:bookmarkEnd w:id="17"/>
    </w:p>
    <w:p w:rsidR="002D679B" w:rsidRPr="00202380" w:rsidRDefault="002D679B" w:rsidP="00202380">
      <w:pPr>
        <w:pStyle w:val="Heading2"/>
        <w:rPr>
          <w:sz w:val="22"/>
          <w:szCs w:val="22"/>
        </w:rPr>
      </w:pPr>
      <w:bookmarkStart w:id="18" w:name="_Toc289761183"/>
      <w:r w:rsidRPr="00202380">
        <w:rPr>
          <w:sz w:val="22"/>
          <w:szCs w:val="22"/>
        </w:rPr>
        <w:t>3.1</w:t>
      </w:r>
      <w:r w:rsidRPr="00202380">
        <w:rPr>
          <w:sz w:val="22"/>
          <w:szCs w:val="22"/>
        </w:rPr>
        <w:tab/>
        <w:t>Introduction</w:t>
      </w:r>
      <w:bookmarkEnd w:id="18"/>
    </w:p>
    <w:p w:rsidR="002D679B" w:rsidRPr="002D679B" w:rsidRDefault="002D679B" w:rsidP="002D679B">
      <w:pPr>
        <w:spacing w:before="136"/>
        <w:rPr>
          <w:sz w:val="20"/>
        </w:rPr>
      </w:pPr>
      <w:r w:rsidRPr="002D679B">
        <w:rPr>
          <w:sz w:val="20"/>
        </w:rPr>
        <w:t>Ce paragraphe détermine les paramètres des émetteurs et des récepteurs aéronautiques ILS, VOR et COM concernés par une évaluation de compatibilité.</w:t>
      </w:r>
    </w:p>
    <w:p w:rsidR="002D679B" w:rsidRPr="00202380" w:rsidRDefault="002D679B" w:rsidP="00202380">
      <w:pPr>
        <w:pStyle w:val="Heading2"/>
        <w:rPr>
          <w:sz w:val="22"/>
          <w:szCs w:val="22"/>
        </w:rPr>
      </w:pPr>
      <w:bookmarkStart w:id="19" w:name="_Toc289761184"/>
      <w:r w:rsidRPr="00202380">
        <w:rPr>
          <w:sz w:val="22"/>
          <w:szCs w:val="22"/>
        </w:rPr>
        <w:t>3.2</w:t>
      </w:r>
      <w:r w:rsidRPr="00202380">
        <w:rPr>
          <w:sz w:val="22"/>
          <w:szCs w:val="22"/>
        </w:rPr>
        <w:tab/>
        <w:t>Caractéristiques des systèmes aéronautiques</w:t>
      </w:r>
      <w:bookmarkEnd w:id="19"/>
    </w:p>
    <w:p w:rsidR="002D679B" w:rsidRPr="00202380" w:rsidRDefault="002D679B" w:rsidP="00202380">
      <w:pPr>
        <w:pStyle w:val="Heading3"/>
        <w:rPr>
          <w:sz w:val="20"/>
        </w:rPr>
      </w:pPr>
      <w:r w:rsidRPr="00202380">
        <w:rPr>
          <w:sz w:val="20"/>
        </w:rPr>
        <w:t>3.2.1</w:t>
      </w:r>
      <w:r w:rsidRPr="00202380">
        <w:rPr>
          <w:sz w:val="20"/>
        </w:rPr>
        <w:tab/>
        <w:t>Emetteur (radiophare) de signaux d'alignement de piste ILS</w:t>
      </w:r>
    </w:p>
    <w:p w:rsidR="002D679B" w:rsidRPr="00202380" w:rsidRDefault="002D679B" w:rsidP="00202380">
      <w:pPr>
        <w:pStyle w:val="Heading4"/>
        <w:rPr>
          <w:sz w:val="20"/>
        </w:rPr>
      </w:pPr>
      <w:r w:rsidRPr="00202380">
        <w:rPr>
          <w:sz w:val="20"/>
        </w:rPr>
        <w:t>3.2.1.1</w:t>
      </w:r>
      <w:r w:rsidRPr="00202380">
        <w:rPr>
          <w:sz w:val="20"/>
        </w:rPr>
        <w:tab/>
        <w:t>Couverture opérationnelle spécifiée (COS) (voir la Note 1)</w:t>
      </w:r>
    </w:p>
    <w:p w:rsidR="002D679B" w:rsidRPr="002D679B" w:rsidRDefault="002D679B" w:rsidP="002D679B">
      <w:pPr>
        <w:spacing w:before="136"/>
        <w:rPr>
          <w:sz w:val="20"/>
        </w:rPr>
      </w:pPr>
      <w:r w:rsidRPr="002D679B">
        <w:rPr>
          <w:sz w:val="20"/>
        </w:rPr>
        <w:t>La Fig. 1 illustre une couverture opérationnelle spécifiée (COS) typique pour la zone avant d'un émetteur de signaux d'alignement de piste ILS, d'après l'Annexe 10 (voir la Note 1) à la Convention de l'OACI. La COS peut aussi comporter une zone arrière (de cap inverse). Certaines administrations utilisent également le radiophare d'alignement comme système auxiliaire de guidage d'approche, de sorte que l'axe de la COS n'est pas toujours en alignement avec une piste.</w:t>
      </w:r>
    </w:p>
    <w:p w:rsidR="002D679B" w:rsidRPr="002D679B" w:rsidRDefault="002D679B" w:rsidP="002D679B">
      <w:pPr>
        <w:tabs>
          <w:tab w:val="clear" w:pos="794"/>
          <w:tab w:val="clear" w:pos="1191"/>
          <w:tab w:val="clear" w:pos="1588"/>
          <w:tab w:val="clear" w:pos="1985"/>
        </w:tabs>
        <w:spacing w:before="80"/>
        <w:rPr>
          <w:sz w:val="20"/>
        </w:rPr>
      </w:pPr>
      <w:r w:rsidRPr="002D679B">
        <w:rPr>
          <w:sz w:val="20"/>
        </w:rPr>
        <w:t>NOTE 1 – Voir les définitions dans l'Annexe 4.</w:t>
      </w:r>
    </w:p>
    <w:p w:rsidR="002D679B" w:rsidRPr="002D679B" w:rsidRDefault="002D679B" w:rsidP="002D679B">
      <w:pPr>
        <w:spacing w:before="136"/>
        <w:jc w:val="center"/>
        <w:rPr>
          <w:sz w:val="20"/>
          <w:lang w:val="en-US"/>
        </w:rPr>
      </w:pPr>
      <w:r>
        <w:rPr>
          <w:noProof/>
          <w:sz w:val="20"/>
          <w:lang w:val="fr-CH" w:eastAsia="fr-CH"/>
        </w:rPr>
        <w:drawing>
          <wp:inline distT="0" distB="0" distL="0" distR="0" wp14:anchorId="49AC86EE" wp14:editId="7AC1428E">
            <wp:extent cx="5278755" cy="662622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8755" cy="6626225"/>
                    </a:xfrm>
                    <a:prstGeom prst="rect">
                      <a:avLst/>
                    </a:prstGeom>
                    <a:noFill/>
                    <a:ln>
                      <a:noFill/>
                    </a:ln>
                  </pic:spPr>
                </pic:pic>
              </a:graphicData>
            </a:graphic>
          </wp:inline>
        </w:drawing>
      </w:r>
    </w:p>
    <w:p w:rsidR="002D679B" w:rsidRPr="002D679B" w:rsidRDefault="002D679B" w:rsidP="002D679B">
      <w:pPr>
        <w:spacing w:before="136"/>
        <w:jc w:val="left"/>
        <w:rPr>
          <w:color w:val="FFFFFF"/>
          <w:sz w:val="20"/>
        </w:rPr>
      </w:pPr>
      <w:r w:rsidRPr="002D679B">
        <w:rPr>
          <w:color w:val="FFFFFF"/>
          <w:sz w:val="20"/>
        </w:rPr>
        <w:t xml:space="preserve">FIGURE 1/1009  [D01]  =   18 CM </w:t>
      </w:r>
    </w:p>
    <w:p w:rsidR="002D679B" w:rsidRPr="00202380" w:rsidRDefault="002D679B" w:rsidP="00202380">
      <w:pPr>
        <w:pStyle w:val="Heading4"/>
        <w:rPr>
          <w:sz w:val="20"/>
        </w:rPr>
      </w:pPr>
      <w:r w:rsidRPr="00202380">
        <w:rPr>
          <w:sz w:val="20"/>
        </w:rPr>
        <w:t>3.2.1.2</w:t>
      </w:r>
      <w:r w:rsidRPr="00202380">
        <w:rPr>
          <w:sz w:val="20"/>
        </w:rPr>
        <w:tab/>
        <w:t>Intensité de champ</w:t>
      </w:r>
    </w:p>
    <w:p w:rsidR="002D679B" w:rsidRPr="002D679B" w:rsidRDefault="002D679B" w:rsidP="002D679B">
      <w:pPr>
        <w:spacing w:before="136"/>
        <w:rPr>
          <w:sz w:val="20"/>
        </w:rPr>
      </w:pPr>
      <w:r w:rsidRPr="002D679B">
        <w:rPr>
          <w:sz w:val="20"/>
        </w:rPr>
        <w:t>La valeur minimale de l'intensité de champ à protéger dans toute la zone avant de la COS d'un radiophare d'alignement de piste ILS est de 32 dB(</w:t>
      </w:r>
      <w:r w:rsidRPr="002D679B">
        <w:rPr>
          <w:rFonts w:ascii="Symbol" w:hAnsi="Symbol"/>
          <w:sz w:val="20"/>
        </w:rPr>
        <w:t></w:t>
      </w:r>
      <w:r w:rsidRPr="002D679B">
        <w:rPr>
          <w:sz w:val="20"/>
        </w:rPr>
        <w:t>V/m) (40 </w:t>
      </w:r>
      <w:r w:rsidRPr="002D679B">
        <w:rPr>
          <w:rFonts w:ascii="Symbol" w:hAnsi="Symbol"/>
          <w:sz w:val="20"/>
        </w:rPr>
        <w:t></w:t>
      </w:r>
      <w:r w:rsidRPr="002D679B">
        <w:rPr>
          <w:sz w:val="20"/>
        </w:rPr>
        <w:t>V/m) (voir le § 3.1.3.3 de l'Appendice 1). Si le service est assuré dans la zone de COS du radiophare d'alignement de piste ILS, l'intensité de champ à protéger est également de 32 dB(</w:t>
      </w:r>
      <w:r w:rsidRPr="002D679B">
        <w:rPr>
          <w:rFonts w:ascii="Symbol" w:hAnsi="Symbol"/>
          <w:sz w:val="20"/>
        </w:rPr>
        <w:t></w:t>
      </w:r>
      <w:r w:rsidRPr="002D679B">
        <w:rPr>
          <w:sz w:val="20"/>
        </w:rPr>
        <w:t>V/m). Dans certaines régions de la COS d'un radiophare d'alignement de piste ILS, l'Annexe 10 (voir la Note 1) à la Convention de l'OACI prescrit qu'une intensité de champ plus élevée doit être assurée afin d'augmenter le rapport signal sur bruit en réception et donc l'intégrité du système. C'est le cas dans le secteur (voir la Note 2) d'alignement de piste avant du radiophare d'alignement de piste ILS qui va d'une distance de 18,5 km (10 NM) jusqu'au point de toucher des roues (voir la Note 2): dans ce secteur, les signaux doivent avoir une intensité de champ comprise entre 39 et 46 dB(</w:t>
      </w:r>
      <w:r w:rsidRPr="002D679B">
        <w:rPr>
          <w:rFonts w:ascii="Symbol" w:hAnsi="Symbol"/>
          <w:sz w:val="20"/>
        </w:rPr>
        <w:t></w:t>
      </w:r>
      <w:r w:rsidRPr="002D679B">
        <w:rPr>
          <w:sz w:val="20"/>
        </w:rPr>
        <w:t>V/m), selon la catégorie de performances de l'installation (I, II ou III) de l'ILS en cause (voir le § 3.1.3.3 de l'Appendice 1).</w:t>
      </w:r>
    </w:p>
    <w:p w:rsidR="002D679B" w:rsidRPr="002D679B" w:rsidRDefault="002D679B" w:rsidP="002D679B">
      <w:pPr>
        <w:tabs>
          <w:tab w:val="clear" w:pos="794"/>
          <w:tab w:val="clear" w:pos="1191"/>
          <w:tab w:val="clear" w:pos="1588"/>
          <w:tab w:val="clear" w:pos="1985"/>
        </w:tabs>
        <w:spacing w:before="80"/>
        <w:rPr>
          <w:sz w:val="20"/>
        </w:rPr>
      </w:pPr>
      <w:r w:rsidRPr="002D679B">
        <w:rPr>
          <w:sz w:val="20"/>
        </w:rPr>
        <w:t>NOTE 1 – La partie correspondante de l'Annexe 10 est reproduite dans l'Appendice 1.</w:t>
      </w:r>
    </w:p>
    <w:p w:rsidR="002D679B" w:rsidRPr="002D679B" w:rsidRDefault="002D679B" w:rsidP="002D679B">
      <w:pPr>
        <w:tabs>
          <w:tab w:val="clear" w:pos="794"/>
          <w:tab w:val="clear" w:pos="1191"/>
          <w:tab w:val="clear" w:pos="1588"/>
          <w:tab w:val="clear" w:pos="1985"/>
        </w:tabs>
        <w:spacing w:before="80"/>
        <w:rPr>
          <w:sz w:val="20"/>
        </w:rPr>
      </w:pPr>
      <w:r w:rsidRPr="002D679B">
        <w:rPr>
          <w:sz w:val="20"/>
        </w:rPr>
        <w:t>NOTE 2 – Voir les définitions dans l'Annexe 4.</w:t>
      </w:r>
    </w:p>
    <w:p w:rsidR="002D679B" w:rsidRPr="00202380" w:rsidRDefault="002D679B" w:rsidP="00202380">
      <w:pPr>
        <w:pStyle w:val="Heading4"/>
        <w:rPr>
          <w:sz w:val="20"/>
        </w:rPr>
      </w:pPr>
      <w:r w:rsidRPr="00202380">
        <w:rPr>
          <w:sz w:val="20"/>
        </w:rPr>
        <w:t>3.2.1.3</w:t>
      </w:r>
      <w:r w:rsidRPr="00202380">
        <w:rPr>
          <w:sz w:val="20"/>
        </w:rPr>
        <w:tab/>
        <w:t>Fréquences</w:t>
      </w:r>
    </w:p>
    <w:p w:rsidR="002D679B" w:rsidRPr="002D679B" w:rsidRDefault="002D679B" w:rsidP="002D679B">
      <w:pPr>
        <w:spacing w:before="136"/>
        <w:rPr>
          <w:sz w:val="20"/>
        </w:rPr>
      </w:pPr>
      <w:r w:rsidRPr="002D679B">
        <w:rPr>
          <w:sz w:val="20"/>
        </w:rPr>
        <w:t>Les fréquences du radiophare d'alignement de piste ILS sont dans la bande 108-112 MHz. Les 40 canaux disponibles se présentent comme suit: 108,10; 108,15; 108,30; 108,35 MHz, etc. jusqu'à 111,70; 111,75; 111,90 et 111,95 MHz.</w:t>
      </w:r>
    </w:p>
    <w:p w:rsidR="002D679B" w:rsidRPr="00202380" w:rsidRDefault="002D679B" w:rsidP="00202380">
      <w:pPr>
        <w:pStyle w:val="Heading4"/>
        <w:rPr>
          <w:sz w:val="20"/>
        </w:rPr>
      </w:pPr>
      <w:r w:rsidRPr="00202380">
        <w:rPr>
          <w:sz w:val="20"/>
        </w:rPr>
        <w:t>3.2.1.4</w:t>
      </w:r>
      <w:r w:rsidRPr="00202380">
        <w:rPr>
          <w:sz w:val="20"/>
        </w:rPr>
        <w:tab/>
        <w:t>Polarisation</w:t>
      </w:r>
    </w:p>
    <w:p w:rsidR="002D679B" w:rsidRPr="002D679B" w:rsidRDefault="002D679B" w:rsidP="002D679B">
      <w:pPr>
        <w:spacing w:before="136"/>
        <w:rPr>
          <w:sz w:val="20"/>
        </w:rPr>
      </w:pPr>
      <w:r w:rsidRPr="002D679B">
        <w:rPr>
          <w:sz w:val="20"/>
        </w:rPr>
        <w:t>Le signal du radiophare d'alignement de piste ILS est polarisé horizontalement.</w:t>
      </w:r>
    </w:p>
    <w:p w:rsidR="002D679B" w:rsidRPr="00202380" w:rsidRDefault="002D679B" w:rsidP="00202380">
      <w:pPr>
        <w:pStyle w:val="Heading3"/>
        <w:rPr>
          <w:sz w:val="20"/>
        </w:rPr>
      </w:pPr>
      <w:r w:rsidRPr="00202380">
        <w:rPr>
          <w:sz w:val="20"/>
        </w:rPr>
        <w:t>3.2.2</w:t>
      </w:r>
      <w:r w:rsidRPr="00202380">
        <w:rPr>
          <w:sz w:val="20"/>
        </w:rPr>
        <w:tab/>
        <w:t>Equipement VOR</w:t>
      </w:r>
    </w:p>
    <w:p w:rsidR="002D679B" w:rsidRPr="00202380" w:rsidRDefault="002D679B" w:rsidP="00202380">
      <w:pPr>
        <w:pStyle w:val="Heading4"/>
        <w:rPr>
          <w:sz w:val="20"/>
        </w:rPr>
      </w:pPr>
      <w:r w:rsidRPr="00202380">
        <w:rPr>
          <w:sz w:val="20"/>
        </w:rPr>
        <w:t>3.2.2.1</w:t>
      </w:r>
      <w:r w:rsidRPr="00202380">
        <w:rPr>
          <w:sz w:val="20"/>
        </w:rPr>
        <w:tab/>
        <w:t>Couverture opérationnelle spécifiée (COS)</w:t>
      </w:r>
    </w:p>
    <w:p w:rsidR="002D679B" w:rsidRPr="002D679B" w:rsidRDefault="002D679B" w:rsidP="002D679B">
      <w:pPr>
        <w:spacing w:before="136"/>
        <w:rPr>
          <w:sz w:val="20"/>
        </w:rPr>
      </w:pPr>
      <w:r w:rsidRPr="002D679B">
        <w:rPr>
          <w:sz w:val="20"/>
        </w:rPr>
        <w:t>La COS d'un équipement VOR peut varier d'une installation à l'autre; par exemple, un radiophare VOR d'aéroport peut avoir un rayon de 74 km (40 NM) et un radiophare VOR de croisière («en route») peut avoir un rayon de 370 km (200 NM). On trouvera de plus amples détails à ce sujet dans la Publication d'information aéronautique (AIP) (voir la définition dans l'Annexe 4) de chaque pays.</w:t>
      </w:r>
    </w:p>
    <w:p w:rsidR="002D679B" w:rsidRPr="00202380" w:rsidRDefault="002D679B" w:rsidP="00202380">
      <w:pPr>
        <w:pStyle w:val="Heading4"/>
        <w:rPr>
          <w:sz w:val="20"/>
        </w:rPr>
      </w:pPr>
      <w:r w:rsidRPr="00202380">
        <w:rPr>
          <w:sz w:val="20"/>
        </w:rPr>
        <w:t>3.2.2.2</w:t>
      </w:r>
      <w:r w:rsidRPr="00202380">
        <w:rPr>
          <w:sz w:val="20"/>
        </w:rPr>
        <w:tab/>
        <w:t>Intensité de champ</w:t>
      </w:r>
    </w:p>
    <w:p w:rsidR="002D679B" w:rsidRPr="002D679B" w:rsidRDefault="002D679B" w:rsidP="002D679B">
      <w:pPr>
        <w:spacing w:before="136"/>
        <w:rPr>
          <w:sz w:val="20"/>
        </w:rPr>
      </w:pPr>
      <w:r w:rsidRPr="002D679B">
        <w:rPr>
          <w:sz w:val="20"/>
        </w:rPr>
        <w:t>L'intensité de champ minimale à protéger dans toute la COD est de 39 dB(</w:t>
      </w:r>
      <w:r w:rsidRPr="002D679B">
        <w:rPr>
          <w:rFonts w:ascii="Symbol" w:hAnsi="Symbol"/>
          <w:sz w:val="20"/>
        </w:rPr>
        <w:t></w:t>
      </w:r>
      <w:r w:rsidRPr="002D679B">
        <w:rPr>
          <w:sz w:val="20"/>
        </w:rPr>
        <w:t>V/m) (90 </w:t>
      </w:r>
      <w:r w:rsidRPr="002D679B">
        <w:rPr>
          <w:rFonts w:ascii="Symbol" w:hAnsi="Symbol"/>
          <w:sz w:val="20"/>
        </w:rPr>
        <w:t></w:t>
      </w:r>
      <w:r w:rsidRPr="002D679B">
        <w:rPr>
          <w:sz w:val="20"/>
        </w:rPr>
        <w:t>V/m) (voir le § 3.3.4.2 de l'Appendice 1). Les valeurs nominales de la puissance apparente rayonnée (p.a.r.) permettant d'obtenir cette intensité, sont indiquées dans la Fig. 2.</w:t>
      </w:r>
    </w:p>
    <w:p w:rsidR="002D679B" w:rsidRPr="00202380" w:rsidRDefault="002D679B" w:rsidP="00202380">
      <w:pPr>
        <w:pStyle w:val="Heading4"/>
        <w:rPr>
          <w:sz w:val="20"/>
        </w:rPr>
      </w:pPr>
      <w:r w:rsidRPr="00202380">
        <w:rPr>
          <w:sz w:val="20"/>
        </w:rPr>
        <w:t>3.2.2.3</w:t>
      </w:r>
      <w:r w:rsidRPr="00202380">
        <w:rPr>
          <w:sz w:val="20"/>
        </w:rPr>
        <w:tab/>
        <w:t>Fréquences</w:t>
      </w:r>
    </w:p>
    <w:p w:rsidR="002D679B" w:rsidRPr="002D679B" w:rsidRDefault="002D679B" w:rsidP="002D679B">
      <w:pPr>
        <w:spacing w:before="136"/>
        <w:rPr>
          <w:sz w:val="20"/>
        </w:rPr>
      </w:pPr>
      <w:r w:rsidRPr="002D679B">
        <w:rPr>
          <w:sz w:val="20"/>
        </w:rPr>
        <w:t>Dans la bande 108-112 MHz, les fréquences d'émission VOR s'insèrent entre celles du radiophare d'alignement de piste ILS avec les valeurs suivantes: 108,05; 108,20; 108,25; 108,40; 108,45 MHz, etc. jusqu'à 111,60; 111,65; 111,80 et 111,85 MHz. Les fréquences VOR occupent ensuite des canaux espacés de 50 kHz dans la bande 112</w:t>
      </w:r>
      <w:r w:rsidRPr="002D679B">
        <w:rPr>
          <w:sz w:val="20"/>
        </w:rPr>
        <w:noBreakHyphen/>
        <w:t>118 MHz avec les valeurs suivantes: 112,00; 112,05; ...;117,95 MHz.</w:t>
      </w:r>
    </w:p>
    <w:p w:rsidR="002D679B" w:rsidRPr="00202380" w:rsidRDefault="002D679B" w:rsidP="00202380">
      <w:pPr>
        <w:pStyle w:val="Heading4"/>
        <w:rPr>
          <w:sz w:val="20"/>
        </w:rPr>
      </w:pPr>
      <w:r w:rsidRPr="00202380">
        <w:rPr>
          <w:sz w:val="20"/>
        </w:rPr>
        <w:t>3.2.2.4</w:t>
      </w:r>
      <w:r w:rsidRPr="00202380">
        <w:rPr>
          <w:sz w:val="20"/>
        </w:rPr>
        <w:tab/>
        <w:t>Polarisation</w:t>
      </w:r>
    </w:p>
    <w:p w:rsidR="002D679B" w:rsidRPr="002D679B" w:rsidRDefault="002D679B" w:rsidP="002D679B">
      <w:pPr>
        <w:spacing w:before="136"/>
        <w:rPr>
          <w:sz w:val="20"/>
        </w:rPr>
      </w:pPr>
      <w:r w:rsidRPr="002D679B">
        <w:rPr>
          <w:sz w:val="20"/>
        </w:rPr>
        <w:t>Le signal du VOR est polarisé horizontalement.</w:t>
      </w:r>
    </w:p>
    <w:p w:rsidR="002D679B" w:rsidRPr="00202380" w:rsidRDefault="002D679B" w:rsidP="00202380">
      <w:pPr>
        <w:pStyle w:val="Heading3"/>
        <w:rPr>
          <w:sz w:val="20"/>
        </w:rPr>
      </w:pPr>
      <w:r w:rsidRPr="00202380">
        <w:rPr>
          <w:sz w:val="20"/>
        </w:rPr>
        <w:t>3.2.3</w:t>
      </w:r>
      <w:r w:rsidRPr="00202380">
        <w:rPr>
          <w:sz w:val="20"/>
        </w:rPr>
        <w:tab/>
        <w:t>COM</w:t>
      </w:r>
    </w:p>
    <w:p w:rsidR="002D679B" w:rsidRPr="00202380" w:rsidRDefault="002D679B" w:rsidP="00202380">
      <w:pPr>
        <w:pStyle w:val="Heading4"/>
        <w:rPr>
          <w:sz w:val="20"/>
        </w:rPr>
      </w:pPr>
      <w:r w:rsidRPr="00202380">
        <w:rPr>
          <w:sz w:val="20"/>
        </w:rPr>
        <w:t>3.2.3.1</w:t>
      </w:r>
      <w:r w:rsidRPr="00202380">
        <w:rPr>
          <w:sz w:val="20"/>
        </w:rPr>
        <w:tab/>
        <w:t>Couverture opérationnelle spécifiée (COS)</w:t>
      </w:r>
    </w:p>
    <w:p w:rsidR="002D679B" w:rsidRPr="002D679B" w:rsidRDefault="002D679B" w:rsidP="002D679B">
      <w:pPr>
        <w:spacing w:before="136"/>
        <w:rPr>
          <w:sz w:val="20"/>
        </w:rPr>
      </w:pPr>
      <w:r w:rsidRPr="002D679B">
        <w:rPr>
          <w:sz w:val="20"/>
        </w:rPr>
        <w:t>La COS d'une installation de communication (COM) peut varier d'une installation à l'autre (d'un rayon de 9,3 km (5 NM) à un rayon de 370 km (200 NM)). On pourra obtenir des détails plus précis auprès de chaque Etat fournisseur (voir la définition dans l'Annexe 4).</w:t>
      </w:r>
    </w:p>
    <w:p w:rsidR="002D679B" w:rsidRPr="00202380" w:rsidRDefault="002D679B" w:rsidP="00202380">
      <w:pPr>
        <w:pStyle w:val="Heading4"/>
        <w:rPr>
          <w:sz w:val="20"/>
        </w:rPr>
      </w:pPr>
      <w:r w:rsidRPr="00202380">
        <w:rPr>
          <w:sz w:val="20"/>
        </w:rPr>
        <w:t>3.2.3.2</w:t>
      </w:r>
      <w:r w:rsidRPr="00202380">
        <w:rPr>
          <w:sz w:val="20"/>
        </w:rPr>
        <w:tab/>
        <w:t>Intensité de champ</w:t>
      </w:r>
    </w:p>
    <w:p w:rsidR="002D679B" w:rsidRPr="002D679B" w:rsidRDefault="002D679B" w:rsidP="002D679B">
      <w:pPr>
        <w:spacing w:before="136"/>
        <w:rPr>
          <w:sz w:val="20"/>
        </w:rPr>
      </w:pPr>
      <w:r w:rsidRPr="002D679B">
        <w:rPr>
          <w:sz w:val="20"/>
        </w:rPr>
        <w:t>L'Annexe 10 de l'OACI ne spécifie pas de valeur minimale pour l'intensité de champ d'un émetteur COM au sol mais, au § 4.6.1.2 de la Partie I, il est recommandé que, dans un fort pourcentage des cas, la p.a.r. soit suffisante pour fournir une intensité de champ d'au moins 38 dB(</w:t>
      </w:r>
      <w:r w:rsidRPr="002D679B">
        <w:rPr>
          <w:rFonts w:ascii="Symbol" w:hAnsi="Symbol"/>
          <w:sz w:val="20"/>
          <w:lang w:val="en-GB"/>
        </w:rPr>
        <w:t></w:t>
      </w:r>
      <w:r w:rsidRPr="002D679B">
        <w:rPr>
          <w:sz w:val="20"/>
        </w:rPr>
        <w:t>V/m) (75 </w:t>
      </w:r>
      <w:r w:rsidRPr="002D679B">
        <w:rPr>
          <w:rFonts w:ascii="Symbol" w:hAnsi="Symbol"/>
          <w:sz w:val="20"/>
          <w:lang w:val="en-GB"/>
        </w:rPr>
        <w:t></w:t>
      </w:r>
      <w:r w:rsidRPr="002D679B">
        <w:rPr>
          <w:sz w:val="20"/>
        </w:rPr>
        <w:t>V/m) dans la COS de l'installation.</w:t>
      </w:r>
    </w:p>
    <w:p w:rsidR="002D679B" w:rsidRPr="00202380" w:rsidRDefault="002D679B" w:rsidP="00202380">
      <w:pPr>
        <w:pStyle w:val="Heading4"/>
        <w:rPr>
          <w:sz w:val="20"/>
        </w:rPr>
      </w:pPr>
      <w:r w:rsidRPr="00202380">
        <w:rPr>
          <w:sz w:val="20"/>
        </w:rPr>
        <w:t>3.2.3.3</w:t>
      </w:r>
      <w:r w:rsidRPr="00202380">
        <w:rPr>
          <w:sz w:val="20"/>
        </w:rPr>
        <w:tab/>
        <w:t>Fréquences</w:t>
      </w:r>
    </w:p>
    <w:p w:rsidR="002D679B" w:rsidRPr="002D679B" w:rsidRDefault="002D679B" w:rsidP="002D679B">
      <w:pPr>
        <w:spacing w:before="136"/>
        <w:rPr>
          <w:sz w:val="20"/>
        </w:rPr>
      </w:pPr>
      <w:r w:rsidRPr="002D679B">
        <w:rPr>
          <w:sz w:val="20"/>
        </w:rPr>
        <w:t>Les fréquences COM occupent des canaux espacés de 25 kHz dans la bande 118-137 MHz avec les valeurs suivantes: 118,000; 118,025; ...; 136,975 MHz.</w:t>
      </w:r>
    </w:p>
    <w:p w:rsidR="002D679B" w:rsidRPr="002D679B" w:rsidRDefault="002D679B" w:rsidP="002D679B">
      <w:pPr>
        <w:spacing w:before="136"/>
        <w:jc w:val="center"/>
        <w:rPr>
          <w:sz w:val="20"/>
          <w:lang w:val="en-US"/>
        </w:rPr>
      </w:pPr>
      <w:r>
        <w:rPr>
          <w:noProof/>
          <w:sz w:val="20"/>
          <w:lang w:val="fr-CH" w:eastAsia="fr-CH"/>
        </w:rPr>
        <w:drawing>
          <wp:inline distT="0" distB="0" distL="0" distR="0" wp14:anchorId="63234994" wp14:editId="5BCAA6AE">
            <wp:extent cx="4286885" cy="51123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86885" cy="5112385"/>
                    </a:xfrm>
                    <a:prstGeom prst="rect">
                      <a:avLst/>
                    </a:prstGeom>
                    <a:noFill/>
                    <a:ln>
                      <a:noFill/>
                    </a:ln>
                  </pic:spPr>
                </pic:pic>
              </a:graphicData>
            </a:graphic>
          </wp:inline>
        </w:drawing>
      </w:r>
    </w:p>
    <w:p w:rsidR="002D679B" w:rsidRPr="002D679B" w:rsidRDefault="002D679B" w:rsidP="002D679B">
      <w:pPr>
        <w:spacing w:before="136"/>
        <w:jc w:val="left"/>
        <w:rPr>
          <w:color w:val="FFFFFF"/>
          <w:sz w:val="20"/>
        </w:rPr>
      </w:pPr>
      <w:r w:rsidRPr="002D679B">
        <w:rPr>
          <w:color w:val="FFFFFF"/>
          <w:sz w:val="20"/>
        </w:rPr>
        <w:t>FIGURE 2/1009...</w:t>
      </w:r>
      <w:r w:rsidRPr="002D679B">
        <w:rPr>
          <w:b/>
          <w:color w:val="FFFFFF"/>
          <w:sz w:val="20"/>
        </w:rPr>
        <w:t>[D02]</w:t>
      </w:r>
      <w:r w:rsidRPr="002D679B">
        <w:rPr>
          <w:color w:val="FFFFFF"/>
          <w:sz w:val="20"/>
        </w:rPr>
        <w:t xml:space="preserve">  = 14  CM </w:t>
      </w:r>
    </w:p>
    <w:p w:rsidR="002D679B" w:rsidRPr="00202380" w:rsidRDefault="002D679B" w:rsidP="00202380">
      <w:pPr>
        <w:pStyle w:val="Heading4"/>
        <w:rPr>
          <w:sz w:val="20"/>
        </w:rPr>
      </w:pPr>
      <w:r w:rsidRPr="00202380">
        <w:rPr>
          <w:sz w:val="20"/>
        </w:rPr>
        <w:t>3.2.3.4</w:t>
      </w:r>
      <w:r w:rsidRPr="00202380">
        <w:rPr>
          <w:sz w:val="20"/>
        </w:rPr>
        <w:tab/>
        <w:t>Polarisation</w:t>
      </w:r>
    </w:p>
    <w:p w:rsidR="002D679B" w:rsidRPr="002D679B" w:rsidRDefault="002D679B" w:rsidP="002D679B">
      <w:pPr>
        <w:spacing w:before="136"/>
        <w:rPr>
          <w:sz w:val="20"/>
        </w:rPr>
      </w:pPr>
      <w:r w:rsidRPr="002D679B">
        <w:rPr>
          <w:sz w:val="20"/>
        </w:rPr>
        <w:t>Le signal COM est polarisé verticalement.</w:t>
      </w:r>
    </w:p>
    <w:p w:rsidR="002D679B" w:rsidRPr="00202380" w:rsidRDefault="002D679B" w:rsidP="00202380">
      <w:pPr>
        <w:pStyle w:val="Heading2"/>
        <w:rPr>
          <w:sz w:val="22"/>
          <w:szCs w:val="22"/>
        </w:rPr>
      </w:pPr>
      <w:bookmarkStart w:id="20" w:name="_Toc289761185"/>
      <w:r w:rsidRPr="00202380">
        <w:rPr>
          <w:sz w:val="22"/>
          <w:szCs w:val="22"/>
        </w:rPr>
        <w:t>3.3</w:t>
      </w:r>
      <w:r w:rsidRPr="00202380">
        <w:rPr>
          <w:sz w:val="22"/>
          <w:szCs w:val="22"/>
        </w:rPr>
        <w:tab/>
        <w:t>Caractéristiques des stations de radiodiffusion en MF</w:t>
      </w:r>
      <w:bookmarkEnd w:id="20"/>
    </w:p>
    <w:p w:rsidR="002D679B" w:rsidRPr="00202380" w:rsidRDefault="002D679B" w:rsidP="00202380">
      <w:pPr>
        <w:pStyle w:val="Heading3"/>
        <w:rPr>
          <w:sz w:val="20"/>
        </w:rPr>
      </w:pPr>
      <w:r w:rsidRPr="00202380">
        <w:rPr>
          <w:sz w:val="20"/>
        </w:rPr>
        <w:t>3.3.1</w:t>
      </w:r>
      <w:r w:rsidRPr="00202380">
        <w:rPr>
          <w:sz w:val="20"/>
        </w:rPr>
        <w:tab/>
        <w:t>Puissance apparente rayonnée maximale</w:t>
      </w:r>
    </w:p>
    <w:p w:rsidR="002D679B" w:rsidRPr="002D679B" w:rsidRDefault="002D679B" w:rsidP="002D679B">
      <w:pPr>
        <w:spacing w:before="136"/>
        <w:rPr>
          <w:sz w:val="20"/>
        </w:rPr>
      </w:pPr>
      <w:r w:rsidRPr="002D679B">
        <w:rPr>
          <w:sz w:val="20"/>
        </w:rPr>
        <w:t xml:space="preserve">Il convient d'utiliser la valeur la plus exacte possible de p.a.r. maximale pour calculer la compatibilité. </w:t>
      </w:r>
    </w:p>
    <w:p w:rsidR="002D679B" w:rsidRPr="00202380" w:rsidRDefault="002D679B" w:rsidP="00202380">
      <w:pPr>
        <w:pStyle w:val="Heading3"/>
        <w:rPr>
          <w:sz w:val="20"/>
        </w:rPr>
      </w:pPr>
      <w:r w:rsidRPr="00202380">
        <w:rPr>
          <w:sz w:val="20"/>
        </w:rPr>
        <w:t>3.3.2</w:t>
      </w:r>
      <w:r w:rsidRPr="00202380">
        <w:rPr>
          <w:sz w:val="20"/>
        </w:rPr>
        <w:tab/>
        <w:t>Diagramme de rayonnement dans le plan horizontal</w:t>
      </w:r>
    </w:p>
    <w:p w:rsidR="002D679B" w:rsidRPr="002D679B" w:rsidRDefault="002D679B" w:rsidP="002D679B">
      <w:pPr>
        <w:spacing w:before="136"/>
        <w:rPr>
          <w:sz w:val="20"/>
        </w:rPr>
      </w:pPr>
      <w:r w:rsidRPr="002D679B">
        <w:rPr>
          <w:sz w:val="20"/>
        </w:rPr>
        <w:t>Il convient d'utiliser les informations les plus exactes possibles pour le diagramme de rayonnement dans le plan horizontal (DRH) pour calculer la compatibilité.</w:t>
      </w:r>
    </w:p>
    <w:p w:rsidR="002D679B" w:rsidRPr="00202380" w:rsidRDefault="002D679B" w:rsidP="00202380">
      <w:pPr>
        <w:pStyle w:val="Heading3"/>
        <w:rPr>
          <w:sz w:val="20"/>
        </w:rPr>
      </w:pPr>
      <w:r w:rsidRPr="00202380">
        <w:rPr>
          <w:sz w:val="20"/>
        </w:rPr>
        <w:t>3.3.3</w:t>
      </w:r>
      <w:r w:rsidRPr="00202380">
        <w:rPr>
          <w:sz w:val="20"/>
        </w:rPr>
        <w:tab/>
        <w:t>Diagramme de rayonnement dans le plan vertical</w:t>
      </w:r>
    </w:p>
    <w:p w:rsidR="002D679B" w:rsidRPr="002D679B" w:rsidRDefault="002D679B" w:rsidP="002D679B">
      <w:pPr>
        <w:spacing w:before="136"/>
        <w:rPr>
          <w:sz w:val="20"/>
        </w:rPr>
      </w:pPr>
      <w:r w:rsidRPr="002D679B">
        <w:rPr>
          <w:sz w:val="20"/>
        </w:rPr>
        <w:t>Il convient d'utiliser les informations les plus exactes possibles pour le diagramme de rayonnement dans le plan vertical (DRV) pour calculer la compatibilité.</w:t>
      </w:r>
    </w:p>
    <w:p w:rsidR="002D679B" w:rsidRPr="00202380" w:rsidRDefault="002D679B" w:rsidP="00202380">
      <w:pPr>
        <w:pStyle w:val="Heading3"/>
        <w:rPr>
          <w:sz w:val="20"/>
        </w:rPr>
      </w:pPr>
      <w:r w:rsidRPr="00202380">
        <w:rPr>
          <w:sz w:val="20"/>
        </w:rPr>
        <w:t>3.3.4</w:t>
      </w:r>
      <w:r w:rsidRPr="00202380">
        <w:rPr>
          <w:sz w:val="20"/>
        </w:rPr>
        <w:tab/>
        <w:t>Affaiblissement du rayonnement non essentiel</w:t>
      </w:r>
    </w:p>
    <w:p w:rsidR="002D679B" w:rsidRPr="002D679B" w:rsidRDefault="002D679B" w:rsidP="002D679B">
      <w:pPr>
        <w:spacing w:before="136"/>
        <w:rPr>
          <w:sz w:val="20"/>
        </w:rPr>
      </w:pPr>
      <w:r w:rsidRPr="002D679B">
        <w:rPr>
          <w:sz w:val="20"/>
        </w:rPr>
        <w:t>L'expérience en Amérique du Nord montre qu'il n'a, en général, pas été nécessaire d'imposer un affaiblissement supérieur à 80 dB du rayonnement non essentiel. Compte tenu des circonstances spéciales qui règnent dans la Région 1 et dans certaines zones de la Région 3, on recommande les valeurs indiquées dans le Tableau 1 pour l'affaiblissement du rayon</w:t>
      </w:r>
      <w:r w:rsidRPr="002D679B">
        <w:rPr>
          <w:sz w:val="20"/>
        </w:rPr>
        <w:softHyphen/>
        <w:t>nement non essentiel dans la bande 108-137 MHz réservée aux services aéronautiques, en présence de produits d'inter</w:t>
      </w:r>
      <w:r w:rsidRPr="002D679B">
        <w:rPr>
          <w:sz w:val="20"/>
        </w:rPr>
        <w:softHyphen/>
        <w:t>modulation rayonnés par des émetteurs de radiodiffusion copositionnés.</w:t>
      </w:r>
    </w:p>
    <w:p w:rsidR="002D679B" w:rsidRPr="002D679B" w:rsidRDefault="002D679B" w:rsidP="002D679B">
      <w:pPr>
        <w:keepNext/>
        <w:tabs>
          <w:tab w:val="clear" w:pos="794"/>
          <w:tab w:val="clear" w:pos="1191"/>
          <w:tab w:val="clear" w:pos="1588"/>
          <w:tab w:val="clear" w:pos="1985"/>
        </w:tabs>
        <w:spacing w:before="567" w:after="113"/>
        <w:jc w:val="center"/>
        <w:rPr>
          <w:sz w:val="18"/>
        </w:rPr>
      </w:pPr>
      <w:r w:rsidRPr="002D679B">
        <w:rPr>
          <w:sz w:val="18"/>
        </w:rPr>
        <w:t>TABLEAU  1</w:t>
      </w:r>
    </w:p>
    <w:p w:rsidR="002D679B" w:rsidRPr="002D679B" w:rsidRDefault="002D679B" w:rsidP="002D679B">
      <w:pPr>
        <w:keepNext/>
        <w:keepLines/>
        <w:tabs>
          <w:tab w:val="clear" w:pos="794"/>
          <w:tab w:val="clear" w:pos="1191"/>
          <w:tab w:val="clear" w:pos="1588"/>
          <w:tab w:val="clear" w:pos="1985"/>
        </w:tabs>
        <w:spacing w:before="0"/>
        <w:rPr>
          <w:sz w:val="16"/>
        </w:rPr>
      </w:pPr>
    </w:p>
    <w:tbl>
      <w:tblPr>
        <w:tblW w:w="0" w:type="auto"/>
        <w:jc w:val="center"/>
        <w:tblLayout w:type="fixed"/>
        <w:tblCellMar>
          <w:left w:w="0" w:type="dxa"/>
          <w:right w:w="0" w:type="dxa"/>
        </w:tblCellMar>
        <w:tblLook w:val="0000" w:firstRow="0" w:lastRow="0" w:firstColumn="0" w:lastColumn="0" w:noHBand="0" w:noVBand="0"/>
      </w:tblPr>
      <w:tblGrid>
        <w:gridCol w:w="2098"/>
        <w:gridCol w:w="4411"/>
      </w:tblGrid>
      <w:tr w:rsidR="002D679B" w:rsidRPr="002D679B" w:rsidTr="002D679B">
        <w:trPr>
          <w:cantSplit/>
          <w:jc w:val="center"/>
        </w:trPr>
        <w:tc>
          <w:tcPr>
            <w:tcW w:w="209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100" w:after="100" w:line="190" w:lineRule="exact"/>
              <w:jc w:val="center"/>
              <w:rPr>
                <w:sz w:val="18"/>
              </w:rPr>
            </w:pPr>
            <w:r w:rsidRPr="002D679B">
              <w:rPr>
                <w:sz w:val="18"/>
              </w:rPr>
              <w:t xml:space="preserve">p.a.r. maximale </w:t>
            </w:r>
            <w:r w:rsidRPr="002D679B">
              <w:rPr>
                <w:sz w:val="18"/>
              </w:rPr>
              <w:br/>
              <w:t>(dBW)</w:t>
            </w:r>
          </w:p>
        </w:tc>
        <w:tc>
          <w:tcPr>
            <w:tcW w:w="4411"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100" w:after="100" w:line="190" w:lineRule="exact"/>
              <w:jc w:val="center"/>
              <w:rPr>
                <w:sz w:val="18"/>
              </w:rPr>
            </w:pPr>
            <w:r w:rsidRPr="002D679B">
              <w:rPr>
                <w:sz w:val="18"/>
              </w:rPr>
              <w:t>Affaiblissement par rapport à la p.a.r. maximale</w:t>
            </w:r>
            <w:r w:rsidRPr="002D679B">
              <w:rPr>
                <w:sz w:val="18"/>
              </w:rPr>
              <w:br/>
              <w:t>(dB)</w:t>
            </w:r>
          </w:p>
        </w:tc>
      </w:tr>
      <w:tr w:rsidR="002D679B" w:rsidRPr="002D679B" w:rsidTr="002D679B">
        <w:trPr>
          <w:cantSplit/>
          <w:jc w:val="center"/>
        </w:trPr>
        <w:tc>
          <w:tcPr>
            <w:tcW w:w="2098" w:type="dxa"/>
            <w:tcBorders>
              <w:top w:val="single" w:sz="6" w:space="0" w:color="auto"/>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100" w:after="100" w:line="190" w:lineRule="exact"/>
              <w:ind w:right="851"/>
              <w:jc w:val="right"/>
              <w:rPr>
                <w:sz w:val="18"/>
              </w:rPr>
            </w:pPr>
            <w:r w:rsidRPr="002D679B">
              <w:rPr>
                <w:rFonts w:ascii="Symbol" w:hAnsi="Symbol"/>
                <w:sz w:val="18"/>
                <w:lang w:val="en-GB"/>
              </w:rPr>
              <w:t></w:t>
            </w:r>
            <w:r w:rsidRPr="002D679B">
              <w:rPr>
                <w:sz w:val="18"/>
              </w:rPr>
              <w:t xml:space="preserve">  48</w:t>
            </w:r>
          </w:p>
        </w:tc>
        <w:tc>
          <w:tcPr>
            <w:tcW w:w="4411" w:type="dxa"/>
            <w:tcBorders>
              <w:top w:val="single" w:sz="6" w:space="0" w:color="auto"/>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100" w:after="100" w:line="190" w:lineRule="exact"/>
              <w:jc w:val="center"/>
              <w:rPr>
                <w:sz w:val="18"/>
              </w:rPr>
            </w:pPr>
            <w:r w:rsidRPr="002D679B">
              <w:rPr>
                <w:sz w:val="18"/>
              </w:rPr>
              <w:t>85</w:t>
            </w:r>
          </w:p>
        </w:tc>
      </w:tr>
      <w:tr w:rsidR="002D679B" w:rsidRPr="002D679B" w:rsidTr="002D679B">
        <w:trPr>
          <w:cantSplit/>
          <w:jc w:val="center"/>
        </w:trPr>
        <w:tc>
          <w:tcPr>
            <w:tcW w:w="2098"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uppressLineNumbers/>
              <w:spacing w:before="100" w:after="100" w:line="190" w:lineRule="exact"/>
              <w:ind w:right="851"/>
              <w:jc w:val="right"/>
              <w:rPr>
                <w:sz w:val="18"/>
              </w:rPr>
            </w:pPr>
            <w:r w:rsidRPr="002D679B">
              <w:rPr>
                <w:sz w:val="18"/>
              </w:rPr>
              <w:t>30</w:t>
            </w:r>
          </w:p>
        </w:tc>
        <w:tc>
          <w:tcPr>
            <w:tcW w:w="4411"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100" w:after="100" w:line="190" w:lineRule="exact"/>
              <w:jc w:val="center"/>
              <w:rPr>
                <w:sz w:val="18"/>
              </w:rPr>
            </w:pPr>
            <w:r w:rsidRPr="002D679B">
              <w:rPr>
                <w:sz w:val="18"/>
              </w:rPr>
              <w:t>76</w:t>
            </w:r>
          </w:p>
        </w:tc>
      </w:tr>
      <w:tr w:rsidR="002D679B" w:rsidRPr="002D679B" w:rsidTr="002D679B">
        <w:trPr>
          <w:cantSplit/>
          <w:jc w:val="center"/>
        </w:trPr>
        <w:tc>
          <w:tcPr>
            <w:tcW w:w="2098"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100" w:after="100" w:line="190" w:lineRule="exact"/>
              <w:ind w:right="851"/>
              <w:jc w:val="right"/>
              <w:rPr>
                <w:sz w:val="18"/>
              </w:rPr>
            </w:pPr>
            <w:r w:rsidRPr="002D679B">
              <w:rPr>
                <w:rFonts w:ascii="Symbol" w:hAnsi="Symbol"/>
                <w:sz w:val="18"/>
                <w:lang w:val="en-GB"/>
              </w:rPr>
              <w:t></w:t>
            </w:r>
            <w:r w:rsidRPr="002D679B">
              <w:rPr>
                <w:sz w:val="18"/>
              </w:rPr>
              <w:t xml:space="preserve">  30</w:t>
            </w:r>
          </w:p>
        </w:tc>
        <w:tc>
          <w:tcPr>
            <w:tcW w:w="4411"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100" w:after="100" w:line="190" w:lineRule="exact"/>
              <w:jc w:val="center"/>
              <w:rPr>
                <w:sz w:val="18"/>
              </w:rPr>
            </w:pPr>
            <w:r w:rsidRPr="002D679B">
              <w:rPr>
                <w:sz w:val="18"/>
              </w:rPr>
              <w:t xml:space="preserve">46  </w:t>
            </w:r>
            <w:r w:rsidRPr="002D679B">
              <w:rPr>
                <w:rFonts w:ascii="Symbol" w:hAnsi="Symbol"/>
                <w:sz w:val="18"/>
                <w:lang w:val="en-GB"/>
              </w:rPr>
              <w:t></w:t>
            </w:r>
            <w:r w:rsidRPr="002D679B">
              <w:rPr>
                <w:sz w:val="18"/>
              </w:rPr>
              <w:t xml:space="preserve">  p.a.r. maximale (dBW)</w:t>
            </w:r>
          </w:p>
        </w:tc>
      </w:tr>
      <w:tr w:rsidR="002D679B" w:rsidRPr="002D679B" w:rsidTr="002D679B">
        <w:trPr>
          <w:cantSplit/>
          <w:jc w:val="center"/>
        </w:trPr>
        <w:tc>
          <w:tcPr>
            <w:tcW w:w="6509" w:type="dxa"/>
            <w:gridSpan w:val="2"/>
            <w:tcBorders>
              <w:top w:val="single" w:sz="6" w:space="0" w:color="auto"/>
            </w:tcBorders>
          </w:tcPr>
          <w:p w:rsidR="002D679B" w:rsidRPr="002D679B" w:rsidRDefault="002D679B" w:rsidP="002D679B">
            <w:pPr>
              <w:keepNext/>
              <w:framePr w:hSpace="181" w:wrap="notBeside" w:vAnchor="text" w:hAnchor="page" w:xAlign="center" w:y="1"/>
              <w:spacing w:before="86" w:line="199" w:lineRule="exact"/>
              <w:ind w:left="57" w:right="57"/>
              <w:rPr>
                <w:sz w:val="18"/>
              </w:rPr>
            </w:pPr>
            <w:r w:rsidRPr="002D679B">
              <w:rPr>
                <w:sz w:val="18"/>
              </w:rPr>
              <w:t>NOTE 1 – Pour les valeurs maximales de p.a.r. comprises entre 30 dBW et 48 dBW, on effectuera une interpolation linéaire.</w:t>
            </w:r>
          </w:p>
        </w:tc>
      </w:tr>
    </w:tbl>
    <w:p w:rsidR="002D679B" w:rsidRPr="002D679B" w:rsidRDefault="002D679B" w:rsidP="002D679B">
      <w:pPr>
        <w:spacing w:before="0"/>
        <w:rPr>
          <w:sz w:val="20"/>
        </w:rPr>
      </w:pPr>
    </w:p>
    <w:p w:rsidR="002D679B" w:rsidRPr="00202380" w:rsidRDefault="002D679B" w:rsidP="00202380">
      <w:pPr>
        <w:pStyle w:val="Heading3"/>
        <w:rPr>
          <w:sz w:val="20"/>
        </w:rPr>
      </w:pPr>
      <w:r w:rsidRPr="00202380">
        <w:rPr>
          <w:sz w:val="20"/>
        </w:rPr>
        <w:t>3.3.5</w:t>
      </w:r>
      <w:r w:rsidRPr="00202380">
        <w:rPr>
          <w:sz w:val="20"/>
        </w:rPr>
        <w:tab/>
        <w:t>Fréquences</w:t>
      </w:r>
    </w:p>
    <w:p w:rsidR="002D679B" w:rsidRPr="002D679B" w:rsidRDefault="002D679B" w:rsidP="002D679B">
      <w:pPr>
        <w:spacing w:before="136"/>
        <w:rPr>
          <w:sz w:val="20"/>
        </w:rPr>
      </w:pPr>
      <w:r w:rsidRPr="002D679B">
        <w:rPr>
          <w:sz w:val="20"/>
        </w:rPr>
        <w:t>Les bandes de fréquences en exploitation sont indiquées dans le Règlement des radiocommunications. Dans la Région 1 et dans certaines parties de la Région 3, la bande va de 87,5 MHz à 108 MHz, avec un espacement des canaux de 100 kHz (87,6; 87,7; ...; 107,9 MHz). Dans la Région 2, la bande va de 88 à 108 MHz, avec un espacement des canaux de 200 kHz (88,1; 88,3; ...; 107,9 MHz).</w:t>
      </w:r>
    </w:p>
    <w:p w:rsidR="002D679B" w:rsidRPr="00202380" w:rsidRDefault="002D679B" w:rsidP="00202380">
      <w:pPr>
        <w:pStyle w:val="Heading3"/>
        <w:rPr>
          <w:sz w:val="20"/>
        </w:rPr>
      </w:pPr>
      <w:r w:rsidRPr="00202380">
        <w:rPr>
          <w:sz w:val="20"/>
        </w:rPr>
        <w:t>3.3.6</w:t>
      </w:r>
      <w:r w:rsidRPr="00202380">
        <w:rPr>
          <w:sz w:val="20"/>
        </w:rPr>
        <w:tab/>
        <w:t>Polarisation</w:t>
      </w:r>
    </w:p>
    <w:p w:rsidR="002D679B" w:rsidRPr="002D679B" w:rsidRDefault="002D679B" w:rsidP="002D679B">
      <w:pPr>
        <w:spacing w:before="136"/>
        <w:rPr>
          <w:sz w:val="20"/>
        </w:rPr>
      </w:pPr>
      <w:r w:rsidRPr="002D679B">
        <w:rPr>
          <w:sz w:val="20"/>
        </w:rPr>
        <w:t>La polarisation d'un signal modulé en fréquence peut être horizontale, verticale ou mixte.</w:t>
      </w:r>
    </w:p>
    <w:p w:rsidR="002D679B" w:rsidRPr="00202380" w:rsidRDefault="002D679B" w:rsidP="00202380">
      <w:pPr>
        <w:pStyle w:val="Heading3"/>
        <w:rPr>
          <w:sz w:val="20"/>
        </w:rPr>
      </w:pPr>
      <w:r w:rsidRPr="00202380">
        <w:rPr>
          <w:sz w:val="20"/>
        </w:rPr>
        <w:t>3.3.7</w:t>
      </w:r>
      <w:r w:rsidRPr="00202380">
        <w:rPr>
          <w:sz w:val="20"/>
        </w:rPr>
        <w:tab/>
        <w:t>Calcul de l'intensité de champ des signaux de radiodiffusion en espace libre</w:t>
      </w:r>
    </w:p>
    <w:p w:rsidR="002D679B" w:rsidRPr="002D679B" w:rsidRDefault="002D679B" w:rsidP="002D679B">
      <w:pPr>
        <w:spacing w:before="136"/>
        <w:rPr>
          <w:sz w:val="20"/>
        </w:rPr>
      </w:pPr>
      <w:r w:rsidRPr="002D679B">
        <w:rPr>
          <w:sz w:val="20"/>
        </w:rPr>
        <w:t>Le champ en espace libre doit être calculé selon la formule suivante:</w:t>
      </w:r>
    </w:p>
    <w:p w:rsidR="002D679B" w:rsidRP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i/>
          <w:sz w:val="22"/>
        </w:rPr>
        <w:t>E</w:t>
      </w:r>
      <w:r w:rsidRPr="002D679B">
        <w:rPr>
          <w:sz w:val="22"/>
        </w:rPr>
        <w:t xml:space="preserve">  </w:t>
      </w:r>
      <w:r w:rsidRPr="002D679B">
        <w:rPr>
          <w:rFonts w:ascii="Symbol" w:hAnsi="Symbol"/>
          <w:sz w:val="22"/>
          <w:lang w:val="en-GB"/>
        </w:rPr>
        <w:t></w:t>
      </w:r>
      <w:r w:rsidRPr="002D679B">
        <w:rPr>
          <w:sz w:val="22"/>
        </w:rPr>
        <w:t xml:space="preserve">  76,9  </w:t>
      </w:r>
      <w:r w:rsidRPr="002D679B">
        <w:rPr>
          <w:rFonts w:ascii="Symbol" w:hAnsi="Symbol"/>
          <w:sz w:val="22"/>
          <w:lang w:val="en-GB"/>
        </w:rPr>
        <w:t></w:t>
      </w:r>
      <w:r w:rsidRPr="002D679B">
        <w:rPr>
          <w:sz w:val="22"/>
        </w:rPr>
        <w:t xml:space="preserve">  </w:t>
      </w:r>
      <w:r w:rsidRPr="002D679B">
        <w:rPr>
          <w:i/>
          <w:sz w:val="22"/>
        </w:rPr>
        <w:t>P</w:t>
      </w:r>
      <w:r w:rsidRPr="002D679B">
        <w:rPr>
          <w:sz w:val="22"/>
        </w:rPr>
        <w:t xml:space="preserve">  –  20 log </w:t>
      </w:r>
      <w:r w:rsidRPr="002D679B">
        <w:rPr>
          <w:i/>
          <w:sz w:val="22"/>
        </w:rPr>
        <w:t>d</w:t>
      </w:r>
      <w:r w:rsidRPr="002D679B">
        <w:rPr>
          <w:sz w:val="22"/>
        </w:rPr>
        <w:t xml:space="preserve">  </w:t>
      </w:r>
      <w:r w:rsidRPr="002D679B">
        <w:rPr>
          <w:rFonts w:ascii="Symbol" w:hAnsi="Symbol"/>
          <w:sz w:val="22"/>
          <w:lang w:val="en-GB"/>
        </w:rPr>
        <w:t></w:t>
      </w:r>
      <w:r w:rsidRPr="002D679B">
        <w:rPr>
          <w:sz w:val="22"/>
        </w:rPr>
        <w:t xml:space="preserve">  </w:t>
      </w:r>
      <w:r w:rsidRPr="002D679B">
        <w:rPr>
          <w:i/>
          <w:sz w:val="22"/>
        </w:rPr>
        <w:t>H</w:t>
      </w:r>
      <w:r w:rsidRPr="002D679B">
        <w:rPr>
          <w:sz w:val="22"/>
        </w:rPr>
        <w:t xml:space="preserve">  </w:t>
      </w:r>
      <w:r w:rsidRPr="002D679B">
        <w:rPr>
          <w:rFonts w:ascii="Symbol" w:hAnsi="Symbol"/>
          <w:sz w:val="22"/>
          <w:lang w:val="en-GB"/>
        </w:rPr>
        <w:t></w:t>
      </w:r>
      <w:r w:rsidRPr="002D679B">
        <w:rPr>
          <w:sz w:val="22"/>
        </w:rPr>
        <w:t xml:space="preserve">  </w:t>
      </w:r>
      <w:r w:rsidRPr="002D679B">
        <w:rPr>
          <w:i/>
          <w:sz w:val="22"/>
        </w:rPr>
        <w:t>V</w:t>
      </w:r>
      <w:r w:rsidRPr="002D679B">
        <w:rPr>
          <w:sz w:val="22"/>
        </w:rPr>
        <w:tab/>
        <w:t>(1)</w:t>
      </w:r>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E</w:t>
      </w:r>
      <w:r w:rsidRPr="002D679B">
        <w:rPr>
          <w:rFonts w:ascii="Tms Rmn" w:hAnsi="Tms Rmn"/>
          <w:i/>
          <w:sz w:val="12"/>
        </w:rPr>
        <w:t> </w:t>
      </w:r>
      <w:r w:rsidRPr="002D679B">
        <w:rPr>
          <w:sz w:val="20"/>
        </w:rPr>
        <w:t>:</w:t>
      </w:r>
      <w:r w:rsidRPr="002D679B">
        <w:rPr>
          <w:sz w:val="20"/>
        </w:rPr>
        <w:tab/>
        <w:t>intensité de champ (dB(</w:t>
      </w:r>
      <w:r w:rsidRPr="002D679B">
        <w:rPr>
          <w:rFonts w:ascii="Symbol" w:hAnsi="Symbol"/>
          <w:sz w:val="20"/>
        </w:rPr>
        <w:t></w:t>
      </w:r>
      <w:r w:rsidRPr="002D679B">
        <w:rPr>
          <w:sz w:val="20"/>
        </w:rPr>
        <w:t>V/m)) du signal de radiodiffusion</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P</w:t>
      </w:r>
      <w:r w:rsidRPr="002D679B">
        <w:rPr>
          <w:rFonts w:ascii="Tms Rmn" w:hAnsi="Tms Rmn"/>
          <w:sz w:val="12"/>
        </w:rPr>
        <w:t> </w:t>
      </w:r>
      <w:r w:rsidRPr="002D679B">
        <w:rPr>
          <w:sz w:val="20"/>
        </w:rPr>
        <w:t>:</w:t>
      </w:r>
      <w:r w:rsidRPr="002D679B">
        <w:rPr>
          <w:sz w:val="20"/>
        </w:rPr>
        <w:tab/>
        <w:t>p.a.r. maximale de la station de radiodiffusion (dBW)</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d</w:t>
      </w:r>
      <w:r w:rsidRPr="002D679B">
        <w:rPr>
          <w:rFonts w:ascii="Tms Rmn" w:hAnsi="Tms Rmn"/>
          <w:sz w:val="12"/>
        </w:rPr>
        <w:t> </w:t>
      </w:r>
      <w:r w:rsidRPr="002D679B">
        <w:rPr>
          <w:sz w:val="20"/>
        </w:rPr>
        <w:t>:</w:t>
      </w:r>
      <w:r w:rsidRPr="002D679B">
        <w:rPr>
          <w:sz w:val="20"/>
        </w:rPr>
        <w:tab/>
        <w:t>distance, en trajet oblique (km) (voir la définition dans l'Annexe 4)</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H</w:t>
      </w:r>
      <w:r w:rsidRPr="002D679B">
        <w:rPr>
          <w:rFonts w:ascii="Tms Rmn" w:hAnsi="Tms Rmn"/>
          <w:sz w:val="12"/>
        </w:rPr>
        <w:t> </w:t>
      </w:r>
      <w:r w:rsidRPr="002D679B">
        <w:rPr>
          <w:sz w:val="20"/>
        </w:rPr>
        <w:t>:</w:t>
      </w:r>
      <w:r w:rsidRPr="002D679B">
        <w:rPr>
          <w:sz w:val="20"/>
        </w:rPr>
        <w:tab/>
        <w:t>correction du diagramme DRH (dB)</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V</w:t>
      </w:r>
      <w:r w:rsidRPr="002D679B">
        <w:rPr>
          <w:rFonts w:ascii="Tms Rmn" w:hAnsi="Tms Rmn"/>
          <w:sz w:val="12"/>
        </w:rPr>
        <w:t> </w:t>
      </w:r>
      <w:r w:rsidRPr="002D679B">
        <w:rPr>
          <w:sz w:val="20"/>
        </w:rPr>
        <w:t>:</w:t>
      </w:r>
      <w:r w:rsidRPr="002D679B">
        <w:rPr>
          <w:sz w:val="20"/>
        </w:rPr>
        <w:tab/>
        <w:t>correction du diagramme DRV (dB).</w:t>
      </w:r>
    </w:p>
    <w:p w:rsidR="002D679B" w:rsidRPr="002D679B" w:rsidRDefault="002D679B" w:rsidP="002D679B">
      <w:pPr>
        <w:spacing w:before="136"/>
        <w:rPr>
          <w:sz w:val="20"/>
        </w:rPr>
      </w:pPr>
      <w:r w:rsidRPr="002D679B">
        <w:rPr>
          <w:sz w:val="20"/>
        </w:rPr>
        <w:t>Dans le cas d'une station de radiodiffusion en polarisation mixte, la p.a.r. maximale à utiliser sera la plus grande des deux composantes, verticale ou horizontale. Mais si ces dernières sont de valeur égale, on obtiendra la p.a.r. maximale à utiliser en ajoutant 1 dB à la valeur de la composante horizontale.</w:t>
      </w:r>
    </w:p>
    <w:p w:rsidR="002D679B" w:rsidRPr="00202380" w:rsidRDefault="002D679B" w:rsidP="00202380">
      <w:pPr>
        <w:pStyle w:val="Heading2"/>
        <w:rPr>
          <w:sz w:val="22"/>
          <w:szCs w:val="22"/>
        </w:rPr>
      </w:pPr>
      <w:bookmarkStart w:id="21" w:name="_Toc289761186"/>
      <w:r w:rsidRPr="00202380">
        <w:rPr>
          <w:sz w:val="22"/>
          <w:szCs w:val="22"/>
        </w:rPr>
        <w:t>3.4</w:t>
      </w:r>
      <w:r w:rsidRPr="00202380">
        <w:rPr>
          <w:sz w:val="22"/>
          <w:szCs w:val="22"/>
        </w:rPr>
        <w:tab/>
        <w:t>Niveau du signal à l'entrée du récepteur</w:t>
      </w:r>
      <w:bookmarkEnd w:id="21"/>
    </w:p>
    <w:p w:rsidR="002D679B" w:rsidRPr="002D679B" w:rsidRDefault="002D679B" w:rsidP="002D679B">
      <w:pPr>
        <w:spacing w:before="136"/>
        <w:rPr>
          <w:sz w:val="20"/>
        </w:rPr>
      </w:pPr>
      <w:r w:rsidRPr="002D679B">
        <w:rPr>
          <w:sz w:val="20"/>
        </w:rPr>
        <w:t>Si l'on suppose un diagramme de rayonnement d'antenne d'aéronef non directif, l'intensité de champ du signal de radiodiffusion et celle du signal du service aéronautique doivent être converties en niveau de puissance à l'entrée du récepteur aéronautique, conformément aux formules suivantes: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a)</w:t>
      </w:r>
      <w:r w:rsidRPr="002D679B">
        <w:rPr>
          <w:sz w:val="20"/>
        </w:rPr>
        <w:tab/>
        <w:t>pour un signal de radiodiffusion dans la bande 87,5-108 MHz:</w:t>
      </w:r>
    </w:p>
    <w:p w:rsidR="002D679B" w:rsidRPr="002D679B" w:rsidRDefault="002D679B" w:rsidP="002D679B">
      <w:pPr>
        <w:tabs>
          <w:tab w:val="clear" w:pos="1191"/>
          <w:tab w:val="clear" w:pos="1588"/>
          <w:tab w:val="clear" w:pos="1985"/>
          <w:tab w:val="center" w:pos="4849"/>
          <w:tab w:val="right" w:pos="9696"/>
        </w:tabs>
        <w:spacing w:before="140" w:after="40"/>
        <w:jc w:val="left"/>
        <w:rPr>
          <w:sz w:val="22"/>
          <w:lang w:val="fr-CH"/>
        </w:rPr>
      </w:pPr>
      <w:r w:rsidRPr="002D679B">
        <w:rPr>
          <w:sz w:val="22"/>
        </w:rPr>
        <w:tab/>
      </w:r>
      <w:r w:rsidRPr="002D679B">
        <w:rPr>
          <w:sz w:val="22"/>
        </w:rPr>
        <w:tab/>
      </w:r>
      <w:r w:rsidRPr="002D679B">
        <w:rPr>
          <w:i/>
          <w:sz w:val="22"/>
          <w:lang w:val="fr-CH"/>
        </w:rPr>
        <w:t>N</w:t>
      </w:r>
      <w:r w:rsidRPr="002D679B">
        <w:rPr>
          <w:sz w:val="22"/>
          <w:lang w:val="fr-CH"/>
        </w:rPr>
        <w:t xml:space="preserve">  </w:t>
      </w:r>
      <w:r w:rsidRPr="002D679B">
        <w:rPr>
          <w:rFonts w:ascii="Symbol" w:hAnsi="Symbol"/>
          <w:sz w:val="22"/>
          <w:lang w:val="en-GB"/>
        </w:rPr>
        <w:t></w:t>
      </w:r>
      <w:r w:rsidRPr="002D679B">
        <w:rPr>
          <w:sz w:val="22"/>
          <w:lang w:val="fr-CH"/>
        </w:rPr>
        <w:t xml:space="preserve">  </w:t>
      </w:r>
      <w:r w:rsidRPr="002D679B">
        <w:rPr>
          <w:i/>
          <w:sz w:val="22"/>
          <w:lang w:val="fr-CH"/>
        </w:rPr>
        <w:t>E</w:t>
      </w:r>
      <w:r w:rsidRPr="002D679B">
        <w:rPr>
          <w:sz w:val="22"/>
          <w:lang w:val="fr-CH"/>
        </w:rPr>
        <w:t xml:space="preserve">  –  118  –  </w:t>
      </w:r>
      <w:r w:rsidRPr="002D679B">
        <w:rPr>
          <w:i/>
          <w:sz w:val="22"/>
          <w:lang w:val="fr-CH"/>
        </w:rPr>
        <w:t>L</w:t>
      </w:r>
      <w:r w:rsidRPr="002D679B">
        <w:rPr>
          <w:i/>
          <w:position w:val="-4"/>
          <w:sz w:val="18"/>
          <w:lang w:val="fr-CH"/>
        </w:rPr>
        <w:t>s</w:t>
      </w:r>
      <w:r w:rsidRPr="002D679B">
        <w:rPr>
          <w:sz w:val="22"/>
          <w:lang w:val="fr-CH"/>
        </w:rPr>
        <w:t xml:space="preserve">  –  </w:t>
      </w:r>
      <w:r w:rsidRPr="002D679B">
        <w:rPr>
          <w:i/>
          <w:sz w:val="22"/>
          <w:lang w:val="fr-CH"/>
        </w:rPr>
        <w:t>L</w:t>
      </w:r>
      <w:r w:rsidRPr="002D679B">
        <w:rPr>
          <w:sz w:val="22"/>
          <w:lang w:val="fr-CH"/>
        </w:rPr>
        <w:t>(</w:t>
      </w:r>
      <w:r w:rsidRPr="002D679B">
        <w:rPr>
          <w:sz w:val="12"/>
          <w:lang w:val="fr-CH"/>
        </w:rPr>
        <w:t> </w:t>
      </w:r>
      <w:r w:rsidRPr="002D679B">
        <w:rPr>
          <w:i/>
          <w:sz w:val="22"/>
          <w:lang w:val="fr-CH"/>
        </w:rPr>
        <w:t>f</w:t>
      </w:r>
      <w:r w:rsidRPr="002D679B">
        <w:rPr>
          <w:sz w:val="12"/>
          <w:lang w:val="fr-CH"/>
        </w:rPr>
        <w:t> </w:t>
      </w:r>
      <w:r w:rsidRPr="002D679B">
        <w:rPr>
          <w:sz w:val="22"/>
          <w:lang w:val="fr-CH"/>
        </w:rPr>
        <w:t xml:space="preserve">)  –  </w:t>
      </w:r>
      <w:r w:rsidRPr="002D679B">
        <w:rPr>
          <w:i/>
          <w:sz w:val="22"/>
          <w:lang w:val="fr-CH"/>
        </w:rPr>
        <w:t>L</w:t>
      </w:r>
      <w:r w:rsidRPr="002D679B">
        <w:rPr>
          <w:i/>
          <w:position w:val="-4"/>
          <w:sz w:val="18"/>
          <w:lang w:val="fr-CH"/>
        </w:rPr>
        <w:t>a</w:t>
      </w:r>
      <w:r w:rsidRPr="002D679B">
        <w:rPr>
          <w:sz w:val="22"/>
          <w:lang w:val="fr-CH"/>
        </w:rPr>
        <w:tab/>
        <w:t>(2)</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 w:val="left" w:pos="964"/>
        </w:tabs>
        <w:spacing w:before="86"/>
        <w:ind w:left="964" w:hanging="964"/>
        <w:rPr>
          <w:sz w:val="20"/>
        </w:rPr>
      </w:pPr>
      <w:r w:rsidRPr="002D679B">
        <w:rPr>
          <w:i/>
          <w:sz w:val="20"/>
        </w:rPr>
        <w:tab/>
        <w:t>N</w:t>
      </w:r>
      <w:r w:rsidRPr="002D679B">
        <w:rPr>
          <w:rFonts w:ascii="Tms Rmn" w:hAnsi="Tms Rmn"/>
          <w:position w:val="-4"/>
          <w:sz w:val="12"/>
        </w:rPr>
        <w:t> </w:t>
      </w:r>
      <w:r w:rsidRPr="002D679B">
        <w:rPr>
          <w:sz w:val="20"/>
        </w:rPr>
        <w:t>:</w:t>
      </w:r>
      <w:r w:rsidRPr="002D679B">
        <w:rPr>
          <w:sz w:val="20"/>
        </w:rPr>
        <w:tab/>
        <w:t>niveau du signal de radiodiffusion (dBm) à l'entrée du récepteur aéronautique</w:t>
      </w:r>
    </w:p>
    <w:p w:rsidR="002D679B" w:rsidRPr="002D679B" w:rsidRDefault="002D679B" w:rsidP="002D679B">
      <w:pPr>
        <w:tabs>
          <w:tab w:val="clear" w:pos="794"/>
          <w:tab w:val="clear" w:pos="1191"/>
          <w:tab w:val="clear" w:pos="1588"/>
          <w:tab w:val="clear" w:pos="1985"/>
          <w:tab w:val="left" w:pos="397"/>
          <w:tab w:val="left" w:pos="964"/>
        </w:tabs>
        <w:spacing w:before="86"/>
        <w:ind w:left="964" w:hanging="964"/>
        <w:rPr>
          <w:sz w:val="20"/>
        </w:rPr>
      </w:pPr>
      <w:r w:rsidRPr="002D679B">
        <w:rPr>
          <w:i/>
          <w:sz w:val="20"/>
        </w:rPr>
        <w:tab/>
        <w:t>E</w:t>
      </w:r>
      <w:r w:rsidRPr="002D679B">
        <w:rPr>
          <w:rFonts w:ascii="Tms Rmn" w:hAnsi="Tms Rmn"/>
          <w:position w:val="-4"/>
          <w:sz w:val="12"/>
        </w:rPr>
        <w:t> </w:t>
      </w:r>
      <w:r w:rsidRPr="002D679B">
        <w:rPr>
          <w:sz w:val="20"/>
        </w:rPr>
        <w:t>:</w:t>
      </w:r>
      <w:r w:rsidRPr="002D679B">
        <w:rPr>
          <w:sz w:val="20"/>
        </w:rPr>
        <w:tab/>
        <w:t>intensité de champ (dB(</w:t>
      </w:r>
      <w:r w:rsidRPr="002D679B">
        <w:rPr>
          <w:rFonts w:ascii="Symbol" w:hAnsi="Symbol"/>
          <w:sz w:val="20"/>
        </w:rPr>
        <w:t></w:t>
      </w:r>
      <w:r w:rsidRPr="002D679B">
        <w:rPr>
          <w:sz w:val="20"/>
        </w:rPr>
        <w:t>V/m)) du signal de radiodiffusion</w:t>
      </w:r>
    </w:p>
    <w:p w:rsidR="002D679B" w:rsidRPr="002D679B" w:rsidRDefault="002D679B" w:rsidP="002D679B">
      <w:pPr>
        <w:tabs>
          <w:tab w:val="clear" w:pos="794"/>
          <w:tab w:val="clear" w:pos="1191"/>
          <w:tab w:val="clear" w:pos="1588"/>
          <w:tab w:val="clear" w:pos="1985"/>
          <w:tab w:val="left" w:pos="397"/>
          <w:tab w:val="left" w:pos="964"/>
        </w:tabs>
        <w:spacing w:before="86"/>
        <w:ind w:left="964" w:hanging="964"/>
        <w:rPr>
          <w:sz w:val="20"/>
        </w:rPr>
      </w:pPr>
      <w:r w:rsidRPr="002D679B">
        <w:rPr>
          <w:i/>
          <w:sz w:val="20"/>
        </w:rPr>
        <w:tab/>
        <w:t>L</w:t>
      </w:r>
      <w:r w:rsidRPr="002D679B">
        <w:rPr>
          <w:i/>
          <w:position w:val="-4"/>
          <w:sz w:val="16"/>
        </w:rPr>
        <w:t>s</w:t>
      </w:r>
      <w:r w:rsidRPr="002D679B">
        <w:rPr>
          <w:rFonts w:ascii="Tms Rmn" w:hAnsi="Tms Rmn"/>
          <w:position w:val="-4"/>
          <w:sz w:val="12"/>
        </w:rPr>
        <w:t> </w:t>
      </w:r>
      <w:r w:rsidRPr="002D679B">
        <w:rPr>
          <w:sz w:val="20"/>
        </w:rPr>
        <w:t>:</w:t>
      </w:r>
      <w:r w:rsidRPr="002D679B">
        <w:rPr>
          <w:position w:val="-8"/>
          <w:sz w:val="20"/>
        </w:rPr>
        <w:tab/>
      </w:r>
      <w:r w:rsidRPr="002D679B">
        <w:rPr>
          <w:sz w:val="20"/>
        </w:rPr>
        <w:t>perte de 3,5 dB due au répartiteur de signaux</w:t>
      </w:r>
    </w:p>
    <w:p w:rsidR="002D679B" w:rsidRPr="002D679B" w:rsidRDefault="002D679B" w:rsidP="002D679B">
      <w:pPr>
        <w:tabs>
          <w:tab w:val="clear" w:pos="794"/>
          <w:tab w:val="clear" w:pos="1191"/>
          <w:tab w:val="clear" w:pos="1588"/>
          <w:tab w:val="clear" w:pos="1985"/>
          <w:tab w:val="left" w:pos="397"/>
          <w:tab w:val="left" w:pos="964"/>
        </w:tabs>
        <w:spacing w:before="86"/>
        <w:ind w:left="964" w:hanging="964"/>
        <w:rPr>
          <w:sz w:val="20"/>
        </w:rPr>
      </w:pPr>
      <w:r w:rsidRPr="002D679B">
        <w:rPr>
          <w:i/>
          <w:sz w:val="20"/>
        </w:rPr>
        <w:tab/>
        <w:t>L</w:t>
      </w:r>
      <w:r w:rsidRPr="002D679B">
        <w:rPr>
          <w:sz w:val="20"/>
        </w:rPr>
        <w:t>(</w:t>
      </w:r>
      <w:r w:rsidRPr="002D679B">
        <w:rPr>
          <w:i/>
          <w:sz w:val="20"/>
        </w:rPr>
        <w:t>f</w:t>
      </w:r>
      <w:r w:rsidRPr="002D679B">
        <w:rPr>
          <w:rFonts w:ascii="Tms Rmn" w:hAnsi="Tms Rmn"/>
          <w:i/>
          <w:sz w:val="12"/>
        </w:rPr>
        <w:t> </w:t>
      </w:r>
      <w:r w:rsidRPr="002D679B">
        <w:rPr>
          <w:sz w:val="20"/>
        </w:rPr>
        <w:t>)</w:t>
      </w:r>
      <w:r w:rsidRPr="002D679B">
        <w:rPr>
          <w:rFonts w:ascii="Tms Rmn" w:hAnsi="Tms Rmn"/>
          <w:position w:val="-4"/>
          <w:sz w:val="12"/>
        </w:rPr>
        <w:t> </w:t>
      </w:r>
      <w:r w:rsidRPr="002D679B">
        <w:rPr>
          <w:sz w:val="20"/>
        </w:rPr>
        <w:t>:</w:t>
      </w:r>
      <w:r w:rsidRPr="002D679B">
        <w:rPr>
          <w:position w:val="-8"/>
          <w:sz w:val="20"/>
        </w:rPr>
        <w:tab/>
      </w:r>
      <w:r w:rsidRPr="002D679B">
        <w:rPr>
          <w:sz w:val="20"/>
        </w:rPr>
        <w:t xml:space="preserve">perte du système d'antennes en fonction de la fréquence de radiodiffusion </w:t>
      </w:r>
      <w:r w:rsidRPr="002D679B">
        <w:rPr>
          <w:i/>
          <w:sz w:val="20"/>
        </w:rPr>
        <w:t>f</w:t>
      </w:r>
      <w:r w:rsidRPr="002D679B">
        <w:rPr>
          <w:sz w:val="20"/>
        </w:rPr>
        <w:t xml:space="preserve"> (MHz) soit 1,2 dB/MHz au</w:t>
      </w:r>
      <w:r w:rsidRPr="002D679B">
        <w:rPr>
          <w:sz w:val="20"/>
        </w:rPr>
        <w:noBreakHyphen/>
        <w:t>dessous de 108 MHz</w:t>
      </w:r>
    </w:p>
    <w:p w:rsidR="002D679B" w:rsidRPr="002D679B" w:rsidRDefault="002D679B" w:rsidP="002D679B">
      <w:pPr>
        <w:tabs>
          <w:tab w:val="clear" w:pos="794"/>
          <w:tab w:val="clear" w:pos="1191"/>
          <w:tab w:val="clear" w:pos="1588"/>
          <w:tab w:val="clear" w:pos="1985"/>
          <w:tab w:val="left" w:pos="397"/>
          <w:tab w:val="left" w:pos="964"/>
        </w:tabs>
        <w:spacing w:before="86"/>
        <w:ind w:left="964" w:hanging="964"/>
        <w:rPr>
          <w:sz w:val="20"/>
        </w:rPr>
      </w:pPr>
      <w:r w:rsidRPr="002D679B">
        <w:rPr>
          <w:i/>
          <w:sz w:val="20"/>
        </w:rPr>
        <w:tab/>
        <w:t>L</w:t>
      </w:r>
      <w:r w:rsidRPr="002D679B">
        <w:rPr>
          <w:i/>
          <w:position w:val="-4"/>
          <w:sz w:val="16"/>
        </w:rPr>
        <w:t>a</w:t>
      </w:r>
      <w:r w:rsidRPr="002D679B">
        <w:rPr>
          <w:rFonts w:ascii="Tms Rmn" w:hAnsi="Tms Rmn"/>
          <w:position w:val="-4"/>
          <w:sz w:val="12"/>
        </w:rPr>
        <w:t> </w:t>
      </w:r>
      <w:r w:rsidRPr="002D679B">
        <w:rPr>
          <w:sz w:val="20"/>
        </w:rPr>
        <w:t>:</w:t>
      </w:r>
      <w:r w:rsidRPr="002D679B">
        <w:rPr>
          <w:position w:val="-8"/>
          <w:sz w:val="20"/>
        </w:rPr>
        <w:tab/>
      </w:r>
      <w:r w:rsidRPr="002D679B">
        <w:rPr>
          <w:sz w:val="20"/>
        </w:rPr>
        <w:t>perte fixe de 9 dB dans le système d'antennes.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b)</w:t>
      </w:r>
      <w:r w:rsidRPr="002D679B">
        <w:rPr>
          <w:sz w:val="20"/>
        </w:rPr>
        <w:tab/>
        <w:t>pour un signal aéronautique et un signal de type A1 dans la bande 108-118 MHz:</w:t>
      </w:r>
    </w:p>
    <w:p w:rsidR="002D679B" w:rsidRP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i/>
          <w:sz w:val="22"/>
        </w:rPr>
        <w:t>N</w:t>
      </w:r>
      <w:r w:rsidRPr="002D679B">
        <w:rPr>
          <w:i/>
          <w:position w:val="-4"/>
          <w:sz w:val="18"/>
        </w:rPr>
        <w:t>a</w:t>
      </w:r>
      <w:r w:rsidRPr="002D679B">
        <w:rPr>
          <w:sz w:val="22"/>
        </w:rPr>
        <w:t xml:space="preserve">  </w:t>
      </w:r>
      <w:r w:rsidRPr="002D679B">
        <w:rPr>
          <w:rFonts w:ascii="Symbol" w:hAnsi="Symbol"/>
          <w:sz w:val="22"/>
          <w:lang w:val="en-GB"/>
        </w:rPr>
        <w:t></w:t>
      </w:r>
      <w:r w:rsidRPr="002D679B">
        <w:rPr>
          <w:sz w:val="22"/>
        </w:rPr>
        <w:t xml:space="preserve">  </w:t>
      </w:r>
      <w:r w:rsidRPr="002D679B">
        <w:rPr>
          <w:i/>
          <w:sz w:val="22"/>
        </w:rPr>
        <w:t>E</w:t>
      </w:r>
      <w:r w:rsidRPr="002D679B">
        <w:rPr>
          <w:i/>
          <w:position w:val="-4"/>
          <w:sz w:val="18"/>
        </w:rPr>
        <w:t>a</w:t>
      </w:r>
      <w:r w:rsidRPr="002D679B">
        <w:rPr>
          <w:sz w:val="22"/>
        </w:rPr>
        <w:t xml:space="preserve">  –  118  –  </w:t>
      </w:r>
      <w:r w:rsidRPr="002D679B">
        <w:rPr>
          <w:i/>
          <w:sz w:val="22"/>
        </w:rPr>
        <w:t>L</w:t>
      </w:r>
      <w:r w:rsidRPr="002D679B">
        <w:rPr>
          <w:i/>
          <w:position w:val="-4"/>
          <w:sz w:val="18"/>
        </w:rPr>
        <w:t>s</w:t>
      </w:r>
      <w:r w:rsidRPr="002D679B">
        <w:rPr>
          <w:sz w:val="22"/>
        </w:rPr>
        <w:t xml:space="preserve">  –  </w:t>
      </w:r>
      <w:r w:rsidRPr="002D679B">
        <w:rPr>
          <w:i/>
          <w:sz w:val="22"/>
        </w:rPr>
        <w:t>L</w:t>
      </w:r>
      <w:r w:rsidRPr="002D679B">
        <w:rPr>
          <w:i/>
          <w:position w:val="-4"/>
          <w:sz w:val="18"/>
        </w:rPr>
        <w:t>a</w:t>
      </w:r>
      <w:r w:rsidRPr="002D679B">
        <w:rPr>
          <w:sz w:val="22"/>
        </w:rPr>
        <w:tab/>
        <w:t>(3)</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où:</w:t>
      </w:r>
    </w:p>
    <w:p w:rsidR="002D679B" w:rsidRPr="002D679B" w:rsidRDefault="002D679B" w:rsidP="002D679B">
      <w:pPr>
        <w:tabs>
          <w:tab w:val="clear" w:pos="1191"/>
          <w:tab w:val="clear" w:pos="1588"/>
          <w:tab w:val="clear" w:pos="1985"/>
          <w:tab w:val="left" w:pos="397"/>
        </w:tabs>
        <w:spacing w:before="86"/>
        <w:ind w:left="397" w:hanging="397"/>
        <w:rPr>
          <w:sz w:val="20"/>
        </w:rPr>
      </w:pPr>
      <w:r w:rsidRPr="002D679B">
        <w:rPr>
          <w:i/>
          <w:sz w:val="20"/>
        </w:rPr>
        <w:tab/>
        <w:t>N</w:t>
      </w:r>
      <w:r w:rsidRPr="002D679B">
        <w:rPr>
          <w:i/>
          <w:position w:val="-4"/>
          <w:sz w:val="16"/>
        </w:rPr>
        <w:t>a</w:t>
      </w:r>
      <w:r w:rsidRPr="002D679B">
        <w:rPr>
          <w:rFonts w:ascii="Tms Rmn" w:hAnsi="Tms Rmn"/>
          <w:position w:val="-4"/>
          <w:sz w:val="12"/>
        </w:rPr>
        <w:t> </w:t>
      </w:r>
      <w:r w:rsidRPr="002D679B">
        <w:rPr>
          <w:sz w:val="20"/>
        </w:rPr>
        <w:t>:</w:t>
      </w:r>
      <w:r w:rsidRPr="002D679B">
        <w:rPr>
          <w:position w:val="-8"/>
          <w:sz w:val="20"/>
        </w:rPr>
        <w:tab/>
      </w:r>
      <w:r w:rsidRPr="002D679B">
        <w:rPr>
          <w:sz w:val="20"/>
        </w:rPr>
        <w:t>niveau du signal (dBm) à l'entrée du récepteur aéronautique</w:t>
      </w:r>
    </w:p>
    <w:p w:rsidR="002D679B" w:rsidRPr="002D679B" w:rsidRDefault="002D679B" w:rsidP="002D679B">
      <w:pPr>
        <w:tabs>
          <w:tab w:val="clear" w:pos="1191"/>
          <w:tab w:val="clear" w:pos="1588"/>
          <w:tab w:val="clear" w:pos="1985"/>
          <w:tab w:val="left" w:pos="397"/>
        </w:tabs>
        <w:spacing w:before="86"/>
        <w:ind w:left="397" w:hanging="397"/>
        <w:rPr>
          <w:sz w:val="20"/>
        </w:rPr>
      </w:pPr>
      <w:r w:rsidRPr="002D679B">
        <w:rPr>
          <w:i/>
          <w:sz w:val="20"/>
        </w:rPr>
        <w:tab/>
        <w:t>E</w:t>
      </w:r>
      <w:r w:rsidRPr="002D679B">
        <w:rPr>
          <w:i/>
          <w:position w:val="-4"/>
          <w:sz w:val="16"/>
        </w:rPr>
        <w:t>a</w:t>
      </w:r>
      <w:r w:rsidRPr="002D679B">
        <w:rPr>
          <w:rFonts w:ascii="Tms Rmn" w:hAnsi="Tms Rmn"/>
          <w:position w:val="-4"/>
          <w:sz w:val="12"/>
        </w:rPr>
        <w:t> </w:t>
      </w:r>
      <w:r w:rsidRPr="002D679B">
        <w:rPr>
          <w:sz w:val="20"/>
        </w:rPr>
        <w:t>:</w:t>
      </w:r>
      <w:r w:rsidRPr="002D679B">
        <w:rPr>
          <w:position w:val="-8"/>
          <w:sz w:val="20"/>
        </w:rPr>
        <w:tab/>
      </w:r>
      <w:r w:rsidRPr="002D679B">
        <w:rPr>
          <w:sz w:val="20"/>
        </w:rPr>
        <w:t>intensité de champ (dB(</w:t>
      </w:r>
      <w:r w:rsidRPr="002D679B">
        <w:rPr>
          <w:rFonts w:ascii="Symbol" w:hAnsi="Symbol"/>
          <w:sz w:val="20"/>
        </w:rPr>
        <w:t></w:t>
      </w:r>
      <w:r w:rsidRPr="002D679B">
        <w:rPr>
          <w:sz w:val="20"/>
        </w:rPr>
        <w:t>V/m)) du signal aéronautique ou du signal de type A1.</w:t>
      </w:r>
    </w:p>
    <w:p w:rsidR="002D679B" w:rsidRPr="002D679B" w:rsidRDefault="002D679B" w:rsidP="002D679B">
      <w:pPr>
        <w:spacing w:before="136"/>
        <w:rPr>
          <w:sz w:val="20"/>
        </w:rPr>
      </w:pPr>
      <w:r w:rsidRPr="002D679B">
        <w:rPr>
          <w:sz w:val="20"/>
        </w:rPr>
        <w:t>La Fig. 3 montre comment la valeur minimale de l'intensité de champ du radiophare d'alignement de piste ILS de 32 dB(</w:t>
      </w:r>
      <w:r w:rsidRPr="002D679B">
        <w:rPr>
          <w:rFonts w:ascii="Symbol" w:hAnsi="Symbol"/>
          <w:sz w:val="20"/>
        </w:rPr>
        <w:t></w:t>
      </w:r>
      <w:r w:rsidRPr="002D679B">
        <w:rPr>
          <w:sz w:val="20"/>
        </w:rPr>
        <w:t>V/m) est convertie en –98 dBm à l'entrée du récepteur d'une installation de réception d'aéronef type au moyen de la formule (3).</w:t>
      </w:r>
    </w:p>
    <w:p w:rsidR="002D679B" w:rsidRPr="002D679B" w:rsidRDefault="002D679B" w:rsidP="002D679B">
      <w:pPr>
        <w:spacing w:before="136"/>
        <w:rPr>
          <w:sz w:val="20"/>
        </w:rPr>
      </w:pPr>
    </w:p>
    <w:p w:rsidR="002D679B" w:rsidRPr="002D679B" w:rsidRDefault="002D679B" w:rsidP="002D679B">
      <w:pPr>
        <w:spacing w:before="136"/>
        <w:jc w:val="center"/>
        <w:rPr>
          <w:sz w:val="20"/>
          <w:lang w:val="en-US"/>
        </w:rPr>
      </w:pPr>
      <w:r>
        <w:rPr>
          <w:noProof/>
          <w:sz w:val="20"/>
          <w:lang w:val="fr-CH" w:eastAsia="fr-CH"/>
        </w:rPr>
        <w:drawing>
          <wp:inline distT="0" distB="0" distL="0" distR="0" wp14:anchorId="08693AFB" wp14:editId="48085386">
            <wp:extent cx="5391150" cy="41325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1150" cy="4132580"/>
                    </a:xfrm>
                    <a:prstGeom prst="rect">
                      <a:avLst/>
                    </a:prstGeom>
                    <a:noFill/>
                    <a:ln>
                      <a:noFill/>
                    </a:ln>
                  </pic:spPr>
                </pic:pic>
              </a:graphicData>
            </a:graphic>
          </wp:inline>
        </w:drawing>
      </w:r>
    </w:p>
    <w:p w:rsidR="002D679B" w:rsidRPr="002D679B" w:rsidRDefault="002D679B" w:rsidP="002D679B">
      <w:pPr>
        <w:spacing w:before="136"/>
        <w:jc w:val="left"/>
        <w:rPr>
          <w:color w:val="FFFFFF"/>
          <w:sz w:val="20"/>
        </w:rPr>
      </w:pPr>
      <w:r w:rsidRPr="002D679B">
        <w:rPr>
          <w:color w:val="FFFFFF"/>
          <w:sz w:val="20"/>
        </w:rPr>
        <w:t>FIGURE 3/1009...</w:t>
      </w:r>
      <w:r w:rsidRPr="002D679B">
        <w:rPr>
          <w:b/>
          <w:color w:val="FFFFFF"/>
          <w:sz w:val="20"/>
        </w:rPr>
        <w:t>[D03]</w:t>
      </w:r>
      <w:r w:rsidRPr="002D679B">
        <w:rPr>
          <w:color w:val="FFFFFF"/>
          <w:sz w:val="20"/>
        </w:rPr>
        <w:t xml:space="preserve">  = 11.5  CM </w:t>
      </w:r>
    </w:p>
    <w:p w:rsidR="002D679B" w:rsidRPr="002D679B" w:rsidRDefault="002D679B" w:rsidP="00202380">
      <w:pPr>
        <w:pStyle w:val="Heading1"/>
      </w:pPr>
      <w:bookmarkStart w:id="22" w:name="_Toc289760517"/>
      <w:bookmarkStart w:id="23" w:name="_Toc289760857"/>
      <w:bookmarkStart w:id="24" w:name="_Toc289761187"/>
      <w:r w:rsidRPr="002D679B">
        <w:t>4</w:t>
      </w:r>
      <w:r w:rsidRPr="002D679B">
        <w:tab/>
        <w:t>Critères d'évaluation de la compatibilité</w:t>
      </w:r>
      <w:bookmarkEnd w:id="22"/>
      <w:bookmarkEnd w:id="23"/>
      <w:bookmarkEnd w:id="24"/>
    </w:p>
    <w:p w:rsidR="002D679B" w:rsidRPr="00202380" w:rsidRDefault="002D679B" w:rsidP="00202380">
      <w:pPr>
        <w:pStyle w:val="Heading2"/>
        <w:rPr>
          <w:sz w:val="22"/>
          <w:szCs w:val="22"/>
        </w:rPr>
      </w:pPr>
      <w:bookmarkStart w:id="25" w:name="_Toc289761188"/>
      <w:r w:rsidRPr="00202380">
        <w:rPr>
          <w:sz w:val="22"/>
          <w:szCs w:val="22"/>
        </w:rPr>
        <w:t>4.1</w:t>
      </w:r>
      <w:r w:rsidRPr="00202380">
        <w:rPr>
          <w:sz w:val="22"/>
          <w:szCs w:val="22"/>
        </w:rPr>
        <w:tab/>
        <w:t>Seuils de brouillage normalisés</w:t>
      </w:r>
      <w:bookmarkEnd w:id="25"/>
    </w:p>
    <w:p w:rsidR="002D679B" w:rsidRPr="002D679B" w:rsidRDefault="002D679B" w:rsidP="002D679B">
      <w:pPr>
        <w:spacing w:before="136"/>
        <w:rPr>
          <w:sz w:val="20"/>
        </w:rPr>
      </w:pPr>
      <w:r w:rsidRPr="002D679B">
        <w:rPr>
          <w:sz w:val="20"/>
        </w:rPr>
        <w:t>Un seuil de brouillage est le niveau minimal d'un signal brouilleur provoquant une dégradation inacceptable des performances du récepteur. Des récepteurs de radiophares d'alignement de piste ILS et de VOR ont été soumis à des mesures sur banc et à des essais en vol qui ont montré que:</w:t>
      </w:r>
    </w:p>
    <w:p w:rsidR="002D679B" w:rsidRPr="002D679B" w:rsidRDefault="002D679B" w:rsidP="00B45125">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le seuil du brouillage basé sur une variation du courant de guidage (voir la définition dans l'Annexe 4) est habituellement dépassé avant apparition du drapeau avertisseur;</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une augmentation de 1 à 3 dB des niveaux de signal brouilleur par rapport au seuil de brouillage provoque une importante variation du courant de guidage ou l'apparition du drapeau.</w:t>
      </w:r>
    </w:p>
    <w:p w:rsidR="002D679B" w:rsidRPr="002D679B" w:rsidRDefault="002D679B" w:rsidP="002D679B">
      <w:pPr>
        <w:spacing w:before="136"/>
        <w:rPr>
          <w:sz w:val="20"/>
        </w:rPr>
      </w:pPr>
      <w:r w:rsidRPr="002D679B">
        <w:rPr>
          <w:sz w:val="20"/>
        </w:rPr>
        <w:t>Au moyen de signaux de radiodiffusion simulés, on a appliqué les seuils de brouillage des § 4.1.1 à 4.1.3 afin d'étalonner les mesures sur banc pour brouillages de type A et de type B. Ces seuils ont été choisis de façon à être assez représentatifs de situations opérationnelles typiques:</w:t>
      </w:r>
    </w:p>
    <w:p w:rsidR="002D679B" w:rsidRPr="00202380" w:rsidRDefault="002D679B" w:rsidP="00202380">
      <w:pPr>
        <w:pStyle w:val="Heading3"/>
        <w:rPr>
          <w:sz w:val="20"/>
        </w:rPr>
      </w:pPr>
      <w:r w:rsidRPr="00202380">
        <w:rPr>
          <w:sz w:val="20"/>
        </w:rPr>
        <w:t>4.1.1</w:t>
      </w:r>
      <w:r w:rsidRPr="00202380">
        <w:rPr>
          <w:sz w:val="20"/>
        </w:rPr>
        <w:tab/>
        <w:t>Radiophare d'alignement de piste ILS</w:t>
      </w:r>
    </w:p>
    <w:p w:rsidR="002D679B" w:rsidRPr="002D679B" w:rsidRDefault="002D679B" w:rsidP="002D679B">
      <w:pPr>
        <w:spacing w:before="136"/>
        <w:rPr>
          <w:sz w:val="20"/>
        </w:rPr>
      </w:pPr>
      <w:r w:rsidRPr="002D679B">
        <w:rPr>
          <w:sz w:val="20"/>
        </w:rPr>
        <w:t>Les seuils de brouillage pour un signal utile présentant une différence de taux de modulation, DDM (voir la définition dans l'Annexe 4) de 0,093 sont définis comme suit:</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 xml:space="preserve">une variation de 7,5 </w:t>
      </w:r>
      <w:r w:rsidRPr="002D679B">
        <w:rPr>
          <w:rFonts w:ascii="Symbol" w:hAnsi="Symbol"/>
          <w:sz w:val="20"/>
        </w:rPr>
        <w:t></w:t>
      </w:r>
      <w:r w:rsidRPr="002D679B">
        <w:rPr>
          <w:sz w:val="20"/>
        </w:rPr>
        <w:t>A (voir la Note 1) du courant de guidage; ou</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l'apparition du drapeau, selon ce qui se produit en premier.</w:t>
      </w:r>
    </w:p>
    <w:p w:rsidR="002D679B" w:rsidRPr="00202380" w:rsidRDefault="002D679B" w:rsidP="00202380">
      <w:pPr>
        <w:pStyle w:val="Heading3"/>
        <w:rPr>
          <w:sz w:val="20"/>
        </w:rPr>
      </w:pPr>
      <w:r w:rsidRPr="00202380">
        <w:rPr>
          <w:sz w:val="20"/>
        </w:rPr>
        <w:t>4.1.2</w:t>
      </w:r>
      <w:r w:rsidRPr="00202380">
        <w:rPr>
          <w:sz w:val="20"/>
        </w:rPr>
        <w:tab/>
        <w:t>VOR</w:t>
      </w:r>
    </w:p>
    <w:p w:rsidR="002D679B" w:rsidRPr="002D679B" w:rsidRDefault="002D679B" w:rsidP="002D679B">
      <w:pPr>
        <w:spacing w:before="136"/>
        <w:rPr>
          <w:sz w:val="20"/>
        </w:rPr>
      </w:pPr>
      <w:r w:rsidRPr="002D679B">
        <w:rPr>
          <w:sz w:val="20"/>
        </w:rPr>
        <w:t>Les seuils de brouillage en présence d'un signal utile sont définis comme suit:</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une modification de l'indication de relèvement de 0,5</w:t>
      </w:r>
      <w:r w:rsidRPr="002D679B">
        <w:rPr>
          <w:rFonts w:ascii="Symbol" w:hAnsi="Symbol"/>
          <w:sz w:val="20"/>
          <w:lang w:val="en-GB"/>
        </w:rPr>
        <w:t></w:t>
      </w:r>
      <w:r w:rsidRPr="002D679B">
        <w:rPr>
          <w:sz w:val="20"/>
        </w:rPr>
        <w:t>, qui correspond à une variation de 7,5 </w:t>
      </w:r>
      <w:r w:rsidRPr="002D679B">
        <w:rPr>
          <w:rFonts w:ascii="Symbol" w:hAnsi="Symbol"/>
          <w:sz w:val="20"/>
        </w:rPr>
        <w:t></w:t>
      </w:r>
      <w:r w:rsidRPr="002D679B">
        <w:rPr>
          <w:sz w:val="20"/>
        </w:rPr>
        <w:t>A (voir la Note 1) du courant de guidage; ou</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une modification de 3 dB du niveau de la tension audiofréquence; ou</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l'apparition du drapeau pendant plus de 1 s.</w:t>
      </w:r>
    </w:p>
    <w:p w:rsidR="002D679B" w:rsidRPr="002D679B" w:rsidRDefault="002D679B" w:rsidP="002D679B">
      <w:pPr>
        <w:tabs>
          <w:tab w:val="clear" w:pos="794"/>
          <w:tab w:val="clear" w:pos="1191"/>
          <w:tab w:val="clear" w:pos="1588"/>
          <w:tab w:val="clear" w:pos="1985"/>
        </w:tabs>
        <w:spacing w:before="80"/>
        <w:rPr>
          <w:sz w:val="20"/>
        </w:rPr>
      </w:pPr>
      <w:r w:rsidRPr="002D679B">
        <w:rPr>
          <w:sz w:val="20"/>
        </w:rPr>
        <w:t>NOTE 1 – Pour la mesure du courant de guidage, voir le § 4.2 de l'Annexe 1 à la Recommandation UIT</w:t>
      </w:r>
      <w:r w:rsidRPr="002D679B">
        <w:rPr>
          <w:sz w:val="20"/>
        </w:rPr>
        <w:noBreakHyphen/>
        <w:t>R IS.1140.</w:t>
      </w:r>
    </w:p>
    <w:p w:rsidR="002D679B" w:rsidRPr="00202380" w:rsidRDefault="002D679B" w:rsidP="00202380">
      <w:pPr>
        <w:pStyle w:val="Heading3"/>
        <w:rPr>
          <w:sz w:val="20"/>
        </w:rPr>
      </w:pPr>
      <w:r w:rsidRPr="00202380">
        <w:rPr>
          <w:sz w:val="20"/>
        </w:rPr>
        <w:t>4.1.3</w:t>
      </w:r>
      <w:r w:rsidRPr="00202380">
        <w:rPr>
          <w:sz w:val="20"/>
        </w:rPr>
        <w:tab/>
        <w:t>COM</w:t>
      </w:r>
    </w:p>
    <w:p w:rsidR="002D679B" w:rsidRPr="002D679B" w:rsidRDefault="002D679B" w:rsidP="002D679B">
      <w:pPr>
        <w:spacing w:before="136"/>
        <w:rPr>
          <w:sz w:val="20"/>
        </w:rPr>
      </w:pPr>
      <w:r w:rsidRPr="002D679B">
        <w:rPr>
          <w:sz w:val="20"/>
        </w:rPr>
        <w:t>Les seuils de brouillage sont définis comme suit pour les récepteurs COM de bord:</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en présence d'un signal utile, le seuil de brouillage est une réduction jusqu'à 6 dB du rapport (</w:t>
      </w:r>
      <w:r w:rsidRPr="002D679B">
        <w:rPr>
          <w:i/>
          <w:sz w:val="20"/>
        </w:rPr>
        <w:t>S </w:t>
      </w:r>
      <w:r w:rsidRPr="002D679B">
        <w:rPr>
          <w:rFonts w:ascii="Symbol" w:hAnsi="Symbol"/>
          <w:sz w:val="20"/>
          <w:lang w:val="en-GB"/>
        </w:rPr>
        <w:t></w:t>
      </w:r>
      <w:r w:rsidRPr="002D679B">
        <w:rPr>
          <w:sz w:val="20"/>
        </w:rPr>
        <w:t> </w:t>
      </w:r>
      <w:r w:rsidRPr="002D679B">
        <w:rPr>
          <w:i/>
          <w:sz w:val="20"/>
        </w:rPr>
        <w:t>N</w:t>
      </w:r>
      <w:r w:rsidRPr="002D679B">
        <w:rPr>
          <w:sz w:val="20"/>
        </w:rPr>
        <w:t>)/</w:t>
      </w:r>
      <w:r w:rsidRPr="002D679B">
        <w:rPr>
          <w:i/>
          <w:sz w:val="20"/>
        </w:rPr>
        <w:t>N</w:t>
      </w:r>
      <w:r w:rsidRPr="002D679B">
        <w:rPr>
          <w:sz w:val="20"/>
        </w:rPr>
        <w:t xml:space="preserve"> (signal plus bruit sur bruit); ou bien</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en l'absence de signal utile, le brouillage ne doit pas déclencher le silencieux.</w:t>
      </w:r>
    </w:p>
    <w:p w:rsidR="002D679B" w:rsidRPr="00202380" w:rsidRDefault="002D679B" w:rsidP="00202380">
      <w:pPr>
        <w:pStyle w:val="Heading2"/>
        <w:rPr>
          <w:sz w:val="22"/>
          <w:szCs w:val="22"/>
        </w:rPr>
      </w:pPr>
      <w:bookmarkStart w:id="26" w:name="_Toc289761189"/>
      <w:r w:rsidRPr="00202380">
        <w:rPr>
          <w:sz w:val="22"/>
          <w:szCs w:val="22"/>
        </w:rPr>
        <w:t>4.2</w:t>
      </w:r>
      <w:r w:rsidRPr="00202380">
        <w:rPr>
          <w:sz w:val="22"/>
          <w:szCs w:val="22"/>
        </w:rPr>
        <w:tab/>
        <w:t xml:space="preserve">Critères d'évaluation de la compatibilité – Récepteurs ILS et VOR de type Montréal </w:t>
      </w:r>
      <w:r w:rsidRPr="00B45125">
        <w:rPr>
          <w:sz w:val="22"/>
          <w:szCs w:val="22"/>
        </w:rPr>
        <w:t>(voir les définitions dans l'Annexe 4)</w:t>
      </w:r>
      <w:bookmarkEnd w:id="26"/>
    </w:p>
    <w:p w:rsidR="002D679B" w:rsidRPr="00202380" w:rsidRDefault="002D679B" w:rsidP="00202380">
      <w:pPr>
        <w:pStyle w:val="Heading3"/>
        <w:rPr>
          <w:sz w:val="20"/>
        </w:rPr>
      </w:pPr>
      <w:r w:rsidRPr="00202380">
        <w:rPr>
          <w:sz w:val="20"/>
        </w:rPr>
        <w:t>4.2.1</w:t>
      </w:r>
      <w:r w:rsidRPr="00202380">
        <w:rPr>
          <w:sz w:val="20"/>
        </w:rPr>
        <w:tab/>
        <w:t>Brouillage de type A1</w:t>
      </w:r>
    </w:p>
    <w:p w:rsidR="002D679B" w:rsidRPr="002D679B" w:rsidRDefault="002D679B" w:rsidP="002D679B">
      <w:pPr>
        <w:spacing w:before="136"/>
        <w:rPr>
          <w:sz w:val="20"/>
        </w:rPr>
      </w:pPr>
      <w:r w:rsidRPr="002D679B">
        <w:rPr>
          <w:sz w:val="20"/>
        </w:rPr>
        <w:t>Le Tableau 2 indique les valeurs du rapport de protection à utiliser. Il n'est pas nécessaire de prendre en considération le brouillage de type A1 pour des différences de fréquences supérieures à 200 Hz.</w:t>
      </w:r>
    </w:p>
    <w:p w:rsidR="002D679B" w:rsidRPr="002D679B" w:rsidRDefault="002D679B" w:rsidP="002D679B">
      <w:pPr>
        <w:keepNext/>
        <w:tabs>
          <w:tab w:val="clear" w:pos="794"/>
          <w:tab w:val="clear" w:pos="1191"/>
          <w:tab w:val="clear" w:pos="1588"/>
          <w:tab w:val="clear" w:pos="1985"/>
        </w:tabs>
        <w:spacing w:before="284" w:after="113"/>
        <w:jc w:val="center"/>
        <w:rPr>
          <w:sz w:val="18"/>
        </w:rPr>
      </w:pPr>
      <w:r w:rsidRPr="002D679B">
        <w:rPr>
          <w:sz w:val="18"/>
        </w:rPr>
        <w:t>TABLEAU  2</w:t>
      </w:r>
    </w:p>
    <w:p w:rsidR="002D679B" w:rsidRPr="002D679B" w:rsidRDefault="002D679B" w:rsidP="002D679B">
      <w:pPr>
        <w:keepNext/>
        <w:keepLines/>
        <w:tabs>
          <w:tab w:val="clear" w:pos="794"/>
          <w:tab w:val="clear" w:pos="1191"/>
          <w:tab w:val="clear" w:pos="1588"/>
          <w:tab w:val="clear" w:pos="1985"/>
        </w:tabs>
        <w:spacing w:before="0"/>
        <w:rPr>
          <w:sz w:val="16"/>
        </w:rPr>
      </w:pPr>
    </w:p>
    <w:tbl>
      <w:tblPr>
        <w:tblW w:w="0" w:type="auto"/>
        <w:jc w:val="center"/>
        <w:tblLayout w:type="fixed"/>
        <w:tblCellMar>
          <w:left w:w="0" w:type="dxa"/>
          <w:right w:w="0" w:type="dxa"/>
        </w:tblCellMar>
        <w:tblLook w:val="0000" w:firstRow="0" w:lastRow="0" w:firstColumn="0" w:lastColumn="0" w:noHBand="0" w:noVBand="0"/>
      </w:tblPr>
      <w:tblGrid>
        <w:gridCol w:w="3862"/>
        <w:gridCol w:w="2614"/>
      </w:tblGrid>
      <w:tr w:rsidR="002D679B" w:rsidRPr="002D679B" w:rsidTr="002D679B">
        <w:trPr>
          <w:cantSplit/>
          <w:jc w:val="center"/>
        </w:trPr>
        <w:tc>
          <w:tcPr>
            <w:tcW w:w="386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 xml:space="preserve">Différence de fréquences entre le signal utile </w:t>
            </w:r>
            <w:r w:rsidRPr="002D679B">
              <w:rPr>
                <w:sz w:val="18"/>
              </w:rPr>
              <w:br/>
              <w:t>et les rayonnements non essentiels</w:t>
            </w:r>
            <w:r w:rsidRPr="002D679B">
              <w:rPr>
                <w:sz w:val="18"/>
              </w:rPr>
              <w:br/>
              <w:t>(kHz)</w:t>
            </w:r>
          </w:p>
        </w:tc>
        <w:tc>
          <w:tcPr>
            <w:tcW w:w="261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160" w:after="80" w:line="190" w:lineRule="exact"/>
              <w:jc w:val="center"/>
              <w:rPr>
                <w:sz w:val="18"/>
              </w:rPr>
            </w:pPr>
            <w:r w:rsidRPr="002D679B">
              <w:rPr>
                <w:sz w:val="18"/>
              </w:rPr>
              <w:t>Rapport de protection</w:t>
            </w:r>
            <w:r w:rsidRPr="002D679B">
              <w:rPr>
                <w:sz w:val="18"/>
              </w:rPr>
              <w:br/>
              <w:t>(dB)</w:t>
            </w:r>
          </w:p>
        </w:tc>
      </w:tr>
      <w:tr w:rsidR="002D679B" w:rsidRPr="002D679B" w:rsidTr="002D679B">
        <w:trPr>
          <w:cantSplit/>
          <w:jc w:val="center"/>
        </w:trPr>
        <w:tc>
          <w:tcPr>
            <w:tcW w:w="3862" w:type="dxa"/>
            <w:tcBorders>
              <w:top w:val="single" w:sz="6" w:space="0" w:color="auto"/>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color w:val="FFFFFF"/>
                <w:sz w:val="18"/>
              </w:rPr>
              <w:t>00</w:t>
            </w:r>
            <w:r w:rsidRPr="002D679B">
              <w:rPr>
                <w:sz w:val="18"/>
              </w:rPr>
              <w:t>0</w:t>
            </w:r>
          </w:p>
        </w:tc>
        <w:tc>
          <w:tcPr>
            <w:tcW w:w="2614" w:type="dxa"/>
            <w:tcBorders>
              <w:top w:val="single" w:sz="6" w:space="0" w:color="auto"/>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color w:val="FFFFFF"/>
                <w:sz w:val="18"/>
              </w:rPr>
              <w:t>2</w:t>
            </w:r>
            <w:r w:rsidRPr="002D679B">
              <w:rPr>
                <w:sz w:val="18"/>
              </w:rPr>
              <w:t>14</w:t>
            </w:r>
          </w:p>
        </w:tc>
      </w:tr>
      <w:tr w:rsidR="002D679B" w:rsidRPr="002D679B" w:rsidTr="002D679B">
        <w:trPr>
          <w:cantSplit/>
          <w:jc w:val="center"/>
        </w:trPr>
        <w:tc>
          <w:tcPr>
            <w:tcW w:w="3862"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color w:val="FFFFFF"/>
                <w:sz w:val="18"/>
              </w:rPr>
              <w:t>0</w:t>
            </w:r>
            <w:r w:rsidRPr="002D679B">
              <w:rPr>
                <w:sz w:val="18"/>
              </w:rPr>
              <w:t>50</w:t>
            </w:r>
          </w:p>
        </w:tc>
        <w:tc>
          <w:tcPr>
            <w:tcW w:w="2614"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color w:val="FFFFFF"/>
                <w:sz w:val="18"/>
              </w:rPr>
              <w:t>00</w:t>
            </w:r>
            <w:r w:rsidRPr="002D679B">
              <w:rPr>
                <w:sz w:val="18"/>
              </w:rPr>
              <w:t>7</w:t>
            </w:r>
          </w:p>
        </w:tc>
      </w:tr>
      <w:tr w:rsidR="002D679B" w:rsidRPr="002D679B" w:rsidTr="002D679B">
        <w:trPr>
          <w:cantSplit/>
          <w:jc w:val="center"/>
        </w:trPr>
        <w:tc>
          <w:tcPr>
            <w:tcW w:w="3862"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100</w:t>
            </w:r>
          </w:p>
        </w:tc>
        <w:tc>
          <w:tcPr>
            <w:tcW w:w="2614"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color w:val="FFFFFF"/>
                <w:sz w:val="18"/>
              </w:rPr>
              <w:t>0</w:t>
            </w:r>
            <w:r w:rsidRPr="002D679B">
              <w:rPr>
                <w:sz w:val="18"/>
              </w:rPr>
              <w:t>–4</w:t>
            </w:r>
          </w:p>
        </w:tc>
      </w:tr>
      <w:tr w:rsidR="002D679B" w:rsidRPr="002D679B" w:rsidTr="002D679B">
        <w:trPr>
          <w:cantSplit/>
          <w:jc w:val="center"/>
        </w:trPr>
        <w:tc>
          <w:tcPr>
            <w:tcW w:w="3862"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150</w:t>
            </w:r>
          </w:p>
        </w:tc>
        <w:tc>
          <w:tcPr>
            <w:tcW w:w="2614"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–19</w:t>
            </w:r>
          </w:p>
        </w:tc>
      </w:tr>
      <w:tr w:rsidR="002D679B" w:rsidRPr="002D679B" w:rsidTr="002D679B">
        <w:trPr>
          <w:cantSplit/>
          <w:jc w:val="center"/>
        </w:trPr>
        <w:tc>
          <w:tcPr>
            <w:tcW w:w="3862" w:type="dxa"/>
            <w:tcBorders>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200</w:t>
            </w:r>
          </w:p>
        </w:tc>
        <w:tc>
          <w:tcPr>
            <w:tcW w:w="2614" w:type="dxa"/>
            <w:tcBorders>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–38</w:t>
            </w:r>
          </w:p>
        </w:tc>
      </w:tr>
    </w:tbl>
    <w:p w:rsidR="002D679B" w:rsidRPr="002D679B" w:rsidRDefault="002D679B" w:rsidP="002D679B">
      <w:pPr>
        <w:spacing w:before="0"/>
        <w:rPr>
          <w:sz w:val="20"/>
        </w:rPr>
      </w:pPr>
    </w:p>
    <w:p w:rsidR="002D679B" w:rsidRPr="00202380" w:rsidRDefault="002D679B" w:rsidP="00202380">
      <w:pPr>
        <w:pStyle w:val="Heading3"/>
        <w:rPr>
          <w:sz w:val="20"/>
        </w:rPr>
      </w:pPr>
      <w:r w:rsidRPr="00202380">
        <w:rPr>
          <w:sz w:val="20"/>
        </w:rPr>
        <w:t>4.2.2</w:t>
      </w:r>
      <w:r w:rsidRPr="00202380">
        <w:rPr>
          <w:sz w:val="20"/>
        </w:rPr>
        <w:tab/>
        <w:t>Brouillage de type A2</w:t>
      </w:r>
    </w:p>
    <w:p w:rsidR="002D679B" w:rsidRPr="002D679B" w:rsidRDefault="002D679B" w:rsidP="002D679B">
      <w:pPr>
        <w:spacing w:before="136"/>
        <w:rPr>
          <w:sz w:val="20"/>
        </w:rPr>
      </w:pPr>
      <w:r w:rsidRPr="002D679B">
        <w:rPr>
          <w:sz w:val="20"/>
        </w:rPr>
        <w:t>Le Tableau 3 indique les valeurs du rapport de protection à utiliser. Il n'est pas nécessaire de prendre en considération le brouillage de type A2 pour des différences de fréquences supérieures à 300 kHz.</w:t>
      </w:r>
    </w:p>
    <w:p w:rsidR="002D679B" w:rsidRPr="00202380" w:rsidRDefault="002D679B" w:rsidP="00202380">
      <w:pPr>
        <w:pStyle w:val="Heading3"/>
        <w:rPr>
          <w:sz w:val="20"/>
        </w:rPr>
      </w:pPr>
      <w:r w:rsidRPr="00202380">
        <w:rPr>
          <w:sz w:val="20"/>
        </w:rPr>
        <w:t>4.2.3</w:t>
      </w:r>
      <w:r w:rsidRPr="00202380">
        <w:rPr>
          <w:sz w:val="20"/>
        </w:rPr>
        <w:tab/>
        <w:t>Brouillage de type B1</w:t>
      </w:r>
    </w:p>
    <w:p w:rsidR="002D679B" w:rsidRPr="00202380" w:rsidRDefault="002D679B" w:rsidP="00202380">
      <w:pPr>
        <w:pStyle w:val="Heading4"/>
        <w:rPr>
          <w:sz w:val="20"/>
        </w:rPr>
      </w:pPr>
      <w:r w:rsidRPr="00202380">
        <w:rPr>
          <w:sz w:val="20"/>
        </w:rPr>
        <w:t>4.2.3.1</w:t>
      </w:r>
      <w:r w:rsidRPr="00202380">
        <w:rPr>
          <w:sz w:val="20"/>
        </w:rPr>
        <w:tab/>
        <w:t>Formules d'évaluation de la compatibilité</w:t>
      </w:r>
    </w:p>
    <w:p w:rsidR="002D679B" w:rsidRPr="002D679B" w:rsidRDefault="002D679B" w:rsidP="002D679B">
      <w:pPr>
        <w:spacing w:before="136"/>
        <w:rPr>
          <w:sz w:val="20"/>
        </w:rPr>
      </w:pPr>
      <w:r w:rsidRPr="002D679B">
        <w:rPr>
          <w:sz w:val="20"/>
        </w:rPr>
        <w:t>Comte tenu du fait que les récepteurs des radiophares d'alignement de piste ILS et des VOR soumis aux essais présentent une faible immunité aux brouillages de type B1, les formules suivantes devraient être utilisées pour évaluer les incompatibilités potentielles.</w:t>
      </w:r>
    </w:p>
    <w:p w:rsidR="002D679B" w:rsidRPr="002D679B" w:rsidRDefault="002D679B" w:rsidP="002D679B">
      <w:pPr>
        <w:tabs>
          <w:tab w:val="clear" w:pos="794"/>
          <w:tab w:val="clear" w:pos="1191"/>
          <w:tab w:val="clear" w:pos="1588"/>
          <w:tab w:val="clear" w:pos="1985"/>
        </w:tabs>
        <w:spacing w:before="80"/>
        <w:rPr>
          <w:sz w:val="20"/>
        </w:rPr>
      </w:pPr>
      <w:r w:rsidRPr="002D679B">
        <w:rPr>
          <w:sz w:val="20"/>
        </w:rPr>
        <w:t>NOTE 1 – Il y a incompatibilité (voir la définition dans l'Annexe 4) potentielle si la formule pertinente est vérifiée.</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a)</w:t>
      </w:r>
      <w:r w:rsidRPr="002D679B">
        <w:rPr>
          <w:sz w:val="20"/>
        </w:rPr>
        <w:tab/>
      </w:r>
      <w:r w:rsidRPr="002D679B">
        <w:rPr>
          <w:i/>
          <w:sz w:val="20"/>
        </w:rPr>
        <w:t>Cas de deux signaux:</w:t>
      </w:r>
      <w:r w:rsidRPr="002D679B">
        <w:rPr>
          <w:sz w:val="20"/>
        </w:rPr>
        <w:t xml:space="preserve">  récepteur de type Montréal</w:t>
      </w:r>
    </w:p>
    <w:p w:rsidR="002D679B" w:rsidRPr="002D679B" w:rsidRDefault="002D679B" w:rsidP="002D679B">
      <w:pPr>
        <w:tabs>
          <w:tab w:val="clear" w:pos="1191"/>
          <w:tab w:val="clear" w:pos="1588"/>
          <w:tab w:val="clear" w:pos="1985"/>
          <w:tab w:val="left" w:pos="2438"/>
          <w:tab w:val="center" w:pos="4849"/>
          <w:tab w:val="right" w:pos="9696"/>
        </w:tabs>
        <w:spacing w:before="140" w:after="40"/>
        <w:jc w:val="left"/>
        <w:rPr>
          <w:sz w:val="22"/>
        </w:rPr>
      </w:pPr>
      <w:r w:rsidRPr="002D679B">
        <w:rPr>
          <w:sz w:val="22"/>
        </w:rPr>
        <w:tab/>
      </w:r>
      <w:r w:rsidRPr="002D679B">
        <w:rPr>
          <w:sz w:val="22"/>
        </w:rPr>
        <w:tab/>
        <w:t>2 {</w:t>
      </w:r>
      <w:r w:rsidRPr="002D679B">
        <w:rPr>
          <w:sz w:val="12"/>
        </w:rPr>
        <w:t> </w:t>
      </w:r>
      <w:r w:rsidRPr="002D679B">
        <w:rPr>
          <w:i/>
          <w:sz w:val="22"/>
        </w:rPr>
        <w:t>N</w:t>
      </w:r>
      <w:r w:rsidRPr="002D679B">
        <w:rPr>
          <w:position w:val="-4"/>
          <w:sz w:val="18"/>
        </w:rPr>
        <w:t>1</w:t>
      </w:r>
      <w:r w:rsidRPr="002D679B">
        <w:rPr>
          <w:sz w:val="22"/>
        </w:rPr>
        <w:t xml:space="preserve">  –  28 log {max (1,0;  </w:t>
      </w:r>
      <w:r w:rsidRPr="002D679B">
        <w:rPr>
          <w:i/>
          <w:sz w:val="22"/>
        </w:rPr>
        <w:t>f</w:t>
      </w:r>
      <w:r w:rsidRPr="002D679B">
        <w:rPr>
          <w:i/>
          <w:position w:val="-4"/>
          <w:sz w:val="18"/>
        </w:rPr>
        <w:t>A</w:t>
      </w:r>
      <w:r w:rsidRPr="002D679B">
        <w:rPr>
          <w:sz w:val="22"/>
        </w:rPr>
        <w:t xml:space="preserve">  –  </w:t>
      </w:r>
      <w:r w:rsidRPr="002D679B">
        <w:rPr>
          <w:i/>
          <w:sz w:val="22"/>
        </w:rPr>
        <w:t>f</w:t>
      </w:r>
      <w:r w:rsidRPr="002D679B">
        <w:rPr>
          <w:position w:val="-4"/>
          <w:sz w:val="18"/>
        </w:rPr>
        <w:t>1</w:t>
      </w:r>
      <w:r w:rsidRPr="002D679B">
        <w:rPr>
          <w:sz w:val="22"/>
        </w:rPr>
        <w:t xml:space="preserve">)}}  </w:t>
      </w:r>
      <w:r w:rsidRPr="002D679B">
        <w:rPr>
          <w:rFonts w:ascii="Symbol" w:hAnsi="Symbol"/>
          <w:sz w:val="22"/>
          <w:lang w:val="en-GB"/>
        </w:rPr>
        <w:t></w:t>
      </w:r>
      <w:r w:rsidRPr="002D679B">
        <w:rPr>
          <w:sz w:val="22"/>
        </w:rPr>
        <w:t xml:space="preserve">  </w:t>
      </w:r>
    </w:p>
    <w:p w:rsidR="002D679B" w:rsidRPr="002D679B" w:rsidRDefault="002D679B" w:rsidP="002D679B">
      <w:pPr>
        <w:tabs>
          <w:tab w:val="clear" w:pos="1191"/>
          <w:tab w:val="clear" w:pos="1588"/>
          <w:tab w:val="clear" w:pos="1985"/>
          <w:tab w:val="left" w:pos="2438"/>
          <w:tab w:val="left" w:pos="2722"/>
          <w:tab w:val="center" w:pos="4849"/>
          <w:tab w:val="right" w:pos="9696"/>
        </w:tabs>
        <w:spacing w:before="140" w:after="40"/>
        <w:jc w:val="left"/>
        <w:rPr>
          <w:sz w:val="22"/>
        </w:rPr>
      </w:pPr>
      <w:r w:rsidRPr="002D679B">
        <w:rPr>
          <w:sz w:val="22"/>
        </w:rPr>
        <w:tab/>
      </w:r>
      <w:r w:rsidRPr="002D679B">
        <w:rPr>
          <w:sz w:val="22"/>
        </w:rPr>
        <w:tab/>
      </w:r>
      <w:r w:rsidRPr="002D679B">
        <w:rPr>
          <w:sz w:val="22"/>
        </w:rPr>
        <w:tab/>
      </w:r>
      <w:r w:rsidRPr="002D679B">
        <w:rPr>
          <w:i/>
          <w:sz w:val="22"/>
        </w:rPr>
        <w:t>N</w:t>
      </w:r>
      <w:r w:rsidRPr="002D679B">
        <w:rPr>
          <w:position w:val="-4"/>
          <w:sz w:val="18"/>
        </w:rPr>
        <w:t>2</w:t>
      </w:r>
      <w:r w:rsidRPr="002D679B">
        <w:rPr>
          <w:sz w:val="22"/>
        </w:rPr>
        <w:t xml:space="preserve">  –  28 log {max (1,0;  </w:t>
      </w:r>
      <w:r w:rsidRPr="002D679B">
        <w:rPr>
          <w:i/>
          <w:sz w:val="22"/>
        </w:rPr>
        <w:t>f</w:t>
      </w:r>
      <w:r w:rsidRPr="002D679B">
        <w:rPr>
          <w:i/>
          <w:position w:val="-4"/>
          <w:sz w:val="18"/>
        </w:rPr>
        <w:t>A</w:t>
      </w:r>
      <w:r w:rsidRPr="002D679B">
        <w:rPr>
          <w:position w:val="-3"/>
          <w:sz w:val="18"/>
        </w:rPr>
        <w:t xml:space="preserve">  </w:t>
      </w:r>
      <w:r w:rsidRPr="002D679B">
        <w:rPr>
          <w:sz w:val="22"/>
        </w:rPr>
        <w:t xml:space="preserve">–  </w:t>
      </w:r>
      <w:r w:rsidRPr="002D679B">
        <w:rPr>
          <w:i/>
          <w:sz w:val="22"/>
        </w:rPr>
        <w:t>f</w:t>
      </w:r>
      <w:r w:rsidRPr="002D679B">
        <w:rPr>
          <w:position w:val="-4"/>
          <w:sz w:val="18"/>
        </w:rPr>
        <w:t>2</w:t>
      </w:r>
      <w:r w:rsidRPr="002D679B">
        <w:rPr>
          <w:sz w:val="22"/>
        </w:rPr>
        <w:t xml:space="preserve">)}  </w:t>
      </w:r>
      <w:r w:rsidRPr="002D679B">
        <w:rPr>
          <w:rFonts w:ascii="Symbol" w:hAnsi="Symbol"/>
          <w:sz w:val="22"/>
          <w:lang w:val="en-GB"/>
        </w:rPr>
        <w:t></w:t>
      </w:r>
      <w:r w:rsidRPr="002D679B">
        <w:rPr>
          <w:sz w:val="22"/>
        </w:rPr>
        <w:t xml:space="preserve">  </w:t>
      </w:r>
      <w:r w:rsidRPr="002D679B">
        <w:rPr>
          <w:i/>
          <w:sz w:val="22"/>
        </w:rPr>
        <w:t>K</w:t>
      </w:r>
      <w:r w:rsidRPr="002D679B">
        <w:rPr>
          <w:sz w:val="22"/>
        </w:rPr>
        <w:t xml:space="preserve">  –  </w:t>
      </w:r>
      <w:r w:rsidRPr="002D679B">
        <w:rPr>
          <w:i/>
          <w:sz w:val="22"/>
        </w:rPr>
        <w:t>L</w:t>
      </w:r>
      <w:r w:rsidRPr="002D679B">
        <w:rPr>
          <w:i/>
          <w:position w:val="-4"/>
          <w:sz w:val="18"/>
        </w:rPr>
        <w:t>c</w:t>
      </w:r>
      <w:r w:rsidRPr="002D679B">
        <w:rPr>
          <w:sz w:val="22"/>
        </w:rPr>
        <w:t xml:space="preserve">  </w:t>
      </w:r>
      <w:r w:rsidRPr="002D679B">
        <w:rPr>
          <w:rFonts w:ascii="Symbol" w:hAnsi="Symbol"/>
          <w:sz w:val="22"/>
          <w:lang w:val="en-GB"/>
        </w:rPr>
        <w:t></w:t>
      </w:r>
      <w:r w:rsidRPr="002D679B">
        <w:rPr>
          <w:sz w:val="22"/>
        </w:rPr>
        <w:t xml:space="preserve">  0</w:t>
      </w:r>
      <w:r w:rsidRPr="002D679B">
        <w:rPr>
          <w:sz w:val="22"/>
        </w:rPr>
        <w:tab/>
        <w:t>(4)</w:t>
      </w:r>
    </w:p>
    <w:p w:rsidR="002D679B" w:rsidRPr="002D679B" w:rsidRDefault="002D679B" w:rsidP="002D679B">
      <w:pPr>
        <w:keepNext/>
        <w:keepLines/>
        <w:tabs>
          <w:tab w:val="clear" w:pos="794"/>
          <w:tab w:val="clear" w:pos="1191"/>
          <w:tab w:val="clear" w:pos="1588"/>
          <w:tab w:val="clear" w:pos="1985"/>
          <w:tab w:val="left" w:pos="397"/>
        </w:tabs>
        <w:spacing w:before="86"/>
        <w:ind w:left="397" w:hanging="397"/>
        <w:rPr>
          <w:sz w:val="20"/>
        </w:rPr>
      </w:pPr>
      <w:r w:rsidRPr="002D679B">
        <w:rPr>
          <w:sz w:val="20"/>
        </w:rPr>
        <w:t>b)</w:t>
      </w:r>
      <w:r w:rsidRPr="002D679B">
        <w:rPr>
          <w:sz w:val="20"/>
        </w:rPr>
        <w:tab/>
      </w:r>
      <w:r w:rsidRPr="002D679B">
        <w:rPr>
          <w:i/>
          <w:sz w:val="20"/>
        </w:rPr>
        <w:t>Cas de trois signaux:</w:t>
      </w:r>
      <w:r w:rsidRPr="002D679B">
        <w:rPr>
          <w:sz w:val="20"/>
        </w:rPr>
        <w:t xml:space="preserve">  récepteur de type Montréal</w:t>
      </w:r>
    </w:p>
    <w:p w:rsidR="002D679B" w:rsidRPr="002D679B" w:rsidRDefault="002D679B" w:rsidP="002D679B">
      <w:pPr>
        <w:tabs>
          <w:tab w:val="clear" w:pos="1191"/>
          <w:tab w:val="clear" w:pos="1588"/>
          <w:tab w:val="clear" w:pos="1985"/>
          <w:tab w:val="left" w:pos="2381"/>
          <w:tab w:val="center" w:pos="4849"/>
          <w:tab w:val="right" w:pos="9696"/>
        </w:tabs>
        <w:spacing w:before="140" w:after="40"/>
        <w:jc w:val="left"/>
        <w:rPr>
          <w:sz w:val="22"/>
        </w:rPr>
      </w:pPr>
      <w:r w:rsidRPr="002D679B">
        <w:rPr>
          <w:sz w:val="22"/>
        </w:rPr>
        <w:tab/>
      </w:r>
      <w:r w:rsidRPr="002D679B">
        <w:rPr>
          <w:sz w:val="22"/>
        </w:rPr>
        <w:tab/>
      </w:r>
      <w:r w:rsidRPr="002D679B">
        <w:rPr>
          <w:i/>
          <w:sz w:val="22"/>
        </w:rPr>
        <w:t>N</w:t>
      </w:r>
      <w:r w:rsidRPr="002D679B">
        <w:rPr>
          <w:position w:val="-4"/>
          <w:sz w:val="18"/>
        </w:rPr>
        <w:t>1</w:t>
      </w:r>
      <w:r w:rsidRPr="002D679B">
        <w:rPr>
          <w:sz w:val="22"/>
        </w:rPr>
        <w:t xml:space="preserve">  –  28 log {max (1,0;  </w:t>
      </w:r>
      <w:r w:rsidRPr="002D679B">
        <w:rPr>
          <w:i/>
          <w:sz w:val="22"/>
        </w:rPr>
        <w:t>f</w:t>
      </w:r>
      <w:r w:rsidRPr="002D679B">
        <w:rPr>
          <w:i/>
          <w:position w:val="-4"/>
          <w:sz w:val="18"/>
        </w:rPr>
        <w:t>A</w:t>
      </w:r>
      <w:r w:rsidRPr="002D679B">
        <w:rPr>
          <w:sz w:val="22"/>
        </w:rPr>
        <w:t xml:space="preserve">  –  </w:t>
      </w:r>
      <w:r w:rsidRPr="002D679B">
        <w:rPr>
          <w:i/>
          <w:sz w:val="22"/>
        </w:rPr>
        <w:t>f</w:t>
      </w:r>
      <w:r w:rsidRPr="002D679B">
        <w:rPr>
          <w:position w:val="-4"/>
          <w:sz w:val="18"/>
        </w:rPr>
        <w:t>1</w:t>
      </w:r>
      <w:r w:rsidRPr="002D679B">
        <w:rPr>
          <w:sz w:val="22"/>
        </w:rPr>
        <w:t xml:space="preserve">)}  </w:t>
      </w:r>
      <w:r w:rsidRPr="002D679B">
        <w:rPr>
          <w:rFonts w:ascii="Symbol" w:hAnsi="Symbol"/>
          <w:sz w:val="22"/>
          <w:lang w:val="en-GB"/>
        </w:rPr>
        <w:t></w:t>
      </w:r>
    </w:p>
    <w:p w:rsidR="002D679B" w:rsidRPr="002D679B" w:rsidRDefault="002D679B" w:rsidP="002D679B">
      <w:pPr>
        <w:tabs>
          <w:tab w:val="clear" w:pos="1191"/>
          <w:tab w:val="clear" w:pos="1588"/>
          <w:tab w:val="clear" w:pos="1985"/>
          <w:tab w:val="left" w:pos="2381"/>
          <w:tab w:val="center" w:pos="4849"/>
          <w:tab w:val="right" w:pos="9696"/>
        </w:tabs>
        <w:spacing w:before="140" w:after="40"/>
        <w:jc w:val="left"/>
        <w:rPr>
          <w:sz w:val="22"/>
        </w:rPr>
      </w:pPr>
      <w:r w:rsidRPr="002D679B">
        <w:rPr>
          <w:sz w:val="22"/>
        </w:rPr>
        <w:tab/>
      </w:r>
      <w:r w:rsidRPr="002D679B">
        <w:rPr>
          <w:sz w:val="22"/>
        </w:rPr>
        <w:tab/>
      </w:r>
      <w:r w:rsidRPr="002D679B">
        <w:rPr>
          <w:i/>
          <w:sz w:val="22"/>
        </w:rPr>
        <w:t>N</w:t>
      </w:r>
      <w:r w:rsidRPr="002D679B">
        <w:rPr>
          <w:position w:val="-4"/>
          <w:sz w:val="18"/>
        </w:rPr>
        <w:t>2</w:t>
      </w:r>
      <w:r w:rsidRPr="002D679B">
        <w:rPr>
          <w:sz w:val="22"/>
        </w:rPr>
        <w:t xml:space="preserve">  –  28 log {max (1,0;  </w:t>
      </w:r>
      <w:r w:rsidRPr="002D679B">
        <w:rPr>
          <w:i/>
          <w:sz w:val="22"/>
        </w:rPr>
        <w:t>f</w:t>
      </w:r>
      <w:r w:rsidRPr="002D679B">
        <w:rPr>
          <w:i/>
          <w:position w:val="-4"/>
          <w:sz w:val="18"/>
        </w:rPr>
        <w:t>A</w:t>
      </w:r>
      <w:r w:rsidRPr="002D679B">
        <w:rPr>
          <w:sz w:val="22"/>
        </w:rPr>
        <w:t xml:space="preserve">  –  </w:t>
      </w:r>
      <w:r w:rsidRPr="002D679B">
        <w:rPr>
          <w:i/>
          <w:sz w:val="22"/>
        </w:rPr>
        <w:t>f</w:t>
      </w:r>
      <w:r w:rsidRPr="002D679B">
        <w:rPr>
          <w:position w:val="-4"/>
          <w:sz w:val="18"/>
        </w:rPr>
        <w:t>2</w:t>
      </w:r>
      <w:r w:rsidRPr="002D679B">
        <w:rPr>
          <w:sz w:val="22"/>
        </w:rPr>
        <w:t xml:space="preserve">)}  </w:t>
      </w:r>
      <w:r w:rsidRPr="002D679B">
        <w:rPr>
          <w:rFonts w:ascii="Symbol" w:hAnsi="Symbol"/>
          <w:sz w:val="22"/>
          <w:lang w:val="en-GB"/>
        </w:rPr>
        <w:t></w:t>
      </w:r>
    </w:p>
    <w:p w:rsidR="002D679B" w:rsidRPr="002D679B" w:rsidRDefault="002D679B" w:rsidP="002D679B">
      <w:pPr>
        <w:tabs>
          <w:tab w:val="clear" w:pos="1191"/>
          <w:tab w:val="clear" w:pos="1588"/>
          <w:tab w:val="clear" w:pos="1985"/>
          <w:tab w:val="left" w:pos="2381"/>
          <w:tab w:val="center" w:pos="4849"/>
          <w:tab w:val="right" w:pos="9696"/>
        </w:tabs>
        <w:spacing w:before="140" w:after="40"/>
        <w:jc w:val="left"/>
        <w:rPr>
          <w:sz w:val="22"/>
        </w:rPr>
      </w:pPr>
      <w:r w:rsidRPr="002D679B">
        <w:rPr>
          <w:sz w:val="22"/>
        </w:rPr>
        <w:tab/>
      </w:r>
      <w:r w:rsidRPr="002D679B">
        <w:rPr>
          <w:sz w:val="22"/>
        </w:rPr>
        <w:tab/>
      </w:r>
      <w:r w:rsidRPr="002D679B">
        <w:rPr>
          <w:i/>
          <w:sz w:val="22"/>
        </w:rPr>
        <w:t>N</w:t>
      </w:r>
      <w:r w:rsidRPr="002D679B">
        <w:rPr>
          <w:position w:val="-4"/>
          <w:sz w:val="18"/>
        </w:rPr>
        <w:t>3</w:t>
      </w:r>
      <w:r w:rsidRPr="002D679B">
        <w:rPr>
          <w:sz w:val="22"/>
        </w:rPr>
        <w:t xml:space="preserve">  –  28 log {max (1,0;  </w:t>
      </w:r>
      <w:r w:rsidRPr="002D679B">
        <w:rPr>
          <w:i/>
          <w:sz w:val="22"/>
        </w:rPr>
        <w:t>f</w:t>
      </w:r>
      <w:r w:rsidRPr="002D679B">
        <w:rPr>
          <w:i/>
          <w:position w:val="-4"/>
          <w:sz w:val="18"/>
        </w:rPr>
        <w:t>A</w:t>
      </w:r>
      <w:r w:rsidRPr="002D679B">
        <w:rPr>
          <w:sz w:val="22"/>
        </w:rPr>
        <w:t xml:space="preserve">  –  </w:t>
      </w:r>
      <w:r w:rsidRPr="002D679B">
        <w:rPr>
          <w:i/>
          <w:sz w:val="22"/>
        </w:rPr>
        <w:t>f</w:t>
      </w:r>
      <w:r w:rsidRPr="002D679B">
        <w:rPr>
          <w:position w:val="-4"/>
          <w:sz w:val="18"/>
        </w:rPr>
        <w:t>3</w:t>
      </w:r>
      <w:r w:rsidRPr="002D679B">
        <w:rPr>
          <w:sz w:val="22"/>
        </w:rPr>
        <w:t xml:space="preserve">)}  </w:t>
      </w:r>
      <w:r w:rsidRPr="002D679B">
        <w:rPr>
          <w:rFonts w:ascii="Symbol" w:hAnsi="Symbol"/>
          <w:sz w:val="22"/>
          <w:lang w:val="en-GB"/>
        </w:rPr>
        <w:t></w:t>
      </w:r>
      <w:r w:rsidRPr="002D679B">
        <w:rPr>
          <w:sz w:val="22"/>
        </w:rPr>
        <w:t xml:space="preserve">  </w:t>
      </w:r>
      <w:r w:rsidRPr="002D679B">
        <w:rPr>
          <w:i/>
          <w:sz w:val="22"/>
        </w:rPr>
        <w:t>K</w:t>
      </w:r>
      <w:r w:rsidRPr="002D679B">
        <w:rPr>
          <w:sz w:val="22"/>
        </w:rPr>
        <w:t xml:space="preserve">  </w:t>
      </w:r>
      <w:r w:rsidRPr="002D679B">
        <w:rPr>
          <w:rFonts w:ascii="Symbol" w:hAnsi="Symbol"/>
          <w:sz w:val="22"/>
          <w:lang w:val="en-GB"/>
        </w:rPr>
        <w:t></w:t>
      </w:r>
      <w:r w:rsidRPr="002D679B">
        <w:rPr>
          <w:sz w:val="22"/>
        </w:rPr>
        <w:t xml:space="preserve">  6  –  </w:t>
      </w:r>
      <w:r w:rsidRPr="002D679B">
        <w:rPr>
          <w:i/>
          <w:sz w:val="22"/>
        </w:rPr>
        <w:t>L</w:t>
      </w:r>
      <w:r w:rsidRPr="002D679B">
        <w:rPr>
          <w:i/>
          <w:position w:val="-4"/>
          <w:sz w:val="18"/>
        </w:rPr>
        <w:t>c</w:t>
      </w:r>
      <w:r w:rsidRPr="002D679B">
        <w:rPr>
          <w:sz w:val="22"/>
        </w:rPr>
        <w:t xml:space="preserve">  </w:t>
      </w:r>
      <w:r w:rsidRPr="002D679B">
        <w:rPr>
          <w:rFonts w:ascii="Symbol" w:hAnsi="Symbol"/>
          <w:sz w:val="22"/>
          <w:lang w:val="en-GB"/>
        </w:rPr>
        <w:t></w:t>
      </w:r>
      <w:r w:rsidRPr="002D679B">
        <w:rPr>
          <w:sz w:val="22"/>
        </w:rPr>
        <w:t xml:space="preserve">  0</w:t>
      </w:r>
      <w:r w:rsidRPr="002D679B">
        <w:rPr>
          <w:sz w:val="22"/>
        </w:rPr>
        <w:tab/>
        <w:t>(5)</w:t>
      </w:r>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985"/>
          <w:tab w:val="left" w:pos="397"/>
        </w:tabs>
        <w:spacing w:before="86"/>
        <w:ind w:left="1588" w:hanging="1588"/>
        <w:rPr>
          <w:sz w:val="20"/>
        </w:rPr>
      </w:pPr>
      <w:r w:rsidRPr="002D679B">
        <w:rPr>
          <w:i/>
          <w:sz w:val="20"/>
        </w:rPr>
        <w:tab/>
        <w:t>N</w:t>
      </w:r>
      <w:r w:rsidRPr="002D679B">
        <w:rPr>
          <w:position w:val="-4"/>
          <w:sz w:val="16"/>
        </w:rPr>
        <w:t>1</w:t>
      </w:r>
      <w:r w:rsidRPr="002D679B">
        <w:rPr>
          <w:sz w:val="20"/>
        </w:rPr>
        <w:t xml:space="preserve">, </w:t>
      </w:r>
      <w:r w:rsidRPr="002D679B">
        <w:rPr>
          <w:i/>
          <w:sz w:val="20"/>
        </w:rPr>
        <w:t>N</w:t>
      </w:r>
      <w:r w:rsidRPr="002D679B">
        <w:rPr>
          <w:position w:val="-4"/>
          <w:sz w:val="16"/>
        </w:rPr>
        <w:t>2</w:t>
      </w:r>
      <w:r w:rsidRPr="002D679B">
        <w:rPr>
          <w:sz w:val="20"/>
        </w:rPr>
        <w:t xml:space="preserve"> et </w:t>
      </w:r>
      <w:r w:rsidRPr="002D679B">
        <w:rPr>
          <w:i/>
          <w:sz w:val="20"/>
        </w:rPr>
        <w:t>N</w:t>
      </w:r>
      <w:r w:rsidRPr="002D679B">
        <w:rPr>
          <w:position w:val="-4"/>
          <w:sz w:val="16"/>
        </w:rPr>
        <w:t>3</w:t>
      </w:r>
      <w:r w:rsidRPr="002D679B">
        <w:rPr>
          <w:rFonts w:ascii="Tms Rmn" w:hAnsi="Tms Rmn"/>
          <w:sz w:val="12"/>
        </w:rPr>
        <w:t> </w:t>
      </w:r>
      <w:r w:rsidRPr="002D679B">
        <w:rPr>
          <w:sz w:val="20"/>
        </w:rPr>
        <w:t>:</w:t>
      </w:r>
      <w:r w:rsidRPr="002D679B">
        <w:rPr>
          <w:sz w:val="20"/>
        </w:rPr>
        <w:tab/>
        <w:t xml:space="preserve">niveaux des signaux de radiodiffusion (dBm) à l'entrée du récepteur aéronautique respectivement pour les fréquences </w:t>
      </w:r>
      <w:r w:rsidRPr="002D679B">
        <w:rPr>
          <w:i/>
          <w:sz w:val="20"/>
        </w:rPr>
        <w:t>f</w:t>
      </w:r>
      <w:r w:rsidRPr="002D679B">
        <w:rPr>
          <w:position w:val="-4"/>
          <w:sz w:val="16"/>
        </w:rPr>
        <w:t>1</w:t>
      </w:r>
      <w:r w:rsidRPr="002D679B">
        <w:rPr>
          <w:sz w:val="20"/>
        </w:rPr>
        <w:t xml:space="preserve">, </w:t>
      </w:r>
      <w:r w:rsidRPr="002D679B">
        <w:rPr>
          <w:i/>
          <w:sz w:val="20"/>
        </w:rPr>
        <w:t>f</w:t>
      </w:r>
      <w:r w:rsidRPr="002D679B">
        <w:rPr>
          <w:position w:val="-4"/>
          <w:sz w:val="16"/>
        </w:rPr>
        <w:t>2</w:t>
      </w:r>
      <w:r w:rsidRPr="002D679B">
        <w:rPr>
          <w:sz w:val="20"/>
        </w:rPr>
        <w:t xml:space="preserve"> et </w:t>
      </w:r>
      <w:r w:rsidRPr="002D679B">
        <w:rPr>
          <w:i/>
          <w:sz w:val="20"/>
        </w:rPr>
        <w:t>f</w:t>
      </w:r>
      <w:r w:rsidRPr="002D679B">
        <w:rPr>
          <w:position w:val="-4"/>
          <w:sz w:val="16"/>
        </w:rPr>
        <w:t>3</w:t>
      </w:r>
    </w:p>
    <w:p w:rsidR="002D679B" w:rsidRPr="002D679B" w:rsidRDefault="002D679B" w:rsidP="002D679B">
      <w:pPr>
        <w:tabs>
          <w:tab w:val="clear" w:pos="794"/>
          <w:tab w:val="clear" w:pos="1191"/>
          <w:tab w:val="clear" w:pos="1985"/>
          <w:tab w:val="left" w:pos="397"/>
        </w:tabs>
        <w:spacing w:before="86"/>
        <w:ind w:left="1588" w:hanging="1588"/>
        <w:rPr>
          <w:sz w:val="20"/>
        </w:rPr>
      </w:pPr>
      <w:r w:rsidRPr="002D679B">
        <w:rPr>
          <w:i/>
          <w:sz w:val="20"/>
        </w:rPr>
        <w:tab/>
        <w:t>f</w:t>
      </w:r>
      <w:r w:rsidRPr="002D679B">
        <w:rPr>
          <w:i/>
          <w:position w:val="-4"/>
          <w:sz w:val="16"/>
        </w:rPr>
        <w:t>A</w:t>
      </w:r>
      <w:r w:rsidRPr="002D679B">
        <w:rPr>
          <w:rFonts w:ascii="Tms Rmn" w:hAnsi="Tms Rmn"/>
          <w:sz w:val="12"/>
        </w:rPr>
        <w:t> </w:t>
      </w:r>
      <w:r w:rsidRPr="002D679B">
        <w:rPr>
          <w:sz w:val="20"/>
        </w:rPr>
        <w:t>:</w:t>
      </w:r>
      <w:r w:rsidRPr="002D679B">
        <w:rPr>
          <w:sz w:val="20"/>
        </w:rPr>
        <w:tab/>
        <w:t>fréquence aéronautique (MHz)</w:t>
      </w:r>
    </w:p>
    <w:p w:rsidR="002D679B" w:rsidRPr="002D679B" w:rsidRDefault="002D679B" w:rsidP="002D679B">
      <w:pPr>
        <w:tabs>
          <w:tab w:val="clear" w:pos="794"/>
          <w:tab w:val="clear" w:pos="1191"/>
          <w:tab w:val="clear" w:pos="1985"/>
          <w:tab w:val="left" w:pos="397"/>
        </w:tabs>
        <w:spacing w:before="86"/>
        <w:ind w:left="1588" w:hanging="1588"/>
        <w:rPr>
          <w:sz w:val="20"/>
        </w:rPr>
      </w:pPr>
      <w:r w:rsidRPr="002D679B">
        <w:rPr>
          <w:i/>
          <w:sz w:val="20"/>
        </w:rPr>
        <w:tab/>
        <w:t>f</w:t>
      </w:r>
      <w:r w:rsidRPr="002D679B">
        <w:rPr>
          <w:position w:val="-4"/>
          <w:sz w:val="16"/>
        </w:rPr>
        <w:t>1</w:t>
      </w:r>
      <w:r w:rsidRPr="002D679B">
        <w:rPr>
          <w:sz w:val="20"/>
        </w:rPr>
        <w:t xml:space="preserve">, </w:t>
      </w:r>
      <w:r w:rsidRPr="002D679B">
        <w:rPr>
          <w:i/>
          <w:sz w:val="20"/>
        </w:rPr>
        <w:t>f</w:t>
      </w:r>
      <w:r w:rsidRPr="002D679B">
        <w:rPr>
          <w:position w:val="-4"/>
          <w:sz w:val="16"/>
        </w:rPr>
        <w:t>2</w:t>
      </w:r>
      <w:r w:rsidRPr="002D679B">
        <w:rPr>
          <w:sz w:val="20"/>
        </w:rPr>
        <w:t xml:space="preserve"> et </w:t>
      </w:r>
      <w:r w:rsidRPr="002D679B">
        <w:rPr>
          <w:i/>
          <w:sz w:val="20"/>
        </w:rPr>
        <w:t>f</w:t>
      </w:r>
      <w:r w:rsidRPr="002D679B">
        <w:rPr>
          <w:position w:val="-4"/>
          <w:sz w:val="16"/>
        </w:rPr>
        <w:t>3</w:t>
      </w:r>
      <w:r w:rsidRPr="002D679B">
        <w:rPr>
          <w:rFonts w:ascii="Tms Rmn" w:hAnsi="Tms Rmn"/>
          <w:sz w:val="12"/>
        </w:rPr>
        <w:t> </w:t>
      </w:r>
      <w:r w:rsidRPr="002D679B">
        <w:rPr>
          <w:sz w:val="20"/>
        </w:rPr>
        <w:t>:</w:t>
      </w:r>
      <w:r w:rsidRPr="002D679B">
        <w:rPr>
          <w:sz w:val="20"/>
        </w:rPr>
        <w:tab/>
        <w:t xml:space="preserve">fréquences de radiodiffusion (MHz) telles que </w:t>
      </w:r>
      <w:r w:rsidRPr="002D679B">
        <w:rPr>
          <w:i/>
          <w:sz w:val="20"/>
        </w:rPr>
        <w:t>f</w:t>
      </w:r>
      <w:r w:rsidRPr="002D679B">
        <w:rPr>
          <w:position w:val="-4"/>
          <w:sz w:val="16"/>
        </w:rPr>
        <w:t>1</w:t>
      </w:r>
      <w:r w:rsidRPr="002D679B">
        <w:rPr>
          <w:position w:val="-3"/>
          <w:sz w:val="18"/>
        </w:rPr>
        <w:t xml:space="preserve">  </w:t>
      </w:r>
      <w:r w:rsidRPr="002D679B">
        <w:rPr>
          <w:rFonts w:ascii="Symbol" w:hAnsi="Symbol"/>
          <w:position w:val="-3"/>
          <w:sz w:val="18"/>
          <w:lang w:val="en-GB"/>
        </w:rPr>
        <w:t></w:t>
      </w:r>
      <w:r w:rsidRPr="002D679B">
        <w:rPr>
          <w:position w:val="-3"/>
          <w:sz w:val="18"/>
        </w:rPr>
        <w:t xml:space="preserve">  </w:t>
      </w:r>
      <w:r w:rsidRPr="002D679B">
        <w:rPr>
          <w:i/>
          <w:sz w:val="20"/>
        </w:rPr>
        <w:t>f</w:t>
      </w:r>
      <w:r w:rsidRPr="002D679B">
        <w:rPr>
          <w:position w:val="-4"/>
          <w:sz w:val="16"/>
        </w:rPr>
        <w:t>2</w:t>
      </w:r>
      <w:r w:rsidRPr="002D679B">
        <w:rPr>
          <w:sz w:val="20"/>
        </w:rPr>
        <w:t xml:space="preserve">  </w:t>
      </w:r>
      <w:r w:rsidRPr="002D679B">
        <w:rPr>
          <w:rFonts w:ascii="Symbol" w:hAnsi="Symbol"/>
          <w:sz w:val="20"/>
          <w:lang w:val="en-GB"/>
        </w:rPr>
        <w:t></w:t>
      </w:r>
      <w:r w:rsidRPr="002D679B">
        <w:rPr>
          <w:sz w:val="20"/>
        </w:rPr>
        <w:t xml:space="preserve">  </w:t>
      </w:r>
      <w:r w:rsidRPr="002D679B">
        <w:rPr>
          <w:i/>
          <w:sz w:val="20"/>
        </w:rPr>
        <w:t>f</w:t>
      </w:r>
      <w:r w:rsidRPr="002D679B">
        <w:rPr>
          <w:position w:val="-4"/>
          <w:sz w:val="16"/>
        </w:rPr>
        <w:t>3</w:t>
      </w:r>
    </w:p>
    <w:p w:rsidR="002D679B" w:rsidRPr="002D679B" w:rsidRDefault="002D679B" w:rsidP="002D679B">
      <w:pPr>
        <w:tabs>
          <w:tab w:val="clear" w:pos="794"/>
          <w:tab w:val="clear" w:pos="1191"/>
          <w:tab w:val="clear" w:pos="1985"/>
          <w:tab w:val="left" w:pos="397"/>
        </w:tabs>
        <w:spacing w:before="86"/>
        <w:ind w:left="1588" w:hanging="1588"/>
        <w:rPr>
          <w:sz w:val="20"/>
        </w:rPr>
      </w:pPr>
      <w:r w:rsidRPr="002D679B">
        <w:rPr>
          <w:i/>
          <w:sz w:val="20"/>
        </w:rPr>
        <w:tab/>
        <w:t>K</w:t>
      </w:r>
      <w:r w:rsidRPr="002D679B">
        <w:rPr>
          <w:sz w:val="20"/>
        </w:rPr>
        <w:t xml:space="preserve">  </w:t>
      </w:r>
      <w:r w:rsidRPr="002D679B">
        <w:rPr>
          <w:rFonts w:ascii="Symbol" w:hAnsi="Symbol"/>
          <w:sz w:val="20"/>
          <w:lang w:val="en-GB"/>
        </w:rPr>
        <w:t></w:t>
      </w:r>
      <w:r w:rsidRPr="002D679B">
        <w:rPr>
          <w:sz w:val="20"/>
        </w:rPr>
        <w:tab/>
        <w:t>140 pour les radiophares d'alignement de piste ILS</w:t>
      </w:r>
    </w:p>
    <w:p w:rsidR="002D679B" w:rsidRPr="002D679B" w:rsidRDefault="002D679B" w:rsidP="002D679B">
      <w:pPr>
        <w:tabs>
          <w:tab w:val="clear" w:pos="794"/>
          <w:tab w:val="clear" w:pos="1191"/>
          <w:tab w:val="clear" w:pos="1985"/>
          <w:tab w:val="left" w:pos="397"/>
        </w:tabs>
        <w:spacing w:before="86"/>
        <w:ind w:left="1588" w:hanging="1588"/>
        <w:rPr>
          <w:sz w:val="20"/>
        </w:rPr>
      </w:pPr>
      <w:r w:rsidRPr="002D679B">
        <w:rPr>
          <w:i/>
          <w:sz w:val="20"/>
        </w:rPr>
        <w:tab/>
        <w:t>K</w:t>
      </w:r>
      <w:r w:rsidRPr="002D679B">
        <w:rPr>
          <w:sz w:val="20"/>
        </w:rPr>
        <w:t xml:space="preserve">  </w:t>
      </w:r>
      <w:r w:rsidRPr="002D679B">
        <w:rPr>
          <w:rFonts w:ascii="Symbol" w:hAnsi="Symbol"/>
          <w:sz w:val="20"/>
          <w:lang w:val="en-GB"/>
        </w:rPr>
        <w:t></w:t>
      </w:r>
      <w:r w:rsidRPr="002D679B">
        <w:rPr>
          <w:sz w:val="20"/>
        </w:rPr>
        <w:tab/>
        <w:t>133 pour les VOR</w:t>
      </w:r>
    </w:p>
    <w:p w:rsidR="002D679B" w:rsidRPr="002D679B" w:rsidRDefault="002D679B" w:rsidP="002D679B">
      <w:pPr>
        <w:tabs>
          <w:tab w:val="clear" w:pos="794"/>
          <w:tab w:val="clear" w:pos="1191"/>
          <w:tab w:val="clear" w:pos="1985"/>
          <w:tab w:val="left" w:pos="397"/>
        </w:tabs>
        <w:spacing w:before="86"/>
        <w:ind w:left="1588" w:hanging="1588"/>
        <w:rPr>
          <w:sz w:val="20"/>
        </w:rPr>
      </w:pPr>
      <w:r w:rsidRPr="002D679B">
        <w:rPr>
          <w:i/>
          <w:sz w:val="20"/>
        </w:rPr>
        <w:tab/>
        <w:t>L</w:t>
      </w:r>
      <w:r w:rsidRPr="002D679B">
        <w:rPr>
          <w:i/>
          <w:position w:val="-4"/>
          <w:sz w:val="16"/>
        </w:rPr>
        <w:t>c</w:t>
      </w:r>
      <w:r w:rsidRPr="002D679B">
        <w:rPr>
          <w:rFonts w:ascii="Tms Rmn" w:hAnsi="Tms Rmn"/>
          <w:sz w:val="12"/>
        </w:rPr>
        <w:t> </w:t>
      </w:r>
      <w:r w:rsidRPr="002D679B">
        <w:rPr>
          <w:sz w:val="20"/>
        </w:rPr>
        <w:t>:</w:t>
      </w:r>
      <w:r w:rsidRPr="002D679B">
        <w:rPr>
          <w:sz w:val="20"/>
        </w:rPr>
        <w:tab/>
        <w:t>facteur de correction (dB) à prendre en compte pour les variations des niveaux des signaux VOR et des signaux du radiophare d'alignement de piste ILS (voir le § 4.2.3.3).</w:t>
      </w:r>
    </w:p>
    <w:p w:rsidR="002D679B" w:rsidRPr="002D679B" w:rsidRDefault="002D679B" w:rsidP="002D679B">
      <w:pPr>
        <w:keepNext/>
        <w:tabs>
          <w:tab w:val="clear" w:pos="794"/>
          <w:tab w:val="clear" w:pos="1191"/>
          <w:tab w:val="clear" w:pos="1588"/>
          <w:tab w:val="clear" w:pos="1985"/>
        </w:tabs>
        <w:spacing w:before="567" w:after="60"/>
        <w:jc w:val="center"/>
        <w:rPr>
          <w:sz w:val="18"/>
        </w:rPr>
      </w:pPr>
      <w:r w:rsidRPr="002D679B">
        <w:rPr>
          <w:sz w:val="18"/>
        </w:rPr>
        <w:t>TABLEAU  3</w:t>
      </w:r>
    </w:p>
    <w:p w:rsidR="002D679B" w:rsidRPr="002D679B" w:rsidRDefault="002D679B" w:rsidP="002D679B">
      <w:pPr>
        <w:keepNext/>
        <w:keepLines/>
        <w:tabs>
          <w:tab w:val="clear" w:pos="794"/>
          <w:tab w:val="clear" w:pos="1191"/>
          <w:tab w:val="clear" w:pos="1588"/>
          <w:tab w:val="clear" w:pos="1985"/>
        </w:tabs>
        <w:spacing w:before="0"/>
        <w:rPr>
          <w:sz w:val="16"/>
        </w:rPr>
      </w:pPr>
    </w:p>
    <w:tbl>
      <w:tblPr>
        <w:tblW w:w="0" w:type="auto"/>
        <w:jc w:val="center"/>
        <w:tblLayout w:type="fixed"/>
        <w:tblCellMar>
          <w:left w:w="0" w:type="dxa"/>
          <w:right w:w="0" w:type="dxa"/>
        </w:tblCellMar>
        <w:tblLook w:val="0000" w:firstRow="0" w:lastRow="0" w:firstColumn="0" w:lastColumn="0" w:noHBand="0" w:noVBand="0"/>
      </w:tblPr>
      <w:tblGrid>
        <w:gridCol w:w="3862"/>
        <w:gridCol w:w="2614"/>
      </w:tblGrid>
      <w:tr w:rsidR="002D679B" w:rsidRPr="002D679B" w:rsidTr="002D679B">
        <w:trPr>
          <w:cantSplit/>
          <w:jc w:val="center"/>
        </w:trPr>
        <w:tc>
          <w:tcPr>
            <w:tcW w:w="386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Différence de fréquences entre le signal utile</w:t>
            </w:r>
            <w:r w:rsidRPr="002D679B">
              <w:rPr>
                <w:sz w:val="18"/>
              </w:rPr>
              <w:br/>
              <w:t>et le signal de radiodiffusion</w:t>
            </w:r>
            <w:r w:rsidRPr="002D679B">
              <w:rPr>
                <w:sz w:val="18"/>
              </w:rPr>
              <w:br/>
              <w:t>(kHz)</w:t>
            </w:r>
          </w:p>
        </w:tc>
        <w:tc>
          <w:tcPr>
            <w:tcW w:w="261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160" w:after="80" w:line="190" w:lineRule="exact"/>
              <w:jc w:val="center"/>
              <w:rPr>
                <w:sz w:val="18"/>
              </w:rPr>
            </w:pPr>
            <w:r w:rsidRPr="002D679B">
              <w:rPr>
                <w:sz w:val="18"/>
              </w:rPr>
              <w:t>Rapport de protection</w:t>
            </w:r>
            <w:r w:rsidRPr="002D679B">
              <w:rPr>
                <w:sz w:val="18"/>
              </w:rPr>
              <w:br/>
              <w:t>(dB)</w:t>
            </w:r>
          </w:p>
        </w:tc>
      </w:tr>
      <w:tr w:rsidR="002D679B" w:rsidRPr="002D679B" w:rsidTr="002D679B">
        <w:trPr>
          <w:cantSplit/>
          <w:jc w:val="center"/>
        </w:trPr>
        <w:tc>
          <w:tcPr>
            <w:tcW w:w="3862" w:type="dxa"/>
            <w:tcBorders>
              <w:top w:val="single" w:sz="6" w:space="0" w:color="auto"/>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60" w:after="40" w:line="190" w:lineRule="exact"/>
              <w:jc w:val="center"/>
              <w:rPr>
                <w:sz w:val="18"/>
              </w:rPr>
            </w:pPr>
            <w:r w:rsidRPr="002D679B">
              <w:rPr>
                <w:sz w:val="18"/>
              </w:rPr>
              <w:t>150</w:t>
            </w:r>
          </w:p>
        </w:tc>
        <w:tc>
          <w:tcPr>
            <w:tcW w:w="2614" w:type="dxa"/>
            <w:tcBorders>
              <w:top w:val="single" w:sz="6" w:space="0" w:color="auto"/>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60" w:after="40" w:line="190" w:lineRule="exact"/>
              <w:jc w:val="center"/>
              <w:rPr>
                <w:sz w:val="18"/>
              </w:rPr>
            </w:pPr>
            <w:r w:rsidRPr="002D679B">
              <w:rPr>
                <w:sz w:val="18"/>
              </w:rPr>
              <w:t>–41</w:t>
            </w:r>
          </w:p>
        </w:tc>
      </w:tr>
      <w:tr w:rsidR="002D679B" w:rsidRPr="002D679B" w:rsidTr="002D679B">
        <w:trPr>
          <w:cantSplit/>
          <w:jc w:val="center"/>
        </w:trPr>
        <w:tc>
          <w:tcPr>
            <w:tcW w:w="3862"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40" w:after="40" w:line="190" w:lineRule="exact"/>
              <w:jc w:val="center"/>
              <w:rPr>
                <w:sz w:val="18"/>
              </w:rPr>
            </w:pPr>
            <w:r w:rsidRPr="002D679B">
              <w:rPr>
                <w:sz w:val="18"/>
              </w:rPr>
              <w:t>200</w:t>
            </w:r>
          </w:p>
        </w:tc>
        <w:tc>
          <w:tcPr>
            <w:tcW w:w="2614"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40" w:after="40" w:line="190" w:lineRule="exact"/>
              <w:jc w:val="center"/>
              <w:rPr>
                <w:sz w:val="18"/>
              </w:rPr>
            </w:pPr>
            <w:r w:rsidRPr="002D679B">
              <w:rPr>
                <w:sz w:val="18"/>
              </w:rPr>
              <w:t>–50</w:t>
            </w:r>
          </w:p>
        </w:tc>
      </w:tr>
      <w:tr w:rsidR="002D679B" w:rsidRPr="002D679B" w:rsidTr="002D679B">
        <w:trPr>
          <w:cantSplit/>
          <w:jc w:val="center"/>
        </w:trPr>
        <w:tc>
          <w:tcPr>
            <w:tcW w:w="3862"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40" w:after="40" w:line="190" w:lineRule="exact"/>
              <w:jc w:val="center"/>
              <w:rPr>
                <w:sz w:val="18"/>
              </w:rPr>
            </w:pPr>
            <w:r w:rsidRPr="002D679B">
              <w:rPr>
                <w:sz w:val="18"/>
              </w:rPr>
              <w:t>250</w:t>
            </w:r>
          </w:p>
        </w:tc>
        <w:tc>
          <w:tcPr>
            <w:tcW w:w="2614"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40" w:after="40" w:line="190" w:lineRule="exact"/>
              <w:jc w:val="center"/>
              <w:rPr>
                <w:sz w:val="18"/>
              </w:rPr>
            </w:pPr>
            <w:r w:rsidRPr="002D679B">
              <w:rPr>
                <w:sz w:val="18"/>
              </w:rPr>
              <w:t>–59</w:t>
            </w:r>
          </w:p>
        </w:tc>
      </w:tr>
      <w:tr w:rsidR="002D679B" w:rsidRPr="002D679B" w:rsidTr="002D679B">
        <w:trPr>
          <w:cantSplit/>
          <w:jc w:val="center"/>
        </w:trPr>
        <w:tc>
          <w:tcPr>
            <w:tcW w:w="3862" w:type="dxa"/>
            <w:tcBorders>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40" w:after="60" w:line="190" w:lineRule="exact"/>
              <w:jc w:val="center"/>
              <w:rPr>
                <w:sz w:val="18"/>
              </w:rPr>
            </w:pPr>
            <w:r w:rsidRPr="002D679B">
              <w:rPr>
                <w:sz w:val="18"/>
              </w:rPr>
              <w:t>300</w:t>
            </w:r>
          </w:p>
        </w:tc>
        <w:tc>
          <w:tcPr>
            <w:tcW w:w="2614" w:type="dxa"/>
            <w:tcBorders>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40" w:after="60" w:line="190" w:lineRule="exact"/>
              <w:jc w:val="center"/>
              <w:rPr>
                <w:sz w:val="18"/>
              </w:rPr>
            </w:pPr>
            <w:r w:rsidRPr="002D679B">
              <w:rPr>
                <w:sz w:val="18"/>
              </w:rPr>
              <w:t>–68</w:t>
            </w:r>
          </w:p>
        </w:tc>
      </w:tr>
    </w:tbl>
    <w:p w:rsidR="002D679B" w:rsidRPr="002D679B" w:rsidRDefault="002D679B" w:rsidP="002D679B">
      <w:pPr>
        <w:spacing w:before="0"/>
        <w:rPr>
          <w:sz w:val="20"/>
        </w:rPr>
      </w:pPr>
    </w:p>
    <w:p w:rsidR="002D679B" w:rsidRPr="00202380" w:rsidRDefault="002D679B" w:rsidP="00202380">
      <w:pPr>
        <w:pStyle w:val="Heading4"/>
        <w:rPr>
          <w:sz w:val="20"/>
        </w:rPr>
      </w:pPr>
      <w:r w:rsidRPr="00202380">
        <w:rPr>
          <w:sz w:val="20"/>
        </w:rPr>
        <w:t>4.2.3.2</w:t>
      </w:r>
      <w:r w:rsidRPr="00202380">
        <w:rPr>
          <w:sz w:val="20"/>
        </w:rPr>
        <w:tab/>
        <w:t>Correction due à l'écart en fréquence</w:t>
      </w:r>
    </w:p>
    <w:p w:rsidR="002D679B" w:rsidRPr="002D679B" w:rsidRDefault="002D679B" w:rsidP="002D679B">
      <w:pPr>
        <w:spacing w:before="136"/>
        <w:rPr>
          <w:sz w:val="20"/>
        </w:rPr>
      </w:pPr>
      <w:r w:rsidRPr="002D679B">
        <w:rPr>
          <w:sz w:val="20"/>
        </w:rPr>
        <w:t>Avant d'utiliser les formules (4) et (5), on applique comme suit à chaque niveau de signal un facteur de correction conforme au Tableau 4:</w:t>
      </w:r>
    </w:p>
    <w:p w:rsidR="002D679B" w:rsidRP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i/>
          <w:sz w:val="22"/>
        </w:rPr>
        <w:t>N</w:t>
      </w:r>
      <w:r w:rsidRPr="002D679B">
        <w:rPr>
          <w:sz w:val="22"/>
        </w:rPr>
        <w:t xml:space="preserve"> (corrigé)  </w:t>
      </w:r>
      <w:r w:rsidRPr="002D679B">
        <w:rPr>
          <w:rFonts w:ascii="Symbol" w:hAnsi="Symbol"/>
          <w:sz w:val="22"/>
          <w:lang w:val="en-GB"/>
        </w:rPr>
        <w:t></w:t>
      </w:r>
      <w:r w:rsidRPr="002D679B">
        <w:rPr>
          <w:sz w:val="22"/>
        </w:rPr>
        <w:t xml:space="preserve">  </w:t>
      </w:r>
      <w:r w:rsidRPr="002D679B">
        <w:rPr>
          <w:i/>
          <w:sz w:val="22"/>
        </w:rPr>
        <w:t>N</w:t>
      </w:r>
      <w:r w:rsidRPr="002D679B">
        <w:rPr>
          <w:sz w:val="22"/>
        </w:rPr>
        <w:t xml:space="preserve">  –  facteur de correction</w:t>
      </w:r>
    </w:p>
    <w:p w:rsidR="002D679B" w:rsidRPr="002D679B" w:rsidRDefault="002D679B" w:rsidP="002D679B">
      <w:pPr>
        <w:spacing w:before="136"/>
        <w:rPr>
          <w:sz w:val="20"/>
        </w:rPr>
      </w:pPr>
      <w:r w:rsidRPr="002D679B">
        <w:rPr>
          <w:sz w:val="20"/>
        </w:rPr>
        <w:t>Il n'est pas nécessaire de prendre en considération le brouillage de type B1 pour des différences de fréquences supérieures à 200 kHz.</w:t>
      </w:r>
    </w:p>
    <w:p w:rsidR="002D679B" w:rsidRPr="002D679B" w:rsidRDefault="002D679B" w:rsidP="002D679B">
      <w:pPr>
        <w:keepNext/>
        <w:tabs>
          <w:tab w:val="clear" w:pos="794"/>
          <w:tab w:val="clear" w:pos="1191"/>
          <w:tab w:val="clear" w:pos="1588"/>
          <w:tab w:val="clear" w:pos="1985"/>
        </w:tabs>
        <w:spacing w:before="567" w:after="113"/>
        <w:jc w:val="center"/>
        <w:rPr>
          <w:sz w:val="18"/>
        </w:rPr>
      </w:pPr>
      <w:r w:rsidRPr="002D679B">
        <w:rPr>
          <w:sz w:val="18"/>
        </w:rPr>
        <w:t>TABLEAU  4</w:t>
      </w:r>
    </w:p>
    <w:p w:rsidR="002D679B" w:rsidRPr="002D679B" w:rsidRDefault="002D679B" w:rsidP="002D679B">
      <w:pPr>
        <w:keepNext/>
        <w:keepLines/>
        <w:tabs>
          <w:tab w:val="clear" w:pos="794"/>
          <w:tab w:val="clear" w:pos="1191"/>
          <w:tab w:val="clear" w:pos="1588"/>
          <w:tab w:val="clear" w:pos="1985"/>
        </w:tabs>
        <w:spacing w:before="0"/>
        <w:rPr>
          <w:sz w:val="16"/>
        </w:rPr>
      </w:pPr>
    </w:p>
    <w:tbl>
      <w:tblPr>
        <w:tblW w:w="0" w:type="auto"/>
        <w:jc w:val="center"/>
        <w:tblLayout w:type="fixed"/>
        <w:tblCellMar>
          <w:left w:w="0" w:type="dxa"/>
          <w:right w:w="0" w:type="dxa"/>
        </w:tblCellMar>
        <w:tblLook w:val="0000" w:firstRow="0" w:lastRow="0" w:firstColumn="0" w:lastColumn="0" w:noHBand="0" w:noVBand="0"/>
      </w:tblPr>
      <w:tblGrid>
        <w:gridCol w:w="3862"/>
        <w:gridCol w:w="2614"/>
      </w:tblGrid>
      <w:tr w:rsidR="002D679B" w:rsidRPr="002D679B" w:rsidTr="002D679B">
        <w:trPr>
          <w:cantSplit/>
          <w:jc w:val="center"/>
        </w:trPr>
        <w:tc>
          <w:tcPr>
            <w:tcW w:w="386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Différence de fréquences entre le signal utile</w:t>
            </w:r>
            <w:r w:rsidRPr="002D679B">
              <w:rPr>
                <w:sz w:val="18"/>
              </w:rPr>
              <w:br/>
              <w:t>et le produit d'intermodulation</w:t>
            </w:r>
            <w:r w:rsidRPr="002D679B">
              <w:rPr>
                <w:sz w:val="18"/>
              </w:rPr>
              <w:br/>
              <w:t>(kHz)</w:t>
            </w:r>
          </w:p>
        </w:tc>
        <w:tc>
          <w:tcPr>
            <w:tcW w:w="261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160" w:after="80" w:line="190" w:lineRule="exact"/>
              <w:jc w:val="center"/>
              <w:rPr>
                <w:sz w:val="18"/>
              </w:rPr>
            </w:pPr>
            <w:r w:rsidRPr="002D679B">
              <w:rPr>
                <w:sz w:val="18"/>
              </w:rPr>
              <w:t>Facteur de correction</w:t>
            </w:r>
            <w:r w:rsidRPr="002D679B">
              <w:rPr>
                <w:sz w:val="18"/>
              </w:rPr>
              <w:br/>
              <w:t>(dB)</w:t>
            </w:r>
          </w:p>
        </w:tc>
      </w:tr>
      <w:tr w:rsidR="002D679B" w:rsidRPr="002D679B" w:rsidTr="002D679B">
        <w:trPr>
          <w:cantSplit/>
          <w:jc w:val="center"/>
        </w:trPr>
        <w:tc>
          <w:tcPr>
            <w:tcW w:w="3862" w:type="dxa"/>
            <w:tcBorders>
              <w:top w:val="single" w:sz="6" w:space="0" w:color="auto"/>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60" w:after="40" w:line="190" w:lineRule="exact"/>
              <w:ind w:right="1814"/>
              <w:jc w:val="right"/>
              <w:rPr>
                <w:sz w:val="18"/>
              </w:rPr>
            </w:pPr>
            <w:r w:rsidRPr="002D679B">
              <w:rPr>
                <w:sz w:val="18"/>
              </w:rPr>
              <w:t>0</w:t>
            </w:r>
          </w:p>
        </w:tc>
        <w:tc>
          <w:tcPr>
            <w:tcW w:w="2614" w:type="dxa"/>
            <w:tcBorders>
              <w:top w:val="single" w:sz="6" w:space="0" w:color="auto"/>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60" w:after="40" w:line="190" w:lineRule="exact"/>
              <w:ind w:right="1247"/>
              <w:jc w:val="right"/>
              <w:rPr>
                <w:sz w:val="18"/>
              </w:rPr>
            </w:pPr>
            <w:r w:rsidRPr="002D679B">
              <w:rPr>
                <w:sz w:val="18"/>
              </w:rPr>
              <w:t>0</w:t>
            </w:r>
          </w:p>
        </w:tc>
      </w:tr>
      <w:tr w:rsidR="002D679B" w:rsidRPr="002D679B" w:rsidTr="002D679B">
        <w:trPr>
          <w:cantSplit/>
          <w:jc w:val="center"/>
        </w:trPr>
        <w:tc>
          <w:tcPr>
            <w:tcW w:w="3862" w:type="dxa"/>
            <w:tcBorders>
              <w:left w:val="single" w:sz="6" w:space="0" w:color="auto"/>
            </w:tcBorders>
          </w:tcPr>
          <w:p w:rsidR="002D679B" w:rsidRPr="002D679B" w:rsidRDefault="002D679B" w:rsidP="002D679B">
            <w:pPr>
              <w:keepNext/>
              <w:framePr w:hSpace="181" w:wrap="notBeside" w:vAnchor="text" w:hAnchor="page" w:xAlign="center" w:y="1"/>
              <w:spacing w:before="40" w:after="40" w:line="190" w:lineRule="exact"/>
              <w:ind w:right="1814"/>
              <w:jc w:val="right"/>
              <w:rPr>
                <w:sz w:val="18"/>
              </w:rPr>
            </w:pPr>
            <w:r w:rsidRPr="002D679B">
              <w:rPr>
                <w:sz w:val="18"/>
              </w:rPr>
              <w:t>50</w:t>
            </w:r>
          </w:p>
        </w:tc>
        <w:tc>
          <w:tcPr>
            <w:tcW w:w="2614"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40" w:after="40" w:line="190" w:lineRule="exact"/>
              <w:ind w:right="1247"/>
              <w:jc w:val="right"/>
              <w:rPr>
                <w:sz w:val="18"/>
              </w:rPr>
            </w:pPr>
            <w:r w:rsidRPr="002D679B">
              <w:rPr>
                <w:sz w:val="18"/>
              </w:rPr>
              <w:t>2</w:t>
            </w:r>
          </w:p>
        </w:tc>
      </w:tr>
      <w:tr w:rsidR="002D679B" w:rsidRPr="002D679B" w:rsidTr="002D679B">
        <w:trPr>
          <w:cantSplit/>
          <w:jc w:val="center"/>
        </w:trPr>
        <w:tc>
          <w:tcPr>
            <w:tcW w:w="3862" w:type="dxa"/>
            <w:tcBorders>
              <w:left w:val="single" w:sz="6" w:space="0" w:color="auto"/>
            </w:tcBorders>
          </w:tcPr>
          <w:p w:rsidR="002D679B" w:rsidRPr="002D679B" w:rsidRDefault="002D679B" w:rsidP="002D679B">
            <w:pPr>
              <w:keepNext/>
              <w:framePr w:hSpace="181" w:wrap="notBeside" w:vAnchor="text" w:hAnchor="page" w:xAlign="center" w:y="1"/>
              <w:spacing w:before="40" w:after="40" w:line="190" w:lineRule="exact"/>
              <w:ind w:right="1814"/>
              <w:jc w:val="right"/>
              <w:rPr>
                <w:sz w:val="18"/>
              </w:rPr>
            </w:pPr>
            <w:r w:rsidRPr="002D679B">
              <w:rPr>
                <w:sz w:val="18"/>
              </w:rPr>
              <w:t>100</w:t>
            </w:r>
          </w:p>
        </w:tc>
        <w:tc>
          <w:tcPr>
            <w:tcW w:w="2614"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40" w:after="40" w:line="190" w:lineRule="exact"/>
              <w:ind w:right="1247"/>
              <w:jc w:val="right"/>
              <w:rPr>
                <w:sz w:val="18"/>
              </w:rPr>
            </w:pPr>
            <w:r w:rsidRPr="002D679B">
              <w:rPr>
                <w:sz w:val="18"/>
              </w:rPr>
              <w:t>8</w:t>
            </w:r>
          </w:p>
        </w:tc>
      </w:tr>
      <w:tr w:rsidR="002D679B" w:rsidRPr="002D679B" w:rsidTr="002D679B">
        <w:trPr>
          <w:cantSplit/>
          <w:jc w:val="center"/>
        </w:trPr>
        <w:tc>
          <w:tcPr>
            <w:tcW w:w="3862" w:type="dxa"/>
            <w:tcBorders>
              <w:left w:val="single" w:sz="6" w:space="0" w:color="auto"/>
            </w:tcBorders>
          </w:tcPr>
          <w:p w:rsidR="002D679B" w:rsidRPr="002D679B" w:rsidRDefault="002D679B" w:rsidP="002D679B">
            <w:pPr>
              <w:keepNext/>
              <w:framePr w:hSpace="181" w:wrap="notBeside" w:vAnchor="text" w:hAnchor="page" w:xAlign="center" w:y="1"/>
              <w:spacing w:before="40" w:after="40" w:line="190" w:lineRule="exact"/>
              <w:ind w:right="1814"/>
              <w:jc w:val="right"/>
              <w:rPr>
                <w:sz w:val="18"/>
              </w:rPr>
            </w:pPr>
            <w:r w:rsidRPr="002D679B">
              <w:rPr>
                <w:sz w:val="18"/>
              </w:rPr>
              <w:t>150</w:t>
            </w:r>
          </w:p>
        </w:tc>
        <w:tc>
          <w:tcPr>
            <w:tcW w:w="2614"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40" w:after="40" w:line="190" w:lineRule="exact"/>
              <w:ind w:right="1247"/>
              <w:jc w:val="right"/>
              <w:rPr>
                <w:sz w:val="18"/>
              </w:rPr>
            </w:pPr>
            <w:r w:rsidRPr="002D679B">
              <w:rPr>
                <w:sz w:val="18"/>
              </w:rPr>
              <w:t>16</w:t>
            </w:r>
          </w:p>
        </w:tc>
      </w:tr>
      <w:tr w:rsidR="002D679B" w:rsidRPr="002D679B" w:rsidTr="002D679B">
        <w:trPr>
          <w:cantSplit/>
          <w:jc w:val="center"/>
        </w:trPr>
        <w:tc>
          <w:tcPr>
            <w:tcW w:w="3862" w:type="dxa"/>
            <w:tcBorders>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40" w:after="60" w:line="190" w:lineRule="exact"/>
              <w:ind w:right="1814"/>
              <w:jc w:val="right"/>
              <w:rPr>
                <w:sz w:val="18"/>
              </w:rPr>
            </w:pPr>
            <w:r w:rsidRPr="002D679B">
              <w:rPr>
                <w:sz w:val="18"/>
              </w:rPr>
              <w:t>200</w:t>
            </w:r>
          </w:p>
        </w:tc>
        <w:tc>
          <w:tcPr>
            <w:tcW w:w="2614" w:type="dxa"/>
            <w:tcBorders>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40" w:after="60" w:line="190" w:lineRule="exact"/>
              <w:ind w:right="1247"/>
              <w:jc w:val="right"/>
              <w:rPr>
                <w:sz w:val="18"/>
              </w:rPr>
            </w:pPr>
            <w:r w:rsidRPr="002D679B">
              <w:rPr>
                <w:sz w:val="18"/>
              </w:rPr>
              <w:t>26</w:t>
            </w:r>
          </w:p>
        </w:tc>
      </w:tr>
    </w:tbl>
    <w:p w:rsidR="002D679B" w:rsidRPr="002D679B" w:rsidRDefault="002D679B" w:rsidP="002D679B">
      <w:pPr>
        <w:spacing w:before="0"/>
        <w:rPr>
          <w:sz w:val="20"/>
        </w:rPr>
      </w:pPr>
    </w:p>
    <w:p w:rsidR="002D679B" w:rsidRPr="00202380" w:rsidRDefault="002D679B" w:rsidP="00202380">
      <w:pPr>
        <w:pStyle w:val="Heading4"/>
        <w:rPr>
          <w:sz w:val="20"/>
        </w:rPr>
      </w:pPr>
      <w:r w:rsidRPr="00202380">
        <w:rPr>
          <w:sz w:val="20"/>
        </w:rPr>
        <w:t>4.2.3.3</w:t>
      </w:r>
      <w:r w:rsidRPr="00202380">
        <w:rPr>
          <w:sz w:val="20"/>
        </w:rPr>
        <w:tab/>
        <w:t>Facteur de correction pour tenir compte des variations d'immunité aux brouillages de type B1 dues à des variations du niveau du signal utile</w:t>
      </w:r>
    </w:p>
    <w:p w:rsidR="002D679B" w:rsidRPr="002D679B" w:rsidRDefault="002D679B" w:rsidP="002D679B">
      <w:pPr>
        <w:keepNext/>
        <w:keepLines/>
        <w:spacing w:before="136"/>
        <w:rPr>
          <w:sz w:val="20"/>
        </w:rPr>
      </w:pPr>
      <w:r w:rsidRPr="002D679B">
        <w:rPr>
          <w:sz w:val="20"/>
        </w:rPr>
        <w:t>Le facteur de correction ci-après pourra être appliqué aux récepteurs des radiophares d'alignement de piste ILS et des VOR, dans le cas de deux ou de trois signaux:</w:t>
      </w:r>
    </w:p>
    <w:p w:rsidR="002D679B" w:rsidRP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i/>
          <w:sz w:val="22"/>
        </w:rPr>
        <w:t>L</w:t>
      </w:r>
      <w:r w:rsidRPr="002D679B">
        <w:rPr>
          <w:i/>
          <w:position w:val="-4"/>
          <w:sz w:val="18"/>
        </w:rPr>
        <w:t>c</w:t>
      </w:r>
      <w:r w:rsidRPr="002D679B">
        <w:rPr>
          <w:sz w:val="22"/>
        </w:rPr>
        <w:t xml:space="preserve">  </w:t>
      </w:r>
      <w:r w:rsidRPr="002D679B">
        <w:rPr>
          <w:rFonts w:ascii="Symbol" w:hAnsi="Symbol"/>
          <w:sz w:val="22"/>
          <w:lang w:val="en-GB"/>
        </w:rPr>
        <w:t></w:t>
      </w:r>
      <w:r w:rsidRPr="002D679B">
        <w:rPr>
          <w:sz w:val="22"/>
        </w:rPr>
        <w:t xml:space="preserve">  </w:t>
      </w:r>
      <w:r w:rsidRPr="002D679B">
        <w:rPr>
          <w:i/>
          <w:sz w:val="22"/>
        </w:rPr>
        <w:t>N</w:t>
      </w:r>
      <w:r w:rsidRPr="002D679B">
        <w:rPr>
          <w:i/>
          <w:position w:val="-4"/>
          <w:sz w:val="18"/>
        </w:rPr>
        <w:t>A</w:t>
      </w:r>
      <w:r w:rsidRPr="002D679B">
        <w:rPr>
          <w:sz w:val="22"/>
        </w:rPr>
        <w:t xml:space="preserve">  –  </w:t>
      </w:r>
      <w:r w:rsidRPr="002D679B">
        <w:rPr>
          <w:i/>
          <w:sz w:val="22"/>
        </w:rPr>
        <w:t>N</w:t>
      </w:r>
      <w:r w:rsidRPr="002D679B">
        <w:rPr>
          <w:i/>
          <w:position w:val="-4"/>
          <w:sz w:val="18"/>
        </w:rPr>
        <w:t>réf</w:t>
      </w:r>
      <w:r w:rsidRPr="002D679B">
        <w:rPr>
          <w:sz w:val="22"/>
        </w:rPr>
        <w:tab/>
        <w:t>(6)</w:t>
      </w:r>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L</w:t>
      </w:r>
      <w:r w:rsidRPr="002D679B">
        <w:rPr>
          <w:i/>
          <w:position w:val="-4"/>
          <w:sz w:val="16"/>
        </w:rPr>
        <w:t>c</w:t>
      </w:r>
      <w:r w:rsidRPr="002D679B">
        <w:rPr>
          <w:rFonts w:ascii="Tms Rmn" w:hAnsi="Tms Rmn"/>
          <w:position w:val="-3"/>
          <w:sz w:val="12"/>
        </w:rPr>
        <w:t> </w:t>
      </w:r>
      <w:r w:rsidRPr="002D679B">
        <w:rPr>
          <w:sz w:val="20"/>
        </w:rPr>
        <w:t>:</w:t>
      </w:r>
      <w:r w:rsidRPr="002D679B">
        <w:rPr>
          <w:sz w:val="20"/>
        </w:rPr>
        <w:tab/>
        <w:t>facteur de correction (dB) pour tenir compte des variations du niveau du signal utile</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N</w:t>
      </w:r>
      <w:r w:rsidRPr="002D679B">
        <w:rPr>
          <w:i/>
          <w:position w:val="-4"/>
          <w:sz w:val="16"/>
        </w:rPr>
        <w:t>A</w:t>
      </w:r>
      <w:r w:rsidRPr="002D679B">
        <w:rPr>
          <w:rFonts w:ascii="Tms Rmn" w:hAnsi="Tms Rmn"/>
          <w:position w:val="-3"/>
          <w:sz w:val="12"/>
        </w:rPr>
        <w:t> </w:t>
      </w:r>
      <w:r w:rsidRPr="002D679B">
        <w:rPr>
          <w:position w:val="-3"/>
          <w:sz w:val="18"/>
        </w:rPr>
        <w:t>:</w:t>
      </w:r>
      <w:r w:rsidRPr="002D679B">
        <w:rPr>
          <w:position w:val="-3"/>
          <w:sz w:val="18"/>
        </w:rPr>
        <w:tab/>
      </w:r>
      <w:r w:rsidRPr="002D679B">
        <w:rPr>
          <w:sz w:val="20"/>
        </w:rPr>
        <w:t>niveau du signal utile (dBm) à l'entrée du récepteur aéronautique</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N</w:t>
      </w:r>
      <w:r w:rsidRPr="002D679B">
        <w:rPr>
          <w:i/>
          <w:position w:val="-4"/>
          <w:sz w:val="16"/>
        </w:rPr>
        <w:t>réf</w:t>
      </w:r>
      <w:r w:rsidRPr="002D679B">
        <w:rPr>
          <w:rFonts w:ascii="Tms Rmn" w:hAnsi="Tms Rmn"/>
          <w:sz w:val="12"/>
        </w:rPr>
        <w:t> </w:t>
      </w:r>
      <w:r w:rsidRPr="002D679B">
        <w:rPr>
          <w:sz w:val="20"/>
        </w:rPr>
        <w:t>:</w:t>
      </w:r>
      <w:r w:rsidRPr="002D679B">
        <w:rPr>
          <w:sz w:val="20"/>
        </w:rPr>
        <w:tab/>
        <w:t>niveau de référence (dBm) du signal utile à l'entrée du récepteur aéronautique pour la formule d'insensibilité au brouillage de type B1</w:t>
      </w:r>
    </w:p>
    <w:p w:rsidR="002D679B" w:rsidRPr="002D679B" w:rsidRDefault="002D679B" w:rsidP="002D679B">
      <w:pPr>
        <w:tabs>
          <w:tab w:val="clear" w:pos="794"/>
          <w:tab w:val="clear" w:pos="1191"/>
          <w:tab w:val="clear" w:pos="1588"/>
          <w:tab w:val="clear" w:pos="1985"/>
          <w:tab w:val="left" w:pos="397"/>
          <w:tab w:val="left" w:pos="907"/>
        </w:tabs>
        <w:spacing w:before="86"/>
        <w:ind w:left="397" w:hanging="397"/>
        <w:rPr>
          <w:sz w:val="20"/>
        </w:rPr>
      </w:pPr>
      <w:r w:rsidRPr="002D679B">
        <w:rPr>
          <w:position w:val="-3"/>
          <w:sz w:val="18"/>
        </w:rPr>
        <w:tab/>
      </w:r>
      <w:r w:rsidRPr="002D679B">
        <w:rPr>
          <w:position w:val="-3"/>
          <w:sz w:val="18"/>
        </w:rPr>
        <w:tab/>
      </w:r>
      <w:r w:rsidRPr="002D679B">
        <w:rPr>
          <w:rFonts w:ascii="Symbol" w:hAnsi="Symbol"/>
          <w:sz w:val="20"/>
          <w:lang w:val="en-GB"/>
        </w:rPr>
        <w:t></w:t>
      </w:r>
      <w:r w:rsidRPr="002D679B">
        <w:rPr>
          <w:sz w:val="20"/>
        </w:rPr>
        <w:t xml:space="preserve">  –89 dBm pour les récepteurs de radiophares d'alignement de piste ILS</w:t>
      </w:r>
    </w:p>
    <w:p w:rsidR="002D679B" w:rsidRPr="002D679B" w:rsidRDefault="002D679B" w:rsidP="002D679B">
      <w:pPr>
        <w:tabs>
          <w:tab w:val="clear" w:pos="794"/>
          <w:tab w:val="clear" w:pos="1191"/>
          <w:tab w:val="clear" w:pos="1588"/>
          <w:tab w:val="clear" w:pos="1985"/>
          <w:tab w:val="left" w:pos="397"/>
          <w:tab w:val="left" w:pos="907"/>
        </w:tabs>
        <w:spacing w:before="86"/>
        <w:ind w:left="397" w:hanging="397"/>
        <w:rPr>
          <w:sz w:val="20"/>
        </w:rPr>
      </w:pPr>
      <w:r w:rsidRPr="002D679B">
        <w:rPr>
          <w:position w:val="-3"/>
          <w:sz w:val="18"/>
        </w:rPr>
        <w:tab/>
      </w:r>
      <w:r w:rsidRPr="002D679B">
        <w:rPr>
          <w:position w:val="-3"/>
          <w:sz w:val="18"/>
        </w:rPr>
        <w:tab/>
      </w:r>
      <w:r w:rsidRPr="002D679B">
        <w:rPr>
          <w:rFonts w:ascii="Symbol" w:hAnsi="Symbol"/>
          <w:sz w:val="20"/>
          <w:lang w:val="en-GB"/>
        </w:rPr>
        <w:t></w:t>
      </w:r>
      <w:r w:rsidRPr="002D679B">
        <w:rPr>
          <w:sz w:val="20"/>
        </w:rPr>
        <w:t xml:space="preserve">  –82 dBm pour les récepteurs VOR.</w:t>
      </w:r>
    </w:p>
    <w:p w:rsidR="002D679B" w:rsidRPr="00202380" w:rsidRDefault="002D679B" w:rsidP="00202380">
      <w:pPr>
        <w:pStyle w:val="Heading4"/>
        <w:rPr>
          <w:sz w:val="20"/>
        </w:rPr>
      </w:pPr>
      <w:r w:rsidRPr="00202380">
        <w:rPr>
          <w:sz w:val="20"/>
        </w:rPr>
        <w:t>4.2.3.4</w:t>
      </w:r>
      <w:r w:rsidRPr="00202380">
        <w:rPr>
          <w:sz w:val="20"/>
        </w:rPr>
        <w:tab/>
        <w:t>Valeurs de déclenchement et de coupure (voir les définitions dans l'Annexe 4)</w:t>
      </w:r>
    </w:p>
    <w:p w:rsidR="002D679B" w:rsidRPr="002D679B" w:rsidRDefault="002D679B" w:rsidP="002D679B">
      <w:pPr>
        <w:tabs>
          <w:tab w:val="clear" w:pos="1191"/>
          <w:tab w:val="clear" w:pos="1588"/>
          <w:tab w:val="clear" w:pos="1985"/>
          <w:tab w:val="left" w:pos="1531"/>
          <w:tab w:val="center" w:pos="4849"/>
          <w:tab w:val="left" w:pos="7825"/>
          <w:tab w:val="right" w:pos="9696"/>
        </w:tabs>
        <w:spacing w:before="140" w:after="40"/>
        <w:jc w:val="left"/>
        <w:rPr>
          <w:sz w:val="22"/>
        </w:rPr>
      </w:pPr>
      <w:r w:rsidRPr="002D679B">
        <w:rPr>
          <w:sz w:val="22"/>
        </w:rPr>
        <w:tab/>
      </w:r>
      <w:r w:rsidRPr="002D679B">
        <w:rPr>
          <w:sz w:val="22"/>
        </w:rPr>
        <w:tab/>
        <w:t xml:space="preserve">Valeur de déclenchement  </w:t>
      </w:r>
      <w:r w:rsidRPr="002D679B">
        <w:rPr>
          <w:rFonts w:ascii="Symbol" w:hAnsi="Symbol"/>
          <w:sz w:val="22"/>
          <w:lang w:val="en-GB"/>
        </w:rPr>
        <w:t></w:t>
      </w:r>
      <w:r w:rsidRPr="002D679B">
        <w:rPr>
          <w:rFonts w:ascii="Symbol" w:hAnsi="Symbol"/>
          <w:sz w:val="22"/>
          <w:lang w:val="en-GB"/>
        </w:rPr>
        <w:t></w:t>
      </w:r>
      <w:r w:rsidRPr="002D679B">
        <w:rPr>
          <w:sz w:val="22"/>
        </w:rPr>
        <w:t xml:space="preserve"> </w:t>
      </w:r>
      <w:r w:rsidRPr="002D679B">
        <w:rPr>
          <w:sz w:val="22"/>
          <w:lang w:val="en-GB"/>
        </w:rPr>
        <w:fldChar w:fldCharType="begin"/>
      </w:r>
      <w:r w:rsidRPr="002D679B">
        <w:rPr>
          <w:sz w:val="22"/>
        </w:rPr>
        <w:instrText>eq \f(\s\di2(</w:instrText>
      </w:r>
      <w:r w:rsidRPr="002D679B">
        <w:rPr>
          <w:i/>
          <w:sz w:val="22"/>
        </w:rPr>
        <w:instrText>L</w:instrText>
      </w:r>
      <w:r w:rsidRPr="002D679B">
        <w:rPr>
          <w:i/>
          <w:position w:val="-4"/>
          <w:sz w:val="18"/>
        </w:rPr>
        <w:instrText>c</w:instrText>
      </w:r>
      <w:r w:rsidRPr="002D679B">
        <w:rPr>
          <w:sz w:val="22"/>
        </w:rPr>
        <w:instrText xml:space="preserve">  –  </w:instrText>
      </w:r>
      <w:r w:rsidRPr="002D679B">
        <w:rPr>
          <w:i/>
          <w:sz w:val="22"/>
        </w:rPr>
        <w:instrText>K</w:instrText>
      </w:r>
      <w:r w:rsidRPr="002D679B">
        <w:rPr>
          <w:sz w:val="22"/>
        </w:rPr>
        <w:instrText>);3)</w:instrText>
      </w:r>
      <w:r w:rsidRPr="002D679B">
        <w:rPr>
          <w:rFonts w:ascii="Times" w:hAnsi="Times"/>
          <w:noProof/>
          <w:sz w:val="22"/>
          <w:lang w:val="en-GB"/>
        </w:rPr>
        <w:fldChar w:fldCharType="separate"/>
      </w:r>
      <w:r>
        <w:rPr>
          <w:noProof/>
          <w:position w:val="-16"/>
          <w:sz w:val="22"/>
          <w:lang w:val="fr-CH" w:eastAsia="fr-CH"/>
        </w:rPr>
        <w:drawing>
          <wp:inline distT="0" distB="0" distL="0" distR="0" wp14:anchorId="02791932" wp14:editId="7AC83AA6">
            <wp:extent cx="510540" cy="302895"/>
            <wp:effectExtent l="0" t="0" r="381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540" cy="302895"/>
                    </a:xfrm>
                    <a:prstGeom prst="rect">
                      <a:avLst/>
                    </a:prstGeom>
                    <a:noFill/>
                    <a:ln>
                      <a:noFill/>
                    </a:ln>
                  </pic:spPr>
                </pic:pic>
              </a:graphicData>
            </a:graphic>
          </wp:inline>
        </w:drawing>
      </w:r>
      <w:r w:rsidRPr="002D679B">
        <w:rPr>
          <w:sz w:val="22"/>
          <w:lang w:val="en-GB"/>
        </w:rPr>
        <w:fldChar w:fldCharType="end"/>
      </w:r>
      <w:r w:rsidRPr="002D679B">
        <w:rPr>
          <w:sz w:val="22"/>
        </w:rPr>
        <w:t xml:space="preserve">  </w:t>
      </w:r>
      <w:r w:rsidRPr="002D679B">
        <w:rPr>
          <w:rFonts w:ascii="Symbol" w:hAnsi="Symbol"/>
          <w:sz w:val="22"/>
          <w:lang w:val="en-GB"/>
        </w:rPr>
        <w:t></w:t>
      </w:r>
      <w:r w:rsidRPr="002D679B">
        <w:rPr>
          <w:sz w:val="22"/>
        </w:rPr>
        <w:t xml:space="preserve">  28 log {max (1,0;  </w:t>
      </w:r>
      <w:r w:rsidRPr="002D679B">
        <w:rPr>
          <w:i/>
          <w:sz w:val="22"/>
        </w:rPr>
        <w:t>f</w:t>
      </w:r>
      <w:r w:rsidRPr="002D679B">
        <w:rPr>
          <w:i/>
          <w:position w:val="-4"/>
          <w:sz w:val="18"/>
        </w:rPr>
        <w:t>A</w:t>
      </w:r>
      <w:r w:rsidRPr="002D679B">
        <w:rPr>
          <w:sz w:val="22"/>
        </w:rPr>
        <w:t xml:space="preserve">  –  </w:t>
      </w:r>
      <w:r w:rsidRPr="002D679B">
        <w:rPr>
          <w:i/>
          <w:sz w:val="22"/>
        </w:rPr>
        <w:t>f</w:t>
      </w:r>
      <w:r w:rsidRPr="002D679B">
        <w:rPr>
          <w:sz w:val="16"/>
        </w:rPr>
        <w:t> </w:t>
      </w:r>
      <w:r w:rsidRPr="002D679B">
        <w:rPr>
          <w:sz w:val="22"/>
        </w:rPr>
        <w:t>)}</w:t>
      </w:r>
      <w:r w:rsidRPr="002D679B">
        <w:rPr>
          <w:color w:val="FFFFFF"/>
          <w:sz w:val="22"/>
        </w:rPr>
        <w:tab/>
      </w:r>
      <w:r w:rsidRPr="002D679B">
        <w:rPr>
          <w:sz w:val="22"/>
        </w:rPr>
        <w:t>dBm</w:t>
      </w:r>
      <w:r w:rsidRPr="002D679B">
        <w:rPr>
          <w:sz w:val="22"/>
        </w:rPr>
        <w:tab/>
        <w:t>(7)</w:t>
      </w:r>
    </w:p>
    <w:p w:rsidR="002D679B" w:rsidRPr="002D679B" w:rsidRDefault="002D679B" w:rsidP="002D679B">
      <w:pPr>
        <w:tabs>
          <w:tab w:val="clear" w:pos="1191"/>
          <w:tab w:val="clear" w:pos="1588"/>
          <w:tab w:val="clear" w:pos="1985"/>
          <w:tab w:val="left" w:pos="1531"/>
          <w:tab w:val="center" w:pos="4849"/>
          <w:tab w:val="left" w:pos="7825"/>
          <w:tab w:val="right" w:pos="9696"/>
        </w:tabs>
        <w:spacing w:before="140" w:after="40"/>
        <w:jc w:val="left"/>
        <w:rPr>
          <w:sz w:val="22"/>
        </w:rPr>
      </w:pPr>
      <w:r w:rsidRPr="002D679B">
        <w:rPr>
          <w:sz w:val="22"/>
        </w:rPr>
        <w:tab/>
      </w:r>
      <w:r w:rsidRPr="002D679B">
        <w:rPr>
          <w:sz w:val="22"/>
        </w:rPr>
        <w:tab/>
        <w:t xml:space="preserve">Valeur de coupure  </w:t>
      </w:r>
      <w:r w:rsidRPr="002D679B">
        <w:rPr>
          <w:rFonts w:ascii="Symbol" w:hAnsi="Symbol"/>
          <w:sz w:val="22"/>
          <w:lang w:val="en-GB"/>
        </w:rPr>
        <w:t></w:t>
      </w:r>
      <w:r w:rsidRPr="002D679B">
        <w:rPr>
          <w:sz w:val="22"/>
        </w:rPr>
        <w:t xml:space="preserve">  –</w:t>
      </w:r>
      <w:r w:rsidRPr="002D679B">
        <w:rPr>
          <w:sz w:val="12"/>
        </w:rPr>
        <w:t> </w:t>
      </w:r>
      <w:r w:rsidRPr="002D679B">
        <w:rPr>
          <w:sz w:val="22"/>
        </w:rPr>
        <w:t xml:space="preserve">66  </w:t>
      </w:r>
      <w:r w:rsidRPr="002D679B">
        <w:rPr>
          <w:rFonts w:ascii="Symbol" w:hAnsi="Symbol"/>
          <w:sz w:val="22"/>
          <w:lang w:val="en-GB"/>
        </w:rPr>
        <w:t></w:t>
      </w:r>
      <w:r w:rsidRPr="002D679B">
        <w:rPr>
          <w:sz w:val="22"/>
        </w:rPr>
        <w:t xml:space="preserve">  20 log  </w:t>
      </w:r>
      <w:r w:rsidRPr="002D679B">
        <w:rPr>
          <w:position w:val="-26"/>
          <w:sz w:val="22"/>
        </w:rPr>
        <w:object w:dxaOrig="19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pt;height:31.5pt" o:ole="">
            <v:imagedata r:id="rId17" o:title=""/>
          </v:shape>
          <o:OLEObject Type="Embed" ProgID="Equation.3" ShapeID="_x0000_i1025" DrawAspect="Content" ObjectID="_1649157774" r:id="rId18"/>
        </w:object>
      </w:r>
      <w:r w:rsidRPr="002D679B">
        <w:rPr>
          <w:color w:val="FFFFFF"/>
          <w:sz w:val="22"/>
        </w:rPr>
        <w:tab/>
      </w:r>
      <w:r w:rsidRPr="002D679B">
        <w:rPr>
          <w:sz w:val="22"/>
        </w:rPr>
        <w:t>dBm</w:t>
      </w:r>
      <w:r w:rsidRPr="002D679B">
        <w:rPr>
          <w:sz w:val="22"/>
        </w:rPr>
        <w:tab/>
        <w:t>(8)</w:t>
      </w:r>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L</w:t>
      </w:r>
      <w:r w:rsidRPr="002D679B">
        <w:rPr>
          <w:i/>
          <w:position w:val="-4"/>
          <w:sz w:val="16"/>
        </w:rPr>
        <w:t>c</w:t>
      </w:r>
      <w:r w:rsidRPr="002D679B">
        <w:rPr>
          <w:rFonts w:ascii="Tms Rmn" w:hAnsi="Tms Rmn"/>
          <w:sz w:val="12"/>
        </w:rPr>
        <w:t> </w:t>
      </w:r>
      <w:r w:rsidRPr="002D679B">
        <w:rPr>
          <w:sz w:val="20"/>
        </w:rPr>
        <w:t>:</w:t>
      </w:r>
      <w:r w:rsidRPr="002D679B">
        <w:rPr>
          <w:sz w:val="20"/>
        </w:rPr>
        <w:tab/>
        <w:t>facteur de correction (dB) tenant compte de la variation du signal utile (voir le § 4.2.3.3)</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K</w:t>
      </w:r>
      <w:r w:rsidRPr="002D679B">
        <w:rPr>
          <w:sz w:val="20"/>
        </w:rPr>
        <w:t xml:space="preserve">  </w:t>
      </w:r>
      <w:r w:rsidRPr="002D679B">
        <w:rPr>
          <w:rFonts w:ascii="Symbol" w:hAnsi="Symbol"/>
          <w:sz w:val="20"/>
          <w:lang w:val="en-GB"/>
        </w:rPr>
        <w:t></w:t>
      </w:r>
      <w:r w:rsidRPr="002D679B">
        <w:rPr>
          <w:sz w:val="20"/>
        </w:rPr>
        <w:tab/>
        <w:t xml:space="preserve">146 pour les récepteurs des radiophares d'alignement de piste ILS et </w:t>
      </w:r>
      <w:r w:rsidRPr="002D679B">
        <w:rPr>
          <w:rFonts w:ascii="Symbol" w:hAnsi="Symbol"/>
          <w:sz w:val="20"/>
          <w:lang w:val="en-GB"/>
        </w:rPr>
        <w:t></w:t>
      </w:r>
      <w:r w:rsidRPr="002D679B">
        <w:rPr>
          <w:sz w:val="20"/>
        </w:rPr>
        <w:t xml:space="preserve"> 139 pour les récepteurs VOR, dans le cas de 3 signaux</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K</w:t>
      </w:r>
      <w:r w:rsidRPr="002D679B">
        <w:rPr>
          <w:sz w:val="20"/>
        </w:rPr>
        <w:t xml:space="preserve">  </w:t>
      </w:r>
      <w:r w:rsidRPr="002D679B">
        <w:rPr>
          <w:rFonts w:ascii="Symbol" w:hAnsi="Symbol"/>
          <w:sz w:val="20"/>
          <w:lang w:val="en-GB"/>
        </w:rPr>
        <w:t></w:t>
      </w:r>
      <w:r w:rsidRPr="002D679B">
        <w:rPr>
          <w:sz w:val="20"/>
        </w:rPr>
        <w:tab/>
        <w:t xml:space="preserve">140 pour les récepteurs des radiophares d'alignement de piste ILS et </w:t>
      </w:r>
      <w:r w:rsidRPr="002D679B">
        <w:rPr>
          <w:rFonts w:ascii="Symbol" w:hAnsi="Symbol"/>
          <w:sz w:val="20"/>
          <w:lang w:val="en-GB"/>
        </w:rPr>
        <w:t></w:t>
      </w:r>
      <w:r w:rsidRPr="002D679B">
        <w:rPr>
          <w:sz w:val="20"/>
        </w:rPr>
        <w:t xml:space="preserve"> 133 pour les récepteurs VOR, dans le cas de 2 signaux</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f</w:t>
      </w:r>
      <w:r w:rsidRPr="002D679B">
        <w:rPr>
          <w:i/>
          <w:position w:val="-4"/>
          <w:sz w:val="16"/>
        </w:rPr>
        <w:t>A</w:t>
      </w:r>
      <w:r w:rsidRPr="002D679B">
        <w:rPr>
          <w:rFonts w:ascii="Tms Rmn" w:hAnsi="Tms Rmn"/>
          <w:sz w:val="12"/>
        </w:rPr>
        <w:t> </w:t>
      </w:r>
      <w:r w:rsidRPr="002D679B">
        <w:rPr>
          <w:sz w:val="20"/>
        </w:rPr>
        <w:t>:</w:t>
      </w:r>
      <w:r w:rsidRPr="002D679B">
        <w:rPr>
          <w:sz w:val="20"/>
        </w:rPr>
        <w:tab/>
        <w:t>fréquence aéronautique (MHz)</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f</w:t>
      </w:r>
      <w:r w:rsidRPr="002D679B">
        <w:rPr>
          <w:rFonts w:ascii="Tms Rmn" w:hAnsi="Tms Rmn"/>
          <w:sz w:val="12"/>
        </w:rPr>
        <w:t> </w:t>
      </w:r>
      <w:r w:rsidRPr="002D679B">
        <w:rPr>
          <w:sz w:val="20"/>
        </w:rPr>
        <w:t>:</w:t>
      </w:r>
      <w:r w:rsidRPr="002D679B">
        <w:rPr>
          <w:sz w:val="20"/>
        </w:rPr>
        <w:tab/>
        <w:t>fréquence de radiodiffusion (MHz).</w:t>
      </w:r>
    </w:p>
    <w:p w:rsidR="002D679B" w:rsidRPr="002D679B" w:rsidRDefault="002D679B" w:rsidP="002D679B">
      <w:pPr>
        <w:spacing w:before="136"/>
        <w:rPr>
          <w:sz w:val="20"/>
        </w:rPr>
      </w:pPr>
      <w:r w:rsidRPr="002D679B">
        <w:rPr>
          <w:sz w:val="20"/>
        </w:rPr>
        <w:t>L'expérience a montré que l'utilisation de valeurs de coupure inférieures permet simplement d'associer des produits d'intermodulation supplémentaires à chaque valeur de déclenchement, mais à des niveaux de brouillage potentiel inférieurs.</w:t>
      </w:r>
    </w:p>
    <w:p w:rsidR="002D679B" w:rsidRPr="00202380" w:rsidRDefault="002D679B" w:rsidP="00202380">
      <w:pPr>
        <w:pStyle w:val="Heading3"/>
        <w:rPr>
          <w:sz w:val="20"/>
        </w:rPr>
      </w:pPr>
      <w:r w:rsidRPr="00202380">
        <w:rPr>
          <w:sz w:val="20"/>
        </w:rPr>
        <w:t>4.2.4</w:t>
      </w:r>
      <w:r w:rsidRPr="00202380">
        <w:rPr>
          <w:sz w:val="20"/>
        </w:rPr>
        <w:tab/>
        <w:t>Brouillage de type B2</w:t>
      </w:r>
    </w:p>
    <w:p w:rsidR="002D679B" w:rsidRPr="002D679B" w:rsidRDefault="002D679B" w:rsidP="002D679B">
      <w:pPr>
        <w:spacing w:before="136"/>
        <w:rPr>
          <w:sz w:val="20"/>
        </w:rPr>
      </w:pPr>
      <w:r w:rsidRPr="002D679B">
        <w:rPr>
          <w:sz w:val="20"/>
        </w:rPr>
        <w:t>Pour une évaluation de brouillage du type B2, on peut utiliser la formule empirique suivante afin de déterminer le niveau maximal d'un signal de radiodiffusion, présent à l'entrée du récepteur de radiophare d'alignement de piste ILS ou de VOR, qui permettra d'éviter un brouillage potentiel:</w:t>
      </w:r>
    </w:p>
    <w:p w:rsidR="002D679B" w:rsidRP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i/>
          <w:sz w:val="22"/>
        </w:rPr>
        <w:t>N</w:t>
      </w:r>
      <w:r w:rsidRPr="002D679B">
        <w:rPr>
          <w:i/>
          <w:position w:val="-4"/>
          <w:sz w:val="18"/>
        </w:rPr>
        <w:t>max</w:t>
      </w:r>
      <w:r w:rsidRPr="002D679B">
        <w:rPr>
          <w:sz w:val="22"/>
        </w:rPr>
        <w:t xml:space="preserve">  </w:t>
      </w:r>
      <w:r w:rsidRPr="002D679B">
        <w:rPr>
          <w:rFonts w:ascii="Symbol" w:hAnsi="Symbol"/>
          <w:sz w:val="22"/>
          <w:lang w:val="en-GB"/>
        </w:rPr>
        <w:t></w:t>
      </w:r>
      <w:r w:rsidRPr="002D679B">
        <w:rPr>
          <w:sz w:val="22"/>
        </w:rPr>
        <w:t xml:space="preserve">  –</w:t>
      </w:r>
      <w:r w:rsidRPr="002D679B">
        <w:rPr>
          <w:sz w:val="12"/>
        </w:rPr>
        <w:t> </w:t>
      </w:r>
      <w:r w:rsidRPr="002D679B">
        <w:rPr>
          <w:sz w:val="22"/>
        </w:rPr>
        <w:t xml:space="preserve">20  </w:t>
      </w:r>
      <w:r w:rsidRPr="002D679B">
        <w:rPr>
          <w:rFonts w:ascii="Symbol" w:hAnsi="Symbol"/>
          <w:sz w:val="22"/>
          <w:lang w:val="en-GB"/>
        </w:rPr>
        <w:t></w:t>
      </w:r>
      <w:r w:rsidRPr="002D679B">
        <w:rPr>
          <w:sz w:val="22"/>
        </w:rPr>
        <w:t xml:space="preserve">  20 log  </w:t>
      </w:r>
      <w:r w:rsidRPr="002D679B">
        <w:rPr>
          <w:position w:val="-26"/>
          <w:sz w:val="22"/>
        </w:rPr>
        <w:object w:dxaOrig="1800" w:dyaOrig="620">
          <v:shape id="_x0000_i1026" type="#_x0000_t75" style="width:90pt;height:31.5pt" o:ole="">
            <v:imagedata r:id="rId19" o:title=""/>
          </v:shape>
          <o:OLEObject Type="Embed" ProgID="Equation.3" ShapeID="_x0000_i1026" DrawAspect="Content" ObjectID="_1649157775" r:id="rId20"/>
        </w:object>
      </w:r>
      <w:r w:rsidRPr="002D679B">
        <w:rPr>
          <w:sz w:val="22"/>
        </w:rPr>
        <w:tab/>
        <w:t>(9)</w:t>
      </w:r>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 w:val="left" w:pos="1021"/>
        </w:tabs>
        <w:spacing w:before="86"/>
        <w:ind w:left="397" w:hanging="397"/>
        <w:rPr>
          <w:sz w:val="20"/>
        </w:rPr>
      </w:pPr>
      <w:r w:rsidRPr="002D679B">
        <w:rPr>
          <w:i/>
          <w:sz w:val="20"/>
        </w:rPr>
        <w:tab/>
        <w:t>N</w:t>
      </w:r>
      <w:r w:rsidRPr="002D679B">
        <w:rPr>
          <w:i/>
          <w:position w:val="-4"/>
          <w:sz w:val="16"/>
        </w:rPr>
        <w:t>max</w:t>
      </w:r>
      <w:r w:rsidRPr="002D679B">
        <w:rPr>
          <w:rFonts w:ascii="Tms Rmn" w:hAnsi="Tms Rmn"/>
          <w:sz w:val="12"/>
        </w:rPr>
        <w:t> </w:t>
      </w:r>
      <w:r w:rsidRPr="002D679B">
        <w:rPr>
          <w:sz w:val="20"/>
        </w:rPr>
        <w:t>:</w:t>
      </w:r>
      <w:r w:rsidRPr="002D679B">
        <w:rPr>
          <w:sz w:val="20"/>
        </w:rPr>
        <w:tab/>
        <w:t>niveau maximal (dBm) du signal de radiodiffusion à l'entrée du récepteur aéronautique</w:t>
      </w:r>
    </w:p>
    <w:p w:rsidR="002D679B" w:rsidRPr="002D679B" w:rsidRDefault="002D679B" w:rsidP="002D679B">
      <w:pPr>
        <w:tabs>
          <w:tab w:val="clear" w:pos="794"/>
          <w:tab w:val="clear" w:pos="1191"/>
          <w:tab w:val="clear" w:pos="1588"/>
          <w:tab w:val="clear" w:pos="1985"/>
          <w:tab w:val="left" w:pos="397"/>
          <w:tab w:val="left" w:pos="1021"/>
        </w:tabs>
        <w:spacing w:before="86"/>
        <w:ind w:left="397" w:hanging="397"/>
        <w:rPr>
          <w:sz w:val="20"/>
        </w:rPr>
      </w:pPr>
      <w:r w:rsidRPr="002D679B">
        <w:rPr>
          <w:i/>
          <w:sz w:val="20"/>
        </w:rPr>
        <w:tab/>
        <w:t>f</w:t>
      </w:r>
      <w:r w:rsidRPr="002D679B">
        <w:rPr>
          <w:rFonts w:ascii="Tms Rmn" w:hAnsi="Tms Rmn"/>
          <w:sz w:val="12"/>
        </w:rPr>
        <w:t> </w:t>
      </w:r>
      <w:r w:rsidRPr="002D679B">
        <w:rPr>
          <w:sz w:val="20"/>
        </w:rPr>
        <w:t>:</w:t>
      </w:r>
      <w:r w:rsidRPr="002D679B">
        <w:rPr>
          <w:sz w:val="20"/>
        </w:rPr>
        <w:tab/>
        <w:t>fréquence de radiodiffusion (MHz)</w:t>
      </w:r>
    </w:p>
    <w:p w:rsidR="002D679B" w:rsidRPr="002D679B" w:rsidRDefault="002D679B" w:rsidP="002D679B">
      <w:pPr>
        <w:tabs>
          <w:tab w:val="clear" w:pos="794"/>
          <w:tab w:val="clear" w:pos="1191"/>
          <w:tab w:val="clear" w:pos="1588"/>
          <w:tab w:val="clear" w:pos="1985"/>
          <w:tab w:val="left" w:pos="397"/>
          <w:tab w:val="left" w:pos="1021"/>
        </w:tabs>
        <w:spacing w:before="86"/>
        <w:ind w:left="397" w:hanging="397"/>
        <w:rPr>
          <w:sz w:val="20"/>
        </w:rPr>
      </w:pPr>
      <w:r w:rsidRPr="002D679B">
        <w:rPr>
          <w:i/>
          <w:sz w:val="20"/>
        </w:rPr>
        <w:tab/>
        <w:t>f</w:t>
      </w:r>
      <w:r w:rsidRPr="002D679B">
        <w:rPr>
          <w:i/>
          <w:position w:val="-4"/>
          <w:sz w:val="16"/>
        </w:rPr>
        <w:t>A</w:t>
      </w:r>
      <w:r w:rsidRPr="002D679B">
        <w:rPr>
          <w:rFonts w:ascii="Tms Rmn" w:hAnsi="Tms Rmn"/>
          <w:sz w:val="12"/>
        </w:rPr>
        <w:t> </w:t>
      </w:r>
      <w:r w:rsidRPr="002D679B">
        <w:rPr>
          <w:sz w:val="20"/>
        </w:rPr>
        <w:t>:</w:t>
      </w:r>
      <w:r w:rsidRPr="002D679B">
        <w:rPr>
          <w:sz w:val="20"/>
        </w:rPr>
        <w:tab/>
        <w:t>fréquence aéronautique (MHz).</w:t>
      </w:r>
    </w:p>
    <w:p w:rsidR="002D679B" w:rsidRPr="002D679B" w:rsidRDefault="002D679B" w:rsidP="002D679B">
      <w:pPr>
        <w:spacing w:before="136"/>
        <w:rPr>
          <w:sz w:val="20"/>
        </w:rPr>
      </w:pPr>
      <w:r w:rsidRPr="002D679B">
        <w:rPr>
          <w:sz w:val="20"/>
        </w:rPr>
        <w:t xml:space="preserve">Pour certaines combinaisons de fréquences et de niveaux du signal utile, la formule (9) implique des critères d'immunité plus sévères que ceux imposés aux récepteurs de type 1998 par l'Annexe 10 de la Convention de l'OACI et qui sont indiqués dans la formule (13). Pour prendre en considération les caractéristiques d'insensibilité des récepteurs aussi bien de type Montréal que de type 1998 selon l'Annexe 10 de l'OACI, il convient d'appliquer les formules (9) et (13) et d'utiliser une valeur faible de </w:t>
      </w:r>
      <w:r w:rsidRPr="002D679B">
        <w:rPr>
          <w:i/>
          <w:sz w:val="20"/>
        </w:rPr>
        <w:t>N</w:t>
      </w:r>
      <w:r w:rsidRPr="002D679B">
        <w:rPr>
          <w:i/>
          <w:position w:val="-4"/>
          <w:sz w:val="16"/>
        </w:rPr>
        <w:t>max</w:t>
      </w:r>
      <w:r w:rsidRPr="002D679B">
        <w:rPr>
          <w:sz w:val="20"/>
        </w:rPr>
        <w:t>.</w:t>
      </w:r>
    </w:p>
    <w:p w:rsidR="002D679B" w:rsidRPr="002D679B" w:rsidRDefault="002D679B" w:rsidP="002D679B">
      <w:pPr>
        <w:spacing w:before="136"/>
        <w:rPr>
          <w:sz w:val="20"/>
        </w:rPr>
      </w:pPr>
      <w:r w:rsidRPr="002D679B">
        <w:rPr>
          <w:sz w:val="20"/>
        </w:rPr>
        <w:t>En raison du manque de données d'essai suffisantes, aucun facteur de correction n'est appliqué dans les formules ci</w:t>
      </w:r>
      <w:r w:rsidRPr="002D679B">
        <w:rPr>
          <w:sz w:val="20"/>
        </w:rPr>
        <w:noBreakHyphen/>
        <w:t>dessus pour tenir compte de l'amélioration d'immunité résultant d'augmentations de niveau du signal utile.</w:t>
      </w:r>
    </w:p>
    <w:p w:rsidR="002D679B" w:rsidRPr="00202380" w:rsidRDefault="002D679B" w:rsidP="00202380">
      <w:pPr>
        <w:pStyle w:val="Heading2"/>
        <w:rPr>
          <w:sz w:val="22"/>
          <w:szCs w:val="22"/>
        </w:rPr>
      </w:pPr>
      <w:bookmarkStart w:id="27" w:name="_Toc289761190"/>
      <w:r w:rsidRPr="00202380">
        <w:rPr>
          <w:sz w:val="22"/>
          <w:szCs w:val="22"/>
        </w:rPr>
        <w:t>4.3</w:t>
      </w:r>
      <w:r w:rsidRPr="00202380">
        <w:rPr>
          <w:sz w:val="22"/>
          <w:szCs w:val="22"/>
        </w:rPr>
        <w:tab/>
        <w:t>Critères d'évaluation du brouillage – Récepteurs (VOR et radiophare d'alignement de piste ILS) de type 1998 selon l'Annexe 10 de l'OACI</w:t>
      </w:r>
      <w:bookmarkEnd w:id="27"/>
    </w:p>
    <w:p w:rsidR="002D679B" w:rsidRPr="00202380" w:rsidRDefault="002D679B" w:rsidP="00202380">
      <w:pPr>
        <w:pStyle w:val="Heading3"/>
        <w:rPr>
          <w:sz w:val="20"/>
        </w:rPr>
      </w:pPr>
      <w:r w:rsidRPr="00202380">
        <w:rPr>
          <w:sz w:val="20"/>
        </w:rPr>
        <w:t>4.3.1</w:t>
      </w:r>
      <w:r w:rsidRPr="00202380">
        <w:rPr>
          <w:sz w:val="20"/>
        </w:rPr>
        <w:tab/>
        <w:t>Brouillage de type A1 (voir la Note 1)</w:t>
      </w:r>
    </w:p>
    <w:p w:rsidR="002D679B" w:rsidRPr="002D679B" w:rsidRDefault="002D679B" w:rsidP="002D679B">
      <w:pPr>
        <w:spacing w:before="136"/>
        <w:rPr>
          <w:sz w:val="20"/>
        </w:rPr>
      </w:pPr>
      <w:r w:rsidRPr="002D679B">
        <w:rPr>
          <w:sz w:val="20"/>
        </w:rPr>
        <w:t>Comme pour les récepteurs de type Montréal, § 4.2.1.</w:t>
      </w:r>
    </w:p>
    <w:p w:rsidR="002D679B" w:rsidRPr="00202380" w:rsidRDefault="002D679B" w:rsidP="00202380">
      <w:pPr>
        <w:pStyle w:val="Heading3"/>
        <w:rPr>
          <w:sz w:val="20"/>
        </w:rPr>
      </w:pPr>
      <w:r w:rsidRPr="00202380">
        <w:rPr>
          <w:sz w:val="20"/>
        </w:rPr>
        <w:t>4.3.2</w:t>
      </w:r>
      <w:r w:rsidRPr="00202380">
        <w:rPr>
          <w:sz w:val="20"/>
        </w:rPr>
        <w:tab/>
        <w:t>Brouillage de type A2 (voir la Note 1)</w:t>
      </w:r>
    </w:p>
    <w:p w:rsidR="002D679B" w:rsidRPr="002D679B" w:rsidRDefault="002D679B" w:rsidP="002D679B">
      <w:pPr>
        <w:spacing w:before="136"/>
        <w:rPr>
          <w:sz w:val="20"/>
        </w:rPr>
      </w:pPr>
      <w:r w:rsidRPr="002D679B">
        <w:rPr>
          <w:sz w:val="20"/>
        </w:rPr>
        <w:t>Comme pour les récepteurs de type Montréal, § 4.2.2.</w:t>
      </w:r>
    </w:p>
    <w:p w:rsidR="002D679B" w:rsidRPr="002D679B" w:rsidRDefault="002D679B" w:rsidP="002D679B">
      <w:pPr>
        <w:tabs>
          <w:tab w:val="clear" w:pos="794"/>
          <w:tab w:val="clear" w:pos="1191"/>
          <w:tab w:val="clear" w:pos="1588"/>
          <w:tab w:val="clear" w:pos="1985"/>
        </w:tabs>
        <w:spacing w:before="80"/>
        <w:rPr>
          <w:sz w:val="20"/>
        </w:rPr>
      </w:pPr>
      <w:r w:rsidRPr="002D679B">
        <w:rPr>
          <w:sz w:val="20"/>
        </w:rPr>
        <w:t>NOTE 1 – Il faudra procéder à de nouvelles mesures de brouillage de types A1 et A2 avant de pouvoir envisager des modifications éventuelles des § 4.3.1 et 4.3.2 de la présente Recommandation.</w:t>
      </w:r>
    </w:p>
    <w:p w:rsidR="002D679B" w:rsidRPr="00202380" w:rsidRDefault="002D679B" w:rsidP="00202380">
      <w:pPr>
        <w:pStyle w:val="Heading3"/>
        <w:rPr>
          <w:sz w:val="20"/>
        </w:rPr>
      </w:pPr>
      <w:r w:rsidRPr="00202380">
        <w:rPr>
          <w:sz w:val="20"/>
        </w:rPr>
        <w:t>4.3.3</w:t>
      </w:r>
      <w:r w:rsidRPr="00202380">
        <w:rPr>
          <w:sz w:val="20"/>
        </w:rPr>
        <w:tab/>
        <w:t>Brouillage de type B1</w:t>
      </w:r>
    </w:p>
    <w:p w:rsidR="002D679B" w:rsidRPr="00202380" w:rsidRDefault="002D679B" w:rsidP="00202380">
      <w:pPr>
        <w:pStyle w:val="Heading4"/>
        <w:rPr>
          <w:sz w:val="20"/>
        </w:rPr>
      </w:pPr>
      <w:r w:rsidRPr="00202380">
        <w:rPr>
          <w:sz w:val="20"/>
        </w:rPr>
        <w:t>4.3.3.1</w:t>
      </w:r>
      <w:r w:rsidRPr="00202380">
        <w:rPr>
          <w:sz w:val="20"/>
        </w:rPr>
        <w:tab/>
        <w:t>Formules d'évaluation de la compatibilité</w:t>
      </w:r>
    </w:p>
    <w:p w:rsidR="002D679B" w:rsidRPr="002D679B" w:rsidRDefault="002D679B" w:rsidP="002D679B">
      <w:pPr>
        <w:spacing w:before="136"/>
        <w:rPr>
          <w:sz w:val="20"/>
        </w:rPr>
      </w:pPr>
      <w:r w:rsidRPr="002D679B">
        <w:rPr>
          <w:sz w:val="20"/>
        </w:rPr>
        <w:t>Il convient d'utiliser les formules qui suivent pour évaluer les incompatibilités possibles.</w:t>
      </w:r>
    </w:p>
    <w:p w:rsidR="002D679B" w:rsidRPr="002D679B" w:rsidRDefault="002D679B" w:rsidP="002D679B">
      <w:pPr>
        <w:tabs>
          <w:tab w:val="clear" w:pos="794"/>
          <w:tab w:val="clear" w:pos="1191"/>
          <w:tab w:val="clear" w:pos="1588"/>
          <w:tab w:val="clear" w:pos="1985"/>
          <w:tab w:val="left" w:pos="397"/>
        </w:tabs>
        <w:spacing w:before="86"/>
        <w:ind w:left="397" w:hanging="397"/>
        <w:rPr>
          <w:i/>
          <w:sz w:val="20"/>
        </w:rPr>
      </w:pPr>
      <w:r w:rsidRPr="002D679B">
        <w:rPr>
          <w:sz w:val="20"/>
        </w:rPr>
        <w:t>a)</w:t>
      </w:r>
      <w:r w:rsidRPr="002D679B">
        <w:rPr>
          <w:sz w:val="20"/>
        </w:rPr>
        <w:tab/>
      </w:r>
      <w:r w:rsidRPr="002D679B">
        <w:rPr>
          <w:i/>
          <w:sz w:val="20"/>
        </w:rPr>
        <w:t xml:space="preserve">Cas de deux signaux  </w:t>
      </w:r>
    </w:p>
    <w:p w:rsidR="002D679B" w:rsidRPr="002D679B" w:rsidRDefault="002D679B" w:rsidP="002D679B">
      <w:pPr>
        <w:tabs>
          <w:tab w:val="clear" w:pos="1191"/>
          <w:tab w:val="clear" w:pos="1588"/>
          <w:tab w:val="clear" w:pos="1985"/>
          <w:tab w:val="center" w:pos="4849"/>
          <w:tab w:val="right" w:pos="9696"/>
        </w:tabs>
        <w:spacing w:before="140" w:after="40"/>
        <w:jc w:val="left"/>
        <w:rPr>
          <w:sz w:val="22"/>
          <w:lang w:val="en-GB"/>
        </w:rPr>
      </w:pPr>
      <w:r w:rsidRPr="002D679B">
        <w:rPr>
          <w:sz w:val="22"/>
        </w:rPr>
        <w:tab/>
      </w:r>
      <w:r w:rsidRPr="002D679B">
        <w:rPr>
          <w:sz w:val="22"/>
        </w:rPr>
        <w:tab/>
      </w:r>
      <w:r w:rsidRPr="002D679B">
        <w:rPr>
          <w:position w:val="-28"/>
          <w:sz w:val="22"/>
        </w:rPr>
        <w:object w:dxaOrig="3739" w:dyaOrig="660">
          <v:shape id="_x0000_i1027" type="#_x0000_t75" style="width:187.5pt;height:33.5pt" o:ole="">
            <v:imagedata r:id="rId21" o:title=""/>
          </v:shape>
          <o:OLEObject Type="Embed" ProgID="Equation.3" ShapeID="_x0000_i1027" DrawAspect="Content" ObjectID="_1649157776" r:id="rId22"/>
        </w:object>
      </w:r>
    </w:p>
    <w:p w:rsidR="002D679B" w:rsidRPr="002D679B" w:rsidRDefault="002D679B" w:rsidP="0045207C">
      <w:pPr>
        <w:tabs>
          <w:tab w:val="clear" w:pos="1191"/>
          <w:tab w:val="clear" w:pos="1588"/>
          <w:tab w:val="clear" w:pos="1985"/>
          <w:tab w:val="left" w:pos="2751"/>
          <w:tab w:val="center" w:pos="4849"/>
          <w:tab w:val="right" w:pos="9696"/>
        </w:tabs>
        <w:spacing w:before="140" w:after="40"/>
        <w:ind w:left="794"/>
        <w:jc w:val="left"/>
        <w:rPr>
          <w:sz w:val="22"/>
        </w:rPr>
      </w:pPr>
      <w:r w:rsidRPr="002D679B">
        <w:rPr>
          <w:sz w:val="22"/>
          <w:lang w:val="en-GB"/>
        </w:rPr>
        <w:tab/>
      </w:r>
      <w:r w:rsidRPr="002D679B">
        <w:rPr>
          <w:sz w:val="22"/>
          <w:lang w:val="en-GB"/>
        </w:rPr>
        <w:tab/>
      </w:r>
      <w:r w:rsidRPr="002D679B">
        <w:rPr>
          <w:position w:val="-26"/>
          <w:sz w:val="22"/>
          <w:lang w:val="en-GB"/>
        </w:rPr>
        <w:object w:dxaOrig="5240" w:dyaOrig="620">
          <v:shape id="_x0000_i1028" type="#_x0000_t75" style="width:262pt;height:31.5pt" o:ole="">
            <v:imagedata r:id="rId23" o:title=""/>
          </v:shape>
          <o:OLEObject Type="Embed" ProgID="Equation.3" ShapeID="_x0000_i1028" DrawAspect="Content" ObjectID="_1649157777" r:id="rId24"/>
        </w:object>
      </w:r>
      <w:r w:rsidRPr="002D679B">
        <w:rPr>
          <w:sz w:val="22"/>
        </w:rPr>
        <w:tab/>
        <w:t>(10)</w:t>
      </w:r>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 w:val="left" w:pos="1134"/>
        </w:tabs>
        <w:spacing w:before="86"/>
        <w:ind w:left="1134" w:hanging="1134"/>
        <w:rPr>
          <w:sz w:val="20"/>
        </w:rPr>
      </w:pPr>
      <w:r w:rsidRPr="002D679B">
        <w:rPr>
          <w:i/>
          <w:sz w:val="20"/>
        </w:rPr>
        <w:tab/>
        <w:t>N</w:t>
      </w:r>
      <w:r w:rsidRPr="002D679B">
        <w:rPr>
          <w:position w:val="-4"/>
          <w:sz w:val="16"/>
        </w:rPr>
        <w:t>1</w:t>
      </w:r>
      <w:r w:rsidRPr="002D679B">
        <w:rPr>
          <w:sz w:val="20"/>
        </w:rPr>
        <w:t xml:space="preserve">, </w:t>
      </w:r>
      <w:r w:rsidRPr="002D679B">
        <w:rPr>
          <w:i/>
          <w:sz w:val="20"/>
        </w:rPr>
        <w:t>N</w:t>
      </w:r>
      <w:r w:rsidRPr="002D679B">
        <w:rPr>
          <w:position w:val="-4"/>
          <w:sz w:val="16"/>
        </w:rPr>
        <w:t>2</w:t>
      </w:r>
      <w:r w:rsidRPr="002D679B">
        <w:rPr>
          <w:rFonts w:ascii="Tms Rmn" w:hAnsi="Tms Rmn"/>
          <w:sz w:val="12"/>
        </w:rPr>
        <w:t> </w:t>
      </w:r>
      <w:r w:rsidRPr="002D679B">
        <w:rPr>
          <w:sz w:val="20"/>
        </w:rPr>
        <w:t>:</w:t>
      </w:r>
      <w:r w:rsidRPr="002D679B">
        <w:rPr>
          <w:sz w:val="20"/>
        </w:rPr>
        <w:tab/>
        <w:t xml:space="preserve">niveaux (dBm) du signal de radiodiffusion présent à l'entrée du récepteur aéronautique respectivement pour les fréquences </w:t>
      </w:r>
      <w:r w:rsidRPr="002D679B">
        <w:rPr>
          <w:i/>
          <w:sz w:val="20"/>
        </w:rPr>
        <w:t>f</w:t>
      </w:r>
      <w:r w:rsidRPr="002D679B">
        <w:rPr>
          <w:position w:val="-4"/>
          <w:sz w:val="16"/>
        </w:rPr>
        <w:t>1</w:t>
      </w:r>
      <w:r w:rsidRPr="002D679B">
        <w:rPr>
          <w:sz w:val="20"/>
        </w:rPr>
        <w:t xml:space="preserve"> et </w:t>
      </w:r>
      <w:r w:rsidRPr="002D679B">
        <w:rPr>
          <w:i/>
          <w:sz w:val="20"/>
        </w:rPr>
        <w:t>f</w:t>
      </w:r>
      <w:r w:rsidRPr="002D679B">
        <w:rPr>
          <w:position w:val="-4"/>
          <w:sz w:val="16"/>
        </w:rPr>
        <w:t>2</w:t>
      </w:r>
    </w:p>
    <w:p w:rsidR="002D679B" w:rsidRPr="002D679B" w:rsidRDefault="002D679B" w:rsidP="002D679B">
      <w:pPr>
        <w:tabs>
          <w:tab w:val="clear" w:pos="794"/>
          <w:tab w:val="clear" w:pos="1191"/>
          <w:tab w:val="clear" w:pos="1588"/>
          <w:tab w:val="clear" w:pos="1985"/>
          <w:tab w:val="left" w:pos="397"/>
          <w:tab w:val="left" w:pos="1134"/>
        </w:tabs>
        <w:spacing w:before="86"/>
        <w:ind w:left="1134" w:hanging="1134"/>
        <w:rPr>
          <w:sz w:val="20"/>
        </w:rPr>
      </w:pPr>
      <w:r w:rsidRPr="002D679B">
        <w:rPr>
          <w:i/>
          <w:sz w:val="20"/>
        </w:rPr>
        <w:tab/>
        <w:t>f</w:t>
      </w:r>
      <w:r w:rsidRPr="002D679B">
        <w:rPr>
          <w:position w:val="-4"/>
          <w:sz w:val="16"/>
        </w:rPr>
        <w:t>1</w:t>
      </w:r>
      <w:r w:rsidRPr="002D679B">
        <w:rPr>
          <w:sz w:val="20"/>
        </w:rPr>
        <w:t xml:space="preserve">, </w:t>
      </w:r>
      <w:r w:rsidRPr="002D679B">
        <w:rPr>
          <w:i/>
          <w:sz w:val="20"/>
        </w:rPr>
        <w:t>f</w:t>
      </w:r>
      <w:r w:rsidRPr="002D679B">
        <w:rPr>
          <w:position w:val="-4"/>
          <w:sz w:val="16"/>
        </w:rPr>
        <w:t>2</w:t>
      </w:r>
      <w:r w:rsidRPr="002D679B">
        <w:rPr>
          <w:rFonts w:ascii="Tms Rmn" w:hAnsi="Tms Rmn"/>
          <w:sz w:val="12"/>
        </w:rPr>
        <w:t> </w:t>
      </w:r>
      <w:r w:rsidRPr="002D679B">
        <w:rPr>
          <w:sz w:val="20"/>
        </w:rPr>
        <w:t>:</w:t>
      </w:r>
      <w:r w:rsidRPr="002D679B">
        <w:rPr>
          <w:sz w:val="20"/>
        </w:rPr>
        <w:tab/>
        <w:t xml:space="preserve">fréquences de radiodiffusion (MHz) telles que </w:t>
      </w:r>
      <w:r w:rsidRPr="002D679B">
        <w:rPr>
          <w:i/>
          <w:sz w:val="20"/>
        </w:rPr>
        <w:t>f</w:t>
      </w:r>
      <w:r w:rsidRPr="002D679B">
        <w:rPr>
          <w:position w:val="-4"/>
          <w:sz w:val="16"/>
        </w:rPr>
        <w:t>1</w:t>
      </w:r>
      <w:r w:rsidRPr="002D679B">
        <w:rPr>
          <w:sz w:val="20"/>
        </w:rPr>
        <w:t xml:space="preserve">  </w:t>
      </w:r>
      <w:r w:rsidRPr="002D679B">
        <w:rPr>
          <w:rFonts w:ascii="Symbol" w:hAnsi="Symbol"/>
          <w:sz w:val="20"/>
          <w:lang w:val="en-GB"/>
        </w:rPr>
        <w:t></w:t>
      </w:r>
      <w:r w:rsidRPr="002D679B">
        <w:rPr>
          <w:sz w:val="20"/>
        </w:rPr>
        <w:t xml:space="preserve">  </w:t>
      </w:r>
      <w:r w:rsidRPr="002D679B">
        <w:rPr>
          <w:i/>
          <w:sz w:val="20"/>
        </w:rPr>
        <w:t>f</w:t>
      </w:r>
      <w:r w:rsidRPr="002D679B">
        <w:rPr>
          <w:position w:val="-4"/>
          <w:sz w:val="16"/>
        </w:rPr>
        <w:t>2</w:t>
      </w:r>
    </w:p>
    <w:p w:rsidR="002D679B" w:rsidRPr="002D679B" w:rsidRDefault="002D679B" w:rsidP="002D679B">
      <w:pPr>
        <w:tabs>
          <w:tab w:val="clear" w:pos="794"/>
          <w:tab w:val="clear" w:pos="1191"/>
          <w:tab w:val="clear" w:pos="1588"/>
          <w:tab w:val="clear" w:pos="1985"/>
          <w:tab w:val="left" w:pos="397"/>
          <w:tab w:val="left" w:pos="1134"/>
        </w:tabs>
        <w:spacing w:before="86"/>
        <w:ind w:left="1134" w:hanging="1134"/>
        <w:rPr>
          <w:sz w:val="20"/>
        </w:rPr>
      </w:pPr>
      <w:r w:rsidRPr="002D679B">
        <w:rPr>
          <w:i/>
          <w:sz w:val="20"/>
        </w:rPr>
        <w:tab/>
        <w:t>K</w:t>
      </w:r>
      <w:r w:rsidRPr="002D679B">
        <w:rPr>
          <w:sz w:val="20"/>
        </w:rPr>
        <w:t xml:space="preserve">  </w:t>
      </w:r>
      <w:r w:rsidRPr="002D679B">
        <w:rPr>
          <w:rFonts w:ascii="Symbol" w:hAnsi="Symbol"/>
          <w:sz w:val="20"/>
          <w:lang w:val="en-GB"/>
        </w:rPr>
        <w:t></w:t>
      </w:r>
      <w:r w:rsidRPr="002D679B">
        <w:rPr>
          <w:sz w:val="20"/>
        </w:rPr>
        <w:tab/>
        <w:t>78 pour les radiophares d'alignement de piste ILS et les VOR</w:t>
      </w:r>
    </w:p>
    <w:p w:rsidR="002D679B" w:rsidRPr="002D679B" w:rsidRDefault="002D679B" w:rsidP="002D679B">
      <w:pPr>
        <w:tabs>
          <w:tab w:val="clear" w:pos="794"/>
          <w:tab w:val="clear" w:pos="1191"/>
          <w:tab w:val="clear" w:pos="1588"/>
          <w:tab w:val="clear" w:pos="1985"/>
          <w:tab w:val="left" w:pos="397"/>
          <w:tab w:val="left" w:pos="1134"/>
        </w:tabs>
        <w:spacing w:before="86"/>
        <w:ind w:left="1134" w:hanging="1134"/>
        <w:rPr>
          <w:sz w:val="20"/>
        </w:rPr>
      </w:pPr>
      <w:r w:rsidRPr="002D679B">
        <w:rPr>
          <w:i/>
          <w:sz w:val="20"/>
        </w:rPr>
        <w:tab/>
        <w:t>L</w:t>
      </w:r>
      <w:r w:rsidRPr="002D679B">
        <w:rPr>
          <w:i/>
          <w:position w:val="-4"/>
          <w:sz w:val="16"/>
        </w:rPr>
        <w:t>c</w:t>
      </w:r>
      <w:r w:rsidRPr="002D679B">
        <w:rPr>
          <w:rFonts w:ascii="Tms Rmn" w:hAnsi="Tms Rmn"/>
          <w:sz w:val="12"/>
        </w:rPr>
        <w:t> </w:t>
      </w:r>
      <w:r w:rsidRPr="002D679B">
        <w:rPr>
          <w:sz w:val="20"/>
        </w:rPr>
        <w:t>:</w:t>
      </w:r>
      <w:r w:rsidRPr="002D679B">
        <w:rPr>
          <w:sz w:val="20"/>
        </w:rPr>
        <w:tab/>
        <w:t>facteur de correction (dB) pour tenir compte des variations du niveau du signal utile (voir le § 4.3.3.3)</w:t>
      </w:r>
    </w:p>
    <w:p w:rsidR="002D679B" w:rsidRPr="002D679B" w:rsidRDefault="002D679B" w:rsidP="002D679B">
      <w:pPr>
        <w:tabs>
          <w:tab w:val="clear" w:pos="794"/>
          <w:tab w:val="clear" w:pos="1191"/>
          <w:tab w:val="clear" w:pos="1588"/>
          <w:tab w:val="clear" w:pos="1985"/>
          <w:tab w:val="left" w:pos="397"/>
          <w:tab w:val="left" w:pos="1134"/>
        </w:tabs>
        <w:spacing w:before="86"/>
        <w:ind w:left="1134" w:hanging="1134"/>
        <w:rPr>
          <w:sz w:val="20"/>
        </w:rPr>
      </w:pPr>
      <w:r w:rsidRPr="002D679B">
        <w:rPr>
          <w:sz w:val="20"/>
        </w:rPr>
        <w:tab/>
      </w:r>
      <w:r w:rsidRPr="002D679B">
        <w:rPr>
          <w:i/>
          <w:sz w:val="20"/>
        </w:rPr>
        <w:t>S</w:t>
      </w:r>
      <w:r w:rsidRPr="002D679B">
        <w:rPr>
          <w:rFonts w:ascii="Tms Rmn" w:hAnsi="Tms Rmn"/>
          <w:sz w:val="12"/>
        </w:rPr>
        <w:t> </w:t>
      </w:r>
      <w:r w:rsidRPr="002D679B">
        <w:rPr>
          <w:sz w:val="18"/>
        </w:rPr>
        <w:t>:</w:t>
      </w:r>
      <w:r w:rsidRPr="002D679B">
        <w:rPr>
          <w:sz w:val="20"/>
        </w:rPr>
        <w:tab/>
        <w:t>marge de 3 dB pour tenir compte du fait que les équations des critères d'immunité des récepteurs de type 1998 selon l'Annexe 10 de l'OACI ne permettent pas d'obtenir des formules complètes d'évaluation de la compatibilité.</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b)</w:t>
      </w:r>
      <w:r w:rsidRPr="002D679B">
        <w:rPr>
          <w:sz w:val="20"/>
        </w:rPr>
        <w:tab/>
      </w:r>
      <w:r w:rsidRPr="002D679B">
        <w:rPr>
          <w:i/>
          <w:sz w:val="20"/>
        </w:rPr>
        <w:t>Cas de trois signaux</w:t>
      </w:r>
    </w:p>
    <w:p w:rsidR="002D679B" w:rsidRPr="002D679B" w:rsidRDefault="002D679B" w:rsidP="002D679B">
      <w:pPr>
        <w:tabs>
          <w:tab w:val="clear" w:pos="1191"/>
          <w:tab w:val="clear" w:pos="1588"/>
          <w:tab w:val="clear" w:pos="1985"/>
          <w:tab w:val="left" w:pos="2410"/>
          <w:tab w:val="center" w:pos="4849"/>
          <w:tab w:val="right" w:pos="9696"/>
        </w:tabs>
        <w:spacing w:before="140" w:after="40"/>
        <w:jc w:val="left"/>
        <w:rPr>
          <w:sz w:val="22"/>
        </w:rPr>
      </w:pPr>
      <w:r w:rsidRPr="002D679B">
        <w:rPr>
          <w:sz w:val="22"/>
        </w:rPr>
        <w:tab/>
      </w:r>
      <w:r w:rsidRPr="002D679B">
        <w:rPr>
          <w:sz w:val="22"/>
        </w:rPr>
        <w:tab/>
      </w:r>
      <w:r w:rsidRPr="002D679B">
        <w:rPr>
          <w:position w:val="-26"/>
          <w:sz w:val="22"/>
        </w:rPr>
        <w:object w:dxaOrig="3440" w:dyaOrig="620">
          <v:shape id="_x0000_i1029" type="#_x0000_t75" style="width:172pt;height:31.5pt" o:ole="">
            <v:imagedata r:id="rId25" o:title=""/>
          </v:shape>
          <o:OLEObject Type="Embed" ProgID="Equation.3" ShapeID="_x0000_i1029" DrawAspect="Content" ObjectID="_1649157778" r:id="rId26"/>
        </w:object>
      </w:r>
    </w:p>
    <w:p w:rsidR="002D679B" w:rsidRPr="002D679B" w:rsidRDefault="002D679B" w:rsidP="002D679B">
      <w:pPr>
        <w:tabs>
          <w:tab w:val="clear" w:pos="1191"/>
          <w:tab w:val="clear" w:pos="1588"/>
          <w:tab w:val="clear" w:pos="1985"/>
          <w:tab w:val="left" w:pos="2354"/>
          <w:tab w:val="center" w:pos="4849"/>
          <w:tab w:val="right" w:pos="9696"/>
        </w:tabs>
        <w:spacing w:before="140" w:after="40"/>
        <w:jc w:val="left"/>
        <w:rPr>
          <w:sz w:val="22"/>
        </w:rPr>
      </w:pPr>
      <w:r w:rsidRPr="002D679B">
        <w:rPr>
          <w:sz w:val="22"/>
        </w:rPr>
        <w:tab/>
      </w:r>
      <w:r w:rsidRPr="002D679B">
        <w:rPr>
          <w:sz w:val="22"/>
        </w:rPr>
        <w:tab/>
      </w:r>
      <w:r w:rsidRPr="002D679B">
        <w:rPr>
          <w:position w:val="-26"/>
          <w:sz w:val="22"/>
        </w:rPr>
        <w:object w:dxaOrig="3500" w:dyaOrig="620">
          <v:shape id="_x0000_i1030" type="#_x0000_t75" style="width:175.5pt;height:31.5pt" o:ole="">
            <v:imagedata r:id="rId27" o:title=""/>
          </v:shape>
          <o:OLEObject Type="Embed" ProgID="Equation.3" ShapeID="_x0000_i1030" DrawAspect="Content" ObjectID="_1649157779" r:id="rId28"/>
        </w:object>
      </w:r>
    </w:p>
    <w:p w:rsidR="002D679B" w:rsidRPr="002D679B" w:rsidRDefault="002D679B" w:rsidP="002D679B">
      <w:pPr>
        <w:tabs>
          <w:tab w:val="clear" w:pos="1191"/>
          <w:tab w:val="clear" w:pos="1588"/>
          <w:tab w:val="clear" w:pos="1985"/>
          <w:tab w:val="left" w:pos="2354"/>
          <w:tab w:val="center" w:pos="4849"/>
          <w:tab w:val="right" w:pos="9696"/>
        </w:tabs>
        <w:spacing w:before="140" w:after="40"/>
        <w:jc w:val="left"/>
        <w:rPr>
          <w:sz w:val="22"/>
          <w:lang w:val="fr-CH"/>
        </w:rPr>
      </w:pPr>
      <w:r w:rsidRPr="002D679B">
        <w:rPr>
          <w:sz w:val="22"/>
          <w:lang w:val="en-US"/>
        </w:rPr>
        <w:tab/>
      </w:r>
      <w:r w:rsidRPr="002D679B">
        <w:rPr>
          <w:sz w:val="22"/>
          <w:lang w:val="en-US"/>
        </w:rPr>
        <w:tab/>
      </w:r>
      <w:r w:rsidRPr="002D679B">
        <w:rPr>
          <w:position w:val="-26"/>
          <w:sz w:val="22"/>
        </w:rPr>
        <w:object w:dxaOrig="3480" w:dyaOrig="620">
          <v:shape id="_x0000_i1031" type="#_x0000_t75" style="width:174pt;height:31.5pt" o:ole="">
            <v:imagedata r:id="rId29" o:title=""/>
          </v:shape>
          <o:OLEObject Type="Embed" ProgID="Equation.3" ShapeID="_x0000_i1031" DrawAspect="Content" ObjectID="_1649157780" r:id="rId30"/>
        </w:object>
      </w:r>
      <w:r w:rsidRPr="002D679B">
        <w:rPr>
          <w:sz w:val="22"/>
          <w:lang w:val="fr-CH"/>
        </w:rPr>
        <w:t xml:space="preserve">  </w:t>
      </w:r>
      <w:r w:rsidRPr="002D679B">
        <w:rPr>
          <w:i/>
          <w:sz w:val="22"/>
          <w:lang w:val="fr-CH"/>
        </w:rPr>
        <w:t>K</w:t>
      </w:r>
      <w:r w:rsidRPr="002D679B">
        <w:rPr>
          <w:sz w:val="22"/>
          <w:lang w:val="fr-CH"/>
        </w:rPr>
        <w:t xml:space="preserve">  </w:t>
      </w:r>
      <w:r w:rsidRPr="002D679B">
        <w:rPr>
          <w:rFonts w:ascii="Symbol" w:hAnsi="Symbol"/>
          <w:sz w:val="22"/>
          <w:lang w:val="en-GB"/>
        </w:rPr>
        <w:t></w:t>
      </w:r>
      <w:r w:rsidRPr="002D679B">
        <w:rPr>
          <w:sz w:val="22"/>
          <w:lang w:val="fr-CH"/>
        </w:rPr>
        <w:t xml:space="preserve">  6  –  </w:t>
      </w:r>
      <w:r w:rsidRPr="002D679B">
        <w:rPr>
          <w:i/>
          <w:sz w:val="22"/>
          <w:lang w:val="fr-CH"/>
        </w:rPr>
        <w:t>L</w:t>
      </w:r>
      <w:r w:rsidRPr="002D679B">
        <w:rPr>
          <w:i/>
          <w:position w:val="-4"/>
          <w:sz w:val="18"/>
          <w:lang w:val="fr-CH"/>
        </w:rPr>
        <w:t>c</w:t>
      </w:r>
      <w:r w:rsidRPr="002D679B">
        <w:rPr>
          <w:sz w:val="22"/>
          <w:lang w:val="fr-CH"/>
        </w:rPr>
        <w:t xml:space="preserve">  </w:t>
      </w:r>
      <w:r w:rsidRPr="002D679B">
        <w:rPr>
          <w:rFonts w:ascii="Symbol" w:hAnsi="Symbol"/>
          <w:sz w:val="22"/>
          <w:lang w:val="en-GB"/>
        </w:rPr>
        <w:t></w:t>
      </w:r>
      <w:r w:rsidRPr="002D679B">
        <w:rPr>
          <w:sz w:val="22"/>
          <w:lang w:val="fr-CH"/>
        </w:rPr>
        <w:t xml:space="preserve">  </w:t>
      </w:r>
      <w:r w:rsidRPr="002D679B">
        <w:rPr>
          <w:i/>
          <w:sz w:val="22"/>
          <w:lang w:val="fr-CH"/>
        </w:rPr>
        <w:t>S</w:t>
      </w:r>
      <w:r w:rsidRPr="002D679B">
        <w:rPr>
          <w:sz w:val="22"/>
          <w:lang w:val="fr-CH"/>
        </w:rPr>
        <w:t xml:space="preserve">  </w:t>
      </w:r>
      <w:r w:rsidRPr="002D679B">
        <w:rPr>
          <w:rFonts w:ascii="Symbol" w:hAnsi="Symbol"/>
          <w:sz w:val="22"/>
          <w:lang w:val="en-GB"/>
        </w:rPr>
        <w:t></w:t>
      </w:r>
      <w:r w:rsidRPr="002D679B">
        <w:rPr>
          <w:sz w:val="22"/>
          <w:lang w:val="fr-CH"/>
        </w:rPr>
        <w:t xml:space="preserve">  0</w:t>
      </w:r>
      <w:r w:rsidRPr="002D679B">
        <w:rPr>
          <w:sz w:val="22"/>
          <w:lang w:val="fr-CH"/>
        </w:rPr>
        <w:tab/>
        <w:t>(11)</w:t>
      </w:r>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 w:val="left" w:pos="1474"/>
        </w:tabs>
        <w:spacing w:before="86"/>
        <w:ind w:left="2880" w:hanging="2880"/>
        <w:rPr>
          <w:sz w:val="20"/>
        </w:rPr>
      </w:pPr>
      <w:r w:rsidRPr="002D679B">
        <w:rPr>
          <w:i/>
          <w:sz w:val="20"/>
        </w:rPr>
        <w:tab/>
        <w:t>f</w:t>
      </w:r>
      <w:r w:rsidRPr="002D679B">
        <w:rPr>
          <w:position w:val="-4"/>
          <w:sz w:val="16"/>
        </w:rPr>
        <w:t>1</w:t>
      </w:r>
      <w:r w:rsidRPr="002D679B">
        <w:rPr>
          <w:sz w:val="20"/>
        </w:rPr>
        <w:t xml:space="preserve">, </w:t>
      </w:r>
      <w:r w:rsidRPr="002D679B">
        <w:rPr>
          <w:i/>
          <w:sz w:val="20"/>
        </w:rPr>
        <w:t>f</w:t>
      </w:r>
      <w:r w:rsidRPr="002D679B">
        <w:rPr>
          <w:position w:val="-4"/>
          <w:sz w:val="16"/>
        </w:rPr>
        <w:t>2</w:t>
      </w:r>
      <w:r w:rsidRPr="002D679B">
        <w:rPr>
          <w:sz w:val="20"/>
        </w:rPr>
        <w:t xml:space="preserve">, </w:t>
      </w:r>
      <w:r w:rsidRPr="002D679B">
        <w:rPr>
          <w:i/>
          <w:sz w:val="20"/>
        </w:rPr>
        <w:t>f</w:t>
      </w:r>
      <w:r w:rsidRPr="002D679B">
        <w:rPr>
          <w:position w:val="-4"/>
          <w:sz w:val="16"/>
        </w:rPr>
        <w:t>3</w:t>
      </w:r>
      <w:r w:rsidRPr="002D679B">
        <w:rPr>
          <w:rFonts w:ascii="Tms Rmn" w:hAnsi="Tms Rmn"/>
          <w:sz w:val="12"/>
        </w:rPr>
        <w:t> </w:t>
      </w:r>
      <w:r w:rsidRPr="002D679B">
        <w:rPr>
          <w:rFonts w:ascii="Symbol" w:hAnsi="Symbol"/>
          <w:sz w:val="20"/>
          <w:lang w:val="en-GB"/>
        </w:rPr>
        <w:t></w:t>
      </w:r>
      <w:r w:rsidRPr="002D679B">
        <w:rPr>
          <w:rFonts w:ascii="Symbol" w:hAnsi="Symbol"/>
          <w:sz w:val="20"/>
        </w:rPr>
        <w:tab/>
      </w:r>
      <w:r w:rsidRPr="002D679B">
        <w:rPr>
          <w:sz w:val="20"/>
        </w:rPr>
        <w:t xml:space="preserve">fréquences de radiodiffusion (MHz) telles que </w:t>
      </w:r>
      <w:r w:rsidRPr="002D679B">
        <w:rPr>
          <w:i/>
          <w:sz w:val="20"/>
        </w:rPr>
        <w:t>f</w:t>
      </w:r>
      <w:r w:rsidRPr="002D679B">
        <w:rPr>
          <w:position w:val="-4"/>
          <w:sz w:val="16"/>
        </w:rPr>
        <w:t>1</w:t>
      </w:r>
      <w:r w:rsidRPr="002D679B">
        <w:rPr>
          <w:sz w:val="20"/>
        </w:rPr>
        <w:t xml:space="preserve">  </w:t>
      </w:r>
      <w:r w:rsidRPr="002D679B">
        <w:rPr>
          <w:rFonts w:ascii="Symbol" w:hAnsi="Symbol"/>
          <w:sz w:val="20"/>
          <w:lang w:val="en-GB"/>
        </w:rPr>
        <w:t></w:t>
      </w:r>
      <w:r w:rsidRPr="002D679B">
        <w:rPr>
          <w:sz w:val="20"/>
        </w:rPr>
        <w:t xml:space="preserve">  </w:t>
      </w:r>
      <w:r w:rsidRPr="002D679B">
        <w:rPr>
          <w:i/>
          <w:sz w:val="20"/>
        </w:rPr>
        <w:t>f</w:t>
      </w:r>
      <w:r w:rsidRPr="002D679B">
        <w:rPr>
          <w:position w:val="-4"/>
          <w:sz w:val="16"/>
        </w:rPr>
        <w:t>2</w:t>
      </w:r>
      <w:r w:rsidRPr="002D679B">
        <w:rPr>
          <w:sz w:val="20"/>
        </w:rPr>
        <w:t xml:space="preserve">  </w:t>
      </w:r>
      <w:r w:rsidRPr="002D679B">
        <w:rPr>
          <w:rFonts w:ascii="Symbol" w:hAnsi="Symbol"/>
          <w:sz w:val="20"/>
          <w:lang w:val="en-GB"/>
        </w:rPr>
        <w:t></w:t>
      </w:r>
      <w:r w:rsidRPr="002D679B">
        <w:rPr>
          <w:sz w:val="20"/>
        </w:rPr>
        <w:t xml:space="preserve">  </w:t>
      </w:r>
      <w:r w:rsidRPr="002D679B">
        <w:rPr>
          <w:i/>
          <w:sz w:val="20"/>
        </w:rPr>
        <w:t>f</w:t>
      </w:r>
      <w:r w:rsidRPr="002D679B">
        <w:rPr>
          <w:position w:val="-4"/>
          <w:sz w:val="16"/>
        </w:rPr>
        <w:t>3</w:t>
      </w:r>
    </w:p>
    <w:p w:rsidR="002D679B" w:rsidRPr="002D679B" w:rsidRDefault="002D679B" w:rsidP="002D679B">
      <w:pPr>
        <w:tabs>
          <w:tab w:val="clear" w:pos="794"/>
          <w:tab w:val="clear" w:pos="1191"/>
          <w:tab w:val="clear" w:pos="1588"/>
          <w:tab w:val="clear" w:pos="1985"/>
          <w:tab w:val="left" w:pos="397"/>
          <w:tab w:val="left" w:pos="1474"/>
        </w:tabs>
        <w:spacing w:before="86"/>
        <w:ind w:left="1474" w:hanging="1474"/>
        <w:rPr>
          <w:sz w:val="20"/>
        </w:rPr>
      </w:pPr>
      <w:r w:rsidRPr="002D679B">
        <w:rPr>
          <w:i/>
          <w:sz w:val="20"/>
        </w:rPr>
        <w:tab/>
        <w:t>N</w:t>
      </w:r>
      <w:r w:rsidRPr="002D679B">
        <w:rPr>
          <w:position w:val="-4"/>
          <w:sz w:val="16"/>
        </w:rPr>
        <w:t>1</w:t>
      </w:r>
      <w:r w:rsidRPr="002D679B">
        <w:rPr>
          <w:sz w:val="20"/>
        </w:rPr>
        <w:t xml:space="preserve">, </w:t>
      </w:r>
      <w:r w:rsidRPr="002D679B">
        <w:rPr>
          <w:i/>
          <w:sz w:val="20"/>
        </w:rPr>
        <w:t>N</w:t>
      </w:r>
      <w:r w:rsidRPr="002D679B">
        <w:rPr>
          <w:position w:val="-4"/>
          <w:sz w:val="16"/>
        </w:rPr>
        <w:t>2</w:t>
      </w:r>
      <w:r w:rsidRPr="002D679B">
        <w:rPr>
          <w:sz w:val="20"/>
        </w:rPr>
        <w:t xml:space="preserve">, </w:t>
      </w:r>
      <w:r w:rsidRPr="002D679B">
        <w:rPr>
          <w:i/>
          <w:sz w:val="20"/>
        </w:rPr>
        <w:t>N</w:t>
      </w:r>
      <w:r w:rsidRPr="002D679B">
        <w:rPr>
          <w:position w:val="-4"/>
          <w:sz w:val="16"/>
        </w:rPr>
        <w:t>3</w:t>
      </w:r>
      <w:r w:rsidRPr="002D679B">
        <w:rPr>
          <w:rFonts w:ascii="Tms Rmn" w:hAnsi="Tms Rmn"/>
          <w:sz w:val="12"/>
        </w:rPr>
        <w:t> </w:t>
      </w:r>
      <w:r w:rsidRPr="002D679B">
        <w:rPr>
          <w:sz w:val="20"/>
        </w:rPr>
        <w:t>:</w:t>
      </w:r>
      <w:r w:rsidRPr="002D679B">
        <w:rPr>
          <w:position w:val="-3"/>
          <w:sz w:val="18"/>
        </w:rPr>
        <w:tab/>
      </w:r>
      <w:r w:rsidRPr="002D679B">
        <w:rPr>
          <w:sz w:val="20"/>
        </w:rPr>
        <w:t xml:space="preserve">niveaux du signal de radiodiffusion (dBm) présent à l'entrée du récepteur aéronautique, respectivement pour les fréquences </w:t>
      </w:r>
      <w:r w:rsidRPr="002D679B">
        <w:rPr>
          <w:i/>
          <w:sz w:val="20"/>
        </w:rPr>
        <w:t>f</w:t>
      </w:r>
      <w:r w:rsidRPr="002D679B">
        <w:rPr>
          <w:position w:val="-4"/>
          <w:sz w:val="16"/>
        </w:rPr>
        <w:t>1</w:t>
      </w:r>
      <w:r w:rsidRPr="002D679B">
        <w:rPr>
          <w:sz w:val="20"/>
        </w:rPr>
        <w:t xml:space="preserve">, </w:t>
      </w:r>
      <w:r w:rsidRPr="002D679B">
        <w:rPr>
          <w:i/>
          <w:sz w:val="20"/>
        </w:rPr>
        <w:t>f</w:t>
      </w:r>
      <w:r w:rsidRPr="002D679B">
        <w:rPr>
          <w:position w:val="-4"/>
          <w:sz w:val="16"/>
        </w:rPr>
        <w:t>2</w:t>
      </w:r>
      <w:r w:rsidRPr="002D679B">
        <w:rPr>
          <w:sz w:val="20"/>
        </w:rPr>
        <w:t xml:space="preserve"> et </w:t>
      </w:r>
      <w:r w:rsidRPr="002D679B">
        <w:rPr>
          <w:i/>
          <w:sz w:val="20"/>
        </w:rPr>
        <w:t>f</w:t>
      </w:r>
      <w:r w:rsidRPr="002D679B">
        <w:rPr>
          <w:position w:val="-4"/>
          <w:sz w:val="16"/>
        </w:rPr>
        <w:t>3</w:t>
      </w:r>
    </w:p>
    <w:p w:rsidR="002D679B" w:rsidRPr="002D679B" w:rsidRDefault="002D679B" w:rsidP="002D679B">
      <w:pPr>
        <w:tabs>
          <w:tab w:val="clear" w:pos="794"/>
          <w:tab w:val="clear" w:pos="1191"/>
          <w:tab w:val="clear" w:pos="1588"/>
          <w:tab w:val="clear" w:pos="1985"/>
          <w:tab w:val="left" w:pos="397"/>
          <w:tab w:val="left" w:pos="1474"/>
        </w:tabs>
        <w:spacing w:before="86"/>
        <w:ind w:left="2880" w:hanging="2880"/>
        <w:rPr>
          <w:sz w:val="20"/>
        </w:rPr>
      </w:pPr>
      <w:r w:rsidRPr="002D679B">
        <w:rPr>
          <w:i/>
          <w:sz w:val="20"/>
        </w:rPr>
        <w:tab/>
        <w:t xml:space="preserve">K  </w:t>
      </w:r>
      <w:r w:rsidRPr="002D679B">
        <w:rPr>
          <w:rFonts w:ascii="Symbol" w:hAnsi="Symbol"/>
          <w:sz w:val="20"/>
          <w:lang w:val="en-GB"/>
        </w:rPr>
        <w:t></w:t>
      </w:r>
      <w:r w:rsidRPr="002D679B">
        <w:rPr>
          <w:sz w:val="20"/>
        </w:rPr>
        <w:tab/>
        <w:t>78 pour les radiophares d'alignement de piste ILS et les VOR</w:t>
      </w:r>
    </w:p>
    <w:p w:rsidR="002D679B" w:rsidRPr="002D679B" w:rsidRDefault="002D679B" w:rsidP="002D679B">
      <w:pPr>
        <w:tabs>
          <w:tab w:val="clear" w:pos="794"/>
          <w:tab w:val="clear" w:pos="1191"/>
          <w:tab w:val="clear" w:pos="1588"/>
          <w:tab w:val="clear" w:pos="1985"/>
          <w:tab w:val="left" w:pos="397"/>
          <w:tab w:val="left" w:pos="1474"/>
        </w:tabs>
        <w:spacing w:before="86"/>
        <w:ind w:left="2880" w:hanging="2880"/>
        <w:rPr>
          <w:sz w:val="20"/>
        </w:rPr>
      </w:pPr>
      <w:r w:rsidRPr="002D679B">
        <w:rPr>
          <w:i/>
          <w:sz w:val="20"/>
        </w:rPr>
        <w:tab/>
        <w:t>L</w:t>
      </w:r>
      <w:r w:rsidRPr="002D679B">
        <w:rPr>
          <w:i/>
          <w:position w:val="-4"/>
          <w:sz w:val="16"/>
        </w:rPr>
        <w:t>c</w:t>
      </w:r>
      <w:r w:rsidRPr="002D679B">
        <w:rPr>
          <w:rFonts w:ascii="Tms Rmn" w:hAnsi="Tms Rmn"/>
          <w:sz w:val="12"/>
        </w:rPr>
        <w:t> </w:t>
      </w:r>
      <w:r w:rsidRPr="002D679B">
        <w:rPr>
          <w:sz w:val="20"/>
        </w:rPr>
        <w:t>:</w:t>
      </w:r>
      <w:r w:rsidRPr="002D679B">
        <w:rPr>
          <w:sz w:val="20"/>
        </w:rPr>
        <w:tab/>
        <w:t>facteur de correction (dB) pour tenir compte des variations du niveau du signal utile (voir le § 4.3.3.3)</w:t>
      </w:r>
    </w:p>
    <w:p w:rsidR="002D679B" w:rsidRPr="002D679B" w:rsidRDefault="002D679B" w:rsidP="002D679B">
      <w:pPr>
        <w:tabs>
          <w:tab w:val="clear" w:pos="794"/>
          <w:tab w:val="clear" w:pos="1191"/>
          <w:tab w:val="clear" w:pos="1588"/>
          <w:tab w:val="clear" w:pos="1985"/>
          <w:tab w:val="left" w:pos="397"/>
          <w:tab w:val="left" w:pos="1474"/>
        </w:tabs>
        <w:spacing w:before="86"/>
        <w:ind w:left="1474" w:hanging="1474"/>
        <w:rPr>
          <w:sz w:val="20"/>
        </w:rPr>
      </w:pPr>
      <w:r w:rsidRPr="002D679B">
        <w:rPr>
          <w:sz w:val="20"/>
        </w:rPr>
        <w:tab/>
      </w:r>
      <w:r w:rsidRPr="002D679B">
        <w:rPr>
          <w:i/>
          <w:sz w:val="20"/>
        </w:rPr>
        <w:t>S</w:t>
      </w:r>
      <w:r w:rsidRPr="002D679B">
        <w:rPr>
          <w:rFonts w:ascii="Tms Rmn" w:hAnsi="Tms Rmn"/>
          <w:sz w:val="12"/>
        </w:rPr>
        <w:t> </w:t>
      </w:r>
      <w:r w:rsidRPr="002D679B">
        <w:rPr>
          <w:sz w:val="18"/>
        </w:rPr>
        <w:t>:</w:t>
      </w:r>
      <w:r w:rsidRPr="002D679B">
        <w:rPr>
          <w:sz w:val="20"/>
        </w:rPr>
        <w:tab/>
        <w:t>marge de 3 dB pour tenir compte du fait que les équations des critères d'immunité des récepteurs de type 1998 selon l'Annexe 10 de l'OACI ne permettent pas d'obtenir des formules complètes d'évaluation de la compatibilité.</w:t>
      </w:r>
    </w:p>
    <w:p w:rsidR="002D679B" w:rsidRPr="00202380" w:rsidRDefault="002D679B" w:rsidP="00202380">
      <w:pPr>
        <w:pStyle w:val="Heading4"/>
        <w:rPr>
          <w:sz w:val="20"/>
        </w:rPr>
      </w:pPr>
      <w:r w:rsidRPr="00202380">
        <w:rPr>
          <w:sz w:val="20"/>
        </w:rPr>
        <w:t>4.3.3.2</w:t>
      </w:r>
      <w:r w:rsidRPr="00202380">
        <w:rPr>
          <w:sz w:val="20"/>
        </w:rPr>
        <w:tab/>
        <w:t>Correction due à l'écart en fréquence</w:t>
      </w:r>
    </w:p>
    <w:p w:rsidR="002D679B" w:rsidRPr="002D679B" w:rsidRDefault="002D679B" w:rsidP="002D679B">
      <w:pPr>
        <w:spacing w:before="136"/>
        <w:rPr>
          <w:sz w:val="20"/>
        </w:rPr>
      </w:pPr>
      <w:r w:rsidRPr="002D679B">
        <w:rPr>
          <w:sz w:val="20"/>
        </w:rPr>
        <w:t>Avant d'utiliser les formules (10) et (11), on applique comme suit à chaque niveau de signal un facteur de correction conforme au Tableau 5:</w:t>
      </w:r>
    </w:p>
    <w:p w:rsidR="002D679B" w:rsidRP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i/>
          <w:sz w:val="22"/>
        </w:rPr>
        <w:t>N</w:t>
      </w:r>
      <w:r w:rsidRPr="002D679B">
        <w:rPr>
          <w:sz w:val="22"/>
        </w:rPr>
        <w:t xml:space="preserve"> (corrigé)  </w:t>
      </w:r>
      <w:r w:rsidRPr="002D679B">
        <w:rPr>
          <w:rFonts w:ascii="Symbol" w:hAnsi="Symbol"/>
          <w:sz w:val="22"/>
          <w:lang w:val="en-GB"/>
        </w:rPr>
        <w:t></w:t>
      </w:r>
      <w:r w:rsidRPr="002D679B">
        <w:rPr>
          <w:sz w:val="22"/>
        </w:rPr>
        <w:t xml:space="preserve">  </w:t>
      </w:r>
      <w:r w:rsidRPr="002D679B">
        <w:rPr>
          <w:i/>
          <w:sz w:val="22"/>
        </w:rPr>
        <w:t>N</w:t>
      </w:r>
      <w:r w:rsidRPr="002D679B">
        <w:rPr>
          <w:sz w:val="22"/>
        </w:rPr>
        <w:t xml:space="preserve">  –  facteur de correction</w:t>
      </w:r>
    </w:p>
    <w:p w:rsidR="002D679B" w:rsidRPr="002D679B" w:rsidRDefault="002D679B" w:rsidP="002D679B">
      <w:pPr>
        <w:spacing w:before="136"/>
        <w:rPr>
          <w:sz w:val="20"/>
        </w:rPr>
      </w:pPr>
      <w:r w:rsidRPr="002D679B">
        <w:rPr>
          <w:sz w:val="20"/>
        </w:rPr>
        <w:t>Il n'est pas nécessaire de prendre en considération le brouillage de type B1 pour des différences de fréquences supérieures à 150 kHz; en pareils cas, les niveaux du signal seraient tellement élevés qu'il se produirait un brouillage de type B2.</w:t>
      </w:r>
    </w:p>
    <w:p w:rsidR="002D679B" w:rsidRPr="002D679B" w:rsidRDefault="002D679B" w:rsidP="002D679B">
      <w:pPr>
        <w:keepNext/>
        <w:tabs>
          <w:tab w:val="clear" w:pos="794"/>
          <w:tab w:val="clear" w:pos="1191"/>
          <w:tab w:val="clear" w:pos="1588"/>
          <w:tab w:val="clear" w:pos="1985"/>
        </w:tabs>
        <w:spacing w:before="567" w:after="113"/>
        <w:jc w:val="center"/>
        <w:rPr>
          <w:sz w:val="18"/>
        </w:rPr>
      </w:pPr>
      <w:r w:rsidRPr="002D679B">
        <w:rPr>
          <w:sz w:val="18"/>
        </w:rPr>
        <w:t>TABLEAU  5</w:t>
      </w:r>
    </w:p>
    <w:p w:rsidR="002D679B" w:rsidRPr="002D679B" w:rsidRDefault="002D679B" w:rsidP="002D679B">
      <w:pPr>
        <w:keepNext/>
        <w:keepLines/>
        <w:tabs>
          <w:tab w:val="clear" w:pos="794"/>
          <w:tab w:val="clear" w:pos="1191"/>
          <w:tab w:val="clear" w:pos="1588"/>
          <w:tab w:val="clear" w:pos="1985"/>
        </w:tabs>
        <w:spacing w:before="0"/>
        <w:rPr>
          <w:sz w:val="16"/>
        </w:rPr>
      </w:pPr>
    </w:p>
    <w:tbl>
      <w:tblPr>
        <w:tblW w:w="0" w:type="auto"/>
        <w:jc w:val="center"/>
        <w:tblLayout w:type="fixed"/>
        <w:tblCellMar>
          <w:left w:w="0" w:type="dxa"/>
          <w:right w:w="0" w:type="dxa"/>
        </w:tblCellMar>
        <w:tblLook w:val="0000" w:firstRow="0" w:lastRow="0" w:firstColumn="0" w:lastColumn="0" w:noHBand="0" w:noVBand="0"/>
      </w:tblPr>
      <w:tblGrid>
        <w:gridCol w:w="3862"/>
        <w:gridCol w:w="2614"/>
      </w:tblGrid>
      <w:tr w:rsidR="002D679B" w:rsidRPr="002D679B" w:rsidTr="002D679B">
        <w:trPr>
          <w:cantSplit/>
          <w:jc w:val="center"/>
        </w:trPr>
        <w:tc>
          <w:tcPr>
            <w:tcW w:w="386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Différence de fréquences entre le signal utile</w:t>
            </w:r>
            <w:r w:rsidRPr="002D679B">
              <w:rPr>
                <w:sz w:val="18"/>
              </w:rPr>
              <w:br/>
              <w:t>et le produit d'intermodulation</w:t>
            </w:r>
            <w:r w:rsidRPr="002D679B">
              <w:rPr>
                <w:sz w:val="18"/>
              </w:rPr>
              <w:br/>
              <w:t>(kHz)</w:t>
            </w:r>
          </w:p>
        </w:tc>
        <w:tc>
          <w:tcPr>
            <w:tcW w:w="261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160" w:after="80" w:line="190" w:lineRule="exact"/>
              <w:jc w:val="center"/>
              <w:rPr>
                <w:sz w:val="18"/>
              </w:rPr>
            </w:pPr>
            <w:r w:rsidRPr="002D679B">
              <w:rPr>
                <w:sz w:val="18"/>
              </w:rPr>
              <w:t>Facteur de correction</w:t>
            </w:r>
            <w:r w:rsidRPr="002D679B">
              <w:rPr>
                <w:sz w:val="18"/>
              </w:rPr>
              <w:br/>
              <w:t>(dB)</w:t>
            </w:r>
          </w:p>
        </w:tc>
      </w:tr>
      <w:tr w:rsidR="002D679B" w:rsidRPr="002D679B" w:rsidTr="002D679B">
        <w:trPr>
          <w:cantSplit/>
          <w:jc w:val="center"/>
        </w:trPr>
        <w:tc>
          <w:tcPr>
            <w:tcW w:w="3862" w:type="dxa"/>
            <w:tcBorders>
              <w:top w:val="single" w:sz="6" w:space="0" w:color="auto"/>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ind w:right="1814"/>
              <w:jc w:val="right"/>
              <w:rPr>
                <w:sz w:val="18"/>
              </w:rPr>
            </w:pPr>
            <w:r w:rsidRPr="002D679B">
              <w:rPr>
                <w:sz w:val="18"/>
              </w:rPr>
              <w:t>0</w:t>
            </w:r>
          </w:p>
        </w:tc>
        <w:tc>
          <w:tcPr>
            <w:tcW w:w="2614" w:type="dxa"/>
            <w:tcBorders>
              <w:top w:val="single" w:sz="6" w:space="0" w:color="auto"/>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ind w:right="1247"/>
              <w:jc w:val="right"/>
              <w:rPr>
                <w:sz w:val="18"/>
              </w:rPr>
            </w:pPr>
            <w:r w:rsidRPr="002D679B">
              <w:rPr>
                <w:sz w:val="18"/>
              </w:rPr>
              <w:t>0</w:t>
            </w:r>
          </w:p>
        </w:tc>
      </w:tr>
      <w:tr w:rsidR="002D679B" w:rsidRPr="002D679B" w:rsidTr="002D679B">
        <w:trPr>
          <w:cantSplit/>
          <w:jc w:val="center"/>
        </w:trPr>
        <w:tc>
          <w:tcPr>
            <w:tcW w:w="3862" w:type="dxa"/>
            <w:tcBorders>
              <w:left w:val="single" w:sz="6" w:space="0" w:color="auto"/>
            </w:tcBorders>
          </w:tcPr>
          <w:p w:rsidR="002D679B" w:rsidRPr="002D679B" w:rsidRDefault="002D679B" w:rsidP="002D679B">
            <w:pPr>
              <w:keepNext/>
              <w:framePr w:hSpace="181" w:wrap="notBeside" w:vAnchor="text" w:hAnchor="page" w:xAlign="center" w:y="1"/>
              <w:spacing w:before="80" w:after="80" w:line="190" w:lineRule="exact"/>
              <w:ind w:right="1814"/>
              <w:jc w:val="right"/>
              <w:rPr>
                <w:sz w:val="18"/>
              </w:rPr>
            </w:pPr>
            <w:r w:rsidRPr="002D679B">
              <w:rPr>
                <w:sz w:val="18"/>
              </w:rPr>
              <w:t>50</w:t>
            </w:r>
          </w:p>
        </w:tc>
        <w:tc>
          <w:tcPr>
            <w:tcW w:w="2614"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ind w:right="1247"/>
              <w:jc w:val="right"/>
              <w:rPr>
                <w:sz w:val="18"/>
              </w:rPr>
            </w:pPr>
            <w:r w:rsidRPr="002D679B">
              <w:rPr>
                <w:sz w:val="18"/>
              </w:rPr>
              <w:t>2</w:t>
            </w:r>
          </w:p>
        </w:tc>
      </w:tr>
      <w:tr w:rsidR="002D679B" w:rsidRPr="002D679B" w:rsidTr="002D679B">
        <w:trPr>
          <w:cantSplit/>
          <w:jc w:val="center"/>
        </w:trPr>
        <w:tc>
          <w:tcPr>
            <w:tcW w:w="3862" w:type="dxa"/>
            <w:tcBorders>
              <w:left w:val="single" w:sz="6" w:space="0" w:color="auto"/>
            </w:tcBorders>
          </w:tcPr>
          <w:p w:rsidR="002D679B" w:rsidRPr="002D679B" w:rsidRDefault="002D679B" w:rsidP="002D679B">
            <w:pPr>
              <w:keepNext/>
              <w:framePr w:hSpace="181" w:wrap="notBeside" w:vAnchor="text" w:hAnchor="page" w:xAlign="center" w:y="1"/>
              <w:spacing w:before="80" w:after="80" w:line="190" w:lineRule="exact"/>
              <w:ind w:right="1814"/>
              <w:jc w:val="right"/>
              <w:rPr>
                <w:sz w:val="18"/>
              </w:rPr>
            </w:pPr>
            <w:r w:rsidRPr="002D679B">
              <w:rPr>
                <w:sz w:val="18"/>
              </w:rPr>
              <w:t>100</w:t>
            </w:r>
          </w:p>
        </w:tc>
        <w:tc>
          <w:tcPr>
            <w:tcW w:w="2614"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ind w:right="1247"/>
              <w:jc w:val="right"/>
              <w:rPr>
                <w:sz w:val="18"/>
              </w:rPr>
            </w:pPr>
            <w:r w:rsidRPr="002D679B">
              <w:rPr>
                <w:sz w:val="18"/>
              </w:rPr>
              <w:t>5</w:t>
            </w:r>
          </w:p>
        </w:tc>
      </w:tr>
      <w:tr w:rsidR="002D679B" w:rsidRPr="002D679B" w:rsidTr="002D679B">
        <w:trPr>
          <w:cantSplit/>
          <w:jc w:val="center"/>
        </w:trPr>
        <w:tc>
          <w:tcPr>
            <w:tcW w:w="3862" w:type="dxa"/>
            <w:tcBorders>
              <w:left w:val="single" w:sz="6" w:space="0" w:color="auto"/>
              <w:bottom w:val="single" w:sz="6" w:space="0" w:color="auto"/>
            </w:tcBorders>
          </w:tcPr>
          <w:p w:rsidR="002D679B" w:rsidRPr="002D679B" w:rsidRDefault="002D679B" w:rsidP="002D679B">
            <w:pPr>
              <w:keepNext/>
              <w:framePr w:hSpace="181" w:wrap="notBeside" w:vAnchor="text" w:hAnchor="page" w:xAlign="center" w:y="1"/>
              <w:spacing w:before="80" w:after="80" w:line="190" w:lineRule="exact"/>
              <w:ind w:right="1814"/>
              <w:jc w:val="right"/>
              <w:rPr>
                <w:sz w:val="18"/>
              </w:rPr>
            </w:pPr>
            <w:r w:rsidRPr="002D679B">
              <w:rPr>
                <w:sz w:val="18"/>
              </w:rPr>
              <w:t>150</w:t>
            </w:r>
          </w:p>
        </w:tc>
        <w:tc>
          <w:tcPr>
            <w:tcW w:w="2614" w:type="dxa"/>
            <w:tcBorders>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ind w:right="1247"/>
              <w:jc w:val="right"/>
              <w:rPr>
                <w:sz w:val="18"/>
              </w:rPr>
            </w:pPr>
            <w:r w:rsidRPr="002D679B">
              <w:rPr>
                <w:sz w:val="18"/>
              </w:rPr>
              <w:t>11</w:t>
            </w:r>
          </w:p>
        </w:tc>
      </w:tr>
    </w:tbl>
    <w:p w:rsidR="002D679B" w:rsidRPr="002D679B" w:rsidRDefault="002D679B" w:rsidP="002D679B">
      <w:pPr>
        <w:spacing w:before="0"/>
        <w:rPr>
          <w:sz w:val="20"/>
        </w:rPr>
      </w:pPr>
    </w:p>
    <w:p w:rsidR="002D679B" w:rsidRPr="002D679B" w:rsidRDefault="002D679B" w:rsidP="002D679B">
      <w:pPr>
        <w:spacing w:before="0"/>
        <w:rPr>
          <w:sz w:val="20"/>
        </w:rPr>
      </w:pPr>
    </w:p>
    <w:p w:rsidR="002D679B" w:rsidRPr="00202380" w:rsidRDefault="002D679B" w:rsidP="00202380">
      <w:pPr>
        <w:pStyle w:val="Heading4"/>
        <w:rPr>
          <w:sz w:val="20"/>
        </w:rPr>
      </w:pPr>
      <w:r w:rsidRPr="00202380">
        <w:rPr>
          <w:sz w:val="20"/>
        </w:rPr>
        <w:t>4.3.3.3</w:t>
      </w:r>
      <w:r w:rsidRPr="00202380">
        <w:rPr>
          <w:sz w:val="20"/>
        </w:rPr>
        <w:tab/>
        <w:t>Facteur de correction pour tenir compte des variations du niveau d'immunité en fonction du niveau du signal utile</w:t>
      </w:r>
    </w:p>
    <w:p w:rsidR="002D679B" w:rsidRPr="002D679B" w:rsidRDefault="002D679B" w:rsidP="002D679B">
      <w:pPr>
        <w:spacing w:before="136"/>
        <w:rPr>
          <w:sz w:val="20"/>
        </w:rPr>
      </w:pPr>
      <w:r w:rsidRPr="002D679B">
        <w:rPr>
          <w:sz w:val="20"/>
        </w:rPr>
        <w:t xml:space="preserve">Il faut utiliser le facteur de correction, </w:t>
      </w:r>
      <w:r w:rsidRPr="002D679B">
        <w:rPr>
          <w:i/>
          <w:sz w:val="20"/>
        </w:rPr>
        <w:t>L</w:t>
      </w:r>
      <w:r w:rsidRPr="002D679B">
        <w:rPr>
          <w:i/>
          <w:position w:val="-4"/>
          <w:sz w:val="16"/>
        </w:rPr>
        <w:t>c</w:t>
      </w:r>
      <w:r w:rsidRPr="002D679B">
        <w:rPr>
          <w:sz w:val="20"/>
        </w:rPr>
        <w:t xml:space="preserve">, décrit au § 4.2.3.3 pour les récepteurs de type Montréal mais avec </w:t>
      </w:r>
      <w:r w:rsidRPr="002D679B">
        <w:rPr>
          <w:i/>
          <w:sz w:val="20"/>
        </w:rPr>
        <w:t>N</w:t>
      </w:r>
      <w:r w:rsidRPr="002D679B">
        <w:rPr>
          <w:i/>
          <w:position w:val="-4"/>
          <w:sz w:val="16"/>
        </w:rPr>
        <w:t>réf</w:t>
      </w:r>
      <w:r w:rsidRPr="002D679B">
        <w:rPr>
          <w:sz w:val="20"/>
        </w:rPr>
        <w:t> </w:t>
      </w:r>
      <w:r w:rsidRPr="002D679B">
        <w:rPr>
          <w:rFonts w:ascii="Symbol" w:hAnsi="Symbol"/>
          <w:sz w:val="20"/>
          <w:lang w:val="en-GB"/>
        </w:rPr>
        <w:t></w:t>
      </w:r>
      <w:r w:rsidRPr="002D679B">
        <w:rPr>
          <w:sz w:val="20"/>
        </w:rPr>
        <w:t> </w:t>
      </w:r>
      <w:r w:rsidRPr="002D679B">
        <w:rPr>
          <w:rFonts w:ascii="Symbol" w:hAnsi="Symbol"/>
          <w:sz w:val="20"/>
        </w:rPr>
        <w:noBreakHyphen/>
      </w:r>
      <w:r w:rsidRPr="002D679B">
        <w:rPr>
          <w:sz w:val="20"/>
        </w:rPr>
        <w:t>86 dBm pour les radiophares d'alignement de piste ILS et –79 dBm pour les VOR.</w:t>
      </w:r>
    </w:p>
    <w:p w:rsidR="002D679B" w:rsidRPr="00202380" w:rsidRDefault="002D679B" w:rsidP="00202380">
      <w:pPr>
        <w:pStyle w:val="Heading4"/>
        <w:rPr>
          <w:sz w:val="20"/>
        </w:rPr>
      </w:pPr>
      <w:r w:rsidRPr="00202380">
        <w:rPr>
          <w:sz w:val="20"/>
        </w:rPr>
        <w:t>4.3.3.4</w:t>
      </w:r>
      <w:r w:rsidRPr="00202380">
        <w:rPr>
          <w:sz w:val="20"/>
        </w:rPr>
        <w:tab/>
        <w:t>Valeurs de déclenchement et de coupure (voir les définitions dans l'Annexe 4)</w:t>
      </w:r>
    </w:p>
    <w:p w:rsidR="002D679B" w:rsidRPr="002D679B" w:rsidRDefault="002D679B" w:rsidP="002D679B">
      <w:pPr>
        <w:tabs>
          <w:tab w:val="clear" w:pos="794"/>
          <w:tab w:val="clear" w:pos="1191"/>
          <w:tab w:val="clear" w:pos="1588"/>
          <w:tab w:val="clear" w:pos="1985"/>
          <w:tab w:val="left" w:pos="851"/>
          <w:tab w:val="center" w:pos="4849"/>
          <w:tab w:val="right" w:pos="9696"/>
        </w:tabs>
        <w:spacing w:before="140" w:after="40"/>
        <w:jc w:val="left"/>
        <w:rPr>
          <w:sz w:val="22"/>
        </w:rPr>
      </w:pPr>
      <w:r w:rsidRPr="002D679B">
        <w:rPr>
          <w:sz w:val="22"/>
        </w:rPr>
        <w:tab/>
        <w:t xml:space="preserve">Valeur de déclenchement  </w:t>
      </w:r>
      <w:r w:rsidRPr="002D679B">
        <w:rPr>
          <w:rFonts w:ascii="Symbol" w:hAnsi="Symbol"/>
          <w:sz w:val="22"/>
          <w:lang w:val="en-GB"/>
        </w:rPr>
        <w:t></w:t>
      </w:r>
      <w:r w:rsidRPr="002D679B">
        <w:rPr>
          <w:sz w:val="22"/>
        </w:rPr>
        <w:t xml:space="preserve">  </w:t>
      </w:r>
      <w:r w:rsidRPr="002D679B">
        <w:rPr>
          <w:position w:val="-26"/>
          <w:sz w:val="22"/>
          <w:lang w:val="en-GB"/>
        </w:rPr>
        <w:object w:dxaOrig="4220" w:dyaOrig="620">
          <v:shape id="_x0000_i1032" type="#_x0000_t75" style="width:211.5pt;height:31.5pt" o:ole="">
            <v:imagedata r:id="rId31" o:title=""/>
          </v:shape>
          <o:OLEObject Type="Embed" ProgID="Equation.3" ShapeID="_x0000_i1032" DrawAspect="Content" ObjectID="_1649157781" r:id="rId32"/>
        </w:object>
      </w:r>
      <w:r w:rsidRPr="002D679B">
        <w:rPr>
          <w:sz w:val="22"/>
        </w:rPr>
        <w:t>            dBm</w:t>
      </w:r>
      <w:r w:rsidRPr="002D679B">
        <w:rPr>
          <w:sz w:val="22"/>
        </w:rPr>
        <w:tab/>
        <w:t>(12)</w:t>
      </w:r>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L</w:t>
      </w:r>
      <w:r w:rsidRPr="002D679B">
        <w:rPr>
          <w:i/>
          <w:position w:val="-4"/>
          <w:sz w:val="16"/>
        </w:rPr>
        <w:t>c</w:t>
      </w:r>
      <w:r w:rsidRPr="002D679B">
        <w:rPr>
          <w:rFonts w:ascii="Tms Rmn" w:hAnsi="Tms Rmn"/>
          <w:sz w:val="12"/>
        </w:rPr>
        <w:t> </w:t>
      </w:r>
      <w:r w:rsidRPr="002D679B">
        <w:rPr>
          <w:sz w:val="18"/>
        </w:rPr>
        <w:t>:</w:t>
      </w:r>
      <w:r w:rsidRPr="002D679B">
        <w:rPr>
          <w:position w:val="-3"/>
          <w:sz w:val="18"/>
        </w:rPr>
        <w:tab/>
      </w:r>
      <w:r w:rsidRPr="002D679B">
        <w:rPr>
          <w:sz w:val="20"/>
        </w:rPr>
        <w:t>facteur de correction (dB) (voir le § 4.3.3.3)</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K</w:t>
      </w:r>
      <w:r w:rsidRPr="002D679B">
        <w:rPr>
          <w:sz w:val="20"/>
        </w:rPr>
        <w:t xml:space="preserve">  </w:t>
      </w:r>
      <w:r w:rsidRPr="002D679B">
        <w:rPr>
          <w:rFonts w:ascii="Symbol" w:hAnsi="Symbol"/>
          <w:sz w:val="20"/>
          <w:lang w:val="en-GB"/>
        </w:rPr>
        <w:t></w:t>
      </w:r>
      <w:r w:rsidRPr="002D679B">
        <w:rPr>
          <w:sz w:val="20"/>
        </w:rPr>
        <w:tab/>
        <w:t>78 pour les radiophares d'alignement de piste ILS et les VOR dans le cas de 2 signaux</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K</w:t>
      </w:r>
      <w:r w:rsidRPr="002D679B">
        <w:rPr>
          <w:sz w:val="20"/>
        </w:rPr>
        <w:t xml:space="preserve">  </w:t>
      </w:r>
      <w:r w:rsidRPr="002D679B">
        <w:rPr>
          <w:rFonts w:ascii="Symbol" w:hAnsi="Symbol"/>
          <w:sz w:val="20"/>
          <w:lang w:val="en-GB"/>
        </w:rPr>
        <w:t></w:t>
      </w:r>
      <w:r w:rsidRPr="002D679B">
        <w:rPr>
          <w:sz w:val="20"/>
        </w:rPr>
        <w:tab/>
        <w:t>84 pour les radiophares d'alignement de piste ILS et les VOR dans le cas de 3 signaux</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f</w:t>
      </w:r>
      <w:r w:rsidRPr="002D679B">
        <w:rPr>
          <w:rFonts w:ascii="Tms Rmn" w:hAnsi="Tms Rmn"/>
          <w:sz w:val="12"/>
        </w:rPr>
        <w:t> </w:t>
      </w:r>
      <w:r w:rsidRPr="002D679B">
        <w:rPr>
          <w:sz w:val="20"/>
        </w:rPr>
        <w:t>:</w:t>
      </w:r>
      <w:r w:rsidRPr="002D679B">
        <w:rPr>
          <w:sz w:val="20"/>
        </w:rPr>
        <w:tab/>
        <w:t>fréquence de radiodiffusion (MHz)</w:t>
      </w:r>
    </w:p>
    <w:p w:rsidR="002D679B" w:rsidRPr="002D679B" w:rsidRDefault="002D679B" w:rsidP="002D679B">
      <w:pPr>
        <w:tabs>
          <w:tab w:val="clear" w:pos="794"/>
          <w:tab w:val="clear" w:pos="1191"/>
          <w:tab w:val="clear" w:pos="1588"/>
          <w:tab w:val="clear" w:pos="1985"/>
          <w:tab w:val="left" w:pos="397"/>
          <w:tab w:val="left" w:pos="907"/>
          <w:tab w:val="left" w:pos="1474"/>
        </w:tabs>
        <w:spacing w:before="86"/>
        <w:ind w:left="907" w:hanging="907"/>
        <w:rPr>
          <w:sz w:val="20"/>
        </w:rPr>
      </w:pPr>
      <w:r w:rsidRPr="002D679B">
        <w:rPr>
          <w:sz w:val="20"/>
        </w:rPr>
        <w:tab/>
      </w:r>
      <w:r w:rsidRPr="002D679B">
        <w:rPr>
          <w:i/>
          <w:sz w:val="20"/>
        </w:rPr>
        <w:t>S</w:t>
      </w:r>
      <w:r w:rsidRPr="002D679B">
        <w:rPr>
          <w:rFonts w:ascii="Tms Rmn" w:hAnsi="Tms Rmn"/>
          <w:sz w:val="12"/>
        </w:rPr>
        <w:t> </w:t>
      </w:r>
      <w:r w:rsidRPr="002D679B">
        <w:rPr>
          <w:sz w:val="18"/>
        </w:rPr>
        <w:t>:</w:t>
      </w:r>
      <w:r w:rsidRPr="002D679B">
        <w:rPr>
          <w:sz w:val="20"/>
        </w:rPr>
        <w:tab/>
        <w:t>marge de 3 dB pour tenir compte du fait que les équations des critères d'immunité des récepteurs de type 1998 selon l'Annexe 10 de l'OACI ne permettent pas d'obtenir des formules complètes d'évaluation de la compatibilité.</w:t>
      </w:r>
    </w:p>
    <w:p w:rsidR="002D679B" w:rsidRPr="002D679B" w:rsidRDefault="002D679B" w:rsidP="002D679B">
      <w:pPr>
        <w:spacing w:before="136"/>
        <w:rPr>
          <w:sz w:val="20"/>
        </w:rPr>
      </w:pPr>
      <w:r w:rsidRPr="002D679B">
        <w:rPr>
          <w:sz w:val="20"/>
        </w:rPr>
        <w:t>La valeur de coupure est la même que pour les récepteurs de type Montréal décrits dans l'équation (8).</w:t>
      </w:r>
    </w:p>
    <w:p w:rsidR="002D679B" w:rsidRPr="00202380" w:rsidRDefault="002D679B" w:rsidP="00202380">
      <w:pPr>
        <w:pStyle w:val="Heading3"/>
        <w:rPr>
          <w:sz w:val="20"/>
        </w:rPr>
      </w:pPr>
      <w:r w:rsidRPr="00202380">
        <w:rPr>
          <w:sz w:val="20"/>
        </w:rPr>
        <w:t>4.3.4</w:t>
      </w:r>
      <w:r w:rsidRPr="00202380">
        <w:rPr>
          <w:sz w:val="20"/>
        </w:rPr>
        <w:tab/>
        <w:t>Brouillage de type B2</w:t>
      </w:r>
    </w:p>
    <w:p w:rsidR="002D679B" w:rsidRPr="002D679B" w:rsidRDefault="002D679B" w:rsidP="002D679B">
      <w:pPr>
        <w:spacing w:before="136"/>
        <w:rPr>
          <w:sz w:val="20"/>
        </w:rPr>
      </w:pPr>
      <w:r w:rsidRPr="002D679B">
        <w:rPr>
          <w:sz w:val="20"/>
        </w:rPr>
        <w:t>S'agissant de l'évaluation d'un brouillage du type B2, on peut utiliser la formule empirique suivante afin de déterminer le niveau maximal d'un signal de radiodiffusion, présent à l'entrée du récepteur de radiophare d'alignement de piste ILS ou de VOR pour éviter un brouillage possible:</w:t>
      </w:r>
    </w:p>
    <w:p w:rsidR="002D679B" w:rsidRPr="002D679B" w:rsidRDefault="002D679B" w:rsidP="002D679B">
      <w:pPr>
        <w:tabs>
          <w:tab w:val="clear" w:pos="1191"/>
          <w:tab w:val="clear" w:pos="1588"/>
          <w:tab w:val="clear" w:pos="1985"/>
          <w:tab w:val="center" w:pos="4849"/>
          <w:tab w:val="right" w:pos="9696"/>
        </w:tabs>
        <w:spacing w:before="140" w:after="40"/>
        <w:jc w:val="left"/>
        <w:rPr>
          <w:sz w:val="22"/>
          <w:lang w:val="fr-CH"/>
        </w:rPr>
      </w:pPr>
      <w:r w:rsidRPr="002D679B">
        <w:rPr>
          <w:i/>
          <w:sz w:val="22"/>
          <w:lang w:val="fr-CH"/>
        </w:rPr>
        <w:tab/>
      </w:r>
      <w:r w:rsidRPr="002D679B">
        <w:rPr>
          <w:i/>
          <w:sz w:val="22"/>
          <w:lang w:val="fr-CH"/>
        </w:rPr>
        <w:tab/>
      </w:r>
      <w:r w:rsidRPr="002D679B">
        <w:rPr>
          <w:i/>
          <w:position w:val="-28"/>
          <w:sz w:val="22"/>
          <w:lang w:val="en-US"/>
        </w:rPr>
        <w:object w:dxaOrig="6240" w:dyaOrig="660">
          <v:shape id="_x0000_i1033" type="#_x0000_t75" style="width:312pt;height:33.5pt" o:ole="">
            <v:imagedata r:id="rId33" o:title=""/>
          </v:shape>
          <o:OLEObject Type="Embed" ProgID="Equation.3" ShapeID="_x0000_i1033" DrawAspect="Content" ObjectID="_1649157782" r:id="rId34"/>
        </w:object>
      </w:r>
      <w:r w:rsidRPr="002D679B">
        <w:rPr>
          <w:sz w:val="22"/>
          <w:lang w:val="fr-CH"/>
        </w:rPr>
        <w:tab/>
        <w:t>(13)</w:t>
      </w:r>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 w:val="left" w:pos="1021"/>
        </w:tabs>
        <w:spacing w:before="86"/>
        <w:ind w:left="397" w:hanging="397"/>
        <w:rPr>
          <w:sz w:val="20"/>
        </w:rPr>
      </w:pPr>
      <w:r w:rsidRPr="002D679B">
        <w:rPr>
          <w:i/>
          <w:sz w:val="20"/>
        </w:rPr>
        <w:tab/>
        <w:t>N</w:t>
      </w:r>
      <w:r w:rsidRPr="002D679B">
        <w:rPr>
          <w:i/>
          <w:position w:val="-4"/>
          <w:sz w:val="16"/>
        </w:rPr>
        <w:t>max</w:t>
      </w:r>
      <w:r w:rsidRPr="002D679B">
        <w:rPr>
          <w:rFonts w:ascii="Tms Rmn" w:hAnsi="Tms Rmn"/>
          <w:sz w:val="12"/>
        </w:rPr>
        <w:t> </w:t>
      </w:r>
      <w:r w:rsidRPr="002D679B">
        <w:rPr>
          <w:sz w:val="18"/>
        </w:rPr>
        <w:t>:</w:t>
      </w:r>
      <w:r w:rsidRPr="002D679B">
        <w:rPr>
          <w:sz w:val="20"/>
        </w:rPr>
        <w:tab/>
        <w:t xml:space="preserve">niveau maximal (dBm) du signal de radiodiffusion à l'entrée du récepteur aéronautique </w:t>
      </w:r>
    </w:p>
    <w:p w:rsidR="002D679B" w:rsidRPr="002D679B" w:rsidRDefault="002D679B" w:rsidP="002D679B">
      <w:pPr>
        <w:tabs>
          <w:tab w:val="clear" w:pos="794"/>
          <w:tab w:val="clear" w:pos="1191"/>
          <w:tab w:val="clear" w:pos="1588"/>
          <w:tab w:val="clear" w:pos="1985"/>
          <w:tab w:val="left" w:pos="397"/>
          <w:tab w:val="left" w:pos="1021"/>
        </w:tabs>
        <w:spacing w:before="86"/>
        <w:ind w:left="1021" w:hanging="1021"/>
        <w:rPr>
          <w:sz w:val="20"/>
        </w:rPr>
      </w:pPr>
      <w:r w:rsidRPr="002D679B">
        <w:rPr>
          <w:sz w:val="20"/>
        </w:rPr>
        <w:tab/>
      </w:r>
      <w:r w:rsidRPr="002D679B">
        <w:rPr>
          <w:i/>
          <w:sz w:val="20"/>
        </w:rPr>
        <w:t>f</w:t>
      </w:r>
      <w:r w:rsidRPr="002D679B">
        <w:rPr>
          <w:rFonts w:ascii="Tms Rmn" w:hAnsi="Tms Rmn"/>
          <w:sz w:val="12"/>
        </w:rPr>
        <w:t> </w:t>
      </w:r>
      <w:r w:rsidRPr="002D679B">
        <w:rPr>
          <w:sz w:val="20"/>
        </w:rPr>
        <w:t>:</w:t>
      </w:r>
      <w:r w:rsidRPr="002D679B">
        <w:rPr>
          <w:sz w:val="20"/>
        </w:rPr>
        <w:tab/>
        <w:t>fréquence de radiodiffusion (MHz)</w:t>
      </w:r>
    </w:p>
    <w:p w:rsidR="002D679B" w:rsidRPr="002D679B" w:rsidRDefault="002D679B" w:rsidP="002D679B">
      <w:pPr>
        <w:tabs>
          <w:tab w:val="clear" w:pos="794"/>
          <w:tab w:val="clear" w:pos="1191"/>
          <w:tab w:val="clear" w:pos="1588"/>
          <w:tab w:val="clear" w:pos="1985"/>
          <w:tab w:val="left" w:pos="397"/>
          <w:tab w:val="left" w:pos="1021"/>
        </w:tabs>
        <w:spacing w:before="86"/>
        <w:ind w:left="1021" w:hanging="1021"/>
        <w:rPr>
          <w:sz w:val="20"/>
        </w:rPr>
      </w:pPr>
      <w:r w:rsidRPr="002D679B">
        <w:rPr>
          <w:sz w:val="20"/>
        </w:rPr>
        <w:tab/>
      </w:r>
      <w:r w:rsidRPr="002D679B">
        <w:rPr>
          <w:i/>
          <w:sz w:val="20"/>
        </w:rPr>
        <w:t>S</w:t>
      </w:r>
      <w:r w:rsidRPr="002D679B">
        <w:rPr>
          <w:rFonts w:ascii="Tms Rmn" w:hAnsi="Tms Rmn"/>
          <w:sz w:val="12"/>
        </w:rPr>
        <w:t> </w:t>
      </w:r>
      <w:r w:rsidRPr="002D679B">
        <w:rPr>
          <w:sz w:val="18"/>
        </w:rPr>
        <w:t>:</w:t>
      </w:r>
      <w:r w:rsidRPr="002D679B">
        <w:rPr>
          <w:sz w:val="20"/>
        </w:rPr>
        <w:tab/>
        <w:t>marge de 3 dB pour tenir compte du fait que les équations des critères d'immunité des récepteurs de type 1998 selon l'Annexe 10 de l'OACI ne permettent pas d'obtenir des formules complètes d'évaluation de la compatibilité</w:t>
      </w:r>
    </w:p>
    <w:p w:rsidR="002D679B" w:rsidRPr="002D679B" w:rsidRDefault="002D679B" w:rsidP="002D679B">
      <w:pPr>
        <w:tabs>
          <w:tab w:val="clear" w:pos="794"/>
          <w:tab w:val="clear" w:pos="1191"/>
          <w:tab w:val="clear" w:pos="1588"/>
          <w:tab w:val="clear" w:pos="1985"/>
          <w:tab w:val="left" w:pos="397"/>
          <w:tab w:val="left" w:pos="1021"/>
        </w:tabs>
        <w:spacing w:before="86"/>
        <w:ind w:left="1021" w:hanging="1021"/>
        <w:rPr>
          <w:sz w:val="20"/>
        </w:rPr>
      </w:pPr>
      <w:r w:rsidRPr="002D679B">
        <w:rPr>
          <w:i/>
          <w:sz w:val="20"/>
        </w:rPr>
        <w:tab/>
        <w:t>L</w:t>
      </w:r>
      <w:r w:rsidRPr="002D679B">
        <w:rPr>
          <w:i/>
          <w:position w:val="-4"/>
          <w:sz w:val="16"/>
        </w:rPr>
        <w:t>c</w:t>
      </w:r>
      <w:r w:rsidRPr="002D679B">
        <w:rPr>
          <w:rFonts w:ascii="Tms Rmn" w:hAnsi="Tms Rmn"/>
          <w:sz w:val="12"/>
        </w:rPr>
        <w:t> </w:t>
      </w:r>
      <w:r w:rsidRPr="002D679B">
        <w:rPr>
          <w:sz w:val="20"/>
        </w:rPr>
        <w:t>:</w:t>
      </w:r>
      <w:r w:rsidRPr="002D679B">
        <w:rPr>
          <w:sz w:val="20"/>
        </w:rPr>
        <w:tab/>
        <w:t xml:space="preserve">facteur de correction (dB) pour tenir compte des variations du niveau du signal utile. </w:t>
      </w:r>
      <w:r w:rsidRPr="002D679B">
        <w:rPr>
          <w:i/>
          <w:sz w:val="20"/>
        </w:rPr>
        <w:t>L</w:t>
      </w:r>
      <w:r w:rsidRPr="002D679B">
        <w:rPr>
          <w:i/>
          <w:position w:val="-4"/>
          <w:sz w:val="16"/>
        </w:rPr>
        <w:t>c</w:t>
      </w:r>
      <w:r w:rsidRPr="002D679B">
        <w:rPr>
          <w:sz w:val="20"/>
        </w:rPr>
        <w:t> </w:t>
      </w:r>
      <w:r w:rsidRPr="002D679B">
        <w:rPr>
          <w:rFonts w:ascii="Symbol" w:hAnsi="Symbol"/>
          <w:sz w:val="20"/>
          <w:lang w:val="en-GB"/>
        </w:rPr>
        <w:t></w:t>
      </w:r>
      <w:r w:rsidRPr="002D679B">
        <w:rPr>
          <w:sz w:val="20"/>
        </w:rPr>
        <w:t> max(0; 0,5(</w:t>
      </w:r>
      <w:r w:rsidRPr="002D679B">
        <w:rPr>
          <w:i/>
          <w:sz w:val="20"/>
        </w:rPr>
        <w:t>N</w:t>
      </w:r>
      <w:r w:rsidRPr="002D679B">
        <w:rPr>
          <w:i/>
          <w:position w:val="-4"/>
          <w:sz w:val="16"/>
        </w:rPr>
        <w:t>A</w:t>
      </w:r>
      <w:r w:rsidRPr="002D679B">
        <w:rPr>
          <w:sz w:val="20"/>
        </w:rPr>
        <w:t> </w:t>
      </w:r>
      <w:r w:rsidRPr="002D679B">
        <w:rPr>
          <w:rFonts w:ascii="Symbol" w:hAnsi="Symbol"/>
          <w:sz w:val="20"/>
        </w:rPr>
        <w:noBreakHyphen/>
      </w:r>
      <w:r w:rsidRPr="002D679B">
        <w:rPr>
          <w:sz w:val="20"/>
        </w:rPr>
        <w:t> </w:t>
      </w:r>
      <w:r w:rsidRPr="002D679B">
        <w:rPr>
          <w:i/>
          <w:sz w:val="20"/>
        </w:rPr>
        <w:t>N</w:t>
      </w:r>
      <w:r w:rsidRPr="002D679B">
        <w:rPr>
          <w:i/>
          <w:position w:val="-4"/>
          <w:sz w:val="16"/>
        </w:rPr>
        <w:t>réf</w:t>
      </w:r>
      <w:r w:rsidRPr="002D679B">
        <w:rPr>
          <w:rFonts w:ascii="Tms Rmn" w:hAnsi="Tms Rmn"/>
          <w:sz w:val="12"/>
        </w:rPr>
        <w:t> </w:t>
      </w:r>
      <w:r w:rsidRPr="002D679B">
        <w:rPr>
          <w:sz w:val="20"/>
        </w:rPr>
        <w:t>))</w:t>
      </w:r>
    </w:p>
    <w:p w:rsidR="002D679B" w:rsidRPr="002D679B" w:rsidRDefault="002D679B" w:rsidP="002D679B">
      <w:pPr>
        <w:tabs>
          <w:tab w:val="clear" w:pos="794"/>
          <w:tab w:val="clear" w:pos="1191"/>
          <w:tab w:val="clear" w:pos="1588"/>
          <w:tab w:val="clear" w:pos="1985"/>
          <w:tab w:val="left" w:pos="397"/>
          <w:tab w:val="left" w:pos="1021"/>
          <w:tab w:val="left" w:pos="1560"/>
        </w:tabs>
        <w:spacing w:before="86"/>
        <w:ind w:left="1021" w:hanging="1021"/>
        <w:rPr>
          <w:sz w:val="20"/>
        </w:rPr>
      </w:pPr>
      <w:r w:rsidRPr="002D679B">
        <w:rPr>
          <w:sz w:val="20"/>
        </w:rPr>
        <w:tab/>
      </w:r>
      <w:r w:rsidRPr="002D679B">
        <w:rPr>
          <w:sz w:val="20"/>
        </w:rPr>
        <w:tab/>
      </w:r>
      <w:r w:rsidRPr="002D679B">
        <w:rPr>
          <w:i/>
          <w:sz w:val="20"/>
        </w:rPr>
        <w:t>N</w:t>
      </w:r>
      <w:r w:rsidRPr="002D679B">
        <w:rPr>
          <w:i/>
          <w:position w:val="-4"/>
          <w:sz w:val="16"/>
        </w:rPr>
        <w:t>A</w:t>
      </w:r>
      <w:r w:rsidRPr="002D679B">
        <w:rPr>
          <w:rFonts w:ascii="Tms Rmn" w:hAnsi="Tms Rmn"/>
          <w:position w:val="-3"/>
          <w:sz w:val="12"/>
        </w:rPr>
        <w:t> </w:t>
      </w:r>
      <w:r w:rsidRPr="002D679B">
        <w:rPr>
          <w:sz w:val="20"/>
        </w:rPr>
        <w:t>:</w:t>
      </w:r>
      <w:r w:rsidRPr="002D679B">
        <w:rPr>
          <w:sz w:val="20"/>
        </w:rPr>
        <w:tab/>
        <w:t xml:space="preserve">niveau du signal utile (dBm) à l'entrée du récepteur aéronautique </w:t>
      </w:r>
    </w:p>
    <w:p w:rsidR="002D679B" w:rsidRPr="002D679B" w:rsidRDefault="002D679B" w:rsidP="002D679B">
      <w:pPr>
        <w:tabs>
          <w:tab w:val="clear" w:pos="794"/>
          <w:tab w:val="clear" w:pos="1191"/>
          <w:tab w:val="clear" w:pos="1588"/>
          <w:tab w:val="clear" w:pos="1985"/>
          <w:tab w:val="left" w:pos="397"/>
          <w:tab w:val="left" w:pos="1021"/>
          <w:tab w:val="left" w:pos="1560"/>
        </w:tabs>
        <w:spacing w:before="86"/>
        <w:ind w:left="1560" w:hanging="1560"/>
        <w:rPr>
          <w:sz w:val="20"/>
        </w:rPr>
      </w:pPr>
      <w:r w:rsidRPr="002D679B">
        <w:rPr>
          <w:sz w:val="20"/>
        </w:rPr>
        <w:tab/>
      </w:r>
      <w:r w:rsidRPr="002D679B">
        <w:rPr>
          <w:sz w:val="20"/>
        </w:rPr>
        <w:tab/>
      </w:r>
      <w:r w:rsidRPr="002D679B">
        <w:rPr>
          <w:i/>
          <w:sz w:val="20"/>
        </w:rPr>
        <w:t>N</w:t>
      </w:r>
      <w:r w:rsidRPr="002D679B">
        <w:rPr>
          <w:i/>
          <w:position w:val="-4"/>
          <w:sz w:val="16"/>
        </w:rPr>
        <w:t>réf</w:t>
      </w:r>
      <w:r w:rsidRPr="002D679B">
        <w:rPr>
          <w:rFonts w:ascii="Tms Rmn" w:hAnsi="Tms Rmn"/>
          <w:sz w:val="12"/>
        </w:rPr>
        <w:t> </w:t>
      </w:r>
      <w:r w:rsidRPr="002D679B">
        <w:rPr>
          <w:sz w:val="20"/>
        </w:rPr>
        <w:t>:</w:t>
      </w:r>
      <w:r w:rsidRPr="002D679B">
        <w:rPr>
          <w:sz w:val="20"/>
        </w:rPr>
        <w:tab/>
        <w:t>niveau de référence (dBm) du signal utile à l'entrée du récepteur aéronautique pour la formule d'insensibilité au brouillage de type B2</w:t>
      </w:r>
    </w:p>
    <w:p w:rsidR="002D679B" w:rsidRPr="002D679B" w:rsidRDefault="002D679B" w:rsidP="002D679B">
      <w:pPr>
        <w:tabs>
          <w:tab w:val="clear" w:pos="794"/>
          <w:tab w:val="clear" w:pos="1191"/>
          <w:tab w:val="clear" w:pos="1588"/>
          <w:tab w:val="clear" w:pos="1985"/>
          <w:tab w:val="left" w:pos="397"/>
          <w:tab w:val="left" w:pos="1021"/>
          <w:tab w:val="left" w:pos="1560"/>
        </w:tabs>
        <w:spacing w:before="86"/>
        <w:ind w:left="1021" w:hanging="1021"/>
        <w:rPr>
          <w:sz w:val="20"/>
        </w:rPr>
      </w:pPr>
      <w:r w:rsidRPr="002D679B">
        <w:rPr>
          <w:rFonts w:ascii="Symbol" w:hAnsi="Symbol"/>
          <w:sz w:val="20"/>
        </w:rPr>
        <w:tab/>
      </w:r>
      <w:r w:rsidRPr="002D679B">
        <w:rPr>
          <w:rFonts w:ascii="Symbol" w:hAnsi="Symbol"/>
          <w:sz w:val="20"/>
        </w:rPr>
        <w:tab/>
      </w:r>
      <w:r w:rsidRPr="002D679B">
        <w:rPr>
          <w:rFonts w:ascii="Symbol" w:hAnsi="Symbol"/>
          <w:sz w:val="20"/>
        </w:rPr>
        <w:tab/>
      </w:r>
      <w:r w:rsidRPr="002D679B">
        <w:rPr>
          <w:rFonts w:ascii="Symbol" w:hAnsi="Symbol"/>
          <w:sz w:val="20"/>
          <w:lang w:val="en-GB"/>
        </w:rPr>
        <w:t></w:t>
      </w:r>
      <w:r w:rsidRPr="002D679B">
        <w:rPr>
          <w:sz w:val="20"/>
        </w:rPr>
        <w:t xml:space="preserve">  –86 dBm pour les récepteurs de radiophares d'alignement de piste ILS</w:t>
      </w:r>
    </w:p>
    <w:p w:rsidR="002D679B" w:rsidRPr="002D679B" w:rsidRDefault="002D679B" w:rsidP="002D679B">
      <w:pPr>
        <w:tabs>
          <w:tab w:val="clear" w:pos="794"/>
          <w:tab w:val="clear" w:pos="1191"/>
          <w:tab w:val="clear" w:pos="1588"/>
          <w:tab w:val="clear" w:pos="1985"/>
          <w:tab w:val="left" w:pos="397"/>
          <w:tab w:val="left" w:pos="1021"/>
          <w:tab w:val="left" w:pos="1560"/>
        </w:tabs>
        <w:spacing w:before="86"/>
        <w:ind w:left="1021" w:hanging="1021"/>
        <w:rPr>
          <w:sz w:val="20"/>
        </w:rPr>
      </w:pPr>
      <w:r w:rsidRPr="002D679B">
        <w:rPr>
          <w:rFonts w:ascii="Symbol" w:hAnsi="Symbol"/>
          <w:sz w:val="20"/>
        </w:rPr>
        <w:tab/>
      </w:r>
      <w:r w:rsidRPr="002D679B">
        <w:rPr>
          <w:rFonts w:ascii="Symbol" w:hAnsi="Symbol"/>
          <w:sz w:val="20"/>
        </w:rPr>
        <w:tab/>
      </w:r>
      <w:r w:rsidRPr="002D679B">
        <w:rPr>
          <w:rFonts w:ascii="Symbol" w:hAnsi="Symbol"/>
          <w:sz w:val="20"/>
        </w:rPr>
        <w:tab/>
      </w:r>
      <w:r w:rsidRPr="002D679B">
        <w:rPr>
          <w:rFonts w:ascii="Symbol" w:hAnsi="Symbol"/>
          <w:sz w:val="20"/>
          <w:lang w:val="en-GB"/>
        </w:rPr>
        <w:t></w:t>
      </w:r>
      <w:r w:rsidRPr="002D679B">
        <w:rPr>
          <w:sz w:val="20"/>
        </w:rPr>
        <w:t xml:space="preserve">  –79 dBm pour les récepteurs VOR.</w:t>
      </w:r>
    </w:p>
    <w:p w:rsidR="002D679B" w:rsidRPr="00202380" w:rsidRDefault="002D679B" w:rsidP="00202380">
      <w:pPr>
        <w:pStyle w:val="Heading2"/>
        <w:rPr>
          <w:sz w:val="22"/>
          <w:szCs w:val="22"/>
        </w:rPr>
      </w:pPr>
      <w:bookmarkStart w:id="28" w:name="_Toc289761191"/>
      <w:r w:rsidRPr="00202380">
        <w:rPr>
          <w:sz w:val="22"/>
          <w:szCs w:val="22"/>
        </w:rPr>
        <w:t>4.4</w:t>
      </w:r>
      <w:r w:rsidRPr="00202380">
        <w:rPr>
          <w:sz w:val="22"/>
          <w:szCs w:val="22"/>
        </w:rPr>
        <w:tab/>
        <w:t>Critères d'évaluation du brouillage – Récepteurs COM de type 1998 selon l'Annexe 10 de l'OACI</w:t>
      </w:r>
      <w:bookmarkEnd w:id="28"/>
    </w:p>
    <w:p w:rsidR="002D679B" w:rsidRPr="002D679B" w:rsidRDefault="002D679B" w:rsidP="002D679B">
      <w:pPr>
        <w:spacing w:before="136"/>
        <w:rPr>
          <w:sz w:val="20"/>
        </w:rPr>
      </w:pPr>
      <w:r w:rsidRPr="002D679B">
        <w:rPr>
          <w:sz w:val="20"/>
        </w:rPr>
        <w:t>Le brouillage par intermodulation de type A1 et de type B1 ne peut affecter les récepteurs COM aux fréquences COM supérieures à 128,5 MHz. Aucun brouillage de type A2 ne peut être provoqué à une quelconque fréquence de service COM. Peu de données sont disponibles sur les caractéristiques d'antennes COM d'aéronef et qui permettraient d'élaborer une formule de conversion des intensités de champ au niveau du signal d'entrée du récepteur.</w:t>
      </w:r>
    </w:p>
    <w:p w:rsidR="002D679B" w:rsidRPr="00202380" w:rsidRDefault="002D679B" w:rsidP="00202380">
      <w:pPr>
        <w:pStyle w:val="Heading3"/>
        <w:rPr>
          <w:sz w:val="20"/>
        </w:rPr>
      </w:pPr>
      <w:r w:rsidRPr="00202380">
        <w:rPr>
          <w:sz w:val="20"/>
        </w:rPr>
        <w:t>4.4.1</w:t>
      </w:r>
      <w:r w:rsidRPr="00202380">
        <w:rPr>
          <w:sz w:val="20"/>
        </w:rPr>
        <w:tab/>
        <w:t>Formules d'évaluation de la compatibilité</w:t>
      </w:r>
    </w:p>
    <w:p w:rsidR="002D679B" w:rsidRPr="002D679B" w:rsidRDefault="002D679B" w:rsidP="002D679B">
      <w:pPr>
        <w:spacing w:before="136"/>
        <w:rPr>
          <w:sz w:val="20"/>
        </w:rPr>
      </w:pPr>
      <w:r w:rsidRPr="002D679B">
        <w:rPr>
          <w:sz w:val="20"/>
        </w:rPr>
        <w:t>Dans la Partie I de son Annexe 10 (§ 4.7.3), l'OACI a spécifié:</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qu'après le 1</w:t>
      </w:r>
      <w:r w:rsidRPr="002D679B">
        <w:rPr>
          <w:position w:val="6"/>
          <w:sz w:val="16"/>
        </w:rPr>
        <w:t>er</w:t>
      </w:r>
      <w:r w:rsidRPr="002D679B">
        <w:rPr>
          <w:sz w:val="20"/>
        </w:rPr>
        <w:t xml:space="preserve"> janvier 1995, toutes les nouvelles installations de systèmes récepteurs COM devraient répondre aux nouvelles normes de qualité en terme d'immunité aux brouillages;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qu'après le 1</w:t>
      </w:r>
      <w:r w:rsidRPr="002D679B">
        <w:rPr>
          <w:position w:val="6"/>
          <w:sz w:val="16"/>
        </w:rPr>
        <w:t>er</w:t>
      </w:r>
      <w:r w:rsidRPr="002D679B">
        <w:rPr>
          <w:sz w:val="20"/>
        </w:rPr>
        <w:t xml:space="preserve"> janvier 1998, tous les systèmes récepteurs COM devraient répondre aux nouvelles normes de qualité en terme d'immunité aux brouillages.</w:t>
      </w:r>
    </w:p>
    <w:p w:rsidR="002D679B" w:rsidRPr="00202380" w:rsidRDefault="002D679B" w:rsidP="00202380">
      <w:pPr>
        <w:pStyle w:val="Heading4"/>
        <w:rPr>
          <w:sz w:val="20"/>
        </w:rPr>
      </w:pPr>
      <w:r w:rsidRPr="00202380">
        <w:rPr>
          <w:sz w:val="20"/>
        </w:rPr>
        <w:t>4.4.1.1</w:t>
      </w:r>
      <w:r w:rsidRPr="00202380">
        <w:rPr>
          <w:sz w:val="20"/>
        </w:rPr>
        <w:tab/>
        <w:t>Brouillage de type B1</w:t>
      </w:r>
    </w:p>
    <w:p w:rsidR="002D679B" w:rsidRPr="002D679B" w:rsidRDefault="002D679B" w:rsidP="00B45125">
      <w:pPr>
        <w:spacing w:before="136"/>
        <w:rPr>
          <w:sz w:val="20"/>
        </w:rPr>
      </w:pPr>
      <w:r w:rsidRPr="002D679B">
        <w:rPr>
          <w:sz w:val="20"/>
        </w:rPr>
        <w:t>L'Annexe 10 de l'OACI indique que le système récepteur COM «assurera des performances satisfaisantes en présence du brouillage causé par des produits d'intermodulation du troisième ordre émanant de deux signaux de radiodiffusion FM VHF dont les niveaux à l'entrée du récepteur sont égaux à –5 dBm».</w:t>
      </w:r>
    </w:p>
    <w:p w:rsidR="002D679B" w:rsidRPr="00202380" w:rsidRDefault="002D679B" w:rsidP="00202380">
      <w:pPr>
        <w:pStyle w:val="Heading4"/>
        <w:rPr>
          <w:sz w:val="20"/>
        </w:rPr>
      </w:pPr>
      <w:r w:rsidRPr="00202380">
        <w:rPr>
          <w:sz w:val="20"/>
        </w:rPr>
        <w:t>4.4.1.2</w:t>
      </w:r>
      <w:r w:rsidRPr="00202380">
        <w:rPr>
          <w:sz w:val="20"/>
        </w:rPr>
        <w:tab/>
        <w:t>Brouillage de type B2</w:t>
      </w:r>
    </w:p>
    <w:p w:rsidR="002D679B" w:rsidRPr="002D679B" w:rsidRDefault="002D679B" w:rsidP="002D679B">
      <w:pPr>
        <w:spacing w:before="136"/>
        <w:rPr>
          <w:sz w:val="20"/>
        </w:rPr>
      </w:pPr>
      <w:r w:rsidRPr="002D679B">
        <w:rPr>
          <w:sz w:val="20"/>
        </w:rPr>
        <w:t>L'Annexe 10 de l'OACI indique que le système récepteur COM «ne sera pas désensibilisé par les signaux de radiodiffusion FM VHF dont les niveaux à l'entrée du récepteur sont égaux à –5 dBm».</w:t>
      </w:r>
    </w:p>
    <w:p w:rsidR="002D679B" w:rsidRPr="002D679B" w:rsidRDefault="002D679B" w:rsidP="002D679B">
      <w:pPr>
        <w:spacing w:before="136"/>
        <w:rPr>
          <w:sz w:val="20"/>
        </w:rPr>
      </w:pPr>
    </w:p>
    <w:p w:rsidR="004404F1" w:rsidRDefault="004404F1" w:rsidP="002D679B">
      <w:pPr>
        <w:tabs>
          <w:tab w:val="clear" w:pos="794"/>
          <w:tab w:val="clear" w:pos="1191"/>
          <w:tab w:val="clear" w:pos="1588"/>
          <w:tab w:val="clear" w:pos="1985"/>
          <w:tab w:val="center" w:pos="4849"/>
          <w:tab w:val="right" w:pos="9696"/>
        </w:tabs>
        <w:spacing w:before="0" w:after="68"/>
        <w:jc w:val="center"/>
        <w:rPr>
          <w:sz w:val="20"/>
        </w:rPr>
        <w:sectPr w:rsidR="004404F1" w:rsidSect="001C25CF">
          <w:headerReference w:type="even" r:id="rId35"/>
          <w:headerReference w:type="default" r:id="rId36"/>
          <w:footnotePr>
            <w:pos w:val="beneathText"/>
          </w:footnotePr>
          <w:type w:val="nextColumn"/>
          <w:pgSz w:w="11907" w:h="16834" w:code="9"/>
          <w:pgMar w:top="1418" w:right="1134" w:bottom="1134" w:left="1134" w:header="720" w:footer="482" w:gutter="0"/>
          <w:paperSrc w:first="15" w:other="15"/>
          <w:pgNumType w:start="1"/>
          <w:cols w:space="720"/>
        </w:sectPr>
      </w:pPr>
    </w:p>
    <w:p w:rsidR="00202380" w:rsidRDefault="002D679B" w:rsidP="001F6663">
      <w:pPr>
        <w:pStyle w:val="Appendix"/>
        <w:spacing w:before="0"/>
        <w:rPr>
          <w:lang w:val="fr-CH"/>
        </w:rPr>
      </w:pPr>
      <w:bookmarkStart w:id="29" w:name="_Toc289760518"/>
      <w:bookmarkStart w:id="30" w:name="_Toc289760858"/>
      <w:r w:rsidRPr="00EE5FBE">
        <w:rPr>
          <w:lang w:val="fr-CH"/>
        </w:rPr>
        <w:t>APPENDICE</w:t>
      </w:r>
      <w:r w:rsidRPr="00202380">
        <w:rPr>
          <w:lang w:val="fr-CH"/>
        </w:rPr>
        <w:t xml:space="preserve">  1</w:t>
      </w:r>
      <w:bookmarkEnd w:id="29"/>
      <w:bookmarkEnd w:id="30"/>
    </w:p>
    <w:p w:rsidR="00202380" w:rsidRDefault="002D679B" w:rsidP="00202380">
      <w:pPr>
        <w:pStyle w:val="AppendixRef0"/>
        <w:rPr>
          <w:lang w:val="fr-CH"/>
        </w:rPr>
      </w:pPr>
      <w:r w:rsidRPr="00202380">
        <w:rPr>
          <w:lang w:val="fr-CH"/>
        </w:rPr>
        <w:t>DE  L'ANNEXE  1</w:t>
      </w:r>
    </w:p>
    <w:p w:rsidR="002D679B" w:rsidRPr="00202380" w:rsidRDefault="002D679B" w:rsidP="00202380">
      <w:pPr>
        <w:pStyle w:val="AppendixTitle"/>
        <w:rPr>
          <w:lang w:val="fr-CH"/>
        </w:rPr>
      </w:pPr>
      <w:bookmarkStart w:id="31" w:name="_Toc289760519"/>
      <w:bookmarkStart w:id="32" w:name="_Toc289760859"/>
      <w:r w:rsidRPr="00202380">
        <w:rPr>
          <w:lang w:val="fr-CH"/>
        </w:rPr>
        <w:t>Zone de couverture et intensités de champ minimales des radiophares d'alignement</w:t>
      </w:r>
      <w:r w:rsidRPr="00202380">
        <w:rPr>
          <w:lang w:val="fr-CH"/>
        </w:rPr>
        <w:br/>
        <w:t>de piste (ILS) et des radiophares équidirectifs en ondes métriques (VOR)</w:t>
      </w:r>
      <w:bookmarkEnd w:id="31"/>
      <w:bookmarkEnd w:id="32"/>
    </w:p>
    <w:p w:rsidR="002D679B" w:rsidRPr="002D679B" w:rsidRDefault="002D679B" w:rsidP="002D679B">
      <w:pPr>
        <w:spacing w:before="480"/>
        <w:rPr>
          <w:sz w:val="20"/>
        </w:rPr>
      </w:pPr>
      <w:r w:rsidRPr="002D679B">
        <w:rPr>
          <w:i/>
          <w:sz w:val="20"/>
        </w:rPr>
        <w:t>Extrait de:</w:t>
      </w:r>
      <w:r w:rsidRPr="002D679B">
        <w:rPr>
          <w:sz w:val="20"/>
        </w:rPr>
        <w:t xml:space="preserve">  «Normes et pratiques recommandées internationales et procédures pour les services de navigation aérienne </w:t>
      </w:r>
      <w:r w:rsidRPr="002D679B">
        <w:rPr>
          <w:rFonts w:ascii="Symbol" w:hAnsi="Symbol"/>
          <w:sz w:val="20"/>
        </w:rPr>
        <w:noBreakHyphen/>
      </w:r>
      <w:r w:rsidRPr="002D679B">
        <w:rPr>
          <w:sz w:val="20"/>
        </w:rPr>
        <w:t> Télécommunications aéronautiques – Annexe 10 à la Convention relative à l'aviation civile internationale – Volume I», Organisation de l'aviation civile internationale, Montréal (1985).</w:t>
      </w:r>
    </w:p>
    <w:p w:rsidR="002D679B" w:rsidRPr="002D679B" w:rsidRDefault="002D679B" w:rsidP="002D679B">
      <w:pPr>
        <w:spacing w:before="136"/>
        <w:rPr>
          <w:sz w:val="20"/>
        </w:rPr>
      </w:pPr>
      <w:r w:rsidRPr="002D679B">
        <w:rPr>
          <w:sz w:val="20"/>
        </w:rPr>
        <w:t>L'extrait suivant concerne le radiophare d'alignement de piste ILS:</w:t>
      </w:r>
    </w:p>
    <w:p w:rsidR="00F62DEE" w:rsidRDefault="00F62DEE" w:rsidP="002D679B">
      <w:pPr>
        <w:keepNext/>
        <w:keepLines/>
        <w:tabs>
          <w:tab w:val="clear" w:pos="794"/>
          <w:tab w:val="clear" w:pos="1191"/>
          <w:tab w:val="clear" w:pos="1588"/>
          <w:tab w:val="clear" w:pos="1985"/>
          <w:tab w:val="left" w:pos="851"/>
        </w:tabs>
        <w:spacing w:before="181"/>
        <w:ind w:left="851" w:hanging="851"/>
        <w:outlineLvl w:val="3"/>
        <w:rPr>
          <w:sz w:val="20"/>
        </w:rPr>
        <w:sectPr w:rsidR="00F62DEE" w:rsidSect="00F62DEE">
          <w:headerReference w:type="even" r:id="rId37"/>
          <w:headerReference w:type="default" r:id="rId38"/>
          <w:headerReference w:type="first" r:id="rId39"/>
          <w:footnotePr>
            <w:pos w:val="beneathText"/>
          </w:footnotePr>
          <w:pgSz w:w="11913" w:h="16834" w:code="9"/>
          <w:pgMar w:top="1418" w:right="1134" w:bottom="1134" w:left="1134" w:header="720" w:footer="482" w:gutter="0"/>
          <w:paperSrc w:first="15" w:other="15"/>
          <w:cols w:space="720"/>
          <w:titlePg/>
          <w:docGrid w:linePitch="272"/>
        </w:sectPr>
      </w:pPr>
    </w:p>
    <w:p w:rsidR="002D679B" w:rsidRPr="002D679B" w:rsidRDefault="002D679B" w:rsidP="002D679B">
      <w:pPr>
        <w:keepNext/>
        <w:keepLines/>
        <w:tabs>
          <w:tab w:val="clear" w:pos="794"/>
          <w:tab w:val="clear" w:pos="1191"/>
          <w:tab w:val="clear" w:pos="1588"/>
          <w:tab w:val="clear" w:pos="1985"/>
          <w:tab w:val="left" w:pos="851"/>
        </w:tabs>
        <w:spacing w:before="181"/>
        <w:ind w:left="851" w:hanging="851"/>
        <w:outlineLvl w:val="3"/>
        <w:rPr>
          <w:b/>
          <w:sz w:val="20"/>
        </w:rPr>
      </w:pPr>
      <w:r w:rsidRPr="002D679B">
        <w:rPr>
          <w:sz w:val="20"/>
        </w:rPr>
        <w:t>«3.1.3.3</w:t>
      </w:r>
      <w:r w:rsidRPr="002D679B">
        <w:rPr>
          <w:sz w:val="20"/>
        </w:rPr>
        <w:tab/>
      </w:r>
      <w:r w:rsidRPr="002D679B">
        <w:rPr>
          <w:i/>
          <w:sz w:val="20"/>
        </w:rPr>
        <w:t>Couverture</w:t>
      </w:r>
    </w:p>
    <w:p w:rsidR="002D679B" w:rsidRPr="002D679B" w:rsidRDefault="002D679B" w:rsidP="002D679B">
      <w:pPr>
        <w:tabs>
          <w:tab w:val="clear" w:pos="794"/>
          <w:tab w:val="clear" w:pos="1191"/>
          <w:tab w:val="clear" w:pos="1588"/>
          <w:tab w:val="clear" w:pos="1985"/>
          <w:tab w:val="left" w:pos="397"/>
        </w:tabs>
        <w:spacing w:before="136"/>
        <w:rPr>
          <w:sz w:val="20"/>
        </w:rPr>
      </w:pPr>
      <w:r w:rsidRPr="002D679B">
        <w:rPr>
          <w:sz w:val="20"/>
        </w:rPr>
        <w:tab/>
        <w:t>3.1.3.3.1   Les radiophares d'alignement de piste émettront des signaux suffisants pour qu'une installation de bord typique puisse fonctionner de manière satisfaisante à l'intérieur des zones de couverture de l'alignement de piste et de l'alignement de descente. La zone de couverture de l'alignement de piste s'étendra du centre du système d'antennes d'alignement de piste jusqu'à:</w:t>
      </w:r>
    </w:p>
    <w:p w:rsidR="002D679B" w:rsidRPr="002D679B" w:rsidRDefault="002D679B" w:rsidP="002D679B">
      <w:pPr>
        <w:tabs>
          <w:tab w:val="clear" w:pos="794"/>
          <w:tab w:val="clear" w:pos="1191"/>
          <w:tab w:val="clear" w:pos="1588"/>
          <w:tab w:val="clear" w:pos="1985"/>
          <w:tab w:val="left" w:pos="397"/>
        </w:tabs>
        <w:spacing w:before="136"/>
        <w:ind w:left="397" w:hanging="397"/>
        <w:rPr>
          <w:sz w:val="20"/>
        </w:rPr>
      </w:pPr>
      <w:r w:rsidRPr="002D679B">
        <w:rPr>
          <w:sz w:val="20"/>
        </w:rPr>
        <w:tab/>
        <w:t xml:space="preserve">46,3 km (25 NM) entre </w:t>
      </w:r>
      <w:r w:rsidRPr="002D679B">
        <w:rPr>
          <w:rFonts w:ascii="Symbol" w:hAnsi="Symbol"/>
          <w:sz w:val="20"/>
          <w:lang w:val="en-GB"/>
        </w:rPr>
        <w:t></w:t>
      </w:r>
      <w:r w:rsidRPr="002D679B">
        <w:rPr>
          <w:sz w:val="20"/>
          <w:lang w:val="fr-CH"/>
        </w:rPr>
        <w:t> </w:t>
      </w:r>
      <w:r w:rsidRPr="002D679B">
        <w:rPr>
          <w:sz w:val="20"/>
        </w:rPr>
        <w:t>10</w:t>
      </w:r>
      <w:r w:rsidRPr="002D679B">
        <w:rPr>
          <w:rFonts w:ascii="Symbol" w:hAnsi="Symbol"/>
          <w:sz w:val="20"/>
          <w:lang w:val="en-GB"/>
        </w:rPr>
        <w:t></w:t>
      </w:r>
      <w:r w:rsidRPr="002D679B">
        <w:rPr>
          <w:sz w:val="20"/>
        </w:rPr>
        <w:t xml:space="preserve"> mesurés à partir de l'alignement de piste avant;</w:t>
      </w:r>
    </w:p>
    <w:p w:rsidR="002D679B" w:rsidRPr="002D679B" w:rsidRDefault="002D679B" w:rsidP="002D679B">
      <w:pPr>
        <w:tabs>
          <w:tab w:val="clear" w:pos="794"/>
          <w:tab w:val="clear" w:pos="1191"/>
          <w:tab w:val="clear" w:pos="1588"/>
          <w:tab w:val="clear" w:pos="1985"/>
          <w:tab w:val="left" w:pos="397"/>
        </w:tabs>
        <w:spacing w:before="136"/>
        <w:ind w:left="397" w:hanging="397"/>
        <w:rPr>
          <w:sz w:val="20"/>
        </w:rPr>
      </w:pPr>
      <w:r w:rsidRPr="002D679B">
        <w:rPr>
          <w:sz w:val="20"/>
        </w:rPr>
        <w:tab/>
        <w:t>31,5 km (17 NM) entre 10</w:t>
      </w:r>
      <w:r w:rsidRPr="002D679B">
        <w:rPr>
          <w:rFonts w:ascii="Symbol" w:hAnsi="Symbol"/>
          <w:sz w:val="20"/>
          <w:lang w:val="en-GB"/>
        </w:rPr>
        <w:t></w:t>
      </w:r>
      <w:r w:rsidRPr="002D679B">
        <w:rPr>
          <w:sz w:val="20"/>
        </w:rPr>
        <w:t xml:space="preserve"> et 35</w:t>
      </w:r>
      <w:r w:rsidRPr="002D679B">
        <w:rPr>
          <w:rFonts w:ascii="Symbol" w:hAnsi="Symbol"/>
          <w:sz w:val="20"/>
          <w:lang w:val="en-GB"/>
        </w:rPr>
        <w:t></w:t>
      </w:r>
      <w:r w:rsidRPr="002D679B">
        <w:rPr>
          <w:sz w:val="20"/>
        </w:rPr>
        <w:t xml:space="preserve"> mesurés à partir de l'alignement de piste avant;</w:t>
      </w:r>
    </w:p>
    <w:p w:rsidR="002D679B" w:rsidRPr="002D679B" w:rsidRDefault="002D679B" w:rsidP="002D679B">
      <w:pPr>
        <w:tabs>
          <w:tab w:val="clear" w:pos="794"/>
          <w:tab w:val="clear" w:pos="1191"/>
          <w:tab w:val="clear" w:pos="1588"/>
          <w:tab w:val="clear" w:pos="1985"/>
          <w:tab w:val="left" w:pos="397"/>
        </w:tabs>
        <w:spacing w:before="136"/>
        <w:ind w:left="397" w:hanging="397"/>
        <w:rPr>
          <w:sz w:val="20"/>
        </w:rPr>
      </w:pPr>
      <w:r w:rsidRPr="002D679B">
        <w:rPr>
          <w:sz w:val="20"/>
        </w:rPr>
        <w:tab/>
        <w:t xml:space="preserve">18,5 km (10 NM) en dehors de </w:t>
      </w:r>
      <w:r w:rsidRPr="002D679B">
        <w:rPr>
          <w:rFonts w:ascii="Symbol" w:hAnsi="Symbol"/>
          <w:sz w:val="20"/>
          <w:lang w:val="en-GB"/>
        </w:rPr>
        <w:t></w:t>
      </w:r>
      <w:r w:rsidRPr="002D679B">
        <w:rPr>
          <w:sz w:val="20"/>
          <w:lang w:val="fr-CH"/>
        </w:rPr>
        <w:t> </w:t>
      </w:r>
      <w:r w:rsidRPr="002D679B">
        <w:rPr>
          <w:sz w:val="20"/>
        </w:rPr>
        <w:t>35</w:t>
      </w:r>
      <w:r w:rsidRPr="002D679B">
        <w:rPr>
          <w:rFonts w:ascii="Symbol" w:hAnsi="Symbol"/>
          <w:sz w:val="20"/>
          <w:lang w:val="en-GB"/>
        </w:rPr>
        <w:t></w:t>
      </w:r>
      <w:r w:rsidRPr="002D679B">
        <w:rPr>
          <w:sz w:val="20"/>
        </w:rPr>
        <w:t xml:space="preserve"> si la couverture est assurée;</w:t>
      </w:r>
    </w:p>
    <w:p w:rsidR="002D679B" w:rsidRPr="002D679B" w:rsidRDefault="002D679B" w:rsidP="002D679B">
      <w:pPr>
        <w:spacing w:before="136"/>
        <w:rPr>
          <w:sz w:val="20"/>
        </w:rPr>
      </w:pPr>
      <w:r w:rsidRPr="002D679B">
        <w:rPr>
          <w:sz w:val="20"/>
        </w:rPr>
        <w:t xml:space="preserve">toutefois, lorsque les caractères topographiques l'imposent ou que les besoins de l'exploitation le permettent, ces limites pourront être ramenées à 33,3 km (18 NM) à l'intérieur du secteur de </w:t>
      </w:r>
      <w:r w:rsidRPr="002D679B">
        <w:rPr>
          <w:rFonts w:ascii="Symbol" w:hAnsi="Symbol"/>
          <w:sz w:val="20"/>
          <w:lang w:val="en-GB"/>
        </w:rPr>
        <w:t></w:t>
      </w:r>
      <w:r w:rsidRPr="002D679B">
        <w:rPr>
          <w:sz w:val="20"/>
          <w:lang w:val="fr-CH"/>
        </w:rPr>
        <w:t> </w:t>
      </w:r>
      <w:r w:rsidRPr="002D679B">
        <w:rPr>
          <w:sz w:val="20"/>
        </w:rPr>
        <w:t>10</w:t>
      </w:r>
      <w:r w:rsidRPr="002D679B">
        <w:rPr>
          <w:rFonts w:ascii="Symbol" w:hAnsi="Symbol"/>
          <w:sz w:val="20"/>
          <w:lang w:val="en-GB"/>
        </w:rPr>
        <w:t></w:t>
      </w:r>
      <w:r w:rsidRPr="002D679B">
        <w:rPr>
          <w:sz w:val="20"/>
        </w:rPr>
        <w:t xml:space="preserve"> et à 18,5 km (10 NM) à l'intérieur du reste de la couverture lorsque d'autres moyens de navigation assurent une couverture suffisante à l'intérieur de l'aire d'approche intermédiaire. Les signaux du radiophare d'alignement de piste devront pouvoir être reçus, aux distances spécifiées, à une hauteur égale ou supérieure à la plus grande des deux hauteurs suivantes: 600 m (2</w:t>
      </w:r>
      <w:r w:rsidRPr="002D679B">
        <w:rPr>
          <w:rFonts w:ascii="Tms Rmn" w:hAnsi="Tms Rmn"/>
          <w:sz w:val="12"/>
        </w:rPr>
        <w:t> </w:t>
      </w:r>
      <w:r w:rsidRPr="002D679B">
        <w:rPr>
          <w:sz w:val="20"/>
        </w:rPr>
        <w:t>000 ft) au-dessus de l'altitude du seuil ou 300 m (1</w:t>
      </w:r>
      <w:r w:rsidRPr="002D679B">
        <w:rPr>
          <w:rFonts w:ascii="Tms Rmn" w:hAnsi="Tms Rmn"/>
          <w:sz w:val="12"/>
        </w:rPr>
        <w:t> </w:t>
      </w:r>
      <w:r w:rsidRPr="002D679B">
        <w:rPr>
          <w:sz w:val="20"/>
        </w:rPr>
        <w:t>000 ft) au-dessus de l'obstacle le plus élevé à l'intérieur des aires d'approche intermédiaire et finale. Ces signaux devront pouvoir être reçus aux distances spécifiées, jusqu'à une surface partant de l'antenne de l'alignement de piste et inclinée de 7</w:t>
      </w:r>
      <w:r w:rsidRPr="002D679B">
        <w:rPr>
          <w:rFonts w:ascii="Symbol" w:hAnsi="Symbol"/>
          <w:sz w:val="20"/>
          <w:lang w:val="en-GB"/>
        </w:rPr>
        <w:t></w:t>
      </w:r>
      <w:r w:rsidRPr="002D679B">
        <w:rPr>
          <w:sz w:val="20"/>
        </w:rPr>
        <w:t xml:space="preserve"> au-dessus de l'horizontale.</w:t>
      </w:r>
    </w:p>
    <w:p w:rsidR="002D679B" w:rsidRPr="002D679B" w:rsidRDefault="002D679B" w:rsidP="002D679B">
      <w:pPr>
        <w:tabs>
          <w:tab w:val="clear" w:pos="794"/>
          <w:tab w:val="clear" w:pos="1191"/>
          <w:tab w:val="clear" w:pos="1588"/>
          <w:tab w:val="clear" w:pos="1985"/>
          <w:tab w:val="left" w:pos="397"/>
        </w:tabs>
        <w:spacing w:before="136"/>
        <w:rPr>
          <w:sz w:val="20"/>
        </w:rPr>
      </w:pPr>
      <w:r w:rsidRPr="002D679B">
        <w:rPr>
          <w:sz w:val="20"/>
        </w:rPr>
        <w:tab/>
        <w:t>3.1.3.3.2</w:t>
      </w:r>
      <w:r w:rsidRPr="002D679B">
        <w:rPr>
          <w:b/>
          <w:sz w:val="20"/>
        </w:rPr>
        <w:t>   </w:t>
      </w:r>
      <w:r w:rsidRPr="002D679B">
        <w:rPr>
          <w:sz w:val="20"/>
        </w:rPr>
        <w:t>En tous les points du volume de couverture spécifié en 3.1.3.3.1 ci-dessus, sauf dans les cas spécifiés en 3.1.3.3.2.1, 3.1.3.3.2.2 et 3.1.3.3.2.3 ci</w:t>
      </w:r>
      <w:r w:rsidRPr="002D679B">
        <w:rPr>
          <w:sz w:val="20"/>
        </w:rPr>
        <w:noBreakHyphen/>
        <w:t>dessous, l'intensité de champ ne sera pas inférieure à 40 </w:t>
      </w:r>
      <w:r w:rsidRPr="002D679B">
        <w:rPr>
          <w:rFonts w:ascii="Symbol" w:hAnsi="Symbol"/>
          <w:sz w:val="20"/>
          <w:lang w:val="en-GB"/>
        </w:rPr>
        <w:t></w:t>
      </w:r>
      <w:r w:rsidRPr="002D679B">
        <w:rPr>
          <w:sz w:val="20"/>
        </w:rPr>
        <w:t>V/m (–114 dBW/m</w:t>
      </w:r>
      <w:r w:rsidRPr="002D679B">
        <w:rPr>
          <w:position w:val="6"/>
          <w:sz w:val="16"/>
        </w:rPr>
        <w:t>2</w:t>
      </w:r>
      <w:r w:rsidRPr="002D679B">
        <w:rPr>
          <w:sz w:val="20"/>
        </w:rPr>
        <w:t>).</w:t>
      </w:r>
    </w:p>
    <w:p w:rsidR="002D679B" w:rsidRPr="002D679B" w:rsidRDefault="002D679B" w:rsidP="002D679B">
      <w:pPr>
        <w:tabs>
          <w:tab w:val="clear" w:pos="794"/>
          <w:tab w:val="clear" w:pos="1191"/>
          <w:tab w:val="clear" w:pos="1588"/>
          <w:tab w:val="clear" w:pos="1985"/>
          <w:tab w:val="left" w:pos="397"/>
        </w:tabs>
        <w:spacing w:before="0"/>
        <w:rPr>
          <w:sz w:val="20"/>
        </w:rPr>
      </w:pPr>
    </w:p>
    <w:p w:rsidR="002D679B" w:rsidRPr="002D679B" w:rsidRDefault="002D679B" w:rsidP="002D679B">
      <w:pPr>
        <w:tabs>
          <w:tab w:val="clear" w:pos="794"/>
          <w:tab w:val="clear" w:pos="1191"/>
          <w:tab w:val="clear" w:pos="1588"/>
          <w:tab w:val="clear" w:pos="1985"/>
          <w:tab w:val="left" w:pos="397"/>
        </w:tabs>
        <w:spacing w:before="80"/>
        <w:rPr>
          <w:sz w:val="20"/>
        </w:rPr>
      </w:pPr>
      <w:r w:rsidRPr="002D679B">
        <w:rPr>
          <w:i/>
          <w:sz w:val="20"/>
        </w:rPr>
        <w:tab/>
        <w:t>Note. – Cette intensité de champ minimale est nécessaire pour permettre une utilisation opéra</w:t>
      </w:r>
      <w:r w:rsidRPr="002D679B">
        <w:rPr>
          <w:i/>
          <w:sz w:val="20"/>
        </w:rPr>
        <w:softHyphen/>
        <w:t>tionnelle satisfaisante des installations de radio</w:t>
      </w:r>
      <w:r w:rsidRPr="002D679B">
        <w:rPr>
          <w:i/>
          <w:sz w:val="20"/>
        </w:rPr>
        <w:softHyphen/>
        <w:t>alignement de piste ILS</w:t>
      </w:r>
      <w:r w:rsidRPr="002D679B">
        <w:rPr>
          <w:sz w:val="20"/>
        </w:rPr>
        <w:t>.</w:t>
      </w:r>
    </w:p>
    <w:p w:rsidR="002D679B" w:rsidRPr="002D679B" w:rsidRDefault="002D679B" w:rsidP="002D679B">
      <w:pPr>
        <w:spacing w:before="0"/>
        <w:rPr>
          <w:sz w:val="12"/>
        </w:rPr>
      </w:pPr>
    </w:p>
    <w:p w:rsidR="0045207C" w:rsidRDefault="002D679B" w:rsidP="002D679B">
      <w:pPr>
        <w:tabs>
          <w:tab w:val="clear" w:pos="794"/>
          <w:tab w:val="clear" w:pos="1191"/>
          <w:tab w:val="clear" w:pos="1588"/>
          <w:tab w:val="clear" w:pos="1985"/>
          <w:tab w:val="left" w:pos="397"/>
        </w:tabs>
        <w:spacing w:before="136"/>
        <w:rPr>
          <w:sz w:val="20"/>
        </w:rPr>
      </w:pPr>
      <w:r w:rsidRPr="002D679B">
        <w:rPr>
          <w:sz w:val="20"/>
        </w:rPr>
        <w:tab/>
        <w:t xml:space="preserve">3.1.3.3.2.1   Dans le cas des radiophares d'alignement de piste des installations de catégorie de performances I, le champ minimal sur l'alignement de </w:t>
      </w:r>
    </w:p>
    <w:p w:rsidR="002D679B" w:rsidRPr="002D679B" w:rsidRDefault="002D679B" w:rsidP="002D679B">
      <w:pPr>
        <w:tabs>
          <w:tab w:val="clear" w:pos="794"/>
          <w:tab w:val="clear" w:pos="1191"/>
          <w:tab w:val="clear" w:pos="1588"/>
          <w:tab w:val="clear" w:pos="1985"/>
          <w:tab w:val="left" w:pos="397"/>
        </w:tabs>
        <w:spacing w:before="136"/>
        <w:rPr>
          <w:sz w:val="20"/>
        </w:rPr>
      </w:pPr>
      <w:r w:rsidRPr="002D679B">
        <w:rPr>
          <w:sz w:val="20"/>
        </w:rPr>
        <w:t>descente ILS et à l'intérieur du secteur d'alignement de piste, à partir de 18,5 km (10 NM) et jusqu'à 60 m (200 ft) de hauteur au-dessus du plan horizontal passant par le seuil, ne sera pas inférieur à 90 </w:t>
      </w:r>
      <w:r w:rsidRPr="002D679B">
        <w:rPr>
          <w:rFonts w:ascii="Symbol" w:hAnsi="Symbol"/>
          <w:sz w:val="20"/>
          <w:lang w:val="en-GB"/>
        </w:rPr>
        <w:t></w:t>
      </w:r>
      <w:r w:rsidRPr="002D679B">
        <w:rPr>
          <w:sz w:val="20"/>
        </w:rPr>
        <w:t>V/m (</w:t>
      </w:r>
      <w:r w:rsidRPr="002D679B">
        <w:rPr>
          <w:rFonts w:ascii="Symbol" w:hAnsi="Symbol"/>
          <w:sz w:val="20"/>
        </w:rPr>
        <w:noBreakHyphen/>
      </w:r>
      <w:r w:rsidRPr="002D679B">
        <w:rPr>
          <w:sz w:val="20"/>
        </w:rPr>
        <w:t>107 dBW/m</w:t>
      </w:r>
      <w:r w:rsidRPr="002D679B">
        <w:rPr>
          <w:position w:val="6"/>
          <w:sz w:val="16"/>
        </w:rPr>
        <w:t>2</w:t>
      </w:r>
      <w:r w:rsidRPr="002D679B">
        <w:rPr>
          <w:sz w:val="20"/>
        </w:rPr>
        <w:t>).</w:t>
      </w:r>
    </w:p>
    <w:p w:rsidR="002D679B" w:rsidRPr="002D679B" w:rsidRDefault="002D679B" w:rsidP="002D679B">
      <w:pPr>
        <w:tabs>
          <w:tab w:val="clear" w:pos="794"/>
          <w:tab w:val="clear" w:pos="1191"/>
          <w:tab w:val="clear" w:pos="1588"/>
          <w:tab w:val="clear" w:pos="1985"/>
          <w:tab w:val="left" w:pos="397"/>
        </w:tabs>
        <w:spacing w:before="136"/>
        <w:rPr>
          <w:sz w:val="20"/>
        </w:rPr>
      </w:pPr>
      <w:r w:rsidRPr="002D679B">
        <w:rPr>
          <w:sz w:val="20"/>
        </w:rPr>
        <w:tab/>
        <w:t>3.1.3.3.2.2   Dans le cas des radiophares d'aligne</w:t>
      </w:r>
      <w:r w:rsidRPr="002D679B">
        <w:rPr>
          <w:sz w:val="20"/>
        </w:rPr>
        <w:softHyphen/>
        <w:t>ment de piste des installations de catégorie de performances II, l'intensité de champ minimale sur l'alignement de descente ILS et à l'intérieur du secteur d'alignement de piste, sera au moins égale à 100 </w:t>
      </w:r>
      <w:r w:rsidRPr="002D679B">
        <w:rPr>
          <w:rFonts w:ascii="Symbol" w:hAnsi="Symbol"/>
          <w:sz w:val="20"/>
          <w:lang w:val="en-GB"/>
        </w:rPr>
        <w:t></w:t>
      </w:r>
      <w:r w:rsidRPr="002D679B">
        <w:rPr>
          <w:sz w:val="20"/>
        </w:rPr>
        <w:t>V/m (–106 dBW/m</w:t>
      </w:r>
      <w:r w:rsidRPr="002D679B">
        <w:rPr>
          <w:position w:val="6"/>
          <w:sz w:val="16"/>
        </w:rPr>
        <w:t>2</w:t>
      </w:r>
      <w:r w:rsidRPr="002D679B">
        <w:rPr>
          <w:sz w:val="20"/>
        </w:rPr>
        <w:t>) à une distance de 18,5 km (10 NM) et augmentera pour atteindre une valeur au moins égale à 200 </w:t>
      </w:r>
      <w:r w:rsidRPr="002D679B">
        <w:rPr>
          <w:rFonts w:ascii="Symbol" w:hAnsi="Symbol"/>
          <w:sz w:val="20"/>
          <w:lang w:val="en-GB"/>
        </w:rPr>
        <w:t></w:t>
      </w:r>
      <w:r w:rsidRPr="002D679B">
        <w:rPr>
          <w:sz w:val="20"/>
        </w:rPr>
        <w:t>V/m (–100 dBW/m</w:t>
      </w:r>
      <w:r w:rsidRPr="002D679B">
        <w:rPr>
          <w:position w:val="6"/>
          <w:sz w:val="16"/>
        </w:rPr>
        <w:t>2</w:t>
      </w:r>
      <w:r w:rsidRPr="002D679B">
        <w:rPr>
          <w:sz w:val="20"/>
        </w:rPr>
        <w:t>) à une hauteur de 15 m (50 ft) au-dessus du plan horizontal passant par le seuil.</w:t>
      </w:r>
    </w:p>
    <w:p w:rsidR="002D679B" w:rsidRPr="002D679B" w:rsidRDefault="002D679B" w:rsidP="002D679B">
      <w:pPr>
        <w:tabs>
          <w:tab w:val="clear" w:pos="794"/>
          <w:tab w:val="clear" w:pos="1191"/>
          <w:tab w:val="clear" w:pos="1588"/>
          <w:tab w:val="clear" w:pos="1985"/>
          <w:tab w:val="left" w:pos="397"/>
        </w:tabs>
        <w:spacing w:before="136"/>
        <w:rPr>
          <w:sz w:val="20"/>
        </w:rPr>
      </w:pPr>
      <w:r w:rsidRPr="002D679B">
        <w:rPr>
          <w:sz w:val="20"/>
        </w:rPr>
        <w:tab/>
        <w:t>3.1.3.3.2.3   Dans le cas des radiophares d'aligne</w:t>
      </w:r>
      <w:r w:rsidRPr="002D679B">
        <w:rPr>
          <w:sz w:val="20"/>
        </w:rPr>
        <w:softHyphen/>
        <w:t>ment de piste des installations de catégorie de performances III, l'intensité de champ minimale sur l'alignement de descente ILS et à l'intérieur du secteur d'alignement de piste sera au moins égale à 100 </w:t>
      </w:r>
      <w:r w:rsidRPr="002D679B">
        <w:rPr>
          <w:rFonts w:ascii="Symbol" w:hAnsi="Symbol"/>
          <w:sz w:val="20"/>
        </w:rPr>
        <w:t></w:t>
      </w:r>
      <w:r w:rsidRPr="002D679B">
        <w:rPr>
          <w:sz w:val="20"/>
        </w:rPr>
        <w:t>V/m (–106 dBW/m</w:t>
      </w:r>
      <w:r w:rsidRPr="002D679B">
        <w:rPr>
          <w:position w:val="6"/>
          <w:sz w:val="16"/>
        </w:rPr>
        <w:t>2</w:t>
      </w:r>
      <w:r w:rsidRPr="002D679B">
        <w:rPr>
          <w:sz w:val="20"/>
        </w:rPr>
        <w:t>) à une distance de 18,5 km (10 NM) et augmentera pour atteindre une valeur au moins égale à 200 </w:t>
      </w:r>
      <w:r w:rsidRPr="002D679B">
        <w:rPr>
          <w:rFonts w:ascii="Symbol" w:hAnsi="Symbol"/>
          <w:sz w:val="20"/>
        </w:rPr>
        <w:t></w:t>
      </w:r>
      <w:r w:rsidRPr="002D679B">
        <w:rPr>
          <w:sz w:val="20"/>
        </w:rPr>
        <w:t>V/m (–100 dBW/m</w:t>
      </w:r>
      <w:r w:rsidRPr="002D679B">
        <w:rPr>
          <w:position w:val="6"/>
          <w:sz w:val="16"/>
        </w:rPr>
        <w:t>2</w:t>
      </w:r>
      <w:r w:rsidRPr="002D679B">
        <w:rPr>
          <w:sz w:val="20"/>
        </w:rPr>
        <w:t>) à 6 m (20 ft) au-dessus du plan horizontal passant par le seuil. A partir de ce point et jusqu'à un autre point situé à 4 m (12 ft) au-dessus de l'axe de la piste et à 300 m (1</w:t>
      </w:r>
      <w:r w:rsidRPr="002D679B">
        <w:rPr>
          <w:rFonts w:ascii="Tms Rmn" w:hAnsi="Tms Rmn"/>
          <w:sz w:val="12"/>
        </w:rPr>
        <w:t> </w:t>
      </w:r>
      <w:r w:rsidRPr="002D679B">
        <w:rPr>
          <w:sz w:val="20"/>
        </w:rPr>
        <w:t>000 ft) du seuil dans la direction du radiophare d'alignement de piste, et ensuite à une hauteur de 4 m (12 ft) sur toute la longueur de la piste dans la direction du radiophare d'alignement de piste, l'intensité de champ sera au moins égale à 100 </w:t>
      </w:r>
      <w:r w:rsidRPr="002D679B">
        <w:rPr>
          <w:rFonts w:ascii="Symbol" w:hAnsi="Symbol"/>
          <w:sz w:val="20"/>
        </w:rPr>
        <w:t></w:t>
      </w:r>
      <w:r w:rsidRPr="002D679B">
        <w:rPr>
          <w:sz w:val="20"/>
        </w:rPr>
        <w:t>V/m (–106 dBW/m</w:t>
      </w:r>
      <w:r w:rsidRPr="002D679B">
        <w:rPr>
          <w:position w:val="6"/>
          <w:sz w:val="16"/>
        </w:rPr>
        <w:t>2</w:t>
      </w:r>
      <w:r w:rsidRPr="002D679B">
        <w:rPr>
          <w:sz w:val="20"/>
        </w:rPr>
        <w:t>).</w:t>
      </w:r>
    </w:p>
    <w:p w:rsidR="002D679B" w:rsidRPr="002D679B" w:rsidRDefault="002D679B" w:rsidP="002D679B">
      <w:pPr>
        <w:tabs>
          <w:tab w:val="clear" w:pos="794"/>
          <w:tab w:val="clear" w:pos="1191"/>
          <w:tab w:val="clear" w:pos="1588"/>
          <w:tab w:val="clear" w:pos="1985"/>
          <w:tab w:val="left" w:pos="397"/>
        </w:tabs>
        <w:spacing w:before="80"/>
        <w:rPr>
          <w:sz w:val="20"/>
        </w:rPr>
      </w:pPr>
      <w:r w:rsidRPr="002D679B">
        <w:rPr>
          <w:i/>
          <w:sz w:val="20"/>
        </w:rPr>
        <w:tab/>
        <w:t>Note. – Les intensités de champ indiquées en 3.1.3.3.2.2 et 3.1.3.3.2.3 ci-dessus sont nécessaires pour assurer le rapport signal/bruit exigé pour obtenir une meilleure intégrité</w:t>
      </w:r>
      <w:r w:rsidRPr="002D679B">
        <w:rPr>
          <w:sz w:val="20"/>
        </w:rPr>
        <w:t>.</w:t>
      </w:r>
    </w:p>
    <w:p w:rsidR="002D679B" w:rsidRPr="002D679B" w:rsidRDefault="002D679B" w:rsidP="002D679B">
      <w:pPr>
        <w:tabs>
          <w:tab w:val="clear" w:pos="794"/>
          <w:tab w:val="clear" w:pos="1191"/>
          <w:tab w:val="clear" w:pos="1588"/>
          <w:tab w:val="clear" w:pos="1985"/>
          <w:tab w:val="left" w:pos="397"/>
        </w:tabs>
        <w:spacing w:before="136"/>
        <w:rPr>
          <w:sz w:val="20"/>
        </w:rPr>
      </w:pPr>
      <w:r w:rsidRPr="002D679B">
        <w:rPr>
          <w:b/>
          <w:sz w:val="20"/>
        </w:rPr>
        <w:tab/>
      </w:r>
      <w:r w:rsidRPr="002D679B">
        <w:rPr>
          <w:sz w:val="20"/>
        </w:rPr>
        <w:t>3.1.3.3.3</w:t>
      </w:r>
      <w:r w:rsidRPr="002D679B">
        <w:rPr>
          <w:b/>
          <w:sz w:val="20"/>
        </w:rPr>
        <w:t xml:space="preserve">   Recommandation. </w:t>
      </w:r>
      <w:r w:rsidRPr="002D679B">
        <w:rPr>
          <w:i/>
          <w:sz w:val="20"/>
        </w:rPr>
        <w:t>– Il est recommandé que, au-dessus de 7</w:t>
      </w:r>
      <w:r w:rsidRPr="002D679B">
        <w:rPr>
          <w:rFonts w:ascii="Symbol" w:hAnsi="Symbol"/>
          <w:i/>
          <w:sz w:val="20"/>
          <w:lang w:val="en-GB"/>
        </w:rPr>
        <w:t></w:t>
      </w:r>
      <w:r w:rsidRPr="002D679B">
        <w:rPr>
          <w:i/>
          <w:sz w:val="20"/>
        </w:rPr>
        <w:t>, l'intensité des signaux soit ramenée à une valeur aussi faible que possible</w:t>
      </w:r>
      <w:r w:rsidRPr="002D679B">
        <w:rPr>
          <w:sz w:val="20"/>
        </w:rPr>
        <w:t>.</w:t>
      </w:r>
    </w:p>
    <w:p w:rsidR="002D679B" w:rsidRDefault="002D679B" w:rsidP="002D679B">
      <w:pPr>
        <w:tabs>
          <w:tab w:val="clear" w:pos="794"/>
          <w:tab w:val="clear" w:pos="1191"/>
          <w:tab w:val="clear" w:pos="1588"/>
          <w:tab w:val="clear" w:pos="1985"/>
          <w:tab w:val="left" w:pos="397"/>
        </w:tabs>
        <w:spacing w:before="0"/>
        <w:rPr>
          <w:i/>
          <w:sz w:val="20"/>
        </w:rPr>
      </w:pPr>
    </w:p>
    <w:p w:rsidR="002D679B" w:rsidRPr="002D679B" w:rsidRDefault="002D679B" w:rsidP="002D679B">
      <w:pPr>
        <w:tabs>
          <w:tab w:val="clear" w:pos="794"/>
          <w:tab w:val="clear" w:pos="1191"/>
          <w:tab w:val="clear" w:pos="1588"/>
          <w:tab w:val="clear" w:pos="1985"/>
          <w:tab w:val="left" w:pos="397"/>
        </w:tabs>
        <w:spacing w:before="0"/>
        <w:rPr>
          <w:i/>
          <w:sz w:val="20"/>
        </w:rPr>
      </w:pPr>
      <w:r w:rsidRPr="002D679B">
        <w:rPr>
          <w:i/>
          <w:sz w:val="20"/>
        </w:rPr>
        <w:tab/>
        <w:t>Note 1. – Les dispositions de 3.1.3.3.1, 3.1.3.3.2.1, 3.1.3.3.2.2 et 3.1.3.3.2.3 ci-dessus sont fondées sur l'hypothèse que l'aéronef se dirige vers le radiophare.</w:t>
      </w:r>
    </w:p>
    <w:p w:rsidR="002D679B" w:rsidRPr="002D679B" w:rsidRDefault="002D679B" w:rsidP="0045207C">
      <w:pPr>
        <w:tabs>
          <w:tab w:val="clear" w:pos="794"/>
          <w:tab w:val="clear" w:pos="1191"/>
          <w:tab w:val="clear" w:pos="1588"/>
          <w:tab w:val="clear" w:pos="1985"/>
          <w:tab w:val="left" w:pos="397"/>
        </w:tabs>
        <w:spacing w:before="136"/>
        <w:rPr>
          <w:sz w:val="12"/>
        </w:rPr>
      </w:pPr>
      <w:r w:rsidRPr="002D679B">
        <w:rPr>
          <w:i/>
          <w:sz w:val="20"/>
        </w:rPr>
        <w:tab/>
        <w:t>Note 2. – Les paragraphes 2.2.2 et 2.2.4 du Supplément C à la 1ère Partie fournissent des éléments indicatifs sur les paramètres des récepteurs de bord importants du point de vue de la couverture des radiophares d'alignement de piste.</w:t>
      </w:r>
    </w:p>
    <w:p w:rsidR="002D679B" w:rsidRPr="002D679B" w:rsidRDefault="002D679B" w:rsidP="002D679B">
      <w:pPr>
        <w:tabs>
          <w:tab w:val="clear" w:pos="794"/>
          <w:tab w:val="clear" w:pos="1191"/>
          <w:tab w:val="clear" w:pos="1588"/>
          <w:tab w:val="clear" w:pos="1985"/>
          <w:tab w:val="left" w:pos="397"/>
        </w:tabs>
        <w:spacing w:before="136"/>
        <w:rPr>
          <w:sz w:val="20"/>
        </w:rPr>
      </w:pPr>
      <w:r w:rsidRPr="002D679B">
        <w:rPr>
          <w:sz w:val="20"/>
        </w:rPr>
        <w:tab/>
        <w:t>3.1.3.3.4   Lorsque la couverture est réalisée par un radiophare d'alignement de piste utilisant deux fréquences porteuses, l'une produisant un diagramme de rayonnement dans le secteur d'alignement avant et l'autre produisant un diagramme de rayonnement en dehors de ce secteur, le rapport des niveaux des signaux des deux porteuses dans l'espace, à l'intérieur du secteur d'alignement avant, jusqu'aux limites de couverture spécifiées en 3.1.3.3.1 ci-dessus, sera au moins égal à 10 dB.»</w:t>
      </w:r>
    </w:p>
    <w:p w:rsidR="0045207C" w:rsidRDefault="0045207C" w:rsidP="002D679B">
      <w:pPr>
        <w:spacing w:before="136"/>
        <w:rPr>
          <w:sz w:val="12"/>
        </w:rPr>
        <w:sectPr w:rsidR="0045207C" w:rsidSect="00F62DEE">
          <w:headerReference w:type="default" r:id="rId40"/>
          <w:footnotePr>
            <w:pos w:val="beneathText"/>
          </w:footnotePr>
          <w:type w:val="continuous"/>
          <w:pgSz w:w="11913" w:h="16834" w:code="9"/>
          <w:pgMar w:top="1418" w:right="1134" w:bottom="1134" w:left="1134" w:header="720" w:footer="482" w:gutter="0"/>
          <w:paperSrc w:first="15" w:other="15"/>
          <w:cols w:num="2" w:space="720"/>
          <w:titlePg/>
          <w:docGrid w:linePitch="272"/>
        </w:sectPr>
      </w:pPr>
    </w:p>
    <w:p w:rsidR="0045207C" w:rsidRPr="002D679B" w:rsidRDefault="0045207C" w:rsidP="002D679B">
      <w:pPr>
        <w:spacing w:before="136"/>
        <w:rPr>
          <w:sz w:val="12"/>
        </w:rPr>
      </w:pPr>
    </w:p>
    <w:p w:rsidR="0045207C" w:rsidRDefault="002D679B" w:rsidP="00F62DEE">
      <w:pPr>
        <w:keepNext/>
        <w:keepLines/>
        <w:spacing w:before="136"/>
        <w:rPr>
          <w:sz w:val="20"/>
        </w:rPr>
      </w:pPr>
      <w:r w:rsidRPr="002D679B">
        <w:rPr>
          <w:sz w:val="20"/>
        </w:rPr>
        <w:t>L'extrait suivant concerne les radiophares équidirectifs en ondes métriques (VOR):</w:t>
      </w:r>
    </w:p>
    <w:p w:rsidR="00F62DEE" w:rsidRDefault="00F62DEE" w:rsidP="002D679B">
      <w:pPr>
        <w:keepNext/>
        <w:keepLines/>
        <w:tabs>
          <w:tab w:val="clear" w:pos="1191"/>
          <w:tab w:val="clear" w:pos="1588"/>
          <w:tab w:val="clear" w:pos="1985"/>
        </w:tabs>
        <w:spacing w:before="181"/>
        <w:ind w:left="794" w:hanging="794"/>
        <w:jc w:val="center"/>
        <w:outlineLvl w:val="2"/>
        <w:rPr>
          <w:sz w:val="20"/>
        </w:rPr>
        <w:sectPr w:rsidR="00F62DEE" w:rsidSect="0045207C">
          <w:footnotePr>
            <w:pos w:val="beneathText"/>
          </w:footnotePr>
          <w:type w:val="continuous"/>
          <w:pgSz w:w="11913" w:h="16834" w:code="9"/>
          <w:pgMar w:top="1089" w:right="1089" w:bottom="1089" w:left="1089" w:header="482" w:footer="482" w:gutter="0"/>
          <w:paperSrc w:first="15" w:other="15"/>
          <w:cols w:space="720"/>
          <w:titlePg/>
          <w:docGrid w:linePitch="272"/>
        </w:sectPr>
      </w:pPr>
    </w:p>
    <w:p w:rsidR="002D679B" w:rsidRPr="002D679B" w:rsidRDefault="002D679B" w:rsidP="002D679B">
      <w:pPr>
        <w:keepNext/>
        <w:keepLines/>
        <w:tabs>
          <w:tab w:val="clear" w:pos="1191"/>
          <w:tab w:val="clear" w:pos="1588"/>
          <w:tab w:val="clear" w:pos="1985"/>
        </w:tabs>
        <w:spacing w:before="181"/>
        <w:ind w:left="794" w:hanging="794"/>
        <w:jc w:val="center"/>
        <w:outlineLvl w:val="2"/>
        <w:rPr>
          <w:sz w:val="20"/>
        </w:rPr>
      </w:pPr>
      <w:r w:rsidRPr="002D679B">
        <w:rPr>
          <w:sz w:val="20"/>
        </w:rPr>
        <w:t>«3.3.3. – Polarisation et degré de précision</w:t>
      </w:r>
    </w:p>
    <w:p w:rsidR="002D679B" w:rsidRPr="002D679B" w:rsidRDefault="002D679B" w:rsidP="002D679B">
      <w:pPr>
        <w:tabs>
          <w:tab w:val="clear" w:pos="794"/>
          <w:tab w:val="clear" w:pos="1191"/>
          <w:tab w:val="clear" w:pos="1588"/>
          <w:tab w:val="clear" w:pos="1985"/>
          <w:tab w:val="left" w:pos="397"/>
        </w:tabs>
        <w:spacing w:before="136"/>
        <w:rPr>
          <w:sz w:val="20"/>
        </w:rPr>
      </w:pPr>
      <w:r w:rsidRPr="002D679B">
        <w:rPr>
          <w:sz w:val="20"/>
        </w:rPr>
        <w:tab/>
        <w:t>3.3.3.1   Les émissions du VOR seront polarisées horizontalement; la composante polarisée verticalement sera aussi faible que possible.</w:t>
      </w:r>
    </w:p>
    <w:p w:rsidR="002D679B" w:rsidRPr="002D679B" w:rsidRDefault="002D679B" w:rsidP="002D679B">
      <w:pPr>
        <w:tabs>
          <w:tab w:val="clear" w:pos="794"/>
          <w:tab w:val="clear" w:pos="1191"/>
          <w:tab w:val="clear" w:pos="1588"/>
          <w:tab w:val="clear" w:pos="1985"/>
          <w:tab w:val="left" w:pos="397"/>
        </w:tabs>
        <w:spacing w:before="80"/>
        <w:rPr>
          <w:sz w:val="20"/>
        </w:rPr>
      </w:pPr>
      <w:r w:rsidRPr="002D679B">
        <w:rPr>
          <w:i/>
          <w:sz w:val="20"/>
        </w:rPr>
        <w:tab/>
        <w:t xml:space="preserve">Note. – Il n'est pas possible actuellement de spécifier quantitativement la valeur maximale admissible de la composante polarisée verticalement du rayonnement du VOR. (Des renseignements sont donnés au Doc 8071 – </w:t>
      </w:r>
      <w:r w:rsidRPr="002D679B">
        <w:rPr>
          <w:sz w:val="20"/>
        </w:rPr>
        <w:t>Manuel sur la vérification des aides radio à la navigation</w:t>
      </w:r>
      <w:r w:rsidRPr="002D679B">
        <w:rPr>
          <w:i/>
          <w:sz w:val="20"/>
        </w:rPr>
        <w:t xml:space="preserve"> – sur les possibilités de déterminer, par des essais en vol, l'influence de la polarisation verticale sur la précision des relèvements.)</w:t>
      </w:r>
    </w:p>
    <w:p w:rsidR="00F62DEE" w:rsidRDefault="002D679B" w:rsidP="00F62DEE">
      <w:pPr>
        <w:tabs>
          <w:tab w:val="clear" w:pos="794"/>
          <w:tab w:val="clear" w:pos="1191"/>
          <w:tab w:val="clear" w:pos="1588"/>
          <w:tab w:val="clear" w:pos="1985"/>
          <w:tab w:val="left" w:pos="397"/>
        </w:tabs>
        <w:spacing w:before="136"/>
        <w:rPr>
          <w:sz w:val="20"/>
        </w:rPr>
      </w:pPr>
      <w:r w:rsidRPr="002D679B">
        <w:rPr>
          <w:sz w:val="20"/>
        </w:rPr>
        <w:tab/>
        <w:t xml:space="preserve">3.3.3.2   La précision des relèvements fournis par la composante du champ du VOR polarisée horizontalement, à une distance d'environ 4 longueurs </w:t>
      </w:r>
    </w:p>
    <w:p w:rsidR="00F62DEE" w:rsidRDefault="00F62DEE" w:rsidP="00F62DEE">
      <w:pPr>
        <w:tabs>
          <w:tab w:val="clear" w:pos="794"/>
          <w:tab w:val="clear" w:pos="1191"/>
          <w:tab w:val="clear" w:pos="1588"/>
          <w:tab w:val="clear" w:pos="1985"/>
          <w:tab w:val="left" w:pos="397"/>
        </w:tabs>
        <w:spacing w:before="136"/>
        <w:rPr>
          <w:sz w:val="20"/>
        </w:rPr>
      </w:pPr>
    </w:p>
    <w:p w:rsidR="00F62DEE" w:rsidRDefault="00F62DEE" w:rsidP="00F62DEE">
      <w:pPr>
        <w:tabs>
          <w:tab w:val="clear" w:pos="794"/>
          <w:tab w:val="clear" w:pos="1191"/>
          <w:tab w:val="clear" w:pos="1588"/>
          <w:tab w:val="clear" w:pos="1985"/>
          <w:tab w:val="left" w:pos="397"/>
        </w:tabs>
        <w:spacing w:before="136"/>
        <w:rPr>
          <w:sz w:val="20"/>
        </w:rPr>
      </w:pPr>
    </w:p>
    <w:p w:rsidR="002D679B" w:rsidRPr="002D679B" w:rsidRDefault="002D679B" w:rsidP="00F62DEE">
      <w:pPr>
        <w:tabs>
          <w:tab w:val="clear" w:pos="794"/>
          <w:tab w:val="clear" w:pos="1191"/>
          <w:tab w:val="clear" w:pos="1588"/>
          <w:tab w:val="clear" w:pos="1985"/>
          <w:tab w:val="left" w:pos="397"/>
        </w:tabs>
        <w:spacing w:before="136"/>
        <w:rPr>
          <w:sz w:val="20"/>
        </w:rPr>
      </w:pPr>
      <w:r w:rsidRPr="002D679B">
        <w:rPr>
          <w:sz w:val="20"/>
        </w:rPr>
        <w:t xml:space="preserve">d'onde, sera égale à </w:t>
      </w:r>
      <w:r w:rsidRPr="002D679B">
        <w:rPr>
          <w:rFonts w:ascii="Symbol" w:hAnsi="Symbol"/>
          <w:sz w:val="20"/>
          <w:lang w:val="en-GB"/>
        </w:rPr>
        <w:t></w:t>
      </w:r>
      <w:r w:rsidRPr="002D679B">
        <w:rPr>
          <w:sz w:val="20"/>
        </w:rPr>
        <w:t> 2</w:t>
      </w:r>
      <w:r w:rsidRPr="002D679B">
        <w:rPr>
          <w:rFonts w:ascii="Symbol" w:hAnsi="Symbol"/>
          <w:sz w:val="20"/>
          <w:lang w:val="en-GB"/>
        </w:rPr>
        <w:t></w:t>
      </w:r>
      <w:r w:rsidRPr="002D679B">
        <w:rPr>
          <w:sz w:val="20"/>
        </w:rPr>
        <w:t xml:space="preserve"> pour tous les angles de site compris entre 0 et 40</w:t>
      </w:r>
      <w:r w:rsidRPr="002D679B">
        <w:rPr>
          <w:rFonts w:ascii="Symbol" w:hAnsi="Symbol"/>
          <w:sz w:val="20"/>
          <w:lang w:val="en-GB"/>
        </w:rPr>
        <w:t></w:t>
      </w:r>
      <w:r w:rsidRPr="002D679B">
        <w:rPr>
          <w:sz w:val="20"/>
        </w:rPr>
        <w:t>, ceux-ci étant mesurés à partir du centre du réseau d'antennes du VOR.</w:t>
      </w:r>
    </w:p>
    <w:p w:rsidR="002D679B" w:rsidRPr="00B45125" w:rsidRDefault="002D679B" w:rsidP="002D679B">
      <w:pPr>
        <w:keepNext/>
        <w:keepLines/>
        <w:tabs>
          <w:tab w:val="clear" w:pos="1191"/>
          <w:tab w:val="clear" w:pos="1588"/>
          <w:tab w:val="clear" w:pos="1985"/>
        </w:tabs>
        <w:spacing w:before="181"/>
        <w:ind w:left="794" w:hanging="794"/>
        <w:jc w:val="center"/>
        <w:outlineLvl w:val="2"/>
        <w:rPr>
          <w:i/>
          <w:iCs/>
          <w:sz w:val="20"/>
        </w:rPr>
      </w:pPr>
      <w:r w:rsidRPr="00B45125">
        <w:rPr>
          <w:i/>
          <w:iCs/>
          <w:sz w:val="20"/>
        </w:rPr>
        <w:t>3.3.4. – Couverture</w:t>
      </w:r>
    </w:p>
    <w:p w:rsidR="002D679B" w:rsidRPr="002D679B" w:rsidRDefault="002D679B" w:rsidP="002D679B">
      <w:pPr>
        <w:tabs>
          <w:tab w:val="clear" w:pos="794"/>
          <w:tab w:val="clear" w:pos="1191"/>
          <w:tab w:val="clear" w:pos="1588"/>
          <w:tab w:val="clear" w:pos="1985"/>
          <w:tab w:val="left" w:pos="397"/>
        </w:tabs>
        <w:spacing w:before="136"/>
        <w:rPr>
          <w:sz w:val="20"/>
        </w:rPr>
      </w:pPr>
      <w:r w:rsidRPr="002D679B">
        <w:rPr>
          <w:sz w:val="20"/>
        </w:rPr>
        <w:tab/>
        <w:t>3.3.4.1   Les VOR émettront des signaux d'une intensité suffisante pour qu'une installation type d'aéronef puisse fonctionner de façon satisfaisante jusqu'aux niveaux et distances qui sont nécessaires pour des raisons opérationnelles, et pour un angle de site allant jusqu'à 40</w:t>
      </w:r>
      <w:r w:rsidRPr="002D679B">
        <w:rPr>
          <w:rFonts w:ascii="Symbol" w:hAnsi="Symbol"/>
          <w:sz w:val="20"/>
          <w:lang w:val="en-GB"/>
        </w:rPr>
        <w:t></w:t>
      </w:r>
      <w:r w:rsidRPr="002D679B">
        <w:rPr>
          <w:sz w:val="20"/>
        </w:rPr>
        <w:t>.</w:t>
      </w:r>
    </w:p>
    <w:p w:rsidR="002D679B" w:rsidRPr="002D679B" w:rsidRDefault="002D679B" w:rsidP="002D679B">
      <w:pPr>
        <w:tabs>
          <w:tab w:val="clear" w:pos="794"/>
          <w:tab w:val="clear" w:pos="1191"/>
          <w:tab w:val="clear" w:pos="1588"/>
          <w:tab w:val="clear" w:pos="1985"/>
          <w:tab w:val="left" w:pos="397"/>
        </w:tabs>
        <w:spacing w:before="136"/>
        <w:rPr>
          <w:sz w:val="20"/>
        </w:rPr>
      </w:pPr>
      <w:r w:rsidRPr="002D679B">
        <w:rPr>
          <w:b/>
          <w:sz w:val="20"/>
        </w:rPr>
        <w:tab/>
      </w:r>
      <w:r w:rsidRPr="002D679B">
        <w:rPr>
          <w:sz w:val="20"/>
        </w:rPr>
        <w:t>3.3.4.2</w:t>
      </w:r>
      <w:r w:rsidRPr="002D679B">
        <w:rPr>
          <w:b/>
          <w:sz w:val="20"/>
        </w:rPr>
        <w:t xml:space="preserve">   Recommandation. </w:t>
      </w:r>
      <w:r w:rsidRPr="002D679B">
        <w:rPr>
          <w:b/>
          <w:i/>
          <w:sz w:val="20"/>
        </w:rPr>
        <w:t xml:space="preserve">– </w:t>
      </w:r>
      <w:r w:rsidRPr="002D679B">
        <w:rPr>
          <w:i/>
          <w:sz w:val="20"/>
        </w:rPr>
        <w:t xml:space="preserve">Il est recommandé que l'intensité de champ ou la densité de puissance dans l'espace des signaux VOR nécessaires pour qu'une installation type d'aéronef puisse fonctionner de façon satisfaisante à l'altitude utile minimale et à la distance utile maximale spécifiée soit de 90 </w:t>
      </w:r>
      <w:r w:rsidRPr="002D679B">
        <w:rPr>
          <w:rFonts w:ascii="Symbol" w:hAnsi="Symbol"/>
          <w:i/>
          <w:sz w:val="20"/>
        </w:rPr>
        <w:t></w:t>
      </w:r>
      <w:r w:rsidRPr="002D679B">
        <w:rPr>
          <w:i/>
          <w:sz w:val="20"/>
        </w:rPr>
        <w:t xml:space="preserve">V/m ou </w:t>
      </w:r>
      <w:r w:rsidRPr="002D679B">
        <w:rPr>
          <w:rFonts w:ascii="Symbol" w:hAnsi="Symbol"/>
          <w:i/>
          <w:sz w:val="20"/>
        </w:rPr>
        <w:noBreakHyphen/>
      </w:r>
      <w:r w:rsidRPr="002D679B">
        <w:rPr>
          <w:i/>
          <w:sz w:val="20"/>
        </w:rPr>
        <w:t>107 dBW/m</w:t>
      </w:r>
      <w:r w:rsidRPr="002D679B">
        <w:rPr>
          <w:i/>
          <w:position w:val="6"/>
          <w:sz w:val="16"/>
        </w:rPr>
        <w:t>2</w:t>
      </w:r>
      <w:r w:rsidRPr="002D679B">
        <w:rPr>
          <w:i/>
          <w:sz w:val="20"/>
        </w:rPr>
        <w:t>.</w:t>
      </w:r>
      <w:r w:rsidRPr="002D679B">
        <w:rPr>
          <w:sz w:val="20"/>
        </w:rPr>
        <w:t>»</w:t>
      </w:r>
    </w:p>
    <w:p w:rsidR="0045207C" w:rsidRDefault="0045207C" w:rsidP="004404F1">
      <w:pPr>
        <w:tabs>
          <w:tab w:val="clear" w:pos="794"/>
          <w:tab w:val="clear" w:pos="1191"/>
          <w:tab w:val="clear" w:pos="1588"/>
          <w:tab w:val="clear" w:pos="1985"/>
          <w:tab w:val="center" w:pos="4849"/>
          <w:tab w:val="right" w:pos="9696"/>
        </w:tabs>
        <w:spacing w:before="0" w:after="68"/>
        <w:jc w:val="center"/>
        <w:rPr>
          <w:sz w:val="20"/>
        </w:rPr>
        <w:sectPr w:rsidR="0045207C" w:rsidSect="0045207C">
          <w:footnotePr>
            <w:pos w:val="beneathText"/>
          </w:footnotePr>
          <w:type w:val="continuous"/>
          <w:pgSz w:w="11913" w:h="16834" w:code="9"/>
          <w:pgMar w:top="1418" w:right="1134" w:bottom="1134" w:left="1134" w:header="720" w:footer="482" w:gutter="0"/>
          <w:paperSrc w:first="15" w:other="15"/>
          <w:cols w:num="2" w:space="720"/>
          <w:titlePg/>
          <w:docGrid w:linePitch="272"/>
        </w:sectPr>
      </w:pPr>
    </w:p>
    <w:p w:rsidR="0045207C" w:rsidRDefault="0045207C" w:rsidP="004404F1">
      <w:pPr>
        <w:tabs>
          <w:tab w:val="clear" w:pos="794"/>
          <w:tab w:val="clear" w:pos="1191"/>
          <w:tab w:val="clear" w:pos="1588"/>
          <w:tab w:val="clear" w:pos="1985"/>
          <w:tab w:val="center" w:pos="4849"/>
          <w:tab w:val="right" w:pos="9696"/>
        </w:tabs>
        <w:spacing w:before="0" w:after="68"/>
        <w:jc w:val="center"/>
        <w:rPr>
          <w:sz w:val="20"/>
        </w:rPr>
      </w:pPr>
    </w:p>
    <w:p w:rsidR="0045207C" w:rsidRDefault="0045207C" w:rsidP="004404F1">
      <w:pPr>
        <w:tabs>
          <w:tab w:val="clear" w:pos="794"/>
          <w:tab w:val="clear" w:pos="1191"/>
          <w:tab w:val="clear" w:pos="1588"/>
          <w:tab w:val="clear" w:pos="1985"/>
          <w:tab w:val="center" w:pos="4849"/>
          <w:tab w:val="right" w:pos="9696"/>
        </w:tabs>
        <w:spacing w:before="0" w:after="68"/>
        <w:jc w:val="center"/>
        <w:rPr>
          <w:sz w:val="20"/>
        </w:rPr>
      </w:pPr>
    </w:p>
    <w:p w:rsidR="002D679B" w:rsidRPr="00EE5FBE" w:rsidRDefault="002D679B" w:rsidP="00B2696D">
      <w:pPr>
        <w:pStyle w:val="Annex"/>
        <w:rPr>
          <w:lang w:val="fr-CH"/>
        </w:rPr>
      </w:pPr>
      <w:r w:rsidRPr="00EE5FBE">
        <w:rPr>
          <w:lang w:val="fr-CH"/>
        </w:rPr>
        <w:t>ANNEXE  2</w:t>
      </w:r>
    </w:p>
    <w:p w:rsidR="002D679B" w:rsidRPr="00EE5FBE" w:rsidRDefault="002D679B" w:rsidP="00B2696D">
      <w:pPr>
        <w:pStyle w:val="AnnexTitle"/>
        <w:rPr>
          <w:lang w:val="fr-CH"/>
        </w:rPr>
      </w:pPr>
      <w:r w:rsidRPr="00EE5FBE">
        <w:rPr>
          <w:lang w:val="fr-CH"/>
        </w:rPr>
        <w:t>Méthode générale d'évaluation</w:t>
      </w:r>
    </w:p>
    <w:p w:rsidR="002D679B" w:rsidRPr="002D679B" w:rsidRDefault="002D679B" w:rsidP="002D679B">
      <w:pPr>
        <w:spacing w:before="136"/>
        <w:jc w:val="center"/>
        <w:rPr>
          <w:sz w:val="20"/>
        </w:rPr>
      </w:pPr>
      <w:r w:rsidRPr="002D679B">
        <w:rPr>
          <w:sz w:val="20"/>
        </w:rPr>
        <w:t>TABLE  DES  MATIÈRES</w:t>
      </w:r>
    </w:p>
    <w:p w:rsidR="002D679B" w:rsidRPr="00EE5FBE" w:rsidRDefault="00EE5FBE" w:rsidP="00EE5FBE">
      <w:pPr>
        <w:pStyle w:val="toc0"/>
        <w:rPr>
          <w:sz w:val="20"/>
        </w:rPr>
      </w:pPr>
      <w:r>
        <w:rPr>
          <w:sz w:val="20"/>
        </w:rPr>
        <w:tab/>
      </w:r>
      <w:r w:rsidR="002D679B" w:rsidRPr="00EE5FBE">
        <w:rPr>
          <w:sz w:val="20"/>
        </w:rPr>
        <w:t>Page</w:t>
      </w:r>
    </w:p>
    <w:p w:rsidR="00EE5FBE" w:rsidRPr="00DB496D" w:rsidRDefault="00EE5FBE" w:rsidP="00DB496D">
      <w:pPr>
        <w:pStyle w:val="TOC1"/>
        <w:jc w:val="left"/>
        <w:rPr>
          <w:rFonts w:eastAsiaTheme="minorEastAsia"/>
          <w:sz w:val="20"/>
          <w:lang w:val="fr-CH"/>
        </w:rPr>
      </w:pPr>
      <w:r w:rsidRPr="00DB496D">
        <w:rPr>
          <w:sz w:val="20"/>
          <w:lang w:val="fr-CH"/>
        </w:rPr>
        <w:t>1</w:t>
      </w:r>
      <w:r w:rsidRPr="00DB496D">
        <w:rPr>
          <w:rFonts w:eastAsiaTheme="minorEastAsia"/>
          <w:sz w:val="20"/>
          <w:lang w:val="fr-CH"/>
        </w:rPr>
        <w:tab/>
      </w:r>
      <w:r w:rsidRPr="00DB496D">
        <w:rPr>
          <w:sz w:val="20"/>
          <w:lang w:val="fr-CH"/>
        </w:rPr>
        <w:t>Introduction</w:t>
      </w:r>
      <w:r w:rsidR="00DB496D" w:rsidRPr="00DB496D">
        <w:rPr>
          <w:sz w:val="20"/>
          <w:lang w:val="fr-CH"/>
        </w:rPr>
        <w:t xml:space="preserve"> </w:t>
      </w:r>
      <w:r w:rsidR="00DB496D" w:rsidRPr="00DB496D">
        <w:rPr>
          <w:sz w:val="20"/>
          <w:lang w:val="fr-CH"/>
        </w:rPr>
        <w:tab/>
      </w:r>
      <w:r w:rsidR="00DB496D" w:rsidRPr="00DB496D">
        <w:rPr>
          <w:sz w:val="20"/>
          <w:lang w:val="fr-CH"/>
        </w:rPr>
        <w:tab/>
      </w:r>
      <w:r w:rsidRPr="00DB496D">
        <w:rPr>
          <w:webHidden/>
          <w:sz w:val="20"/>
          <w:lang w:val="fr-CH"/>
        </w:rPr>
        <w:t>19</w:t>
      </w:r>
    </w:p>
    <w:p w:rsidR="00EE5FBE" w:rsidRPr="00DB496D" w:rsidRDefault="00EE5FBE" w:rsidP="00DB496D">
      <w:pPr>
        <w:pStyle w:val="TOC1"/>
        <w:rPr>
          <w:rFonts w:eastAsiaTheme="minorEastAsia"/>
          <w:sz w:val="20"/>
          <w:lang w:val="fr-CH"/>
        </w:rPr>
      </w:pPr>
      <w:r w:rsidRPr="00DB496D">
        <w:rPr>
          <w:sz w:val="20"/>
          <w:lang w:val="fr-CH"/>
        </w:rPr>
        <w:t>2</w:t>
      </w:r>
      <w:r w:rsidRPr="00DB496D">
        <w:rPr>
          <w:rFonts w:eastAsiaTheme="minorEastAsia"/>
          <w:sz w:val="20"/>
          <w:lang w:val="fr-CH"/>
        </w:rPr>
        <w:tab/>
      </w:r>
      <w:r w:rsidRPr="00DB496D">
        <w:rPr>
          <w:sz w:val="20"/>
          <w:lang w:val="fr-CH"/>
        </w:rPr>
        <w:t>Emplacement et hauteur des points de mesure ILS et VOR</w:t>
      </w:r>
      <w:r w:rsidR="00DB496D" w:rsidRPr="00DB496D">
        <w:rPr>
          <w:sz w:val="20"/>
          <w:lang w:val="fr-CH"/>
        </w:rPr>
        <w:t xml:space="preserve">  </w:t>
      </w:r>
      <w:r w:rsidR="00DB496D" w:rsidRPr="00DB496D">
        <w:rPr>
          <w:sz w:val="20"/>
          <w:lang w:val="fr-CH"/>
        </w:rPr>
        <w:tab/>
      </w:r>
      <w:r w:rsidR="00DB496D" w:rsidRPr="00DB496D">
        <w:rPr>
          <w:sz w:val="20"/>
          <w:lang w:val="fr-CH"/>
        </w:rPr>
        <w:tab/>
        <w:t>20</w:t>
      </w:r>
    </w:p>
    <w:p w:rsidR="00EE5FBE" w:rsidRPr="00DB496D" w:rsidRDefault="00EE5FBE" w:rsidP="00DB496D">
      <w:pPr>
        <w:pStyle w:val="TOC1"/>
        <w:rPr>
          <w:rFonts w:eastAsiaTheme="minorEastAsia"/>
          <w:sz w:val="20"/>
          <w:lang w:val="fr-CH"/>
        </w:rPr>
      </w:pPr>
      <w:r w:rsidRPr="00DB496D">
        <w:rPr>
          <w:sz w:val="20"/>
          <w:lang w:val="fr-CH"/>
        </w:rPr>
        <w:t>3</w:t>
      </w:r>
      <w:r w:rsidRPr="00DB496D">
        <w:rPr>
          <w:rFonts w:eastAsiaTheme="minorEastAsia"/>
          <w:sz w:val="20"/>
          <w:lang w:val="fr-CH"/>
        </w:rPr>
        <w:tab/>
      </w:r>
      <w:r w:rsidRPr="00DB496D">
        <w:rPr>
          <w:sz w:val="20"/>
          <w:lang w:val="fr-CH"/>
        </w:rPr>
        <w:t>Application de la méthode d'évaluation générale</w:t>
      </w:r>
      <w:r w:rsidR="00DB496D" w:rsidRPr="00DB496D">
        <w:rPr>
          <w:sz w:val="20"/>
          <w:lang w:val="fr-CH"/>
        </w:rPr>
        <w:t xml:space="preserve">  </w:t>
      </w:r>
      <w:r w:rsidR="00DB496D" w:rsidRPr="00DB496D">
        <w:rPr>
          <w:sz w:val="20"/>
          <w:lang w:val="fr-CH"/>
        </w:rPr>
        <w:tab/>
      </w:r>
      <w:r w:rsidR="00DB496D" w:rsidRPr="00DB496D">
        <w:rPr>
          <w:sz w:val="20"/>
          <w:lang w:val="fr-CH"/>
        </w:rPr>
        <w:tab/>
      </w:r>
      <w:r w:rsidR="00DB496D" w:rsidRPr="00DB496D">
        <w:rPr>
          <w:webHidden/>
          <w:sz w:val="20"/>
          <w:lang w:val="fr-CH"/>
        </w:rPr>
        <w:t>23</w:t>
      </w:r>
    </w:p>
    <w:p w:rsidR="00EE5FBE" w:rsidRPr="00DB496D" w:rsidRDefault="00EE5FBE" w:rsidP="00DB496D">
      <w:pPr>
        <w:pStyle w:val="TOC1"/>
        <w:rPr>
          <w:rFonts w:eastAsiaTheme="minorEastAsia"/>
          <w:sz w:val="20"/>
          <w:lang w:val="fr-CH"/>
        </w:rPr>
      </w:pPr>
      <w:r w:rsidRPr="00DB496D">
        <w:rPr>
          <w:sz w:val="20"/>
          <w:lang w:val="fr-CH"/>
        </w:rPr>
        <w:t>4</w:t>
      </w:r>
      <w:r w:rsidRPr="00DB496D">
        <w:rPr>
          <w:rFonts w:eastAsiaTheme="minorEastAsia"/>
          <w:sz w:val="20"/>
          <w:lang w:val="fr-CH"/>
        </w:rPr>
        <w:tab/>
      </w:r>
      <w:r w:rsidRPr="00DB496D">
        <w:rPr>
          <w:sz w:val="20"/>
          <w:lang w:val="fr-CH"/>
        </w:rPr>
        <w:t>Corrections d'antenne des stations de radiodiffusion</w:t>
      </w:r>
      <w:r w:rsidR="00DB496D" w:rsidRPr="00DB496D">
        <w:rPr>
          <w:sz w:val="20"/>
          <w:lang w:val="fr-CH"/>
        </w:rPr>
        <w:t xml:space="preserve"> </w:t>
      </w:r>
      <w:r w:rsidR="00DB496D" w:rsidRPr="00DB496D">
        <w:rPr>
          <w:sz w:val="20"/>
          <w:lang w:val="fr-CH"/>
        </w:rPr>
        <w:tab/>
      </w:r>
      <w:r w:rsidR="00DB496D" w:rsidRPr="00DB496D">
        <w:rPr>
          <w:sz w:val="20"/>
          <w:lang w:val="fr-CH"/>
        </w:rPr>
        <w:tab/>
      </w:r>
      <w:r w:rsidR="00DB496D" w:rsidRPr="00DB496D">
        <w:rPr>
          <w:webHidden/>
          <w:sz w:val="20"/>
          <w:lang w:val="fr-CH"/>
        </w:rPr>
        <w:t>27</w:t>
      </w:r>
    </w:p>
    <w:p w:rsidR="00EE5FBE" w:rsidRPr="00DB496D" w:rsidRDefault="00EE5FBE" w:rsidP="00DB496D">
      <w:pPr>
        <w:pStyle w:val="TOC1"/>
        <w:rPr>
          <w:rFonts w:eastAsiaTheme="minorEastAsia"/>
          <w:sz w:val="20"/>
          <w:lang w:val="fr-CH"/>
        </w:rPr>
      </w:pPr>
      <w:r w:rsidRPr="00DB496D">
        <w:rPr>
          <w:sz w:val="20"/>
          <w:lang w:val="fr-CH"/>
        </w:rPr>
        <w:t>A</w:t>
      </w:r>
      <w:r w:rsidR="00B45125" w:rsidRPr="00DB496D">
        <w:rPr>
          <w:sz w:val="20"/>
          <w:lang w:val="fr-CH"/>
        </w:rPr>
        <w:t xml:space="preserve">ppendice </w:t>
      </w:r>
      <w:r w:rsidRPr="00DB496D">
        <w:rPr>
          <w:sz w:val="20"/>
          <w:lang w:val="fr-CH"/>
        </w:rPr>
        <w:t>1</w:t>
      </w:r>
      <w:r w:rsidR="00DD6628" w:rsidRPr="00DB496D">
        <w:rPr>
          <w:sz w:val="20"/>
          <w:lang w:val="fr-CH"/>
        </w:rPr>
        <w:t xml:space="preserve"> – Emplacement des points de mesure à probabilité maximale de brouillage</w:t>
      </w:r>
      <w:r w:rsidR="00DB496D" w:rsidRPr="00DB496D">
        <w:rPr>
          <w:sz w:val="20"/>
          <w:lang w:val="fr-CH"/>
        </w:rPr>
        <w:t xml:space="preserve"> </w:t>
      </w:r>
      <w:r w:rsidR="00DB496D" w:rsidRPr="00DB496D">
        <w:rPr>
          <w:sz w:val="20"/>
          <w:lang w:val="fr-CH"/>
        </w:rPr>
        <w:tab/>
      </w:r>
      <w:r w:rsidR="00DB496D" w:rsidRPr="00DB496D">
        <w:rPr>
          <w:sz w:val="20"/>
          <w:lang w:val="fr-CH"/>
        </w:rPr>
        <w:tab/>
      </w:r>
      <w:r w:rsidR="00DB496D" w:rsidRPr="00DB496D">
        <w:rPr>
          <w:webHidden/>
          <w:sz w:val="20"/>
          <w:lang w:val="fr-CH"/>
        </w:rPr>
        <w:t>29</w:t>
      </w:r>
    </w:p>
    <w:p w:rsidR="00EE5FBE" w:rsidRPr="00DB496D" w:rsidRDefault="00EE5FBE" w:rsidP="00DB496D">
      <w:pPr>
        <w:pStyle w:val="TOC1"/>
        <w:rPr>
          <w:rFonts w:eastAsiaTheme="minorEastAsia"/>
          <w:sz w:val="20"/>
          <w:lang w:val="fr-CH"/>
        </w:rPr>
      </w:pPr>
      <w:r w:rsidRPr="00DB496D">
        <w:rPr>
          <w:sz w:val="20"/>
          <w:lang w:val="fr-CH"/>
        </w:rPr>
        <w:t>A</w:t>
      </w:r>
      <w:r w:rsidR="00B45125" w:rsidRPr="00DB496D">
        <w:rPr>
          <w:sz w:val="20"/>
          <w:lang w:val="fr-CH"/>
        </w:rPr>
        <w:t>ppendice</w:t>
      </w:r>
      <w:r w:rsidRPr="00DB496D">
        <w:rPr>
          <w:sz w:val="20"/>
          <w:lang w:val="fr-CH"/>
        </w:rPr>
        <w:t xml:space="preserve"> 2</w:t>
      </w:r>
      <w:r w:rsidR="00DD6628" w:rsidRPr="00DB496D">
        <w:rPr>
          <w:sz w:val="20"/>
          <w:lang w:val="fr-CH"/>
        </w:rPr>
        <w:t xml:space="preserve"> – </w:t>
      </w:r>
      <w:r w:rsidRPr="00DB496D">
        <w:rPr>
          <w:sz w:val="20"/>
          <w:lang w:val="fr-CH"/>
        </w:rPr>
        <w:t>Considérations relatives à l'intensité de champ maximale et à la probabilité maximale de brouillage</w:t>
      </w:r>
      <w:r w:rsidR="00DB496D" w:rsidRPr="00DB496D">
        <w:rPr>
          <w:sz w:val="20"/>
          <w:lang w:val="fr-CH"/>
        </w:rPr>
        <w:t xml:space="preserve"> </w:t>
      </w:r>
      <w:r w:rsidRPr="00DB496D">
        <w:rPr>
          <w:webHidden/>
          <w:sz w:val="20"/>
          <w:lang w:val="fr-CH"/>
        </w:rPr>
        <w:tab/>
      </w:r>
      <w:r w:rsidR="00DB496D" w:rsidRPr="00DB496D">
        <w:rPr>
          <w:webHidden/>
          <w:sz w:val="20"/>
          <w:lang w:val="fr-CH"/>
        </w:rPr>
        <w:tab/>
        <w:t>30</w:t>
      </w:r>
    </w:p>
    <w:p w:rsidR="00EE5FBE" w:rsidRPr="00DB496D" w:rsidRDefault="00EE5FBE" w:rsidP="00DB496D">
      <w:pPr>
        <w:pStyle w:val="TOC1"/>
        <w:rPr>
          <w:rFonts w:eastAsiaTheme="minorEastAsia"/>
          <w:sz w:val="20"/>
          <w:lang w:val="fr-CH"/>
        </w:rPr>
      </w:pPr>
      <w:r w:rsidRPr="00DB496D">
        <w:rPr>
          <w:sz w:val="20"/>
          <w:lang w:val="fr-CH"/>
        </w:rPr>
        <w:t>A</w:t>
      </w:r>
      <w:r w:rsidR="00B45125" w:rsidRPr="00DB496D">
        <w:rPr>
          <w:sz w:val="20"/>
          <w:lang w:val="fr-CH"/>
        </w:rPr>
        <w:t>ppendice</w:t>
      </w:r>
      <w:r w:rsidRPr="00DB496D">
        <w:rPr>
          <w:sz w:val="20"/>
          <w:lang w:val="fr-CH"/>
        </w:rPr>
        <w:t xml:space="preserve"> 3</w:t>
      </w:r>
      <w:r w:rsidR="00DD6628" w:rsidRPr="00DB496D">
        <w:rPr>
          <w:webHidden/>
          <w:sz w:val="20"/>
          <w:lang w:val="fr-CH"/>
        </w:rPr>
        <w:t xml:space="preserve"> – </w:t>
      </w:r>
      <w:r w:rsidRPr="00DB496D">
        <w:rPr>
          <w:sz w:val="20"/>
          <w:lang w:val="fr-CH"/>
        </w:rPr>
        <w:t>Prédiction de l'intensité de champ ILS au moyen de la géométrie à deux rayons</w:t>
      </w:r>
      <w:r w:rsidR="00DB496D" w:rsidRPr="00DB496D">
        <w:rPr>
          <w:sz w:val="20"/>
          <w:lang w:val="fr-CH"/>
        </w:rPr>
        <w:t xml:space="preserve"> </w:t>
      </w:r>
      <w:r w:rsidRPr="00DB496D">
        <w:rPr>
          <w:webHidden/>
          <w:sz w:val="20"/>
          <w:lang w:val="fr-CH"/>
        </w:rPr>
        <w:tab/>
      </w:r>
      <w:r w:rsidR="00DB496D" w:rsidRPr="00DB496D">
        <w:rPr>
          <w:webHidden/>
          <w:sz w:val="20"/>
          <w:lang w:val="fr-CH"/>
        </w:rPr>
        <w:tab/>
        <w:t>32</w:t>
      </w:r>
    </w:p>
    <w:p w:rsidR="00EE5FBE" w:rsidRPr="00DB496D" w:rsidRDefault="00EE5FBE" w:rsidP="00EE5FBE">
      <w:pPr>
        <w:rPr>
          <w:lang w:val="fr-CH"/>
        </w:rPr>
      </w:pPr>
    </w:p>
    <w:p w:rsidR="002D679B" w:rsidRPr="002D679B" w:rsidRDefault="002D679B" w:rsidP="00B2696D">
      <w:pPr>
        <w:pStyle w:val="Heading1"/>
      </w:pPr>
      <w:bookmarkStart w:id="33" w:name="_Toc289760520"/>
      <w:bookmarkStart w:id="34" w:name="_Toc289760860"/>
      <w:bookmarkStart w:id="35" w:name="_Toc289761192"/>
      <w:r w:rsidRPr="002D679B">
        <w:t>1</w:t>
      </w:r>
      <w:r w:rsidRPr="002D679B">
        <w:tab/>
        <w:t>Introduction</w:t>
      </w:r>
      <w:bookmarkEnd w:id="33"/>
      <w:bookmarkEnd w:id="34"/>
      <w:bookmarkEnd w:id="35"/>
    </w:p>
    <w:p w:rsidR="002D679B" w:rsidRPr="002D679B" w:rsidRDefault="002D679B" w:rsidP="00F62DEE">
      <w:pPr>
        <w:spacing w:before="136"/>
        <w:rPr>
          <w:sz w:val="20"/>
        </w:rPr>
      </w:pPr>
      <w:r w:rsidRPr="002D679B">
        <w:rPr>
          <w:sz w:val="20"/>
        </w:rPr>
        <w:t xml:space="preserve">La présente Annexe a pour objet de présenter une méthode d'évaluation permettant d'analyser la compatibilité entre stations des services de radionavigation aéronautique et stations faisant partie d'un plan important d'assignation de fréquences de radiodiffusion. Les techniques indiquées dans l'Annexe 3 pourront être utilisées pour vérifier les résultats obtenus par une telle analyse ou pour en effectuer une plus fine. </w:t>
      </w:r>
    </w:p>
    <w:p w:rsidR="002D679B" w:rsidRPr="00B2696D" w:rsidRDefault="002D679B" w:rsidP="00B2696D">
      <w:pPr>
        <w:pStyle w:val="Heading2"/>
        <w:rPr>
          <w:sz w:val="22"/>
          <w:szCs w:val="22"/>
        </w:rPr>
      </w:pPr>
      <w:bookmarkStart w:id="36" w:name="_Toc289761193"/>
      <w:r w:rsidRPr="00B2696D">
        <w:rPr>
          <w:sz w:val="22"/>
          <w:szCs w:val="22"/>
        </w:rPr>
        <w:t>1.1</w:t>
      </w:r>
      <w:r w:rsidRPr="00B2696D">
        <w:rPr>
          <w:sz w:val="22"/>
          <w:szCs w:val="22"/>
        </w:rPr>
        <w:tab/>
        <w:t>Principes fondamentaux de la méthode générale d'évaluation</w:t>
      </w:r>
      <w:bookmarkEnd w:id="36"/>
    </w:p>
    <w:p w:rsidR="002D679B" w:rsidRPr="002D679B" w:rsidRDefault="002D679B" w:rsidP="002D679B">
      <w:pPr>
        <w:spacing w:before="136"/>
        <w:rPr>
          <w:sz w:val="20"/>
        </w:rPr>
      </w:pPr>
      <w:r w:rsidRPr="002D679B">
        <w:rPr>
          <w:sz w:val="20"/>
        </w:rPr>
        <w:t>L'objectif premier de la méthode d'évaluation générale (MEG) est de calculer toutes les incompatibilités potentielles significatives pouvant se produire à l'intérieur d'un volume aéronautique, en un certain nombre de points de calcul ou de points de mesure (voir la Note 1) prédéfinis. Pour un ensemble donné de combinaisons de fréquences de radiodiffusion et de radionavigation, l'incompatibilité potentielle maximale associée à un service aéronautique particulier est représentée sous la forme d'une marge de protection.</w:t>
      </w:r>
    </w:p>
    <w:p w:rsidR="002D679B" w:rsidRPr="002D679B" w:rsidRDefault="002D679B" w:rsidP="002D679B">
      <w:pPr>
        <w:spacing w:before="136"/>
        <w:rPr>
          <w:sz w:val="20"/>
        </w:rPr>
      </w:pPr>
      <w:r w:rsidRPr="002D679B">
        <w:rPr>
          <w:sz w:val="20"/>
        </w:rPr>
        <w:t>Il y a lieu de procéder à une extension de la méthode d'évaluation de la compatibilité figurant dans l'Accord de Genève (1984) en raison de l'amélioration ultérieure de la précision des critères de compatibilité et de l'apparition du besoin d'une méthode d'évaluation plus détaillée. De plus, comme il fallait repérer et étudier les éventuelles incompatibilités associées à un plan important d'assignation de fréquences, on a dû mettre au point une méthode d'évaluation se prêtant de façon efficace à une mise en œuvre automatisée.</w:t>
      </w:r>
    </w:p>
    <w:p w:rsidR="002D679B" w:rsidRPr="002D679B" w:rsidRDefault="002D679B" w:rsidP="002D679B">
      <w:pPr>
        <w:spacing w:before="136"/>
        <w:rPr>
          <w:sz w:val="20"/>
        </w:rPr>
      </w:pPr>
      <w:r w:rsidRPr="002D679B">
        <w:rPr>
          <w:sz w:val="20"/>
        </w:rPr>
        <w:t>Cette MEG est fondée sur la nécessité de protéger le service de radionavigation aéronautique à des distances (voir la Note 1) spécifiées de séparation minimale par rapport aux antennes des stations de radiodiffusion, selon le service aéronautique (ILS ou VOR) (voir la Note 1) et son usage particulier.</w:t>
      </w:r>
    </w:p>
    <w:p w:rsidR="002D679B" w:rsidRPr="002D679B" w:rsidRDefault="002D679B" w:rsidP="002D679B">
      <w:pPr>
        <w:tabs>
          <w:tab w:val="clear" w:pos="794"/>
          <w:tab w:val="clear" w:pos="1191"/>
          <w:tab w:val="clear" w:pos="1588"/>
          <w:tab w:val="clear" w:pos="1985"/>
        </w:tabs>
        <w:spacing w:before="80"/>
        <w:rPr>
          <w:sz w:val="20"/>
        </w:rPr>
      </w:pPr>
      <w:r w:rsidRPr="002D679B">
        <w:rPr>
          <w:sz w:val="20"/>
        </w:rPr>
        <w:t>NOTE 1 – Voir les définitions dans l'Annexe 4.</w:t>
      </w:r>
    </w:p>
    <w:p w:rsidR="002D679B" w:rsidRPr="00B2696D" w:rsidRDefault="002D679B" w:rsidP="00B2696D">
      <w:pPr>
        <w:pStyle w:val="Heading2"/>
        <w:rPr>
          <w:sz w:val="22"/>
          <w:szCs w:val="22"/>
        </w:rPr>
      </w:pPr>
      <w:bookmarkStart w:id="37" w:name="_Toc289761194"/>
      <w:r w:rsidRPr="00B2696D">
        <w:rPr>
          <w:sz w:val="22"/>
          <w:szCs w:val="22"/>
        </w:rPr>
        <w:t>1.2</w:t>
      </w:r>
      <w:r w:rsidRPr="00B2696D">
        <w:rPr>
          <w:sz w:val="22"/>
          <w:szCs w:val="22"/>
        </w:rPr>
        <w:tab/>
        <w:t>Radiophare d'alignement de piste ILS</w:t>
      </w:r>
      <w:bookmarkEnd w:id="37"/>
    </w:p>
    <w:p w:rsidR="002D679B" w:rsidRPr="002D679B" w:rsidRDefault="002D679B" w:rsidP="002D679B">
      <w:pPr>
        <w:spacing w:before="136"/>
        <w:rPr>
          <w:sz w:val="20"/>
        </w:rPr>
      </w:pPr>
      <w:r w:rsidRPr="002D679B">
        <w:rPr>
          <w:sz w:val="20"/>
        </w:rPr>
        <w:t>Pour évaluer la compatibilité avec un radiophare d'alignement de piste ILS, la MEG est fondée sur un certain nombre de points de mesure fixes, complétés par un point de mesure supplémentaire pour chaque station de radiodiffusion se trouvant dans la zone de couverture opérationnelle spécifiée (COS) (voir la définition dans l'Annexe 4) d'ILS.</w:t>
      </w:r>
    </w:p>
    <w:p w:rsidR="002D679B" w:rsidRPr="00B2696D" w:rsidRDefault="002D679B" w:rsidP="00B2696D">
      <w:pPr>
        <w:pStyle w:val="Heading2"/>
        <w:rPr>
          <w:sz w:val="22"/>
          <w:szCs w:val="22"/>
        </w:rPr>
      </w:pPr>
      <w:bookmarkStart w:id="38" w:name="_Toc289761195"/>
      <w:r w:rsidRPr="00B2696D">
        <w:rPr>
          <w:sz w:val="22"/>
          <w:szCs w:val="22"/>
        </w:rPr>
        <w:t>1.3</w:t>
      </w:r>
      <w:r w:rsidRPr="00B2696D">
        <w:rPr>
          <w:sz w:val="22"/>
          <w:szCs w:val="22"/>
        </w:rPr>
        <w:tab/>
        <w:t>VOR</w:t>
      </w:r>
      <w:bookmarkEnd w:id="38"/>
    </w:p>
    <w:p w:rsidR="002D679B" w:rsidRPr="002D679B" w:rsidRDefault="002D679B" w:rsidP="002D679B">
      <w:pPr>
        <w:spacing w:before="136"/>
        <w:rPr>
          <w:sz w:val="20"/>
        </w:rPr>
      </w:pPr>
      <w:r w:rsidRPr="002D679B">
        <w:rPr>
          <w:sz w:val="20"/>
        </w:rPr>
        <w:t>Les zones de COS utilisées dans le service VOR sont grandes. Il y aura donc, vraisemblablement, un grand nombre de stations de radiodiffusion implantées dans chaque COS de VOR. La MEG évaluera la compatibilité avec le VOR en construisant un point de mesure au-dessus de chaque station de radiodiffusion intérieure à la COS et en tenant compte des stations de radiodiffusion extérieures à la COS.</w:t>
      </w:r>
    </w:p>
    <w:p w:rsidR="002D679B" w:rsidRPr="002D679B" w:rsidRDefault="002D679B" w:rsidP="00B2696D">
      <w:pPr>
        <w:pStyle w:val="Heading1"/>
      </w:pPr>
      <w:bookmarkStart w:id="39" w:name="_Toc289760521"/>
      <w:bookmarkStart w:id="40" w:name="_Toc289760861"/>
      <w:bookmarkStart w:id="41" w:name="_Toc289761196"/>
      <w:r w:rsidRPr="002D679B">
        <w:t>2</w:t>
      </w:r>
      <w:r w:rsidRPr="002D679B">
        <w:tab/>
        <w:t>Emplacement et hauteur des points de mesure ILS et VOR</w:t>
      </w:r>
      <w:bookmarkEnd w:id="39"/>
      <w:bookmarkEnd w:id="40"/>
      <w:bookmarkEnd w:id="41"/>
    </w:p>
    <w:p w:rsidR="002D679B" w:rsidRPr="00B2696D" w:rsidRDefault="002D679B" w:rsidP="00B2696D">
      <w:pPr>
        <w:pStyle w:val="Heading2"/>
        <w:rPr>
          <w:sz w:val="22"/>
          <w:szCs w:val="22"/>
        </w:rPr>
      </w:pPr>
      <w:bookmarkStart w:id="42" w:name="_Toc289761197"/>
      <w:r w:rsidRPr="00B2696D">
        <w:rPr>
          <w:sz w:val="22"/>
          <w:szCs w:val="22"/>
        </w:rPr>
        <w:t>2.1</w:t>
      </w:r>
      <w:r w:rsidRPr="00B2696D">
        <w:rPr>
          <w:sz w:val="22"/>
          <w:szCs w:val="22"/>
        </w:rPr>
        <w:tab/>
        <w:t>Points de mesure ILS</w:t>
      </w:r>
      <w:bookmarkEnd w:id="42"/>
    </w:p>
    <w:p w:rsidR="002D679B" w:rsidRPr="00B2696D" w:rsidRDefault="002D679B" w:rsidP="00B2696D">
      <w:pPr>
        <w:pStyle w:val="Heading3"/>
        <w:rPr>
          <w:sz w:val="20"/>
        </w:rPr>
      </w:pPr>
      <w:r w:rsidRPr="00B2696D">
        <w:rPr>
          <w:sz w:val="20"/>
        </w:rPr>
        <w:t>2.1.1</w:t>
      </w:r>
      <w:r w:rsidRPr="00B2696D">
        <w:rPr>
          <w:sz w:val="20"/>
        </w:rPr>
        <w:tab/>
        <w:t>Points de mesure fixes</w:t>
      </w:r>
    </w:p>
    <w:p w:rsidR="002D679B" w:rsidRPr="002D679B" w:rsidRDefault="002D679B" w:rsidP="00B45125">
      <w:pPr>
        <w:spacing w:before="136"/>
        <w:rPr>
          <w:sz w:val="20"/>
        </w:rPr>
      </w:pPr>
      <w:r w:rsidRPr="002D679B">
        <w:rPr>
          <w:sz w:val="20"/>
        </w:rPr>
        <w:t>Pour chacun des points de mesure fixes représentés sur la Fig. 4, la hauteur minimale, la distance par rapport à l'emplacement du radiophare d'alignement de piste et le relèvement par rapport au prolongement de l'axe de piste sont indiqués dans le Tableau 6.</w:t>
      </w:r>
    </w:p>
    <w:p w:rsidR="002D679B" w:rsidRPr="002D679B" w:rsidRDefault="002D679B" w:rsidP="002D679B">
      <w:pPr>
        <w:spacing w:before="136"/>
        <w:rPr>
          <w:sz w:val="20"/>
        </w:rPr>
      </w:pPr>
      <w:r w:rsidRPr="002D679B">
        <w:rPr>
          <w:sz w:val="20"/>
        </w:rPr>
        <w:t>Les points de mesure fixes A, E, F, G et H ont des hauteurs minimales de 0, 0, 150, 300 et 450 m respectivement (voir aussi le § 3.2.1), au-dessus de l'emplacement du radiophare d'alignement de piste ILS. Ces valeurs représentent une trajectoire de descente avec une pente de 3</w:t>
      </w:r>
      <w:r w:rsidRPr="002D679B">
        <w:rPr>
          <w:rFonts w:ascii="Symbol" w:hAnsi="Symbol"/>
          <w:sz w:val="20"/>
          <w:lang w:val="en-GB"/>
        </w:rPr>
        <w:t></w:t>
      </w:r>
      <w:r w:rsidRPr="002D679B">
        <w:rPr>
          <w:sz w:val="20"/>
        </w:rPr>
        <w:t>. Tous les autres points de mesure fixes ont des hauteurs minimales de 600 m.</w:t>
      </w:r>
    </w:p>
    <w:p w:rsidR="002D679B" w:rsidRPr="00B2696D" w:rsidRDefault="002D679B" w:rsidP="00B2696D">
      <w:pPr>
        <w:pStyle w:val="Heading3"/>
        <w:rPr>
          <w:sz w:val="20"/>
        </w:rPr>
      </w:pPr>
      <w:r w:rsidRPr="00B2696D">
        <w:rPr>
          <w:sz w:val="20"/>
        </w:rPr>
        <w:t>2.1.2</w:t>
      </w:r>
      <w:r w:rsidRPr="00B2696D">
        <w:rPr>
          <w:sz w:val="20"/>
        </w:rPr>
        <w:tab/>
        <w:t>Points de mesure associés à des stations de radiodiffusion</w:t>
      </w:r>
    </w:p>
    <w:p w:rsidR="002D679B" w:rsidRPr="002D679B" w:rsidRDefault="002D679B" w:rsidP="002D679B">
      <w:pPr>
        <w:spacing w:before="136"/>
        <w:rPr>
          <w:sz w:val="20"/>
        </w:rPr>
      </w:pPr>
      <w:r w:rsidRPr="002D679B">
        <w:rPr>
          <w:sz w:val="20"/>
        </w:rPr>
        <w:t>Si la station de radiodiffusion se trouve à l'intérieur de la zone ombrée de la Fig. 4:</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un point de mesure supplémentaire est construit avec les coordonnées géographiques de cette station de radiodiffusion et la même hauteur que l'antenne de radiodiffusion.</w:t>
      </w:r>
    </w:p>
    <w:p w:rsidR="002D679B" w:rsidRPr="002D679B" w:rsidRDefault="002D679B" w:rsidP="002D679B">
      <w:pPr>
        <w:spacing w:before="136"/>
        <w:rPr>
          <w:sz w:val="20"/>
        </w:rPr>
      </w:pPr>
      <w:r w:rsidRPr="002D679B">
        <w:rPr>
          <w:sz w:val="20"/>
        </w:rPr>
        <w:t xml:space="preserve">Si la station de radiodiffusion se trouve à l'intérieur ou au-dessous de la COS d'ILS mais à l'extérieur de la zone hachurée de la Fig. 4 un point de mesure supplémentaire est construit avec les coordonnées géographiques de cette station de radiodiffusion. La hauteur minimale de ce point de mesure sera: </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à 600 m au-dessus de l'emplacement du radiophare d'alignement de piste ILS; ou</w:t>
      </w:r>
    </w:p>
    <w:p w:rsid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à 150 m au-dessus de l'antenne de radiodiffusion, selon la valeur la plus grande.</w:t>
      </w:r>
    </w:p>
    <w:p w:rsidR="001F6663" w:rsidRPr="002D679B" w:rsidRDefault="001F6663" w:rsidP="002D679B">
      <w:pPr>
        <w:tabs>
          <w:tab w:val="clear" w:pos="794"/>
          <w:tab w:val="clear" w:pos="1191"/>
          <w:tab w:val="clear" w:pos="1588"/>
          <w:tab w:val="clear" w:pos="1985"/>
          <w:tab w:val="left" w:pos="397"/>
        </w:tabs>
        <w:spacing w:before="86"/>
        <w:ind w:left="397" w:hanging="397"/>
        <w:rPr>
          <w:sz w:val="20"/>
        </w:rPr>
      </w:pPr>
    </w:p>
    <w:p w:rsidR="002D679B" w:rsidRPr="002D679B" w:rsidRDefault="002D679B" w:rsidP="002D679B">
      <w:pPr>
        <w:spacing w:before="136"/>
        <w:jc w:val="center"/>
        <w:rPr>
          <w:sz w:val="20"/>
          <w:lang w:val="en-US"/>
        </w:rPr>
      </w:pPr>
      <w:r>
        <w:rPr>
          <w:noProof/>
          <w:sz w:val="20"/>
          <w:lang w:val="fr-CH" w:eastAsia="fr-CH"/>
        </w:rPr>
        <w:drawing>
          <wp:inline distT="0" distB="0" distL="0" distR="0" wp14:anchorId="6E7EE7F1" wp14:editId="15950037">
            <wp:extent cx="5925820" cy="55340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25820" cy="5534025"/>
                    </a:xfrm>
                    <a:prstGeom prst="rect">
                      <a:avLst/>
                    </a:prstGeom>
                    <a:noFill/>
                    <a:ln>
                      <a:noFill/>
                    </a:ln>
                  </pic:spPr>
                </pic:pic>
              </a:graphicData>
            </a:graphic>
          </wp:inline>
        </w:drawing>
      </w:r>
    </w:p>
    <w:p w:rsidR="002D679B" w:rsidRPr="002D679B" w:rsidRDefault="002D679B" w:rsidP="002D679B">
      <w:pPr>
        <w:keepNext/>
        <w:tabs>
          <w:tab w:val="clear" w:pos="794"/>
          <w:tab w:val="clear" w:pos="1191"/>
          <w:tab w:val="clear" w:pos="1588"/>
          <w:tab w:val="clear" w:pos="1985"/>
        </w:tabs>
        <w:spacing w:before="400" w:after="113"/>
        <w:jc w:val="center"/>
        <w:rPr>
          <w:sz w:val="18"/>
        </w:rPr>
      </w:pPr>
      <w:r w:rsidRPr="002D679B">
        <w:rPr>
          <w:sz w:val="18"/>
        </w:rPr>
        <w:t>TABLEAU  6</w:t>
      </w:r>
    </w:p>
    <w:p w:rsidR="002D679B" w:rsidRPr="002D679B" w:rsidRDefault="002D679B" w:rsidP="002D679B">
      <w:pPr>
        <w:keepNext/>
        <w:keepLines/>
        <w:tabs>
          <w:tab w:val="clear" w:pos="794"/>
          <w:tab w:val="clear" w:pos="1191"/>
          <w:tab w:val="clear" w:pos="1588"/>
          <w:tab w:val="clear" w:pos="1985"/>
        </w:tabs>
        <w:spacing w:before="0"/>
        <w:jc w:val="left"/>
        <w:rPr>
          <w:sz w:val="16"/>
        </w:rPr>
      </w:pPr>
    </w:p>
    <w:tbl>
      <w:tblPr>
        <w:tblW w:w="0" w:type="auto"/>
        <w:jc w:val="center"/>
        <w:tblLayout w:type="fixed"/>
        <w:tblLook w:val="0000" w:firstRow="0" w:lastRow="0" w:firstColumn="0" w:lastColumn="0" w:noHBand="0" w:noVBand="0"/>
      </w:tblPr>
      <w:tblGrid>
        <w:gridCol w:w="1588"/>
        <w:gridCol w:w="1622"/>
        <w:gridCol w:w="1588"/>
        <w:gridCol w:w="1588"/>
        <w:gridCol w:w="1474"/>
        <w:gridCol w:w="1871"/>
      </w:tblGrid>
      <w:tr w:rsidR="002D679B" w:rsidRPr="002D679B" w:rsidTr="002D679B">
        <w:trPr>
          <w:cantSplit/>
          <w:jc w:val="center"/>
        </w:trPr>
        <w:tc>
          <w:tcPr>
            <w:tcW w:w="4797" w:type="dxa"/>
            <w:gridSpan w:val="3"/>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60" w:after="60" w:line="190" w:lineRule="exact"/>
              <w:jc w:val="center"/>
              <w:rPr>
                <w:sz w:val="18"/>
              </w:rPr>
            </w:pPr>
            <w:r w:rsidRPr="002D679B">
              <w:rPr>
                <w:sz w:val="18"/>
              </w:rPr>
              <w:t>Emplacements des points de mesure fixes ILS</w:t>
            </w:r>
            <w:r w:rsidRPr="002D679B">
              <w:rPr>
                <w:sz w:val="18"/>
              </w:rPr>
              <w:br/>
              <w:t>Points sur le prolongement de l'axe de piste</w:t>
            </w:r>
          </w:p>
        </w:tc>
        <w:tc>
          <w:tcPr>
            <w:tcW w:w="4933" w:type="dxa"/>
            <w:gridSpan w:val="3"/>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60" w:after="60" w:line="190" w:lineRule="exact"/>
              <w:jc w:val="center"/>
              <w:rPr>
                <w:sz w:val="18"/>
              </w:rPr>
            </w:pPr>
            <w:r w:rsidRPr="002D679B">
              <w:rPr>
                <w:sz w:val="18"/>
              </w:rPr>
              <w:t xml:space="preserve">Points hors du prolongement de l'axe de piste </w:t>
            </w:r>
            <w:r w:rsidRPr="002D679B">
              <w:rPr>
                <w:sz w:val="18"/>
              </w:rPr>
              <w:br/>
              <w:t>(tous à une hauteur de 600 m)</w:t>
            </w:r>
          </w:p>
        </w:tc>
      </w:tr>
      <w:tr w:rsidR="002D679B" w:rsidRPr="002D679B" w:rsidTr="002D679B">
        <w:trPr>
          <w:cantSplit/>
          <w:jc w:val="center"/>
        </w:trPr>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60" w:after="60" w:line="190" w:lineRule="exact"/>
              <w:jc w:val="center"/>
              <w:rPr>
                <w:sz w:val="18"/>
              </w:rPr>
            </w:pPr>
            <w:r w:rsidRPr="002D679B">
              <w:rPr>
                <w:sz w:val="18"/>
              </w:rPr>
              <w:br/>
              <w:t>Identification</w:t>
            </w:r>
          </w:p>
        </w:tc>
        <w:tc>
          <w:tcPr>
            <w:tcW w:w="162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160" w:after="20" w:line="190" w:lineRule="exact"/>
              <w:jc w:val="center"/>
              <w:rPr>
                <w:sz w:val="18"/>
              </w:rPr>
            </w:pPr>
            <w:r w:rsidRPr="002D679B">
              <w:rPr>
                <w:sz w:val="18"/>
              </w:rPr>
              <w:t>Distance</w:t>
            </w:r>
            <w:r w:rsidRPr="002D679B">
              <w:rPr>
                <w:sz w:val="18"/>
              </w:rPr>
              <w:br/>
              <w:t>(km)</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160" w:after="20" w:line="190" w:lineRule="exact"/>
              <w:jc w:val="center"/>
              <w:rPr>
                <w:sz w:val="18"/>
              </w:rPr>
            </w:pPr>
            <w:r w:rsidRPr="002D679B">
              <w:rPr>
                <w:sz w:val="18"/>
              </w:rPr>
              <w:t>Hauteur minimale</w:t>
            </w:r>
            <w:r w:rsidRPr="002D679B">
              <w:rPr>
                <w:sz w:val="18"/>
              </w:rPr>
              <w:br/>
              <w:t>(m)</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60" w:after="60" w:line="190" w:lineRule="exact"/>
              <w:jc w:val="center"/>
              <w:rPr>
                <w:sz w:val="18"/>
              </w:rPr>
            </w:pPr>
            <w:r w:rsidRPr="002D679B">
              <w:rPr>
                <w:sz w:val="18"/>
              </w:rPr>
              <w:br/>
              <w:t>Identification</w:t>
            </w:r>
          </w:p>
        </w:tc>
        <w:tc>
          <w:tcPr>
            <w:tcW w:w="147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160" w:after="20" w:line="190" w:lineRule="exact"/>
              <w:jc w:val="center"/>
              <w:rPr>
                <w:sz w:val="18"/>
              </w:rPr>
            </w:pPr>
            <w:r w:rsidRPr="002D679B">
              <w:rPr>
                <w:sz w:val="18"/>
              </w:rPr>
              <w:t>Distance</w:t>
            </w:r>
            <w:r w:rsidRPr="002D679B">
              <w:rPr>
                <w:sz w:val="18"/>
              </w:rPr>
              <w:br/>
              <w:t>(km)</w:t>
            </w:r>
          </w:p>
        </w:tc>
        <w:tc>
          <w:tcPr>
            <w:tcW w:w="1871"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60" w:after="60" w:line="190" w:lineRule="exact"/>
              <w:jc w:val="center"/>
              <w:rPr>
                <w:sz w:val="18"/>
              </w:rPr>
            </w:pPr>
            <w:r w:rsidRPr="002D679B">
              <w:rPr>
                <w:sz w:val="18"/>
              </w:rPr>
              <w:t>Relèvement par rapport à l'axe de piste</w:t>
            </w:r>
            <w:r w:rsidRPr="002D679B">
              <w:rPr>
                <w:sz w:val="18"/>
              </w:rPr>
              <w:br/>
              <w:t>(degrés)</w:t>
            </w:r>
          </w:p>
        </w:tc>
      </w:tr>
      <w:tr w:rsidR="002D679B" w:rsidRPr="002D679B" w:rsidTr="002D679B">
        <w:trPr>
          <w:cantSplit/>
          <w:jc w:val="center"/>
        </w:trPr>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lang w:val="en-GB"/>
              </w:rPr>
            </w:pPr>
            <w:r w:rsidRPr="002D679B">
              <w:rPr>
                <w:sz w:val="18"/>
                <w:lang w:val="en-GB"/>
              </w:rPr>
              <w:t>A</w:t>
            </w:r>
          </w:p>
        </w:tc>
        <w:tc>
          <w:tcPr>
            <w:tcW w:w="162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tabs>
                <w:tab w:val="clear" w:pos="1191"/>
                <w:tab w:val="clear" w:pos="1588"/>
                <w:tab w:val="clear" w:pos="1985"/>
                <w:tab w:val="right" w:pos="794"/>
              </w:tabs>
              <w:spacing w:before="37" w:after="37" w:line="190" w:lineRule="exact"/>
              <w:ind w:left="794" w:hanging="794"/>
              <w:jc w:val="left"/>
              <w:rPr>
                <w:sz w:val="18"/>
                <w:lang w:val="en-GB"/>
              </w:rPr>
            </w:pPr>
            <w:r w:rsidRPr="002D679B">
              <w:rPr>
                <w:sz w:val="18"/>
                <w:lang w:val="en-GB"/>
              </w:rPr>
              <w:tab/>
              <w:t>0</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ind w:left="170"/>
              <w:jc w:val="center"/>
              <w:rPr>
                <w:sz w:val="18"/>
                <w:lang w:val="en-GB"/>
              </w:rPr>
            </w:pPr>
            <w:r w:rsidRPr="002D679B">
              <w:rPr>
                <w:sz w:val="18"/>
                <w:lang w:val="en-GB"/>
              </w:rPr>
              <w:t>0</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lang w:val="en-GB"/>
              </w:rPr>
            </w:pPr>
            <w:r w:rsidRPr="002D679B">
              <w:rPr>
                <w:sz w:val="18"/>
                <w:lang w:val="en-GB"/>
              </w:rPr>
              <w:t>B, C</w:t>
            </w:r>
          </w:p>
        </w:tc>
        <w:tc>
          <w:tcPr>
            <w:tcW w:w="147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31,5</w:t>
            </w:r>
          </w:p>
        </w:tc>
        <w:tc>
          <w:tcPr>
            <w:tcW w:w="1871"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–35, 35</w:t>
            </w:r>
          </w:p>
        </w:tc>
      </w:tr>
      <w:tr w:rsidR="002D679B" w:rsidRPr="002D679B" w:rsidTr="002D679B">
        <w:trPr>
          <w:cantSplit/>
          <w:jc w:val="center"/>
        </w:trPr>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E</w:t>
            </w:r>
          </w:p>
        </w:tc>
        <w:tc>
          <w:tcPr>
            <w:tcW w:w="162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tabs>
                <w:tab w:val="clear" w:pos="1191"/>
                <w:tab w:val="clear" w:pos="1588"/>
                <w:tab w:val="clear" w:pos="1985"/>
                <w:tab w:val="right" w:pos="794"/>
              </w:tabs>
              <w:spacing w:before="37" w:after="37" w:line="190" w:lineRule="exact"/>
              <w:jc w:val="left"/>
              <w:rPr>
                <w:sz w:val="18"/>
              </w:rPr>
            </w:pPr>
            <w:r w:rsidRPr="002D679B">
              <w:rPr>
                <w:sz w:val="18"/>
              </w:rPr>
              <w:tab/>
              <w:t>3</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ind w:left="170"/>
              <w:jc w:val="center"/>
              <w:rPr>
                <w:sz w:val="18"/>
              </w:rPr>
            </w:pPr>
            <w:r w:rsidRPr="002D679B">
              <w:rPr>
                <w:sz w:val="18"/>
              </w:rPr>
              <w:t>0</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X0, Y0</w:t>
            </w:r>
          </w:p>
        </w:tc>
        <w:tc>
          <w:tcPr>
            <w:tcW w:w="147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ind w:left="86"/>
              <w:jc w:val="center"/>
              <w:rPr>
                <w:sz w:val="18"/>
              </w:rPr>
            </w:pPr>
            <w:r w:rsidRPr="002D679B">
              <w:rPr>
                <w:sz w:val="18"/>
              </w:rPr>
              <w:t>7,7</w:t>
            </w:r>
          </w:p>
        </w:tc>
        <w:tc>
          <w:tcPr>
            <w:tcW w:w="1871"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–35, 35</w:t>
            </w:r>
          </w:p>
        </w:tc>
      </w:tr>
      <w:tr w:rsidR="002D679B" w:rsidRPr="002D679B" w:rsidTr="002D679B">
        <w:trPr>
          <w:cantSplit/>
          <w:jc w:val="center"/>
        </w:trPr>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F</w:t>
            </w:r>
          </w:p>
        </w:tc>
        <w:tc>
          <w:tcPr>
            <w:tcW w:w="162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tabs>
                <w:tab w:val="clear" w:pos="1191"/>
                <w:tab w:val="clear" w:pos="1588"/>
                <w:tab w:val="clear" w:pos="1985"/>
                <w:tab w:val="right" w:pos="794"/>
              </w:tabs>
              <w:spacing w:before="37" w:after="37" w:line="190" w:lineRule="exact"/>
              <w:jc w:val="left"/>
              <w:rPr>
                <w:sz w:val="18"/>
              </w:rPr>
            </w:pPr>
            <w:r w:rsidRPr="002D679B">
              <w:rPr>
                <w:sz w:val="18"/>
              </w:rPr>
              <w:tab/>
              <w:t>6</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150</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X1, Y1</w:t>
            </w:r>
          </w:p>
        </w:tc>
        <w:tc>
          <w:tcPr>
            <w:tcW w:w="147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12,9</w:t>
            </w:r>
          </w:p>
        </w:tc>
        <w:tc>
          <w:tcPr>
            <w:tcW w:w="1871"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–25,5, 25,5</w:t>
            </w:r>
          </w:p>
        </w:tc>
      </w:tr>
      <w:tr w:rsidR="002D679B" w:rsidRPr="002D679B" w:rsidTr="002D679B">
        <w:trPr>
          <w:cantSplit/>
          <w:jc w:val="center"/>
        </w:trPr>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G</w:t>
            </w:r>
          </w:p>
        </w:tc>
        <w:tc>
          <w:tcPr>
            <w:tcW w:w="162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tabs>
                <w:tab w:val="clear" w:pos="1191"/>
                <w:tab w:val="clear" w:pos="1588"/>
                <w:tab w:val="clear" w:pos="1985"/>
                <w:tab w:val="right" w:pos="794"/>
              </w:tabs>
              <w:spacing w:before="37" w:after="37" w:line="190" w:lineRule="exact"/>
              <w:jc w:val="left"/>
              <w:rPr>
                <w:sz w:val="18"/>
              </w:rPr>
            </w:pPr>
            <w:r w:rsidRPr="002D679B">
              <w:rPr>
                <w:sz w:val="18"/>
              </w:rPr>
              <w:tab/>
              <w:t>9</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300</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X2, Y2</w:t>
            </w:r>
          </w:p>
        </w:tc>
        <w:tc>
          <w:tcPr>
            <w:tcW w:w="147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18,8</w:t>
            </w:r>
          </w:p>
        </w:tc>
        <w:tc>
          <w:tcPr>
            <w:tcW w:w="1871"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–17,2, 17,2</w:t>
            </w:r>
          </w:p>
        </w:tc>
      </w:tr>
      <w:tr w:rsidR="002D679B" w:rsidRPr="002D679B" w:rsidTr="002D679B">
        <w:trPr>
          <w:cantSplit/>
          <w:jc w:val="center"/>
        </w:trPr>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H</w:t>
            </w:r>
          </w:p>
        </w:tc>
        <w:tc>
          <w:tcPr>
            <w:tcW w:w="162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tabs>
                <w:tab w:val="clear" w:pos="1191"/>
                <w:tab w:val="clear" w:pos="1588"/>
                <w:tab w:val="clear" w:pos="1985"/>
                <w:tab w:val="right" w:pos="794"/>
              </w:tabs>
              <w:spacing w:before="37" w:after="37" w:line="190" w:lineRule="exact"/>
              <w:jc w:val="left"/>
              <w:rPr>
                <w:sz w:val="18"/>
              </w:rPr>
            </w:pPr>
            <w:r w:rsidRPr="002D679B">
              <w:rPr>
                <w:sz w:val="18"/>
              </w:rPr>
              <w:tab/>
              <w:t>12</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450</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X3, Y3</w:t>
            </w:r>
          </w:p>
        </w:tc>
        <w:tc>
          <w:tcPr>
            <w:tcW w:w="147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lang w:val="en-GB"/>
              </w:rPr>
            </w:pPr>
            <w:r w:rsidRPr="002D679B">
              <w:rPr>
                <w:sz w:val="18"/>
                <w:lang w:val="en-GB"/>
              </w:rPr>
              <w:t>24,9</w:t>
            </w:r>
          </w:p>
        </w:tc>
        <w:tc>
          <w:tcPr>
            <w:tcW w:w="1871"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lang w:val="en-GB"/>
              </w:rPr>
            </w:pPr>
            <w:r w:rsidRPr="002D679B">
              <w:rPr>
                <w:sz w:val="18"/>
                <w:lang w:val="en-GB"/>
              </w:rPr>
              <w:t>–12,9, 12,9</w:t>
            </w:r>
          </w:p>
        </w:tc>
      </w:tr>
      <w:tr w:rsidR="002D679B" w:rsidRPr="002D679B" w:rsidTr="002D679B">
        <w:trPr>
          <w:cantSplit/>
          <w:jc w:val="center"/>
        </w:trPr>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lang w:val="en-GB"/>
              </w:rPr>
            </w:pPr>
            <w:r w:rsidRPr="002D679B">
              <w:rPr>
                <w:sz w:val="18"/>
                <w:lang w:val="en-GB"/>
              </w:rPr>
              <w:t>I</w:t>
            </w:r>
          </w:p>
        </w:tc>
        <w:tc>
          <w:tcPr>
            <w:tcW w:w="162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tabs>
                <w:tab w:val="clear" w:pos="1191"/>
                <w:tab w:val="clear" w:pos="1588"/>
                <w:tab w:val="clear" w:pos="1985"/>
                <w:tab w:val="right" w:pos="794"/>
              </w:tabs>
              <w:spacing w:before="37" w:after="37" w:line="190" w:lineRule="exact"/>
              <w:jc w:val="left"/>
              <w:rPr>
                <w:sz w:val="18"/>
                <w:lang w:val="en-GB"/>
              </w:rPr>
            </w:pPr>
            <w:r w:rsidRPr="002D679B">
              <w:rPr>
                <w:sz w:val="18"/>
                <w:lang w:val="en-GB"/>
              </w:rPr>
              <w:tab/>
              <w:t>15</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lang w:val="en-GB"/>
              </w:rPr>
            </w:pPr>
            <w:r w:rsidRPr="002D679B">
              <w:rPr>
                <w:sz w:val="18"/>
                <w:lang w:val="en-GB"/>
              </w:rPr>
              <w:t>600</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lang w:val="en-GB"/>
              </w:rPr>
            </w:pPr>
            <w:r w:rsidRPr="002D679B">
              <w:rPr>
                <w:sz w:val="18"/>
                <w:lang w:val="en-GB"/>
              </w:rPr>
              <w:t>X4, Y4</w:t>
            </w:r>
          </w:p>
        </w:tc>
        <w:tc>
          <w:tcPr>
            <w:tcW w:w="147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lang w:val="en-GB"/>
              </w:rPr>
            </w:pPr>
            <w:r w:rsidRPr="002D679B">
              <w:rPr>
                <w:sz w:val="18"/>
                <w:lang w:val="en-GB"/>
              </w:rPr>
              <w:t>31,5</w:t>
            </w:r>
          </w:p>
        </w:tc>
        <w:tc>
          <w:tcPr>
            <w:tcW w:w="1871"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lang w:val="en-GB"/>
              </w:rPr>
            </w:pPr>
            <w:r w:rsidRPr="002D679B">
              <w:rPr>
                <w:sz w:val="18"/>
                <w:lang w:val="en-GB"/>
              </w:rPr>
              <w:t>–10, 10</w:t>
            </w:r>
          </w:p>
        </w:tc>
      </w:tr>
      <w:tr w:rsidR="002D679B" w:rsidRPr="002D679B" w:rsidTr="002D679B">
        <w:trPr>
          <w:cantSplit/>
          <w:jc w:val="center"/>
        </w:trPr>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lang w:val="en-GB"/>
              </w:rPr>
            </w:pPr>
            <w:r w:rsidRPr="002D679B">
              <w:rPr>
                <w:sz w:val="18"/>
                <w:lang w:val="en-GB"/>
              </w:rPr>
              <w:t>J</w:t>
            </w:r>
          </w:p>
        </w:tc>
        <w:tc>
          <w:tcPr>
            <w:tcW w:w="162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tabs>
                <w:tab w:val="clear" w:pos="794"/>
                <w:tab w:val="clear" w:pos="1191"/>
                <w:tab w:val="clear" w:pos="1588"/>
                <w:tab w:val="clear" w:pos="1985"/>
                <w:tab w:val="right" w:pos="993"/>
              </w:tabs>
              <w:spacing w:before="37" w:after="37" w:line="190" w:lineRule="exact"/>
              <w:jc w:val="left"/>
              <w:rPr>
                <w:sz w:val="18"/>
              </w:rPr>
            </w:pPr>
            <w:r w:rsidRPr="002D679B">
              <w:rPr>
                <w:sz w:val="18"/>
                <w:lang w:val="en-GB"/>
              </w:rPr>
              <w:tab/>
            </w:r>
            <w:r w:rsidRPr="002D679B">
              <w:rPr>
                <w:sz w:val="18"/>
              </w:rPr>
              <w:t>21,25</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600</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X5, Y5</w:t>
            </w:r>
          </w:p>
        </w:tc>
        <w:tc>
          <w:tcPr>
            <w:tcW w:w="147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37,3</w:t>
            </w:r>
          </w:p>
        </w:tc>
        <w:tc>
          <w:tcPr>
            <w:tcW w:w="1871"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–8,6, 8,6</w:t>
            </w:r>
          </w:p>
        </w:tc>
      </w:tr>
      <w:tr w:rsidR="002D679B" w:rsidRPr="002D679B" w:rsidTr="002D679B">
        <w:trPr>
          <w:cantSplit/>
          <w:jc w:val="center"/>
        </w:trPr>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K</w:t>
            </w:r>
          </w:p>
        </w:tc>
        <w:tc>
          <w:tcPr>
            <w:tcW w:w="162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tabs>
                <w:tab w:val="clear" w:pos="794"/>
                <w:tab w:val="clear" w:pos="1191"/>
                <w:tab w:val="clear" w:pos="1588"/>
                <w:tab w:val="clear" w:pos="1985"/>
                <w:tab w:val="right" w:pos="907"/>
              </w:tabs>
              <w:spacing w:before="37" w:after="37" w:line="190" w:lineRule="exact"/>
              <w:jc w:val="left"/>
              <w:rPr>
                <w:sz w:val="18"/>
              </w:rPr>
            </w:pPr>
            <w:r w:rsidRPr="002D679B">
              <w:rPr>
                <w:sz w:val="18"/>
              </w:rPr>
              <w:tab/>
              <w:t>27,5</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600</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X6, Y6</w:t>
            </w:r>
          </w:p>
        </w:tc>
        <w:tc>
          <w:tcPr>
            <w:tcW w:w="147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43,5</w:t>
            </w:r>
          </w:p>
        </w:tc>
        <w:tc>
          <w:tcPr>
            <w:tcW w:w="1871"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–7,3, 7,3</w:t>
            </w:r>
          </w:p>
        </w:tc>
      </w:tr>
      <w:tr w:rsidR="002D679B" w:rsidRPr="002D679B" w:rsidTr="002D679B">
        <w:trPr>
          <w:cantSplit/>
          <w:jc w:val="center"/>
        </w:trPr>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L</w:t>
            </w:r>
          </w:p>
        </w:tc>
        <w:tc>
          <w:tcPr>
            <w:tcW w:w="162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tabs>
                <w:tab w:val="clear" w:pos="794"/>
                <w:tab w:val="clear" w:pos="1191"/>
                <w:tab w:val="clear" w:pos="1588"/>
                <w:tab w:val="clear" w:pos="1985"/>
                <w:tab w:val="right" w:pos="993"/>
              </w:tabs>
              <w:spacing w:before="37" w:after="37" w:line="190" w:lineRule="exact"/>
              <w:jc w:val="left"/>
              <w:rPr>
                <w:sz w:val="18"/>
              </w:rPr>
            </w:pPr>
            <w:r w:rsidRPr="002D679B">
              <w:rPr>
                <w:sz w:val="18"/>
              </w:rPr>
              <w:tab/>
              <w:t>33,75</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600</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X7, Y7</w:t>
            </w:r>
          </w:p>
        </w:tc>
        <w:tc>
          <w:tcPr>
            <w:tcW w:w="147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18,5</w:t>
            </w:r>
          </w:p>
        </w:tc>
        <w:tc>
          <w:tcPr>
            <w:tcW w:w="1871"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–35, 35</w:t>
            </w:r>
          </w:p>
        </w:tc>
      </w:tr>
      <w:tr w:rsidR="002D679B" w:rsidRPr="002D679B" w:rsidTr="002D679B">
        <w:trPr>
          <w:cantSplit/>
          <w:jc w:val="center"/>
        </w:trPr>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M</w:t>
            </w:r>
          </w:p>
        </w:tc>
        <w:tc>
          <w:tcPr>
            <w:tcW w:w="162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tabs>
                <w:tab w:val="clear" w:pos="1191"/>
                <w:tab w:val="clear" w:pos="1588"/>
                <w:tab w:val="clear" w:pos="1985"/>
                <w:tab w:val="right" w:pos="794"/>
              </w:tabs>
              <w:spacing w:before="37" w:after="37" w:line="190" w:lineRule="exact"/>
              <w:jc w:val="left"/>
              <w:rPr>
                <w:sz w:val="18"/>
              </w:rPr>
            </w:pPr>
            <w:r w:rsidRPr="002D679B">
              <w:rPr>
                <w:sz w:val="18"/>
              </w:rPr>
              <w:tab/>
              <w:t>40</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600</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X8, Y8</w:t>
            </w:r>
          </w:p>
        </w:tc>
        <w:tc>
          <w:tcPr>
            <w:tcW w:w="147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24,0</w:t>
            </w:r>
          </w:p>
        </w:tc>
        <w:tc>
          <w:tcPr>
            <w:tcW w:w="1871"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–27,6, 27,6</w:t>
            </w:r>
          </w:p>
        </w:tc>
      </w:tr>
      <w:tr w:rsidR="002D679B" w:rsidRPr="002D679B" w:rsidTr="002D679B">
        <w:trPr>
          <w:cantSplit/>
          <w:jc w:val="center"/>
        </w:trPr>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D</w:t>
            </w:r>
          </w:p>
        </w:tc>
        <w:tc>
          <w:tcPr>
            <w:tcW w:w="1622"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tabs>
                <w:tab w:val="clear" w:pos="794"/>
                <w:tab w:val="clear" w:pos="1191"/>
                <w:tab w:val="clear" w:pos="1588"/>
                <w:tab w:val="clear" w:pos="1985"/>
                <w:tab w:val="right" w:pos="907"/>
              </w:tabs>
              <w:spacing w:before="37" w:after="37" w:line="190" w:lineRule="exact"/>
              <w:jc w:val="left"/>
              <w:rPr>
                <w:sz w:val="18"/>
              </w:rPr>
            </w:pPr>
            <w:r w:rsidRPr="002D679B">
              <w:rPr>
                <w:sz w:val="18"/>
              </w:rPr>
              <w:tab/>
              <w:t>46,3</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600</w:t>
            </w:r>
          </w:p>
        </w:tc>
        <w:tc>
          <w:tcPr>
            <w:tcW w:w="1588"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X9, Y9</w:t>
            </w:r>
          </w:p>
        </w:tc>
        <w:tc>
          <w:tcPr>
            <w:tcW w:w="1474"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29,6</w:t>
            </w:r>
          </w:p>
        </w:tc>
        <w:tc>
          <w:tcPr>
            <w:tcW w:w="1871"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37" w:after="37" w:line="190" w:lineRule="exact"/>
              <w:jc w:val="center"/>
              <w:rPr>
                <w:sz w:val="18"/>
              </w:rPr>
            </w:pPr>
            <w:r w:rsidRPr="002D679B">
              <w:rPr>
                <w:sz w:val="18"/>
              </w:rPr>
              <w:t>–22,1, 22,1</w:t>
            </w:r>
          </w:p>
        </w:tc>
      </w:tr>
    </w:tbl>
    <w:p w:rsidR="002D679B" w:rsidRPr="002D679B" w:rsidRDefault="002D679B" w:rsidP="002D679B">
      <w:pPr>
        <w:spacing w:before="0"/>
        <w:jc w:val="left"/>
        <w:rPr>
          <w:sz w:val="20"/>
        </w:rPr>
      </w:pPr>
    </w:p>
    <w:p w:rsidR="002D679B" w:rsidRPr="00B2696D" w:rsidRDefault="002D679B" w:rsidP="00B2696D">
      <w:pPr>
        <w:pStyle w:val="Heading2"/>
        <w:rPr>
          <w:sz w:val="22"/>
          <w:szCs w:val="22"/>
        </w:rPr>
      </w:pPr>
      <w:bookmarkStart w:id="43" w:name="_Toc289761198"/>
      <w:r w:rsidRPr="00B2696D">
        <w:rPr>
          <w:sz w:val="22"/>
          <w:szCs w:val="22"/>
        </w:rPr>
        <w:t>2.2</w:t>
      </w:r>
      <w:r w:rsidRPr="00B2696D">
        <w:rPr>
          <w:sz w:val="22"/>
          <w:szCs w:val="22"/>
        </w:rPr>
        <w:tab/>
        <w:t>Points de mesure VOR</w:t>
      </w:r>
      <w:bookmarkEnd w:id="43"/>
    </w:p>
    <w:p w:rsidR="002D679B" w:rsidRPr="00B2696D" w:rsidRDefault="002D679B" w:rsidP="00B2696D">
      <w:pPr>
        <w:pStyle w:val="Heading3"/>
        <w:rPr>
          <w:sz w:val="20"/>
        </w:rPr>
      </w:pPr>
      <w:r w:rsidRPr="00B2696D">
        <w:rPr>
          <w:sz w:val="20"/>
        </w:rPr>
        <w:t>2.2.1</w:t>
      </w:r>
      <w:r w:rsidRPr="00B2696D">
        <w:rPr>
          <w:sz w:val="20"/>
        </w:rPr>
        <w:tab/>
        <w:t>Points de mesure associés à des stations de radiodiffusion se trouvant à l'intérieur de la COS</w:t>
      </w:r>
    </w:p>
    <w:p w:rsidR="002D679B" w:rsidRPr="002D679B" w:rsidRDefault="002D679B" w:rsidP="002D679B">
      <w:pPr>
        <w:spacing w:before="136"/>
        <w:rPr>
          <w:sz w:val="20"/>
        </w:rPr>
      </w:pPr>
      <w:r w:rsidRPr="002D679B">
        <w:rPr>
          <w:sz w:val="20"/>
        </w:rPr>
        <w:t>Un point de mesure est placé aux coordonnées géographiques de la station de radiodiffusion, à une hauteur minimale de:</w:t>
      </w:r>
    </w:p>
    <w:p w:rsidR="002D679B" w:rsidRPr="002D679B" w:rsidRDefault="002D679B" w:rsidP="00B45125">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600 m au-dessus du terrain local (valeur approchée à 600 m au-dessus de la cote altimétrique de la station de radiodiffusion); ou</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300 m au-dessus de l'antenne de cette station; ou</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 valeur calculée d'après la Fig. 5, à laquelle on ajoute la cote altimétrique du VOR, selon la valeur la plus grande.</w:t>
      </w:r>
    </w:p>
    <w:p w:rsidR="002D679B" w:rsidRPr="002D679B" w:rsidRDefault="002D679B" w:rsidP="002D679B">
      <w:pPr>
        <w:spacing w:before="136"/>
        <w:rPr>
          <w:sz w:val="20"/>
        </w:rPr>
      </w:pPr>
    </w:p>
    <w:p w:rsidR="002D679B" w:rsidRPr="002D679B" w:rsidRDefault="002D679B" w:rsidP="002D679B">
      <w:pPr>
        <w:spacing w:before="136"/>
        <w:jc w:val="center"/>
        <w:rPr>
          <w:sz w:val="20"/>
          <w:lang w:val="en-US"/>
        </w:rPr>
      </w:pPr>
      <w:r>
        <w:rPr>
          <w:noProof/>
          <w:sz w:val="20"/>
          <w:lang w:val="fr-CH" w:eastAsia="fr-CH"/>
        </w:rPr>
        <w:drawing>
          <wp:inline distT="0" distB="0" distL="0" distR="0" wp14:anchorId="1035F49B" wp14:editId="00F5A1C0">
            <wp:extent cx="5967095" cy="68224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67095" cy="6822440"/>
                    </a:xfrm>
                    <a:prstGeom prst="rect">
                      <a:avLst/>
                    </a:prstGeom>
                    <a:noFill/>
                    <a:ln>
                      <a:noFill/>
                    </a:ln>
                  </pic:spPr>
                </pic:pic>
              </a:graphicData>
            </a:graphic>
          </wp:inline>
        </w:drawing>
      </w:r>
    </w:p>
    <w:p w:rsidR="002D679B" w:rsidRPr="002D679B" w:rsidRDefault="002D679B" w:rsidP="002D679B">
      <w:pPr>
        <w:spacing w:before="136"/>
        <w:jc w:val="left"/>
        <w:rPr>
          <w:color w:val="FFFFFF"/>
          <w:sz w:val="20"/>
        </w:rPr>
      </w:pPr>
      <w:r w:rsidRPr="002D679B">
        <w:rPr>
          <w:color w:val="FFFFFF"/>
          <w:sz w:val="20"/>
        </w:rPr>
        <w:t>FIGURE 5/1009...</w:t>
      </w:r>
      <w:r w:rsidRPr="002D679B">
        <w:rPr>
          <w:b/>
          <w:color w:val="FFFFFF"/>
          <w:sz w:val="20"/>
        </w:rPr>
        <w:t>[D05]</w:t>
      </w:r>
      <w:r w:rsidRPr="002D679B">
        <w:rPr>
          <w:color w:val="FFFFFF"/>
          <w:sz w:val="20"/>
        </w:rPr>
        <w:t xml:space="preserve">   </w:t>
      </w:r>
      <w:r w:rsidRPr="002D679B">
        <w:rPr>
          <w:rFonts w:ascii="Symbol" w:hAnsi="Symbol"/>
          <w:color w:val="FFFFFF"/>
          <w:sz w:val="20"/>
          <w:lang w:val="en-US"/>
        </w:rPr>
        <w:t></w:t>
      </w:r>
      <w:r w:rsidRPr="002D679B">
        <w:rPr>
          <w:color w:val="FFFFFF"/>
          <w:sz w:val="20"/>
        </w:rPr>
        <w:t xml:space="preserve"> 18.5   CM </w:t>
      </w:r>
    </w:p>
    <w:p w:rsidR="002D679B" w:rsidRPr="00B2696D" w:rsidRDefault="002D679B" w:rsidP="00B2696D">
      <w:pPr>
        <w:pStyle w:val="Heading3"/>
        <w:rPr>
          <w:sz w:val="20"/>
        </w:rPr>
      </w:pPr>
      <w:r w:rsidRPr="00B2696D">
        <w:rPr>
          <w:sz w:val="20"/>
        </w:rPr>
        <w:t>2.2.2</w:t>
      </w:r>
      <w:r w:rsidRPr="00B2696D">
        <w:rPr>
          <w:sz w:val="20"/>
        </w:rPr>
        <w:tab/>
        <w:t>Points de mesure associés à des stations de radiodiffusion se trouvant à l'extérieur de la COS</w:t>
      </w:r>
    </w:p>
    <w:p w:rsidR="002D679B" w:rsidRPr="002D679B" w:rsidRDefault="002D679B" w:rsidP="002D679B">
      <w:pPr>
        <w:spacing w:before="136"/>
        <w:rPr>
          <w:sz w:val="20"/>
        </w:rPr>
      </w:pPr>
      <w:r w:rsidRPr="002D679B">
        <w:rPr>
          <w:sz w:val="20"/>
        </w:rPr>
        <w:t>Les stations de radiodiffusion qui se trouvent à l'extérieur de la COS mais à moins de 3 km de la limite de COS sont traitées comme indiqué au § 2.2.1. Pour les stations qui se trouvent à plus de 3 km à l'extérieur de la COS mais dans les limites de distance spécifiées au § 3.1.2, on construit un point de mesure situé au plus près de la limite de COS et à une hauteur minimale de:</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600 m au-dessus du niveau moyen de la mer; ou</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 valeur égale à la hauteur de l'antenne de radiodiffusion au-dessus du niveau moyen de la mer; ou</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 valeur calculée d'après la Fig. 5, à laquelle on ajoute la cote altimétrique du VOR, selon la valeur la plus grande.</w:t>
      </w:r>
    </w:p>
    <w:p w:rsidR="002D679B" w:rsidRPr="002D679B" w:rsidRDefault="002D679B" w:rsidP="002D679B">
      <w:pPr>
        <w:spacing w:before="136"/>
        <w:rPr>
          <w:sz w:val="20"/>
        </w:rPr>
      </w:pPr>
      <w:r w:rsidRPr="002D679B">
        <w:rPr>
          <w:sz w:val="20"/>
        </w:rPr>
        <w:t>Les points de mesure situés sur la limite de COS et espacés de moins de 250 m sont considérés comme copositionnés.</w:t>
      </w:r>
    </w:p>
    <w:p w:rsidR="002D679B" w:rsidRPr="00B2696D" w:rsidRDefault="002D679B" w:rsidP="00B2696D">
      <w:pPr>
        <w:pStyle w:val="Heading3"/>
        <w:rPr>
          <w:sz w:val="20"/>
        </w:rPr>
      </w:pPr>
      <w:r w:rsidRPr="00B2696D">
        <w:rPr>
          <w:sz w:val="20"/>
        </w:rPr>
        <w:t>2.2.3</w:t>
      </w:r>
      <w:r w:rsidRPr="00B2696D">
        <w:rPr>
          <w:sz w:val="20"/>
        </w:rPr>
        <w:tab/>
        <w:t>Points de mesure supplémentaires</w:t>
      </w:r>
    </w:p>
    <w:p w:rsidR="002D679B" w:rsidRPr="002D679B" w:rsidRDefault="002D679B" w:rsidP="002D679B">
      <w:pPr>
        <w:spacing w:before="136"/>
        <w:rPr>
          <w:sz w:val="20"/>
        </w:rPr>
      </w:pPr>
      <w:r w:rsidRPr="002D679B">
        <w:rPr>
          <w:sz w:val="20"/>
        </w:rPr>
        <w:t>On pourra spécifier des points de mesure supplémentaires à l'intérieur de la COS pour tenir compte d'une utilisation particulière d'un VOR, par exemple lorsqu'il sert d'aide d'atterrissage ou lorsqu'un service est demandé à un angle d'élévation inférieur à 0</w:t>
      </w:r>
      <w:r w:rsidRPr="002D679B">
        <w:rPr>
          <w:rFonts w:ascii="Symbol" w:hAnsi="Symbol"/>
          <w:sz w:val="20"/>
          <w:lang w:val="en-GB"/>
        </w:rPr>
        <w:t></w:t>
      </w:r>
      <w:r w:rsidRPr="002D679B">
        <w:rPr>
          <w:sz w:val="20"/>
        </w:rPr>
        <w:t xml:space="preserve"> (voir également le § 3.2.3.2).</w:t>
      </w:r>
    </w:p>
    <w:p w:rsidR="002D679B" w:rsidRPr="002D679B" w:rsidRDefault="002D679B" w:rsidP="00B2696D">
      <w:pPr>
        <w:pStyle w:val="Heading1"/>
      </w:pPr>
      <w:bookmarkStart w:id="44" w:name="_Toc289760522"/>
      <w:bookmarkStart w:id="45" w:name="_Toc289760862"/>
      <w:bookmarkStart w:id="46" w:name="_Toc289761199"/>
      <w:r w:rsidRPr="002D679B">
        <w:t>3</w:t>
      </w:r>
      <w:r w:rsidRPr="002D679B">
        <w:tab/>
        <w:t>Application de la méthode d'évaluation générale</w:t>
      </w:r>
      <w:bookmarkEnd w:id="44"/>
      <w:bookmarkEnd w:id="45"/>
      <w:bookmarkEnd w:id="46"/>
    </w:p>
    <w:p w:rsidR="002D679B" w:rsidRPr="00B2696D" w:rsidRDefault="002D679B" w:rsidP="00B2696D">
      <w:pPr>
        <w:pStyle w:val="Heading2"/>
        <w:rPr>
          <w:sz w:val="22"/>
          <w:szCs w:val="22"/>
        </w:rPr>
      </w:pPr>
      <w:bookmarkStart w:id="47" w:name="_Toc289761200"/>
      <w:r w:rsidRPr="00B2696D">
        <w:rPr>
          <w:sz w:val="22"/>
          <w:szCs w:val="22"/>
        </w:rPr>
        <w:t>3.1</w:t>
      </w:r>
      <w:r w:rsidRPr="00B2696D">
        <w:rPr>
          <w:sz w:val="22"/>
          <w:szCs w:val="22"/>
        </w:rPr>
        <w:tab/>
        <w:t>Considération d'ordre général</w:t>
      </w:r>
      <w:bookmarkEnd w:id="47"/>
    </w:p>
    <w:p w:rsidR="002D679B" w:rsidRPr="002D679B" w:rsidRDefault="002D679B" w:rsidP="002D679B">
      <w:pPr>
        <w:spacing w:before="136"/>
        <w:rPr>
          <w:sz w:val="20"/>
        </w:rPr>
      </w:pPr>
      <w:r w:rsidRPr="002D679B">
        <w:rPr>
          <w:sz w:val="20"/>
        </w:rPr>
        <w:t>Les critères de compatibilité sont indiqués dans l'Annexe 1.</w:t>
      </w:r>
    </w:p>
    <w:p w:rsidR="002D679B" w:rsidRPr="00B2696D" w:rsidRDefault="002D679B" w:rsidP="00B2696D">
      <w:pPr>
        <w:pStyle w:val="Heading3"/>
        <w:rPr>
          <w:sz w:val="20"/>
        </w:rPr>
      </w:pPr>
      <w:r w:rsidRPr="00B2696D">
        <w:rPr>
          <w:sz w:val="20"/>
        </w:rPr>
        <w:t>3.1.1</w:t>
      </w:r>
      <w:r w:rsidRPr="00B2696D">
        <w:rPr>
          <w:sz w:val="20"/>
        </w:rPr>
        <w:tab/>
        <w:t>Sélection des points de mesure</w:t>
      </w:r>
    </w:p>
    <w:p w:rsidR="002D679B" w:rsidRPr="002D679B" w:rsidRDefault="002D679B" w:rsidP="002D679B">
      <w:pPr>
        <w:spacing w:before="136"/>
        <w:rPr>
          <w:sz w:val="20"/>
        </w:rPr>
      </w:pPr>
      <w:r w:rsidRPr="002D679B">
        <w:rPr>
          <w:sz w:val="20"/>
        </w:rPr>
        <w:t>Les points de mesure sont sélectionnés conformément aux critères exposés au § 2.</w:t>
      </w:r>
    </w:p>
    <w:p w:rsidR="002D679B" w:rsidRPr="00B2696D" w:rsidRDefault="002D679B" w:rsidP="00B2696D">
      <w:pPr>
        <w:pStyle w:val="Heading3"/>
        <w:rPr>
          <w:sz w:val="20"/>
        </w:rPr>
      </w:pPr>
      <w:r w:rsidRPr="00B2696D">
        <w:rPr>
          <w:sz w:val="20"/>
        </w:rPr>
        <w:t>3.1.2</w:t>
      </w:r>
      <w:r w:rsidRPr="00B2696D">
        <w:rPr>
          <w:sz w:val="20"/>
        </w:rPr>
        <w:tab/>
        <w:t>Stations de radiodiffusion à inclure dans l'analyse d'un point de mesure</w:t>
      </w:r>
    </w:p>
    <w:p w:rsidR="002D679B" w:rsidRPr="002D679B" w:rsidRDefault="002D679B" w:rsidP="002D679B">
      <w:pPr>
        <w:spacing w:before="136"/>
        <w:rPr>
          <w:sz w:val="20"/>
        </w:rPr>
      </w:pPr>
      <w:r w:rsidRPr="002D679B">
        <w:rPr>
          <w:sz w:val="20"/>
        </w:rPr>
        <w:t>Les stations de radiodiffusion sont incluses dans l'analyse en un point de mesure si les conditions suivantes sont satisfaites: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d'une part, il existe un trajet en portée optique (voir la définition dans l'Annexe 4) entre l'antenne de radiodiffusion et le point de mesure; d'autre part, le niveau de signal calculé est supérieur à la valeur de coupure B1 (voir le § 4.2.3.4 de l'Annexe 1);</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l'intensité de champ en espace libre (voir le § 3.3.7 de l'Annexe 1) est égale au moins à la valeur qui peut provoquer une incompatibilité de type A1 ou A2 ou B2 (voir les § 4.2 et 4.3 de l'Annexe 1), sous réserve d'une distance de séparation minimale de 125 km dans les cas de types A1 et B2.</w:t>
      </w:r>
    </w:p>
    <w:p w:rsidR="002D679B" w:rsidRPr="00B2696D" w:rsidRDefault="002D679B" w:rsidP="00B2696D">
      <w:pPr>
        <w:pStyle w:val="Heading3"/>
        <w:rPr>
          <w:sz w:val="20"/>
        </w:rPr>
      </w:pPr>
      <w:r w:rsidRPr="00B2696D">
        <w:rPr>
          <w:sz w:val="20"/>
        </w:rPr>
        <w:t>3.1.3</w:t>
      </w:r>
      <w:r w:rsidRPr="00B2696D">
        <w:rPr>
          <w:sz w:val="20"/>
        </w:rPr>
        <w:tab/>
        <w:t>Calculs de compatibilité</w:t>
      </w:r>
    </w:p>
    <w:p w:rsidR="002D679B" w:rsidRPr="002D679B" w:rsidRDefault="002D679B" w:rsidP="002D679B">
      <w:pPr>
        <w:spacing w:before="136"/>
        <w:rPr>
          <w:sz w:val="20"/>
        </w:rPr>
      </w:pPr>
      <w:r w:rsidRPr="002D679B">
        <w:rPr>
          <w:sz w:val="20"/>
        </w:rPr>
        <w:t>Pour évaluer la compatibilité de l'ensemble des stations de radiodiffusion qui répondent aux conditions du § 3.1.2 à tout point de mesure sélectionné (voir le § 3.1.1), il est nécessaire:</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de calculer au point de mesure l'intensité de champ en espace libre (voir le § 3.3.7 de l'Annexe 1) en provenance de chacune des stations de radiodiffusion, compte tenu de la distance en trajet oblique (voir la définition dans l'Annexe 4), de la p.a.r. maximale et des caractéristiques d'antenne (voir le § 4);</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de calculer l'intensité de champ du signal ILS ou VOR (voir les § 3.2.2.3 et 3.2.3.2);</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de calculer, selon le § 3.4 de l'Annexe 1, le niveau du signal à l'entrée du récepteur aéronautique.</w:t>
      </w:r>
    </w:p>
    <w:p w:rsidR="002D679B" w:rsidRPr="002D679B" w:rsidRDefault="002D679B" w:rsidP="002D679B">
      <w:pPr>
        <w:spacing w:before="136"/>
        <w:rPr>
          <w:sz w:val="20"/>
        </w:rPr>
      </w:pPr>
      <w:r w:rsidRPr="002D679B">
        <w:rPr>
          <w:sz w:val="20"/>
        </w:rPr>
        <w:t>On pourra ensuite évaluer la compatibilité pour chaque type de brouillage comme indiqué aux § 3.1.3.1 à 3.1.3.4 en fonction de la fréquence et du type (ILS ou VOR) de service aéronautique.</w:t>
      </w:r>
    </w:p>
    <w:p w:rsidR="002D679B" w:rsidRPr="00B2696D" w:rsidRDefault="002D679B" w:rsidP="00B2696D">
      <w:pPr>
        <w:pStyle w:val="Heading4"/>
        <w:rPr>
          <w:sz w:val="20"/>
        </w:rPr>
      </w:pPr>
      <w:r w:rsidRPr="00B2696D">
        <w:rPr>
          <w:sz w:val="20"/>
        </w:rPr>
        <w:t>3.1.3.1</w:t>
      </w:r>
      <w:r w:rsidRPr="00B2696D">
        <w:rPr>
          <w:sz w:val="20"/>
        </w:rPr>
        <w:tab/>
        <w:t>Brouillage de type A1</w:t>
      </w:r>
    </w:p>
    <w:p w:rsidR="002D679B" w:rsidRPr="002D679B" w:rsidRDefault="002D679B" w:rsidP="002D679B">
      <w:pPr>
        <w:spacing w:before="136"/>
        <w:rPr>
          <w:sz w:val="20"/>
        </w:rPr>
      </w:pPr>
      <w:r w:rsidRPr="002D679B">
        <w:rPr>
          <w:sz w:val="20"/>
        </w:rPr>
        <w:t>On calculera les fréquences des produits d'intermodulation à deux ou trois composantes, qui peuvent être émises par un sous-ensemble quelconque de stations de radiodiffusion copositionnées. Tout produit dont la fréquence n'est pas éloignée de plus de 200 kHz de celle du service aéronautique fera l'objet, compte tenu des critères indiqués dans le § 4.2.1 de l'Annexe 1, d'un examen complémentaire afin de déterminer si l'intensité de son champ électro-magnétique est suffisante pour provoquer un brouillage de type A1.</w:t>
      </w:r>
    </w:p>
    <w:p w:rsidR="002D679B" w:rsidRPr="002D679B" w:rsidRDefault="002D679B" w:rsidP="002D679B">
      <w:pPr>
        <w:spacing w:before="136"/>
        <w:rPr>
          <w:sz w:val="20"/>
        </w:rPr>
      </w:pPr>
      <w:r w:rsidRPr="002D679B">
        <w:rPr>
          <w:sz w:val="20"/>
        </w:rPr>
        <w:t>Il y a lieu d'utiliser les critères indiqués dans le § 4.3.1 de l'Annexe 1 pour évaluer la compatibilité de type A1 avec les récepteurs aéronautiques de type 1998 selon l'Annexe 10 de l'OACI.</w:t>
      </w:r>
    </w:p>
    <w:p w:rsidR="002D679B" w:rsidRPr="00B2696D" w:rsidRDefault="002D679B" w:rsidP="00B2696D">
      <w:pPr>
        <w:pStyle w:val="Heading4"/>
        <w:rPr>
          <w:sz w:val="20"/>
        </w:rPr>
      </w:pPr>
      <w:r w:rsidRPr="00B2696D">
        <w:rPr>
          <w:sz w:val="20"/>
        </w:rPr>
        <w:t>3.1.3.2</w:t>
      </w:r>
      <w:r w:rsidRPr="00B2696D">
        <w:rPr>
          <w:sz w:val="20"/>
        </w:rPr>
        <w:tab/>
        <w:t>Brouillage de type A2</w:t>
      </w:r>
    </w:p>
    <w:p w:rsidR="002D679B" w:rsidRPr="002D679B" w:rsidRDefault="002D679B" w:rsidP="002D679B">
      <w:pPr>
        <w:spacing w:before="136"/>
        <w:rPr>
          <w:sz w:val="20"/>
        </w:rPr>
      </w:pPr>
      <w:r w:rsidRPr="002D679B">
        <w:rPr>
          <w:sz w:val="20"/>
        </w:rPr>
        <w:t>Chacune des stations de radiodiffusion (repérées conformément au § 3.1.2) sera examinée pour déterminer si sa fréquence n'est pas éloignée de plus de 300 kHz de celle du service aéronautique et si tel est le cas, si son intensité de champ est suffisante pour provoquer un brouillage de type A2, compte tenu des critères indiqués au § 4.2.2 de l'Annexe 1.</w:t>
      </w:r>
    </w:p>
    <w:p w:rsidR="002D679B" w:rsidRPr="002D679B" w:rsidRDefault="002D679B" w:rsidP="002D679B">
      <w:pPr>
        <w:spacing w:before="136"/>
        <w:rPr>
          <w:sz w:val="20"/>
        </w:rPr>
      </w:pPr>
      <w:r w:rsidRPr="002D679B">
        <w:rPr>
          <w:sz w:val="20"/>
        </w:rPr>
        <w:t>Il y a lieu d'utiliser les critères indiqués dans le § 4.3.2 de l'Annexe 1 pour évaluer la compatibilité de type A2 avec les récepteurs aéronautiques de type 1998 selon l'Annexe 10 de l'OACI.</w:t>
      </w:r>
    </w:p>
    <w:p w:rsidR="002D679B" w:rsidRPr="00B2696D" w:rsidRDefault="002D679B" w:rsidP="00B2696D">
      <w:pPr>
        <w:pStyle w:val="Heading4"/>
        <w:rPr>
          <w:sz w:val="20"/>
        </w:rPr>
      </w:pPr>
      <w:r w:rsidRPr="00B2696D">
        <w:rPr>
          <w:sz w:val="20"/>
        </w:rPr>
        <w:t>3.1.3.3</w:t>
      </w:r>
      <w:r w:rsidRPr="00B2696D">
        <w:rPr>
          <w:sz w:val="20"/>
        </w:rPr>
        <w:tab/>
        <w:t>Brouillage de type B1</w:t>
      </w:r>
    </w:p>
    <w:p w:rsidR="002D679B" w:rsidRPr="002D679B" w:rsidRDefault="002D679B" w:rsidP="00B45125">
      <w:pPr>
        <w:spacing w:before="136"/>
        <w:rPr>
          <w:sz w:val="20"/>
        </w:rPr>
      </w:pPr>
      <w:r w:rsidRPr="002D679B">
        <w:rPr>
          <w:sz w:val="20"/>
        </w:rPr>
        <w:t>On calcule les fréquences des produits d'intermodulation à deux ou trois composantes que peut émettre un sous</w:t>
      </w:r>
      <w:r w:rsidR="00B45125">
        <w:rPr>
          <w:sz w:val="20"/>
        </w:rPr>
        <w:noBreakHyphen/>
      </w:r>
      <w:r w:rsidRPr="002D679B">
        <w:rPr>
          <w:sz w:val="20"/>
        </w:rPr>
        <w:t>ensemble quelconque de stations de radiodiffusion (repérées comme indiqué au § 3.1.2), dont au moins une composante atteint la valeur de déclenchement (voir le § 4.2.3.4 de l'Annexe 1) et dont toutes les composantes sont supérieures à la valeur de coupure (voir la définition dans l'Annexe 4) (voir le § 4.2.3.4 de l'Annexe 1) à l'entrée du récepteur aéronau</w:t>
      </w:r>
      <w:r w:rsidRPr="002D679B">
        <w:rPr>
          <w:sz w:val="20"/>
        </w:rPr>
        <w:softHyphen/>
        <w:t>tique. Tout produit dont la fréquence n'est pas éloignée de plus de 200 kHz de la fréquence aéronautique fera l'objet, compte tenu des critères du § 4.2.3 de l'Annexe 1, d'un examen complémentaire pour déterminer si la somme (dBm) des puissances à l'entrée du récepteur aéronautique (voir le § 3.4 de l'Annexe 1) est suffisante pour provoquer un brouillage de type B1.</w:t>
      </w:r>
    </w:p>
    <w:p w:rsidR="002D679B" w:rsidRPr="002D679B" w:rsidRDefault="002D679B" w:rsidP="002D679B">
      <w:pPr>
        <w:spacing w:before="136"/>
        <w:rPr>
          <w:sz w:val="20"/>
        </w:rPr>
      </w:pPr>
      <w:r w:rsidRPr="002D679B">
        <w:rPr>
          <w:sz w:val="20"/>
        </w:rPr>
        <w:t>Il y a lieu d'utiliser les critères du § 4.3.3 de l'Annexe 1 pour évaluer la compatibilité de type B1 avec les récepteurs aéronautiques de type 1998 selon l'Annexe 10 de l'OACI.</w:t>
      </w:r>
    </w:p>
    <w:p w:rsidR="002D679B" w:rsidRPr="00B2696D" w:rsidRDefault="002D679B" w:rsidP="00B2696D">
      <w:pPr>
        <w:pStyle w:val="Heading4"/>
        <w:rPr>
          <w:sz w:val="20"/>
        </w:rPr>
      </w:pPr>
      <w:r w:rsidRPr="00B2696D">
        <w:rPr>
          <w:sz w:val="20"/>
        </w:rPr>
        <w:t>3.1.3.4</w:t>
      </w:r>
      <w:r w:rsidRPr="00B2696D">
        <w:rPr>
          <w:sz w:val="20"/>
        </w:rPr>
        <w:tab/>
        <w:t>Brouillage de type B2</w:t>
      </w:r>
    </w:p>
    <w:p w:rsidR="002D679B" w:rsidRPr="002D679B" w:rsidRDefault="002D679B" w:rsidP="002D679B">
      <w:pPr>
        <w:spacing w:before="136"/>
        <w:rPr>
          <w:sz w:val="20"/>
        </w:rPr>
      </w:pPr>
      <w:r w:rsidRPr="002D679B">
        <w:rPr>
          <w:sz w:val="20"/>
        </w:rPr>
        <w:t>On examinera chacune des stations de radiodiffusion (repérées selon le § 3.1.2) pour déterminer – compte tenu des critères du § 4.2.4 de l'Annexe 1 – si leur puissance à l'entrée du récepteur aéronautique (voir le § 3.4 de l'Annexe 1) (voir la Note 1) est suffisante pour provoquer un brouillage de type B2.</w:t>
      </w:r>
    </w:p>
    <w:p w:rsidR="002D679B" w:rsidRPr="002D679B" w:rsidRDefault="002D679B" w:rsidP="002D679B">
      <w:pPr>
        <w:spacing w:before="136"/>
        <w:rPr>
          <w:sz w:val="20"/>
        </w:rPr>
      </w:pPr>
      <w:r w:rsidRPr="002D679B">
        <w:rPr>
          <w:sz w:val="20"/>
        </w:rPr>
        <w:t>Il y a lieu d'utiliser les critères du § 4.3.4 de l'Annexe 1 pour évaluer la compatibilité de type B2 avec les récepteurs aéronautiques de type 1998 selon l'Annexe 10 de l'OACI.</w:t>
      </w:r>
    </w:p>
    <w:p w:rsidR="002D679B" w:rsidRPr="002D679B" w:rsidRDefault="002D679B" w:rsidP="002D679B">
      <w:pPr>
        <w:tabs>
          <w:tab w:val="clear" w:pos="794"/>
          <w:tab w:val="clear" w:pos="1191"/>
          <w:tab w:val="clear" w:pos="1588"/>
          <w:tab w:val="clear" w:pos="1985"/>
        </w:tabs>
        <w:spacing w:before="80"/>
        <w:rPr>
          <w:sz w:val="20"/>
        </w:rPr>
      </w:pPr>
      <w:r w:rsidRPr="002D679B">
        <w:rPr>
          <w:sz w:val="20"/>
        </w:rPr>
        <w:t>NOTE 1 – Le terme «puissance absorbée équivalente» désigne ici la «puissance appliquée à l'entrée d'un récepteur aéronautique compte tenu de toutes composantes angulaires».</w:t>
      </w:r>
    </w:p>
    <w:p w:rsidR="002D679B" w:rsidRPr="00B2696D" w:rsidRDefault="002D679B" w:rsidP="00B2696D">
      <w:pPr>
        <w:pStyle w:val="Heading2"/>
        <w:rPr>
          <w:sz w:val="22"/>
          <w:szCs w:val="22"/>
        </w:rPr>
      </w:pPr>
      <w:bookmarkStart w:id="48" w:name="_Toc289761201"/>
      <w:r w:rsidRPr="00B2696D">
        <w:rPr>
          <w:sz w:val="22"/>
          <w:szCs w:val="22"/>
        </w:rPr>
        <w:t>3.2</w:t>
      </w:r>
      <w:r w:rsidRPr="00B2696D">
        <w:rPr>
          <w:sz w:val="22"/>
          <w:szCs w:val="22"/>
        </w:rPr>
        <w:tab/>
        <w:t>Considérations spéciales sur les évaluations de compatibilité</w:t>
      </w:r>
      <w:bookmarkEnd w:id="48"/>
    </w:p>
    <w:p w:rsidR="002D679B" w:rsidRPr="00B2696D" w:rsidRDefault="002D679B" w:rsidP="00B2696D">
      <w:pPr>
        <w:pStyle w:val="Heading3"/>
        <w:rPr>
          <w:sz w:val="20"/>
        </w:rPr>
      </w:pPr>
      <w:r w:rsidRPr="00B2696D">
        <w:rPr>
          <w:sz w:val="20"/>
        </w:rPr>
        <w:t>3.2.1</w:t>
      </w:r>
      <w:r w:rsidRPr="00B2696D">
        <w:rPr>
          <w:sz w:val="20"/>
        </w:rPr>
        <w:tab/>
        <w:t>Hauteurs de point de mesure supérieures aux valeurs minimales</w:t>
      </w:r>
    </w:p>
    <w:p w:rsidR="002D679B" w:rsidRPr="002D679B" w:rsidRDefault="002D679B" w:rsidP="002D679B">
      <w:pPr>
        <w:spacing w:before="136"/>
        <w:rPr>
          <w:sz w:val="20"/>
        </w:rPr>
      </w:pPr>
      <w:r w:rsidRPr="002D679B">
        <w:rPr>
          <w:sz w:val="20"/>
        </w:rPr>
        <w:t>Pour faire en sorte que toutes les situations possibles de brouillage de type B1 soient prises en considération, il peut s'avérer nécessaire d'effectuer des calculs supplémentaires pour des hauteurs de point de mesure supérieures aux valeurs minimales, à condition que la hauteur du point de mesure ne dépasse pas: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 hauteur maximale de la COS; ou</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 hauteur maximale à laquelle on peut obtenir la valeur de déclenchement.</w:t>
      </w:r>
    </w:p>
    <w:p w:rsidR="002D679B" w:rsidRPr="002D679B" w:rsidRDefault="002D679B" w:rsidP="002D679B">
      <w:pPr>
        <w:spacing w:before="136"/>
        <w:rPr>
          <w:sz w:val="20"/>
        </w:rPr>
      </w:pPr>
      <w:r w:rsidRPr="002D679B">
        <w:rPr>
          <w:sz w:val="20"/>
        </w:rPr>
        <w:t>Le § 7 de l'Appendice 1 donne des explications plus détaillées à ce sujet ainsi que les raisons de la limitation aux brouillages de type B1.</w:t>
      </w:r>
    </w:p>
    <w:p w:rsidR="002D679B" w:rsidRPr="00B2696D" w:rsidRDefault="002D679B" w:rsidP="00B2696D">
      <w:pPr>
        <w:pStyle w:val="Heading3"/>
        <w:rPr>
          <w:sz w:val="20"/>
        </w:rPr>
      </w:pPr>
      <w:r w:rsidRPr="00B2696D">
        <w:rPr>
          <w:sz w:val="20"/>
        </w:rPr>
        <w:t>3.2.2</w:t>
      </w:r>
      <w:r w:rsidRPr="00B2696D">
        <w:rPr>
          <w:sz w:val="20"/>
        </w:rPr>
        <w:tab/>
        <w:t>ILS</w:t>
      </w:r>
    </w:p>
    <w:p w:rsidR="002D679B" w:rsidRPr="00B2696D" w:rsidRDefault="002D679B" w:rsidP="00B2696D">
      <w:pPr>
        <w:pStyle w:val="Heading4"/>
        <w:rPr>
          <w:sz w:val="20"/>
        </w:rPr>
      </w:pPr>
      <w:r w:rsidRPr="00B2696D">
        <w:rPr>
          <w:sz w:val="20"/>
        </w:rPr>
        <w:t>3.2.2.1</w:t>
      </w:r>
      <w:r w:rsidRPr="00B2696D">
        <w:rPr>
          <w:sz w:val="20"/>
        </w:rPr>
        <w:tab/>
        <w:t>Points de mesure fixes</w:t>
      </w:r>
    </w:p>
    <w:p w:rsidR="002D679B" w:rsidRPr="002D679B" w:rsidRDefault="002D679B" w:rsidP="002D679B">
      <w:pPr>
        <w:spacing w:before="136"/>
        <w:rPr>
          <w:sz w:val="20"/>
        </w:rPr>
      </w:pPr>
      <w:r w:rsidRPr="002D679B">
        <w:rPr>
          <w:sz w:val="20"/>
        </w:rPr>
        <w:t>La longueur du trajet oblique entre l'antenne de radiodiffusion et un point de mesure quelconque sert à calculer l'intensité de champ, mais sous réserve de la valeur minimale suivante:</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150 m si la station de radiodiffusion se trouve dans la zone ombrée de la Fig. 4;</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300 m dans le cas contraire.</w:t>
      </w:r>
    </w:p>
    <w:p w:rsidR="002D679B" w:rsidRPr="00B2696D" w:rsidRDefault="002D679B" w:rsidP="00B2696D">
      <w:pPr>
        <w:pStyle w:val="Heading4"/>
        <w:rPr>
          <w:sz w:val="20"/>
        </w:rPr>
      </w:pPr>
      <w:r w:rsidRPr="00B2696D">
        <w:rPr>
          <w:sz w:val="20"/>
        </w:rPr>
        <w:t>3.2.2.2</w:t>
      </w:r>
      <w:r w:rsidRPr="00B2696D">
        <w:rPr>
          <w:sz w:val="20"/>
        </w:rPr>
        <w:tab/>
        <w:t>Points de mesure associés à des stations de radiodiffusion</w:t>
      </w:r>
    </w:p>
    <w:p w:rsidR="002D679B" w:rsidRPr="002D679B" w:rsidRDefault="002D679B" w:rsidP="002D679B">
      <w:pPr>
        <w:spacing w:before="136"/>
        <w:rPr>
          <w:sz w:val="20"/>
        </w:rPr>
      </w:pPr>
      <w:r w:rsidRPr="002D679B">
        <w:rPr>
          <w:sz w:val="20"/>
        </w:rPr>
        <w:t>Si la station de radiodiffusion se trouve à l'intérieur de la zone ombrée de la Fig. 4:</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des calculs supplémentaires sont effectués pour une distance de séparation horizontale de 150 m, en utilisant la valeur maximale de p.a.r. et la hauteur spécifiées au § 2.1.2.</w:t>
      </w:r>
    </w:p>
    <w:p w:rsidR="002D679B" w:rsidRPr="002D679B" w:rsidRDefault="002D679B" w:rsidP="00B2696D">
      <w:pPr>
        <w:rPr>
          <w:sz w:val="20"/>
        </w:rPr>
      </w:pPr>
      <w:r w:rsidRPr="002D679B">
        <w:rPr>
          <w:sz w:val="20"/>
        </w:rPr>
        <w:t>Si la station de radiodiffusion se trouve à l'intérieur ou au-dessous de la COS d'ILS mais à l'extérieur de la zone ombrée de la Fig. 4:</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des calculs supplémentaires sont effectués pour un point de mesure situé au-dessus de la station de radiodiffusion, à la hauteur spécifiée au § 2.1.2. On appliquera le facteur de correction maximal du diagramme de rayonnement vertical, selon le § 4.4.</w:t>
      </w:r>
    </w:p>
    <w:p w:rsidR="002D679B" w:rsidRPr="00B2696D" w:rsidRDefault="002D679B" w:rsidP="00B2696D">
      <w:pPr>
        <w:pStyle w:val="Heading4"/>
        <w:rPr>
          <w:sz w:val="20"/>
        </w:rPr>
      </w:pPr>
      <w:r w:rsidRPr="00B2696D">
        <w:rPr>
          <w:sz w:val="20"/>
        </w:rPr>
        <w:t>3.2.2.3</w:t>
      </w:r>
      <w:r w:rsidRPr="00B2696D">
        <w:rPr>
          <w:sz w:val="20"/>
        </w:rPr>
        <w:tab/>
        <w:t>Calcul de l'intensité de champ ILS</w:t>
      </w:r>
    </w:p>
    <w:p w:rsidR="002D679B" w:rsidRPr="002D679B" w:rsidRDefault="002D679B" w:rsidP="002D679B">
      <w:pPr>
        <w:spacing w:before="136"/>
        <w:rPr>
          <w:sz w:val="20"/>
        </w:rPr>
      </w:pPr>
      <w:r w:rsidRPr="002D679B">
        <w:rPr>
          <w:sz w:val="20"/>
        </w:rPr>
        <w:t>Si l'on possède suffisamment de renseignements sur l'installation ILS, on peut utiliser la méthode des deux rayons indiquée au § 3.2.2.3.1.</w:t>
      </w:r>
    </w:p>
    <w:p w:rsidR="002D679B" w:rsidRPr="002D679B" w:rsidRDefault="002D679B" w:rsidP="002D679B">
      <w:pPr>
        <w:spacing w:before="136"/>
        <w:rPr>
          <w:sz w:val="20"/>
        </w:rPr>
      </w:pPr>
      <w:r w:rsidRPr="002D679B">
        <w:rPr>
          <w:sz w:val="20"/>
        </w:rPr>
        <w:t>Si l'on ne dispose pas des renseignements nécessaires, on peut utiliser la méthode d'interpolation ILS indiquée au § 3.2.2.3.2.</w:t>
      </w:r>
    </w:p>
    <w:p w:rsidR="002D679B" w:rsidRPr="00B2696D" w:rsidRDefault="002D679B" w:rsidP="00B2696D">
      <w:pPr>
        <w:pStyle w:val="Heading5"/>
        <w:rPr>
          <w:sz w:val="20"/>
        </w:rPr>
      </w:pPr>
      <w:r w:rsidRPr="00B2696D">
        <w:rPr>
          <w:sz w:val="20"/>
        </w:rPr>
        <w:t>3.2.2.3.1</w:t>
      </w:r>
      <w:r w:rsidRPr="00B2696D">
        <w:rPr>
          <w:sz w:val="20"/>
        </w:rPr>
        <w:tab/>
        <w:t>Méthode des deux rayons</w:t>
      </w:r>
    </w:p>
    <w:p w:rsidR="002D679B" w:rsidRPr="002D679B" w:rsidRDefault="002D679B" w:rsidP="002D679B">
      <w:pPr>
        <w:spacing w:before="136"/>
        <w:rPr>
          <w:sz w:val="20"/>
        </w:rPr>
      </w:pPr>
      <w:r w:rsidRPr="002D679B">
        <w:rPr>
          <w:sz w:val="20"/>
        </w:rPr>
        <w:t>L'Appendice 3 donne les détails d'une méthode que l'on peut utiliser pour obtenir une prédiction précise de l'intensité de champ ILS. Pour utiliser cette méthode, il est indispensable de connaître certains détails sur l'installation ILS. Les informations requises sont énumérées dans l'Appendice 3. Aux points de mesure A et E (voir le Tableau 6), on utilisera l'intensité de champ minimale, c'est-à-dire 32 dB(</w:t>
      </w:r>
      <w:r w:rsidRPr="002D679B">
        <w:rPr>
          <w:rFonts w:ascii="Symbol" w:hAnsi="Symbol"/>
          <w:sz w:val="20"/>
        </w:rPr>
        <w:t></w:t>
      </w:r>
      <w:r w:rsidRPr="002D679B">
        <w:rPr>
          <w:sz w:val="20"/>
        </w:rPr>
        <w:t>V/m) (voir le § 3.2.1.2 de l'Annexe 1).</w:t>
      </w:r>
    </w:p>
    <w:p w:rsidR="002D679B" w:rsidRPr="00B2696D" w:rsidRDefault="002D679B" w:rsidP="00B2696D">
      <w:pPr>
        <w:pStyle w:val="Heading5"/>
        <w:rPr>
          <w:sz w:val="20"/>
        </w:rPr>
      </w:pPr>
      <w:r w:rsidRPr="00B2696D">
        <w:rPr>
          <w:sz w:val="20"/>
        </w:rPr>
        <w:t>3.2.2.3.2</w:t>
      </w:r>
      <w:r w:rsidRPr="00B2696D">
        <w:rPr>
          <w:sz w:val="20"/>
        </w:rPr>
        <w:tab/>
        <w:t>Méthode d'interpolation ILS</w:t>
      </w:r>
    </w:p>
    <w:p w:rsidR="002D679B" w:rsidRPr="002D679B" w:rsidRDefault="002D679B" w:rsidP="00B45125">
      <w:pPr>
        <w:spacing w:before="136"/>
        <w:rPr>
          <w:sz w:val="20"/>
        </w:rPr>
      </w:pPr>
      <w:r w:rsidRPr="002D679B">
        <w:rPr>
          <w:sz w:val="20"/>
        </w:rPr>
        <w:t>La méthode d'interpolation linéaire décrite ci-dessous pourra être utilisée pour des hauteurs supérieures à 60 m au</w:t>
      </w:r>
      <w:r w:rsidR="00B45125">
        <w:rPr>
          <w:sz w:val="20"/>
        </w:rPr>
        <w:noBreakHyphen/>
      </w:r>
      <w:r w:rsidRPr="002D679B">
        <w:rPr>
          <w:sz w:val="20"/>
        </w:rPr>
        <w:t>dessus de l'emplacement du radiophare d'alignement de piste ILS.</w:t>
      </w:r>
    </w:p>
    <w:p w:rsidR="002D679B" w:rsidRPr="002D679B" w:rsidRDefault="002D679B" w:rsidP="002D679B">
      <w:pPr>
        <w:spacing w:before="136"/>
        <w:rPr>
          <w:sz w:val="20"/>
        </w:rPr>
      </w:pPr>
      <w:r w:rsidRPr="002D679B">
        <w:rPr>
          <w:sz w:val="20"/>
        </w:rPr>
        <w:t xml:space="preserve">Entre le centre du système d'antennes du radiophare d'alignement de piste et une distance (voir la Note 1) de 18,5 km et pour des angles inférieurs ou égaux à </w:t>
      </w:r>
      <w:r w:rsidRPr="002D679B">
        <w:rPr>
          <w:rFonts w:ascii="Symbol" w:hAnsi="Symbol"/>
          <w:sz w:val="20"/>
          <w:lang w:val="en-GB"/>
        </w:rPr>
        <w:t></w:t>
      </w:r>
      <w:r w:rsidRPr="002D679B">
        <w:rPr>
          <w:sz w:val="20"/>
        </w:rPr>
        <w:t> 10</w:t>
      </w:r>
      <w:r w:rsidRPr="002D679B">
        <w:rPr>
          <w:rFonts w:ascii="Symbol" w:hAnsi="Symbol"/>
          <w:sz w:val="20"/>
          <w:lang w:val="en-GB"/>
        </w:rPr>
        <w:t></w:t>
      </w:r>
      <w:r w:rsidRPr="002D679B">
        <w:rPr>
          <w:sz w:val="20"/>
        </w:rPr>
        <w:t xml:space="preserve"> par rapport à l'axe de radioalignement d'approche (zone avant), l'intensité de champ sera de 39 dB(</w:t>
      </w:r>
      <w:r w:rsidRPr="002D679B">
        <w:rPr>
          <w:rFonts w:ascii="Symbol" w:hAnsi="Symbol"/>
          <w:sz w:val="20"/>
        </w:rPr>
        <w:t></w:t>
      </w:r>
      <w:r w:rsidRPr="002D679B">
        <w:rPr>
          <w:sz w:val="20"/>
        </w:rPr>
        <w:t>V/m).</w:t>
      </w:r>
    </w:p>
    <w:p w:rsidR="002D679B" w:rsidRPr="002D679B" w:rsidRDefault="002D679B" w:rsidP="002D679B">
      <w:pPr>
        <w:tabs>
          <w:tab w:val="clear" w:pos="794"/>
          <w:tab w:val="clear" w:pos="1191"/>
          <w:tab w:val="clear" w:pos="1588"/>
          <w:tab w:val="clear" w:pos="1985"/>
        </w:tabs>
        <w:spacing w:before="80"/>
        <w:rPr>
          <w:sz w:val="20"/>
        </w:rPr>
      </w:pPr>
      <w:r w:rsidRPr="002D679B">
        <w:rPr>
          <w:sz w:val="20"/>
        </w:rPr>
        <w:t>NOTE 1 – Au § 3.2.2.3.2, les distances utilisées sont calculées dans le plan horizontal passant par l'emplacement du radiophare d'alignement de piste ILS.</w:t>
      </w:r>
    </w:p>
    <w:p w:rsidR="002D679B" w:rsidRPr="002D679B" w:rsidRDefault="002D679B" w:rsidP="002D679B">
      <w:pPr>
        <w:spacing w:before="136"/>
        <w:rPr>
          <w:sz w:val="20"/>
        </w:rPr>
      </w:pPr>
      <w:r w:rsidRPr="002D679B">
        <w:rPr>
          <w:sz w:val="20"/>
        </w:rPr>
        <w:t>Entre le centre du système d'antennes du radiophare d'alignement de piste et une distance de 31,5 km et pour des angles supérieurs à 10</w:t>
      </w:r>
      <w:r w:rsidRPr="002D679B">
        <w:rPr>
          <w:rFonts w:ascii="Symbol" w:hAnsi="Symbol"/>
          <w:sz w:val="20"/>
          <w:lang w:val="en-GB"/>
        </w:rPr>
        <w:t></w:t>
      </w:r>
      <w:r w:rsidRPr="002D679B">
        <w:rPr>
          <w:sz w:val="20"/>
        </w:rPr>
        <w:t xml:space="preserve"> mais inférieurs à 35</w:t>
      </w:r>
      <w:r w:rsidRPr="002D679B">
        <w:rPr>
          <w:rFonts w:ascii="Symbol" w:hAnsi="Symbol"/>
          <w:sz w:val="20"/>
          <w:lang w:val="en-GB"/>
        </w:rPr>
        <w:t></w:t>
      </w:r>
      <w:r w:rsidRPr="002D679B">
        <w:rPr>
          <w:sz w:val="20"/>
        </w:rPr>
        <w:t xml:space="preserve"> de part et d'autre de l'axe de radioalignement d'approche (voir la Fig. 1), on obtient l'intensité de champ ILS, </w:t>
      </w:r>
      <w:r w:rsidRPr="002D679B">
        <w:rPr>
          <w:i/>
          <w:sz w:val="20"/>
        </w:rPr>
        <w:t>E</w:t>
      </w:r>
      <w:r w:rsidRPr="002D679B">
        <w:rPr>
          <w:i/>
          <w:position w:val="-4"/>
          <w:sz w:val="16"/>
        </w:rPr>
        <w:t>ILS</w:t>
      </w:r>
      <w:r w:rsidRPr="002D679B">
        <w:rPr>
          <w:sz w:val="20"/>
        </w:rPr>
        <w:t>, à l'aide de la formule suivante:</w:t>
      </w:r>
    </w:p>
    <w:p w:rsidR="002D679B" w:rsidRP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sz w:val="22"/>
          <w:lang w:val="en-GB"/>
        </w:rPr>
        <w:fldChar w:fldCharType="begin"/>
      </w:r>
      <w:r w:rsidRPr="002D679B">
        <w:rPr>
          <w:sz w:val="22"/>
        </w:rPr>
        <w:instrText xml:space="preserve">eq </w:instrText>
      </w:r>
      <w:r w:rsidRPr="002D679B">
        <w:rPr>
          <w:i/>
          <w:sz w:val="22"/>
        </w:rPr>
        <w:instrText>E</w:instrText>
      </w:r>
      <w:r w:rsidRPr="002D679B">
        <w:rPr>
          <w:i/>
          <w:position w:val="-4"/>
          <w:sz w:val="18"/>
        </w:rPr>
        <w:instrText>ILS</w:instrText>
      </w:r>
      <w:r w:rsidRPr="002D679B">
        <w:rPr>
          <w:sz w:val="22"/>
        </w:rPr>
        <w:instrText xml:space="preserve">  </w:instrText>
      </w:r>
      <w:r w:rsidRPr="002D679B">
        <w:rPr>
          <w:rFonts w:ascii="Symbol" w:hAnsi="Symbol"/>
          <w:sz w:val="22"/>
        </w:rPr>
        <w:instrText>=</w:instrText>
      </w:r>
      <w:r w:rsidRPr="002D679B">
        <w:rPr>
          <w:sz w:val="22"/>
        </w:rPr>
        <w:instrText xml:space="preserve">  39  –  \f(</w:instrText>
      </w:r>
      <w:r w:rsidRPr="002D679B">
        <w:rPr>
          <w:i/>
          <w:sz w:val="22"/>
        </w:rPr>
        <w:instrText>d</w:instrText>
      </w:r>
      <w:r w:rsidRPr="002D679B">
        <w:rPr>
          <w:sz w:val="22"/>
        </w:rPr>
        <w:instrText>;4,5)               dB(</w:instrText>
      </w:r>
      <w:r w:rsidRPr="002D679B">
        <w:rPr>
          <w:rFonts w:ascii="Symbol" w:hAnsi="Symbol"/>
          <w:sz w:val="22"/>
        </w:rPr>
        <w:instrText>m</w:instrText>
      </w:r>
      <w:r w:rsidRPr="002D679B">
        <w:rPr>
          <w:sz w:val="22"/>
        </w:rPr>
        <w:instrText>V/m)</w:instrText>
      </w:r>
      <w:r w:rsidRPr="002D679B">
        <w:rPr>
          <w:rFonts w:ascii="Times" w:hAnsi="Times"/>
          <w:noProof/>
          <w:sz w:val="22"/>
          <w:lang w:val="en-GB"/>
        </w:rPr>
        <w:fldChar w:fldCharType="separate"/>
      </w:r>
      <w:r>
        <w:rPr>
          <w:noProof/>
          <w:position w:val="-18"/>
          <w:sz w:val="22"/>
          <w:lang w:val="fr-CH" w:eastAsia="fr-CH"/>
        </w:rPr>
        <w:drawing>
          <wp:inline distT="0" distB="0" distL="0" distR="0" wp14:anchorId="6A4AE225" wp14:editId="55D28367">
            <wp:extent cx="231775" cy="2908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rsidRPr="002D679B">
        <w:rPr>
          <w:sz w:val="22"/>
          <w:lang w:val="en-GB"/>
        </w:rPr>
        <w:fldChar w:fldCharType="end"/>
      </w:r>
      <w:r w:rsidRPr="002D679B">
        <w:rPr>
          <w:sz w:val="22"/>
        </w:rPr>
        <w:tab/>
        <w:t>(14)</w:t>
      </w:r>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d</w:t>
      </w:r>
      <w:r w:rsidRPr="002D679B">
        <w:rPr>
          <w:rFonts w:ascii="Tms Rmn" w:hAnsi="Tms Rmn"/>
          <w:sz w:val="12"/>
        </w:rPr>
        <w:t> </w:t>
      </w:r>
      <w:r w:rsidRPr="002D679B">
        <w:rPr>
          <w:sz w:val="20"/>
        </w:rPr>
        <w:t>:</w:t>
      </w:r>
      <w:r w:rsidRPr="002D679B">
        <w:rPr>
          <w:sz w:val="20"/>
        </w:rPr>
        <w:tab/>
        <w:t>distance (km) entre l'emplacement du radiophare d'alignement de piste ILS et le point de mesure.</w:t>
      </w:r>
    </w:p>
    <w:p w:rsidR="002D679B" w:rsidRPr="002D679B" w:rsidRDefault="002D679B" w:rsidP="002D679B">
      <w:pPr>
        <w:spacing w:before="136"/>
        <w:rPr>
          <w:sz w:val="20"/>
        </w:rPr>
      </w:pPr>
      <w:r w:rsidRPr="002D679B">
        <w:rPr>
          <w:sz w:val="20"/>
        </w:rPr>
        <w:t xml:space="preserve">Entre une distance de 18,5 km et une distance de 46,3 km et pour des angles inférieurs ou égaux à </w:t>
      </w:r>
      <w:r w:rsidRPr="002D679B">
        <w:rPr>
          <w:rFonts w:ascii="Symbol" w:hAnsi="Symbol"/>
          <w:sz w:val="20"/>
          <w:lang w:val="en-GB"/>
        </w:rPr>
        <w:t></w:t>
      </w:r>
      <w:r w:rsidRPr="002D679B">
        <w:rPr>
          <w:sz w:val="20"/>
        </w:rPr>
        <w:t> 10</w:t>
      </w:r>
      <w:r w:rsidRPr="002D679B">
        <w:rPr>
          <w:rFonts w:ascii="Symbol" w:hAnsi="Symbol"/>
          <w:sz w:val="20"/>
          <w:lang w:val="en-GB"/>
        </w:rPr>
        <w:t></w:t>
      </w:r>
      <w:r w:rsidRPr="002D679B">
        <w:rPr>
          <w:sz w:val="20"/>
        </w:rPr>
        <w:t xml:space="preserve"> par rapport à l'axe de radioalignement d'approche, on obtient l'intensité de champ ILS, </w:t>
      </w:r>
      <w:r w:rsidRPr="002D679B">
        <w:rPr>
          <w:i/>
          <w:sz w:val="20"/>
        </w:rPr>
        <w:t>E</w:t>
      </w:r>
      <w:r w:rsidRPr="002D679B">
        <w:rPr>
          <w:i/>
          <w:position w:val="-4"/>
          <w:sz w:val="16"/>
        </w:rPr>
        <w:t>ILS</w:t>
      </w:r>
      <w:r w:rsidRPr="002D679B">
        <w:rPr>
          <w:sz w:val="20"/>
        </w:rPr>
        <w:t>, à l'aide de la formule suivante:</w:t>
      </w:r>
    </w:p>
    <w:p w:rsidR="002D679B" w:rsidRP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sz w:val="22"/>
          <w:lang w:val="en-GB"/>
        </w:rPr>
        <w:fldChar w:fldCharType="begin"/>
      </w:r>
      <w:r w:rsidRPr="002D679B">
        <w:rPr>
          <w:sz w:val="22"/>
        </w:rPr>
        <w:instrText xml:space="preserve">eq </w:instrText>
      </w:r>
      <w:r w:rsidRPr="002D679B">
        <w:rPr>
          <w:i/>
          <w:sz w:val="22"/>
        </w:rPr>
        <w:instrText>E</w:instrText>
      </w:r>
      <w:r w:rsidRPr="002D679B">
        <w:rPr>
          <w:i/>
          <w:position w:val="-4"/>
          <w:sz w:val="18"/>
        </w:rPr>
        <w:instrText>ILS</w:instrText>
      </w:r>
      <w:r w:rsidRPr="002D679B">
        <w:rPr>
          <w:sz w:val="22"/>
        </w:rPr>
        <w:instrText xml:space="preserve">  </w:instrText>
      </w:r>
      <w:r w:rsidRPr="002D679B">
        <w:rPr>
          <w:rFonts w:ascii="Symbol" w:hAnsi="Symbol"/>
          <w:sz w:val="22"/>
        </w:rPr>
        <w:instrText>=</w:instrText>
      </w:r>
      <w:r w:rsidRPr="002D679B">
        <w:rPr>
          <w:sz w:val="22"/>
        </w:rPr>
        <w:instrText xml:space="preserve">  39  –  \f(</w:instrText>
      </w:r>
      <w:r w:rsidRPr="002D679B">
        <w:rPr>
          <w:i/>
          <w:sz w:val="22"/>
        </w:rPr>
        <w:instrText>d</w:instrText>
      </w:r>
      <w:r w:rsidRPr="002D679B">
        <w:rPr>
          <w:sz w:val="22"/>
          <w:lang w:val="fr-CH"/>
        </w:rPr>
        <w:instrText xml:space="preserve">  </w:instrText>
      </w:r>
      <w:r w:rsidRPr="002D679B">
        <w:rPr>
          <w:sz w:val="22"/>
        </w:rPr>
        <w:instrText>–  18,5;4)               dB(</w:instrText>
      </w:r>
      <w:r w:rsidRPr="002D679B">
        <w:rPr>
          <w:rFonts w:ascii="Symbol" w:hAnsi="Symbol"/>
          <w:sz w:val="22"/>
        </w:rPr>
        <w:instrText>m</w:instrText>
      </w:r>
      <w:r w:rsidRPr="002D679B">
        <w:rPr>
          <w:sz w:val="22"/>
        </w:rPr>
        <w:instrText>V/m)</w:instrText>
      </w:r>
      <w:r w:rsidRPr="002D679B">
        <w:rPr>
          <w:rFonts w:ascii="Times" w:hAnsi="Times"/>
          <w:noProof/>
          <w:sz w:val="22"/>
          <w:lang w:val="en-GB"/>
        </w:rPr>
        <w:fldChar w:fldCharType="separate"/>
      </w:r>
      <w:r>
        <w:rPr>
          <w:noProof/>
          <w:position w:val="-18"/>
          <w:sz w:val="22"/>
          <w:lang w:val="fr-CH" w:eastAsia="fr-CH"/>
        </w:rPr>
        <w:drawing>
          <wp:inline distT="0" distB="0" distL="0" distR="0" wp14:anchorId="0807E32F" wp14:editId="31A3309B">
            <wp:extent cx="231775" cy="2908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775" cy="290830"/>
                    </a:xfrm>
                    <a:prstGeom prst="rect">
                      <a:avLst/>
                    </a:prstGeom>
                    <a:noFill/>
                    <a:ln>
                      <a:noFill/>
                    </a:ln>
                  </pic:spPr>
                </pic:pic>
              </a:graphicData>
            </a:graphic>
          </wp:inline>
        </w:drawing>
      </w:r>
      <w:r w:rsidRPr="002D679B">
        <w:rPr>
          <w:sz w:val="22"/>
          <w:lang w:val="en-GB"/>
        </w:rPr>
        <w:fldChar w:fldCharType="end"/>
      </w:r>
      <w:r w:rsidRPr="002D679B">
        <w:rPr>
          <w:sz w:val="22"/>
        </w:rPr>
        <w:tab/>
        <w:t>(15)</w:t>
      </w:r>
    </w:p>
    <w:p w:rsidR="002D679B" w:rsidRPr="002D679B" w:rsidRDefault="002D679B" w:rsidP="002D679B">
      <w:pPr>
        <w:spacing w:before="136"/>
        <w:rPr>
          <w:sz w:val="20"/>
        </w:rPr>
      </w:pPr>
      <w:r w:rsidRPr="002D679B">
        <w:rPr>
          <w:sz w:val="20"/>
        </w:rPr>
        <w:t>Pour des hauteurs inférieures à 60 m, on utilisera la valeur minimale d'intensité de champ, soit 32 dB(</w:t>
      </w:r>
      <w:r w:rsidRPr="002D679B">
        <w:rPr>
          <w:rFonts w:ascii="Symbol" w:hAnsi="Symbol"/>
          <w:sz w:val="20"/>
        </w:rPr>
        <w:t></w:t>
      </w:r>
      <w:r w:rsidRPr="002D679B">
        <w:rPr>
          <w:sz w:val="20"/>
        </w:rPr>
        <w:t>V/m).</w:t>
      </w:r>
    </w:p>
    <w:p w:rsidR="002D679B" w:rsidRPr="002D679B" w:rsidRDefault="002D679B" w:rsidP="002D679B">
      <w:pPr>
        <w:spacing w:before="136"/>
        <w:rPr>
          <w:sz w:val="20"/>
        </w:rPr>
      </w:pPr>
      <w:r w:rsidRPr="002D679B">
        <w:rPr>
          <w:sz w:val="20"/>
        </w:rPr>
        <w:t>Les valeurs de l'intensité de champ ILS qui sont employées dans cette méthode d'interpolation sont les valeurs minimales spécifiées dans l'Annexe 10 (voir aussi l'Appendice 1 de l'Annexe 1) de l'OACI. Comme aucune dérogation à ces valeurs minimales n'est autorisée, il n'est pas nécessaire de prendre en compte une marge de sécurité.</w:t>
      </w:r>
    </w:p>
    <w:p w:rsidR="002D679B" w:rsidRPr="00B2696D" w:rsidRDefault="002D679B" w:rsidP="00B2696D">
      <w:pPr>
        <w:pStyle w:val="Heading3"/>
        <w:rPr>
          <w:sz w:val="20"/>
        </w:rPr>
      </w:pPr>
      <w:r w:rsidRPr="00B2696D">
        <w:rPr>
          <w:sz w:val="20"/>
        </w:rPr>
        <w:t>3.2.3</w:t>
      </w:r>
      <w:r w:rsidRPr="00B2696D">
        <w:rPr>
          <w:sz w:val="20"/>
        </w:rPr>
        <w:tab/>
        <w:t>VOR</w:t>
      </w:r>
    </w:p>
    <w:p w:rsidR="002D679B" w:rsidRPr="00B2696D" w:rsidRDefault="002D679B" w:rsidP="00B2696D">
      <w:pPr>
        <w:pStyle w:val="Heading4"/>
        <w:rPr>
          <w:sz w:val="20"/>
        </w:rPr>
      </w:pPr>
      <w:r w:rsidRPr="00B2696D">
        <w:rPr>
          <w:sz w:val="20"/>
        </w:rPr>
        <w:t>3.2.3.1</w:t>
      </w:r>
      <w:r w:rsidRPr="00B2696D">
        <w:rPr>
          <w:sz w:val="20"/>
        </w:rPr>
        <w:tab/>
        <w:t>Points de mesure supplémentaires</w:t>
      </w:r>
    </w:p>
    <w:p w:rsidR="002D679B" w:rsidRPr="002D679B" w:rsidRDefault="002D679B" w:rsidP="002D679B">
      <w:pPr>
        <w:spacing w:before="136"/>
        <w:rPr>
          <w:sz w:val="20"/>
        </w:rPr>
      </w:pPr>
      <w:r w:rsidRPr="002D679B">
        <w:rPr>
          <w:sz w:val="20"/>
        </w:rPr>
        <w:t>Le trajet oblique entre l'antenne de la station de radiodiffusion et un quelconque point de mesure supplémentaire (voir le</w:t>
      </w:r>
      <w:r>
        <w:rPr>
          <w:sz w:val="20"/>
        </w:rPr>
        <w:t xml:space="preserve"> </w:t>
      </w:r>
      <w:r w:rsidRPr="002D679B">
        <w:rPr>
          <w:sz w:val="20"/>
        </w:rPr>
        <w:t>§</w:t>
      </w:r>
      <w:r>
        <w:rPr>
          <w:sz w:val="20"/>
        </w:rPr>
        <w:t> </w:t>
      </w:r>
      <w:r w:rsidRPr="002D679B">
        <w:rPr>
          <w:sz w:val="20"/>
        </w:rPr>
        <w:t>2.2.3) sera utilisé dans les calculs d'intensité de champ, mais avec une distance minimale de 300 m.</w:t>
      </w:r>
    </w:p>
    <w:p w:rsidR="002D679B" w:rsidRPr="00B2696D" w:rsidRDefault="002D679B" w:rsidP="00B2696D">
      <w:pPr>
        <w:pStyle w:val="Heading4"/>
        <w:rPr>
          <w:sz w:val="20"/>
        </w:rPr>
      </w:pPr>
      <w:r w:rsidRPr="00B2696D">
        <w:rPr>
          <w:sz w:val="20"/>
        </w:rPr>
        <w:t>3.2.3.2</w:t>
      </w:r>
      <w:r w:rsidRPr="00B2696D">
        <w:rPr>
          <w:sz w:val="20"/>
        </w:rPr>
        <w:tab/>
        <w:t>Calcul de l'intensité de champ VOR aux points de mesure</w:t>
      </w:r>
    </w:p>
    <w:p w:rsidR="002D679B" w:rsidRPr="002D679B" w:rsidRDefault="002D679B" w:rsidP="00B2696D">
      <w:pPr>
        <w:rPr>
          <w:sz w:val="20"/>
        </w:rPr>
      </w:pPr>
      <w:r w:rsidRPr="002D679B">
        <w:rPr>
          <w:sz w:val="20"/>
        </w:rPr>
        <w:t>La formule suivante sera applicable aux points de mesure dont les angles d'élévation sont supérieurs à 0</w:t>
      </w:r>
      <w:r w:rsidRPr="002D679B">
        <w:rPr>
          <w:rFonts w:ascii="Symbol" w:hAnsi="Symbol"/>
          <w:sz w:val="20"/>
          <w:lang w:val="en-GB"/>
        </w:rPr>
        <w:t></w:t>
      </w:r>
      <w:r w:rsidRPr="002D679B">
        <w:rPr>
          <w:sz w:val="20"/>
        </w:rPr>
        <w:t xml:space="preserve"> et inférieurs à 2,5</w:t>
      </w:r>
      <w:r w:rsidRPr="002D679B">
        <w:rPr>
          <w:rFonts w:ascii="Symbol" w:hAnsi="Symbol"/>
          <w:sz w:val="20"/>
          <w:lang w:val="en-GB"/>
        </w:rPr>
        <w:t></w:t>
      </w:r>
      <w:r w:rsidRPr="002D679B">
        <w:rPr>
          <w:sz w:val="20"/>
        </w:rPr>
        <w:t>, pour des installations dont l'antenne d'émission de signaux VOR est située à 7 m au plus au-dessus du sol:</w:t>
      </w:r>
    </w:p>
    <w:p w:rsidR="002D679B" w:rsidRP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i/>
          <w:sz w:val="22"/>
        </w:rPr>
        <w:t>E</w:t>
      </w:r>
      <w:r w:rsidRPr="002D679B">
        <w:rPr>
          <w:i/>
          <w:position w:val="-4"/>
          <w:sz w:val="18"/>
        </w:rPr>
        <w:t>VOR</w:t>
      </w:r>
      <w:r w:rsidRPr="002D679B">
        <w:rPr>
          <w:sz w:val="22"/>
        </w:rPr>
        <w:t xml:space="preserve">  </w:t>
      </w:r>
      <w:r w:rsidRPr="002D679B">
        <w:rPr>
          <w:rFonts w:ascii="Symbol" w:hAnsi="Symbol"/>
          <w:sz w:val="22"/>
          <w:lang w:val="en-GB"/>
        </w:rPr>
        <w:t></w:t>
      </w:r>
      <w:r w:rsidRPr="002D679B">
        <w:rPr>
          <w:sz w:val="22"/>
        </w:rPr>
        <w:t xml:space="preserve">  </w:t>
      </w:r>
      <w:r w:rsidRPr="002D679B">
        <w:rPr>
          <w:i/>
          <w:sz w:val="22"/>
        </w:rPr>
        <w:t>E</w:t>
      </w:r>
      <w:r w:rsidRPr="002D679B">
        <w:rPr>
          <w:i/>
          <w:position w:val="-4"/>
          <w:sz w:val="18"/>
        </w:rPr>
        <w:t>MIN</w:t>
      </w:r>
      <w:r w:rsidRPr="002D679B">
        <w:rPr>
          <w:sz w:val="22"/>
        </w:rPr>
        <w:t xml:space="preserve">  </w:t>
      </w:r>
      <w:r w:rsidRPr="002D679B">
        <w:rPr>
          <w:rFonts w:ascii="Symbol" w:hAnsi="Symbol"/>
          <w:sz w:val="22"/>
          <w:lang w:val="en-GB"/>
        </w:rPr>
        <w:t></w:t>
      </w:r>
      <w:r w:rsidRPr="002D679B">
        <w:rPr>
          <w:sz w:val="22"/>
        </w:rPr>
        <w:t xml:space="preserve">  max </w:t>
      </w:r>
      <w:r w:rsidRPr="002D679B">
        <w:rPr>
          <w:sz w:val="30"/>
        </w:rPr>
        <w:t>(</w:t>
      </w:r>
      <w:r w:rsidRPr="002D679B">
        <w:rPr>
          <w:sz w:val="22"/>
        </w:rPr>
        <w:t>20 log (</w:t>
      </w:r>
      <w:r w:rsidRPr="002D679B">
        <w:rPr>
          <w:rFonts w:ascii="Symbol" w:hAnsi="Symbol"/>
          <w:sz w:val="22"/>
          <w:lang w:val="en-GB"/>
        </w:rPr>
        <w:t></w:t>
      </w:r>
      <w:r w:rsidRPr="002D679B">
        <w:rPr>
          <w:sz w:val="22"/>
        </w:rPr>
        <w:t xml:space="preserve"> </w:t>
      </w:r>
      <w:r w:rsidRPr="002D679B">
        <w:rPr>
          <w:i/>
          <w:sz w:val="22"/>
        </w:rPr>
        <w:t>D</w:t>
      </w:r>
      <w:r w:rsidRPr="002D679B">
        <w:rPr>
          <w:i/>
          <w:position w:val="-4"/>
          <w:sz w:val="18"/>
        </w:rPr>
        <w:t>MX</w:t>
      </w:r>
      <w:r w:rsidRPr="002D679B">
        <w:rPr>
          <w:sz w:val="22"/>
        </w:rPr>
        <w:t xml:space="preserve"> / </w:t>
      </w:r>
      <w:r w:rsidRPr="002D679B">
        <w:rPr>
          <w:i/>
          <w:sz w:val="22"/>
        </w:rPr>
        <w:t>D</w:t>
      </w:r>
      <w:r w:rsidRPr="002D679B">
        <w:rPr>
          <w:i/>
          <w:position w:val="-4"/>
          <w:sz w:val="18"/>
        </w:rPr>
        <w:t>TP</w:t>
      </w:r>
      <w:r w:rsidRPr="002D679B">
        <w:rPr>
          <w:sz w:val="22"/>
        </w:rPr>
        <w:t>); 0</w:t>
      </w:r>
      <w:r w:rsidRPr="002D679B">
        <w:rPr>
          <w:sz w:val="30"/>
        </w:rPr>
        <w:t>)</w:t>
      </w:r>
      <w:r w:rsidRPr="002D679B">
        <w:rPr>
          <w:sz w:val="22"/>
        </w:rPr>
        <w:tab/>
        <w:t>(16)</w:t>
      </w:r>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 w:val="left" w:pos="1021"/>
        </w:tabs>
        <w:spacing w:before="86"/>
        <w:ind w:left="1021" w:hanging="1021"/>
        <w:rPr>
          <w:sz w:val="20"/>
        </w:rPr>
      </w:pPr>
      <w:r w:rsidRPr="002D679B">
        <w:rPr>
          <w:i/>
          <w:sz w:val="20"/>
        </w:rPr>
        <w:tab/>
        <w:t>E</w:t>
      </w:r>
      <w:r w:rsidRPr="002D679B">
        <w:rPr>
          <w:i/>
          <w:position w:val="-4"/>
          <w:sz w:val="16"/>
        </w:rPr>
        <w:t>MIN</w:t>
      </w:r>
      <w:r w:rsidRPr="002D679B">
        <w:rPr>
          <w:rFonts w:ascii="Tms Rmn" w:hAnsi="Tms Rmn"/>
          <w:sz w:val="12"/>
        </w:rPr>
        <w:t> </w:t>
      </w:r>
      <w:r w:rsidRPr="002D679B">
        <w:rPr>
          <w:sz w:val="20"/>
        </w:rPr>
        <w:t>:</w:t>
      </w:r>
      <w:r w:rsidRPr="002D679B">
        <w:rPr>
          <w:position w:val="-3"/>
          <w:sz w:val="18"/>
        </w:rPr>
        <w:tab/>
      </w:r>
      <w:r w:rsidRPr="002D679B">
        <w:rPr>
          <w:sz w:val="20"/>
        </w:rPr>
        <w:t>intensité de champ minimale OACI (39 dB(</w:t>
      </w:r>
      <w:r w:rsidRPr="002D679B">
        <w:rPr>
          <w:rFonts w:ascii="Symbol" w:hAnsi="Symbol"/>
          <w:sz w:val="20"/>
        </w:rPr>
        <w:t></w:t>
      </w:r>
      <w:r w:rsidRPr="002D679B">
        <w:rPr>
          <w:sz w:val="20"/>
        </w:rPr>
        <w:t>V/m))</w:t>
      </w:r>
    </w:p>
    <w:p w:rsidR="002D679B" w:rsidRPr="002D679B" w:rsidRDefault="002D679B" w:rsidP="002D679B">
      <w:pPr>
        <w:tabs>
          <w:tab w:val="clear" w:pos="794"/>
          <w:tab w:val="clear" w:pos="1191"/>
          <w:tab w:val="clear" w:pos="1588"/>
          <w:tab w:val="clear" w:pos="1985"/>
          <w:tab w:val="left" w:pos="397"/>
          <w:tab w:val="left" w:pos="1021"/>
        </w:tabs>
        <w:spacing w:before="86"/>
        <w:ind w:left="1021" w:hanging="1021"/>
        <w:rPr>
          <w:sz w:val="20"/>
        </w:rPr>
      </w:pPr>
      <w:r w:rsidRPr="002D679B">
        <w:rPr>
          <w:i/>
          <w:sz w:val="20"/>
        </w:rPr>
        <w:tab/>
        <w:t>D</w:t>
      </w:r>
      <w:r w:rsidRPr="002D679B">
        <w:rPr>
          <w:i/>
          <w:position w:val="-4"/>
          <w:sz w:val="16"/>
        </w:rPr>
        <w:t>MX</w:t>
      </w:r>
      <w:r w:rsidRPr="002D679B">
        <w:rPr>
          <w:rFonts w:ascii="Tms Rmn" w:hAnsi="Tms Rmn"/>
          <w:sz w:val="12"/>
        </w:rPr>
        <w:t> </w:t>
      </w:r>
      <w:r w:rsidRPr="002D679B">
        <w:rPr>
          <w:sz w:val="20"/>
        </w:rPr>
        <w:t>:</w:t>
      </w:r>
      <w:r w:rsidRPr="002D679B">
        <w:rPr>
          <w:position w:val="-3"/>
          <w:sz w:val="18"/>
        </w:rPr>
        <w:tab/>
      </w:r>
      <w:r w:rsidRPr="002D679B">
        <w:rPr>
          <w:sz w:val="20"/>
        </w:rPr>
        <w:t>portée du VOR spécifiée (km) dans la direction du point de mesure</w:t>
      </w:r>
    </w:p>
    <w:p w:rsidR="002D679B" w:rsidRPr="002D679B" w:rsidRDefault="002D679B" w:rsidP="002D679B">
      <w:pPr>
        <w:tabs>
          <w:tab w:val="clear" w:pos="794"/>
          <w:tab w:val="clear" w:pos="1191"/>
          <w:tab w:val="clear" w:pos="1588"/>
          <w:tab w:val="clear" w:pos="1985"/>
          <w:tab w:val="left" w:pos="397"/>
          <w:tab w:val="left" w:pos="1021"/>
        </w:tabs>
        <w:spacing w:before="86"/>
        <w:ind w:left="1021" w:hanging="1021"/>
        <w:rPr>
          <w:sz w:val="20"/>
        </w:rPr>
      </w:pPr>
      <w:r w:rsidRPr="002D679B">
        <w:rPr>
          <w:i/>
          <w:sz w:val="20"/>
        </w:rPr>
        <w:tab/>
        <w:t>D</w:t>
      </w:r>
      <w:r w:rsidRPr="002D679B">
        <w:rPr>
          <w:i/>
          <w:position w:val="-4"/>
          <w:sz w:val="16"/>
        </w:rPr>
        <w:t>TP</w:t>
      </w:r>
      <w:r w:rsidRPr="002D679B">
        <w:rPr>
          <w:rFonts w:ascii="Tms Rmn" w:hAnsi="Tms Rmn"/>
          <w:sz w:val="12"/>
        </w:rPr>
        <w:t> </w:t>
      </w:r>
      <w:r w:rsidRPr="002D679B">
        <w:rPr>
          <w:sz w:val="20"/>
        </w:rPr>
        <w:t>:</w:t>
      </w:r>
      <w:r w:rsidRPr="002D679B">
        <w:rPr>
          <w:position w:val="-3"/>
          <w:sz w:val="18"/>
        </w:rPr>
        <w:tab/>
      </w:r>
      <w:r w:rsidRPr="002D679B">
        <w:rPr>
          <w:sz w:val="20"/>
        </w:rPr>
        <w:t>distance en trajet oblique (km) de l'emplacement de l'émetteur VOR au point de mesure</w:t>
      </w:r>
    </w:p>
    <w:p w:rsidR="002D679B" w:rsidRPr="002D679B" w:rsidRDefault="002D679B" w:rsidP="001F6663">
      <w:pPr>
        <w:keepNext/>
        <w:keepLines/>
        <w:tabs>
          <w:tab w:val="clear" w:pos="794"/>
          <w:tab w:val="clear" w:pos="1191"/>
          <w:tab w:val="clear" w:pos="1588"/>
          <w:tab w:val="clear" w:pos="1985"/>
          <w:tab w:val="left" w:pos="397"/>
          <w:tab w:val="left" w:pos="1021"/>
        </w:tabs>
        <w:spacing w:before="86"/>
        <w:ind w:left="1021" w:hanging="1021"/>
        <w:rPr>
          <w:sz w:val="20"/>
        </w:rPr>
      </w:pPr>
      <w:r w:rsidRPr="002D679B">
        <w:rPr>
          <w:rFonts w:ascii="Symbol" w:hAnsi="Symbol"/>
          <w:sz w:val="20"/>
        </w:rPr>
        <w:tab/>
      </w:r>
      <w:r w:rsidRPr="002D679B">
        <w:rPr>
          <w:rFonts w:ascii="Symbol" w:hAnsi="Symbol"/>
          <w:sz w:val="20"/>
          <w:lang w:val="en-GB"/>
        </w:rPr>
        <w:t></w:t>
      </w:r>
      <w:r w:rsidRPr="002D679B">
        <w:rPr>
          <w:rFonts w:ascii="Tms Rmn" w:hAnsi="Tms Rmn"/>
          <w:sz w:val="12"/>
        </w:rPr>
        <w:t> </w:t>
      </w:r>
      <w:r w:rsidRPr="002D679B">
        <w:rPr>
          <w:sz w:val="20"/>
        </w:rPr>
        <w:t>:</w:t>
      </w:r>
      <w:r w:rsidRPr="002D679B">
        <w:rPr>
          <w:rFonts w:ascii="Symbol" w:hAnsi="Symbol"/>
          <w:sz w:val="20"/>
        </w:rPr>
        <w:tab/>
      </w:r>
      <w:r w:rsidRPr="002D679B">
        <w:rPr>
          <w:sz w:val="20"/>
        </w:rPr>
        <w:t>angle d'élévation (degrés) entre le point de mesure et l'antenne VOR, calculé comme suit:</w:t>
      </w:r>
    </w:p>
    <w:p w:rsidR="002D679B" w:rsidRPr="002D679B" w:rsidRDefault="002D679B" w:rsidP="002D679B">
      <w:pPr>
        <w:tabs>
          <w:tab w:val="clear" w:pos="1191"/>
          <w:tab w:val="clear" w:pos="1588"/>
          <w:tab w:val="clear" w:pos="1985"/>
          <w:tab w:val="center" w:pos="4849"/>
          <w:tab w:val="right" w:pos="9696"/>
        </w:tabs>
        <w:spacing w:before="140" w:after="40"/>
        <w:jc w:val="left"/>
        <w:rPr>
          <w:sz w:val="22"/>
          <w:lang w:val="fr-CH"/>
        </w:rPr>
      </w:pPr>
      <w:r w:rsidRPr="002D679B">
        <w:rPr>
          <w:sz w:val="22"/>
          <w:lang w:val="fr-CH"/>
        </w:rPr>
        <w:tab/>
      </w:r>
      <w:r w:rsidRPr="002D679B">
        <w:rPr>
          <w:sz w:val="22"/>
          <w:lang w:val="fr-CH"/>
        </w:rPr>
        <w:tab/>
      </w:r>
      <w:r w:rsidRPr="002D679B">
        <w:rPr>
          <w:sz w:val="22"/>
          <w:lang w:val="en-GB"/>
        </w:rPr>
        <w:fldChar w:fldCharType="begin"/>
      </w:r>
      <w:r w:rsidRPr="002D679B">
        <w:rPr>
          <w:sz w:val="22"/>
          <w:lang w:val="fr-CH"/>
        </w:rPr>
        <w:instrText xml:space="preserve">eq </w:instrText>
      </w:r>
      <w:r w:rsidRPr="002D679B">
        <w:rPr>
          <w:rFonts w:ascii="Symbol" w:hAnsi="Symbol"/>
          <w:sz w:val="22"/>
          <w:lang w:val="fr-CH"/>
        </w:rPr>
        <w:instrText>q</w:instrText>
      </w:r>
      <w:r w:rsidRPr="002D679B">
        <w:rPr>
          <w:sz w:val="22"/>
          <w:lang w:val="fr-CH"/>
        </w:rPr>
        <w:instrText xml:space="preserve">  </w:instrText>
      </w:r>
      <w:r w:rsidRPr="002D679B">
        <w:rPr>
          <w:rFonts w:ascii="Symbol" w:hAnsi="Symbol"/>
          <w:sz w:val="22"/>
          <w:lang w:val="fr-CH"/>
        </w:rPr>
        <w:instrText>=</w:instrText>
      </w:r>
      <w:r w:rsidRPr="002D679B">
        <w:rPr>
          <w:sz w:val="22"/>
          <w:lang w:val="fr-CH"/>
        </w:rPr>
        <w:instrText xml:space="preserve">  tg</w:instrText>
      </w:r>
      <w:r w:rsidRPr="002D679B">
        <w:rPr>
          <w:position w:val="6"/>
          <w:sz w:val="18"/>
          <w:lang w:val="fr-CH"/>
        </w:rPr>
        <w:instrText>–1</w:instrText>
      </w:r>
      <w:r w:rsidRPr="002D679B">
        <w:rPr>
          <w:sz w:val="22"/>
          <w:lang w:val="fr-CH"/>
        </w:rPr>
        <w:instrText xml:space="preserve">  \b\bc\((\S(\s\up7()) \d\ba2()\b\bc\[(\S( )\d\ba3()</w:instrText>
      </w:r>
      <w:r w:rsidRPr="002D679B">
        <w:rPr>
          <w:i/>
          <w:sz w:val="22"/>
          <w:lang w:val="fr-CH"/>
        </w:rPr>
        <w:instrText>H</w:instrText>
      </w:r>
      <w:r w:rsidRPr="002D679B">
        <w:rPr>
          <w:i/>
          <w:position w:val="-4"/>
          <w:sz w:val="18"/>
          <w:lang w:val="fr-CH"/>
        </w:rPr>
        <w:instrText>TP</w:instrText>
      </w:r>
      <w:r w:rsidRPr="002D679B">
        <w:rPr>
          <w:sz w:val="22"/>
          <w:lang w:val="fr-CH"/>
        </w:rPr>
        <w:instrText xml:space="preserve">  –  </w:instrText>
      </w:r>
      <w:r w:rsidRPr="002D679B">
        <w:rPr>
          <w:i/>
          <w:sz w:val="22"/>
          <w:lang w:val="fr-CH"/>
        </w:rPr>
        <w:instrText>H</w:instrText>
      </w:r>
      <w:r w:rsidRPr="002D679B">
        <w:rPr>
          <w:i/>
          <w:position w:val="-4"/>
          <w:sz w:val="18"/>
          <w:lang w:val="fr-CH"/>
        </w:rPr>
        <w:instrText>VOR</w:instrText>
      </w:r>
      <w:r w:rsidRPr="002D679B">
        <w:rPr>
          <w:sz w:val="22"/>
          <w:lang w:val="fr-CH"/>
        </w:rPr>
        <w:instrText xml:space="preserve">  –  (</w:instrText>
      </w:r>
      <w:r w:rsidRPr="002D679B">
        <w:rPr>
          <w:i/>
          <w:sz w:val="22"/>
          <w:lang w:val="fr-CH"/>
        </w:rPr>
        <w:instrText>D</w:instrText>
      </w:r>
      <w:r w:rsidRPr="002D679B">
        <w:rPr>
          <w:i/>
          <w:position w:val="-4"/>
          <w:sz w:val="18"/>
          <w:lang w:val="fr-CH"/>
        </w:rPr>
        <w:instrText>TP</w:instrText>
      </w:r>
      <w:r w:rsidRPr="002D679B">
        <w:rPr>
          <w:sz w:val="22"/>
          <w:lang w:val="fr-CH"/>
        </w:rPr>
        <w:instrText xml:space="preserve"> / 4,1)</w:instrText>
      </w:r>
      <w:r w:rsidRPr="002D679B">
        <w:rPr>
          <w:position w:val="10"/>
          <w:sz w:val="18"/>
          <w:lang w:val="fr-CH"/>
        </w:rPr>
        <w:instrText>2</w:instrText>
      </w:r>
      <w:r w:rsidRPr="002D679B">
        <w:rPr>
          <w:sz w:val="22"/>
          <w:lang w:val="fr-CH"/>
        </w:rPr>
        <w:instrText>)  \b\lc\</w:instrText>
      </w:r>
      <w:r w:rsidRPr="002D679B">
        <w:rPr>
          <w:rFonts w:ascii="Symbol" w:hAnsi="Symbol"/>
          <w:position w:val="-2"/>
          <w:sz w:val="22"/>
          <w:lang w:val="fr-CH"/>
        </w:rPr>
        <w:instrText>/</w:instrText>
      </w:r>
      <w:r w:rsidRPr="002D679B">
        <w:rPr>
          <w:sz w:val="22"/>
          <w:lang w:val="fr-CH"/>
        </w:rPr>
        <w:instrText>(  \b\bc\[(\S( )\d\ba5()1</w:instrText>
      </w:r>
      <w:r w:rsidRPr="002D679B">
        <w:rPr>
          <w:sz w:val="12"/>
          <w:lang w:val="fr-CH"/>
        </w:rPr>
        <w:instrText> </w:instrText>
      </w:r>
      <w:r w:rsidRPr="002D679B">
        <w:rPr>
          <w:sz w:val="22"/>
          <w:lang w:val="fr-CH"/>
        </w:rPr>
        <w:instrText xml:space="preserve">000 </w:instrText>
      </w:r>
      <w:r w:rsidRPr="002D679B">
        <w:rPr>
          <w:i/>
          <w:sz w:val="22"/>
          <w:lang w:val="fr-CH"/>
        </w:rPr>
        <w:instrText>D</w:instrText>
      </w:r>
      <w:r w:rsidRPr="002D679B">
        <w:rPr>
          <w:i/>
          <w:position w:val="-4"/>
          <w:sz w:val="18"/>
          <w:lang w:val="fr-CH"/>
        </w:rPr>
        <w:instrText>TP</w:instrText>
      </w:r>
      <w:r w:rsidRPr="002D679B">
        <w:rPr>
          <w:sz w:val="22"/>
          <w:lang w:val="fr-CH"/>
        </w:rPr>
        <w:instrText>)))</w:instrText>
      </w:r>
      <w:r w:rsidRPr="002D679B">
        <w:rPr>
          <w:rFonts w:ascii="Times" w:hAnsi="Times"/>
          <w:noProof/>
          <w:sz w:val="22"/>
          <w:lang w:val="en-GB"/>
        </w:rPr>
        <w:fldChar w:fldCharType="separate"/>
      </w:r>
      <w:r>
        <w:rPr>
          <w:noProof/>
          <w:position w:val="-20"/>
          <w:sz w:val="22"/>
          <w:lang w:val="fr-CH" w:eastAsia="fr-CH"/>
        </w:rPr>
        <w:drawing>
          <wp:inline distT="0" distB="0" distL="0" distR="0" wp14:anchorId="5C8C7C6E" wp14:editId="148E64CD">
            <wp:extent cx="2642235" cy="31496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2235" cy="314960"/>
                    </a:xfrm>
                    <a:prstGeom prst="rect">
                      <a:avLst/>
                    </a:prstGeom>
                    <a:noFill/>
                    <a:ln>
                      <a:noFill/>
                    </a:ln>
                  </pic:spPr>
                </pic:pic>
              </a:graphicData>
            </a:graphic>
          </wp:inline>
        </w:drawing>
      </w:r>
      <w:r w:rsidRPr="002D679B">
        <w:rPr>
          <w:sz w:val="22"/>
          <w:lang w:val="en-GB"/>
        </w:rPr>
        <w:fldChar w:fldCharType="end"/>
      </w:r>
      <w:r w:rsidRPr="002D679B">
        <w:rPr>
          <w:sz w:val="22"/>
          <w:lang w:val="fr-CH"/>
        </w:rPr>
        <w:tab/>
        <w:t>(17)</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 w:val="left" w:pos="1021"/>
        </w:tabs>
        <w:spacing w:before="86"/>
        <w:ind w:left="397" w:hanging="397"/>
        <w:rPr>
          <w:sz w:val="20"/>
        </w:rPr>
      </w:pPr>
      <w:r w:rsidRPr="002D679B">
        <w:rPr>
          <w:i/>
          <w:sz w:val="20"/>
        </w:rPr>
        <w:tab/>
        <w:t>H</w:t>
      </w:r>
      <w:r w:rsidRPr="002D679B">
        <w:rPr>
          <w:i/>
          <w:position w:val="-4"/>
          <w:sz w:val="16"/>
        </w:rPr>
        <w:t>TP</w:t>
      </w:r>
      <w:r w:rsidRPr="002D679B">
        <w:rPr>
          <w:rFonts w:ascii="Tms Rmn" w:hAnsi="Tms Rmn"/>
          <w:sz w:val="12"/>
        </w:rPr>
        <w:t> </w:t>
      </w:r>
      <w:r w:rsidRPr="002D679B">
        <w:rPr>
          <w:sz w:val="20"/>
        </w:rPr>
        <w:t>:</w:t>
      </w:r>
      <w:r w:rsidRPr="002D679B">
        <w:rPr>
          <w:position w:val="-3"/>
          <w:sz w:val="18"/>
        </w:rPr>
        <w:tab/>
      </w:r>
      <w:r w:rsidRPr="002D679B">
        <w:rPr>
          <w:sz w:val="20"/>
        </w:rPr>
        <w:t>hauteur (m) du point de mesure au-dessus du niveau de la mer</w:t>
      </w:r>
    </w:p>
    <w:p w:rsidR="002D679B" w:rsidRPr="002D679B" w:rsidRDefault="002D679B" w:rsidP="002D679B">
      <w:pPr>
        <w:tabs>
          <w:tab w:val="clear" w:pos="794"/>
          <w:tab w:val="clear" w:pos="1191"/>
          <w:tab w:val="clear" w:pos="1588"/>
          <w:tab w:val="clear" w:pos="1985"/>
          <w:tab w:val="left" w:pos="397"/>
          <w:tab w:val="left" w:pos="1021"/>
        </w:tabs>
        <w:spacing w:before="86"/>
        <w:ind w:left="397" w:hanging="397"/>
        <w:rPr>
          <w:sz w:val="20"/>
        </w:rPr>
      </w:pPr>
      <w:r w:rsidRPr="002D679B">
        <w:rPr>
          <w:i/>
          <w:sz w:val="20"/>
        </w:rPr>
        <w:tab/>
        <w:t>H</w:t>
      </w:r>
      <w:r w:rsidRPr="002D679B">
        <w:rPr>
          <w:i/>
          <w:position w:val="-4"/>
          <w:sz w:val="16"/>
        </w:rPr>
        <w:t>VOR</w:t>
      </w:r>
      <w:r w:rsidRPr="002D679B">
        <w:rPr>
          <w:rFonts w:ascii="Tms Rmn" w:hAnsi="Tms Rmn"/>
          <w:sz w:val="12"/>
        </w:rPr>
        <w:t> </w:t>
      </w:r>
      <w:r w:rsidRPr="002D679B">
        <w:rPr>
          <w:sz w:val="20"/>
        </w:rPr>
        <w:t>:</w:t>
      </w:r>
      <w:r w:rsidRPr="002D679B">
        <w:rPr>
          <w:position w:val="-3"/>
          <w:sz w:val="18"/>
        </w:rPr>
        <w:tab/>
      </w:r>
      <w:r w:rsidRPr="002D679B">
        <w:rPr>
          <w:sz w:val="20"/>
        </w:rPr>
        <w:t>hauteur (m) de l'antenne VOR au-dessus du niveau de la mer.</w:t>
      </w:r>
    </w:p>
    <w:p w:rsidR="002D679B" w:rsidRPr="002D679B" w:rsidRDefault="002D679B" w:rsidP="002D679B">
      <w:pPr>
        <w:spacing w:before="136"/>
        <w:rPr>
          <w:sz w:val="20"/>
        </w:rPr>
      </w:pPr>
      <w:r w:rsidRPr="002D679B">
        <w:rPr>
          <w:sz w:val="20"/>
        </w:rPr>
        <w:t>Pour les angles d'élévation qui dépassent la valeur de 2,5</w:t>
      </w:r>
      <w:r w:rsidRPr="002D679B">
        <w:rPr>
          <w:rFonts w:ascii="Symbol" w:hAnsi="Symbol"/>
          <w:sz w:val="20"/>
          <w:lang w:val="en-GB"/>
        </w:rPr>
        <w:t></w:t>
      </w:r>
      <w:r w:rsidRPr="002D679B">
        <w:rPr>
          <w:sz w:val="20"/>
        </w:rPr>
        <w:t>, l'intensité de champ est calculée avec un angle de 2,5</w:t>
      </w:r>
      <w:r w:rsidRPr="002D679B">
        <w:rPr>
          <w:rFonts w:ascii="Symbol" w:hAnsi="Symbol"/>
          <w:sz w:val="20"/>
          <w:lang w:val="en-GB"/>
        </w:rPr>
        <w:t></w:t>
      </w:r>
      <w:r w:rsidRPr="002D679B">
        <w:rPr>
          <w:sz w:val="20"/>
        </w:rPr>
        <w:t>.</w:t>
      </w:r>
    </w:p>
    <w:p w:rsidR="002D679B" w:rsidRPr="002D679B" w:rsidRDefault="002D679B" w:rsidP="002D679B">
      <w:pPr>
        <w:spacing w:before="136"/>
        <w:rPr>
          <w:sz w:val="20"/>
        </w:rPr>
      </w:pPr>
      <w:r w:rsidRPr="002D679B">
        <w:rPr>
          <w:sz w:val="20"/>
        </w:rPr>
        <w:t>Dans le cas d'installations où l'antenne d'émission VOR est située à plus de 7 m au-dessus du sol, ou s'il est prescrit d'assurer le service à un angle d'élévation inférieur à 0</w:t>
      </w:r>
      <w:r w:rsidRPr="002D679B">
        <w:rPr>
          <w:rFonts w:ascii="Symbol" w:hAnsi="Symbol"/>
          <w:sz w:val="20"/>
          <w:lang w:val="en-GB"/>
        </w:rPr>
        <w:t></w:t>
      </w:r>
      <w:r w:rsidRPr="002D679B">
        <w:rPr>
          <w:sz w:val="20"/>
        </w:rPr>
        <w:t>, on utilisera pour tous les points de mesure la valeur minimale d'intensité de champ VOR (39 dB(</w:t>
      </w:r>
      <w:r w:rsidRPr="002D679B">
        <w:rPr>
          <w:rFonts w:ascii="Symbol" w:hAnsi="Symbol"/>
          <w:sz w:val="20"/>
        </w:rPr>
        <w:t></w:t>
      </w:r>
      <w:r w:rsidRPr="002D679B">
        <w:rPr>
          <w:sz w:val="20"/>
        </w:rPr>
        <w:t>V/m)).</w:t>
      </w:r>
    </w:p>
    <w:p w:rsidR="002D679B" w:rsidRPr="002D679B" w:rsidRDefault="002D679B" w:rsidP="002D679B">
      <w:pPr>
        <w:spacing w:before="136"/>
        <w:rPr>
          <w:sz w:val="20"/>
        </w:rPr>
      </w:pPr>
      <w:r w:rsidRPr="002D679B">
        <w:rPr>
          <w:sz w:val="20"/>
        </w:rPr>
        <w:t>La méthode décrite ci-dessus est une méthode d'interpolation fondée sur une valeur minimale d'intensité de champ. Il n'est donc pas nécessaire de prendre en compte une marge de sécurité.</w:t>
      </w:r>
    </w:p>
    <w:p w:rsidR="002D679B" w:rsidRPr="00B2696D" w:rsidRDefault="002D679B" w:rsidP="00B2696D">
      <w:pPr>
        <w:pStyle w:val="Heading3"/>
        <w:rPr>
          <w:sz w:val="20"/>
        </w:rPr>
      </w:pPr>
      <w:r w:rsidRPr="00B2696D">
        <w:rPr>
          <w:sz w:val="20"/>
        </w:rPr>
        <w:t>3.2.4</w:t>
      </w:r>
      <w:r w:rsidRPr="00B2696D">
        <w:rPr>
          <w:sz w:val="20"/>
        </w:rPr>
        <w:tab/>
        <w:t>Calcul de la probabilité de brouillage de type A1</w:t>
      </w:r>
    </w:p>
    <w:p w:rsidR="002D679B" w:rsidRPr="002D679B" w:rsidRDefault="002D679B" w:rsidP="002D679B">
      <w:pPr>
        <w:spacing w:before="136"/>
        <w:rPr>
          <w:sz w:val="20"/>
        </w:rPr>
      </w:pPr>
      <w:r w:rsidRPr="002D679B">
        <w:rPr>
          <w:sz w:val="20"/>
        </w:rPr>
        <w:t>En dehors des produits d'intermodulation émis, il y a lieu, en règle générale, de maintenir les rayonnements non essentiels à un niveau assez faible pour qu'aucune incompatibilité ne soit plus à étudier lors de l'analyse de compatibilité. Les calculs de brouillage de type A1 ne seront donc effectués que si des stations de radiodiffusion copositionnées émettent des produits d'intermodulation.</w:t>
      </w:r>
    </w:p>
    <w:p w:rsidR="002D679B" w:rsidRPr="002D679B" w:rsidRDefault="002D679B" w:rsidP="002D679B">
      <w:pPr>
        <w:spacing w:before="136"/>
        <w:rPr>
          <w:sz w:val="20"/>
        </w:rPr>
      </w:pPr>
      <w:r w:rsidRPr="002D679B">
        <w:rPr>
          <w:sz w:val="20"/>
        </w:rPr>
        <w:t>Comme l'on ne connaît pas toujours la p.a.r. du produit d'intermodulation, on calcule indirectement la marge de brouillage de type A1 en prenant en compte l'intensité du champ brouilleur en un point où l'on mesurera les émissions de chaque station de radiodiffusion copositionnée, ainsi que la valeur de réjection A1 correspondante pour chacun de ces émetteurs.</w:t>
      </w:r>
    </w:p>
    <w:p w:rsidR="002D679B" w:rsidRPr="002D679B" w:rsidRDefault="002D679B" w:rsidP="002D679B">
      <w:pPr>
        <w:spacing w:before="136"/>
        <w:rPr>
          <w:sz w:val="20"/>
        </w:rPr>
      </w:pPr>
      <w:r w:rsidRPr="002D679B">
        <w:rPr>
          <w:sz w:val="20"/>
        </w:rPr>
        <w:t>La marge de brouillage de type A1 est calculée par la formule suivante:</w:t>
      </w:r>
    </w:p>
    <w:p w:rsidR="002D679B" w:rsidRPr="002D679B" w:rsidRDefault="002D679B" w:rsidP="002D679B">
      <w:pPr>
        <w:tabs>
          <w:tab w:val="clear" w:pos="1191"/>
          <w:tab w:val="clear" w:pos="1588"/>
          <w:tab w:val="clear" w:pos="1985"/>
          <w:tab w:val="center" w:pos="4849"/>
          <w:tab w:val="right" w:pos="9696"/>
        </w:tabs>
        <w:spacing w:before="140" w:after="40"/>
        <w:jc w:val="left"/>
        <w:rPr>
          <w:sz w:val="22"/>
          <w:lang w:val="fr-CH"/>
        </w:rPr>
      </w:pPr>
      <w:r w:rsidRPr="002D679B">
        <w:rPr>
          <w:sz w:val="22"/>
        </w:rPr>
        <w:tab/>
      </w:r>
      <w:r w:rsidRPr="002D679B">
        <w:rPr>
          <w:sz w:val="22"/>
        </w:rPr>
        <w:tab/>
      </w:r>
      <w:r w:rsidRPr="002D679B">
        <w:rPr>
          <w:i/>
          <w:sz w:val="22"/>
          <w:lang w:val="fr-CH"/>
        </w:rPr>
        <w:t>IM</w:t>
      </w:r>
      <w:r w:rsidRPr="002D679B">
        <w:rPr>
          <w:sz w:val="22"/>
          <w:lang w:val="fr-CH"/>
        </w:rPr>
        <w:t xml:space="preserve">  </w:t>
      </w:r>
      <w:r w:rsidRPr="002D679B">
        <w:rPr>
          <w:rFonts w:ascii="Symbol" w:hAnsi="Symbol"/>
          <w:sz w:val="22"/>
          <w:lang w:val="en-GB"/>
        </w:rPr>
        <w:t></w:t>
      </w:r>
      <w:r w:rsidRPr="002D679B">
        <w:rPr>
          <w:sz w:val="22"/>
          <w:lang w:val="fr-CH"/>
        </w:rPr>
        <w:t xml:space="preserve">  max</w:t>
      </w:r>
      <w:r w:rsidRPr="002D679B">
        <w:rPr>
          <w:rFonts w:ascii="Tms Rmn" w:hAnsi="Tms Rmn"/>
          <w:sz w:val="12"/>
          <w:lang w:val="fr-CH"/>
        </w:rPr>
        <w:t> </w:t>
      </w:r>
      <w:r w:rsidRPr="002D679B">
        <w:rPr>
          <w:sz w:val="30"/>
          <w:lang w:val="fr-CH"/>
        </w:rPr>
        <w:t>(</w:t>
      </w:r>
      <w:r w:rsidRPr="002D679B">
        <w:rPr>
          <w:sz w:val="22"/>
          <w:lang w:val="fr-CH"/>
        </w:rPr>
        <w:t>(</w:t>
      </w:r>
      <w:r w:rsidRPr="002D679B">
        <w:rPr>
          <w:i/>
          <w:sz w:val="22"/>
          <w:lang w:val="fr-CH"/>
        </w:rPr>
        <w:t>E</w:t>
      </w:r>
      <w:r w:rsidRPr="002D679B">
        <w:rPr>
          <w:i/>
          <w:position w:val="-4"/>
          <w:sz w:val="18"/>
          <w:lang w:val="fr-CH"/>
        </w:rPr>
        <w:t>i</w:t>
      </w:r>
      <w:r w:rsidRPr="002D679B">
        <w:rPr>
          <w:sz w:val="22"/>
          <w:lang w:val="fr-CH"/>
        </w:rPr>
        <w:t xml:space="preserve">  –  </w:t>
      </w:r>
      <w:r w:rsidRPr="002D679B">
        <w:rPr>
          <w:i/>
          <w:sz w:val="22"/>
          <w:lang w:val="fr-CH"/>
        </w:rPr>
        <w:t>S</w:t>
      </w:r>
      <w:r w:rsidRPr="002D679B">
        <w:rPr>
          <w:i/>
          <w:position w:val="-4"/>
          <w:sz w:val="18"/>
          <w:lang w:val="fr-CH"/>
        </w:rPr>
        <w:t>i</w:t>
      </w:r>
      <w:r w:rsidRPr="002D679B">
        <w:rPr>
          <w:sz w:val="22"/>
          <w:lang w:val="fr-CH"/>
        </w:rPr>
        <w:t>); ...; (</w:t>
      </w:r>
      <w:r w:rsidRPr="002D679B">
        <w:rPr>
          <w:i/>
          <w:sz w:val="22"/>
          <w:lang w:val="fr-CH"/>
        </w:rPr>
        <w:t>E</w:t>
      </w:r>
      <w:r w:rsidRPr="002D679B">
        <w:rPr>
          <w:i/>
          <w:position w:val="-4"/>
          <w:sz w:val="18"/>
          <w:lang w:val="fr-CH"/>
        </w:rPr>
        <w:t>N</w:t>
      </w:r>
      <w:r w:rsidRPr="002D679B">
        <w:rPr>
          <w:sz w:val="22"/>
          <w:lang w:val="fr-CH"/>
        </w:rPr>
        <w:t xml:space="preserve">  –  </w:t>
      </w:r>
      <w:r w:rsidRPr="002D679B">
        <w:rPr>
          <w:i/>
          <w:sz w:val="22"/>
          <w:lang w:val="fr-CH"/>
        </w:rPr>
        <w:t>S</w:t>
      </w:r>
      <w:r w:rsidRPr="002D679B">
        <w:rPr>
          <w:i/>
          <w:position w:val="-4"/>
          <w:sz w:val="18"/>
          <w:lang w:val="fr-CH"/>
        </w:rPr>
        <w:t>N</w:t>
      </w:r>
      <w:r w:rsidRPr="002D679B">
        <w:rPr>
          <w:sz w:val="22"/>
          <w:lang w:val="fr-CH"/>
        </w:rPr>
        <w:t>)</w:t>
      </w:r>
      <w:r w:rsidRPr="002D679B">
        <w:rPr>
          <w:sz w:val="30"/>
          <w:lang w:val="fr-CH"/>
        </w:rPr>
        <w:t>)</w:t>
      </w:r>
      <w:r w:rsidRPr="002D679B">
        <w:rPr>
          <w:sz w:val="22"/>
          <w:lang w:val="fr-CH"/>
        </w:rPr>
        <w:t xml:space="preserve"> </w:t>
      </w:r>
      <w:r w:rsidRPr="002D679B">
        <w:rPr>
          <w:rFonts w:ascii="Symbol" w:hAnsi="Symbol"/>
          <w:sz w:val="22"/>
          <w:lang w:val="en-GB"/>
        </w:rPr>
        <w:t></w:t>
      </w:r>
      <w:r w:rsidRPr="002D679B">
        <w:rPr>
          <w:sz w:val="22"/>
          <w:lang w:val="fr-CH"/>
        </w:rPr>
        <w:t xml:space="preserve">  </w:t>
      </w:r>
      <w:r w:rsidRPr="002D679B">
        <w:rPr>
          <w:i/>
          <w:sz w:val="22"/>
          <w:lang w:val="fr-CH"/>
        </w:rPr>
        <w:t>PR</w:t>
      </w:r>
      <w:r w:rsidRPr="002D679B">
        <w:rPr>
          <w:sz w:val="22"/>
          <w:lang w:val="fr-CH"/>
        </w:rPr>
        <w:t xml:space="preserve">  –  </w:t>
      </w:r>
      <w:r w:rsidRPr="002D679B">
        <w:rPr>
          <w:i/>
          <w:sz w:val="22"/>
          <w:lang w:val="fr-CH"/>
        </w:rPr>
        <w:t>Ew</w:t>
      </w:r>
      <w:r w:rsidRPr="002D679B">
        <w:rPr>
          <w:sz w:val="22"/>
          <w:lang w:val="fr-CH"/>
        </w:rPr>
        <w:tab/>
        <w:t>(18)</w:t>
      </w:r>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IM</w:t>
      </w:r>
      <w:r w:rsidRPr="002D679B">
        <w:rPr>
          <w:rFonts w:ascii="Tms Rmn" w:hAnsi="Tms Rmn"/>
          <w:sz w:val="12"/>
        </w:rPr>
        <w:t> </w:t>
      </w:r>
      <w:r w:rsidRPr="002D679B">
        <w:rPr>
          <w:sz w:val="20"/>
        </w:rPr>
        <w:t>:</w:t>
      </w:r>
      <w:r w:rsidRPr="002D679B">
        <w:rPr>
          <w:sz w:val="20"/>
        </w:rPr>
        <w:tab/>
        <w:t>marge de brouillage de type A1 (dB)</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N</w:t>
      </w:r>
      <w:r w:rsidRPr="002D679B">
        <w:rPr>
          <w:rFonts w:ascii="Tms Rmn" w:hAnsi="Tms Rmn"/>
          <w:sz w:val="12"/>
        </w:rPr>
        <w:t> </w:t>
      </w:r>
      <w:r w:rsidRPr="002D679B">
        <w:rPr>
          <w:sz w:val="20"/>
        </w:rPr>
        <w:t>:</w:t>
      </w:r>
      <w:r w:rsidRPr="002D679B">
        <w:rPr>
          <w:sz w:val="20"/>
        </w:rPr>
        <w:tab/>
        <w:t>nombre de composantes d'intermodulation (</w:t>
      </w:r>
      <w:r w:rsidRPr="002D679B">
        <w:rPr>
          <w:i/>
          <w:sz w:val="20"/>
        </w:rPr>
        <w:t>N</w:t>
      </w:r>
      <w:r w:rsidRPr="002D679B">
        <w:rPr>
          <w:sz w:val="20"/>
        </w:rPr>
        <w:t xml:space="preserve">  </w:t>
      </w:r>
      <w:r w:rsidRPr="002D679B">
        <w:rPr>
          <w:rFonts w:ascii="Symbol" w:hAnsi="Symbol"/>
          <w:sz w:val="20"/>
          <w:lang w:val="en-GB"/>
        </w:rPr>
        <w:t></w:t>
      </w:r>
      <w:r w:rsidRPr="002D679B">
        <w:rPr>
          <w:sz w:val="20"/>
        </w:rPr>
        <w:t xml:space="preserve">  2 ou 3)</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E</w:t>
      </w:r>
      <w:r w:rsidRPr="002D679B">
        <w:rPr>
          <w:i/>
          <w:position w:val="-4"/>
          <w:sz w:val="16"/>
        </w:rPr>
        <w:t>i</w:t>
      </w:r>
      <w:r w:rsidRPr="002D679B">
        <w:rPr>
          <w:rFonts w:ascii="Tms Rmn" w:hAnsi="Tms Rmn"/>
          <w:sz w:val="12"/>
        </w:rPr>
        <w:t> </w:t>
      </w:r>
      <w:r w:rsidRPr="002D679B">
        <w:rPr>
          <w:sz w:val="20"/>
        </w:rPr>
        <w:t>:</w:t>
      </w:r>
      <w:r w:rsidRPr="002D679B">
        <w:rPr>
          <w:position w:val="-3"/>
          <w:sz w:val="18"/>
        </w:rPr>
        <w:tab/>
      </w:r>
      <w:r w:rsidRPr="002D679B">
        <w:rPr>
          <w:sz w:val="20"/>
        </w:rPr>
        <w:t>intensité du champ brouilleur (dB(</w:t>
      </w:r>
      <w:r w:rsidRPr="002D679B">
        <w:rPr>
          <w:rFonts w:ascii="Symbol" w:hAnsi="Symbol"/>
          <w:sz w:val="20"/>
          <w:lang w:val="en-GB"/>
        </w:rPr>
        <w:t></w:t>
      </w:r>
      <w:r w:rsidRPr="002D679B">
        <w:rPr>
          <w:sz w:val="20"/>
        </w:rPr>
        <w:t xml:space="preserve">V/m)) de l'émission de radiodiffusion </w:t>
      </w:r>
      <w:r w:rsidRPr="002D679B">
        <w:rPr>
          <w:i/>
          <w:sz w:val="20"/>
        </w:rPr>
        <w:t>i</w:t>
      </w:r>
      <w:r w:rsidRPr="002D679B">
        <w:rPr>
          <w:sz w:val="20"/>
        </w:rPr>
        <w:t xml:space="preserve"> au point de mesure</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S</w:t>
      </w:r>
      <w:r w:rsidRPr="002D679B">
        <w:rPr>
          <w:i/>
          <w:position w:val="-4"/>
          <w:sz w:val="16"/>
        </w:rPr>
        <w:t>i</w:t>
      </w:r>
      <w:r w:rsidRPr="002D679B">
        <w:rPr>
          <w:rFonts w:ascii="Tms Rmn" w:hAnsi="Tms Rmn"/>
          <w:sz w:val="12"/>
        </w:rPr>
        <w:t> </w:t>
      </w:r>
      <w:r w:rsidRPr="002D679B">
        <w:rPr>
          <w:sz w:val="20"/>
        </w:rPr>
        <w:t>:</w:t>
      </w:r>
      <w:r w:rsidRPr="002D679B">
        <w:rPr>
          <w:sz w:val="20"/>
        </w:rPr>
        <w:tab/>
        <w:t xml:space="preserve">valeur de réjection A1 (dB) de l'émetteur de radiodiffusion </w:t>
      </w:r>
      <w:r w:rsidRPr="002D679B">
        <w:rPr>
          <w:i/>
          <w:sz w:val="20"/>
        </w:rPr>
        <w:t>i</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PR</w:t>
      </w:r>
      <w:r w:rsidRPr="002D679B">
        <w:rPr>
          <w:rFonts w:ascii="Tms Rmn" w:hAnsi="Tms Rmn"/>
          <w:sz w:val="12"/>
        </w:rPr>
        <w:t> </w:t>
      </w:r>
      <w:r w:rsidRPr="002D679B">
        <w:rPr>
          <w:sz w:val="20"/>
        </w:rPr>
        <w:t>:</w:t>
      </w:r>
      <w:r w:rsidRPr="002D679B">
        <w:rPr>
          <w:sz w:val="20"/>
        </w:rPr>
        <w:tab/>
        <w:t>rapport de protection (dB) approprié à la différence entre la fréquence des produits d'intermodulation et celle du service aéronautique (voir le Tableau 2)</w:t>
      </w:r>
    </w:p>
    <w:p w:rsidR="002D679B" w:rsidRPr="002D679B" w:rsidRDefault="002D679B" w:rsidP="002D679B">
      <w:pPr>
        <w:tabs>
          <w:tab w:val="clear" w:pos="794"/>
          <w:tab w:val="clear" w:pos="1191"/>
          <w:tab w:val="clear" w:pos="1588"/>
          <w:tab w:val="clear" w:pos="1985"/>
          <w:tab w:val="left" w:pos="397"/>
          <w:tab w:val="left" w:pos="907"/>
        </w:tabs>
        <w:spacing w:before="86"/>
        <w:ind w:left="907" w:hanging="907"/>
        <w:rPr>
          <w:sz w:val="20"/>
        </w:rPr>
      </w:pPr>
      <w:r w:rsidRPr="002D679B">
        <w:rPr>
          <w:i/>
          <w:sz w:val="20"/>
        </w:rPr>
        <w:tab/>
        <w:t>E</w:t>
      </w:r>
      <w:r w:rsidRPr="002D679B">
        <w:rPr>
          <w:i/>
          <w:position w:val="-4"/>
          <w:sz w:val="16"/>
        </w:rPr>
        <w:t>W</w:t>
      </w:r>
      <w:r w:rsidRPr="002D679B">
        <w:rPr>
          <w:rFonts w:ascii="Tms Rmn" w:hAnsi="Tms Rmn"/>
          <w:sz w:val="12"/>
        </w:rPr>
        <w:t> </w:t>
      </w:r>
      <w:r w:rsidRPr="002D679B">
        <w:rPr>
          <w:sz w:val="20"/>
        </w:rPr>
        <w:t>:</w:t>
      </w:r>
      <w:r w:rsidRPr="002D679B">
        <w:rPr>
          <w:sz w:val="20"/>
        </w:rPr>
        <w:tab/>
        <w:t>intensité du champ (dB(</w:t>
      </w:r>
      <w:r w:rsidRPr="002D679B">
        <w:rPr>
          <w:rFonts w:ascii="Symbol" w:hAnsi="Symbol"/>
          <w:sz w:val="20"/>
          <w:lang w:val="en-GB"/>
        </w:rPr>
        <w:t></w:t>
      </w:r>
      <w:r w:rsidRPr="002D679B">
        <w:rPr>
          <w:sz w:val="20"/>
        </w:rPr>
        <w:t>V/m)) du signal aéronautique au point de mesure (au moins 32 dB(</w:t>
      </w:r>
      <w:r w:rsidRPr="002D679B">
        <w:rPr>
          <w:rFonts w:ascii="Symbol" w:hAnsi="Symbol"/>
          <w:sz w:val="20"/>
          <w:lang w:val="en-GB"/>
        </w:rPr>
        <w:t></w:t>
      </w:r>
      <w:r w:rsidRPr="002D679B">
        <w:rPr>
          <w:sz w:val="20"/>
        </w:rPr>
        <w:t>V/m) pour ILS et 39 dB(</w:t>
      </w:r>
      <w:r w:rsidRPr="002D679B">
        <w:rPr>
          <w:rFonts w:ascii="Symbol" w:hAnsi="Symbol"/>
          <w:sz w:val="20"/>
          <w:lang w:val="en-GB"/>
        </w:rPr>
        <w:t></w:t>
      </w:r>
      <w:r w:rsidRPr="002D679B">
        <w:rPr>
          <w:sz w:val="20"/>
        </w:rPr>
        <w:t>V/m) pour VOR).</w:t>
      </w:r>
    </w:p>
    <w:p w:rsidR="002D679B" w:rsidRPr="002D679B" w:rsidRDefault="002D679B" w:rsidP="002D679B">
      <w:pPr>
        <w:spacing w:before="136"/>
        <w:rPr>
          <w:sz w:val="20"/>
        </w:rPr>
      </w:pPr>
      <w:r w:rsidRPr="002D679B">
        <w:rPr>
          <w:sz w:val="20"/>
        </w:rPr>
        <w:t>Lorsque l'on connaît la valeur de réjection A1 pour un émetteur de radiodiffusion, il convient de l'utiliser pour calculer la compatibilité.</w:t>
      </w:r>
    </w:p>
    <w:p w:rsidR="002D679B" w:rsidRPr="00B2696D" w:rsidRDefault="002D679B" w:rsidP="00B2696D">
      <w:pPr>
        <w:pStyle w:val="Heading3"/>
        <w:rPr>
          <w:sz w:val="20"/>
        </w:rPr>
      </w:pPr>
      <w:r w:rsidRPr="00B2696D">
        <w:rPr>
          <w:sz w:val="20"/>
        </w:rPr>
        <w:t>3.2.5</w:t>
      </w:r>
      <w:r w:rsidRPr="00B2696D">
        <w:rPr>
          <w:sz w:val="20"/>
        </w:rPr>
        <w:tab/>
        <w:t>Calcul de la probabilité de brouillage de type B1</w:t>
      </w:r>
    </w:p>
    <w:p w:rsidR="002D679B" w:rsidRPr="002D679B" w:rsidRDefault="002D679B" w:rsidP="002D679B">
      <w:pPr>
        <w:spacing w:before="136"/>
        <w:rPr>
          <w:sz w:val="20"/>
        </w:rPr>
      </w:pPr>
      <w:r w:rsidRPr="002D679B">
        <w:rPr>
          <w:sz w:val="20"/>
        </w:rPr>
        <w:t>De façon à obtenir les résultats du cas de brouillage B1 le moins favorable par les stations de radiodiffusion situées à proximité les unes des autres, on considérera toute station de radiodiffusion non éloignée d'un point de mesure de plus de 3 km comme étant représentée par ce point de mesure (voir également l'Appendice 1).</w:t>
      </w:r>
    </w:p>
    <w:p w:rsidR="002D679B" w:rsidRPr="00B2696D" w:rsidRDefault="002D679B" w:rsidP="00B2696D">
      <w:pPr>
        <w:pStyle w:val="Heading3"/>
        <w:rPr>
          <w:sz w:val="20"/>
        </w:rPr>
      </w:pPr>
      <w:r w:rsidRPr="00B2696D">
        <w:rPr>
          <w:sz w:val="20"/>
        </w:rPr>
        <w:t>3.2.6</w:t>
      </w:r>
      <w:r w:rsidRPr="00B2696D">
        <w:rPr>
          <w:sz w:val="20"/>
        </w:rPr>
        <w:tab/>
        <w:t>Calcul de la probabilité de brouillage de type B2</w:t>
      </w:r>
    </w:p>
    <w:p w:rsidR="002D679B" w:rsidRPr="002D679B" w:rsidRDefault="002D679B" w:rsidP="00B45125">
      <w:pPr>
        <w:spacing w:before="136"/>
        <w:rPr>
          <w:sz w:val="20"/>
        </w:rPr>
      </w:pPr>
      <w:r w:rsidRPr="002D679B">
        <w:rPr>
          <w:sz w:val="20"/>
        </w:rPr>
        <w:t>Pour le calcul de la probabilité de brouillage de type B2, aucun compte n'est tenu du niveau du signal aéronautique. Seules les valeurs minimales de 32 et 39 dB(</w:t>
      </w:r>
      <w:r w:rsidRPr="002D679B">
        <w:rPr>
          <w:rFonts w:ascii="Symbol" w:hAnsi="Symbol"/>
          <w:sz w:val="20"/>
        </w:rPr>
        <w:t></w:t>
      </w:r>
      <w:r w:rsidRPr="002D679B">
        <w:rPr>
          <w:sz w:val="20"/>
        </w:rPr>
        <w:t>V/m) sont en effet utilisées pour, respectivement, les radiophares d'alignement de piste ILS et les VOR.</w:t>
      </w:r>
    </w:p>
    <w:p w:rsidR="002D679B" w:rsidRPr="00B2696D" w:rsidRDefault="002D679B" w:rsidP="001F6663">
      <w:pPr>
        <w:pStyle w:val="Heading3"/>
        <w:rPr>
          <w:sz w:val="20"/>
        </w:rPr>
      </w:pPr>
      <w:r w:rsidRPr="00B2696D">
        <w:rPr>
          <w:sz w:val="20"/>
        </w:rPr>
        <w:t>3.2.7</w:t>
      </w:r>
      <w:r w:rsidRPr="00B2696D">
        <w:rPr>
          <w:sz w:val="20"/>
        </w:rPr>
        <w:tab/>
        <w:t>Brouillage multiple</w:t>
      </w:r>
    </w:p>
    <w:p w:rsidR="002D679B" w:rsidRPr="002D679B" w:rsidRDefault="002D679B" w:rsidP="001F6663">
      <w:pPr>
        <w:keepNext/>
        <w:keepLines/>
        <w:spacing w:before="136"/>
        <w:rPr>
          <w:sz w:val="20"/>
        </w:rPr>
      </w:pPr>
      <w:r w:rsidRPr="002D679B">
        <w:rPr>
          <w:sz w:val="20"/>
        </w:rPr>
        <w:t>En principe, il convient de tenir compte de l'effet combiné de diverses sources de brouillage pouvant affecter un service aéronautique en un point de mesure donné. Mais dans le cadre de la MEG:</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l'utilisation d'une méthode de calcul en espace libre donne en général une surestimation de toutes les valeurs d'intensité de champ brouilleur;</w:t>
      </w:r>
    </w:p>
    <w:p w:rsidR="002D679B" w:rsidRPr="002D679B" w:rsidRDefault="002D679B" w:rsidP="00B45125">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l'utilisation des méthodes de calcul indiquées aux § 3.2.2.3 et 3.2.3.2 respectivement pour les radiophares d'alignement de piste ILS et les VOR donne en général une sous-estimation de toutes les valeurs d'intensité de champ aéronautique.</w:t>
      </w:r>
    </w:p>
    <w:p w:rsidR="002D679B" w:rsidRPr="002D679B" w:rsidRDefault="002D679B" w:rsidP="002D679B">
      <w:pPr>
        <w:spacing w:before="136"/>
        <w:rPr>
          <w:sz w:val="20"/>
        </w:rPr>
      </w:pPr>
      <w:r w:rsidRPr="002D679B">
        <w:rPr>
          <w:sz w:val="20"/>
        </w:rPr>
        <w:t>Il n'est donc pas considéré comme nécessaire de tenir compte du brouillage multiple dans la MEG.</w:t>
      </w:r>
    </w:p>
    <w:p w:rsidR="002D679B" w:rsidRPr="002D679B" w:rsidRDefault="002D679B" w:rsidP="002D679B">
      <w:pPr>
        <w:spacing w:before="136"/>
        <w:rPr>
          <w:sz w:val="20"/>
        </w:rPr>
      </w:pPr>
      <w:r w:rsidRPr="002D679B">
        <w:rPr>
          <w:sz w:val="20"/>
        </w:rPr>
        <w:t>Dans le cas des calculs de compatibilité de type A1, il y a toutefois lieu d'augmenter de 3 dB le rapport de protection afin de donner une marge de sécurité lorsque la différence entre la fréquence du signal utile et celle du rayonnement non essentiel est soit nulle, soit égale à 50 kHz.</w:t>
      </w:r>
    </w:p>
    <w:p w:rsidR="002D679B" w:rsidRPr="002D679B" w:rsidRDefault="002D679B" w:rsidP="00B2696D">
      <w:pPr>
        <w:pStyle w:val="Heading1"/>
      </w:pPr>
      <w:bookmarkStart w:id="49" w:name="_Toc289760523"/>
      <w:bookmarkStart w:id="50" w:name="_Toc289760863"/>
      <w:bookmarkStart w:id="51" w:name="_Toc289761202"/>
      <w:r w:rsidRPr="002D679B">
        <w:t>4</w:t>
      </w:r>
      <w:r w:rsidRPr="002D679B">
        <w:tab/>
        <w:t>Corrections d'antenne des stations de radiodiffusion</w:t>
      </w:r>
      <w:bookmarkEnd w:id="49"/>
      <w:bookmarkEnd w:id="50"/>
      <w:bookmarkEnd w:id="51"/>
    </w:p>
    <w:p w:rsidR="002D679B" w:rsidRPr="00B2696D" w:rsidRDefault="002D679B" w:rsidP="00B2696D">
      <w:pPr>
        <w:pStyle w:val="Heading2"/>
        <w:rPr>
          <w:sz w:val="22"/>
          <w:szCs w:val="22"/>
        </w:rPr>
      </w:pPr>
      <w:bookmarkStart w:id="52" w:name="_Toc289761203"/>
      <w:r w:rsidRPr="00B2696D">
        <w:rPr>
          <w:sz w:val="22"/>
          <w:szCs w:val="22"/>
        </w:rPr>
        <w:t>4.1</w:t>
      </w:r>
      <w:r w:rsidRPr="00B2696D">
        <w:rPr>
          <w:sz w:val="22"/>
          <w:szCs w:val="22"/>
        </w:rPr>
        <w:tab/>
        <w:t>Considération d'ordre général</w:t>
      </w:r>
      <w:bookmarkEnd w:id="52"/>
    </w:p>
    <w:p w:rsidR="002D679B" w:rsidRPr="002D679B" w:rsidRDefault="002D679B" w:rsidP="002D679B">
      <w:pPr>
        <w:spacing w:before="136"/>
        <w:rPr>
          <w:sz w:val="20"/>
        </w:rPr>
      </w:pPr>
      <w:r w:rsidRPr="002D679B">
        <w:rPr>
          <w:sz w:val="20"/>
        </w:rPr>
        <w:t>Lors du calcul des valeurs d'intensité de champ (voir le § 3.3.7 de l'Annexe 1), on tiendra compte des caractéristiques de directivité des antennes d'émission des stations de radiodiffusion.</w:t>
      </w:r>
    </w:p>
    <w:p w:rsidR="002D679B" w:rsidRPr="00B2696D" w:rsidRDefault="002D679B" w:rsidP="00B2696D">
      <w:pPr>
        <w:pStyle w:val="Heading2"/>
        <w:rPr>
          <w:sz w:val="22"/>
          <w:szCs w:val="22"/>
        </w:rPr>
      </w:pPr>
      <w:bookmarkStart w:id="53" w:name="_Toc289761204"/>
      <w:r w:rsidRPr="00B2696D">
        <w:rPr>
          <w:sz w:val="22"/>
          <w:szCs w:val="22"/>
        </w:rPr>
        <w:t>4.2</w:t>
      </w:r>
      <w:r w:rsidRPr="00B2696D">
        <w:rPr>
          <w:sz w:val="22"/>
          <w:szCs w:val="22"/>
        </w:rPr>
        <w:tab/>
        <w:t>Découplage de polarisation</w:t>
      </w:r>
      <w:bookmarkEnd w:id="53"/>
    </w:p>
    <w:p w:rsidR="002D679B" w:rsidRPr="002D679B" w:rsidRDefault="002D679B" w:rsidP="002D679B">
      <w:pPr>
        <w:spacing w:before="136"/>
        <w:rPr>
          <w:sz w:val="20"/>
        </w:rPr>
      </w:pPr>
      <w:r w:rsidRPr="002D679B">
        <w:rPr>
          <w:sz w:val="20"/>
        </w:rPr>
        <w:t>Aucun découplage de polarisation entre les émissions de radiodiffusion et les émissions de radionavigation aéronautique n'est pris en compte (sauf indication contraire dans le § 3.3.7 de l'Annexe 1).</w:t>
      </w:r>
    </w:p>
    <w:p w:rsidR="002D679B" w:rsidRPr="00B2696D" w:rsidRDefault="002D679B" w:rsidP="00B2696D">
      <w:pPr>
        <w:pStyle w:val="Heading2"/>
        <w:rPr>
          <w:sz w:val="22"/>
          <w:szCs w:val="22"/>
        </w:rPr>
      </w:pPr>
      <w:bookmarkStart w:id="54" w:name="_Toc289761205"/>
      <w:r w:rsidRPr="00B2696D">
        <w:rPr>
          <w:sz w:val="22"/>
          <w:szCs w:val="22"/>
        </w:rPr>
        <w:t>4.3</w:t>
      </w:r>
      <w:r w:rsidRPr="00B2696D">
        <w:rPr>
          <w:sz w:val="22"/>
          <w:szCs w:val="22"/>
        </w:rPr>
        <w:tab/>
        <w:t>Diagramme de rayonnement horizontal</w:t>
      </w:r>
      <w:bookmarkEnd w:id="54"/>
    </w:p>
    <w:p w:rsidR="002D679B" w:rsidRPr="002D679B" w:rsidRDefault="002D679B" w:rsidP="002D679B">
      <w:pPr>
        <w:spacing w:before="136"/>
        <w:rPr>
          <w:sz w:val="20"/>
        </w:rPr>
      </w:pPr>
      <w:r w:rsidRPr="002D679B">
        <w:rPr>
          <w:sz w:val="20"/>
        </w:rPr>
        <w:t>Pour une station de radiodiffusion dont l'antenne est directive, les données du diagramme de rayonnement horizontal (DRH) seront spécifiées à intervalles de 10</w:t>
      </w:r>
      <w:r w:rsidRPr="002D679B">
        <w:rPr>
          <w:rFonts w:ascii="Symbol" w:hAnsi="Symbol"/>
          <w:sz w:val="20"/>
          <w:lang w:val="en-GB"/>
        </w:rPr>
        <w:t></w:t>
      </w:r>
      <w:r w:rsidRPr="002D679B">
        <w:rPr>
          <w:sz w:val="20"/>
        </w:rPr>
        <w:t xml:space="preserve"> en partant du nord géographique. La correction </w:t>
      </w:r>
      <w:r w:rsidRPr="002D679B">
        <w:rPr>
          <w:i/>
          <w:sz w:val="20"/>
        </w:rPr>
        <w:t>H</w:t>
      </w:r>
      <w:r w:rsidRPr="002D679B">
        <w:rPr>
          <w:sz w:val="20"/>
        </w:rPr>
        <w:t xml:space="preserve"> (dB) relative au DRH est calculée à l'aide de la formule suivante:</w:t>
      </w:r>
    </w:p>
    <w:p w:rsidR="002D679B" w:rsidRP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i/>
          <w:sz w:val="22"/>
        </w:rPr>
        <w:t>H</w:t>
      </w:r>
      <w:r w:rsidRPr="002D679B">
        <w:rPr>
          <w:sz w:val="22"/>
        </w:rPr>
        <w:t xml:space="preserve">  </w:t>
      </w:r>
      <w:r w:rsidRPr="002D679B">
        <w:rPr>
          <w:rFonts w:ascii="Symbol" w:hAnsi="Symbol"/>
          <w:sz w:val="22"/>
          <w:lang w:val="en-GB"/>
        </w:rPr>
        <w:t></w:t>
      </w:r>
      <w:r w:rsidRPr="002D679B">
        <w:rPr>
          <w:sz w:val="22"/>
        </w:rPr>
        <w:t xml:space="preserve">  (p.a.r. dans la direction appropriée)  –  (p.a.r. maximale)</w:t>
      </w:r>
      <w:r w:rsidRPr="002D679B">
        <w:rPr>
          <w:sz w:val="22"/>
        </w:rPr>
        <w:tab/>
        <w:t>(19)</w:t>
      </w:r>
    </w:p>
    <w:p w:rsidR="002D679B" w:rsidRPr="00B2696D" w:rsidRDefault="002D679B" w:rsidP="00B2696D">
      <w:pPr>
        <w:pStyle w:val="Heading2"/>
        <w:rPr>
          <w:sz w:val="22"/>
          <w:szCs w:val="22"/>
        </w:rPr>
      </w:pPr>
      <w:bookmarkStart w:id="55" w:name="_Toc289761206"/>
      <w:r w:rsidRPr="00B2696D">
        <w:rPr>
          <w:sz w:val="22"/>
          <w:szCs w:val="22"/>
        </w:rPr>
        <w:t>4.4</w:t>
      </w:r>
      <w:r w:rsidRPr="00B2696D">
        <w:rPr>
          <w:sz w:val="22"/>
          <w:szCs w:val="22"/>
        </w:rPr>
        <w:tab/>
        <w:t>Correction relative au diagramme de rayonnement vertical</w:t>
      </w:r>
      <w:bookmarkEnd w:id="55"/>
    </w:p>
    <w:p w:rsidR="002D679B" w:rsidRPr="002D679B" w:rsidRDefault="002D679B" w:rsidP="002D679B">
      <w:pPr>
        <w:spacing w:before="136"/>
        <w:rPr>
          <w:sz w:val="20"/>
        </w:rPr>
      </w:pPr>
      <w:r w:rsidRPr="002D679B">
        <w:rPr>
          <w:sz w:val="20"/>
        </w:rPr>
        <w:t>Les corrections relatives au diagramme de rayonnement vertical (DRV) ne sont appliquées que pour les angles d'élévation au-dessus du plan horizontal passant par l'antenne de radiodiffusion.</w:t>
      </w:r>
    </w:p>
    <w:p w:rsidR="002D679B" w:rsidRPr="002D679B" w:rsidRDefault="002D679B" w:rsidP="002D679B">
      <w:pPr>
        <w:spacing w:before="136"/>
        <w:rPr>
          <w:sz w:val="20"/>
        </w:rPr>
      </w:pPr>
      <w:r w:rsidRPr="002D679B">
        <w:rPr>
          <w:sz w:val="20"/>
        </w:rPr>
        <w:t>Les antennes de radiodiffusion vont d'une simple antenne telle qu'un doublet (comme on en utilise souvent dans les stations de faible puissance) à la plus complexe antenne multiplan qui est normalement utilisée dans les stations de grande puissance.</w:t>
      </w:r>
    </w:p>
    <w:p w:rsidR="002D679B" w:rsidRPr="002D679B" w:rsidRDefault="002D679B" w:rsidP="00B45125">
      <w:pPr>
        <w:spacing w:before="136"/>
        <w:rPr>
          <w:sz w:val="20"/>
        </w:rPr>
      </w:pPr>
      <w:r w:rsidRPr="002D679B">
        <w:rPr>
          <w:sz w:val="20"/>
        </w:rPr>
        <w:t>Si l'on ne connaît pas l'ouverture radioélectrique de l'antenne réelle, on utilisera le Tableau 7 pour mettre en correspondance la p.a.r. maximale avec l'ouverture dans le plan vertical. Ce tableau est fondé sur une analyse statistique des pratiques d'exploitation.</w:t>
      </w:r>
    </w:p>
    <w:p w:rsidR="002D679B" w:rsidRPr="002D679B" w:rsidRDefault="002D679B" w:rsidP="002D679B">
      <w:pPr>
        <w:spacing w:before="136"/>
        <w:rPr>
          <w:sz w:val="20"/>
        </w:rPr>
      </w:pPr>
      <w:r w:rsidRPr="002D679B">
        <w:rPr>
          <w:sz w:val="20"/>
        </w:rPr>
        <w:t>Les corrections relatives au DRV, décrites aux § 4.4.1 et 4.4.2, sont applicables aux émissions polarisées aussi bien horizonalement que verticalement. Les valeurs limites citées tiennent compte du cas de trajet oblique le moins favorable.</w:t>
      </w:r>
    </w:p>
    <w:p w:rsidR="002D679B" w:rsidRPr="002D679B" w:rsidRDefault="002D679B" w:rsidP="002D679B">
      <w:pPr>
        <w:keepNext/>
        <w:tabs>
          <w:tab w:val="clear" w:pos="794"/>
          <w:tab w:val="clear" w:pos="1191"/>
          <w:tab w:val="clear" w:pos="1588"/>
          <w:tab w:val="clear" w:pos="1985"/>
        </w:tabs>
        <w:spacing w:before="567" w:after="113"/>
        <w:jc w:val="center"/>
        <w:rPr>
          <w:sz w:val="18"/>
        </w:rPr>
      </w:pPr>
      <w:r w:rsidRPr="002D679B">
        <w:rPr>
          <w:sz w:val="18"/>
        </w:rPr>
        <w:t>TABLEAU  7</w:t>
      </w:r>
    </w:p>
    <w:p w:rsidR="002D679B" w:rsidRPr="002D679B" w:rsidRDefault="002D679B" w:rsidP="002D679B">
      <w:pPr>
        <w:keepNext/>
        <w:keepLines/>
        <w:tabs>
          <w:tab w:val="clear" w:pos="794"/>
          <w:tab w:val="clear" w:pos="1191"/>
          <w:tab w:val="clear" w:pos="1588"/>
          <w:tab w:val="clear" w:pos="1985"/>
        </w:tabs>
        <w:spacing w:before="0"/>
        <w:rPr>
          <w:sz w:val="16"/>
        </w:rPr>
      </w:pPr>
    </w:p>
    <w:tbl>
      <w:tblPr>
        <w:tblW w:w="0" w:type="auto"/>
        <w:jc w:val="center"/>
        <w:tblLayout w:type="fixed"/>
        <w:tblCellMar>
          <w:left w:w="0" w:type="dxa"/>
          <w:right w:w="0" w:type="dxa"/>
        </w:tblCellMar>
        <w:tblLook w:val="0000" w:firstRow="0" w:lastRow="0" w:firstColumn="0" w:lastColumn="0" w:noHBand="0" w:noVBand="0"/>
      </w:tblPr>
      <w:tblGrid>
        <w:gridCol w:w="3175"/>
        <w:gridCol w:w="3175"/>
      </w:tblGrid>
      <w:tr w:rsidR="002D679B" w:rsidRPr="002D679B" w:rsidTr="002D679B">
        <w:trPr>
          <w:cantSplit/>
          <w:jc w:val="center"/>
        </w:trPr>
        <w:tc>
          <w:tcPr>
            <w:tcW w:w="3175"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p.a.r. maximale</w:t>
            </w:r>
            <w:r w:rsidRPr="002D679B">
              <w:rPr>
                <w:sz w:val="18"/>
              </w:rPr>
              <w:br/>
              <w:t>(dBW)</w:t>
            </w:r>
          </w:p>
        </w:tc>
        <w:tc>
          <w:tcPr>
            <w:tcW w:w="3175"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 xml:space="preserve">Ouverture verticale </w:t>
            </w:r>
            <w:r w:rsidRPr="002D679B">
              <w:rPr>
                <w:sz w:val="18"/>
              </w:rPr>
              <w:br/>
              <w:t>(longueurs d'onde)</w:t>
            </w:r>
          </w:p>
        </w:tc>
      </w:tr>
      <w:tr w:rsidR="002D679B" w:rsidRPr="002D679B" w:rsidTr="002D679B">
        <w:trPr>
          <w:cantSplit/>
          <w:jc w:val="center"/>
        </w:trPr>
        <w:tc>
          <w:tcPr>
            <w:tcW w:w="3175" w:type="dxa"/>
            <w:tcBorders>
              <w:top w:val="single" w:sz="6" w:space="0" w:color="auto"/>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lang w:val="en-GB"/>
              </w:rPr>
            </w:pPr>
            <w:r w:rsidRPr="002D679B">
              <w:rPr>
                <w:sz w:val="18"/>
                <w:lang w:val="en-GB"/>
              </w:rPr>
              <w:t xml:space="preserve">p.a.r.  </w:t>
            </w:r>
            <w:r w:rsidRPr="002D679B">
              <w:rPr>
                <w:rFonts w:ascii="Symbol" w:hAnsi="Symbol"/>
                <w:sz w:val="18"/>
                <w:lang w:val="en-GB"/>
              </w:rPr>
              <w:t></w:t>
            </w:r>
            <w:r w:rsidRPr="002D679B">
              <w:rPr>
                <w:sz w:val="18"/>
                <w:lang w:val="en-GB"/>
              </w:rPr>
              <w:t xml:space="preserve">  44</w:t>
            </w:r>
          </w:p>
        </w:tc>
        <w:tc>
          <w:tcPr>
            <w:tcW w:w="3175" w:type="dxa"/>
            <w:tcBorders>
              <w:top w:val="single" w:sz="6" w:space="0" w:color="auto"/>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lang w:val="en-GB"/>
              </w:rPr>
            </w:pPr>
            <w:r w:rsidRPr="002D679B">
              <w:rPr>
                <w:sz w:val="18"/>
                <w:lang w:val="en-GB"/>
              </w:rPr>
              <w:t>8</w:t>
            </w:r>
          </w:p>
        </w:tc>
      </w:tr>
      <w:tr w:rsidR="002D679B" w:rsidRPr="002D679B" w:rsidTr="002D679B">
        <w:trPr>
          <w:cantSplit/>
          <w:jc w:val="center"/>
        </w:trPr>
        <w:tc>
          <w:tcPr>
            <w:tcW w:w="317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lang w:val="en-GB"/>
              </w:rPr>
            </w:pPr>
            <w:r w:rsidRPr="002D679B">
              <w:rPr>
                <w:sz w:val="18"/>
                <w:lang w:val="en-GB"/>
              </w:rPr>
              <w:t xml:space="preserve">37  </w:t>
            </w:r>
            <w:r w:rsidRPr="002D679B">
              <w:rPr>
                <w:rFonts w:ascii="Symbol" w:hAnsi="Symbol"/>
                <w:sz w:val="18"/>
                <w:lang w:val="en-GB"/>
              </w:rPr>
              <w:t></w:t>
            </w:r>
            <w:r w:rsidRPr="002D679B">
              <w:rPr>
                <w:sz w:val="18"/>
                <w:lang w:val="en-GB"/>
              </w:rPr>
              <w:t xml:space="preserve">  p.a.r.  </w:t>
            </w:r>
            <w:r w:rsidRPr="002D679B">
              <w:rPr>
                <w:rFonts w:ascii="Symbol" w:hAnsi="Symbol"/>
                <w:sz w:val="18"/>
                <w:lang w:val="en-GB"/>
              </w:rPr>
              <w:t></w:t>
            </w:r>
            <w:r w:rsidRPr="002D679B">
              <w:rPr>
                <w:sz w:val="18"/>
                <w:lang w:val="en-GB"/>
              </w:rPr>
              <w:t xml:space="preserve">  44</w:t>
            </w:r>
          </w:p>
        </w:tc>
        <w:tc>
          <w:tcPr>
            <w:tcW w:w="317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lang w:val="en-GB"/>
              </w:rPr>
            </w:pPr>
            <w:r w:rsidRPr="002D679B">
              <w:rPr>
                <w:sz w:val="18"/>
                <w:lang w:val="en-GB"/>
              </w:rPr>
              <w:t>4</w:t>
            </w:r>
          </w:p>
        </w:tc>
      </w:tr>
      <w:tr w:rsidR="002D679B" w:rsidRPr="002D679B" w:rsidTr="002D679B">
        <w:trPr>
          <w:cantSplit/>
          <w:jc w:val="center"/>
        </w:trPr>
        <w:tc>
          <w:tcPr>
            <w:tcW w:w="317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lang w:val="en-GB"/>
              </w:rPr>
            </w:pPr>
            <w:r w:rsidRPr="002D679B">
              <w:rPr>
                <w:sz w:val="18"/>
                <w:lang w:val="en-GB"/>
              </w:rPr>
              <w:t xml:space="preserve">30  </w:t>
            </w:r>
            <w:r w:rsidRPr="002D679B">
              <w:rPr>
                <w:rFonts w:ascii="Symbol" w:hAnsi="Symbol"/>
                <w:sz w:val="18"/>
                <w:lang w:val="en-GB"/>
              </w:rPr>
              <w:t></w:t>
            </w:r>
            <w:r w:rsidRPr="002D679B">
              <w:rPr>
                <w:sz w:val="18"/>
                <w:lang w:val="en-GB"/>
              </w:rPr>
              <w:t xml:space="preserve">  p.a.r.  </w:t>
            </w:r>
            <w:r w:rsidRPr="002D679B">
              <w:rPr>
                <w:rFonts w:ascii="Symbol" w:hAnsi="Symbol"/>
                <w:sz w:val="18"/>
                <w:lang w:val="en-GB"/>
              </w:rPr>
              <w:t></w:t>
            </w:r>
            <w:r w:rsidRPr="002D679B">
              <w:rPr>
                <w:sz w:val="18"/>
                <w:lang w:val="en-GB"/>
              </w:rPr>
              <w:t xml:space="preserve">  37</w:t>
            </w:r>
          </w:p>
        </w:tc>
        <w:tc>
          <w:tcPr>
            <w:tcW w:w="317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lang w:val="en-GB"/>
              </w:rPr>
            </w:pPr>
            <w:r w:rsidRPr="002D679B">
              <w:rPr>
                <w:sz w:val="18"/>
                <w:lang w:val="en-GB"/>
              </w:rPr>
              <w:t>2</w:t>
            </w:r>
          </w:p>
        </w:tc>
      </w:tr>
      <w:tr w:rsidR="002D679B" w:rsidRPr="002D679B" w:rsidTr="002D679B">
        <w:trPr>
          <w:cantSplit/>
          <w:jc w:val="center"/>
        </w:trPr>
        <w:tc>
          <w:tcPr>
            <w:tcW w:w="3175" w:type="dxa"/>
            <w:tcBorders>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lang w:val="en-GB"/>
              </w:rPr>
              <w:t xml:space="preserve">p.a.r.  </w:t>
            </w:r>
            <w:r w:rsidRPr="002D679B">
              <w:rPr>
                <w:rFonts w:ascii="Symbol" w:hAnsi="Symbol"/>
                <w:sz w:val="18"/>
                <w:lang w:val="en-GB"/>
              </w:rPr>
              <w:t></w:t>
            </w:r>
            <w:r w:rsidRPr="002D679B">
              <w:rPr>
                <w:sz w:val="18"/>
              </w:rPr>
              <w:t xml:space="preserve">  30</w:t>
            </w:r>
          </w:p>
        </w:tc>
        <w:tc>
          <w:tcPr>
            <w:tcW w:w="3175" w:type="dxa"/>
            <w:tcBorders>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1</w:t>
            </w:r>
          </w:p>
        </w:tc>
      </w:tr>
    </w:tbl>
    <w:p w:rsidR="002D679B" w:rsidRPr="002D679B" w:rsidRDefault="002D679B" w:rsidP="002D679B">
      <w:pPr>
        <w:spacing w:before="0"/>
        <w:rPr>
          <w:sz w:val="20"/>
        </w:rPr>
      </w:pPr>
    </w:p>
    <w:p w:rsidR="002D679B" w:rsidRPr="00F47624" w:rsidRDefault="002D679B" w:rsidP="00F47624">
      <w:pPr>
        <w:pStyle w:val="Heading3"/>
        <w:rPr>
          <w:sz w:val="20"/>
        </w:rPr>
      </w:pPr>
      <w:r w:rsidRPr="00F47624">
        <w:rPr>
          <w:sz w:val="20"/>
        </w:rPr>
        <w:t>4.4.1</w:t>
      </w:r>
      <w:r w:rsidRPr="00F47624">
        <w:rPr>
          <w:sz w:val="20"/>
        </w:rPr>
        <w:tab/>
        <w:t>Corrections relatives au DRV pour des ouvertures verticales de deux longueurs d'onde ou plus</w:t>
      </w:r>
    </w:p>
    <w:p w:rsidR="002D679B" w:rsidRPr="002D679B" w:rsidRDefault="002D679B" w:rsidP="002D679B">
      <w:pPr>
        <w:spacing w:before="136"/>
        <w:rPr>
          <w:sz w:val="20"/>
        </w:rPr>
      </w:pPr>
      <w:r w:rsidRPr="002D679B">
        <w:rPr>
          <w:sz w:val="20"/>
        </w:rPr>
        <w:tab/>
        <w:t xml:space="preserve">Pour représenter l'enveloppe du diagramme de rayonnement vertical d'antennes dont l'ouverture verticale est de deux longueurs d'onde ou plus, on calcule le facteur </w:t>
      </w:r>
      <w:r w:rsidRPr="002D679B">
        <w:rPr>
          <w:i/>
          <w:sz w:val="20"/>
        </w:rPr>
        <w:t>V</w:t>
      </w:r>
      <w:r w:rsidRPr="002D679B">
        <w:rPr>
          <w:sz w:val="20"/>
        </w:rPr>
        <w:t xml:space="preserve"> de correction du DRV (dB) au moyen de la formule suivante:</w:t>
      </w:r>
    </w:p>
    <w:p w:rsidR="002D679B" w:rsidRPr="002D679B" w:rsidRDefault="002D679B" w:rsidP="002D679B">
      <w:pPr>
        <w:tabs>
          <w:tab w:val="clear" w:pos="1191"/>
          <w:tab w:val="clear" w:pos="1588"/>
          <w:tab w:val="clear" w:pos="1985"/>
          <w:tab w:val="center" w:pos="4849"/>
          <w:tab w:val="right" w:pos="9696"/>
        </w:tabs>
        <w:spacing w:before="140" w:after="40"/>
        <w:jc w:val="left"/>
        <w:rPr>
          <w:sz w:val="22"/>
          <w:lang w:val="es-ES"/>
        </w:rPr>
      </w:pPr>
      <w:r w:rsidRPr="002D679B">
        <w:rPr>
          <w:sz w:val="22"/>
        </w:rPr>
        <w:tab/>
      </w:r>
      <w:r w:rsidRPr="002D679B">
        <w:rPr>
          <w:sz w:val="22"/>
        </w:rPr>
        <w:tab/>
      </w:r>
      <w:r w:rsidRPr="002D679B">
        <w:rPr>
          <w:i/>
          <w:sz w:val="22"/>
          <w:lang w:val="es-ES"/>
        </w:rPr>
        <w:t>V</w:t>
      </w:r>
      <w:r w:rsidRPr="002D679B">
        <w:rPr>
          <w:sz w:val="22"/>
          <w:lang w:val="es-ES"/>
        </w:rPr>
        <w:t xml:space="preserve">  </w:t>
      </w:r>
      <w:r w:rsidRPr="002D679B">
        <w:rPr>
          <w:rFonts w:ascii="Symbol" w:hAnsi="Symbol"/>
          <w:sz w:val="22"/>
          <w:lang w:val="en-GB"/>
        </w:rPr>
        <w:t></w:t>
      </w:r>
      <w:r w:rsidRPr="002D679B">
        <w:rPr>
          <w:sz w:val="22"/>
          <w:lang w:val="es-ES"/>
        </w:rPr>
        <w:t xml:space="preserve">  –</w:t>
      </w:r>
      <w:r w:rsidRPr="002D679B">
        <w:rPr>
          <w:sz w:val="12"/>
          <w:lang w:val="es-ES"/>
        </w:rPr>
        <w:t> </w:t>
      </w:r>
      <w:r w:rsidRPr="002D679B">
        <w:rPr>
          <w:sz w:val="22"/>
          <w:lang w:val="es-ES"/>
        </w:rPr>
        <w:t>20 log (</w:t>
      </w:r>
      <w:r w:rsidRPr="002D679B">
        <w:rPr>
          <w:rFonts w:ascii="Symbol" w:hAnsi="Symbol"/>
          <w:sz w:val="22"/>
          <w:lang w:val="en-GB"/>
        </w:rPr>
        <w:t></w:t>
      </w:r>
      <w:r w:rsidRPr="002D679B">
        <w:rPr>
          <w:sz w:val="22"/>
          <w:lang w:val="es-ES"/>
        </w:rPr>
        <w:t xml:space="preserve"> </w:t>
      </w:r>
      <w:r w:rsidRPr="002D679B">
        <w:rPr>
          <w:i/>
          <w:sz w:val="22"/>
          <w:lang w:val="es-ES"/>
        </w:rPr>
        <w:t>A</w:t>
      </w:r>
      <w:r w:rsidRPr="002D679B">
        <w:rPr>
          <w:sz w:val="22"/>
          <w:lang w:val="es-ES"/>
        </w:rPr>
        <w:t xml:space="preserve"> sin </w:t>
      </w:r>
      <w:r w:rsidRPr="002D679B">
        <w:rPr>
          <w:rFonts w:ascii="Symbol" w:hAnsi="Symbol"/>
          <w:sz w:val="22"/>
          <w:lang w:val="en-GB"/>
        </w:rPr>
        <w:t></w:t>
      </w:r>
      <w:r w:rsidRPr="002D679B">
        <w:rPr>
          <w:sz w:val="22"/>
          <w:lang w:val="es-ES"/>
        </w:rPr>
        <w:t>)</w:t>
      </w:r>
      <w:r w:rsidRPr="002D679B">
        <w:rPr>
          <w:sz w:val="22"/>
          <w:lang w:val="es-ES"/>
        </w:rPr>
        <w:tab/>
        <w:t>(20)</w:t>
      </w:r>
    </w:p>
    <w:p w:rsidR="002D679B" w:rsidRPr="002D679B" w:rsidRDefault="002D679B" w:rsidP="002D679B">
      <w:pPr>
        <w:spacing w:before="136"/>
        <w:rPr>
          <w:sz w:val="20"/>
          <w:lang w:val="es-ES"/>
        </w:rPr>
      </w:pPr>
      <w:r w:rsidRPr="002D679B">
        <w:rPr>
          <w:sz w:val="20"/>
          <w:lang w:val="es-ES"/>
        </w:rPr>
        <w:t>où:</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lang w:val="es-ES"/>
        </w:rPr>
        <w:tab/>
      </w:r>
      <w:r w:rsidRPr="002D679B">
        <w:rPr>
          <w:i/>
          <w:sz w:val="20"/>
        </w:rPr>
        <w:t>A</w:t>
      </w:r>
      <w:r w:rsidRPr="002D679B">
        <w:rPr>
          <w:rFonts w:ascii="Tms Rmn" w:hAnsi="Tms Rmn"/>
          <w:sz w:val="12"/>
        </w:rPr>
        <w:t> </w:t>
      </w:r>
      <w:r w:rsidRPr="002D679B">
        <w:rPr>
          <w:sz w:val="20"/>
        </w:rPr>
        <w:t>:</w:t>
      </w:r>
      <w:r w:rsidRPr="002D679B">
        <w:rPr>
          <w:sz w:val="20"/>
        </w:rPr>
        <w:tab/>
        <w:t>ouverture verticale (longueurs d'onde)</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rFonts w:ascii="Symbol" w:hAnsi="Symbol"/>
          <w:sz w:val="20"/>
        </w:rPr>
        <w:tab/>
      </w:r>
      <w:r w:rsidRPr="002D679B">
        <w:rPr>
          <w:rFonts w:ascii="Symbol" w:hAnsi="Symbol"/>
          <w:sz w:val="20"/>
          <w:lang w:val="en-GB"/>
        </w:rPr>
        <w:t></w:t>
      </w:r>
      <w:r w:rsidRPr="002D679B">
        <w:rPr>
          <w:rFonts w:ascii="Tms Rmn" w:hAnsi="Tms Rmn"/>
          <w:sz w:val="12"/>
        </w:rPr>
        <w:t> </w:t>
      </w:r>
      <w:r w:rsidRPr="002D679B">
        <w:rPr>
          <w:sz w:val="20"/>
        </w:rPr>
        <w:t>:</w:t>
      </w:r>
      <w:r w:rsidRPr="002D679B">
        <w:rPr>
          <w:sz w:val="20"/>
        </w:rPr>
        <w:tab/>
        <w:t>angle d' élévation (par rapport à l'horizontale).</w:t>
      </w:r>
    </w:p>
    <w:p w:rsidR="002D679B" w:rsidRPr="002D679B" w:rsidRDefault="002D679B" w:rsidP="002D679B">
      <w:pPr>
        <w:spacing w:before="136"/>
        <w:rPr>
          <w:sz w:val="20"/>
        </w:rPr>
      </w:pPr>
      <w:r w:rsidRPr="002D679B">
        <w:rPr>
          <w:sz w:val="20"/>
        </w:rPr>
        <w:t>Il convient de remarquer que, pour de petits angles d'élévation, cette expression peut produire des valeurs positives de </w:t>
      </w:r>
      <w:r w:rsidRPr="002D679B">
        <w:rPr>
          <w:i/>
          <w:sz w:val="20"/>
        </w:rPr>
        <w:t>V</w:t>
      </w:r>
      <w:r w:rsidRPr="002D679B">
        <w:rPr>
          <w:sz w:val="20"/>
        </w:rPr>
        <w:t xml:space="preserve">. Dans de tels cas, </w:t>
      </w:r>
      <w:r w:rsidRPr="002D679B">
        <w:rPr>
          <w:i/>
          <w:sz w:val="20"/>
        </w:rPr>
        <w:t>V</w:t>
      </w:r>
      <w:r w:rsidRPr="002D679B">
        <w:rPr>
          <w:sz w:val="20"/>
        </w:rPr>
        <w:t xml:space="preserve"> est mis à 0 dB (c'est-à-dire qu'aucune correction du DRV n'est appliquée).</w:t>
      </w:r>
    </w:p>
    <w:p w:rsidR="002D679B" w:rsidRPr="002D679B" w:rsidRDefault="002D679B" w:rsidP="002D679B">
      <w:pPr>
        <w:spacing w:before="136"/>
        <w:rPr>
          <w:sz w:val="20"/>
        </w:rPr>
      </w:pPr>
      <w:r w:rsidRPr="002D679B">
        <w:rPr>
          <w:sz w:val="20"/>
        </w:rPr>
        <w:t xml:space="preserve">Pour de grands angles d'élévation, </w:t>
      </w:r>
      <w:r w:rsidRPr="002D679B">
        <w:rPr>
          <w:i/>
          <w:sz w:val="20"/>
        </w:rPr>
        <w:t>V</w:t>
      </w:r>
      <w:r w:rsidRPr="002D679B">
        <w:rPr>
          <w:sz w:val="20"/>
        </w:rPr>
        <w:t xml:space="preserve"> est limitée à une valeur de –14 dB, c'est-à-dire que 0 </w:t>
      </w:r>
      <w:r w:rsidRPr="002D679B">
        <w:rPr>
          <w:rFonts w:ascii="Symbol" w:hAnsi="Symbol"/>
          <w:sz w:val="20"/>
          <w:lang w:val="en-GB"/>
        </w:rPr>
        <w:t></w:t>
      </w:r>
      <w:r w:rsidRPr="002D679B">
        <w:rPr>
          <w:sz w:val="20"/>
        </w:rPr>
        <w:t xml:space="preserve"> </w:t>
      </w:r>
      <w:r w:rsidRPr="002D679B">
        <w:rPr>
          <w:i/>
          <w:sz w:val="20"/>
        </w:rPr>
        <w:t>V</w:t>
      </w:r>
      <w:r w:rsidRPr="002D679B">
        <w:rPr>
          <w:sz w:val="20"/>
        </w:rPr>
        <w:t xml:space="preserve"> </w:t>
      </w:r>
      <w:r w:rsidRPr="002D679B">
        <w:rPr>
          <w:rFonts w:ascii="Symbol" w:hAnsi="Symbol"/>
          <w:sz w:val="20"/>
          <w:lang w:val="en-GB"/>
        </w:rPr>
        <w:t></w:t>
      </w:r>
      <w:r w:rsidRPr="002D679B">
        <w:rPr>
          <w:sz w:val="20"/>
        </w:rPr>
        <w:t xml:space="preserve"> –14 dB.</w:t>
      </w:r>
    </w:p>
    <w:p w:rsidR="002D679B" w:rsidRPr="002D679B" w:rsidRDefault="002D679B" w:rsidP="002D679B">
      <w:pPr>
        <w:spacing w:before="136"/>
        <w:rPr>
          <w:sz w:val="20"/>
        </w:rPr>
      </w:pPr>
      <w:r w:rsidRPr="002D679B">
        <w:rPr>
          <w:sz w:val="20"/>
        </w:rPr>
        <w:t>Si l'on connaît la valeur maximale du facteur de correction réel du DRV, il convient de l'utiliser comme valeur limite à la place de –14 dB.</w:t>
      </w:r>
    </w:p>
    <w:p w:rsidR="002D679B" w:rsidRPr="00F47624" w:rsidRDefault="002D679B" w:rsidP="00F47624">
      <w:pPr>
        <w:pStyle w:val="Heading3"/>
        <w:rPr>
          <w:sz w:val="20"/>
        </w:rPr>
      </w:pPr>
      <w:r w:rsidRPr="00F47624">
        <w:rPr>
          <w:sz w:val="20"/>
        </w:rPr>
        <w:t>4.4.2</w:t>
      </w:r>
      <w:r w:rsidRPr="00F47624">
        <w:rPr>
          <w:sz w:val="20"/>
        </w:rPr>
        <w:tab/>
        <w:t>Corrections relatives au DRV pour des ouvertures verticales de moins de deux longueurs d'onde</w:t>
      </w:r>
    </w:p>
    <w:p w:rsidR="002D679B" w:rsidRPr="002D679B" w:rsidRDefault="002D679B" w:rsidP="002D679B">
      <w:pPr>
        <w:spacing w:before="136"/>
        <w:rPr>
          <w:sz w:val="20"/>
        </w:rPr>
      </w:pPr>
      <w:r w:rsidRPr="002D679B">
        <w:rPr>
          <w:sz w:val="20"/>
        </w:rPr>
        <w:t>Lorsque l'on utilise des antennes à faible gain (d'ouverture radioélectrique inférieure à deux longueurs d'onde), les valeurs du Tableau 8 caractérisent l'enveloppe du DRV.</w:t>
      </w:r>
    </w:p>
    <w:p w:rsidR="002D679B" w:rsidRPr="002D679B" w:rsidRDefault="002D679B" w:rsidP="002D679B">
      <w:pPr>
        <w:spacing w:before="136"/>
        <w:rPr>
          <w:sz w:val="20"/>
        </w:rPr>
      </w:pPr>
      <w:r w:rsidRPr="002D679B">
        <w:rPr>
          <w:sz w:val="20"/>
        </w:rPr>
        <w:t>On utilisera l'interpolation linéaire pour les angles intermédiaires.</w:t>
      </w:r>
    </w:p>
    <w:p w:rsidR="002D679B" w:rsidRPr="002D679B" w:rsidRDefault="002D679B" w:rsidP="002D679B">
      <w:pPr>
        <w:keepNext/>
        <w:tabs>
          <w:tab w:val="clear" w:pos="794"/>
          <w:tab w:val="clear" w:pos="1191"/>
          <w:tab w:val="clear" w:pos="1588"/>
          <w:tab w:val="clear" w:pos="1985"/>
        </w:tabs>
        <w:spacing w:before="567" w:after="113"/>
        <w:jc w:val="center"/>
        <w:rPr>
          <w:sz w:val="18"/>
        </w:rPr>
      </w:pPr>
      <w:r w:rsidRPr="002D679B">
        <w:rPr>
          <w:sz w:val="18"/>
        </w:rPr>
        <w:t>TABLEAU  8</w:t>
      </w:r>
    </w:p>
    <w:p w:rsidR="002D679B" w:rsidRPr="002D679B" w:rsidRDefault="002D679B" w:rsidP="002D679B">
      <w:pPr>
        <w:keepNext/>
        <w:keepLines/>
        <w:tabs>
          <w:tab w:val="clear" w:pos="794"/>
          <w:tab w:val="clear" w:pos="1191"/>
          <w:tab w:val="clear" w:pos="1588"/>
          <w:tab w:val="clear" w:pos="1985"/>
        </w:tabs>
        <w:spacing w:before="0"/>
        <w:rPr>
          <w:sz w:val="16"/>
        </w:rPr>
      </w:pPr>
    </w:p>
    <w:tbl>
      <w:tblPr>
        <w:tblW w:w="0" w:type="auto"/>
        <w:jc w:val="center"/>
        <w:tblLayout w:type="fixed"/>
        <w:tblCellMar>
          <w:left w:w="0" w:type="dxa"/>
          <w:right w:w="0" w:type="dxa"/>
        </w:tblCellMar>
        <w:tblLook w:val="0000" w:firstRow="0" w:lastRow="0" w:firstColumn="0" w:lastColumn="0" w:noHBand="0" w:noVBand="0"/>
      </w:tblPr>
      <w:tblGrid>
        <w:gridCol w:w="2835"/>
        <w:gridCol w:w="2835"/>
      </w:tblGrid>
      <w:tr w:rsidR="002D679B" w:rsidRPr="002D679B" w:rsidTr="002D679B">
        <w:trPr>
          <w:cantSplit/>
          <w:jc w:val="center"/>
        </w:trPr>
        <w:tc>
          <w:tcPr>
            <w:tcW w:w="2835"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Angle d'élévation</w:t>
            </w:r>
            <w:r w:rsidRPr="002D679B">
              <w:rPr>
                <w:sz w:val="18"/>
              </w:rPr>
              <w:br/>
              <w:t>(degrés)</w:t>
            </w:r>
          </w:p>
        </w:tc>
        <w:tc>
          <w:tcPr>
            <w:tcW w:w="2835" w:type="dxa"/>
            <w:tcBorders>
              <w:top w:val="single" w:sz="6" w:space="0" w:color="auto"/>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Correction du DRV</w:t>
            </w:r>
            <w:r w:rsidRPr="002D679B">
              <w:rPr>
                <w:sz w:val="18"/>
              </w:rPr>
              <w:br/>
              <w:t>(dB)</w:t>
            </w:r>
          </w:p>
        </w:tc>
      </w:tr>
      <w:tr w:rsidR="002D679B" w:rsidRPr="002D679B" w:rsidTr="002D679B">
        <w:trPr>
          <w:cantSplit/>
          <w:jc w:val="center"/>
        </w:trPr>
        <w:tc>
          <w:tcPr>
            <w:tcW w:w="2835" w:type="dxa"/>
            <w:tcBorders>
              <w:top w:val="single" w:sz="6" w:space="0" w:color="auto"/>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color w:val="FFFFFF"/>
                <w:sz w:val="18"/>
              </w:rPr>
              <w:t>0</w:t>
            </w:r>
            <w:r w:rsidRPr="002D679B">
              <w:rPr>
                <w:sz w:val="18"/>
              </w:rPr>
              <w:t>0</w:t>
            </w:r>
          </w:p>
        </w:tc>
        <w:tc>
          <w:tcPr>
            <w:tcW w:w="2835" w:type="dxa"/>
            <w:tcBorders>
              <w:top w:val="single" w:sz="6" w:space="0" w:color="auto"/>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ind w:left="86"/>
              <w:jc w:val="center"/>
              <w:rPr>
                <w:sz w:val="18"/>
              </w:rPr>
            </w:pPr>
            <w:r w:rsidRPr="002D679B">
              <w:rPr>
                <w:sz w:val="18"/>
              </w:rPr>
              <w:t>0</w:t>
            </w:r>
          </w:p>
        </w:tc>
      </w:tr>
      <w:tr w:rsidR="002D679B" w:rsidRPr="002D679B" w:rsidTr="002D679B">
        <w:trPr>
          <w:cantSplit/>
          <w:jc w:val="center"/>
        </w:trPr>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10</w:t>
            </w:r>
          </w:p>
        </w:tc>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ind w:left="86"/>
              <w:jc w:val="center"/>
              <w:rPr>
                <w:sz w:val="18"/>
              </w:rPr>
            </w:pPr>
            <w:r w:rsidRPr="002D679B">
              <w:rPr>
                <w:sz w:val="18"/>
              </w:rPr>
              <w:t>0</w:t>
            </w:r>
          </w:p>
        </w:tc>
      </w:tr>
      <w:tr w:rsidR="002D679B" w:rsidRPr="002D679B" w:rsidTr="002D679B">
        <w:trPr>
          <w:cantSplit/>
          <w:jc w:val="center"/>
        </w:trPr>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20</w:t>
            </w:r>
          </w:p>
        </w:tc>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–1</w:t>
            </w:r>
          </w:p>
        </w:tc>
      </w:tr>
      <w:tr w:rsidR="002D679B" w:rsidRPr="002D679B" w:rsidTr="002D679B">
        <w:trPr>
          <w:cantSplit/>
          <w:jc w:val="center"/>
        </w:trPr>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30</w:t>
            </w:r>
          </w:p>
        </w:tc>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–2</w:t>
            </w:r>
          </w:p>
        </w:tc>
      </w:tr>
      <w:tr w:rsidR="002D679B" w:rsidRPr="002D679B" w:rsidTr="002D679B">
        <w:trPr>
          <w:cantSplit/>
          <w:jc w:val="center"/>
        </w:trPr>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40</w:t>
            </w:r>
          </w:p>
        </w:tc>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–4</w:t>
            </w:r>
          </w:p>
        </w:tc>
      </w:tr>
      <w:tr w:rsidR="002D679B" w:rsidRPr="002D679B" w:rsidTr="002D679B">
        <w:trPr>
          <w:cantSplit/>
          <w:jc w:val="center"/>
        </w:trPr>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50</w:t>
            </w:r>
          </w:p>
        </w:tc>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–6</w:t>
            </w:r>
          </w:p>
        </w:tc>
      </w:tr>
      <w:tr w:rsidR="002D679B" w:rsidRPr="002D679B" w:rsidTr="002D679B">
        <w:trPr>
          <w:cantSplit/>
          <w:jc w:val="center"/>
        </w:trPr>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60</w:t>
            </w:r>
          </w:p>
        </w:tc>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–8</w:t>
            </w:r>
          </w:p>
        </w:tc>
      </w:tr>
      <w:tr w:rsidR="002D679B" w:rsidRPr="002D679B" w:rsidTr="002D679B">
        <w:trPr>
          <w:cantSplit/>
          <w:jc w:val="center"/>
        </w:trPr>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70</w:t>
            </w:r>
          </w:p>
        </w:tc>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–8</w:t>
            </w:r>
          </w:p>
        </w:tc>
      </w:tr>
      <w:tr w:rsidR="002D679B" w:rsidRPr="002D679B" w:rsidTr="002D679B">
        <w:trPr>
          <w:cantSplit/>
          <w:jc w:val="center"/>
        </w:trPr>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80</w:t>
            </w:r>
          </w:p>
        </w:tc>
        <w:tc>
          <w:tcPr>
            <w:tcW w:w="2835" w:type="dxa"/>
            <w:tcBorders>
              <w:left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–8</w:t>
            </w:r>
          </w:p>
        </w:tc>
      </w:tr>
      <w:tr w:rsidR="002D679B" w:rsidRPr="002D679B" w:rsidTr="002D679B">
        <w:trPr>
          <w:cantSplit/>
          <w:jc w:val="center"/>
        </w:trPr>
        <w:tc>
          <w:tcPr>
            <w:tcW w:w="2835" w:type="dxa"/>
            <w:tcBorders>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90</w:t>
            </w:r>
          </w:p>
        </w:tc>
        <w:tc>
          <w:tcPr>
            <w:tcW w:w="2835" w:type="dxa"/>
            <w:tcBorders>
              <w:left w:val="single" w:sz="6" w:space="0" w:color="auto"/>
              <w:bottom w:val="single" w:sz="6" w:space="0" w:color="auto"/>
              <w:right w:val="single" w:sz="6" w:space="0" w:color="auto"/>
            </w:tcBorders>
          </w:tcPr>
          <w:p w:rsidR="002D679B" w:rsidRPr="002D679B" w:rsidRDefault="002D679B" w:rsidP="002D679B">
            <w:pPr>
              <w:keepNext/>
              <w:framePr w:hSpace="181" w:wrap="notBeside" w:vAnchor="text" w:hAnchor="page" w:xAlign="center" w:y="1"/>
              <w:spacing w:before="80" w:after="80" w:line="190" w:lineRule="exact"/>
              <w:jc w:val="center"/>
              <w:rPr>
                <w:sz w:val="18"/>
              </w:rPr>
            </w:pPr>
            <w:r w:rsidRPr="002D679B">
              <w:rPr>
                <w:sz w:val="18"/>
              </w:rPr>
              <w:t>–8</w:t>
            </w:r>
          </w:p>
        </w:tc>
      </w:tr>
    </w:tbl>
    <w:p w:rsidR="002D679B" w:rsidRPr="002D679B" w:rsidRDefault="002D679B" w:rsidP="002D679B">
      <w:pPr>
        <w:spacing w:before="0"/>
        <w:rPr>
          <w:sz w:val="20"/>
        </w:rPr>
      </w:pPr>
    </w:p>
    <w:p w:rsidR="002D679B" w:rsidRPr="00F47624" w:rsidRDefault="002D679B" w:rsidP="00F47624">
      <w:pPr>
        <w:pStyle w:val="Heading3"/>
        <w:rPr>
          <w:sz w:val="20"/>
        </w:rPr>
      </w:pPr>
      <w:r w:rsidRPr="00F47624">
        <w:rPr>
          <w:sz w:val="20"/>
        </w:rPr>
        <w:t>4.4.3</w:t>
      </w:r>
      <w:r w:rsidRPr="00F47624">
        <w:rPr>
          <w:sz w:val="20"/>
        </w:rPr>
        <w:tab/>
        <w:t>Corrections du DRV pour des rayonnements non essentiels dans la bande 108-118 MHz</w:t>
      </w:r>
    </w:p>
    <w:p w:rsidR="002D679B" w:rsidRPr="002D679B" w:rsidRDefault="002D679B" w:rsidP="002D679B">
      <w:pPr>
        <w:spacing w:before="136"/>
        <w:rPr>
          <w:sz w:val="20"/>
        </w:rPr>
      </w:pPr>
      <w:r w:rsidRPr="002D679B">
        <w:rPr>
          <w:sz w:val="20"/>
        </w:rPr>
        <w:t>Les corrections du DRV indiquées aux § 4.4.1 et 4.4.2 sont également appliquées aux rayonnements non essentiels dans la bande 108</w:t>
      </w:r>
      <w:r w:rsidRPr="002D679B">
        <w:rPr>
          <w:sz w:val="20"/>
        </w:rPr>
        <w:noBreakHyphen/>
        <w:t>118 MHz.</w:t>
      </w:r>
    </w:p>
    <w:p w:rsidR="002D679B" w:rsidRPr="00F47624" w:rsidRDefault="002D679B" w:rsidP="00F47624">
      <w:pPr>
        <w:pStyle w:val="Heading2"/>
        <w:rPr>
          <w:sz w:val="22"/>
          <w:szCs w:val="22"/>
        </w:rPr>
      </w:pPr>
      <w:bookmarkStart w:id="56" w:name="_Toc289761207"/>
      <w:r w:rsidRPr="00F47624">
        <w:rPr>
          <w:sz w:val="22"/>
          <w:szCs w:val="22"/>
        </w:rPr>
        <w:t>4.5</w:t>
      </w:r>
      <w:r w:rsidRPr="00F47624">
        <w:rPr>
          <w:sz w:val="22"/>
          <w:szCs w:val="22"/>
        </w:rPr>
        <w:tab/>
        <w:t>Combinaison des diagrammes de rayonnement horizontal et vertical</w:t>
      </w:r>
      <w:bookmarkEnd w:id="56"/>
    </w:p>
    <w:p w:rsidR="002D679B" w:rsidRPr="002D679B" w:rsidRDefault="002D679B" w:rsidP="002D679B">
      <w:pPr>
        <w:spacing w:before="136"/>
        <w:rPr>
          <w:sz w:val="20"/>
        </w:rPr>
      </w:pPr>
      <w:r w:rsidRPr="002D679B">
        <w:rPr>
          <w:sz w:val="20"/>
        </w:rPr>
        <w:t>On ajoutera arithmétiquement les valeurs correspondantes, en décibels, des facteurs de correction DRV et DRH, sous réserve d'une correction combinée maximale de –20 dB ou de la correction de DRV maximale. On choisira la plus grande de ces deux valeurs. Aux angles d'élévation supérieurs à 45</w:t>
      </w:r>
      <w:r w:rsidRPr="002D679B">
        <w:rPr>
          <w:rFonts w:ascii="Symbol" w:hAnsi="Symbol"/>
          <w:sz w:val="20"/>
          <w:lang w:val="en-GB"/>
        </w:rPr>
        <w:t></w:t>
      </w:r>
      <w:r w:rsidRPr="002D679B">
        <w:rPr>
          <w:sz w:val="20"/>
        </w:rPr>
        <w:t>, aucune correction de DRH n'est effectuée.</w:t>
      </w:r>
    </w:p>
    <w:p w:rsidR="002D679B" w:rsidRDefault="002D679B" w:rsidP="002D679B">
      <w:pPr>
        <w:spacing w:before="136"/>
        <w:rPr>
          <w:sz w:val="20"/>
        </w:rPr>
      </w:pPr>
    </w:p>
    <w:p w:rsidR="001F6663" w:rsidRDefault="001F6663" w:rsidP="002D679B">
      <w:pPr>
        <w:spacing w:before="136"/>
        <w:rPr>
          <w:sz w:val="20"/>
        </w:rPr>
      </w:pPr>
    </w:p>
    <w:p w:rsidR="001F6663" w:rsidRPr="002D679B" w:rsidRDefault="001F6663" w:rsidP="002D679B">
      <w:pPr>
        <w:spacing w:before="136"/>
        <w:rPr>
          <w:sz w:val="20"/>
        </w:rPr>
      </w:pPr>
    </w:p>
    <w:p w:rsidR="002D679B" w:rsidRPr="00EE5FBE" w:rsidRDefault="002D679B" w:rsidP="00F47624">
      <w:pPr>
        <w:pStyle w:val="Appendix"/>
        <w:spacing w:before="0"/>
        <w:rPr>
          <w:lang w:val="fr-CH"/>
        </w:rPr>
      </w:pPr>
      <w:bookmarkStart w:id="57" w:name="_Toc289760524"/>
      <w:bookmarkStart w:id="58" w:name="_Toc289760864"/>
      <w:r w:rsidRPr="00EE5FBE">
        <w:rPr>
          <w:lang w:val="fr-CH"/>
        </w:rPr>
        <w:t>APPENDICE  1</w:t>
      </w:r>
      <w:bookmarkEnd w:id="57"/>
      <w:bookmarkEnd w:id="58"/>
    </w:p>
    <w:p w:rsidR="002D679B" w:rsidRPr="00EE5FBE" w:rsidRDefault="002D679B" w:rsidP="00F47624">
      <w:pPr>
        <w:pStyle w:val="AppendixRef0"/>
        <w:rPr>
          <w:lang w:val="fr-CH"/>
        </w:rPr>
      </w:pPr>
      <w:r w:rsidRPr="00EE5FBE">
        <w:rPr>
          <w:lang w:val="fr-CH"/>
        </w:rPr>
        <w:t>DE  L'ANNEXE  2</w:t>
      </w:r>
    </w:p>
    <w:p w:rsidR="002D679B" w:rsidRPr="00EE5FBE" w:rsidRDefault="002D679B" w:rsidP="00F47624">
      <w:pPr>
        <w:pStyle w:val="AppendixTitle"/>
        <w:rPr>
          <w:lang w:val="fr-CH"/>
        </w:rPr>
      </w:pPr>
      <w:bookmarkStart w:id="59" w:name="_Toc289760525"/>
      <w:bookmarkStart w:id="60" w:name="_Toc289760865"/>
      <w:r w:rsidRPr="00EE5FBE">
        <w:rPr>
          <w:lang w:val="fr-CH"/>
        </w:rPr>
        <w:t>Emplacement des points de mesure à probabilité maximale de brouillage</w:t>
      </w:r>
      <w:bookmarkEnd w:id="59"/>
      <w:bookmarkEnd w:id="60"/>
    </w:p>
    <w:p w:rsidR="002D679B" w:rsidRPr="002D679B" w:rsidRDefault="002D679B" w:rsidP="002D679B">
      <w:pPr>
        <w:spacing w:before="136"/>
        <w:jc w:val="center"/>
        <w:rPr>
          <w:sz w:val="20"/>
        </w:rPr>
      </w:pPr>
      <w:r w:rsidRPr="002D679B">
        <w:rPr>
          <w:i/>
          <w:sz w:val="20"/>
        </w:rPr>
        <w:t>Explication de la méthode d'évaluation générale (MEG)</w:t>
      </w:r>
    </w:p>
    <w:p w:rsidR="002D679B" w:rsidRPr="002D679B" w:rsidRDefault="002D679B" w:rsidP="002D679B">
      <w:pPr>
        <w:spacing w:before="480"/>
        <w:rPr>
          <w:sz w:val="20"/>
        </w:rPr>
      </w:pPr>
      <w:r w:rsidRPr="002D679B">
        <w:rPr>
          <w:sz w:val="20"/>
        </w:rPr>
        <w:t>Le présent Appendice clarifie les relations entre emplacements de points de mesure et valeurs maximales de probabilité de brouillage local, dans le cadre de la méthode d'évaluation générale (MEG).</w:t>
      </w:r>
    </w:p>
    <w:p w:rsidR="002D679B" w:rsidRPr="002D679B" w:rsidRDefault="002D679B" w:rsidP="00F47624">
      <w:pPr>
        <w:pStyle w:val="Heading1"/>
      </w:pPr>
      <w:bookmarkStart w:id="61" w:name="_Toc289760526"/>
      <w:bookmarkStart w:id="62" w:name="_Toc289760866"/>
      <w:bookmarkStart w:id="63" w:name="_Toc289761208"/>
      <w:r w:rsidRPr="002D679B">
        <w:t>1</w:t>
      </w:r>
      <w:r w:rsidRPr="002D679B">
        <w:tab/>
        <w:t>Aéronef à la même hauteur qu'une antenne de station de radiodiffusion</w:t>
      </w:r>
      <w:bookmarkEnd w:id="61"/>
      <w:bookmarkEnd w:id="62"/>
      <w:bookmarkEnd w:id="63"/>
    </w:p>
    <w:p w:rsidR="002D679B" w:rsidRPr="002D679B" w:rsidRDefault="002D679B" w:rsidP="002D679B">
      <w:pPr>
        <w:spacing w:before="136"/>
        <w:rPr>
          <w:sz w:val="20"/>
        </w:rPr>
      </w:pPr>
      <w:r w:rsidRPr="002D679B">
        <w:rPr>
          <w:sz w:val="20"/>
        </w:rPr>
        <w:t>Soit un aéronef naviguant près d'une station de radiodiffusion. Si les hauteurs de l'une et de l'autre sont égales, la valeur de l'intensité de champ de radiodiffusion reçue par l'aéronef sera maximale au point d'approche au plus près. Dans le cas d'une antenne de radiodiffusion équidirective, le lieu des points d'intensité de champ maximale est un cercle centré sur l'antenne.</w:t>
      </w:r>
    </w:p>
    <w:p w:rsidR="002D679B" w:rsidRPr="002D679B" w:rsidRDefault="002D679B" w:rsidP="00F47624">
      <w:pPr>
        <w:pStyle w:val="Heading1"/>
      </w:pPr>
      <w:bookmarkStart w:id="64" w:name="_Toc289760527"/>
      <w:bookmarkStart w:id="65" w:name="_Toc289760867"/>
      <w:bookmarkStart w:id="66" w:name="_Toc289761209"/>
      <w:r w:rsidRPr="002D679B">
        <w:t>2</w:t>
      </w:r>
      <w:r w:rsidRPr="002D679B">
        <w:tab/>
        <w:t>Aéronef à une hauteur supérieure à celle de l'antenne d'une station de radiodiffusion</w:t>
      </w:r>
      <w:bookmarkEnd w:id="64"/>
      <w:bookmarkEnd w:id="65"/>
      <w:bookmarkEnd w:id="66"/>
    </w:p>
    <w:p w:rsidR="002D679B" w:rsidRPr="002D679B" w:rsidRDefault="002D679B" w:rsidP="002D679B">
      <w:pPr>
        <w:spacing w:before="136"/>
        <w:rPr>
          <w:sz w:val="20"/>
        </w:rPr>
      </w:pPr>
      <w:r w:rsidRPr="002D679B">
        <w:rPr>
          <w:sz w:val="20"/>
        </w:rPr>
        <w:t>Si l'aéronef navigue à altitude constante sur un axe radial en direction et au-dessus de l'emplacement d'une antenne de radiodiffusion, le point d'intensité de champ maximale sera situé verticalement au-dessus de cette antenne (voir l'Appendice 2 de l'Annexe 2).</w:t>
      </w:r>
    </w:p>
    <w:p w:rsidR="002D679B" w:rsidRPr="002D679B" w:rsidRDefault="002D679B" w:rsidP="00F47624">
      <w:pPr>
        <w:pStyle w:val="Heading1"/>
      </w:pPr>
      <w:bookmarkStart w:id="67" w:name="_Toc289760528"/>
      <w:bookmarkStart w:id="68" w:name="_Toc289760868"/>
      <w:bookmarkStart w:id="69" w:name="_Toc289761210"/>
      <w:r w:rsidRPr="002D679B">
        <w:t>3</w:t>
      </w:r>
      <w:r w:rsidRPr="002D679B">
        <w:tab/>
        <w:t>Relation entre distances de séparation verticale et horizontale</w:t>
      </w:r>
      <w:bookmarkEnd w:id="67"/>
      <w:bookmarkEnd w:id="68"/>
      <w:bookmarkEnd w:id="69"/>
    </w:p>
    <w:p w:rsidR="002D679B" w:rsidRPr="002D679B" w:rsidRDefault="002D679B" w:rsidP="002D679B">
      <w:pPr>
        <w:spacing w:before="136"/>
        <w:rPr>
          <w:sz w:val="20"/>
        </w:rPr>
      </w:pPr>
      <w:r w:rsidRPr="002D679B">
        <w:rPr>
          <w:sz w:val="20"/>
        </w:rPr>
        <w:t xml:space="preserve">Si la valeur maximale de correction du DRV pour l'antenne de radiodiffusion est de –14 dB, la valeur maximale de l'intensité de champ obtenue pour une séparation verticale de </w:t>
      </w:r>
      <w:r w:rsidRPr="002D679B">
        <w:rPr>
          <w:i/>
          <w:sz w:val="20"/>
        </w:rPr>
        <w:t>y</w:t>
      </w:r>
      <w:r w:rsidRPr="002D679B">
        <w:rPr>
          <w:sz w:val="20"/>
        </w:rPr>
        <w:t xml:space="preserve"> mètres sera la même que pour une séparation de 5</w:t>
      </w:r>
      <w:r w:rsidRPr="002D679B">
        <w:rPr>
          <w:i/>
          <w:sz w:val="20"/>
        </w:rPr>
        <w:t>y</w:t>
      </w:r>
      <w:r w:rsidRPr="002D679B">
        <w:rPr>
          <w:sz w:val="20"/>
        </w:rPr>
        <w:t> mètres dans le plan horizontal passant par cette antenne de radiodiffusion (lorsque la correction DRV est de 0 dB).</w:t>
      </w:r>
    </w:p>
    <w:p w:rsidR="002D679B" w:rsidRPr="002D679B" w:rsidRDefault="002D679B" w:rsidP="00F47624">
      <w:pPr>
        <w:pStyle w:val="Heading1"/>
      </w:pPr>
      <w:bookmarkStart w:id="70" w:name="_Toc289760529"/>
      <w:bookmarkStart w:id="71" w:name="_Toc289760869"/>
      <w:bookmarkStart w:id="72" w:name="_Toc289761211"/>
      <w:r w:rsidRPr="002D679B">
        <w:t>4</w:t>
      </w:r>
      <w:r w:rsidRPr="002D679B">
        <w:tab/>
        <w:t>Emplacement du point de probabilité maximale de brouillage</w:t>
      </w:r>
      <w:bookmarkEnd w:id="70"/>
      <w:bookmarkEnd w:id="71"/>
      <w:bookmarkEnd w:id="72"/>
    </w:p>
    <w:p w:rsidR="002D679B" w:rsidRPr="002D679B" w:rsidRDefault="002D679B" w:rsidP="002D679B">
      <w:pPr>
        <w:spacing w:before="136"/>
        <w:rPr>
          <w:sz w:val="20"/>
        </w:rPr>
      </w:pPr>
      <w:r w:rsidRPr="002D679B">
        <w:rPr>
          <w:sz w:val="20"/>
        </w:rPr>
        <w:t xml:space="preserve">Pour les calculs de compatibilité A1, A2 et B2, les concepts de séparation verticale et de séparation horizontale sont équivalents parce que la source des signaux de radiodiffusion est au même emplacement. Dans le cas B1, les sources de signaux ne sont généralement pas au même endroit: l'emplacement du point de probabilité maximale de brouillage ne sera sans doute pas immédiatement repérable si l'on utilise le concept de séparation horizontale. </w:t>
      </w:r>
    </w:p>
    <w:p w:rsidR="002D679B" w:rsidRPr="002D679B" w:rsidRDefault="002D679B" w:rsidP="002D679B">
      <w:pPr>
        <w:spacing w:before="136"/>
        <w:rPr>
          <w:sz w:val="20"/>
        </w:rPr>
      </w:pPr>
      <w:r w:rsidRPr="002D679B">
        <w:rPr>
          <w:sz w:val="20"/>
        </w:rPr>
        <w:t>Mais si l'on utilise le concept de séparation verticale, le point de probabilité maximale de brouillage sera situé au</w:t>
      </w:r>
      <w:r w:rsidRPr="002D679B">
        <w:rPr>
          <w:sz w:val="20"/>
        </w:rPr>
        <w:noBreakHyphen/>
        <w:t>dessus de l'une ou de l'autre antenne de radiodiffusion (voir l'Appendice 2 de l'Annexe 2).</w:t>
      </w:r>
    </w:p>
    <w:p w:rsidR="002D679B" w:rsidRPr="002D679B" w:rsidRDefault="002D679B" w:rsidP="002D679B">
      <w:pPr>
        <w:spacing w:before="136"/>
        <w:rPr>
          <w:sz w:val="20"/>
        </w:rPr>
      </w:pPr>
      <w:r w:rsidRPr="002D679B">
        <w:rPr>
          <w:sz w:val="20"/>
        </w:rPr>
        <w:t xml:space="preserve">Une paire (ou un trio) unique de points a ainsi été définie pour un calcul du cas le moins favorable sans qu'il ait été nécessaire de faire appel à un très grand nombre de points de calcul sur une sorte de réseau tridimensionnel. </w:t>
      </w:r>
    </w:p>
    <w:p w:rsidR="002D679B" w:rsidRPr="002D679B" w:rsidRDefault="002D679B" w:rsidP="00F47624">
      <w:pPr>
        <w:pStyle w:val="Heading1"/>
      </w:pPr>
      <w:bookmarkStart w:id="73" w:name="_Toc289760530"/>
      <w:bookmarkStart w:id="74" w:name="_Toc289760870"/>
      <w:bookmarkStart w:id="75" w:name="_Toc289761212"/>
      <w:r w:rsidRPr="002D679B">
        <w:t>5</w:t>
      </w:r>
      <w:r w:rsidRPr="002D679B">
        <w:tab/>
        <w:t>Points de mesure pour équipements VOR</w:t>
      </w:r>
      <w:bookmarkEnd w:id="73"/>
      <w:bookmarkEnd w:id="74"/>
      <w:bookmarkEnd w:id="75"/>
    </w:p>
    <w:p w:rsidR="002D679B" w:rsidRPr="002D679B" w:rsidRDefault="002D679B" w:rsidP="002D679B">
      <w:pPr>
        <w:spacing w:before="136"/>
        <w:rPr>
          <w:sz w:val="20"/>
        </w:rPr>
      </w:pPr>
      <w:r w:rsidRPr="002D679B">
        <w:rPr>
          <w:sz w:val="20"/>
        </w:rPr>
        <w:t>Dans la MEG, ce procédé direct sera utilisé pour les calculs de compatibilité VOR. On le complétera de points de mesure supplémentaires, situés à la limite ou à proximité de la zone de COS afin de s'assurer que l'on prend bien en compte les stations de radiodiffusion extérieures à la COS.</w:t>
      </w:r>
    </w:p>
    <w:p w:rsidR="002D679B" w:rsidRPr="002D679B" w:rsidRDefault="002D679B" w:rsidP="00F47624">
      <w:pPr>
        <w:pStyle w:val="Heading1"/>
      </w:pPr>
      <w:bookmarkStart w:id="76" w:name="_Toc289760531"/>
      <w:bookmarkStart w:id="77" w:name="_Toc289760871"/>
      <w:bookmarkStart w:id="78" w:name="_Toc289761213"/>
      <w:r w:rsidRPr="002D679B">
        <w:t>6</w:t>
      </w:r>
      <w:r w:rsidRPr="002D679B">
        <w:tab/>
        <w:t>Points de mesure pour équipements ILS</w:t>
      </w:r>
      <w:bookmarkEnd w:id="76"/>
      <w:bookmarkEnd w:id="77"/>
      <w:bookmarkEnd w:id="78"/>
    </w:p>
    <w:p w:rsidR="002D679B" w:rsidRPr="002D679B" w:rsidRDefault="002D679B" w:rsidP="002D679B">
      <w:pPr>
        <w:spacing w:before="136"/>
        <w:rPr>
          <w:sz w:val="20"/>
        </w:rPr>
      </w:pPr>
      <w:r w:rsidRPr="002D679B">
        <w:rPr>
          <w:sz w:val="20"/>
        </w:rPr>
        <w:t>Contrairement au cas précédent, la COS des équipements ILS recouvre relativement peu de stations de radiodiffusion. Il est donc plus facile de démontrer que la compatibilité a été totalement évaluée au moyen d'un ensemble de points de mesure fixes en complément des points de mesure déterminés au-dessus ou à proximité de toutes les stations de radiodiffusion contenues dans la COS.</w:t>
      </w:r>
    </w:p>
    <w:p w:rsidR="002D679B" w:rsidRPr="002D679B" w:rsidRDefault="002D679B" w:rsidP="002D679B">
      <w:pPr>
        <w:spacing w:before="136"/>
        <w:rPr>
          <w:sz w:val="20"/>
        </w:rPr>
      </w:pPr>
      <w:r w:rsidRPr="002D679B">
        <w:rPr>
          <w:sz w:val="20"/>
        </w:rPr>
        <w:t>Les points de mesure situés à l'intérieur de la zone ombrée de la Fig. 4 ont été choisis de façon à permettre d'évaluer la compatibilité à partir du niveau du sol. Les hauteurs de ces points ont été choisies de manière à représenter une trajectoire de descente sur une pente de 3</w:t>
      </w:r>
      <w:r w:rsidRPr="002D679B">
        <w:rPr>
          <w:rFonts w:ascii="Symbol" w:hAnsi="Symbol"/>
          <w:sz w:val="20"/>
          <w:lang w:val="en-GB"/>
        </w:rPr>
        <w:t></w:t>
      </w:r>
      <w:r w:rsidRPr="002D679B">
        <w:rPr>
          <w:sz w:val="20"/>
        </w:rPr>
        <w:t>.</w:t>
      </w:r>
    </w:p>
    <w:p w:rsidR="002D679B" w:rsidRPr="002D679B" w:rsidRDefault="002D679B" w:rsidP="00F47624">
      <w:pPr>
        <w:pStyle w:val="Heading1"/>
      </w:pPr>
      <w:bookmarkStart w:id="79" w:name="_Toc289760532"/>
      <w:bookmarkStart w:id="80" w:name="_Toc289760872"/>
      <w:bookmarkStart w:id="81" w:name="_Toc289761214"/>
      <w:r w:rsidRPr="002D679B">
        <w:t>7</w:t>
      </w:r>
      <w:r w:rsidRPr="002D679B">
        <w:tab/>
        <w:t>Effet d'une augmentation de la hauteur d'un point de mesure</w:t>
      </w:r>
      <w:bookmarkEnd w:id="79"/>
      <w:bookmarkEnd w:id="80"/>
      <w:bookmarkEnd w:id="81"/>
    </w:p>
    <w:p w:rsidR="002D679B" w:rsidRPr="002D679B" w:rsidRDefault="002D679B" w:rsidP="002D679B">
      <w:pPr>
        <w:spacing w:before="136"/>
        <w:rPr>
          <w:sz w:val="20"/>
        </w:rPr>
      </w:pPr>
      <w:r w:rsidRPr="002D679B">
        <w:rPr>
          <w:sz w:val="20"/>
        </w:rPr>
        <w:t>Les calculs de brouillage potentiels de type B1 à 2 ou à 3 composantes donnent les résultats les plus défavorables à tout sous</w:t>
      </w:r>
      <w:r w:rsidRPr="002D679B">
        <w:rPr>
          <w:sz w:val="20"/>
        </w:rPr>
        <w:noBreakHyphen/>
        <w:t>ensemble donné des stations de radiodiffusion qui se trouvent à portée optique de ce point lorsque la hauteur du point de mesure est minimale. Cependant, pour une hauteur plus élevée du point de mesure, il est possible que d'autres stations de radiodiffusion entrent dans la portée optique de ce point. D'autres calculs sont alors nécessaires pour déterminer si ces stations peuvent contribuer à un éventuel brouillage de type B1. La valeur maximale de tout brouillage potentiel intervient à la hauteur minimale pour laquelle toutes les stations de radiodiffusion étudiées sont à portée optique du point de mesure. La hauteur maximale à prendre en compte sera la plus petite des valeurs suivantes: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 hauteur maximale de la COS; ou</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 hauteur maximale à laquelle le niveau de signal d'une station de radiodiffusion parvient à la valeur de déclenchement.</w:t>
      </w:r>
    </w:p>
    <w:p w:rsidR="002D679B" w:rsidRDefault="002D679B" w:rsidP="002D679B">
      <w:pPr>
        <w:spacing w:before="136"/>
        <w:rPr>
          <w:sz w:val="20"/>
        </w:rPr>
      </w:pPr>
    </w:p>
    <w:p w:rsidR="001F6663" w:rsidRDefault="001F6663" w:rsidP="002D679B">
      <w:pPr>
        <w:spacing w:before="136"/>
        <w:rPr>
          <w:sz w:val="20"/>
        </w:rPr>
      </w:pPr>
    </w:p>
    <w:p w:rsidR="001F6663" w:rsidRPr="002D679B" w:rsidRDefault="001F6663" w:rsidP="002D679B">
      <w:pPr>
        <w:spacing w:before="136"/>
        <w:rPr>
          <w:sz w:val="20"/>
        </w:rPr>
      </w:pPr>
    </w:p>
    <w:p w:rsidR="002D679B" w:rsidRPr="00EE5FBE" w:rsidRDefault="002D679B" w:rsidP="00F47624">
      <w:pPr>
        <w:pStyle w:val="Appendix"/>
        <w:spacing w:before="240"/>
        <w:rPr>
          <w:lang w:val="fr-CH"/>
        </w:rPr>
      </w:pPr>
      <w:bookmarkStart w:id="82" w:name="_Toc289760533"/>
      <w:bookmarkStart w:id="83" w:name="_Toc289760873"/>
      <w:r w:rsidRPr="00EE5FBE">
        <w:rPr>
          <w:lang w:val="fr-CH"/>
        </w:rPr>
        <w:t>APPENDICE  2</w:t>
      </w:r>
      <w:bookmarkEnd w:id="82"/>
      <w:bookmarkEnd w:id="83"/>
    </w:p>
    <w:p w:rsidR="002D679B" w:rsidRPr="00EE5FBE" w:rsidRDefault="002D679B" w:rsidP="00F47624">
      <w:pPr>
        <w:pStyle w:val="AppendixRef0"/>
        <w:rPr>
          <w:lang w:val="fr-CH"/>
        </w:rPr>
      </w:pPr>
      <w:r w:rsidRPr="00EE5FBE">
        <w:rPr>
          <w:lang w:val="fr-CH"/>
        </w:rPr>
        <w:t>DE  L'ANNEXE  2</w:t>
      </w:r>
    </w:p>
    <w:p w:rsidR="002D679B" w:rsidRPr="00EE5FBE" w:rsidRDefault="002D679B" w:rsidP="00F47624">
      <w:pPr>
        <w:pStyle w:val="AppendixTitle"/>
        <w:rPr>
          <w:lang w:val="fr-CH"/>
        </w:rPr>
      </w:pPr>
      <w:bookmarkStart w:id="84" w:name="_Toc289760534"/>
      <w:bookmarkStart w:id="85" w:name="_Toc289760874"/>
      <w:r w:rsidRPr="00EE5FBE">
        <w:rPr>
          <w:lang w:val="fr-CH"/>
        </w:rPr>
        <w:t>Considérations relatives à l'intensité de champ maximale</w:t>
      </w:r>
      <w:r w:rsidRPr="00EE5FBE">
        <w:rPr>
          <w:lang w:val="fr-CH"/>
        </w:rPr>
        <w:br/>
        <w:t>et à la probabilité maximale de brouillage</w:t>
      </w:r>
      <w:bookmarkEnd w:id="84"/>
      <w:bookmarkEnd w:id="85"/>
    </w:p>
    <w:p w:rsidR="002D679B" w:rsidRPr="002D679B" w:rsidRDefault="002D679B" w:rsidP="00F47624">
      <w:pPr>
        <w:pStyle w:val="Heading1"/>
      </w:pPr>
      <w:bookmarkStart w:id="86" w:name="_Toc289760535"/>
      <w:bookmarkStart w:id="87" w:name="_Toc289760875"/>
      <w:bookmarkStart w:id="88" w:name="_Toc289761215"/>
      <w:r w:rsidRPr="002D679B">
        <w:t>1</w:t>
      </w:r>
      <w:r w:rsidRPr="002D679B">
        <w:tab/>
        <w:t>Intensité de champ maximale</w:t>
      </w:r>
      <w:bookmarkEnd w:id="86"/>
      <w:bookmarkEnd w:id="87"/>
      <w:bookmarkEnd w:id="88"/>
    </w:p>
    <w:p w:rsidR="002D679B" w:rsidRPr="002D679B" w:rsidRDefault="002D679B" w:rsidP="002D679B">
      <w:pPr>
        <w:spacing w:before="136"/>
        <w:rPr>
          <w:sz w:val="20"/>
        </w:rPr>
      </w:pPr>
      <w:r w:rsidRPr="002D679B">
        <w:rPr>
          <w:sz w:val="20"/>
        </w:rPr>
        <w:t>Soit un aéronef naviguant sur une trajectoire radiale en direction d'une station de radiodiffusion à une altitude constante et supérieure à celle de l'antenne de radiodiffusion (voir la Fig. 6).</w:t>
      </w:r>
    </w:p>
    <w:p w:rsidR="002D679B" w:rsidRPr="002D679B" w:rsidRDefault="002D679B" w:rsidP="002D679B">
      <w:pPr>
        <w:spacing w:before="136"/>
        <w:rPr>
          <w:sz w:val="20"/>
        </w:rPr>
      </w:pPr>
      <w:r w:rsidRPr="002D679B">
        <w:rPr>
          <w:sz w:val="20"/>
        </w:rPr>
        <w:t>Dans ce qui suit:</w:t>
      </w:r>
    </w:p>
    <w:p w:rsidR="002D679B" w:rsidRPr="002D679B" w:rsidRDefault="002D679B" w:rsidP="002D679B">
      <w:pPr>
        <w:tabs>
          <w:tab w:val="clear" w:pos="794"/>
          <w:tab w:val="clear" w:pos="1191"/>
          <w:tab w:val="clear" w:pos="1588"/>
          <w:tab w:val="clear" w:pos="1985"/>
          <w:tab w:val="left" w:pos="397"/>
        </w:tabs>
        <w:spacing w:before="86"/>
        <w:ind w:left="397" w:hanging="397"/>
        <w:rPr>
          <w:sz w:val="20"/>
          <w:lang w:val="fr-CH"/>
        </w:rPr>
      </w:pPr>
      <w:r w:rsidRPr="002D679B">
        <w:rPr>
          <w:i/>
          <w:sz w:val="20"/>
        </w:rPr>
        <w:tab/>
      </w:r>
      <w:r w:rsidRPr="002D679B">
        <w:rPr>
          <w:i/>
          <w:sz w:val="20"/>
          <w:lang w:val="fr-CH"/>
        </w:rPr>
        <w:t>P</w:t>
      </w:r>
      <w:r w:rsidRPr="002D679B">
        <w:rPr>
          <w:rFonts w:ascii="Tms Rmn" w:hAnsi="Tms Rmn"/>
          <w:sz w:val="12"/>
          <w:lang w:val="fr-CH"/>
        </w:rPr>
        <w:t> </w:t>
      </w:r>
      <w:r w:rsidRPr="002D679B">
        <w:rPr>
          <w:sz w:val="20"/>
          <w:lang w:val="fr-CH"/>
        </w:rPr>
        <w:t>:</w:t>
      </w:r>
      <w:r w:rsidRPr="002D679B">
        <w:rPr>
          <w:sz w:val="20"/>
          <w:lang w:val="fr-CH"/>
        </w:rPr>
        <w:tab/>
        <w:t>p.a.r. (dBW)</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lang w:val="fr-CH"/>
        </w:rPr>
        <w:tab/>
      </w:r>
      <w:r w:rsidRPr="002D679B">
        <w:rPr>
          <w:i/>
          <w:sz w:val="20"/>
        </w:rPr>
        <w:t>h</w:t>
      </w:r>
      <w:r w:rsidRPr="002D679B">
        <w:rPr>
          <w:rFonts w:ascii="Tms Rmn" w:hAnsi="Tms Rmn"/>
          <w:sz w:val="12"/>
        </w:rPr>
        <w:t> </w:t>
      </w:r>
      <w:r w:rsidRPr="002D679B">
        <w:rPr>
          <w:sz w:val="20"/>
        </w:rPr>
        <w:t>:</w:t>
      </w:r>
      <w:r w:rsidRPr="002D679B">
        <w:rPr>
          <w:sz w:val="20"/>
        </w:rPr>
        <w:tab/>
        <w:t>différence d'altitude (km)</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d</w:t>
      </w:r>
      <w:r w:rsidRPr="002D679B">
        <w:rPr>
          <w:rFonts w:ascii="Tms Rmn" w:hAnsi="Tms Rmn"/>
          <w:sz w:val="12"/>
        </w:rPr>
        <w:t> </w:t>
      </w:r>
      <w:r w:rsidRPr="002D679B">
        <w:rPr>
          <w:sz w:val="20"/>
        </w:rPr>
        <w:t>:</w:t>
      </w:r>
      <w:r w:rsidRPr="002D679B">
        <w:rPr>
          <w:sz w:val="20"/>
        </w:rPr>
        <w:tab/>
        <w:t>distance en trajet oblique (km)</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rFonts w:ascii="Symbol" w:hAnsi="Symbol"/>
          <w:sz w:val="20"/>
        </w:rPr>
        <w:tab/>
      </w:r>
      <w:r w:rsidRPr="002D679B">
        <w:rPr>
          <w:rFonts w:ascii="Symbol" w:hAnsi="Symbol"/>
          <w:sz w:val="20"/>
          <w:lang w:val="en-GB"/>
        </w:rPr>
        <w:t></w:t>
      </w:r>
      <w:r w:rsidRPr="002D679B">
        <w:rPr>
          <w:rFonts w:ascii="Tms Rmn" w:hAnsi="Tms Rmn"/>
          <w:sz w:val="12"/>
        </w:rPr>
        <w:t> </w:t>
      </w:r>
      <w:r w:rsidRPr="002D679B">
        <w:rPr>
          <w:rFonts w:ascii="Symbol" w:hAnsi="Symbol"/>
          <w:sz w:val="20"/>
          <w:lang w:val="en-GB"/>
        </w:rPr>
        <w:t></w:t>
      </w:r>
      <w:r w:rsidRPr="002D679B">
        <w:rPr>
          <w:sz w:val="20"/>
        </w:rPr>
        <w:tab/>
        <w:t>angle d'élévation par rapport au plan horizontal à l'antenne de radiodiffusion</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V</w:t>
      </w:r>
      <w:r w:rsidRPr="002D679B">
        <w:rPr>
          <w:rFonts w:ascii="Tms Rmn" w:hAnsi="Tms Rmn"/>
          <w:sz w:val="12"/>
        </w:rPr>
        <w:t> </w:t>
      </w:r>
      <w:r w:rsidRPr="002D679B">
        <w:rPr>
          <w:sz w:val="20"/>
        </w:rPr>
        <w:t>:</w:t>
      </w:r>
      <w:r w:rsidRPr="002D679B">
        <w:rPr>
          <w:sz w:val="20"/>
        </w:rPr>
        <w:tab/>
        <w:t>facteur de correction de DRV (dB).</w:t>
      </w:r>
    </w:p>
    <w:p w:rsidR="002D679B" w:rsidRPr="002D679B" w:rsidRDefault="002D679B" w:rsidP="002D679B">
      <w:pPr>
        <w:spacing w:before="136"/>
        <w:rPr>
          <w:sz w:val="20"/>
        </w:rPr>
      </w:pPr>
      <w:r w:rsidRPr="002D679B">
        <w:rPr>
          <w:sz w:val="20"/>
        </w:rPr>
        <w:t xml:space="preserve">En tout point T, l'intensité de champ </w:t>
      </w:r>
      <w:r w:rsidRPr="002D679B">
        <w:rPr>
          <w:i/>
          <w:sz w:val="20"/>
        </w:rPr>
        <w:t>E</w:t>
      </w:r>
      <w:r w:rsidRPr="002D679B">
        <w:rPr>
          <w:sz w:val="16"/>
        </w:rPr>
        <w:t xml:space="preserve"> (</w:t>
      </w:r>
      <w:r w:rsidRPr="002D679B">
        <w:rPr>
          <w:sz w:val="20"/>
        </w:rPr>
        <w:t>dB(</w:t>
      </w:r>
      <w:r w:rsidRPr="002D679B">
        <w:rPr>
          <w:rFonts w:ascii="Symbol" w:hAnsi="Symbol"/>
          <w:sz w:val="20"/>
          <w:lang w:val="en-GB"/>
        </w:rPr>
        <w:t></w:t>
      </w:r>
      <w:r w:rsidRPr="002D679B">
        <w:rPr>
          <w:sz w:val="20"/>
        </w:rPr>
        <w:t>V/m</w:t>
      </w:r>
      <w:r w:rsidRPr="002D679B">
        <w:rPr>
          <w:rFonts w:ascii="Symbol" w:hAnsi="Symbol"/>
          <w:sz w:val="20"/>
          <w:lang w:val="en-GB"/>
        </w:rPr>
        <w:t></w:t>
      </w:r>
      <w:r w:rsidRPr="002D679B">
        <w:rPr>
          <w:rFonts w:ascii="Symbol" w:hAnsi="Symbol"/>
          <w:sz w:val="20"/>
          <w:lang w:val="en-GB"/>
        </w:rPr>
        <w:t></w:t>
      </w:r>
      <w:r w:rsidRPr="002D679B">
        <w:rPr>
          <w:sz w:val="20"/>
        </w:rPr>
        <w:t xml:space="preserve"> (voir la Note 1) est calculée à l'aide de la formule suivante (voir le § 3.3.7 de l'Annexe 1):</w:t>
      </w:r>
    </w:p>
    <w:p w:rsidR="002D679B" w:rsidRP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i/>
          <w:sz w:val="22"/>
        </w:rPr>
        <w:t>E</w:t>
      </w:r>
      <w:r w:rsidRPr="002D679B">
        <w:rPr>
          <w:sz w:val="22"/>
        </w:rPr>
        <w:t xml:space="preserve">  </w:t>
      </w:r>
      <w:r w:rsidRPr="002D679B">
        <w:rPr>
          <w:rFonts w:ascii="Symbol" w:hAnsi="Symbol"/>
          <w:sz w:val="22"/>
          <w:lang w:val="en-GB"/>
        </w:rPr>
        <w:t></w:t>
      </w:r>
      <w:r w:rsidRPr="002D679B">
        <w:rPr>
          <w:sz w:val="22"/>
        </w:rPr>
        <w:t xml:space="preserve">  76,9  </w:t>
      </w:r>
      <w:r w:rsidRPr="002D679B">
        <w:rPr>
          <w:rFonts w:ascii="Symbol" w:hAnsi="Symbol"/>
          <w:sz w:val="22"/>
          <w:lang w:val="en-GB"/>
        </w:rPr>
        <w:t></w:t>
      </w:r>
      <w:r w:rsidRPr="002D679B">
        <w:rPr>
          <w:sz w:val="22"/>
        </w:rPr>
        <w:t xml:space="preserve">  </w:t>
      </w:r>
      <w:r w:rsidRPr="002D679B">
        <w:rPr>
          <w:i/>
          <w:sz w:val="22"/>
        </w:rPr>
        <w:t>P</w:t>
      </w:r>
      <w:r w:rsidRPr="002D679B">
        <w:rPr>
          <w:sz w:val="22"/>
        </w:rPr>
        <w:t xml:space="preserve">  –  20 log </w:t>
      </w:r>
      <w:r w:rsidRPr="002D679B">
        <w:rPr>
          <w:i/>
          <w:sz w:val="22"/>
        </w:rPr>
        <w:t>d</w:t>
      </w:r>
      <w:r w:rsidRPr="002D679B">
        <w:rPr>
          <w:sz w:val="22"/>
        </w:rPr>
        <w:t xml:space="preserve">  </w:t>
      </w:r>
      <w:r w:rsidRPr="002D679B">
        <w:rPr>
          <w:rFonts w:ascii="Symbol" w:hAnsi="Symbol"/>
          <w:sz w:val="22"/>
          <w:lang w:val="en-GB"/>
        </w:rPr>
        <w:t></w:t>
      </w:r>
      <w:r w:rsidRPr="002D679B">
        <w:rPr>
          <w:sz w:val="22"/>
        </w:rPr>
        <w:t xml:space="preserve">  </w:t>
      </w:r>
      <w:r w:rsidRPr="002D679B">
        <w:rPr>
          <w:i/>
          <w:sz w:val="22"/>
        </w:rPr>
        <w:t>V</w:t>
      </w:r>
      <w:r w:rsidRPr="002D679B">
        <w:rPr>
          <w:sz w:val="22"/>
        </w:rPr>
        <w:tab/>
        <w:t>(21)</w:t>
      </w:r>
    </w:p>
    <w:p w:rsidR="002D679B" w:rsidRPr="002D679B" w:rsidRDefault="002D679B" w:rsidP="002D679B">
      <w:pPr>
        <w:tabs>
          <w:tab w:val="clear" w:pos="794"/>
          <w:tab w:val="clear" w:pos="1191"/>
          <w:tab w:val="clear" w:pos="1588"/>
          <w:tab w:val="clear" w:pos="1985"/>
        </w:tabs>
        <w:spacing w:before="80"/>
        <w:rPr>
          <w:sz w:val="20"/>
        </w:rPr>
      </w:pPr>
      <w:r w:rsidRPr="002D679B">
        <w:rPr>
          <w:sz w:val="20"/>
        </w:rPr>
        <w:t>NOTE 1 – Pour plus de simplicité, on suppose qu'il n'y a pas de correction de DRH.</w:t>
      </w:r>
    </w:p>
    <w:p w:rsidR="002D679B" w:rsidRDefault="002D679B" w:rsidP="002D679B">
      <w:pPr>
        <w:spacing w:before="136"/>
        <w:rPr>
          <w:sz w:val="20"/>
        </w:rPr>
      </w:pPr>
      <w:r w:rsidRPr="002D679B">
        <w:rPr>
          <w:sz w:val="20"/>
        </w:rPr>
        <w:t>La correction de DRV est représentée sous la forme –20 log (</w:t>
      </w:r>
      <w:r w:rsidRPr="002D679B">
        <w:rPr>
          <w:rFonts w:ascii="Symbol" w:hAnsi="Symbol"/>
          <w:sz w:val="20"/>
          <w:lang w:val="en-GB"/>
        </w:rPr>
        <w:t></w:t>
      </w:r>
      <w:r w:rsidRPr="002D679B">
        <w:rPr>
          <w:sz w:val="20"/>
        </w:rPr>
        <w:t xml:space="preserve"> A sin </w:t>
      </w:r>
      <w:r w:rsidRPr="002D679B">
        <w:rPr>
          <w:rFonts w:ascii="Symbol" w:hAnsi="Symbol"/>
          <w:sz w:val="20"/>
          <w:lang w:val="en-GB"/>
        </w:rPr>
        <w:t></w:t>
      </w:r>
      <w:r w:rsidRPr="002D679B">
        <w:rPr>
          <w:sz w:val="20"/>
        </w:rPr>
        <w:t xml:space="preserve">) où </w:t>
      </w:r>
      <w:r w:rsidRPr="002D679B">
        <w:rPr>
          <w:i/>
          <w:sz w:val="20"/>
        </w:rPr>
        <w:t>A</w:t>
      </w:r>
      <w:r w:rsidRPr="002D679B">
        <w:rPr>
          <w:sz w:val="20"/>
        </w:rPr>
        <w:t xml:space="preserve"> est l'ouverture verticale des antennes en longueurs d'onde, sous réserve d'une valeur maximale de correction pour des valeurs élevées de </w:t>
      </w:r>
      <w:r w:rsidRPr="002D679B">
        <w:rPr>
          <w:rFonts w:ascii="Symbol" w:hAnsi="Symbol"/>
          <w:sz w:val="20"/>
          <w:lang w:val="en-GB"/>
        </w:rPr>
        <w:t></w:t>
      </w:r>
      <w:r w:rsidRPr="002D679B">
        <w:rPr>
          <w:sz w:val="20"/>
        </w:rPr>
        <w:t>.</w:t>
      </w:r>
    </w:p>
    <w:p w:rsidR="001F6663" w:rsidRPr="002D679B" w:rsidRDefault="001F6663" w:rsidP="002D679B">
      <w:pPr>
        <w:spacing w:before="136"/>
        <w:rPr>
          <w:sz w:val="20"/>
        </w:rPr>
      </w:pPr>
    </w:p>
    <w:p w:rsidR="002D679B" w:rsidRPr="002D679B" w:rsidRDefault="002D679B" w:rsidP="002D679B">
      <w:pPr>
        <w:spacing w:before="136"/>
        <w:jc w:val="center"/>
        <w:rPr>
          <w:sz w:val="20"/>
          <w:lang w:val="en-US"/>
        </w:rPr>
      </w:pPr>
      <w:r>
        <w:rPr>
          <w:noProof/>
          <w:sz w:val="20"/>
          <w:lang w:val="fr-CH" w:eastAsia="fr-CH"/>
        </w:rPr>
        <w:drawing>
          <wp:inline distT="0" distB="0" distL="0" distR="0" wp14:anchorId="35BDC1F9" wp14:editId="4BC73B75">
            <wp:extent cx="4150360" cy="238696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50360" cy="2386965"/>
                    </a:xfrm>
                    <a:prstGeom prst="rect">
                      <a:avLst/>
                    </a:prstGeom>
                    <a:noFill/>
                    <a:ln>
                      <a:noFill/>
                    </a:ln>
                  </pic:spPr>
                </pic:pic>
              </a:graphicData>
            </a:graphic>
          </wp:inline>
        </w:drawing>
      </w:r>
    </w:p>
    <w:p w:rsidR="002D679B" w:rsidRPr="002D679B" w:rsidRDefault="002D679B" w:rsidP="002D679B">
      <w:pPr>
        <w:spacing w:before="0"/>
        <w:jc w:val="left"/>
        <w:rPr>
          <w:color w:val="FFFFFF"/>
          <w:sz w:val="8"/>
        </w:rPr>
      </w:pPr>
      <w:r w:rsidRPr="002D679B">
        <w:rPr>
          <w:color w:val="FFFFFF"/>
          <w:sz w:val="8"/>
        </w:rPr>
        <w:t>FIGURE 6/1009...</w:t>
      </w:r>
      <w:r w:rsidRPr="002D679B">
        <w:rPr>
          <w:b/>
          <w:color w:val="FFFFFF"/>
          <w:sz w:val="8"/>
        </w:rPr>
        <w:t>[D06]</w:t>
      </w:r>
      <w:r w:rsidRPr="002D679B">
        <w:rPr>
          <w:color w:val="FFFFFF"/>
          <w:sz w:val="8"/>
        </w:rPr>
        <w:t xml:space="preserve">  </w:t>
      </w:r>
      <w:r w:rsidRPr="002D679B">
        <w:rPr>
          <w:rFonts w:ascii="Symbol" w:hAnsi="Symbol"/>
          <w:color w:val="FFFFFF"/>
          <w:sz w:val="8"/>
          <w:lang w:val="en-US"/>
        </w:rPr>
        <w:t></w:t>
      </w:r>
      <w:r w:rsidRPr="002D679B">
        <w:rPr>
          <w:color w:val="FFFFFF"/>
          <w:sz w:val="8"/>
        </w:rPr>
        <w:t xml:space="preserve"> 6.5  CM </w:t>
      </w:r>
    </w:p>
    <w:p w:rsidR="001F6663" w:rsidRDefault="001F6663" w:rsidP="002D679B">
      <w:pPr>
        <w:spacing w:before="136"/>
        <w:rPr>
          <w:b/>
          <w:sz w:val="20"/>
        </w:rPr>
      </w:pPr>
    </w:p>
    <w:p w:rsidR="002D679B" w:rsidRPr="002D679B" w:rsidRDefault="002D679B" w:rsidP="002D679B">
      <w:pPr>
        <w:spacing w:before="136"/>
        <w:rPr>
          <w:sz w:val="20"/>
        </w:rPr>
      </w:pPr>
      <w:r w:rsidRPr="002D679B">
        <w:rPr>
          <w:b/>
          <w:sz w:val="20"/>
        </w:rPr>
        <w:t>1.1</w:t>
      </w:r>
      <w:r w:rsidRPr="002D679B">
        <w:rPr>
          <w:sz w:val="20"/>
        </w:rPr>
        <w:tab/>
        <w:t xml:space="preserve">Aux valeurs faibles de </w:t>
      </w:r>
      <w:r w:rsidRPr="002D679B">
        <w:rPr>
          <w:rFonts w:ascii="Symbol" w:hAnsi="Symbol"/>
          <w:sz w:val="20"/>
          <w:lang w:val="en-GB"/>
        </w:rPr>
        <w:t></w:t>
      </w:r>
      <w:r w:rsidRPr="002D679B">
        <w:rPr>
          <w:sz w:val="20"/>
        </w:rPr>
        <w:t xml:space="preserve"> (où le facteur </w:t>
      </w:r>
      <w:r w:rsidRPr="002D679B">
        <w:rPr>
          <w:i/>
          <w:sz w:val="20"/>
        </w:rPr>
        <w:t>V</w:t>
      </w:r>
      <w:r w:rsidRPr="002D679B">
        <w:rPr>
          <w:sz w:val="20"/>
        </w:rPr>
        <w:t xml:space="preserve"> est compris entre 0 et sa valeur maximale),</w:t>
      </w:r>
    </w:p>
    <w:p w:rsidR="002D679B" w:rsidRPr="002D679B" w:rsidRDefault="002D679B" w:rsidP="002D679B">
      <w:pPr>
        <w:tabs>
          <w:tab w:val="clear" w:pos="1191"/>
          <w:tab w:val="clear" w:pos="1588"/>
          <w:tab w:val="clear" w:pos="1985"/>
          <w:tab w:val="center" w:pos="4849"/>
          <w:tab w:val="right" w:pos="9696"/>
        </w:tabs>
        <w:spacing w:before="140" w:after="40"/>
        <w:jc w:val="left"/>
        <w:rPr>
          <w:sz w:val="22"/>
          <w:lang w:val="es-ES"/>
        </w:rPr>
      </w:pPr>
      <w:r w:rsidRPr="002D679B">
        <w:rPr>
          <w:sz w:val="22"/>
        </w:rPr>
        <w:tab/>
      </w:r>
      <w:r w:rsidRPr="002D679B">
        <w:rPr>
          <w:sz w:val="22"/>
        </w:rPr>
        <w:tab/>
      </w:r>
      <w:r w:rsidRPr="002D679B">
        <w:rPr>
          <w:i/>
          <w:sz w:val="22"/>
          <w:lang w:val="es-ES"/>
        </w:rPr>
        <w:t>E</w:t>
      </w:r>
      <w:r w:rsidRPr="002D679B">
        <w:rPr>
          <w:sz w:val="22"/>
          <w:lang w:val="es-ES"/>
        </w:rPr>
        <w:t xml:space="preserve">  </w:t>
      </w:r>
      <w:r w:rsidRPr="002D679B">
        <w:rPr>
          <w:rFonts w:ascii="Symbol" w:hAnsi="Symbol"/>
          <w:sz w:val="22"/>
          <w:lang w:val="en-GB"/>
        </w:rPr>
        <w:t></w:t>
      </w:r>
      <w:r w:rsidRPr="002D679B">
        <w:rPr>
          <w:sz w:val="22"/>
          <w:lang w:val="es-ES"/>
        </w:rPr>
        <w:t xml:space="preserve">  76,9  </w:t>
      </w:r>
      <w:r w:rsidRPr="002D679B">
        <w:rPr>
          <w:rFonts w:ascii="Symbol" w:hAnsi="Symbol"/>
          <w:sz w:val="22"/>
          <w:lang w:val="en-GB"/>
        </w:rPr>
        <w:t></w:t>
      </w:r>
      <w:r w:rsidRPr="002D679B">
        <w:rPr>
          <w:sz w:val="22"/>
          <w:lang w:val="es-ES"/>
        </w:rPr>
        <w:t xml:space="preserve">  </w:t>
      </w:r>
      <w:r w:rsidRPr="002D679B">
        <w:rPr>
          <w:i/>
          <w:sz w:val="22"/>
          <w:lang w:val="es-ES"/>
        </w:rPr>
        <w:t>P</w:t>
      </w:r>
      <w:r w:rsidRPr="002D679B">
        <w:rPr>
          <w:sz w:val="22"/>
          <w:lang w:val="es-ES"/>
        </w:rPr>
        <w:t xml:space="preserve">  –  20 log </w:t>
      </w:r>
      <w:r w:rsidRPr="002D679B">
        <w:rPr>
          <w:i/>
          <w:sz w:val="22"/>
          <w:lang w:val="es-ES"/>
        </w:rPr>
        <w:t>d</w:t>
      </w:r>
      <w:r w:rsidRPr="002D679B">
        <w:rPr>
          <w:sz w:val="22"/>
          <w:lang w:val="es-ES"/>
        </w:rPr>
        <w:t xml:space="preserve">  –  20 log (</w:t>
      </w:r>
      <w:r w:rsidRPr="002D679B">
        <w:rPr>
          <w:rFonts w:ascii="Symbol" w:hAnsi="Symbol"/>
          <w:sz w:val="22"/>
          <w:lang w:val="en-GB"/>
        </w:rPr>
        <w:t></w:t>
      </w:r>
      <w:r w:rsidRPr="002D679B">
        <w:rPr>
          <w:sz w:val="22"/>
          <w:lang w:val="es-ES"/>
        </w:rPr>
        <w:t xml:space="preserve"> </w:t>
      </w:r>
      <w:r w:rsidRPr="002D679B">
        <w:rPr>
          <w:i/>
          <w:sz w:val="22"/>
          <w:lang w:val="es-ES"/>
        </w:rPr>
        <w:t>A</w:t>
      </w:r>
      <w:r w:rsidRPr="002D679B">
        <w:rPr>
          <w:sz w:val="22"/>
          <w:lang w:val="es-ES"/>
        </w:rPr>
        <w:t xml:space="preserve"> sin </w:t>
      </w:r>
      <w:r w:rsidRPr="002D679B">
        <w:rPr>
          <w:rFonts w:ascii="Symbol" w:hAnsi="Symbol"/>
          <w:sz w:val="22"/>
          <w:lang w:val="en-GB"/>
        </w:rPr>
        <w:t></w:t>
      </w:r>
      <w:r w:rsidRPr="002D679B">
        <w:rPr>
          <w:sz w:val="22"/>
          <w:lang w:val="es-ES"/>
        </w:rPr>
        <w:t>)</w:t>
      </w:r>
      <w:r w:rsidRPr="002D679B">
        <w:rPr>
          <w:sz w:val="22"/>
          <w:lang w:val="es-ES"/>
        </w:rPr>
        <w:tab/>
        <w:t>(22)</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lang w:val="es-ES"/>
        </w:rPr>
        <w:tab/>
      </w:r>
      <w:r w:rsidRPr="002D679B">
        <w:rPr>
          <w:sz w:val="20"/>
        </w:rPr>
        <w:t xml:space="preserve">mais </w:t>
      </w:r>
      <w:r w:rsidRPr="002D679B">
        <w:rPr>
          <w:i/>
          <w:sz w:val="20"/>
        </w:rPr>
        <w:t>d</w:t>
      </w:r>
      <w:r w:rsidRPr="002D679B">
        <w:rPr>
          <w:sz w:val="20"/>
        </w:rPr>
        <w:t xml:space="preserve">  </w:t>
      </w:r>
      <w:r w:rsidRPr="002D679B">
        <w:rPr>
          <w:rFonts w:ascii="Symbol" w:hAnsi="Symbol"/>
          <w:sz w:val="20"/>
          <w:lang w:val="en-GB"/>
        </w:rPr>
        <w:t></w:t>
      </w:r>
      <w:r w:rsidRPr="002D679B">
        <w:rPr>
          <w:sz w:val="20"/>
        </w:rPr>
        <w:t xml:space="preserve">  </w:t>
      </w:r>
      <w:r w:rsidRPr="002D679B">
        <w:rPr>
          <w:i/>
          <w:sz w:val="20"/>
        </w:rPr>
        <w:t>h</w:t>
      </w:r>
      <w:r w:rsidRPr="002D679B">
        <w:rPr>
          <w:sz w:val="20"/>
        </w:rPr>
        <w:t xml:space="preserve"> / sin </w:t>
      </w:r>
      <w:r w:rsidRPr="002D679B">
        <w:rPr>
          <w:rFonts w:ascii="Symbol" w:hAnsi="Symbol"/>
          <w:sz w:val="20"/>
          <w:lang w:val="en-GB"/>
        </w:rPr>
        <w:t></w:t>
      </w:r>
    </w:p>
    <w:p w:rsidR="002D679B" w:rsidRPr="002D679B" w:rsidRDefault="002D679B" w:rsidP="002D679B">
      <w:pPr>
        <w:spacing w:before="136"/>
        <w:rPr>
          <w:sz w:val="20"/>
        </w:rPr>
      </w:pPr>
      <w:r w:rsidRPr="002D679B">
        <w:rPr>
          <w:sz w:val="20"/>
        </w:rPr>
        <w:t>donc:</w:t>
      </w:r>
    </w:p>
    <w:p w:rsidR="002D679B" w:rsidRP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sz w:val="22"/>
          <w:lang w:val="en-GB"/>
        </w:rPr>
        <w:fldChar w:fldCharType="begin"/>
      </w:r>
      <w:r w:rsidRPr="002D679B">
        <w:rPr>
          <w:sz w:val="22"/>
        </w:rPr>
        <w:instrText xml:space="preserve">eq </w:instrText>
      </w:r>
      <w:r w:rsidRPr="002D679B">
        <w:rPr>
          <w:i/>
          <w:sz w:val="22"/>
        </w:rPr>
        <w:instrText>E</w:instrText>
      </w:r>
      <w:r w:rsidRPr="002D679B">
        <w:rPr>
          <w:sz w:val="22"/>
        </w:rPr>
        <w:instrText xml:space="preserve">  </w:instrText>
      </w:r>
      <w:r w:rsidRPr="002D679B">
        <w:rPr>
          <w:rFonts w:ascii="Symbol" w:hAnsi="Symbol"/>
          <w:sz w:val="22"/>
        </w:rPr>
        <w:instrText>=</w:instrText>
      </w:r>
      <w:r w:rsidRPr="002D679B">
        <w:rPr>
          <w:sz w:val="22"/>
        </w:rPr>
        <w:instrText xml:space="preserve">  76,9  </w:instrText>
      </w:r>
      <w:r w:rsidRPr="002D679B">
        <w:rPr>
          <w:rFonts w:ascii="Symbol" w:hAnsi="Symbol"/>
          <w:sz w:val="22"/>
        </w:rPr>
        <w:instrText>+</w:instrText>
      </w:r>
      <w:r w:rsidRPr="002D679B">
        <w:rPr>
          <w:sz w:val="22"/>
        </w:rPr>
        <w:instrText xml:space="preserve">  </w:instrText>
      </w:r>
      <w:r w:rsidRPr="002D679B">
        <w:rPr>
          <w:i/>
          <w:sz w:val="22"/>
        </w:rPr>
        <w:instrText>P</w:instrText>
      </w:r>
      <w:r w:rsidRPr="002D679B">
        <w:rPr>
          <w:sz w:val="22"/>
        </w:rPr>
        <w:instrText xml:space="preserve">  –  20 log \b\bc\((\f(\s\di2(</w:instrText>
      </w:r>
      <w:r w:rsidRPr="002D679B">
        <w:rPr>
          <w:i/>
          <w:sz w:val="22"/>
        </w:rPr>
        <w:instrText>h</w:instrText>
      </w:r>
      <w:r w:rsidRPr="002D679B">
        <w:rPr>
          <w:sz w:val="22"/>
        </w:rPr>
        <w:instrText xml:space="preserve"> </w:instrText>
      </w:r>
      <w:r w:rsidRPr="002D679B">
        <w:rPr>
          <w:rFonts w:ascii="Symbol" w:hAnsi="Symbol"/>
          <w:sz w:val="22"/>
        </w:rPr>
        <w:instrText>p</w:instrText>
      </w:r>
      <w:r w:rsidRPr="002D679B">
        <w:rPr>
          <w:sz w:val="22"/>
        </w:rPr>
        <w:instrText xml:space="preserve"> </w:instrText>
      </w:r>
      <w:r w:rsidRPr="002D679B">
        <w:rPr>
          <w:i/>
          <w:sz w:val="22"/>
        </w:rPr>
        <w:instrText>A</w:instrText>
      </w:r>
      <w:r w:rsidRPr="002D679B">
        <w:rPr>
          <w:sz w:val="22"/>
        </w:rPr>
        <w:instrText xml:space="preserve"> sin </w:instrText>
      </w:r>
      <w:r w:rsidRPr="002D679B">
        <w:rPr>
          <w:rFonts w:ascii="Symbol" w:hAnsi="Symbol"/>
          <w:sz w:val="22"/>
        </w:rPr>
        <w:instrText>q</w:instrText>
      </w:r>
      <w:r w:rsidRPr="002D679B">
        <w:rPr>
          <w:sz w:val="22"/>
        </w:rPr>
        <w:instrText xml:space="preserve">);sin </w:instrText>
      </w:r>
      <w:r w:rsidRPr="002D679B">
        <w:rPr>
          <w:rFonts w:ascii="Symbol" w:hAnsi="Symbol"/>
          <w:sz w:val="22"/>
        </w:rPr>
        <w:instrText>q</w:instrText>
      </w:r>
      <w:r w:rsidRPr="002D679B">
        <w:rPr>
          <w:sz w:val="22"/>
        </w:rPr>
        <w:instrText>))</w:instrText>
      </w:r>
      <w:r w:rsidRPr="002D679B">
        <w:rPr>
          <w:sz w:val="22"/>
          <w:lang w:val="en-GB"/>
        </w:rPr>
        <w:fldChar w:fldCharType="end"/>
      </w:r>
      <w:r w:rsidRPr="002D679B">
        <w:rPr>
          <w:sz w:val="22"/>
        </w:rPr>
        <w:t xml:space="preserve">  </w:t>
      </w:r>
      <w:r w:rsidRPr="002D679B">
        <w:rPr>
          <w:rFonts w:ascii="Symbol" w:hAnsi="Symbol"/>
          <w:sz w:val="22"/>
          <w:lang w:val="en-GB"/>
        </w:rPr>
        <w:t></w:t>
      </w:r>
      <w:r w:rsidRPr="002D679B">
        <w:rPr>
          <w:sz w:val="22"/>
        </w:rPr>
        <w:t xml:space="preserve">  76,9  </w:t>
      </w:r>
      <w:r w:rsidRPr="002D679B">
        <w:rPr>
          <w:rFonts w:ascii="Symbol" w:hAnsi="Symbol"/>
          <w:sz w:val="22"/>
          <w:lang w:val="en-GB"/>
        </w:rPr>
        <w:t></w:t>
      </w:r>
      <w:r w:rsidRPr="002D679B">
        <w:rPr>
          <w:sz w:val="22"/>
        </w:rPr>
        <w:t xml:space="preserve">  </w:t>
      </w:r>
      <w:r w:rsidRPr="002D679B">
        <w:rPr>
          <w:i/>
          <w:sz w:val="22"/>
        </w:rPr>
        <w:t>P</w:t>
      </w:r>
      <w:r w:rsidRPr="002D679B">
        <w:rPr>
          <w:sz w:val="22"/>
        </w:rPr>
        <w:t xml:space="preserve">  –  20 log (</w:t>
      </w:r>
      <w:r w:rsidRPr="002D679B">
        <w:rPr>
          <w:i/>
          <w:sz w:val="22"/>
        </w:rPr>
        <w:t>h</w:t>
      </w:r>
      <w:r w:rsidRPr="002D679B">
        <w:rPr>
          <w:sz w:val="22"/>
        </w:rPr>
        <w:t xml:space="preserve"> </w:t>
      </w:r>
      <w:r w:rsidRPr="002D679B">
        <w:rPr>
          <w:rFonts w:ascii="Symbol" w:hAnsi="Symbol"/>
          <w:sz w:val="22"/>
          <w:lang w:val="en-GB"/>
        </w:rPr>
        <w:t></w:t>
      </w:r>
      <w:r w:rsidRPr="002D679B">
        <w:rPr>
          <w:sz w:val="22"/>
        </w:rPr>
        <w:t xml:space="preserve"> </w:t>
      </w:r>
      <w:r w:rsidRPr="002D679B">
        <w:rPr>
          <w:i/>
          <w:sz w:val="22"/>
        </w:rPr>
        <w:t>A</w:t>
      </w:r>
      <w:r w:rsidRPr="002D679B">
        <w:rPr>
          <w:rFonts w:ascii="Symbol" w:hAnsi="Symbol"/>
          <w:sz w:val="22"/>
          <w:lang w:val="en-GB"/>
        </w:rPr>
        <w:t></w:t>
      </w:r>
      <w:r w:rsidRPr="002D679B">
        <w:rPr>
          <w:sz w:val="22"/>
        </w:rPr>
        <w:tab/>
        <w:t>(23)</w:t>
      </w:r>
    </w:p>
    <w:p w:rsidR="002D679B" w:rsidRPr="002D679B" w:rsidRDefault="002D679B" w:rsidP="002D679B">
      <w:pPr>
        <w:spacing w:before="136"/>
        <w:rPr>
          <w:sz w:val="20"/>
        </w:rPr>
      </w:pPr>
      <w:r w:rsidRPr="002D679B">
        <w:rPr>
          <w:sz w:val="20"/>
        </w:rPr>
        <w:t>La valeur d'intensité de champ est donc constante.</w:t>
      </w:r>
    </w:p>
    <w:p w:rsidR="002D679B" w:rsidRPr="002D679B" w:rsidRDefault="002D679B" w:rsidP="002D679B">
      <w:pPr>
        <w:spacing w:before="136"/>
        <w:rPr>
          <w:sz w:val="20"/>
        </w:rPr>
      </w:pPr>
      <w:r w:rsidRPr="002D679B">
        <w:rPr>
          <w:b/>
          <w:sz w:val="20"/>
        </w:rPr>
        <w:t>1.2</w:t>
      </w:r>
      <w:r w:rsidRPr="002D679B">
        <w:rPr>
          <w:sz w:val="20"/>
        </w:rPr>
        <w:tab/>
        <w:t xml:space="preserve">Aux valeurs plus élevées de </w:t>
      </w:r>
      <w:r w:rsidRPr="002D679B">
        <w:rPr>
          <w:rFonts w:ascii="Symbol" w:hAnsi="Symbol"/>
          <w:sz w:val="20"/>
          <w:lang w:val="en-GB"/>
        </w:rPr>
        <w:t></w:t>
      </w:r>
      <w:r w:rsidRPr="002D679B">
        <w:rPr>
          <w:sz w:val="20"/>
        </w:rPr>
        <w:t xml:space="preserve"> (où </w:t>
      </w:r>
      <w:r w:rsidRPr="002D679B">
        <w:rPr>
          <w:i/>
          <w:sz w:val="20"/>
        </w:rPr>
        <w:t>V</w:t>
      </w:r>
      <w:r w:rsidRPr="002D679B">
        <w:rPr>
          <w:sz w:val="20"/>
        </w:rPr>
        <w:t xml:space="preserve"> a atteint sa valeur maximale) qui est près de la station de radiodiffusion (zone hachurée de la Fig. 6), le facteur de correction de DRV reste constant à sa valeur maximale. Donc:</w:t>
      </w:r>
    </w:p>
    <w:p w:rsidR="002D679B" w:rsidRP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i/>
          <w:sz w:val="22"/>
        </w:rPr>
        <w:t>E</w:t>
      </w:r>
      <w:r w:rsidRPr="002D679B">
        <w:rPr>
          <w:sz w:val="22"/>
        </w:rPr>
        <w:t xml:space="preserve">  </w:t>
      </w:r>
      <w:r w:rsidRPr="002D679B">
        <w:rPr>
          <w:rFonts w:ascii="Symbol" w:hAnsi="Symbol"/>
          <w:sz w:val="22"/>
          <w:lang w:val="en-GB"/>
        </w:rPr>
        <w:t></w:t>
      </w:r>
      <w:r w:rsidRPr="002D679B">
        <w:rPr>
          <w:sz w:val="22"/>
        </w:rPr>
        <w:t xml:space="preserve">  76,9  </w:t>
      </w:r>
      <w:r w:rsidRPr="002D679B">
        <w:rPr>
          <w:rFonts w:ascii="Symbol" w:hAnsi="Symbol"/>
          <w:sz w:val="22"/>
          <w:lang w:val="en-GB"/>
        </w:rPr>
        <w:t></w:t>
      </w:r>
      <w:r w:rsidRPr="002D679B">
        <w:rPr>
          <w:sz w:val="22"/>
        </w:rPr>
        <w:t xml:space="preserve">  </w:t>
      </w:r>
      <w:r w:rsidRPr="002D679B">
        <w:rPr>
          <w:i/>
          <w:sz w:val="22"/>
        </w:rPr>
        <w:t>P</w:t>
      </w:r>
      <w:r w:rsidRPr="002D679B">
        <w:rPr>
          <w:sz w:val="22"/>
        </w:rPr>
        <w:t xml:space="preserve">  –  20 log </w:t>
      </w:r>
      <w:r w:rsidRPr="002D679B">
        <w:rPr>
          <w:i/>
          <w:sz w:val="22"/>
        </w:rPr>
        <w:t>d</w:t>
      </w:r>
      <w:r w:rsidRPr="002D679B">
        <w:rPr>
          <w:sz w:val="22"/>
        </w:rPr>
        <w:t xml:space="preserve">  </w:t>
      </w:r>
      <w:r w:rsidRPr="002D679B">
        <w:rPr>
          <w:rFonts w:ascii="Symbol" w:hAnsi="Symbol"/>
          <w:sz w:val="22"/>
          <w:lang w:val="en-GB"/>
        </w:rPr>
        <w:t></w:t>
      </w:r>
      <w:r w:rsidRPr="002D679B">
        <w:rPr>
          <w:sz w:val="22"/>
        </w:rPr>
        <w:t xml:space="preserve">  constante</w:t>
      </w:r>
      <w:r w:rsidRPr="002D679B">
        <w:rPr>
          <w:sz w:val="22"/>
        </w:rPr>
        <w:tab/>
        <w:t>(24)</w:t>
      </w:r>
    </w:p>
    <w:p w:rsidR="002D679B" w:rsidRPr="002D679B" w:rsidRDefault="002D679B" w:rsidP="002D679B">
      <w:pPr>
        <w:spacing w:before="136"/>
        <w:rPr>
          <w:sz w:val="20"/>
        </w:rPr>
      </w:pPr>
      <w:r w:rsidRPr="002D679B">
        <w:rPr>
          <w:sz w:val="20"/>
        </w:rPr>
        <w:t xml:space="preserve">La valeur maximale de l'intensité de champ sera obtenue lorsque la distance </w:t>
      </w:r>
      <w:r w:rsidRPr="002D679B">
        <w:rPr>
          <w:i/>
          <w:sz w:val="20"/>
        </w:rPr>
        <w:t>d</w:t>
      </w:r>
      <w:r w:rsidRPr="002D679B">
        <w:rPr>
          <w:sz w:val="20"/>
        </w:rPr>
        <w:t xml:space="preserve"> atteint sa valeur minimale (</w:t>
      </w:r>
      <w:r w:rsidRPr="002D679B">
        <w:rPr>
          <w:rFonts w:ascii="Symbol" w:hAnsi="Symbol"/>
          <w:sz w:val="20"/>
          <w:lang w:val="en-GB"/>
        </w:rPr>
        <w:t></w:t>
      </w:r>
      <w:r w:rsidRPr="002D679B">
        <w:rPr>
          <w:sz w:val="20"/>
        </w:rPr>
        <w:t xml:space="preserve"> </w:t>
      </w:r>
      <w:r w:rsidRPr="002D679B">
        <w:rPr>
          <w:i/>
          <w:sz w:val="20"/>
        </w:rPr>
        <w:t>h</w:t>
      </w:r>
      <w:r w:rsidRPr="002D679B">
        <w:rPr>
          <w:sz w:val="20"/>
        </w:rPr>
        <w:t>) directement au-dessus de l'antenne de radiodiffusion.</w:t>
      </w:r>
    </w:p>
    <w:p w:rsidR="002D679B" w:rsidRPr="002D679B" w:rsidRDefault="002D679B" w:rsidP="00F47624">
      <w:pPr>
        <w:pStyle w:val="Heading1"/>
      </w:pPr>
      <w:bookmarkStart w:id="89" w:name="_Toc289760536"/>
      <w:bookmarkStart w:id="90" w:name="_Toc289760876"/>
      <w:bookmarkStart w:id="91" w:name="_Toc289761216"/>
      <w:r w:rsidRPr="002D679B">
        <w:t>2</w:t>
      </w:r>
      <w:r w:rsidRPr="002D679B">
        <w:tab/>
        <w:t>Probabilité maximale de brouillage de type B1</w:t>
      </w:r>
      <w:bookmarkEnd w:id="89"/>
      <w:bookmarkEnd w:id="90"/>
      <w:bookmarkEnd w:id="91"/>
    </w:p>
    <w:p w:rsidR="002D679B" w:rsidRPr="002D679B" w:rsidRDefault="002D679B" w:rsidP="002D679B">
      <w:pPr>
        <w:spacing w:before="136"/>
        <w:rPr>
          <w:sz w:val="20"/>
        </w:rPr>
      </w:pPr>
      <w:r w:rsidRPr="002D679B">
        <w:rPr>
          <w:sz w:val="20"/>
        </w:rPr>
        <w:t>Soit un aéronef suivant une trajectoire à altitude constante au-dessus de la ligne reliant deux antennes de radiodiffusion (voir la Fig. 7).</w:t>
      </w:r>
    </w:p>
    <w:p w:rsidR="002D679B" w:rsidRPr="002D679B" w:rsidRDefault="002D679B" w:rsidP="002D679B">
      <w:pPr>
        <w:spacing w:before="0"/>
        <w:rPr>
          <w:sz w:val="8"/>
        </w:rPr>
      </w:pPr>
    </w:p>
    <w:p w:rsidR="002D679B" w:rsidRPr="002D679B" w:rsidRDefault="002D679B" w:rsidP="002D679B">
      <w:pPr>
        <w:spacing w:before="136"/>
        <w:jc w:val="center"/>
        <w:rPr>
          <w:sz w:val="20"/>
          <w:lang w:val="en-US"/>
        </w:rPr>
      </w:pPr>
      <w:r>
        <w:rPr>
          <w:noProof/>
          <w:sz w:val="20"/>
          <w:lang w:val="fr-CH" w:eastAsia="fr-CH"/>
        </w:rPr>
        <w:drawing>
          <wp:inline distT="0" distB="0" distL="0" distR="0" wp14:anchorId="3540D4B7" wp14:editId="132D48D3">
            <wp:extent cx="3634105" cy="2422525"/>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34105" cy="2422525"/>
                    </a:xfrm>
                    <a:prstGeom prst="rect">
                      <a:avLst/>
                    </a:prstGeom>
                    <a:noFill/>
                    <a:ln>
                      <a:noFill/>
                    </a:ln>
                  </pic:spPr>
                </pic:pic>
              </a:graphicData>
            </a:graphic>
          </wp:inline>
        </w:drawing>
      </w:r>
    </w:p>
    <w:p w:rsidR="002D679B" w:rsidRPr="002D679B" w:rsidRDefault="002D679B" w:rsidP="002D679B">
      <w:pPr>
        <w:spacing w:before="0"/>
        <w:jc w:val="left"/>
        <w:rPr>
          <w:color w:val="FFFFFF"/>
          <w:sz w:val="8"/>
        </w:rPr>
      </w:pPr>
      <w:r w:rsidRPr="002D679B">
        <w:rPr>
          <w:color w:val="FFFFFF"/>
          <w:sz w:val="8"/>
        </w:rPr>
        <w:t>FIGURE 7/1009...</w:t>
      </w:r>
      <w:r w:rsidRPr="002D679B">
        <w:rPr>
          <w:b/>
          <w:color w:val="FFFFFF"/>
          <w:sz w:val="8"/>
        </w:rPr>
        <w:t>[D07]</w:t>
      </w:r>
      <w:r w:rsidRPr="002D679B">
        <w:rPr>
          <w:color w:val="FFFFFF"/>
          <w:sz w:val="8"/>
        </w:rPr>
        <w:t xml:space="preserve">  </w:t>
      </w:r>
      <w:r w:rsidRPr="002D679B">
        <w:rPr>
          <w:rFonts w:ascii="Symbol" w:hAnsi="Symbol"/>
          <w:color w:val="FFFFFF"/>
          <w:sz w:val="8"/>
          <w:lang w:val="en-US"/>
        </w:rPr>
        <w:t></w:t>
      </w:r>
      <w:r w:rsidRPr="002D679B">
        <w:rPr>
          <w:color w:val="FFFFFF"/>
          <w:sz w:val="8"/>
        </w:rPr>
        <w:t xml:space="preserve"> 6 CM </w:t>
      </w:r>
    </w:p>
    <w:p w:rsidR="001F6663" w:rsidRDefault="001F6663" w:rsidP="002D679B">
      <w:pPr>
        <w:spacing w:before="136"/>
        <w:rPr>
          <w:sz w:val="20"/>
        </w:rPr>
      </w:pPr>
    </w:p>
    <w:p w:rsidR="002D679B" w:rsidRPr="002D679B" w:rsidRDefault="002D679B" w:rsidP="002D679B">
      <w:pPr>
        <w:spacing w:before="136"/>
        <w:rPr>
          <w:sz w:val="20"/>
        </w:rPr>
      </w:pPr>
      <w:r w:rsidRPr="002D679B">
        <w:rPr>
          <w:sz w:val="20"/>
        </w:rPr>
        <w:t>A l'extérieur des zones hachurées, les valeurs d'intensité de champ sont constantes (comme décrit au § 1.1). Leur somme est constante et la probabilité de brouillage de type B1 est donc constante.</w:t>
      </w:r>
    </w:p>
    <w:p w:rsidR="002D679B" w:rsidRPr="002D679B" w:rsidRDefault="002D679B" w:rsidP="002D679B">
      <w:pPr>
        <w:spacing w:before="136"/>
        <w:rPr>
          <w:sz w:val="20"/>
        </w:rPr>
      </w:pPr>
      <w:r w:rsidRPr="002D679B">
        <w:rPr>
          <w:sz w:val="20"/>
        </w:rPr>
        <w:t>A l'intérieur de chaque zone hachurée, la valeur d'intensité de champ en provenance de l'émetteur le plus proche augmente jusqu'à une valeur locale maximale en un point situé directement au-dessus de l'antenne de cet émetteur (comme décrit au § 1.2).</w:t>
      </w:r>
    </w:p>
    <w:p w:rsidR="002D679B" w:rsidRPr="002D679B" w:rsidRDefault="002D679B" w:rsidP="002D679B">
      <w:pPr>
        <w:spacing w:before="136"/>
        <w:rPr>
          <w:sz w:val="20"/>
        </w:rPr>
      </w:pPr>
      <w:r w:rsidRPr="002D679B">
        <w:rPr>
          <w:sz w:val="20"/>
        </w:rPr>
        <w:t>Dans la MEG, on examinera les deux valeurs maximales locales, ce qui permettra de repérer le cas le moins favorable.</w:t>
      </w:r>
    </w:p>
    <w:p w:rsidR="002D679B" w:rsidRPr="002D679B" w:rsidRDefault="002D679B" w:rsidP="002D679B">
      <w:pPr>
        <w:spacing w:before="136"/>
        <w:rPr>
          <w:sz w:val="20"/>
        </w:rPr>
      </w:pPr>
      <w:r w:rsidRPr="002D679B">
        <w:rPr>
          <w:sz w:val="20"/>
        </w:rPr>
        <w:t>Un raisonnement analogue s'appliquera dans le cas de trois stations.</w:t>
      </w:r>
    </w:p>
    <w:p w:rsidR="002D679B" w:rsidRDefault="002D679B" w:rsidP="002D679B">
      <w:pPr>
        <w:spacing w:before="136"/>
        <w:rPr>
          <w:sz w:val="20"/>
        </w:rPr>
      </w:pPr>
    </w:p>
    <w:p w:rsidR="001F6663" w:rsidRPr="002D679B" w:rsidRDefault="001F6663" w:rsidP="002D679B">
      <w:pPr>
        <w:spacing w:before="136"/>
        <w:rPr>
          <w:sz w:val="20"/>
        </w:rPr>
      </w:pPr>
    </w:p>
    <w:p w:rsidR="002D679B" w:rsidRPr="00EE5FBE" w:rsidRDefault="002D679B" w:rsidP="00F47624">
      <w:pPr>
        <w:pStyle w:val="Appendix"/>
        <w:rPr>
          <w:lang w:val="fr-CH"/>
        </w:rPr>
      </w:pPr>
      <w:bookmarkStart w:id="92" w:name="_Toc289760537"/>
      <w:bookmarkStart w:id="93" w:name="_Toc289760877"/>
      <w:r w:rsidRPr="00EE5FBE">
        <w:rPr>
          <w:lang w:val="fr-CH"/>
        </w:rPr>
        <w:t>APPENDICE  3</w:t>
      </w:r>
      <w:bookmarkEnd w:id="92"/>
      <w:bookmarkEnd w:id="93"/>
    </w:p>
    <w:p w:rsidR="002D679B" w:rsidRPr="00EE5FBE" w:rsidRDefault="002D679B" w:rsidP="00F47624">
      <w:pPr>
        <w:pStyle w:val="AppendixRef0"/>
        <w:rPr>
          <w:lang w:val="fr-CH"/>
        </w:rPr>
      </w:pPr>
      <w:r w:rsidRPr="00EE5FBE">
        <w:rPr>
          <w:lang w:val="fr-CH"/>
        </w:rPr>
        <w:t>DE  L'ANNEXE  2</w:t>
      </w:r>
    </w:p>
    <w:p w:rsidR="002D679B" w:rsidRPr="00EE5FBE" w:rsidRDefault="002D679B" w:rsidP="00F47624">
      <w:pPr>
        <w:pStyle w:val="AppendixTitle"/>
        <w:rPr>
          <w:lang w:val="fr-CH"/>
        </w:rPr>
      </w:pPr>
      <w:bookmarkStart w:id="94" w:name="_Toc289760538"/>
      <w:bookmarkStart w:id="95" w:name="_Toc289760878"/>
      <w:r w:rsidRPr="00EE5FBE">
        <w:rPr>
          <w:lang w:val="fr-CH"/>
        </w:rPr>
        <w:t>Prédiction de l'intensité de champ ILS au moyen de la géométrie à deux rayons</w:t>
      </w:r>
      <w:bookmarkEnd w:id="94"/>
      <w:bookmarkEnd w:id="95"/>
      <w:r w:rsidRPr="00EE5FBE">
        <w:rPr>
          <w:lang w:val="fr-CH"/>
        </w:rPr>
        <w:t xml:space="preserve"> </w:t>
      </w:r>
    </w:p>
    <w:p w:rsidR="002D679B" w:rsidRPr="002D679B" w:rsidRDefault="002D679B" w:rsidP="002D679B">
      <w:pPr>
        <w:spacing w:before="480"/>
        <w:rPr>
          <w:sz w:val="20"/>
        </w:rPr>
      </w:pPr>
      <w:r w:rsidRPr="002D679B">
        <w:rPr>
          <w:sz w:val="20"/>
        </w:rPr>
        <w:t>Ce modèle utilise une géométrie à deux rayons passant au-dessus d'une Terre sphérique lisse. Cette méthode implique que le sol à proximité du point de réflexion soit assez représentatif d'une Terre lisse.</w:t>
      </w:r>
    </w:p>
    <w:p w:rsidR="002D679B" w:rsidRPr="002D679B" w:rsidRDefault="002D679B" w:rsidP="002D679B">
      <w:pPr>
        <w:spacing w:before="136"/>
        <w:rPr>
          <w:sz w:val="20"/>
        </w:rPr>
      </w:pPr>
      <w:r w:rsidRPr="002D679B">
        <w:rPr>
          <w:sz w:val="20"/>
        </w:rPr>
        <w:t>Pour un signal de radiophare d'alignement de piste ILS, la zone dans laquelle la réflexion se produit se superpose (ou peu s'en faut) à l'aéroport proprement dit. Dans cette zone, le sol est censé être essentiellement plat et donc bien approcher les conditions requises.</w:t>
      </w:r>
    </w:p>
    <w:p w:rsidR="002D679B" w:rsidRPr="002D679B" w:rsidRDefault="002D679B" w:rsidP="002D679B">
      <w:pPr>
        <w:spacing w:before="136"/>
        <w:rPr>
          <w:sz w:val="20"/>
        </w:rPr>
      </w:pPr>
      <w:r w:rsidRPr="002D679B">
        <w:rPr>
          <w:sz w:val="20"/>
        </w:rPr>
        <w:t>Les éléments nécessaires pour effectuer le calcul sont les suivants: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 p.a.r. maximale de l'installation du radiophare d'alignement de piste ILS;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 distance en trajet oblique entre l'antenne du radiophare d'alignement de piste ILS et le point de mesure;</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le diagramme de rayonnement horizontal de l'antenne du radiophare d'alignement de piste ILS;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le relèvement du point de mesure;</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 hauteur de l'antenne du radiophare d'alignement de piste ILS au-dessus du niveau du sol (a.n.s.);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 hauteur de l'installation du radiophare d'alignement de piste ILS au-dessus du niveau moyen de la mer (a.n.m.m.);</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 hauteur a.n.m.m. du point de mesure.</w:t>
      </w:r>
    </w:p>
    <w:p w:rsidR="002D679B" w:rsidRPr="002D679B" w:rsidRDefault="002D679B" w:rsidP="002D679B">
      <w:pPr>
        <w:spacing w:before="136"/>
        <w:rPr>
          <w:sz w:val="20"/>
        </w:rPr>
      </w:pPr>
      <w:r w:rsidRPr="002D679B">
        <w:rPr>
          <w:sz w:val="20"/>
        </w:rPr>
        <w:t>Etant donné que l'angle d'élévation maximal à prendre en compte dans une quelconque zone de COS d'ILS est de 7</w:t>
      </w:r>
      <w:r w:rsidRPr="002D679B">
        <w:rPr>
          <w:rFonts w:ascii="Symbol" w:hAnsi="Symbol"/>
          <w:sz w:val="20"/>
          <w:lang w:val="en-GB"/>
        </w:rPr>
        <w:t></w:t>
      </w:r>
      <w:r w:rsidRPr="002D679B">
        <w:rPr>
          <w:sz w:val="20"/>
        </w:rPr>
        <w:t xml:space="preserve"> (voir la Fig. 1), il n'est pas nécessaire d'inclure dans le calcul le diagramme de rayonnement vertical de l'antenne du radiophare d'alignement de piste ILS.</w:t>
      </w:r>
    </w:p>
    <w:p w:rsidR="002D679B" w:rsidRPr="002D679B" w:rsidRDefault="002D679B" w:rsidP="002D679B">
      <w:pPr>
        <w:spacing w:before="136"/>
        <w:rPr>
          <w:sz w:val="20"/>
        </w:rPr>
      </w:pPr>
      <w:r w:rsidRPr="002D679B">
        <w:rPr>
          <w:sz w:val="20"/>
        </w:rPr>
        <w:t xml:space="preserve">Dans le cas d'un trajet inférieur à quelques centaines de kilomètres, on peut faire l'hypothèse assez réaliste que la Terre peut être représentée par une parabole dont les hauteurs sont mesurées sur l'axe des </w:t>
      </w:r>
      <w:r w:rsidRPr="002D679B">
        <w:rPr>
          <w:i/>
          <w:sz w:val="20"/>
        </w:rPr>
        <w:t>y</w:t>
      </w:r>
      <w:r w:rsidRPr="002D679B">
        <w:rPr>
          <w:sz w:val="20"/>
        </w:rPr>
        <w:t xml:space="preserve"> et les distances sur l'axe des </w:t>
      </w:r>
      <w:r w:rsidRPr="002D679B">
        <w:rPr>
          <w:i/>
          <w:sz w:val="20"/>
        </w:rPr>
        <w:t>x</w:t>
      </w:r>
      <w:r w:rsidRPr="002D679B">
        <w:rPr>
          <w:sz w:val="20"/>
        </w:rPr>
        <w:t xml:space="preserve"> (voir la Fig. 8).</w:t>
      </w:r>
    </w:p>
    <w:p w:rsidR="002D679B" w:rsidRPr="002D679B" w:rsidRDefault="002D679B" w:rsidP="002D679B">
      <w:pPr>
        <w:spacing w:before="136"/>
        <w:rPr>
          <w:sz w:val="20"/>
        </w:rPr>
      </w:pPr>
      <w:r w:rsidRPr="002D679B">
        <w:rPr>
          <w:sz w:val="20"/>
        </w:rPr>
        <w:t xml:space="preserve">Dans ces conditions, la différence de longueur de trajet, </w:t>
      </w:r>
      <w:r w:rsidRPr="002D679B">
        <w:rPr>
          <w:rFonts w:ascii="Symbol" w:hAnsi="Symbol"/>
          <w:sz w:val="20"/>
          <w:lang w:val="en-GB"/>
        </w:rPr>
        <w:t></w:t>
      </w:r>
      <w:r w:rsidRPr="002D679B">
        <w:rPr>
          <w:sz w:val="20"/>
        </w:rPr>
        <w:t xml:space="preserve"> (m) entre le trajet direct et celui qui implique une réflexion sera donnée par:</w:t>
      </w:r>
    </w:p>
    <w:p w:rsidR="00CD321A" w:rsidRPr="00EE5FBE" w:rsidRDefault="00CD321A" w:rsidP="00CD321A">
      <w:pPr>
        <w:pStyle w:val="Equation"/>
        <w:rPr>
          <w:lang w:val="fr-CH"/>
        </w:rPr>
      </w:pPr>
      <w:bookmarkStart w:id="96" w:name="F027"/>
      <w:r>
        <w:tab/>
      </w:r>
      <w:r>
        <w:tab/>
      </w:r>
      <w:r w:rsidR="00B45125" w:rsidRPr="0028056A">
        <w:rPr>
          <w:position w:val="-64"/>
        </w:rPr>
        <w:object w:dxaOrig="3300" w:dyaOrig="1400">
          <v:shape id="_x0000_i1034" type="#_x0000_t75" style="width:165.5pt;height:70pt" o:ole="">
            <v:imagedata r:id="rId47" o:title=""/>
          </v:shape>
          <o:OLEObject Type="Embed" ProgID="Equation.3" ShapeID="_x0000_i1034" DrawAspect="Content" ObjectID="_1649157783" r:id="rId48"/>
        </w:object>
      </w:r>
      <w:r>
        <w:t>        m</w:t>
      </w:r>
      <w:r>
        <w:tab/>
        <w:t>(25)</w:t>
      </w:r>
      <w:bookmarkEnd w:id="96"/>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D</w:t>
      </w:r>
      <w:r w:rsidRPr="002D679B">
        <w:rPr>
          <w:rFonts w:ascii="Tms Rmn" w:hAnsi="Tms Rmn"/>
          <w:sz w:val="12"/>
        </w:rPr>
        <w:t> </w:t>
      </w:r>
      <w:r w:rsidRPr="002D679B">
        <w:rPr>
          <w:sz w:val="20"/>
        </w:rPr>
        <w:t>:</w:t>
      </w:r>
      <w:r w:rsidRPr="002D679B">
        <w:rPr>
          <w:sz w:val="20"/>
        </w:rPr>
        <w:tab/>
        <w:t>distance horizontale (km) entre l'installation du radiophare d'alignement de piste ILS et le point de mesure</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h</w:t>
      </w:r>
      <w:r w:rsidRPr="002D679B">
        <w:rPr>
          <w:position w:val="-4"/>
          <w:sz w:val="16"/>
        </w:rPr>
        <w:t>1</w:t>
      </w:r>
      <w:r w:rsidRPr="002D679B">
        <w:rPr>
          <w:rFonts w:ascii="Tms Rmn" w:hAnsi="Tms Rmn"/>
          <w:sz w:val="12"/>
        </w:rPr>
        <w:t> </w:t>
      </w:r>
      <w:r w:rsidRPr="002D679B">
        <w:rPr>
          <w:sz w:val="20"/>
        </w:rPr>
        <w:t>:</w:t>
      </w:r>
      <w:r w:rsidRPr="002D679B">
        <w:rPr>
          <w:sz w:val="20"/>
        </w:rPr>
        <w:tab/>
        <w:t>hauteur (m) de l'antenne d'émission ILS au-dessus du plan de réflexion</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h</w:t>
      </w:r>
      <w:r w:rsidRPr="002D679B">
        <w:rPr>
          <w:position w:val="-4"/>
          <w:sz w:val="16"/>
        </w:rPr>
        <w:t>2</w:t>
      </w:r>
      <w:r w:rsidRPr="002D679B">
        <w:rPr>
          <w:rFonts w:ascii="Tms Rmn" w:hAnsi="Tms Rmn"/>
          <w:sz w:val="12"/>
        </w:rPr>
        <w:t> </w:t>
      </w:r>
      <w:r w:rsidRPr="002D679B">
        <w:rPr>
          <w:sz w:val="20"/>
        </w:rPr>
        <w:t>:</w:t>
      </w:r>
      <w:r w:rsidRPr="002D679B">
        <w:rPr>
          <w:sz w:val="20"/>
        </w:rPr>
        <w:tab/>
        <w:t>hauteur a.n.m.m. (m) du point de mesure</w:t>
      </w:r>
    </w:p>
    <w:p w:rsidR="002D679B" w:rsidRPr="002D679B" w:rsidRDefault="002D679B" w:rsidP="00B45125">
      <w:pPr>
        <w:tabs>
          <w:tab w:val="clear" w:pos="794"/>
          <w:tab w:val="clear" w:pos="1191"/>
          <w:tab w:val="clear" w:pos="1588"/>
          <w:tab w:val="clear" w:pos="1985"/>
          <w:tab w:val="left" w:pos="397"/>
        </w:tabs>
        <w:spacing w:before="86"/>
        <w:ind w:left="720" w:hanging="720"/>
        <w:rPr>
          <w:sz w:val="20"/>
        </w:rPr>
      </w:pPr>
      <w:r w:rsidRPr="002D679B">
        <w:rPr>
          <w:i/>
          <w:sz w:val="20"/>
        </w:rPr>
        <w:tab/>
        <w:t>h</w:t>
      </w:r>
      <w:r w:rsidRPr="002D679B">
        <w:rPr>
          <w:i/>
          <w:position w:val="-4"/>
          <w:sz w:val="16"/>
        </w:rPr>
        <w:t>p</w:t>
      </w:r>
      <w:r w:rsidRPr="002D679B">
        <w:rPr>
          <w:rFonts w:ascii="Tms Rmn" w:hAnsi="Tms Rmn"/>
          <w:sz w:val="12"/>
        </w:rPr>
        <w:t> </w:t>
      </w:r>
      <w:r w:rsidRPr="002D679B">
        <w:rPr>
          <w:sz w:val="20"/>
        </w:rPr>
        <w:t>:</w:t>
      </w:r>
      <w:r w:rsidRPr="002D679B">
        <w:rPr>
          <w:sz w:val="20"/>
        </w:rPr>
        <w:tab/>
        <w:t>hauteur a.n.m.m. (m) du plan de réflexion (égale à la cote altimétrique du radiophare d'alignement de piste ILS);</w:t>
      </w:r>
    </w:p>
    <w:p w:rsid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Il y a lieu de se référer à la Note 1 de la Fig. 8.</w:t>
      </w:r>
    </w:p>
    <w:p w:rsidR="00F62DEE" w:rsidRPr="002D679B" w:rsidRDefault="00F62DEE" w:rsidP="002D679B">
      <w:pPr>
        <w:tabs>
          <w:tab w:val="clear" w:pos="794"/>
          <w:tab w:val="clear" w:pos="1191"/>
          <w:tab w:val="clear" w:pos="1588"/>
          <w:tab w:val="clear" w:pos="1985"/>
          <w:tab w:val="left" w:pos="397"/>
        </w:tabs>
        <w:spacing w:before="86"/>
        <w:ind w:left="397" w:hanging="397"/>
        <w:rPr>
          <w:sz w:val="20"/>
        </w:rPr>
      </w:pPr>
    </w:p>
    <w:p w:rsidR="002D679B" w:rsidRPr="002D679B" w:rsidRDefault="002D679B" w:rsidP="002D679B">
      <w:pPr>
        <w:spacing w:before="136"/>
        <w:jc w:val="center"/>
        <w:rPr>
          <w:sz w:val="20"/>
          <w:lang w:val="en-US"/>
        </w:rPr>
      </w:pPr>
      <w:r>
        <w:rPr>
          <w:noProof/>
          <w:sz w:val="20"/>
          <w:lang w:val="fr-CH" w:eastAsia="fr-CH"/>
        </w:rPr>
        <w:drawing>
          <wp:inline distT="0" distB="0" distL="0" distR="0" wp14:anchorId="4B4F800C" wp14:editId="43F02B72">
            <wp:extent cx="4488815" cy="404368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88815" cy="4043680"/>
                    </a:xfrm>
                    <a:prstGeom prst="rect">
                      <a:avLst/>
                    </a:prstGeom>
                    <a:noFill/>
                    <a:ln>
                      <a:noFill/>
                    </a:ln>
                  </pic:spPr>
                </pic:pic>
              </a:graphicData>
            </a:graphic>
          </wp:inline>
        </w:drawing>
      </w:r>
    </w:p>
    <w:p w:rsidR="002D679B" w:rsidRPr="002D679B" w:rsidRDefault="002D679B" w:rsidP="002D679B">
      <w:pPr>
        <w:spacing w:before="136"/>
        <w:jc w:val="left"/>
        <w:rPr>
          <w:color w:val="FFFFFF"/>
          <w:sz w:val="20"/>
        </w:rPr>
      </w:pPr>
      <w:r w:rsidRPr="002D679B">
        <w:rPr>
          <w:color w:val="FFFFFF"/>
          <w:sz w:val="20"/>
        </w:rPr>
        <w:t>FIGURE 8/1009...</w:t>
      </w:r>
      <w:r w:rsidRPr="002D679B">
        <w:rPr>
          <w:b/>
          <w:color w:val="FFFFFF"/>
          <w:sz w:val="20"/>
        </w:rPr>
        <w:t>[D08]</w:t>
      </w:r>
      <w:r w:rsidRPr="002D679B">
        <w:rPr>
          <w:color w:val="FFFFFF"/>
          <w:sz w:val="20"/>
        </w:rPr>
        <w:t xml:space="preserve">  </w:t>
      </w:r>
      <w:r w:rsidRPr="002D679B">
        <w:rPr>
          <w:rFonts w:ascii="Symbol" w:hAnsi="Symbol"/>
          <w:color w:val="FFFFFF"/>
          <w:sz w:val="20"/>
          <w:lang w:val="en-US"/>
        </w:rPr>
        <w:t></w:t>
      </w:r>
      <w:r w:rsidRPr="002D679B">
        <w:rPr>
          <w:color w:val="FFFFFF"/>
          <w:sz w:val="20"/>
        </w:rPr>
        <w:t xml:space="preserve"> 11  CM </w:t>
      </w:r>
    </w:p>
    <w:p w:rsidR="002D679B" w:rsidRPr="002D679B" w:rsidRDefault="002D679B" w:rsidP="002D679B">
      <w:pPr>
        <w:spacing w:before="136"/>
        <w:rPr>
          <w:sz w:val="20"/>
        </w:rPr>
      </w:pPr>
      <w:r w:rsidRPr="002D679B">
        <w:rPr>
          <w:sz w:val="20"/>
        </w:rPr>
        <w:t xml:space="preserve">Aux angles de réflexion en cause, la Terre possède un facteur de réflexion très proche de –1. Le facteur de correction, </w:t>
      </w:r>
      <w:r w:rsidRPr="002D679B">
        <w:rPr>
          <w:i/>
          <w:sz w:val="20"/>
        </w:rPr>
        <w:t>C</w:t>
      </w:r>
      <w:r w:rsidRPr="002D679B">
        <w:rPr>
          <w:sz w:val="20"/>
        </w:rPr>
        <w:t>, qui résulte de la sommation des deux composantes de signal, sera donné par:</w:t>
      </w:r>
    </w:p>
    <w:p w:rsidR="002D679B" w:rsidRPr="002D679B" w:rsidRDefault="002D679B" w:rsidP="002D679B">
      <w:pPr>
        <w:tabs>
          <w:tab w:val="clear" w:pos="1191"/>
          <w:tab w:val="clear" w:pos="1588"/>
          <w:tab w:val="clear" w:pos="1985"/>
          <w:tab w:val="center" w:pos="4849"/>
          <w:tab w:val="right" w:pos="9696"/>
        </w:tabs>
        <w:spacing w:before="140" w:after="40"/>
        <w:jc w:val="left"/>
        <w:rPr>
          <w:sz w:val="22"/>
          <w:lang w:val="fr-CH"/>
        </w:rPr>
      </w:pPr>
      <w:r w:rsidRPr="002D679B">
        <w:rPr>
          <w:sz w:val="22"/>
        </w:rPr>
        <w:tab/>
      </w:r>
      <w:r w:rsidRPr="002D679B">
        <w:rPr>
          <w:sz w:val="22"/>
        </w:rPr>
        <w:tab/>
      </w:r>
      <w:r w:rsidRPr="002D679B">
        <w:rPr>
          <w:i/>
          <w:sz w:val="22"/>
          <w:lang w:val="fr-CH"/>
        </w:rPr>
        <w:t>C</w:t>
      </w:r>
      <w:r w:rsidRPr="002D679B">
        <w:rPr>
          <w:sz w:val="22"/>
          <w:lang w:val="fr-CH"/>
        </w:rPr>
        <w:t xml:space="preserve">  =  10 log </w:t>
      </w:r>
      <w:r w:rsidRPr="002D679B">
        <w:rPr>
          <w:sz w:val="30"/>
          <w:lang w:val="fr-CH"/>
        </w:rPr>
        <w:t>(</w:t>
      </w:r>
      <w:r w:rsidRPr="002D679B">
        <w:rPr>
          <w:sz w:val="22"/>
          <w:lang w:val="fr-CH"/>
        </w:rPr>
        <w:t>2  –  2 cos (2</w:t>
      </w:r>
      <w:r w:rsidRPr="002D679B">
        <w:rPr>
          <w:rFonts w:ascii="Symbol" w:hAnsi="Symbol"/>
          <w:sz w:val="22"/>
          <w:lang w:val="en-GB"/>
        </w:rPr>
        <w:t></w:t>
      </w:r>
      <w:r w:rsidRPr="002D679B">
        <w:rPr>
          <w:sz w:val="22"/>
          <w:lang w:val="fr-CH"/>
        </w:rPr>
        <w:t xml:space="preserve"> </w:t>
      </w:r>
      <w:r w:rsidRPr="002D679B">
        <w:rPr>
          <w:rFonts w:ascii="Symbol" w:hAnsi="Symbol"/>
          <w:sz w:val="22"/>
          <w:lang w:val="en-GB"/>
        </w:rPr>
        <w:t></w:t>
      </w:r>
      <w:r w:rsidRPr="002D679B">
        <w:rPr>
          <w:sz w:val="22"/>
          <w:lang w:val="fr-CH"/>
        </w:rPr>
        <w:t xml:space="preserve"> / </w:t>
      </w:r>
      <w:r w:rsidRPr="002D679B">
        <w:rPr>
          <w:rFonts w:ascii="Symbol" w:hAnsi="Symbol"/>
          <w:sz w:val="22"/>
          <w:lang w:val="en-GB"/>
        </w:rPr>
        <w:t></w:t>
      </w:r>
      <w:r w:rsidRPr="002D679B">
        <w:rPr>
          <w:sz w:val="22"/>
          <w:lang w:val="fr-CH"/>
        </w:rPr>
        <w:t>)</w:t>
      </w:r>
      <w:r w:rsidRPr="002D679B">
        <w:rPr>
          <w:sz w:val="30"/>
          <w:lang w:val="fr-CH"/>
        </w:rPr>
        <w:t>)</w:t>
      </w:r>
      <w:r w:rsidRPr="002D679B">
        <w:rPr>
          <w:sz w:val="22"/>
          <w:lang w:val="fr-CH"/>
        </w:rPr>
        <w:tab/>
        <w:t>(26)</w:t>
      </w:r>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rFonts w:ascii="Symbol" w:hAnsi="Symbol"/>
          <w:sz w:val="20"/>
        </w:rPr>
        <w:tab/>
      </w:r>
      <w:r w:rsidRPr="002D679B">
        <w:rPr>
          <w:rFonts w:ascii="Symbol" w:hAnsi="Symbol"/>
          <w:sz w:val="20"/>
          <w:lang w:val="en-GB"/>
        </w:rPr>
        <w:t></w:t>
      </w:r>
      <w:r w:rsidRPr="002D679B">
        <w:rPr>
          <w:rFonts w:ascii="Tms Rmn" w:hAnsi="Tms Rmn"/>
          <w:sz w:val="12"/>
        </w:rPr>
        <w:t> </w:t>
      </w:r>
      <w:r w:rsidRPr="002D679B">
        <w:rPr>
          <w:rFonts w:ascii="Symbol" w:hAnsi="Symbol"/>
          <w:sz w:val="20"/>
          <w:lang w:val="en-GB"/>
        </w:rPr>
        <w:t></w:t>
      </w:r>
      <w:r w:rsidRPr="002D679B">
        <w:rPr>
          <w:sz w:val="20"/>
        </w:rPr>
        <w:tab/>
        <w:t>longueur d'onde (m) du signal ILS.</w:t>
      </w:r>
    </w:p>
    <w:p w:rsidR="002D679B" w:rsidRPr="002D679B" w:rsidRDefault="002D679B" w:rsidP="002D679B">
      <w:pPr>
        <w:spacing w:before="136"/>
        <w:rPr>
          <w:sz w:val="20"/>
        </w:rPr>
      </w:pPr>
      <w:r w:rsidRPr="002D679B">
        <w:rPr>
          <w:sz w:val="20"/>
        </w:rPr>
        <w:t>La zone de réflexion est proche de l'emplacement de l'émetteur. Si celui-ci est à quelques centaines de mètres de l'extrémité de piste, la zone de réflexion sera comprise entre ces deux points. Il est indispensable de prendre des précautions pendant la détermination de la hauteur de l'antenne d'émission ILS au-dessus de la zone de réflexion, en cas de terrain en pente. C'est-à-dire qu'il faut disposer d'un profil précis du terrain pour obtenir des résultats d'intensité de champ précis. Pour optimiser la précision, il convient d'orienter le plan de réflexion selon la pente du terrain dans la zone de réflexion et de recalculer en conséquence les hauteurs au-dessus de ce plan.</w:t>
      </w:r>
    </w:p>
    <w:p w:rsidR="002D679B" w:rsidRPr="002D679B" w:rsidRDefault="002D679B" w:rsidP="002D679B">
      <w:pPr>
        <w:spacing w:before="136"/>
        <w:rPr>
          <w:sz w:val="20"/>
        </w:rPr>
      </w:pPr>
      <w:r w:rsidRPr="002D679B">
        <w:rPr>
          <w:sz w:val="20"/>
        </w:rPr>
        <w:t xml:space="preserve">L'intensité de champ prédite, </w:t>
      </w:r>
      <w:r w:rsidRPr="002D679B">
        <w:rPr>
          <w:i/>
          <w:sz w:val="20"/>
        </w:rPr>
        <w:t>E</w:t>
      </w:r>
      <w:r w:rsidRPr="002D679B">
        <w:rPr>
          <w:sz w:val="20"/>
        </w:rPr>
        <w:t xml:space="preserve"> (dB(</w:t>
      </w:r>
      <w:r w:rsidRPr="002D679B">
        <w:rPr>
          <w:rFonts w:ascii="Symbol" w:hAnsi="Symbol"/>
          <w:sz w:val="20"/>
          <w:lang w:val="en-GB"/>
        </w:rPr>
        <w:t></w:t>
      </w:r>
      <w:r w:rsidRPr="002D679B">
        <w:rPr>
          <w:sz w:val="20"/>
        </w:rPr>
        <w:t>V/m)) sera donnée par la relation:</w:t>
      </w:r>
    </w:p>
    <w:p w:rsidR="002D679B" w:rsidRP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i/>
          <w:sz w:val="22"/>
        </w:rPr>
        <w:t>E</w:t>
      </w:r>
      <w:r w:rsidRPr="002D679B">
        <w:rPr>
          <w:sz w:val="22"/>
        </w:rPr>
        <w:t xml:space="preserve">  </w:t>
      </w:r>
      <w:r w:rsidRPr="002D679B">
        <w:rPr>
          <w:rFonts w:ascii="Symbol" w:hAnsi="Symbol"/>
          <w:sz w:val="22"/>
          <w:lang w:val="en-GB"/>
        </w:rPr>
        <w:t></w:t>
      </w:r>
      <w:r w:rsidRPr="002D679B">
        <w:rPr>
          <w:sz w:val="22"/>
        </w:rPr>
        <w:t xml:space="preserve">  76,9  </w:t>
      </w:r>
      <w:r w:rsidRPr="002D679B">
        <w:rPr>
          <w:rFonts w:ascii="Symbol" w:hAnsi="Symbol"/>
          <w:sz w:val="22"/>
          <w:lang w:val="en-GB"/>
        </w:rPr>
        <w:t></w:t>
      </w:r>
      <w:r w:rsidRPr="002D679B">
        <w:rPr>
          <w:sz w:val="22"/>
        </w:rPr>
        <w:t xml:space="preserve">  </w:t>
      </w:r>
      <w:r w:rsidRPr="002D679B">
        <w:rPr>
          <w:i/>
          <w:sz w:val="22"/>
        </w:rPr>
        <w:t>P</w:t>
      </w:r>
      <w:r w:rsidRPr="002D679B">
        <w:rPr>
          <w:sz w:val="22"/>
        </w:rPr>
        <w:t xml:space="preserve">  –  20 log </w:t>
      </w:r>
      <w:r w:rsidRPr="002D679B">
        <w:rPr>
          <w:i/>
          <w:sz w:val="22"/>
        </w:rPr>
        <w:t>d</w:t>
      </w:r>
      <w:r w:rsidRPr="002D679B">
        <w:rPr>
          <w:sz w:val="22"/>
        </w:rPr>
        <w:t xml:space="preserve">  </w:t>
      </w:r>
      <w:r w:rsidRPr="002D679B">
        <w:rPr>
          <w:rFonts w:ascii="Symbol" w:hAnsi="Symbol"/>
          <w:sz w:val="22"/>
          <w:lang w:val="en-GB"/>
        </w:rPr>
        <w:t></w:t>
      </w:r>
      <w:r w:rsidRPr="002D679B">
        <w:rPr>
          <w:sz w:val="22"/>
        </w:rPr>
        <w:t xml:space="preserve">  </w:t>
      </w:r>
      <w:r w:rsidRPr="002D679B">
        <w:rPr>
          <w:i/>
          <w:sz w:val="22"/>
        </w:rPr>
        <w:t>C</w:t>
      </w:r>
      <w:r w:rsidRPr="002D679B">
        <w:rPr>
          <w:sz w:val="22"/>
        </w:rPr>
        <w:t xml:space="preserve">  </w:t>
      </w:r>
      <w:r w:rsidRPr="002D679B">
        <w:rPr>
          <w:rFonts w:ascii="Symbol" w:hAnsi="Symbol"/>
          <w:sz w:val="22"/>
          <w:lang w:val="en-GB"/>
        </w:rPr>
        <w:t></w:t>
      </w:r>
      <w:r w:rsidRPr="002D679B">
        <w:rPr>
          <w:sz w:val="22"/>
        </w:rPr>
        <w:t xml:space="preserve">  </w:t>
      </w:r>
      <w:r w:rsidRPr="002D679B">
        <w:rPr>
          <w:i/>
          <w:sz w:val="22"/>
        </w:rPr>
        <w:t>H</w:t>
      </w:r>
      <w:r w:rsidRPr="002D679B">
        <w:rPr>
          <w:sz w:val="22"/>
        </w:rPr>
        <w:tab/>
        <w:t>(27)</w:t>
      </w:r>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P</w:t>
      </w:r>
      <w:r w:rsidRPr="002D679B">
        <w:rPr>
          <w:rFonts w:ascii="Tms Rmn" w:hAnsi="Tms Rmn"/>
          <w:sz w:val="12"/>
        </w:rPr>
        <w:t> </w:t>
      </w:r>
      <w:r w:rsidRPr="002D679B">
        <w:rPr>
          <w:sz w:val="20"/>
        </w:rPr>
        <w:t>:</w:t>
      </w:r>
      <w:r w:rsidRPr="002D679B">
        <w:rPr>
          <w:sz w:val="20"/>
        </w:rPr>
        <w:tab/>
        <w:t>p.a.r. (dBW) de l'installation de radiophare d'alignement de piste ILS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d</w:t>
      </w:r>
      <w:r w:rsidRPr="002D679B">
        <w:rPr>
          <w:rFonts w:ascii="Tms Rmn" w:hAnsi="Tms Rmn"/>
          <w:sz w:val="12"/>
        </w:rPr>
        <w:t> </w:t>
      </w:r>
      <w:r w:rsidRPr="002D679B">
        <w:rPr>
          <w:sz w:val="20"/>
        </w:rPr>
        <w:t>:</w:t>
      </w:r>
      <w:r w:rsidRPr="002D679B">
        <w:rPr>
          <w:sz w:val="20"/>
        </w:rPr>
        <w:tab/>
        <w:t>distance en trajet oblique (km)</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i/>
          <w:sz w:val="20"/>
        </w:rPr>
        <w:tab/>
        <w:t>C</w:t>
      </w:r>
      <w:r w:rsidRPr="002D679B">
        <w:rPr>
          <w:rFonts w:ascii="Tms Rmn" w:hAnsi="Tms Rmn"/>
          <w:sz w:val="12"/>
        </w:rPr>
        <w:t> </w:t>
      </w:r>
      <w:r w:rsidRPr="002D679B">
        <w:rPr>
          <w:sz w:val="20"/>
        </w:rPr>
        <w:t>:</w:t>
      </w:r>
      <w:r w:rsidRPr="002D679B">
        <w:rPr>
          <w:sz w:val="20"/>
        </w:rPr>
        <w:tab/>
        <w:t>correction (dB) indiquée dans la formule (26)</w:t>
      </w:r>
    </w:p>
    <w:p w:rsidR="002D679B" w:rsidRPr="002D679B" w:rsidRDefault="002D679B" w:rsidP="002D679B">
      <w:pPr>
        <w:tabs>
          <w:tab w:val="clear" w:pos="794"/>
          <w:tab w:val="clear" w:pos="1191"/>
          <w:tab w:val="clear" w:pos="1588"/>
          <w:tab w:val="clear" w:pos="1985"/>
          <w:tab w:val="left" w:pos="397"/>
        </w:tabs>
        <w:spacing w:before="86"/>
        <w:ind w:left="720" w:hanging="720"/>
        <w:rPr>
          <w:sz w:val="20"/>
        </w:rPr>
      </w:pPr>
      <w:r w:rsidRPr="002D679B">
        <w:rPr>
          <w:i/>
          <w:sz w:val="20"/>
        </w:rPr>
        <w:tab/>
        <w:t>H</w:t>
      </w:r>
      <w:r w:rsidRPr="002D679B">
        <w:rPr>
          <w:rFonts w:ascii="Tms Rmn" w:hAnsi="Tms Rmn"/>
          <w:sz w:val="12"/>
        </w:rPr>
        <w:t> </w:t>
      </w:r>
      <w:r w:rsidRPr="002D679B">
        <w:rPr>
          <w:sz w:val="20"/>
        </w:rPr>
        <w:t>:</w:t>
      </w:r>
      <w:r w:rsidRPr="002D679B">
        <w:rPr>
          <w:sz w:val="20"/>
        </w:rPr>
        <w:tab/>
        <w:t>correction du DR pour l'antenne d'émission du radiophare d'alignement de piste ILS en direction du point de mesure.</w:t>
      </w:r>
    </w:p>
    <w:p w:rsidR="002D679B" w:rsidRPr="002D679B" w:rsidRDefault="002D679B" w:rsidP="002D679B">
      <w:pPr>
        <w:spacing w:before="136"/>
        <w:rPr>
          <w:sz w:val="20"/>
        </w:rPr>
      </w:pPr>
      <w:r w:rsidRPr="002D679B">
        <w:rPr>
          <w:sz w:val="20"/>
        </w:rPr>
        <w:t>Une tolérance de 8 dB est à prévoir pour assurer une marge de sécurité, mais la valeur d'intensité de champ calculée selon le § 3.2.2.3.2 est considérée comme une limite inférieure.</w:t>
      </w:r>
    </w:p>
    <w:p w:rsidR="002D679B" w:rsidRPr="002D679B" w:rsidRDefault="002D679B" w:rsidP="002D679B">
      <w:pPr>
        <w:spacing w:before="136"/>
        <w:rPr>
          <w:sz w:val="20"/>
        </w:rPr>
      </w:pPr>
      <w:r w:rsidRPr="002D679B">
        <w:rPr>
          <w:sz w:val="20"/>
        </w:rPr>
        <w:t xml:space="preserve">L'intensité de champ, </w:t>
      </w:r>
      <w:r w:rsidRPr="002D679B">
        <w:rPr>
          <w:i/>
          <w:sz w:val="20"/>
        </w:rPr>
        <w:t>E</w:t>
      </w:r>
      <w:r w:rsidRPr="002D679B">
        <w:rPr>
          <w:i/>
          <w:position w:val="-4"/>
          <w:sz w:val="16"/>
        </w:rPr>
        <w:t>ILS</w:t>
      </w:r>
      <w:r w:rsidRPr="002D679B">
        <w:rPr>
          <w:sz w:val="20"/>
        </w:rPr>
        <w:t xml:space="preserve"> (dB(</w:t>
      </w:r>
      <w:r w:rsidRPr="002D679B">
        <w:rPr>
          <w:rFonts w:ascii="Symbol" w:hAnsi="Symbol"/>
          <w:sz w:val="20"/>
          <w:lang w:val="en-GB"/>
        </w:rPr>
        <w:t></w:t>
      </w:r>
      <w:r w:rsidRPr="002D679B">
        <w:rPr>
          <w:sz w:val="20"/>
        </w:rPr>
        <w:t>V/m)) à utiliser dans les calculs de compatibilité, sera donc égale à:</w:t>
      </w:r>
    </w:p>
    <w:p w:rsid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i/>
          <w:sz w:val="22"/>
        </w:rPr>
        <w:t>E</w:t>
      </w:r>
      <w:r w:rsidRPr="002D679B">
        <w:rPr>
          <w:i/>
          <w:position w:val="-4"/>
          <w:sz w:val="18"/>
        </w:rPr>
        <w:t>ILS</w:t>
      </w:r>
      <w:r w:rsidRPr="002D679B">
        <w:rPr>
          <w:sz w:val="22"/>
        </w:rPr>
        <w:t xml:space="preserve">  </w:t>
      </w:r>
      <w:r w:rsidRPr="002D679B">
        <w:rPr>
          <w:rFonts w:ascii="Symbol" w:hAnsi="Symbol"/>
          <w:sz w:val="22"/>
          <w:lang w:val="en-GB"/>
        </w:rPr>
        <w:t></w:t>
      </w:r>
      <w:r w:rsidRPr="002D679B">
        <w:rPr>
          <w:sz w:val="22"/>
        </w:rPr>
        <w:t xml:space="preserve">  max (</w:t>
      </w:r>
      <w:r w:rsidRPr="002D679B">
        <w:rPr>
          <w:i/>
          <w:sz w:val="22"/>
        </w:rPr>
        <w:t>E</w:t>
      </w:r>
      <w:r w:rsidRPr="002D679B">
        <w:rPr>
          <w:sz w:val="22"/>
        </w:rPr>
        <w:t xml:space="preserve">  –  8; valeur issue du § 3.2.2.3.2)</w:t>
      </w:r>
      <w:r w:rsidRPr="002D679B">
        <w:rPr>
          <w:sz w:val="22"/>
        </w:rPr>
        <w:tab/>
        <w:t>(28)</w:t>
      </w:r>
    </w:p>
    <w:p w:rsidR="0045207C" w:rsidRDefault="0045207C" w:rsidP="002D679B">
      <w:pPr>
        <w:tabs>
          <w:tab w:val="clear" w:pos="1191"/>
          <w:tab w:val="clear" w:pos="1588"/>
          <w:tab w:val="clear" w:pos="1985"/>
          <w:tab w:val="center" w:pos="4849"/>
          <w:tab w:val="right" w:pos="9696"/>
        </w:tabs>
        <w:spacing w:before="140" w:after="40"/>
        <w:jc w:val="left"/>
        <w:rPr>
          <w:sz w:val="22"/>
        </w:rPr>
      </w:pPr>
    </w:p>
    <w:p w:rsidR="0045207C" w:rsidRDefault="0045207C" w:rsidP="002D679B">
      <w:pPr>
        <w:tabs>
          <w:tab w:val="clear" w:pos="1191"/>
          <w:tab w:val="clear" w:pos="1588"/>
          <w:tab w:val="clear" w:pos="1985"/>
          <w:tab w:val="center" w:pos="4849"/>
          <w:tab w:val="right" w:pos="9696"/>
        </w:tabs>
        <w:spacing w:before="140" w:after="40"/>
        <w:jc w:val="left"/>
        <w:rPr>
          <w:sz w:val="22"/>
        </w:rPr>
      </w:pPr>
    </w:p>
    <w:p w:rsidR="0045207C" w:rsidRPr="002D679B" w:rsidRDefault="0045207C" w:rsidP="002D679B">
      <w:pPr>
        <w:tabs>
          <w:tab w:val="clear" w:pos="1191"/>
          <w:tab w:val="clear" w:pos="1588"/>
          <w:tab w:val="clear" w:pos="1985"/>
          <w:tab w:val="center" w:pos="4849"/>
          <w:tab w:val="right" w:pos="9696"/>
        </w:tabs>
        <w:spacing w:before="140" w:after="40"/>
        <w:jc w:val="left"/>
        <w:rPr>
          <w:sz w:val="22"/>
        </w:rPr>
      </w:pPr>
    </w:p>
    <w:p w:rsidR="002D679B" w:rsidRPr="00EE5FBE" w:rsidRDefault="002D679B" w:rsidP="00F47624">
      <w:pPr>
        <w:pStyle w:val="Annex"/>
        <w:rPr>
          <w:lang w:val="fr-CH"/>
        </w:rPr>
      </w:pPr>
      <w:r w:rsidRPr="00EE5FBE">
        <w:rPr>
          <w:lang w:val="fr-CH"/>
        </w:rPr>
        <w:t>ANNEXE  3</w:t>
      </w:r>
    </w:p>
    <w:p w:rsidR="002D679B" w:rsidRPr="00EE5FBE" w:rsidRDefault="002D679B" w:rsidP="00F47624">
      <w:pPr>
        <w:pStyle w:val="AnnexTitle"/>
        <w:rPr>
          <w:lang w:val="fr-CH"/>
        </w:rPr>
      </w:pPr>
      <w:r w:rsidRPr="00EE5FBE">
        <w:rPr>
          <w:lang w:val="fr-CH"/>
        </w:rPr>
        <w:t>Evaluation détaillée de la compatibilité et vérification pratique</w:t>
      </w:r>
    </w:p>
    <w:p w:rsidR="00B45125" w:rsidRDefault="00B45125" w:rsidP="002D679B">
      <w:pPr>
        <w:spacing w:before="136"/>
        <w:jc w:val="center"/>
        <w:rPr>
          <w:sz w:val="20"/>
        </w:rPr>
      </w:pPr>
    </w:p>
    <w:p w:rsidR="002D679B" w:rsidRPr="002D679B" w:rsidRDefault="002D679B" w:rsidP="002D679B">
      <w:pPr>
        <w:spacing w:before="136"/>
        <w:jc w:val="center"/>
        <w:rPr>
          <w:sz w:val="20"/>
        </w:rPr>
      </w:pPr>
      <w:r w:rsidRPr="002D679B">
        <w:rPr>
          <w:sz w:val="20"/>
        </w:rPr>
        <w:t>TABLE  DES  MATIÈRES</w:t>
      </w:r>
    </w:p>
    <w:p w:rsidR="002D679B" w:rsidRPr="002D679B" w:rsidRDefault="002D679B" w:rsidP="002D679B">
      <w:pPr>
        <w:spacing w:before="136"/>
        <w:jc w:val="right"/>
        <w:rPr>
          <w:sz w:val="20"/>
        </w:rPr>
      </w:pPr>
      <w:r w:rsidRPr="002D679B">
        <w:rPr>
          <w:i/>
          <w:sz w:val="20"/>
        </w:rPr>
        <w:t>Page</w:t>
      </w:r>
    </w:p>
    <w:p w:rsidR="00EE5FBE" w:rsidRPr="00DB496D" w:rsidRDefault="00EE5FBE" w:rsidP="00DB496D">
      <w:pPr>
        <w:pStyle w:val="TOC1"/>
        <w:rPr>
          <w:rFonts w:eastAsiaTheme="minorEastAsia"/>
          <w:sz w:val="20"/>
          <w:lang w:val="fr-CH"/>
        </w:rPr>
      </w:pPr>
      <w:r w:rsidRPr="00DB496D">
        <w:rPr>
          <w:sz w:val="20"/>
          <w:lang w:val="fr-CH"/>
        </w:rPr>
        <w:t>1</w:t>
      </w:r>
      <w:r w:rsidRPr="00DB496D">
        <w:rPr>
          <w:rFonts w:eastAsiaTheme="minorEastAsia"/>
          <w:sz w:val="20"/>
          <w:lang w:val="fr-CH"/>
        </w:rPr>
        <w:tab/>
      </w:r>
      <w:r w:rsidRPr="00DB496D">
        <w:rPr>
          <w:sz w:val="20"/>
          <w:lang w:val="fr-CH"/>
        </w:rPr>
        <w:t>Introduction</w:t>
      </w:r>
      <w:r w:rsidR="00DB496D">
        <w:rPr>
          <w:sz w:val="20"/>
          <w:lang w:val="fr-CH"/>
        </w:rPr>
        <w:t xml:space="preserve"> </w:t>
      </w:r>
      <w:r w:rsidRPr="00DB496D">
        <w:rPr>
          <w:webHidden/>
          <w:sz w:val="20"/>
          <w:lang w:val="fr-CH"/>
        </w:rPr>
        <w:tab/>
      </w:r>
      <w:r w:rsidR="00DB496D">
        <w:rPr>
          <w:webHidden/>
          <w:sz w:val="20"/>
          <w:lang w:val="fr-CH"/>
        </w:rPr>
        <w:tab/>
      </w:r>
      <w:r w:rsidR="00DB496D" w:rsidRPr="00DB496D">
        <w:rPr>
          <w:webHidden/>
          <w:sz w:val="20"/>
          <w:lang w:val="fr-CH"/>
        </w:rPr>
        <w:t>35</w:t>
      </w:r>
    </w:p>
    <w:p w:rsidR="00EE5FBE" w:rsidRPr="00DB496D" w:rsidRDefault="00EE5FBE" w:rsidP="00DB496D">
      <w:pPr>
        <w:pStyle w:val="TOC1"/>
        <w:rPr>
          <w:rFonts w:eastAsiaTheme="minorEastAsia"/>
          <w:sz w:val="20"/>
          <w:lang w:val="fr-CH"/>
        </w:rPr>
      </w:pPr>
      <w:r w:rsidRPr="00DB496D">
        <w:rPr>
          <w:sz w:val="20"/>
          <w:lang w:val="fr-CH"/>
        </w:rPr>
        <w:t>2</w:t>
      </w:r>
      <w:r w:rsidRPr="00DB496D">
        <w:rPr>
          <w:rFonts w:eastAsiaTheme="minorEastAsia"/>
          <w:sz w:val="20"/>
          <w:lang w:val="fr-CH"/>
        </w:rPr>
        <w:tab/>
      </w:r>
      <w:r w:rsidRPr="00DB496D">
        <w:rPr>
          <w:sz w:val="20"/>
          <w:lang w:val="fr-CH"/>
        </w:rPr>
        <w:t>Questions nécessitant un examen spécial</w:t>
      </w:r>
      <w:r w:rsidR="00DB496D">
        <w:rPr>
          <w:sz w:val="20"/>
          <w:lang w:val="fr-CH"/>
        </w:rPr>
        <w:t xml:space="preserve"> </w:t>
      </w:r>
      <w:r w:rsidRPr="00DB496D">
        <w:rPr>
          <w:webHidden/>
          <w:sz w:val="20"/>
          <w:lang w:val="fr-CH"/>
        </w:rPr>
        <w:tab/>
      </w:r>
      <w:r w:rsidR="00DB496D">
        <w:rPr>
          <w:webHidden/>
          <w:sz w:val="20"/>
          <w:lang w:val="fr-CH"/>
        </w:rPr>
        <w:tab/>
      </w:r>
      <w:r w:rsidR="00DB496D" w:rsidRPr="00DB496D">
        <w:rPr>
          <w:webHidden/>
          <w:sz w:val="20"/>
          <w:lang w:val="fr-CH"/>
        </w:rPr>
        <w:t>35</w:t>
      </w:r>
    </w:p>
    <w:p w:rsidR="00EE5FBE" w:rsidRPr="00DB496D" w:rsidRDefault="00EE5FBE" w:rsidP="00DB496D">
      <w:pPr>
        <w:pStyle w:val="TOC2"/>
        <w:rPr>
          <w:rFonts w:eastAsiaTheme="minorEastAsia"/>
          <w:sz w:val="20"/>
          <w:lang w:val="fr-CH"/>
        </w:rPr>
      </w:pPr>
      <w:r w:rsidRPr="00DB496D">
        <w:rPr>
          <w:sz w:val="20"/>
          <w:lang w:val="fr-CH"/>
        </w:rPr>
        <w:t>2.1</w:t>
      </w:r>
      <w:r w:rsidRPr="00DB496D">
        <w:rPr>
          <w:rFonts w:eastAsiaTheme="minorEastAsia"/>
          <w:sz w:val="20"/>
          <w:lang w:val="fr-CH"/>
        </w:rPr>
        <w:tab/>
      </w:r>
      <w:r w:rsidRPr="00DB496D">
        <w:rPr>
          <w:sz w:val="20"/>
          <w:lang w:val="fr-CH"/>
        </w:rPr>
        <w:t>Prédiction des intensités de champ de radiodiffusion</w:t>
      </w:r>
      <w:r w:rsidR="00DB496D">
        <w:rPr>
          <w:sz w:val="20"/>
          <w:lang w:val="fr-CH"/>
        </w:rPr>
        <w:t xml:space="preserve"> </w:t>
      </w:r>
      <w:r w:rsidRPr="00DB496D">
        <w:rPr>
          <w:webHidden/>
          <w:sz w:val="20"/>
          <w:lang w:val="fr-CH"/>
        </w:rPr>
        <w:tab/>
      </w:r>
      <w:r w:rsidR="00DB496D">
        <w:rPr>
          <w:webHidden/>
          <w:sz w:val="20"/>
          <w:lang w:val="fr-CH"/>
        </w:rPr>
        <w:tab/>
      </w:r>
      <w:r w:rsidR="00DB496D" w:rsidRPr="00DB496D">
        <w:rPr>
          <w:webHidden/>
          <w:sz w:val="20"/>
          <w:lang w:val="fr-CH"/>
        </w:rPr>
        <w:t>35</w:t>
      </w:r>
    </w:p>
    <w:p w:rsidR="00EE5FBE" w:rsidRPr="00DB496D" w:rsidRDefault="00EE5FBE" w:rsidP="00DB496D">
      <w:pPr>
        <w:pStyle w:val="TOC2"/>
        <w:rPr>
          <w:rFonts w:eastAsiaTheme="minorEastAsia"/>
          <w:sz w:val="20"/>
          <w:lang w:val="fr-CH"/>
        </w:rPr>
      </w:pPr>
      <w:r w:rsidRPr="00DB496D">
        <w:rPr>
          <w:sz w:val="20"/>
          <w:lang w:val="fr-CH"/>
        </w:rPr>
        <w:t>2.2</w:t>
      </w:r>
      <w:r w:rsidRPr="00DB496D">
        <w:rPr>
          <w:rFonts w:eastAsiaTheme="minorEastAsia"/>
          <w:sz w:val="20"/>
          <w:lang w:val="fr-CH"/>
        </w:rPr>
        <w:tab/>
      </w:r>
      <w:r w:rsidRPr="00DB496D">
        <w:rPr>
          <w:sz w:val="20"/>
          <w:lang w:val="fr-CH"/>
        </w:rPr>
        <w:t>Examen des points de mesure</w:t>
      </w:r>
      <w:r w:rsidR="00DB496D">
        <w:rPr>
          <w:sz w:val="20"/>
          <w:lang w:val="fr-CH"/>
        </w:rPr>
        <w:t xml:space="preserve"> </w:t>
      </w:r>
      <w:r w:rsidRPr="00DB496D">
        <w:rPr>
          <w:webHidden/>
          <w:sz w:val="20"/>
          <w:lang w:val="fr-CH"/>
        </w:rPr>
        <w:tab/>
      </w:r>
      <w:r w:rsidR="00DB496D">
        <w:rPr>
          <w:webHidden/>
          <w:sz w:val="20"/>
          <w:lang w:val="fr-CH"/>
        </w:rPr>
        <w:tab/>
      </w:r>
      <w:r w:rsidR="00DB496D" w:rsidRPr="00DB496D">
        <w:rPr>
          <w:webHidden/>
          <w:sz w:val="20"/>
          <w:lang w:val="fr-CH"/>
        </w:rPr>
        <w:t>36</w:t>
      </w:r>
    </w:p>
    <w:p w:rsidR="00EE5FBE" w:rsidRPr="00DB496D" w:rsidRDefault="00EE5FBE" w:rsidP="00DB496D">
      <w:pPr>
        <w:pStyle w:val="TOC2"/>
        <w:rPr>
          <w:rFonts w:eastAsiaTheme="minorEastAsia"/>
          <w:sz w:val="20"/>
          <w:lang w:val="fr-CH"/>
        </w:rPr>
      </w:pPr>
      <w:r w:rsidRPr="00DB496D">
        <w:rPr>
          <w:sz w:val="20"/>
          <w:lang w:val="fr-CH"/>
        </w:rPr>
        <w:t>2.3</w:t>
      </w:r>
      <w:r w:rsidRPr="00DB496D">
        <w:rPr>
          <w:rFonts w:eastAsiaTheme="minorEastAsia"/>
          <w:sz w:val="20"/>
          <w:lang w:val="fr-CH"/>
        </w:rPr>
        <w:tab/>
      </w:r>
      <w:r w:rsidRPr="00DB496D">
        <w:rPr>
          <w:sz w:val="20"/>
          <w:lang w:val="fr-CH"/>
        </w:rPr>
        <w:t>Examen des stations coordonnées</w:t>
      </w:r>
      <w:r w:rsidR="00DB496D">
        <w:rPr>
          <w:sz w:val="20"/>
          <w:lang w:val="fr-CH"/>
        </w:rPr>
        <w:t xml:space="preserve"> </w:t>
      </w:r>
      <w:r w:rsidRPr="00DB496D">
        <w:rPr>
          <w:webHidden/>
          <w:sz w:val="20"/>
          <w:lang w:val="fr-CH"/>
        </w:rPr>
        <w:tab/>
      </w:r>
      <w:r w:rsidR="00DB496D">
        <w:rPr>
          <w:webHidden/>
          <w:sz w:val="20"/>
          <w:lang w:val="fr-CH"/>
        </w:rPr>
        <w:tab/>
      </w:r>
      <w:r w:rsidR="00DB496D" w:rsidRPr="00DB496D">
        <w:rPr>
          <w:webHidden/>
          <w:sz w:val="20"/>
          <w:lang w:val="fr-CH"/>
        </w:rPr>
        <w:t>36</w:t>
      </w:r>
    </w:p>
    <w:p w:rsidR="00EE5FBE" w:rsidRPr="00DB496D" w:rsidRDefault="00EE5FBE" w:rsidP="00DB496D">
      <w:pPr>
        <w:pStyle w:val="TOC2"/>
        <w:rPr>
          <w:rFonts w:eastAsiaTheme="minorEastAsia"/>
          <w:sz w:val="20"/>
          <w:lang w:val="fr-CH"/>
        </w:rPr>
      </w:pPr>
      <w:r w:rsidRPr="00DB496D">
        <w:rPr>
          <w:sz w:val="20"/>
          <w:lang w:val="fr-CH"/>
        </w:rPr>
        <w:t>2.4</w:t>
      </w:r>
      <w:r w:rsidRPr="00DB496D">
        <w:rPr>
          <w:rFonts w:eastAsiaTheme="minorEastAsia"/>
          <w:sz w:val="20"/>
          <w:lang w:val="fr-CH"/>
        </w:rPr>
        <w:tab/>
      </w:r>
      <w:r w:rsidRPr="00DB496D">
        <w:rPr>
          <w:sz w:val="20"/>
          <w:lang w:val="fr-CH"/>
        </w:rPr>
        <w:t>Examen des stations exploitées</w:t>
      </w:r>
      <w:r w:rsidR="00DB496D">
        <w:rPr>
          <w:sz w:val="20"/>
          <w:lang w:val="fr-CH"/>
        </w:rPr>
        <w:t xml:space="preserve"> </w:t>
      </w:r>
      <w:r w:rsidR="00DB496D">
        <w:rPr>
          <w:sz w:val="20"/>
          <w:lang w:val="fr-CH"/>
        </w:rPr>
        <w:tab/>
      </w:r>
      <w:r w:rsidR="00DB496D">
        <w:rPr>
          <w:sz w:val="20"/>
          <w:lang w:val="fr-CH"/>
        </w:rPr>
        <w:tab/>
      </w:r>
      <w:r w:rsidR="00DB496D" w:rsidRPr="00DB496D">
        <w:rPr>
          <w:webHidden/>
          <w:sz w:val="20"/>
          <w:lang w:val="fr-CH"/>
        </w:rPr>
        <w:t>36</w:t>
      </w:r>
    </w:p>
    <w:p w:rsidR="00EE5FBE" w:rsidRPr="00DB496D" w:rsidRDefault="00EE5FBE" w:rsidP="00DB496D">
      <w:pPr>
        <w:pStyle w:val="TOC1"/>
        <w:rPr>
          <w:rFonts w:eastAsiaTheme="minorEastAsia"/>
          <w:sz w:val="20"/>
          <w:lang w:val="fr-CH"/>
        </w:rPr>
      </w:pPr>
      <w:r w:rsidRPr="00DB496D">
        <w:rPr>
          <w:sz w:val="20"/>
          <w:lang w:val="fr-CH"/>
        </w:rPr>
        <w:t>3</w:t>
      </w:r>
      <w:r w:rsidRPr="00DB496D">
        <w:rPr>
          <w:rFonts w:eastAsiaTheme="minorEastAsia"/>
          <w:sz w:val="20"/>
          <w:lang w:val="fr-CH"/>
        </w:rPr>
        <w:tab/>
      </w:r>
      <w:r w:rsidRPr="00DB496D">
        <w:rPr>
          <w:sz w:val="20"/>
          <w:lang w:val="fr-CH"/>
        </w:rPr>
        <w:t>Brouillage multiple</w:t>
      </w:r>
      <w:r w:rsidR="00DB496D">
        <w:rPr>
          <w:sz w:val="20"/>
          <w:lang w:val="fr-CH"/>
        </w:rPr>
        <w:t xml:space="preserve"> </w:t>
      </w:r>
      <w:r w:rsidRPr="00DB496D">
        <w:rPr>
          <w:webHidden/>
          <w:sz w:val="20"/>
          <w:lang w:val="fr-CH"/>
        </w:rPr>
        <w:tab/>
      </w:r>
      <w:r w:rsidR="00DB496D">
        <w:rPr>
          <w:webHidden/>
          <w:sz w:val="20"/>
          <w:lang w:val="fr-CH"/>
        </w:rPr>
        <w:tab/>
      </w:r>
      <w:r w:rsidR="00DB496D" w:rsidRPr="00DB496D">
        <w:rPr>
          <w:webHidden/>
          <w:sz w:val="20"/>
          <w:lang w:val="fr-CH"/>
        </w:rPr>
        <w:t>37</w:t>
      </w:r>
    </w:p>
    <w:p w:rsidR="00EE5FBE" w:rsidRPr="00DB496D" w:rsidRDefault="00EE5FBE" w:rsidP="00DB496D">
      <w:pPr>
        <w:pStyle w:val="TOC1"/>
        <w:rPr>
          <w:rFonts w:eastAsiaTheme="minorEastAsia"/>
          <w:sz w:val="20"/>
          <w:lang w:val="fr-CH"/>
        </w:rPr>
      </w:pPr>
      <w:r w:rsidRPr="00DB496D">
        <w:rPr>
          <w:sz w:val="20"/>
          <w:lang w:val="fr-CH"/>
        </w:rPr>
        <w:t>4</w:t>
      </w:r>
      <w:r w:rsidRPr="00DB496D">
        <w:rPr>
          <w:rFonts w:eastAsiaTheme="minorEastAsia"/>
          <w:sz w:val="20"/>
          <w:lang w:val="fr-CH"/>
        </w:rPr>
        <w:tab/>
      </w:r>
      <w:r w:rsidRPr="00DB496D">
        <w:rPr>
          <w:sz w:val="20"/>
          <w:lang w:val="fr-CH"/>
        </w:rPr>
        <w:t>Evaluation détaillée de la compatibilité</w:t>
      </w:r>
      <w:r w:rsidR="00DB496D">
        <w:rPr>
          <w:sz w:val="20"/>
          <w:lang w:val="fr-CH"/>
        </w:rPr>
        <w:t xml:space="preserve"> </w:t>
      </w:r>
      <w:r w:rsidRPr="00DB496D">
        <w:rPr>
          <w:webHidden/>
          <w:sz w:val="20"/>
          <w:lang w:val="fr-CH"/>
        </w:rPr>
        <w:tab/>
      </w:r>
      <w:r w:rsidR="00DB496D">
        <w:rPr>
          <w:webHidden/>
          <w:sz w:val="20"/>
          <w:lang w:val="fr-CH"/>
        </w:rPr>
        <w:tab/>
      </w:r>
      <w:r w:rsidR="00DB496D" w:rsidRPr="00DB496D">
        <w:rPr>
          <w:webHidden/>
          <w:sz w:val="20"/>
          <w:lang w:val="fr-CH"/>
        </w:rPr>
        <w:t>37</w:t>
      </w:r>
    </w:p>
    <w:p w:rsidR="00EE5FBE" w:rsidRPr="00DB496D" w:rsidRDefault="00EE5FBE" w:rsidP="00DB496D">
      <w:pPr>
        <w:pStyle w:val="TOC1"/>
        <w:rPr>
          <w:rFonts w:eastAsiaTheme="minorEastAsia"/>
          <w:sz w:val="20"/>
          <w:lang w:val="fr-CH"/>
        </w:rPr>
      </w:pPr>
      <w:r w:rsidRPr="00DB496D">
        <w:rPr>
          <w:sz w:val="20"/>
          <w:lang w:val="fr-CH"/>
        </w:rPr>
        <w:t>5</w:t>
      </w:r>
      <w:r w:rsidRPr="00DB496D">
        <w:rPr>
          <w:rFonts w:eastAsiaTheme="minorEastAsia"/>
          <w:sz w:val="20"/>
          <w:lang w:val="fr-CH"/>
        </w:rPr>
        <w:tab/>
      </w:r>
      <w:r w:rsidRPr="00DB496D">
        <w:rPr>
          <w:sz w:val="20"/>
          <w:lang w:val="fr-CH"/>
        </w:rPr>
        <w:t>Processus de vérification pratique</w:t>
      </w:r>
      <w:r w:rsidR="00DB496D">
        <w:rPr>
          <w:sz w:val="20"/>
          <w:lang w:val="fr-CH"/>
        </w:rPr>
        <w:t xml:space="preserve"> </w:t>
      </w:r>
      <w:r w:rsidRPr="00DB496D">
        <w:rPr>
          <w:webHidden/>
          <w:sz w:val="20"/>
          <w:lang w:val="fr-CH"/>
        </w:rPr>
        <w:tab/>
      </w:r>
      <w:r w:rsidR="00DB496D">
        <w:rPr>
          <w:webHidden/>
          <w:sz w:val="20"/>
          <w:lang w:val="fr-CH"/>
        </w:rPr>
        <w:tab/>
      </w:r>
      <w:r w:rsidR="00DB496D" w:rsidRPr="00DB496D">
        <w:rPr>
          <w:webHidden/>
          <w:sz w:val="20"/>
          <w:lang w:val="fr-CH"/>
        </w:rPr>
        <w:t>37</w:t>
      </w:r>
    </w:p>
    <w:p w:rsidR="00EE5FBE" w:rsidRPr="00DB496D" w:rsidRDefault="00EE5FBE" w:rsidP="00DB496D">
      <w:pPr>
        <w:pStyle w:val="TOC1"/>
        <w:rPr>
          <w:rFonts w:eastAsiaTheme="minorEastAsia"/>
          <w:sz w:val="20"/>
          <w:lang w:val="fr-CH"/>
        </w:rPr>
      </w:pPr>
      <w:r w:rsidRPr="00DB496D">
        <w:rPr>
          <w:sz w:val="20"/>
          <w:lang w:val="fr-CH"/>
        </w:rPr>
        <w:t>6</w:t>
      </w:r>
      <w:r w:rsidRPr="00DB496D">
        <w:rPr>
          <w:rFonts w:eastAsiaTheme="minorEastAsia"/>
          <w:sz w:val="20"/>
          <w:lang w:val="fr-CH"/>
        </w:rPr>
        <w:tab/>
      </w:r>
      <w:r w:rsidRPr="00DB496D">
        <w:rPr>
          <w:sz w:val="20"/>
          <w:lang w:val="fr-CH"/>
        </w:rPr>
        <w:t>Résumé</w:t>
      </w:r>
      <w:r w:rsidR="00DB496D">
        <w:rPr>
          <w:sz w:val="20"/>
          <w:lang w:val="fr-CH"/>
        </w:rPr>
        <w:t xml:space="preserve"> </w:t>
      </w:r>
      <w:r w:rsidRPr="00DB496D">
        <w:rPr>
          <w:webHidden/>
          <w:sz w:val="20"/>
          <w:lang w:val="fr-CH"/>
        </w:rPr>
        <w:tab/>
      </w:r>
      <w:r w:rsidR="00DB496D">
        <w:rPr>
          <w:webHidden/>
          <w:sz w:val="20"/>
          <w:lang w:val="fr-CH"/>
        </w:rPr>
        <w:tab/>
      </w:r>
      <w:r w:rsidR="00DB496D" w:rsidRPr="00DB496D">
        <w:rPr>
          <w:webHidden/>
          <w:sz w:val="20"/>
          <w:lang w:val="fr-CH"/>
        </w:rPr>
        <w:t>38</w:t>
      </w:r>
    </w:p>
    <w:p w:rsidR="002D679B" w:rsidRPr="002D679B" w:rsidRDefault="002D679B" w:rsidP="00DB496D">
      <w:pPr>
        <w:spacing w:before="136"/>
        <w:rPr>
          <w:sz w:val="20"/>
        </w:rPr>
      </w:pPr>
    </w:p>
    <w:p w:rsidR="002D679B" w:rsidRPr="002D679B" w:rsidRDefault="002D679B" w:rsidP="001F6663">
      <w:pPr>
        <w:pStyle w:val="Heading1"/>
      </w:pPr>
      <w:bookmarkStart w:id="97" w:name="_Toc289760539"/>
      <w:bookmarkStart w:id="98" w:name="_Toc289760879"/>
      <w:bookmarkStart w:id="99" w:name="_Toc289761217"/>
      <w:r w:rsidRPr="002D679B">
        <w:t>1</w:t>
      </w:r>
      <w:r w:rsidRPr="002D679B">
        <w:tab/>
        <w:t>Introduction</w:t>
      </w:r>
      <w:bookmarkEnd w:id="97"/>
      <w:bookmarkEnd w:id="98"/>
      <w:bookmarkEnd w:id="99"/>
    </w:p>
    <w:p w:rsidR="002D679B" w:rsidRPr="002D679B" w:rsidRDefault="002D679B" w:rsidP="001F6663">
      <w:pPr>
        <w:keepNext/>
        <w:keepLines/>
        <w:spacing w:before="136"/>
        <w:rPr>
          <w:sz w:val="20"/>
        </w:rPr>
      </w:pPr>
      <w:r w:rsidRPr="002D679B">
        <w:rPr>
          <w:sz w:val="20"/>
        </w:rPr>
        <w:t>La méthode d'évaluation générale (MEG) prédit un plus grand nombre d'incompatibilités potentielles avec le service de radionavigation aéronautique qu'il ne peut s'en produire en pratique. Les résultats d'essais de corrélation montrent cependant que, lorsqu'on utilise des données mesurées dans une analyse de compatibilité, les résultats calculés peuvent être en relation étroite avec l'expérience pratique. Ainsi, l'utilisation de données mesurées améliorera la précision d'une analyse de compatibilité.</w:t>
      </w:r>
    </w:p>
    <w:p w:rsidR="002D679B" w:rsidRPr="002D679B" w:rsidRDefault="002D679B" w:rsidP="002D679B">
      <w:pPr>
        <w:spacing w:before="136"/>
        <w:rPr>
          <w:sz w:val="20"/>
        </w:rPr>
      </w:pPr>
      <w:r w:rsidRPr="002D679B">
        <w:rPr>
          <w:sz w:val="20"/>
        </w:rPr>
        <w:t xml:space="preserve">En prolongement de la MEG, on pourra conduire une analyse détaillée au cas par cas, au moyen de paramètres issus de modèles possédant des degrés de précision plus élevés. On pourra utiliser ces modèles séparément ou en combinaison. Ils se rapprochent de l'expérience concrète lorsque les valeurs calculées des paramètres individuels se calquent plus étroitement sur les valeurs mesurées. L'avantage de cette méthode de modélisation est qu'elle offre d'efficaces possibilités d'analyse de compatibilité et qu'elle peut fournir des résultats précis, ce qui peut éviter la nécessité d'effectuer des mesures en vol approfondies, avec les difficultés pratiques que cela suppose. </w:t>
      </w:r>
    </w:p>
    <w:p w:rsidR="002D679B" w:rsidRPr="002D679B" w:rsidRDefault="002D679B" w:rsidP="00F47624">
      <w:pPr>
        <w:pStyle w:val="Heading1"/>
      </w:pPr>
      <w:bookmarkStart w:id="100" w:name="_Toc289760540"/>
      <w:bookmarkStart w:id="101" w:name="_Toc289760880"/>
      <w:bookmarkStart w:id="102" w:name="_Toc289761218"/>
      <w:r w:rsidRPr="002D679B">
        <w:t>2</w:t>
      </w:r>
      <w:r w:rsidRPr="002D679B">
        <w:tab/>
        <w:t>Questions nécessitant un examen spécial</w:t>
      </w:r>
      <w:bookmarkEnd w:id="100"/>
      <w:bookmarkEnd w:id="101"/>
      <w:bookmarkEnd w:id="102"/>
    </w:p>
    <w:p w:rsidR="002D679B" w:rsidRPr="00F47624" w:rsidRDefault="002D679B" w:rsidP="00F47624">
      <w:pPr>
        <w:pStyle w:val="Heading2"/>
        <w:rPr>
          <w:sz w:val="22"/>
          <w:szCs w:val="22"/>
        </w:rPr>
      </w:pPr>
      <w:bookmarkStart w:id="103" w:name="_Toc289761219"/>
      <w:r w:rsidRPr="00F47624">
        <w:rPr>
          <w:sz w:val="22"/>
          <w:szCs w:val="22"/>
        </w:rPr>
        <w:t>2.1</w:t>
      </w:r>
      <w:r w:rsidRPr="00F47624">
        <w:rPr>
          <w:sz w:val="22"/>
          <w:szCs w:val="22"/>
        </w:rPr>
        <w:tab/>
        <w:t>Prédiction des intensités de champ de radiodiffusion</w:t>
      </w:r>
      <w:bookmarkEnd w:id="103"/>
    </w:p>
    <w:p w:rsidR="002D679B" w:rsidRPr="002D679B" w:rsidRDefault="002D679B" w:rsidP="00B45125">
      <w:pPr>
        <w:spacing w:before="136"/>
        <w:rPr>
          <w:sz w:val="20"/>
        </w:rPr>
      </w:pPr>
      <w:r w:rsidRPr="002D679B">
        <w:rPr>
          <w:sz w:val="20"/>
        </w:rPr>
        <w:t>Dans la MEG, la prédiction des intensités de champ de radiodiffusion est fondée sur la propagation des ondes en espace libre. Les mesures ont cependant montré que les prédictions de propagation en espace libre peuvent conduire à une surestimation notable si les antennes d'émission comme de réception sont à faible hauteur (par exemple moins de 150</w:t>
      </w:r>
      <w:r w:rsidR="00B45125">
        <w:rPr>
          <w:sz w:val="20"/>
        </w:rPr>
        <w:t> </w:t>
      </w:r>
      <w:r w:rsidRPr="002D679B">
        <w:rPr>
          <w:sz w:val="20"/>
        </w:rPr>
        <w:t>m) au</w:t>
      </w:r>
      <w:r w:rsidRPr="002D679B">
        <w:rPr>
          <w:sz w:val="20"/>
        </w:rPr>
        <w:noBreakHyphen/>
        <w:t>dessus du sol.</w:t>
      </w:r>
    </w:p>
    <w:p w:rsidR="002D679B" w:rsidRPr="002D679B" w:rsidRDefault="002D679B" w:rsidP="002D679B">
      <w:pPr>
        <w:spacing w:before="136"/>
        <w:rPr>
          <w:sz w:val="20"/>
        </w:rPr>
      </w:pPr>
      <w:r w:rsidRPr="002D679B">
        <w:rPr>
          <w:sz w:val="20"/>
        </w:rPr>
        <w:t>En général, il n'est pas possible d'effectuer des calculs plus réalistes que ceux qui sont fondés sur la propagation en espace libre car on ne dispose pas toujours de renseignements suffisants quant au trajet radioélectrique entre l'antenne de la station de radiodiffusion et le point de mesure. Il faut en particulier connaître le profil du terrain le long de ce trajet. Mais si l'on dispose de ces informations, par exemple en provenance d'une banque de données géographiques, on peut effectuer des calculs plus réalistes d'intensité de champ. Pour les raisons évoquées plus haut, il faut s'attendre à ce que les valeurs d'intensité de champ calculées par une méthode fine (en particulier pour les trajets de propagation avec peu de dégagement) soient notablement plus faibles que les valeurs obtenues en supposant seulement une propagation en espace libre. Dans ces circonstances, des méthodes de calcul d'intensité de champ plus fines aboutiront à une réduction importante des probabilités d'incompatibilité.</w:t>
      </w:r>
    </w:p>
    <w:p w:rsidR="002D679B" w:rsidRPr="00F47624" w:rsidRDefault="002D679B" w:rsidP="00F47624">
      <w:pPr>
        <w:pStyle w:val="Heading2"/>
        <w:rPr>
          <w:sz w:val="22"/>
          <w:szCs w:val="22"/>
        </w:rPr>
      </w:pPr>
      <w:bookmarkStart w:id="104" w:name="_Toc289761220"/>
      <w:r w:rsidRPr="00F47624">
        <w:rPr>
          <w:sz w:val="22"/>
          <w:szCs w:val="22"/>
        </w:rPr>
        <w:t>2.2</w:t>
      </w:r>
      <w:r w:rsidRPr="00F47624">
        <w:rPr>
          <w:sz w:val="22"/>
          <w:szCs w:val="22"/>
        </w:rPr>
        <w:tab/>
        <w:t>Examen des points de mesure</w:t>
      </w:r>
      <w:bookmarkEnd w:id="104"/>
    </w:p>
    <w:p w:rsidR="002D679B" w:rsidRPr="002D679B" w:rsidRDefault="002D679B" w:rsidP="002D679B">
      <w:pPr>
        <w:spacing w:before="136"/>
        <w:rPr>
          <w:sz w:val="20"/>
        </w:rPr>
      </w:pPr>
      <w:r w:rsidRPr="002D679B">
        <w:rPr>
          <w:sz w:val="20"/>
        </w:rPr>
        <w:t>Lorsqu'on entreprend une analyse détaillée de compatibilité pour un point de mesure quelconque sur lequel la MEG a signalé une incompatibilité potentielle, il convient de veiller à contrôler la validité de ce point de mesure par rapport au volume du service aéronautique. Comme la MEG construit automatiquement ses points de mesure, il se peut que certains de ces points coïncident avec des emplacements où, conformément aux publications d'informations aéronautiques: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l'aéronef n'est pas en mesure de naviguer en raison d'obstacles naturels ou artificiels;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l'aéronef n'est pas autorisé à naviguer en raison de restrictions de vol spécifiques;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il est conseillé aux pilotes de ne pas utiliser l'équipement de navigation aéronautique parce que l'on sait qu'il donnera des résultats non fiables dans cette zone.</w:t>
      </w:r>
    </w:p>
    <w:p w:rsidR="002D679B" w:rsidRPr="002D679B" w:rsidRDefault="002D679B" w:rsidP="002D679B">
      <w:pPr>
        <w:spacing w:before="136"/>
        <w:rPr>
          <w:sz w:val="20"/>
        </w:rPr>
      </w:pPr>
      <w:r w:rsidRPr="002D679B">
        <w:rPr>
          <w:sz w:val="20"/>
        </w:rPr>
        <w:t>Il peut aussi y avoir des circonstances dans lesquelles les points de mesure déterminés par la MEG se trouvent au</w:t>
      </w:r>
      <w:r w:rsidRPr="002D679B">
        <w:rPr>
          <w:sz w:val="20"/>
        </w:rPr>
        <w:noBreakHyphen/>
        <w:t>dessous, donc en dehors, de la COS d'un équipement VOR. Cela est particulièrement susceptible de se produire avec les installations VOR de très faible puissance.</w:t>
      </w:r>
    </w:p>
    <w:p w:rsidR="002D679B" w:rsidRPr="00F47624" w:rsidRDefault="002D679B" w:rsidP="00F47624">
      <w:pPr>
        <w:pStyle w:val="Heading2"/>
        <w:rPr>
          <w:sz w:val="22"/>
          <w:szCs w:val="22"/>
        </w:rPr>
      </w:pPr>
      <w:bookmarkStart w:id="105" w:name="_Toc289761221"/>
      <w:r w:rsidRPr="00F47624">
        <w:rPr>
          <w:sz w:val="22"/>
          <w:szCs w:val="22"/>
        </w:rPr>
        <w:t>2.3</w:t>
      </w:r>
      <w:r w:rsidRPr="00F47624">
        <w:rPr>
          <w:sz w:val="22"/>
          <w:szCs w:val="22"/>
        </w:rPr>
        <w:tab/>
        <w:t>Examen des stations coordonnées</w:t>
      </w:r>
      <w:bookmarkEnd w:id="105"/>
    </w:p>
    <w:p w:rsidR="002D679B" w:rsidRPr="002D679B" w:rsidRDefault="002D679B" w:rsidP="002D679B">
      <w:pPr>
        <w:spacing w:before="136"/>
        <w:rPr>
          <w:sz w:val="20"/>
        </w:rPr>
      </w:pPr>
      <w:r w:rsidRPr="002D679B">
        <w:rPr>
          <w:sz w:val="20"/>
        </w:rPr>
        <w:t>Un très grand nombre de stations de service aéronautique et de radiodiffusion ont été coordonnées entre les administrations au moyen de critères de compatibilité autres que ceux qui figurent dans l'Annexe 1. Dans la Région 1 et dans certains pays de la Région 3, les critères de l'Accord de Genève (1984) sont par exemple utilisés depuis de nombreuses années. Les calculs effectués au moyen de la MEG et au moyen des critères de brouillage de type B1 pour les récepteurs de type Montréal définis dans l'Annexe 1, révéleront dans la plupart des cas, moins de brouillages potentiels que les calculs utilisant les critères de l'Accord de Genève (1984). Cependant, dans certains cas, le nombre de brouillages potentiels sera supérieur. Les zones hachurées de la Fig. 9 représentent les gammes de fréquences pour les stations aéronautiques et de radiodiffusion dans lesquelles on peut calculer une plus grande probabilité de brouillage. Comme certaines hypothèses du cas le moins favorable font partie intégrante de la MEG, il faut s'attendre à ce que, dans la grande majorité des cas où la MEG indique plus de brouillages potentiels, une évaluation plus détaillée de la compatibilité (tenant compte des propositions de la présente Annexe) révélera qu'en pratique il n'y aura pas de diminution de la compatibilité. L'emploi d'intensités de champ réalistes pour les services aéronautiques et de radiodiffusion, au lieu de valeurs minimales pour les premiers ou de valeurs en espace libre pour les seconds, se traduira par une notable réduction des brouillages potentiels calculés.</w:t>
      </w:r>
    </w:p>
    <w:p w:rsidR="002D679B" w:rsidRPr="002D679B" w:rsidRDefault="002D679B" w:rsidP="002D679B">
      <w:pPr>
        <w:spacing w:before="0"/>
        <w:rPr>
          <w:sz w:val="20"/>
        </w:rPr>
      </w:pPr>
    </w:p>
    <w:p w:rsidR="002D679B" w:rsidRPr="002D679B" w:rsidRDefault="002D679B" w:rsidP="002D679B">
      <w:pPr>
        <w:spacing w:before="136"/>
        <w:jc w:val="center"/>
        <w:rPr>
          <w:sz w:val="20"/>
          <w:lang w:val="en-US"/>
        </w:rPr>
      </w:pPr>
      <w:r>
        <w:rPr>
          <w:noProof/>
          <w:sz w:val="20"/>
          <w:lang w:val="fr-CH" w:eastAsia="fr-CH"/>
        </w:rPr>
        <w:drawing>
          <wp:inline distT="0" distB="0" distL="0" distR="0" wp14:anchorId="6FBF7B25" wp14:editId="1FE42644">
            <wp:extent cx="4862830" cy="15436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62830" cy="1543685"/>
                    </a:xfrm>
                    <a:prstGeom prst="rect">
                      <a:avLst/>
                    </a:prstGeom>
                    <a:noFill/>
                    <a:ln>
                      <a:noFill/>
                    </a:ln>
                  </pic:spPr>
                </pic:pic>
              </a:graphicData>
            </a:graphic>
          </wp:inline>
        </w:drawing>
      </w:r>
    </w:p>
    <w:p w:rsidR="002D679B" w:rsidRPr="002D679B" w:rsidRDefault="002D679B" w:rsidP="002D679B">
      <w:pPr>
        <w:spacing w:before="136"/>
        <w:jc w:val="left"/>
        <w:rPr>
          <w:color w:val="FFFFFF"/>
          <w:sz w:val="20"/>
        </w:rPr>
      </w:pPr>
      <w:r w:rsidRPr="002D679B">
        <w:rPr>
          <w:color w:val="FFFFFF"/>
          <w:sz w:val="20"/>
        </w:rPr>
        <w:t>FIGURE 9/1009...</w:t>
      </w:r>
      <w:r w:rsidRPr="002D679B">
        <w:rPr>
          <w:b/>
          <w:color w:val="FFFFFF"/>
          <w:sz w:val="20"/>
        </w:rPr>
        <w:t>[D09]</w:t>
      </w:r>
      <w:r w:rsidRPr="002D679B">
        <w:rPr>
          <w:color w:val="FFFFFF"/>
          <w:sz w:val="20"/>
        </w:rPr>
        <w:t xml:space="preserve">  </w:t>
      </w:r>
      <w:r w:rsidRPr="002D679B">
        <w:rPr>
          <w:rFonts w:ascii="Symbol" w:hAnsi="Symbol"/>
          <w:color w:val="FFFFFF"/>
          <w:sz w:val="20"/>
          <w:lang w:val="en-US"/>
        </w:rPr>
        <w:t></w:t>
      </w:r>
      <w:r w:rsidRPr="002D679B">
        <w:rPr>
          <w:color w:val="FFFFFF"/>
          <w:sz w:val="20"/>
        </w:rPr>
        <w:t xml:space="preserve"> 4 CM </w:t>
      </w:r>
    </w:p>
    <w:p w:rsidR="002D679B" w:rsidRPr="002D679B" w:rsidRDefault="002D679B" w:rsidP="002D679B">
      <w:pPr>
        <w:spacing w:before="136"/>
        <w:rPr>
          <w:sz w:val="20"/>
        </w:rPr>
      </w:pPr>
      <w:r w:rsidRPr="002D679B">
        <w:rPr>
          <w:sz w:val="20"/>
        </w:rPr>
        <w:t>La partie hachurée représente la gamme de fréquences dans laquelle le récepteur de type Montréal peut présenter plus de probabilités de brouillage de type B1 que le récepteur GE84.</w:t>
      </w:r>
    </w:p>
    <w:p w:rsidR="002D679B" w:rsidRPr="002D679B" w:rsidRDefault="002D679B" w:rsidP="002D679B">
      <w:pPr>
        <w:spacing w:before="136"/>
        <w:rPr>
          <w:sz w:val="20"/>
        </w:rPr>
      </w:pPr>
      <w:r w:rsidRPr="002D679B">
        <w:rPr>
          <w:sz w:val="20"/>
        </w:rPr>
        <w:t>Il peut y avoir des cas où l'analyse plus détaillée ne permet pas de retrouver les valeurs de compatibilité précédemment calculées. Si les incompatibilités sont confirmées, au moyen d'essais en vol par exemple, chaque administration responsable doit impérativement prendre les mesures nécessaires pour assurer la compatibilité.</w:t>
      </w:r>
    </w:p>
    <w:p w:rsidR="002D679B" w:rsidRPr="00F47624" w:rsidRDefault="002D679B" w:rsidP="00F47624">
      <w:pPr>
        <w:pStyle w:val="Heading2"/>
        <w:rPr>
          <w:sz w:val="22"/>
          <w:szCs w:val="22"/>
        </w:rPr>
      </w:pPr>
      <w:bookmarkStart w:id="106" w:name="_Toc289761222"/>
      <w:r w:rsidRPr="00F47624">
        <w:rPr>
          <w:sz w:val="22"/>
          <w:szCs w:val="22"/>
        </w:rPr>
        <w:t>2.4</w:t>
      </w:r>
      <w:r w:rsidRPr="00F47624">
        <w:rPr>
          <w:sz w:val="22"/>
          <w:szCs w:val="22"/>
        </w:rPr>
        <w:tab/>
        <w:t>Examen des stations exploitées</w:t>
      </w:r>
      <w:bookmarkEnd w:id="106"/>
    </w:p>
    <w:p w:rsidR="002D679B" w:rsidRPr="002D679B" w:rsidRDefault="002D679B" w:rsidP="002D679B">
      <w:pPr>
        <w:spacing w:before="136"/>
        <w:rPr>
          <w:sz w:val="20"/>
        </w:rPr>
      </w:pPr>
      <w:r w:rsidRPr="002D679B">
        <w:rPr>
          <w:sz w:val="20"/>
        </w:rPr>
        <w:t>Etant donné que la MEG a pour objet de calculer toutes les incompatibilités potentielles importantes à l'intérieur d'un volume de service aéronautique, on y a inclus un certain nombre d'hypothèses correspondant aux cas les plus défavorables. Il est donc probable qu'il y aura une surestimation des brouillages potentiels et l'on pourra constater que la MEG indique des brouillages potentiels dans des situations où les stations aéronautiques et de radiodiffusion en cause sont toutes en exploitation sans qu'un quelconque problème de brouillage semble exister en pratique. Il conviendra d'étudier de telles situations car elles pourront fournir des renseignements utiles, pouvant conduire à une amélioration de la méthode d'évaluation.</w:t>
      </w:r>
    </w:p>
    <w:p w:rsidR="002D679B" w:rsidRPr="002D679B" w:rsidRDefault="002D679B" w:rsidP="00F47624">
      <w:pPr>
        <w:pStyle w:val="Heading1"/>
      </w:pPr>
      <w:bookmarkStart w:id="107" w:name="_Toc289760541"/>
      <w:bookmarkStart w:id="108" w:name="_Toc289760881"/>
      <w:bookmarkStart w:id="109" w:name="_Toc289761223"/>
      <w:r w:rsidRPr="002D679B">
        <w:t>3</w:t>
      </w:r>
      <w:r w:rsidRPr="002D679B">
        <w:tab/>
        <w:t>Brouillage multiple</w:t>
      </w:r>
      <w:bookmarkEnd w:id="107"/>
      <w:bookmarkEnd w:id="108"/>
      <w:bookmarkEnd w:id="109"/>
    </w:p>
    <w:p w:rsidR="002D679B" w:rsidRPr="002D679B" w:rsidRDefault="002D679B" w:rsidP="002D679B">
      <w:pPr>
        <w:spacing w:before="136"/>
        <w:rPr>
          <w:sz w:val="20"/>
        </w:rPr>
      </w:pPr>
      <w:r w:rsidRPr="002D679B">
        <w:rPr>
          <w:sz w:val="20"/>
        </w:rPr>
        <w:t>Si l'on dispose de valeurs mesurées ou de prédictions suffisamment précises sur les intensités des champs utiles et brouilleurs, il faut prendre en compte les produits d'intermodulation multiples pour chaque type de brouillage. On pourra pour cela utiliser la méthode de la sommation en puissance de toutes les marges de brouillage (IM) en un point de mesure donné.</w:t>
      </w:r>
    </w:p>
    <w:p w:rsidR="002D679B" w:rsidRPr="002D679B" w:rsidRDefault="002D679B" w:rsidP="002D679B">
      <w:pPr>
        <w:spacing w:before="136"/>
        <w:rPr>
          <w:sz w:val="20"/>
        </w:rPr>
      </w:pPr>
      <w:r w:rsidRPr="002D679B">
        <w:rPr>
          <w:sz w:val="20"/>
        </w:rPr>
        <w:t xml:space="preserve">La marge de brouillage totale, </w:t>
      </w:r>
      <w:r w:rsidRPr="002D679B">
        <w:rPr>
          <w:i/>
          <w:sz w:val="20"/>
        </w:rPr>
        <w:t>IM</w:t>
      </w:r>
      <w:r w:rsidRPr="002D679B">
        <w:rPr>
          <w:sz w:val="20"/>
        </w:rPr>
        <w:t xml:space="preserve"> (dB) est donnée par la relation suivante:</w:t>
      </w:r>
    </w:p>
    <w:p w:rsidR="002D679B" w:rsidRPr="002D679B" w:rsidRDefault="002D679B" w:rsidP="002D679B">
      <w:pPr>
        <w:tabs>
          <w:tab w:val="clear" w:pos="1191"/>
          <w:tab w:val="clear" w:pos="1588"/>
          <w:tab w:val="clear" w:pos="1985"/>
          <w:tab w:val="center" w:pos="4849"/>
          <w:tab w:val="right" w:pos="9696"/>
        </w:tabs>
        <w:spacing w:before="140" w:after="40"/>
        <w:jc w:val="left"/>
        <w:rPr>
          <w:sz w:val="22"/>
        </w:rPr>
      </w:pPr>
      <w:r w:rsidRPr="002D679B">
        <w:rPr>
          <w:sz w:val="22"/>
        </w:rPr>
        <w:tab/>
      </w:r>
      <w:r w:rsidRPr="002D679B">
        <w:rPr>
          <w:sz w:val="22"/>
        </w:rPr>
        <w:tab/>
      </w:r>
      <w:r w:rsidRPr="002D679B">
        <w:rPr>
          <w:position w:val="-44"/>
          <w:sz w:val="22"/>
        </w:rPr>
        <w:object w:dxaOrig="2760" w:dyaOrig="980">
          <v:shape id="_x0000_i1035" type="#_x0000_t75" style="width:138pt;height:48.5pt" o:ole="">
            <v:imagedata r:id="rId51" o:title=""/>
          </v:shape>
          <o:OLEObject Type="Embed" ProgID="Equation.3" ShapeID="_x0000_i1035" DrawAspect="Content" ObjectID="_1649157784" r:id="rId52"/>
        </w:object>
      </w:r>
      <w:r w:rsidRPr="002D679B">
        <w:rPr>
          <w:sz w:val="22"/>
        </w:rPr>
        <w:tab/>
        <w:t>(29)</w:t>
      </w:r>
    </w:p>
    <w:p w:rsidR="002D679B" w:rsidRPr="002D679B" w:rsidRDefault="002D679B" w:rsidP="002D679B">
      <w:pPr>
        <w:spacing w:before="136"/>
        <w:rPr>
          <w:sz w:val="20"/>
        </w:rPr>
      </w:pPr>
      <w:r w:rsidRPr="002D679B">
        <w:rPr>
          <w:sz w:val="20"/>
        </w:rPr>
        <w:t>où:</w:t>
      </w:r>
    </w:p>
    <w:p w:rsidR="002D679B" w:rsidRPr="002D679B" w:rsidRDefault="002D679B" w:rsidP="002D679B">
      <w:pPr>
        <w:tabs>
          <w:tab w:val="clear" w:pos="794"/>
          <w:tab w:val="clear" w:pos="1191"/>
          <w:tab w:val="clear" w:pos="1588"/>
          <w:tab w:val="clear" w:pos="1985"/>
          <w:tab w:val="left" w:pos="397"/>
          <w:tab w:val="left" w:pos="907"/>
        </w:tabs>
        <w:spacing w:before="86"/>
        <w:ind w:left="397" w:hanging="397"/>
        <w:rPr>
          <w:sz w:val="20"/>
        </w:rPr>
      </w:pPr>
      <w:r w:rsidRPr="002D679B">
        <w:rPr>
          <w:i/>
          <w:sz w:val="20"/>
        </w:rPr>
        <w:tab/>
        <w:t>N</w:t>
      </w:r>
      <w:r w:rsidRPr="002D679B">
        <w:rPr>
          <w:rFonts w:ascii="Tms Rmn" w:hAnsi="Tms Rmn"/>
          <w:sz w:val="12"/>
        </w:rPr>
        <w:t> </w:t>
      </w:r>
      <w:r w:rsidRPr="002D679B">
        <w:rPr>
          <w:sz w:val="20"/>
        </w:rPr>
        <w:t>:</w:t>
      </w:r>
      <w:r w:rsidRPr="002D679B">
        <w:rPr>
          <w:sz w:val="20"/>
        </w:rPr>
        <w:tab/>
        <w:t>nombre de marges de brouillage individuelles</w:t>
      </w:r>
    </w:p>
    <w:p w:rsidR="002D679B" w:rsidRPr="002D679B" w:rsidRDefault="002D679B" w:rsidP="002D679B">
      <w:pPr>
        <w:tabs>
          <w:tab w:val="clear" w:pos="794"/>
          <w:tab w:val="clear" w:pos="1191"/>
          <w:tab w:val="clear" w:pos="1588"/>
          <w:tab w:val="clear" w:pos="1985"/>
          <w:tab w:val="left" w:pos="397"/>
          <w:tab w:val="left" w:pos="907"/>
        </w:tabs>
        <w:spacing w:before="86"/>
        <w:ind w:left="397" w:hanging="397"/>
        <w:rPr>
          <w:sz w:val="20"/>
        </w:rPr>
      </w:pPr>
      <w:r w:rsidRPr="002D679B">
        <w:rPr>
          <w:i/>
          <w:sz w:val="20"/>
        </w:rPr>
        <w:tab/>
        <w:t>IM</w:t>
      </w:r>
      <w:r w:rsidRPr="002D679B">
        <w:rPr>
          <w:i/>
          <w:position w:val="-4"/>
          <w:sz w:val="16"/>
        </w:rPr>
        <w:t>i</w:t>
      </w:r>
      <w:r w:rsidRPr="002D679B">
        <w:rPr>
          <w:rFonts w:ascii="Tms Rmn" w:hAnsi="Tms Rmn"/>
          <w:sz w:val="12"/>
        </w:rPr>
        <w:t> </w:t>
      </w:r>
      <w:r w:rsidRPr="002D679B">
        <w:rPr>
          <w:sz w:val="20"/>
        </w:rPr>
        <w:t>:</w:t>
      </w:r>
      <w:r w:rsidRPr="002D679B">
        <w:rPr>
          <w:sz w:val="20"/>
        </w:rPr>
        <w:tab/>
        <w:t xml:space="preserve">valeur de la </w:t>
      </w:r>
      <w:r w:rsidRPr="002D679B">
        <w:rPr>
          <w:i/>
          <w:sz w:val="20"/>
        </w:rPr>
        <w:t>i</w:t>
      </w:r>
      <w:r w:rsidRPr="002D679B">
        <w:rPr>
          <w:i/>
          <w:position w:val="6"/>
          <w:sz w:val="16"/>
        </w:rPr>
        <w:t>e</w:t>
      </w:r>
      <w:r w:rsidRPr="002D679B">
        <w:rPr>
          <w:sz w:val="18"/>
        </w:rPr>
        <w:t xml:space="preserve"> </w:t>
      </w:r>
      <w:r w:rsidRPr="002D679B">
        <w:rPr>
          <w:sz w:val="20"/>
        </w:rPr>
        <w:t>marge de brouillage.</w:t>
      </w:r>
    </w:p>
    <w:p w:rsidR="002D679B" w:rsidRPr="002D679B" w:rsidRDefault="002D679B" w:rsidP="00F47624">
      <w:pPr>
        <w:pStyle w:val="Heading1"/>
      </w:pPr>
      <w:bookmarkStart w:id="110" w:name="_Toc289760542"/>
      <w:bookmarkStart w:id="111" w:name="_Toc289760882"/>
      <w:bookmarkStart w:id="112" w:name="_Toc289761224"/>
      <w:r w:rsidRPr="002D679B">
        <w:t>4</w:t>
      </w:r>
      <w:r w:rsidRPr="002D679B">
        <w:tab/>
        <w:t>Evaluation détaillée de la compatibilité</w:t>
      </w:r>
      <w:bookmarkEnd w:id="110"/>
      <w:bookmarkEnd w:id="111"/>
      <w:bookmarkEnd w:id="112"/>
    </w:p>
    <w:p w:rsidR="002D679B" w:rsidRPr="002D679B" w:rsidRDefault="002D679B" w:rsidP="00F47624">
      <w:pPr>
        <w:keepNext/>
        <w:keepLines/>
        <w:rPr>
          <w:sz w:val="20"/>
        </w:rPr>
      </w:pPr>
      <w:r w:rsidRPr="002D679B">
        <w:rPr>
          <w:sz w:val="20"/>
        </w:rPr>
        <w:t>Des essais ont montré qu'au fur et à mesure que les valeurs prédites pour les données étaient remplacées par les valeurs mesurées, les résultats des calculs de compatibilité se rapprochaient de ceux que l'on obtient en pratique. Lorsque toutes les valeurs de données ont été remplacées dans l'analyse par des valeurs mesurées, on constate que les résultats des calculs de compatibilité sont proches des résultats d'essais de corrélation effectués en vol.</w:t>
      </w:r>
    </w:p>
    <w:p w:rsidR="002D679B" w:rsidRPr="002D679B" w:rsidRDefault="002D679B" w:rsidP="002D679B">
      <w:pPr>
        <w:spacing w:before="136"/>
        <w:rPr>
          <w:sz w:val="20"/>
        </w:rPr>
      </w:pPr>
      <w:r w:rsidRPr="002D679B">
        <w:rPr>
          <w:sz w:val="20"/>
        </w:rPr>
        <w:t>Dans une évaluation de compatibilité détaillée au cas par cas, il y aura donc lieu d'utiliser les valeurs les plus précises dont on disposera pour les données. La précision des calculs de compatibilité sera en particulier améliorée par les opérations suivantes: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remplacement du diagramme de rayonnement horizontal prédit pour une antenne de radiodiffusion par un diagramme mesuré pour l'antenne telle qu'elle est installée;</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remplacement du diagramme de rayonnement vertical prédit pour une antenne de radiodiffusion (voir le § 4 de l'Annexe 2) par le diagramme mesuré pour l'antenne telle qu'elle est installée;</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dans le cas de l'ILS, calcul du niveau de signal utile par la méthode des deux rayons (voir le § 3.2.2.3.1) plutôt que par la méthode d'interpolation (voir le § 3.2.2.3.2);</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remplacement du diagramme de rayonnement horizontal prédit pour l'antenne d'émission du radiophare d'alignement de piste ILS par le diagramme mesuré pour l'antenne telle qu'elle est installée.</w:t>
      </w:r>
    </w:p>
    <w:p w:rsidR="002D679B" w:rsidRPr="002D679B" w:rsidRDefault="002D679B" w:rsidP="002D679B">
      <w:pPr>
        <w:spacing w:before="136"/>
        <w:rPr>
          <w:sz w:val="20"/>
        </w:rPr>
      </w:pPr>
      <w:r w:rsidRPr="002D679B">
        <w:rPr>
          <w:sz w:val="20"/>
        </w:rPr>
        <w:t>On obtiendra comme suit d'autres améliorations de la précision des calculs de compatibilité:</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remplacement des niveaux prédits des signaux de radiodiffusion par des valeurs mesurées au cours d'essais en vol;</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remplacement des niveaux prédits des signaux aéronautiques par des valeurs obtenues au cours d'essais en vol.</w:t>
      </w:r>
    </w:p>
    <w:p w:rsidR="002D679B" w:rsidRPr="002D679B" w:rsidRDefault="002D679B" w:rsidP="002D679B">
      <w:pPr>
        <w:spacing w:before="136"/>
        <w:rPr>
          <w:sz w:val="20"/>
        </w:rPr>
      </w:pPr>
      <w:r w:rsidRPr="002D679B">
        <w:rPr>
          <w:sz w:val="20"/>
        </w:rPr>
        <w:t>Dans ce dernier cas, on a constaté qu'il était possible de mesurer les intensités de champ ILS le long de l'axe de la piste et d'utiliser un diagramme de rayonnement horizontal prédit ou mesuré pour l'antenne du radiophare d'alignement de piste ILS afin d'obtenir des valeurs précises des intensités de champ aux emplacements situés en dehors du prolongement de cet axe. Cela permet d'éviter des mesures approfondies dans l'ensemble de la COS de l'ILS.</w:t>
      </w:r>
    </w:p>
    <w:p w:rsidR="002D679B" w:rsidRPr="002D679B" w:rsidRDefault="002D679B" w:rsidP="00F47624">
      <w:pPr>
        <w:pStyle w:val="Heading1"/>
      </w:pPr>
      <w:bookmarkStart w:id="113" w:name="_Toc289760543"/>
      <w:bookmarkStart w:id="114" w:name="_Toc289760883"/>
      <w:bookmarkStart w:id="115" w:name="_Toc289761225"/>
      <w:r w:rsidRPr="002D679B">
        <w:t>5</w:t>
      </w:r>
      <w:r w:rsidRPr="002D679B">
        <w:tab/>
        <w:t>Processus de vérification pratique</w:t>
      </w:r>
      <w:bookmarkEnd w:id="113"/>
      <w:bookmarkEnd w:id="114"/>
      <w:bookmarkEnd w:id="115"/>
    </w:p>
    <w:p w:rsidR="002D679B" w:rsidRPr="002D679B" w:rsidRDefault="002D679B" w:rsidP="002D679B">
      <w:pPr>
        <w:spacing w:before="136"/>
        <w:rPr>
          <w:sz w:val="20"/>
        </w:rPr>
      </w:pPr>
      <w:r w:rsidRPr="002D679B">
        <w:rPr>
          <w:sz w:val="20"/>
        </w:rPr>
        <w:t>La vérification des résultats des calculs d'évaluation de compatibilité pourra prendre une des formes suivantes: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mesure des niveaux des signaux de radiodiffusion à l'entrée d'un récepteur aéronautique;</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mesure du niveau d'un signal aéronautique à l'entrée de son récepteur;</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utilisation d'un récepteur aéronautique dont les caractéristiques ont été mesurées par essais au banc compte tenu d'une gamme adéquate de signaux, de niveaux et de fréquences radiophoniques et aéronautiques; on tiendra compte également de la différence entre ces caractéristiques mesurées et les valeurs utilisées pour les calculs théoriques;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utilisation d'un aéronef dont l'antenne de réception a un diagramme de rayonnement et une réponse en fréquence qui ont été mesurés; on tiendra compte également de la différence entre ces caractéristiques mesurées et les valeurs utilisées pour les calculs théoriques.</w:t>
      </w:r>
    </w:p>
    <w:p w:rsidR="002D679B" w:rsidRPr="002D679B" w:rsidRDefault="002D679B" w:rsidP="00F47624">
      <w:pPr>
        <w:rPr>
          <w:sz w:val="20"/>
        </w:rPr>
      </w:pPr>
      <w:r w:rsidRPr="002D679B">
        <w:rPr>
          <w:sz w:val="20"/>
        </w:rPr>
        <w:t>Il importe particulièrement d'utiliser à bord des aéronefs des antennes de réception dont les caractéristiques ont été mesurées. Cela permettra d'effectuer une comparaison précise entre les valeurs d'intensité de champ prédites pour les stations de radiodiffusion et les niveaux des signaux correspondants qui se présentent à l'entrée des récepteurs aéronautiques.</w:t>
      </w:r>
    </w:p>
    <w:p w:rsidR="002D679B" w:rsidRPr="002D679B" w:rsidRDefault="002D679B" w:rsidP="00F47624">
      <w:pPr>
        <w:pStyle w:val="Heading1"/>
      </w:pPr>
      <w:bookmarkStart w:id="116" w:name="_Toc289760544"/>
      <w:bookmarkStart w:id="117" w:name="_Toc289760884"/>
      <w:bookmarkStart w:id="118" w:name="_Toc289761226"/>
      <w:r w:rsidRPr="002D679B">
        <w:t>6</w:t>
      </w:r>
      <w:r w:rsidRPr="002D679B">
        <w:tab/>
        <w:t>Résumé</w:t>
      </w:r>
      <w:bookmarkEnd w:id="116"/>
      <w:bookmarkEnd w:id="117"/>
      <w:bookmarkEnd w:id="118"/>
    </w:p>
    <w:p w:rsidR="002D679B" w:rsidRPr="002D679B" w:rsidRDefault="002D679B" w:rsidP="002D679B">
      <w:pPr>
        <w:spacing w:before="136"/>
        <w:rPr>
          <w:sz w:val="20"/>
        </w:rPr>
      </w:pPr>
      <w:r w:rsidRPr="002D679B">
        <w:rPr>
          <w:sz w:val="20"/>
        </w:rPr>
        <w:t>L'utilisation de données plus précises permettra d'améliorer la précision d'un calcul d'évaluation de compatibilité. Il s'agira par exemple:</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de valeurs mesurées pour les diagrammes de rayonnement horizontal des antennes de radiodiffusion;</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de valeurs mesurées pour les diagrammes de rayonnement vertical des antennes de radiodiffusion;</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d'une prédiction améliorée de l'intensité de champ ILS;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de valeurs mesurées pour le diagramme de rayonnement horizontal de l'antenne d'émission d'un radiophare d'alignement de piste ILS.</w:t>
      </w:r>
    </w:p>
    <w:p w:rsidR="002D679B" w:rsidRPr="002D679B" w:rsidRDefault="002D679B" w:rsidP="001F6663">
      <w:pPr>
        <w:rPr>
          <w:sz w:val="20"/>
        </w:rPr>
      </w:pPr>
      <w:r w:rsidRPr="002D679B">
        <w:rPr>
          <w:sz w:val="20"/>
        </w:rPr>
        <w:t>On pourra vérifier les calculs d'évaluation de compatibilité en utilisant:</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des niveaux mesurés des signaux de radiodiffusion;</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des niveaux mesurés des signaux aéronautiques;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un récepteur aéronautique dont les caractéristiques ont été mesurées;</w:t>
      </w:r>
    </w:p>
    <w:p w:rsidR="002D679B" w:rsidRPr="002D679B" w:rsidRDefault="002D679B" w:rsidP="002D679B">
      <w:pPr>
        <w:tabs>
          <w:tab w:val="clear" w:pos="794"/>
          <w:tab w:val="clear" w:pos="1191"/>
          <w:tab w:val="clear" w:pos="1588"/>
          <w:tab w:val="clear" w:pos="1985"/>
          <w:tab w:val="left" w:pos="397"/>
        </w:tabs>
        <w:spacing w:before="86"/>
        <w:ind w:left="397" w:hanging="397"/>
        <w:rPr>
          <w:sz w:val="20"/>
        </w:rPr>
      </w:pPr>
      <w:r w:rsidRPr="002D679B">
        <w:rPr>
          <w:sz w:val="20"/>
        </w:rPr>
        <w:t>–</w:t>
      </w:r>
      <w:r w:rsidRPr="002D679B">
        <w:rPr>
          <w:sz w:val="20"/>
        </w:rPr>
        <w:tab/>
        <w:t>une antenne de réception de bord dont le diagramme de rayonnement et la réponse en fréquence ont été mesurés.</w:t>
      </w:r>
    </w:p>
    <w:p w:rsidR="002D679B" w:rsidRPr="002D679B" w:rsidRDefault="002D679B" w:rsidP="002D679B">
      <w:pPr>
        <w:spacing w:before="136"/>
        <w:rPr>
          <w:sz w:val="20"/>
        </w:rPr>
      </w:pPr>
    </w:p>
    <w:p w:rsidR="002D679B" w:rsidRPr="002D679B" w:rsidRDefault="002D679B" w:rsidP="002D679B">
      <w:pPr>
        <w:spacing w:before="136"/>
        <w:rPr>
          <w:sz w:val="20"/>
        </w:rPr>
      </w:pPr>
    </w:p>
    <w:p w:rsidR="002D679B" w:rsidRPr="00EE5FBE" w:rsidRDefault="002D679B" w:rsidP="00F47624">
      <w:pPr>
        <w:pStyle w:val="Annex"/>
        <w:rPr>
          <w:lang w:val="fr-CH"/>
        </w:rPr>
      </w:pPr>
      <w:r w:rsidRPr="00EE5FBE">
        <w:rPr>
          <w:lang w:val="fr-CH"/>
        </w:rPr>
        <w:t>ANNEXE  4</w:t>
      </w:r>
    </w:p>
    <w:p w:rsidR="002D679B" w:rsidRPr="00EE5FBE" w:rsidRDefault="002D679B" w:rsidP="00F47624">
      <w:pPr>
        <w:pStyle w:val="AnnexTitle"/>
        <w:rPr>
          <w:lang w:val="fr-CH"/>
        </w:rPr>
      </w:pPr>
      <w:r w:rsidRPr="00EE5FBE">
        <w:rPr>
          <w:lang w:val="fr-CH"/>
        </w:rPr>
        <w:t>Définitions</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19" w:name="_Toc289761227"/>
      <w:r w:rsidRPr="002D679B">
        <w:rPr>
          <w:b/>
        </w:rPr>
        <w:t>Alignement de piste</w:t>
      </w:r>
      <w:bookmarkEnd w:id="119"/>
    </w:p>
    <w:p w:rsidR="002D679B" w:rsidRPr="002D679B" w:rsidRDefault="002D679B" w:rsidP="002D679B">
      <w:pPr>
        <w:spacing w:before="136"/>
        <w:rPr>
          <w:sz w:val="20"/>
        </w:rPr>
      </w:pPr>
      <w:r w:rsidRPr="002D679B">
        <w:rPr>
          <w:sz w:val="20"/>
        </w:rPr>
        <w:t>C'est la projection sur le plan horizontal de la trajectoire que suivrait un aéronef naviguant avec une erreur d'alignement nulle (soit DDM </w:t>
      </w:r>
      <w:r w:rsidRPr="002D679B">
        <w:rPr>
          <w:rFonts w:ascii="Symbol" w:hAnsi="Symbol"/>
          <w:sz w:val="20"/>
          <w:lang w:val="en-GB"/>
        </w:rPr>
        <w:t></w:t>
      </w:r>
      <w:r w:rsidRPr="002D679B">
        <w:rPr>
          <w:sz w:val="20"/>
        </w:rPr>
        <w:t> 0) sur l'indicateur de bord. Pour des approches ILS normales, il y a lieu que l'alignement de piste se superpose au prolongement de l'axe de piste (voir la Fig. 1).</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20" w:name="_Toc289761228"/>
      <w:r w:rsidRPr="002D679B">
        <w:rPr>
          <w:b/>
        </w:rPr>
        <w:t>Angle d'élévation</w:t>
      </w:r>
      <w:bookmarkEnd w:id="120"/>
    </w:p>
    <w:p w:rsidR="002D679B" w:rsidRPr="002D679B" w:rsidRDefault="002D679B" w:rsidP="002D679B">
      <w:pPr>
        <w:spacing w:before="136"/>
        <w:rPr>
          <w:sz w:val="20"/>
        </w:rPr>
      </w:pPr>
      <w:r w:rsidRPr="002D679B">
        <w:rPr>
          <w:sz w:val="20"/>
        </w:rPr>
        <w:t>Angle par rapport au plan horizontal entre deux emplacements (valeurs positives au</w:t>
      </w:r>
      <w:r w:rsidRPr="002D679B">
        <w:rPr>
          <w:sz w:val="20"/>
        </w:rPr>
        <w:noBreakHyphen/>
        <w:t>dessus de ce plan) compte tenu du rayon terrestre équivalent défini ci-dessus. (Voir la Fig. 6.)</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21" w:name="_Toc289761229"/>
      <w:r w:rsidRPr="002D679B">
        <w:rPr>
          <w:b/>
        </w:rPr>
        <w:t>Annexe 10 de l'OACI</w:t>
      </w:r>
      <w:bookmarkEnd w:id="121"/>
    </w:p>
    <w:p w:rsidR="002D679B" w:rsidRPr="002D679B" w:rsidRDefault="002D679B" w:rsidP="002D679B">
      <w:pPr>
        <w:spacing w:before="136"/>
        <w:rPr>
          <w:sz w:val="20"/>
        </w:rPr>
      </w:pPr>
      <w:r w:rsidRPr="002D679B">
        <w:rPr>
          <w:sz w:val="20"/>
        </w:rPr>
        <w:t>«Normes et pratiques recommandées internationales et procédures pour les services de navigation aérienne – Télécommunications aéronautiques – Annexe 10 à la Convention relative à l'aviation civile internationale – Volume I», Organisation de l'aviation civile internationale (Montréal, 1985).</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22" w:name="_Toc289761230"/>
      <w:r w:rsidRPr="002D679B">
        <w:rPr>
          <w:b/>
        </w:rPr>
        <w:t>COM</w:t>
      </w:r>
      <w:bookmarkEnd w:id="122"/>
    </w:p>
    <w:p w:rsidR="002D679B" w:rsidRPr="002D679B" w:rsidRDefault="002D679B" w:rsidP="002D679B">
      <w:pPr>
        <w:spacing w:before="136"/>
        <w:rPr>
          <w:sz w:val="20"/>
        </w:rPr>
      </w:pPr>
      <w:r w:rsidRPr="002D679B">
        <w:rPr>
          <w:sz w:val="20"/>
        </w:rPr>
        <w:t>Système de radiocommunication bilatéral (air-sol) exploité dans la bande 118-137 MHz.</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23" w:name="_Toc289761231"/>
      <w:r w:rsidRPr="002D679B">
        <w:rPr>
          <w:b/>
        </w:rPr>
        <w:t>Corrections d'antenne</w:t>
      </w:r>
      <w:bookmarkEnd w:id="123"/>
      <w:r w:rsidRPr="002D679B">
        <w:rPr>
          <w:b/>
        </w:rPr>
        <w:t xml:space="preserve"> </w:t>
      </w:r>
    </w:p>
    <w:p w:rsidR="002D679B" w:rsidRPr="002D679B" w:rsidRDefault="002D679B" w:rsidP="002D679B">
      <w:pPr>
        <w:spacing w:before="136"/>
        <w:rPr>
          <w:sz w:val="20"/>
        </w:rPr>
      </w:pPr>
      <w:r w:rsidRPr="002D679B">
        <w:rPr>
          <w:sz w:val="20"/>
        </w:rPr>
        <w:t>Réductions de la puissance apparente rayonnée (p.a.r.), à des azimuts et à des angles d'élévation spécifiés, par rapport à la valeur de la p.a.r. dans la direction de rayonnement maximal. Ces facteurs de correction sont normalement spécifiés sous forme de corrections de rayonnement horizontal et de rayonnement vertical et sont exprimés en décibels.</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24" w:name="_Toc289761232"/>
      <w:r w:rsidRPr="002D679B">
        <w:rPr>
          <w:b/>
        </w:rPr>
        <w:t>Courant de guidage</w:t>
      </w:r>
      <w:bookmarkEnd w:id="124"/>
    </w:p>
    <w:p w:rsidR="002D679B" w:rsidRPr="002D679B" w:rsidRDefault="002D679B" w:rsidP="00B45125">
      <w:pPr>
        <w:spacing w:before="136"/>
        <w:rPr>
          <w:sz w:val="20"/>
        </w:rPr>
      </w:pPr>
      <w:r w:rsidRPr="002D679B">
        <w:rPr>
          <w:sz w:val="20"/>
        </w:rPr>
        <w:t>Signal de sortie du récepteur qui est transmis à l'indicateur de bord et au dispositif de pilotage automatique. Il fournit au récepteur de signaux de radioalignement ILS un guidage gauche/droite proportionnel à la différence de taux de modulation (DDM) des signaux à 90 Hz et à 150 Hz lors d'un déplacement angulaire donné par rapport à l'axe de piste. Pour un récepteur VOR, ce signal fournit un guidage gauche/droite proportionnel au déphasage de deux signaux à 30</w:t>
      </w:r>
      <w:r w:rsidR="00B45125">
        <w:rPr>
          <w:sz w:val="20"/>
        </w:rPr>
        <w:t> </w:t>
      </w:r>
      <w:r w:rsidRPr="002D679B">
        <w:rPr>
          <w:sz w:val="20"/>
        </w:rPr>
        <w:t>Hz.</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25" w:name="_Toc289761233"/>
      <w:r w:rsidRPr="002D679B">
        <w:rPr>
          <w:b/>
        </w:rPr>
        <w:t>Couverture opérationnelle spécifiée (COS)</w:t>
      </w:r>
      <w:bookmarkEnd w:id="125"/>
    </w:p>
    <w:p w:rsidR="002D679B" w:rsidRPr="002D679B" w:rsidRDefault="002D679B" w:rsidP="002D679B">
      <w:pPr>
        <w:spacing w:before="136"/>
        <w:rPr>
          <w:sz w:val="20"/>
        </w:rPr>
      </w:pPr>
      <w:r w:rsidRPr="002D679B">
        <w:rPr>
          <w:sz w:val="20"/>
        </w:rPr>
        <w:t>Volume à l'intérieur duquel les conditions d'exploitation du service aéronautique sont satisfaites; c'est le volume de couverture qui est promulgué dans les publications aéronautiques.</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26" w:name="_Toc289761234"/>
      <w:r w:rsidRPr="002D679B">
        <w:rPr>
          <w:b/>
        </w:rPr>
        <w:t>Différence de (taux de) modulation (DDM)</w:t>
      </w:r>
      <w:bookmarkEnd w:id="126"/>
    </w:p>
    <w:p w:rsidR="002D679B" w:rsidRPr="002D679B" w:rsidRDefault="002D679B" w:rsidP="002D679B">
      <w:pPr>
        <w:spacing w:before="136"/>
        <w:rPr>
          <w:sz w:val="20"/>
        </w:rPr>
      </w:pPr>
      <w:r w:rsidRPr="002D679B">
        <w:rPr>
          <w:sz w:val="20"/>
        </w:rPr>
        <w:t>Le taux de modulation est le rapport entre l'amplitude de modulation du signal à 90 Hz ou à 150 Hz et l'amplitude de l'onde porteuse. La DDM est le taux de modulation du signal le plus fort moins le taux de modulation du signal le plus faible.</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27" w:name="_Toc289761235"/>
      <w:r w:rsidRPr="002D679B">
        <w:rPr>
          <w:b/>
        </w:rPr>
        <w:t>Distance en trajet oblique</w:t>
      </w:r>
      <w:bookmarkEnd w:id="127"/>
    </w:p>
    <w:p w:rsidR="002D679B" w:rsidRPr="002D679B" w:rsidRDefault="002D679B" w:rsidP="002D679B">
      <w:pPr>
        <w:spacing w:before="136"/>
        <w:rPr>
          <w:sz w:val="20"/>
        </w:rPr>
      </w:pPr>
      <w:r w:rsidRPr="002D679B">
        <w:rPr>
          <w:sz w:val="20"/>
        </w:rPr>
        <w:t>Plus courte distance entre deux points au-dessus de la surface de la Terre (par exemple entre une antenne de radiodiffusion et un point de mesure).</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28" w:name="_Toc289761236"/>
      <w:r w:rsidRPr="002D679B">
        <w:rPr>
          <w:b/>
        </w:rPr>
        <w:t>Distance et calcul de distance</w:t>
      </w:r>
      <w:bookmarkEnd w:id="128"/>
    </w:p>
    <w:p w:rsidR="002D679B" w:rsidRPr="002D679B" w:rsidRDefault="002D679B" w:rsidP="002D679B">
      <w:pPr>
        <w:spacing w:before="136"/>
        <w:rPr>
          <w:sz w:val="20"/>
        </w:rPr>
      </w:pPr>
      <w:r w:rsidRPr="002D679B">
        <w:rPr>
          <w:sz w:val="20"/>
        </w:rPr>
        <w:t>Lorsque deux emplacements sont distants de plus de 100 km, la distance qui les sépare est calculée comme étant la plus courte longueur au sol de l'arc de grand cercle entre ces deux points. Pour les distances inférieures à 100 km, la hauteur d'antenne de l'émetteur de radiodiffusion et la hauteur du point de mesure sont prises en considération: si ces deux points sont en portée optique, on calcule la distance du trajet oblique les séparant.</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29" w:name="_Toc289761237"/>
      <w:r w:rsidRPr="002D679B">
        <w:rPr>
          <w:b/>
        </w:rPr>
        <w:t>Distances minimales de séparation</w:t>
      </w:r>
      <w:bookmarkEnd w:id="129"/>
    </w:p>
    <w:p w:rsidR="002D679B" w:rsidRPr="002D679B" w:rsidRDefault="002D679B" w:rsidP="002D679B">
      <w:pPr>
        <w:spacing w:before="136"/>
        <w:rPr>
          <w:sz w:val="20"/>
        </w:rPr>
      </w:pPr>
      <w:r w:rsidRPr="002D679B">
        <w:rPr>
          <w:sz w:val="20"/>
        </w:rPr>
        <w:t>Distances minimales de séparation verticale et de séparation horizontale qui définissent autour d'une antenne de radiodiffusion une zone dans laquelle un aéronef ne naviguera normalement pas.</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30" w:name="_Toc289761238"/>
      <w:r w:rsidRPr="002D679B">
        <w:rPr>
          <w:b/>
        </w:rPr>
        <w:t>Drapeau</w:t>
      </w:r>
      <w:bookmarkEnd w:id="130"/>
    </w:p>
    <w:p w:rsidR="002D679B" w:rsidRPr="002D679B" w:rsidRDefault="002D679B" w:rsidP="002D679B">
      <w:pPr>
        <w:spacing w:before="136"/>
        <w:rPr>
          <w:sz w:val="20"/>
        </w:rPr>
      </w:pPr>
      <w:r w:rsidRPr="002D679B">
        <w:rPr>
          <w:sz w:val="20"/>
        </w:rPr>
        <w:t>Avertisseur visuel intégré à l'indicateur de bord associé au récepteur de radiophare d'alignement de piste ILS ou au récepteur de VOR, qui indique si le récepteur est en fonctionnement normal, en fonctionnement anormal ou si le niveau ou la qualité du signal reçu tombe au-dessous de valeurs acceptables.</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31" w:name="_Toc289761239"/>
      <w:r w:rsidRPr="002D679B">
        <w:rPr>
          <w:b/>
        </w:rPr>
        <w:t>Etat fournisseur</w:t>
      </w:r>
      <w:bookmarkEnd w:id="131"/>
    </w:p>
    <w:p w:rsidR="002D679B" w:rsidRPr="002D679B" w:rsidRDefault="002D679B" w:rsidP="002D679B">
      <w:pPr>
        <w:spacing w:before="136"/>
        <w:rPr>
          <w:sz w:val="20"/>
        </w:rPr>
      </w:pPr>
      <w:r w:rsidRPr="002D679B">
        <w:rPr>
          <w:sz w:val="20"/>
        </w:rPr>
        <w:t>Autorité responsable de la fourniture de services aéronautiques pour un pays ou pour une autre zone spécifiée.</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32" w:name="_Toc289761240"/>
      <w:r w:rsidRPr="002D679B">
        <w:rPr>
          <w:b/>
        </w:rPr>
        <w:t>Point de mesure</w:t>
      </w:r>
      <w:bookmarkEnd w:id="132"/>
    </w:p>
    <w:p w:rsidR="002D679B" w:rsidRPr="002D679B" w:rsidRDefault="002D679B" w:rsidP="002D679B">
      <w:pPr>
        <w:spacing w:before="136"/>
        <w:rPr>
          <w:sz w:val="20"/>
        </w:rPr>
      </w:pPr>
      <w:r w:rsidRPr="002D679B">
        <w:rPr>
          <w:sz w:val="20"/>
        </w:rPr>
        <w:t>Point pour lequel on effectue un calcul de compatibilité. Ce point est totalement décrit par les paramètres de position et de hauteur géographiques.</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33" w:name="_Toc289761241"/>
      <w:r w:rsidRPr="002D679B">
        <w:rPr>
          <w:b/>
        </w:rPr>
        <w:t>Point de toucher des roues</w:t>
      </w:r>
      <w:bookmarkEnd w:id="133"/>
    </w:p>
    <w:p w:rsidR="002D679B" w:rsidRPr="002D679B" w:rsidRDefault="002D679B" w:rsidP="002D679B">
      <w:pPr>
        <w:spacing w:before="136"/>
        <w:rPr>
          <w:sz w:val="20"/>
        </w:rPr>
      </w:pPr>
      <w:r w:rsidRPr="002D679B">
        <w:rPr>
          <w:sz w:val="20"/>
        </w:rPr>
        <w:t>Point de la piste qui définit le début de la surface sur laquelle les roues de l'aéronef peuvent prendre contact avec le sol. Ce point fait normalement suite au seuil de piste.</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34" w:name="_Toc289761242"/>
      <w:r w:rsidRPr="002D679B">
        <w:rPr>
          <w:b/>
        </w:rPr>
        <w:t>Portée optique</w:t>
      </w:r>
      <w:bookmarkEnd w:id="134"/>
    </w:p>
    <w:p w:rsidR="002D679B" w:rsidRPr="002D679B" w:rsidRDefault="002D679B" w:rsidP="002D679B">
      <w:pPr>
        <w:spacing w:before="136"/>
        <w:rPr>
          <w:sz w:val="20"/>
        </w:rPr>
      </w:pPr>
      <w:r w:rsidRPr="002D679B">
        <w:rPr>
          <w:sz w:val="20"/>
        </w:rPr>
        <w:t>Trajet sans obstacle entre deux points, compte tenu du rayon terrestre équivalent défini ci-après.</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35" w:name="_Toc289761243"/>
      <w:r w:rsidRPr="002D679B">
        <w:rPr>
          <w:b/>
        </w:rPr>
        <w:t>Probabilité d'incompatibilité</w:t>
      </w:r>
      <w:bookmarkEnd w:id="135"/>
    </w:p>
    <w:p w:rsidR="002D679B" w:rsidRPr="002D679B" w:rsidRDefault="002D679B" w:rsidP="002D679B">
      <w:pPr>
        <w:spacing w:before="136"/>
        <w:rPr>
          <w:sz w:val="20"/>
        </w:rPr>
      </w:pPr>
      <w:r w:rsidRPr="002D679B">
        <w:rPr>
          <w:sz w:val="20"/>
        </w:rPr>
        <w:t>Situation considérée comme existant lorsque les critères de protection agréés ne sont pas satisfaits à un point de mesure.</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36" w:name="_Toc289761244"/>
      <w:r w:rsidRPr="002D679B">
        <w:rPr>
          <w:b/>
        </w:rPr>
        <w:t>Publication d'information aéronautique (AIP)</w:t>
      </w:r>
      <w:bookmarkEnd w:id="136"/>
    </w:p>
    <w:p w:rsidR="002D679B" w:rsidRPr="002D679B" w:rsidRDefault="002D679B" w:rsidP="002D679B">
      <w:pPr>
        <w:spacing w:before="136"/>
        <w:rPr>
          <w:sz w:val="20"/>
        </w:rPr>
      </w:pPr>
      <w:r w:rsidRPr="002D679B">
        <w:rPr>
          <w:sz w:val="20"/>
        </w:rPr>
        <w:t>Document publié par un Etat fournisseur, décrivant entre autres choses les caractéristiques et la couverture opérationnelle spécifiée (COS) d'installations aéronautiques.</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37" w:name="_Toc289761245"/>
      <w:r w:rsidRPr="002D679B">
        <w:rPr>
          <w:b/>
        </w:rPr>
        <w:t>Radiophare d'alignement de piste ILS</w:t>
      </w:r>
      <w:bookmarkEnd w:id="137"/>
    </w:p>
    <w:p w:rsidR="002D679B" w:rsidRPr="002D679B" w:rsidRDefault="002D679B" w:rsidP="00B45125">
      <w:pPr>
        <w:spacing w:before="136"/>
        <w:rPr>
          <w:sz w:val="20"/>
        </w:rPr>
      </w:pPr>
      <w:r w:rsidRPr="002D679B">
        <w:rPr>
          <w:sz w:val="20"/>
        </w:rPr>
        <w:t>Elément constituant de l'ILS qui fournit le guidage dans le plan horizontal. Le radiophare et son système d'antennes produisent un spectre composite, modulé en amplitude, aux fréquences de 90 Hz et de 150 Hz. Ce spectre de rayonnement est tel que, lorsqu'un observateur regarde le radiophare d'alignement de piste à partir de l'extrémité d'approche de la piste, le taux de modulation de la porteuse à radiofréquence, dû au 150 Hz, prédomine du côté droit tandis que c'est le taux dû au 90 Hz qui prédomine à gauche. La DDM est nulle dans l'axe et dans le prolongement de l'axe de piste.</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38" w:name="_Toc289761246"/>
      <w:r w:rsidRPr="002D679B">
        <w:rPr>
          <w:b/>
        </w:rPr>
        <w:t>Radiophare omnidirectionnel à ondes métriques (VOR)</w:t>
      </w:r>
      <w:bookmarkEnd w:id="138"/>
    </w:p>
    <w:p w:rsidR="002D679B" w:rsidRPr="002D679B" w:rsidRDefault="002D679B" w:rsidP="002D679B">
      <w:pPr>
        <w:spacing w:before="136"/>
        <w:rPr>
          <w:sz w:val="20"/>
        </w:rPr>
      </w:pPr>
      <w:r w:rsidRPr="002D679B">
        <w:rPr>
          <w:sz w:val="20"/>
        </w:rPr>
        <w:t>Aide de navigation à faible portée (jusqu'à environ 370 km ou 200 NM) qui présente à l'aéronef une indication permanente et automatique du relèvement par rapport à un point donné du sol.</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39" w:name="_Toc289761247"/>
      <w:r w:rsidRPr="002D679B">
        <w:rPr>
          <w:b/>
        </w:rPr>
        <w:t>Rayon terrestre équivalent</w:t>
      </w:r>
      <w:bookmarkEnd w:id="139"/>
    </w:p>
    <w:p w:rsidR="002D679B" w:rsidRPr="002D679B" w:rsidRDefault="002D679B" w:rsidP="002D679B">
      <w:pPr>
        <w:spacing w:before="136"/>
        <w:rPr>
          <w:sz w:val="20"/>
        </w:rPr>
      </w:pPr>
      <w:r w:rsidRPr="002D679B">
        <w:rPr>
          <w:sz w:val="20"/>
        </w:rPr>
        <w:t>Pour calculer la distance, on utilise un rayon terrestre équivalant aux quatre tiers de la valeur vraie.</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40" w:name="_Toc289761248"/>
      <w:r w:rsidRPr="002D679B">
        <w:rPr>
          <w:b/>
        </w:rPr>
        <w:t>Récepteurs aéronautiques à degré futur d'insensibilité</w:t>
      </w:r>
      <w:bookmarkEnd w:id="140"/>
      <w:r w:rsidRPr="002D679B">
        <w:rPr>
          <w:b/>
        </w:rPr>
        <w:t xml:space="preserve"> </w:t>
      </w:r>
    </w:p>
    <w:p w:rsidR="002D679B" w:rsidRPr="002D679B" w:rsidRDefault="002D679B" w:rsidP="002D679B">
      <w:pPr>
        <w:spacing w:before="136"/>
        <w:rPr>
          <w:sz w:val="20"/>
        </w:rPr>
      </w:pPr>
      <w:r w:rsidRPr="002D679B">
        <w:rPr>
          <w:sz w:val="20"/>
        </w:rPr>
        <w:t>Récepteurs qui possèdent au moins le degré d'insensibilité au brouillage de type B qui est spécifié dans l'Annexe 10 de l'OACI. A compter du 1</w:t>
      </w:r>
      <w:r w:rsidRPr="002D679B">
        <w:rPr>
          <w:position w:val="6"/>
          <w:sz w:val="16"/>
        </w:rPr>
        <w:t>er</w:t>
      </w:r>
      <w:r w:rsidRPr="002D679B">
        <w:rPr>
          <w:sz w:val="20"/>
        </w:rPr>
        <w:t xml:space="preserve"> janvier 1998, tous les récepteurs en usage devront être considérés comme ayant ce degré d'insensibilité. Ces récepteurs peuvent être dits récepteurs de type 1998 selon l'Annexe 10 de l'OACI.</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41" w:name="_Toc289761249"/>
      <w:r w:rsidRPr="002D679B">
        <w:rPr>
          <w:b/>
        </w:rPr>
        <w:t>Récepteurs aéronautiques de type Montréal</w:t>
      </w:r>
      <w:bookmarkEnd w:id="141"/>
    </w:p>
    <w:p w:rsidR="002D679B" w:rsidRPr="002D679B" w:rsidRDefault="002D679B" w:rsidP="002D679B">
      <w:pPr>
        <w:spacing w:before="136"/>
        <w:rPr>
          <w:sz w:val="20"/>
        </w:rPr>
      </w:pPr>
      <w:r w:rsidRPr="002D679B">
        <w:rPr>
          <w:sz w:val="20"/>
        </w:rPr>
        <w:t>Récepteur de radiophare d'alignement de piste ILS ou de VOR dont les caractéristiques sont définies par les équations spécifiées au § 4.2 de l'Annexe 1 (ces caractéristiques ont été adoptées lors de la réunion tenue par le Groupe d'action 12/1 à Montréal en 1992). Ce terme englobe les récepteurs précédemment appelés «à niveau actuel d'immunité» et «à faible degré d'immunité».</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42" w:name="_Toc289761250"/>
      <w:r w:rsidRPr="002D679B">
        <w:rPr>
          <w:b/>
        </w:rPr>
        <w:t>Secteur d'alignement de piste</w:t>
      </w:r>
      <w:bookmarkEnd w:id="142"/>
    </w:p>
    <w:p w:rsidR="002D679B" w:rsidRPr="002D679B" w:rsidRDefault="002D679B" w:rsidP="002D679B">
      <w:pPr>
        <w:spacing w:before="136"/>
        <w:rPr>
          <w:sz w:val="20"/>
        </w:rPr>
      </w:pPr>
      <w:r w:rsidRPr="002D679B">
        <w:rPr>
          <w:sz w:val="20"/>
        </w:rPr>
        <w:t xml:space="preserve">Secteur dans le plan horizontal, dont l'antenne du radiophare d'alignement de piste ILS constitue l'origine, qui contient l'alignement de piste et qui est limité par les déviations à pleine échelle de correction à gauche et de correction à droite indiquées par le récepteur de radiophare d'alignement de piste  ILS. La déviation à pleine échelle de l'indicateur est équivalente à un courant de guidage de </w:t>
      </w:r>
      <w:r w:rsidRPr="002D679B">
        <w:rPr>
          <w:rFonts w:ascii="Symbol" w:hAnsi="Symbol"/>
          <w:sz w:val="20"/>
          <w:lang w:val="en-GB"/>
        </w:rPr>
        <w:t></w:t>
      </w:r>
      <w:r w:rsidRPr="002D679B">
        <w:rPr>
          <w:sz w:val="20"/>
        </w:rPr>
        <w:t> 150 </w:t>
      </w:r>
      <w:r w:rsidRPr="002D679B">
        <w:rPr>
          <w:rFonts w:ascii="Symbol" w:hAnsi="Symbol"/>
          <w:sz w:val="20"/>
        </w:rPr>
        <w:t></w:t>
      </w:r>
      <w:r w:rsidRPr="002D679B">
        <w:rPr>
          <w:sz w:val="20"/>
        </w:rPr>
        <w:t>A (DDM </w:t>
      </w:r>
      <w:r w:rsidRPr="002D679B">
        <w:rPr>
          <w:rFonts w:ascii="Symbol" w:hAnsi="Symbol"/>
          <w:sz w:val="20"/>
          <w:lang w:val="en-GB"/>
        </w:rPr>
        <w:t></w:t>
      </w:r>
      <w:r w:rsidRPr="002D679B">
        <w:rPr>
          <w:sz w:val="20"/>
        </w:rPr>
        <w:t> 0,155).</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43" w:name="_Toc289761251"/>
      <w:r w:rsidRPr="002D679B">
        <w:rPr>
          <w:b/>
        </w:rPr>
        <w:t>Secteur d'alignement de piste avant (d'approche)</w:t>
      </w:r>
      <w:bookmarkEnd w:id="143"/>
    </w:p>
    <w:p w:rsidR="002D679B" w:rsidRPr="002D679B" w:rsidRDefault="002D679B" w:rsidP="002D679B">
      <w:pPr>
        <w:spacing w:before="136"/>
        <w:rPr>
          <w:sz w:val="20"/>
        </w:rPr>
      </w:pPr>
      <w:r w:rsidRPr="002D679B">
        <w:rPr>
          <w:sz w:val="20"/>
        </w:rPr>
        <w:t>Secteur d'alignement de piste dans lequel la piste est inscrite. La largeur du secteur d'alignement de piste avant est réglée entre 3</w:t>
      </w:r>
      <w:r w:rsidRPr="002D679B">
        <w:rPr>
          <w:rFonts w:ascii="Symbol" w:hAnsi="Symbol"/>
          <w:sz w:val="20"/>
          <w:lang w:val="en-GB"/>
        </w:rPr>
        <w:t></w:t>
      </w:r>
      <w:r w:rsidRPr="002D679B">
        <w:rPr>
          <w:sz w:val="20"/>
        </w:rPr>
        <w:t xml:space="preserve"> et 6</w:t>
      </w:r>
      <w:r w:rsidRPr="002D679B">
        <w:rPr>
          <w:rFonts w:ascii="Symbol" w:hAnsi="Symbol"/>
          <w:sz w:val="20"/>
          <w:lang w:val="en-GB"/>
        </w:rPr>
        <w:t></w:t>
      </w:r>
      <w:r w:rsidRPr="002D679B">
        <w:rPr>
          <w:sz w:val="20"/>
        </w:rPr>
        <w:t xml:space="preserve"> (normalement 5</w:t>
      </w:r>
      <w:r w:rsidRPr="002D679B">
        <w:rPr>
          <w:rFonts w:ascii="Symbol" w:hAnsi="Symbol"/>
          <w:sz w:val="20"/>
          <w:lang w:val="en-GB"/>
        </w:rPr>
        <w:t></w:t>
      </w:r>
      <w:r w:rsidRPr="002D679B">
        <w:rPr>
          <w:sz w:val="20"/>
        </w:rPr>
        <w:t>) de façon que la distance entre une déviation à pleine échelle pour correction à gauche et une déviation à pleine échelle pour correction à droite sur un indicateur de récepteur de radiophare d'alignement de piste ILS soit égale à une largeur d'environ 210 m au seuil de piste (voir la Fig. 1).</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44" w:name="_Toc289761252"/>
      <w:r w:rsidRPr="002D679B">
        <w:rPr>
          <w:b/>
        </w:rPr>
        <w:t>Seuil de piste</w:t>
      </w:r>
      <w:bookmarkEnd w:id="144"/>
    </w:p>
    <w:p w:rsidR="002D679B" w:rsidRPr="002D679B" w:rsidRDefault="002D679B" w:rsidP="002D679B">
      <w:pPr>
        <w:spacing w:before="136"/>
        <w:rPr>
          <w:sz w:val="20"/>
        </w:rPr>
      </w:pPr>
      <w:r w:rsidRPr="002D679B">
        <w:rPr>
          <w:sz w:val="20"/>
        </w:rPr>
        <w:t>Début de la partie de la piste qui est utilisable pour l'atterrissage.</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45" w:name="_Toc289761253"/>
      <w:r w:rsidRPr="002D679B">
        <w:rPr>
          <w:b/>
        </w:rPr>
        <w:t>Système d'atterrissage aux instruments (ILS)</w:t>
      </w:r>
      <w:bookmarkEnd w:id="145"/>
    </w:p>
    <w:p w:rsidR="002D679B" w:rsidRPr="002D679B" w:rsidRDefault="002D679B" w:rsidP="002D679B">
      <w:pPr>
        <w:spacing w:before="136"/>
        <w:rPr>
          <w:sz w:val="20"/>
        </w:rPr>
      </w:pPr>
      <w:r w:rsidRPr="002D679B">
        <w:rPr>
          <w:sz w:val="20"/>
        </w:rPr>
        <w:t>Système de radionavigation qui est spécifié dans l'Annexe 10 de l'OACI et qui est actuellement accepté par tous les pays comme aide normalisée d'approche de précision et d'atterrissage des aéronefs.</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46" w:name="_Toc289761254"/>
      <w:r w:rsidRPr="002D679B">
        <w:rPr>
          <w:b/>
        </w:rPr>
        <w:t>Trajectoire de descente</w:t>
      </w:r>
      <w:bookmarkEnd w:id="146"/>
    </w:p>
    <w:p w:rsidR="002D679B" w:rsidRPr="002D679B" w:rsidRDefault="002D679B" w:rsidP="002D679B">
      <w:pPr>
        <w:spacing w:before="136"/>
        <w:rPr>
          <w:sz w:val="20"/>
        </w:rPr>
      </w:pPr>
      <w:r w:rsidRPr="002D679B">
        <w:rPr>
          <w:sz w:val="20"/>
        </w:rPr>
        <w:t>Profil de descente sur une piste, normalement de 3</w:t>
      </w:r>
      <w:r w:rsidRPr="002D679B">
        <w:rPr>
          <w:rFonts w:ascii="Symbol" w:hAnsi="Symbol"/>
          <w:sz w:val="20"/>
          <w:lang w:val="en-GB"/>
        </w:rPr>
        <w:t></w:t>
      </w:r>
      <w:r w:rsidRPr="002D679B">
        <w:rPr>
          <w:sz w:val="20"/>
        </w:rPr>
        <w:t>, fourni par un radiophare d'alignement de descente ILS et par un système d'antennes exploité dans la bande 329,3-335,0 MHz.</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47" w:name="_Toc289761255"/>
      <w:r w:rsidRPr="002D679B">
        <w:rPr>
          <w:b/>
        </w:rPr>
        <w:t>Valeur de coupure</w:t>
      </w:r>
      <w:bookmarkEnd w:id="147"/>
    </w:p>
    <w:p w:rsidR="002D679B" w:rsidRPr="002D679B" w:rsidRDefault="002D679B" w:rsidP="002D679B">
      <w:pPr>
        <w:spacing w:before="136"/>
        <w:rPr>
          <w:sz w:val="20"/>
        </w:rPr>
      </w:pPr>
      <w:r w:rsidRPr="002D679B">
        <w:rPr>
          <w:sz w:val="20"/>
        </w:rPr>
        <w:t>Niveau minimal de la puissance d'un signal de radiodiffusion à l'entrée du récepteur aéronautique pour lequel on considère que ce signal constitue une source potentielle de brouillage de type B1.</w:t>
      </w:r>
    </w:p>
    <w:p w:rsidR="002D679B" w:rsidRPr="002D679B" w:rsidRDefault="002D679B" w:rsidP="002D679B">
      <w:pPr>
        <w:keepNext/>
        <w:keepLines/>
        <w:tabs>
          <w:tab w:val="clear" w:pos="1191"/>
          <w:tab w:val="clear" w:pos="1588"/>
          <w:tab w:val="clear" w:pos="1985"/>
        </w:tabs>
        <w:spacing w:before="480"/>
        <w:ind w:left="794" w:hanging="794"/>
        <w:outlineLvl w:val="0"/>
        <w:rPr>
          <w:b/>
        </w:rPr>
      </w:pPr>
      <w:bookmarkStart w:id="148" w:name="_Toc289761256"/>
      <w:r w:rsidRPr="002D679B">
        <w:rPr>
          <w:b/>
        </w:rPr>
        <w:t>Valeur de déclenchement</w:t>
      </w:r>
      <w:bookmarkEnd w:id="148"/>
    </w:p>
    <w:p w:rsidR="002D679B" w:rsidRPr="002D679B" w:rsidRDefault="002D679B" w:rsidP="002D679B">
      <w:pPr>
        <w:spacing w:before="136"/>
        <w:rPr>
          <w:sz w:val="20"/>
        </w:rPr>
      </w:pPr>
      <w:r w:rsidRPr="002D679B">
        <w:rPr>
          <w:sz w:val="20"/>
        </w:rPr>
        <w:t>Valeur minimale d'un signal de radiodiffusion en modulation de fréquence qui, lorsqu'il est appliqué à l'entrée d'un récepteur aéronautique, est capable de provoquer l'apparition d'un produit d'intermodulation du troisième ordre ayant une puissance suffisante pour constituer une probabilité de brouillage.</w:t>
      </w:r>
    </w:p>
    <w:p w:rsidR="002D679B" w:rsidRPr="002D679B" w:rsidRDefault="002D679B" w:rsidP="002D679B">
      <w:pPr>
        <w:spacing w:before="136"/>
        <w:rPr>
          <w:sz w:val="20"/>
        </w:rPr>
      </w:pPr>
    </w:p>
    <w:p w:rsidR="002D679B" w:rsidRPr="002D679B" w:rsidRDefault="002D679B" w:rsidP="002D679B">
      <w:pPr>
        <w:pBdr>
          <w:top w:val="single" w:sz="6" w:space="1" w:color="auto"/>
        </w:pBdr>
        <w:tabs>
          <w:tab w:val="clear" w:pos="794"/>
          <w:tab w:val="clear" w:pos="1191"/>
          <w:tab w:val="clear" w:pos="1588"/>
          <w:tab w:val="clear" w:pos="1985"/>
        </w:tabs>
        <w:spacing w:before="240"/>
        <w:ind w:left="3997" w:right="3997"/>
        <w:jc w:val="center"/>
        <w:rPr>
          <w:sz w:val="20"/>
        </w:rPr>
      </w:pPr>
    </w:p>
    <w:p w:rsidR="002D679B" w:rsidRPr="002D679B" w:rsidRDefault="002D679B" w:rsidP="002D679B">
      <w:pPr>
        <w:spacing w:before="136"/>
        <w:rPr>
          <w:sz w:val="20"/>
        </w:rPr>
      </w:pPr>
    </w:p>
    <w:p w:rsidR="002D679B" w:rsidRPr="002D679B" w:rsidRDefault="002D679B" w:rsidP="002D679B"/>
    <w:p w:rsidR="002D679B" w:rsidRPr="002D679B" w:rsidRDefault="002D679B" w:rsidP="002D679B">
      <w:pPr>
        <w:rPr>
          <w:lang w:val="fr-CH"/>
        </w:rPr>
      </w:pPr>
    </w:p>
    <w:p w:rsidR="002D679B" w:rsidRPr="002D679B" w:rsidRDefault="002D679B" w:rsidP="002D679B">
      <w:pPr>
        <w:pStyle w:val="headfoot"/>
        <w:rPr>
          <w:lang w:val="fr-CH"/>
        </w:rPr>
      </w:pPr>
    </w:p>
    <w:p w:rsidR="00255852" w:rsidRPr="007C0F35" w:rsidRDefault="00255852" w:rsidP="00255852">
      <w:pPr>
        <w:pStyle w:val="headfoot"/>
        <w:rPr>
          <w:sz w:val="24"/>
          <w:szCs w:val="24"/>
          <w:lang w:val="fr-CH"/>
        </w:rPr>
      </w:pPr>
      <w:r w:rsidRPr="007C0F35">
        <w:rPr>
          <w:sz w:val="24"/>
          <w:szCs w:val="24"/>
          <w:lang w:val="fr-CH"/>
        </w:rPr>
        <w:t>IT-R SM.1009-1</w:t>
      </w:r>
    </w:p>
    <w:sectPr w:rsidR="00255852" w:rsidRPr="007C0F35" w:rsidSect="0045207C">
      <w:headerReference w:type="even" r:id="rId53"/>
      <w:headerReference w:type="default" r:id="rId54"/>
      <w:footnotePr>
        <w:pos w:val="beneathText"/>
      </w:footnotePr>
      <w:type w:val="continuous"/>
      <w:pgSz w:w="11913" w:h="16834" w:code="9"/>
      <w:pgMar w:top="1418" w:right="1134" w:bottom="1134" w:left="1134" w:header="720" w:footer="482" w:gutter="0"/>
      <w:paperSrc w:first="15" w:other="15"/>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5FBE" w:rsidRDefault="00EE5FBE">
      <w:r>
        <w:separator/>
      </w:r>
    </w:p>
  </w:endnote>
  <w:endnote w:type="continuationSeparator" w:id="0">
    <w:p w:rsidR="00EE5FBE" w:rsidRDefault="00EE5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5FBE" w:rsidRDefault="00EE5FBE">
      <w:r>
        <w:separator/>
      </w:r>
    </w:p>
  </w:footnote>
  <w:footnote w:type="continuationSeparator" w:id="0">
    <w:p w:rsidR="00EE5FBE" w:rsidRDefault="00EE5FBE">
      <w:r>
        <w:continuationSeparator/>
      </w:r>
    </w:p>
  </w:footnote>
  <w:footnote w:id="1">
    <w:p w:rsidR="00EE5FBE" w:rsidRDefault="00EE5FBE" w:rsidP="009145B5">
      <w:pPr>
        <w:pStyle w:val="FootnoteText"/>
      </w:pPr>
      <w:r>
        <w:rPr>
          <w:rStyle w:val="FootnoteReference"/>
        </w:rPr>
        <w:t>*</w:t>
      </w:r>
      <w:r>
        <w:t xml:space="preserve"> </w:t>
      </w:r>
      <w:r>
        <w:tab/>
        <w:t>La Commission d'études 1 des radiocommunications a apporté en 201</w:t>
      </w:r>
      <w:r w:rsidR="009D0C4F">
        <w:t>8</w:t>
      </w:r>
      <w:r w:rsidR="00E73109">
        <w:t xml:space="preserve"> et en 2019</w:t>
      </w:r>
      <w:r>
        <w:t xml:space="preserve"> des modifications de forme à cette Recommandation, conformément aux dispositions de la Résolution UIT-R 1.</w:t>
      </w:r>
    </w:p>
  </w:footnote>
  <w:footnote w:id="2">
    <w:p w:rsidR="00EE5FBE" w:rsidRDefault="00EE5FBE" w:rsidP="002D679B">
      <w:pPr>
        <w:pStyle w:val="FootnoteText"/>
        <w:rPr>
          <w:position w:val="6"/>
        </w:rPr>
      </w:pPr>
      <w:r>
        <w:rPr>
          <w:i/>
          <w:position w:val="6"/>
        </w:rPr>
        <w:t>Notes du Directeur:</w:t>
      </w:r>
    </w:p>
    <w:p w:rsidR="00EE5FBE" w:rsidRDefault="00EE5FBE" w:rsidP="002D679B">
      <w:pPr>
        <w:pStyle w:val="FootnoteText"/>
      </w:pPr>
      <w:r>
        <w:rPr>
          <w:position w:val="6"/>
          <w:sz w:val="16"/>
        </w:rPr>
        <w:t>*</w:t>
      </w:r>
      <w:r>
        <w:t xml:space="preserve"> </w:t>
      </w:r>
      <w:r>
        <w:tab/>
        <w:t>On trouvera dans le Rapport UIT-R BS.1198 une description des caractéristiques des stations de radiodiffusion en MF.</w:t>
      </w:r>
    </w:p>
  </w:footnote>
  <w:footnote w:id="3">
    <w:p w:rsidR="00EE5FBE" w:rsidRDefault="00EE5FBE" w:rsidP="002D679B">
      <w:pPr>
        <w:pStyle w:val="FootnoteText"/>
        <w:ind w:left="313" w:hanging="313"/>
      </w:pPr>
      <w:r>
        <w:rPr>
          <w:rStyle w:val="FootnoteReference"/>
        </w:rPr>
        <w:t>**</w:t>
      </w:r>
      <w:r>
        <w:t xml:space="preserve"> </w:t>
      </w:r>
      <w:r>
        <w:tab/>
        <w:t>On trouvera dans le Rapport UIT-R M.927 une description du récepteur de signaux de piste ILS, du récepteur de signaux VOR et des systèmes de communication en ondes métriques.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FBE" w:rsidRDefault="00EE5FB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FBE" w:rsidRDefault="00EE5FBE" w:rsidP="00F62DEE">
    <w:pPr>
      <w:pStyle w:val="Header"/>
    </w:pPr>
    <w:r>
      <w:tab/>
    </w:r>
    <w:r w:rsidR="009D0C4F">
      <w:fldChar w:fldCharType="begin"/>
    </w:r>
    <w:r w:rsidR="009D0C4F">
      <w:instrText xml:space="preserve"> DOCPROPERTY "Header" \* MERGEFORMAT </w:instrText>
    </w:r>
    <w:r w:rsidR="009D0C4F">
      <w:fldChar w:fldCharType="separate"/>
    </w:r>
    <w:r w:rsidR="00F234E9" w:rsidRPr="00F234E9">
      <w:rPr>
        <w:b/>
        <w:bCs/>
      </w:rPr>
      <w:t xml:space="preserve">Rec. </w:t>
    </w:r>
    <w:r w:rsidR="009D0C4F">
      <w:rPr>
        <w:b/>
        <w:bCs/>
      </w:rPr>
      <w:fldChar w:fldCharType="end"/>
    </w:r>
    <w:r>
      <w:rPr>
        <w:b/>
        <w:bCs/>
      </w:rPr>
      <w:t xml:space="preserve"> </w:t>
    </w:r>
    <w:r>
      <w:rPr>
        <w:b/>
        <w:bCs/>
      </w:rPr>
      <w:fldChar w:fldCharType="begin"/>
    </w:r>
    <w:r>
      <w:rPr>
        <w:b/>
        <w:bCs/>
      </w:rPr>
      <w:instrText>styleref href</w:instrText>
    </w:r>
    <w:r>
      <w:rPr>
        <w:b/>
        <w:bCs/>
      </w:rPr>
      <w:fldChar w:fldCharType="separate"/>
    </w:r>
    <w:r w:rsidR="00F234E9">
      <w:rPr>
        <w:b/>
        <w:bCs/>
        <w:noProof/>
      </w:rPr>
      <w:t>UIT-R  SM.1009-1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FBE" w:rsidRDefault="00EE5FBE" w:rsidP="00F62DEE">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234E9">
      <w:rPr>
        <w:rStyle w:val="PageNumber"/>
        <w:b/>
        <w:bCs/>
        <w:noProof/>
        <w:lang w:val="en-US"/>
      </w:rPr>
      <w:t>40</w:t>
    </w:r>
    <w:r>
      <w:rPr>
        <w:rStyle w:val="PageNumber"/>
        <w:b/>
        <w:bCs/>
      </w:rPr>
      <w:fldChar w:fldCharType="end"/>
    </w:r>
    <w:r>
      <w:rPr>
        <w:lang w:val="en-US"/>
      </w:rPr>
      <w:tab/>
    </w:r>
    <w:r w:rsidR="009D0C4F">
      <w:fldChar w:fldCharType="begin"/>
    </w:r>
    <w:r w:rsidR="009D0C4F">
      <w:instrText xml:space="preserve"> DOCPROPERTY "Header" \* MERGEFORMAT </w:instrText>
    </w:r>
    <w:r w:rsidR="009D0C4F">
      <w:fldChar w:fldCharType="separate"/>
    </w:r>
    <w:r w:rsidR="00F234E9" w:rsidRPr="00F234E9">
      <w:rPr>
        <w:b/>
        <w:bCs/>
        <w:lang w:val="en-US"/>
      </w:rPr>
      <w:t xml:space="preserve">Rec. </w:t>
    </w:r>
    <w:r w:rsidR="009D0C4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234E9">
      <w:rPr>
        <w:b/>
        <w:bCs/>
        <w:noProof/>
        <w:lang w:val="en-US"/>
      </w:rPr>
      <w:t>UIT-R  SM.1009-1</w:t>
    </w:r>
    <w:r>
      <w:rPr>
        <w:b/>
        <w:bCs/>
      </w:rPr>
      <w:fldChar w:fldCharType="end"/>
    </w:r>
    <w:r>
      <w:rPr>
        <w:b/>
        <w:bCs/>
      </w:rP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FBE" w:rsidRDefault="00EE5FBE" w:rsidP="00F62DEE">
    <w:pPr>
      <w:pStyle w:val="Header"/>
    </w:pPr>
    <w:r>
      <w:tab/>
    </w:r>
    <w:r w:rsidR="009D0C4F">
      <w:fldChar w:fldCharType="begin"/>
    </w:r>
    <w:r w:rsidR="009D0C4F">
      <w:instrText xml:space="preserve"> DOCPROPERTY "Header" \* MERGEFORMAT </w:instrText>
    </w:r>
    <w:r w:rsidR="009D0C4F">
      <w:fldChar w:fldCharType="separate"/>
    </w:r>
    <w:r w:rsidR="00F234E9" w:rsidRPr="00F234E9">
      <w:rPr>
        <w:b/>
        <w:bCs/>
      </w:rPr>
      <w:t xml:space="preserve">Rec. </w:t>
    </w:r>
    <w:r w:rsidR="009D0C4F">
      <w:rPr>
        <w:b/>
        <w:bCs/>
      </w:rPr>
      <w:fldChar w:fldCharType="end"/>
    </w:r>
    <w:r>
      <w:rPr>
        <w:b/>
        <w:bCs/>
      </w:rPr>
      <w:t xml:space="preserve"> </w:t>
    </w:r>
    <w:r>
      <w:rPr>
        <w:b/>
        <w:bCs/>
      </w:rPr>
      <w:fldChar w:fldCharType="begin"/>
    </w:r>
    <w:r>
      <w:rPr>
        <w:b/>
        <w:bCs/>
      </w:rPr>
      <w:instrText>styleref href</w:instrText>
    </w:r>
    <w:r>
      <w:rPr>
        <w:b/>
        <w:bCs/>
      </w:rPr>
      <w:fldChar w:fldCharType="separate"/>
    </w:r>
    <w:r w:rsidR="00F234E9">
      <w:rPr>
        <w:b/>
        <w:bCs/>
        <w:noProof/>
      </w:rPr>
      <w:t>UIT-R  SM.1009-1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234E9">
      <w:rPr>
        <w:rStyle w:val="PageNumber"/>
        <w:b/>
        <w:bCs/>
        <w:noProof/>
      </w:rPr>
      <w:t>41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FBE" w:rsidRDefault="00EE5FBE" w:rsidP="002D679B">
    <w:pPr>
      <w:pStyle w:val="Header"/>
      <w:ind w:right="360" w:firstLine="360"/>
    </w:pPr>
    <w:r>
      <w:rPr>
        <w:noProof/>
        <w:lang w:val="fr-CH" w:eastAsia="fr-CH"/>
      </w:rPr>
      <w:drawing>
        <wp:anchor distT="0" distB="0" distL="114300" distR="114300" simplePos="0" relativeHeight="251659264" behindDoc="1" locked="0" layoutInCell="1" allowOverlap="1" wp14:anchorId="50875A03" wp14:editId="73950BE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FBE" w:rsidRPr="00837CB5" w:rsidRDefault="00EE5FB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234E9">
      <w:rPr>
        <w:rStyle w:val="PageNumber"/>
        <w:b/>
        <w:bCs/>
        <w:noProof/>
      </w:rPr>
      <w:t>ii</w:t>
    </w:r>
    <w:r>
      <w:rPr>
        <w:rStyle w:val="PageNumber"/>
        <w:b/>
        <w:bCs/>
      </w:rPr>
      <w:fldChar w:fldCharType="end"/>
    </w:r>
    <w:r w:rsidRPr="00837CB5">
      <w:tab/>
    </w:r>
    <w:r w:rsidR="009D0C4F">
      <w:fldChar w:fldCharType="begin"/>
    </w:r>
    <w:r w:rsidR="009D0C4F">
      <w:instrText xml:space="preserve"> DOCPROPERTY "Header" \* MERGEFORMAT </w:instrText>
    </w:r>
    <w:r w:rsidR="009D0C4F">
      <w:fldChar w:fldCharType="separate"/>
    </w:r>
    <w:r w:rsidR="00F234E9" w:rsidRPr="00F234E9">
      <w:rPr>
        <w:b/>
        <w:bCs/>
      </w:rPr>
      <w:t xml:space="preserve">Rec. </w:t>
    </w:r>
    <w:r w:rsidR="009D0C4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D0C4F">
      <w:rPr>
        <w:b/>
        <w:bCs/>
        <w:noProof/>
      </w:rPr>
      <w:t>UIT-R  SM.1009-1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FBE" w:rsidRDefault="00EE5FBE">
    <w:pPr>
      <w:pStyle w:val="Header"/>
    </w:pPr>
    <w:r>
      <w:tab/>
    </w:r>
    <w:r w:rsidR="009D0C4F">
      <w:fldChar w:fldCharType="begin"/>
    </w:r>
    <w:r w:rsidR="009D0C4F">
      <w:instrText xml:space="preserve"> DOCPROPERTY "Header" \* MERGEFORMAT </w:instrText>
    </w:r>
    <w:r w:rsidR="009D0C4F">
      <w:fldChar w:fldCharType="separate"/>
    </w:r>
    <w:r w:rsidR="00F234E9" w:rsidRPr="00F234E9">
      <w:rPr>
        <w:b/>
        <w:bCs/>
      </w:rPr>
      <w:t xml:space="preserve">Rec. </w:t>
    </w:r>
    <w:r w:rsidR="009D0C4F">
      <w:rPr>
        <w:b/>
        <w:bCs/>
      </w:rPr>
      <w:fldChar w:fldCharType="end"/>
    </w:r>
    <w:r>
      <w:rPr>
        <w:b/>
        <w:bCs/>
      </w:rPr>
      <w:t xml:space="preserve"> </w:t>
    </w:r>
    <w:r>
      <w:rPr>
        <w:b/>
        <w:bCs/>
      </w:rPr>
      <w:fldChar w:fldCharType="begin"/>
    </w:r>
    <w:r>
      <w:rPr>
        <w:b/>
        <w:bCs/>
      </w:rPr>
      <w:instrText>styleref href</w:instrText>
    </w:r>
    <w:r>
      <w:rPr>
        <w:b/>
        <w:bCs/>
      </w:rPr>
      <w:fldChar w:fldCharType="separate"/>
    </w:r>
    <w:r w:rsidR="00F234E9">
      <w:rPr>
        <w:b/>
        <w:bCs/>
        <w:noProof/>
      </w:rPr>
      <w:t>UIT-R  SM.1009-1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FBE" w:rsidRPr="00837CB5" w:rsidRDefault="00EE5FBE" w:rsidP="001C25CF">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234E9">
      <w:rPr>
        <w:rStyle w:val="PageNumber"/>
        <w:b/>
        <w:bCs/>
        <w:noProof/>
      </w:rPr>
      <w:t>8</w:t>
    </w:r>
    <w:r>
      <w:rPr>
        <w:rStyle w:val="PageNumber"/>
        <w:b/>
        <w:bCs/>
      </w:rPr>
      <w:fldChar w:fldCharType="end"/>
    </w:r>
    <w:r w:rsidRPr="00837CB5">
      <w:tab/>
    </w:r>
    <w:r w:rsidR="009D0C4F">
      <w:fldChar w:fldCharType="begin"/>
    </w:r>
    <w:r w:rsidR="009D0C4F">
      <w:instrText xml:space="preserve"> DOCPROPERTY "Header" \* MERGEFORMAT </w:instrText>
    </w:r>
    <w:r w:rsidR="009D0C4F">
      <w:fldChar w:fldCharType="separate"/>
    </w:r>
    <w:r w:rsidR="00F234E9" w:rsidRPr="00F234E9">
      <w:rPr>
        <w:b/>
        <w:bCs/>
      </w:rPr>
      <w:t xml:space="preserve">Rec. </w:t>
    </w:r>
    <w:r w:rsidR="009D0C4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D0C4F">
      <w:rPr>
        <w:b/>
        <w:bCs/>
        <w:noProof/>
      </w:rPr>
      <w:t>UIT-R  SM.1009-1</w:t>
    </w:r>
    <w:r>
      <w:rPr>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FBE" w:rsidRPr="00837CB5" w:rsidRDefault="00EE5FBE" w:rsidP="001C25CF">
    <w:pPr>
      <w:pStyle w:val="Header"/>
      <w:jc w:val="left"/>
    </w:pPr>
    <w:r w:rsidRPr="00837CB5">
      <w:tab/>
    </w:r>
    <w:r w:rsidR="009D0C4F">
      <w:fldChar w:fldCharType="begin"/>
    </w:r>
    <w:r w:rsidR="009D0C4F">
      <w:instrText xml:space="preserve"> DOCPROPERTY "Header" \* MERGEFORMAT </w:instrText>
    </w:r>
    <w:r w:rsidR="009D0C4F">
      <w:fldChar w:fldCharType="separate"/>
    </w:r>
    <w:r w:rsidR="00F234E9" w:rsidRPr="00F234E9">
      <w:rPr>
        <w:b/>
        <w:bCs/>
      </w:rPr>
      <w:t xml:space="preserve">Rec. </w:t>
    </w:r>
    <w:r w:rsidR="009D0C4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D0C4F">
      <w:rPr>
        <w:b/>
        <w:bCs/>
        <w:noProof/>
      </w:rPr>
      <w:t>UIT-R  SM.1009-1</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F234E9">
      <w:rPr>
        <w:rStyle w:val="PageNumber"/>
        <w:b/>
        <w:bCs/>
        <w:noProof/>
      </w:rPr>
      <w:t>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FBE" w:rsidRDefault="00EE5FBE" w:rsidP="001C25CF">
    <w:pPr>
      <w:pStyle w:val="Header"/>
      <w:jc w:val="left"/>
      <w:rPr>
        <w:lang w:val="en-US"/>
      </w:rPr>
    </w:pPr>
    <w:r>
      <w:rPr>
        <w:lang w:val="en-US"/>
      </w:rPr>
      <w:tab/>
    </w:r>
    <w:r w:rsidR="009D0C4F">
      <w:fldChar w:fldCharType="begin"/>
    </w:r>
    <w:r w:rsidR="009D0C4F">
      <w:instrText xml:space="preserve"> DOCPROPERTY "Header" \* MERGEFORMAT </w:instrText>
    </w:r>
    <w:r w:rsidR="009D0C4F">
      <w:fldChar w:fldCharType="separate"/>
    </w:r>
    <w:r w:rsidR="00F234E9" w:rsidRPr="00F234E9">
      <w:rPr>
        <w:b/>
        <w:bCs/>
        <w:lang w:val="en-US"/>
      </w:rPr>
      <w:t xml:space="preserve">Rec. </w:t>
    </w:r>
    <w:r w:rsidR="009D0C4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F234E9">
      <w:rPr>
        <w:b/>
        <w:bCs/>
        <w:noProof/>
        <w:lang w:val="en-US"/>
      </w:rPr>
      <w:t>UIT-R  SM.1009-1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F234E9">
      <w:rPr>
        <w:rStyle w:val="PageNumber"/>
        <w:b/>
        <w:bCs/>
        <w:noProof/>
        <w:lang w:val="en-US"/>
      </w:rPr>
      <w:t>18</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FBE" w:rsidRDefault="00EE5FBE" w:rsidP="00F62DEE">
    <w:pPr>
      <w:pStyle w:val="Heade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r>
      <w:tab/>
    </w:r>
    <w:r w:rsidR="009D0C4F">
      <w:fldChar w:fldCharType="begin"/>
    </w:r>
    <w:r w:rsidR="009D0C4F">
      <w:instrText xml:space="preserve"> DOCPROPERTY "Header" \* MERGEFORMAT </w:instrText>
    </w:r>
    <w:r w:rsidR="009D0C4F">
      <w:fldChar w:fldCharType="separate"/>
    </w:r>
    <w:r w:rsidR="00F234E9" w:rsidRPr="00F234E9">
      <w:rPr>
        <w:b/>
        <w:bCs/>
      </w:rPr>
      <w:t xml:space="preserve">Rec. </w:t>
    </w:r>
    <w:r w:rsidR="009D0C4F">
      <w:rPr>
        <w:b/>
        <w:bCs/>
      </w:rPr>
      <w:fldChar w:fldCharType="end"/>
    </w:r>
    <w:r>
      <w:rPr>
        <w:b/>
        <w:bCs/>
      </w:rPr>
      <w:t xml:space="preserve"> </w:t>
    </w:r>
    <w:r>
      <w:rPr>
        <w:b/>
        <w:bCs/>
      </w:rPr>
      <w:fldChar w:fldCharType="begin"/>
    </w:r>
    <w:r>
      <w:rPr>
        <w:b/>
        <w:bCs/>
      </w:rPr>
      <w:instrText>styleref href</w:instrText>
    </w:r>
    <w:r>
      <w:rPr>
        <w:b/>
        <w:bCs/>
      </w:rPr>
      <w:fldChar w:fldCharType="separate"/>
    </w:r>
    <w:r w:rsidR="00F234E9">
      <w:rPr>
        <w:b/>
        <w:bCs/>
        <w:noProof/>
      </w:rPr>
      <w:t>UIT-R  SM.1009-1</w:t>
    </w:r>
    <w:r>
      <w:rPr>
        <w:b/>
        <w:bCs/>
      </w:rPr>
      <w:fldChar w:fldCharType="end"/>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FBE" w:rsidRPr="00837CB5" w:rsidRDefault="00EE5FBE" w:rsidP="00F62DEE">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F234E9">
      <w:rPr>
        <w:rStyle w:val="PageNumber"/>
        <w:b/>
        <w:bCs/>
        <w:noProof/>
      </w:rPr>
      <w:t>17</w:t>
    </w:r>
    <w:r>
      <w:rPr>
        <w:rStyle w:val="PageNumber"/>
        <w:b/>
        <w:bCs/>
      </w:rPr>
      <w:fldChar w:fldCharType="end"/>
    </w:r>
    <w:r w:rsidRPr="00837CB5">
      <w:tab/>
    </w:r>
    <w:r w:rsidR="009D0C4F">
      <w:fldChar w:fldCharType="begin"/>
    </w:r>
    <w:r w:rsidR="009D0C4F">
      <w:instrText xml:space="preserve"> DOCPROPERTY "Header" \* MERGEFORMAT </w:instrText>
    </w:r>
    <w:r w:rsidR="009D0C4F">
      <w:fldChar w:fldCharType="separate"/>
    </w:r>
    <w:r w:rsidR="00F234E9" w:rsidRPr="00F234E9">
      <w:rPr>
        <w:b/>
        <w:bCs/>
      </w:rPr>
      <w:t xml:space="preserve">Rec. </w:t>
    </w:r>
    <w:r w:rsidR="009D0C4F">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F234E9">
      <w:rPr>
        <w:b/>
        <w:bCs/>
        <w:noProof/>
      </w:rPr>
      <w:t>UIT-R  SM.1009-1</w:t>
    </w:r>
    <w:r>
      <w:rPr>
        <w:b/>
        <w:bCs/>
      </w:rPr>
      <w:fldChar w:fldCharType="end"/>
    </w:r>
    <w:r>
      <w:rPr>
        <w:b/>
        <w:bCs/>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5852"/>
    <w:rsid w:val="001C25CF"/>
    <w:rsid w:val="001F6663"/>
    <w:rsid w:val="00202380"/>
    <w:rsid w:val="00217EBF"/>
    <w:rsid w:val="00255852"/>
    <w:rsid w:val="002D679B"/>
    <w:rsid w:val="002D76C4"/>
    <w:rsid w:val="004404F1"/>
    <w:rsid w:val="0045207C"/>
    <w:rsid w:val="00607D68"/>
    <w:rsid w:val="007468DA"/>
    <w:rsid w:val="009145B5"/>
    <w:rsid w:val="009A42B8"/>
    <w:rsid w:val="009D0C4F"/>
    <w:rsid w:val="00A6617B"/>
    <w:rsid w:val="00AB0DC8"/>
    <w:rsid w:val="00B2696D"/>
    <w:rsid w:val="00B44E24"/>
    <w:rsid w:val="00B45125"/>
    <w:rsid w:val="00CD321A"/>
    <w:rsid w:val="00DB496D"/>
    <w:rsid w:val="00DD6628"/>
    <w:rsid w:val="00DD745A"/>
    <w:rsid w:val="00DF4176"/>
    <w:rsid w:val="00E73109"/>
    <w:rsid w:val="00EE5FBE"/>
    <w:rsid w:val="00F234E9"/>
    <w:rsid w:val="00F47624"/>
    <w:rsid w:val="00F62DE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4A54F48"/>
  <w15:docId w15:val="{27018076-637D-48ED-9AAA-1B3389F09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255852"/>
    <w:rPr>
      <w:color w:val="0000FF"/>
      <w:u w:val="single"/>
    </w:rPr>
  </w:style>
  <w:style w:type="paragraph" w:customStyle="1" w:styleId="Artheading">
    <w:name w:val="Art_heading"/>
    <w:basedOn w:val="Normal"/>
    <w:next w:val="Normalaftertitle"/>
    <w:rsid w:val="00255852"/>
    <w:pPr>
      <w:spacing w:before="480"/>
      <w:jc w:val="center"/>
    </w:pPr>
    <w:rPr>
      <w:b/>
      <w:sz w:val="28"/>
    </w:rPr>
  </w:style>
  <w:style w:type="character" w:styleId="EndnoteReference">
    <w:name w:val="endnote reference"/>
    <w:basedOn w:val="DefaultParagraphFont"/>
    <w:rsid w:val="00255852"/>
    <w:rPr>
      <w:vertAlign w:val="superscript"/>
    </w:rPr>
  </w:style>
  <w:style w:type="paragraph" w:customStyle="1" w:styleId="Figurewithouttitle">
    <w:name w:val="Figure_without_title"/>
    <w:basedOn w:val="Normal"/>
    <w:next w:val="Normalaftertitle"/>
    <w:rsid w:val="00255852"/>
    <w:pPr>
      <w:keepLines/>
      <w:spacing w:before="240" w:after="120"/>
      <w:jc w:val="center"/>
    </w:pPr>
  </w:style>
  <w:style w:type="paragraph" w:customStyle="1" w:styleId="FirstFooter">
    <w:name w:val="FirstFooter"/>
    <w:basedOn w:val="Footer"/>
    <w:rsid w:val="00255852"/>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255852"/>
    <w:pPr>
      <w:spacing w:before="840" w:after="200"/>
      <w:jc w:val="center"/>
    </w:pPr>
    <w:rPr>
      <w:b/>
      <w:sz w:val="28"/>
    </w:rPr>
  </w:style>
  <w:style w:type="paragraph" w:customStyle="1" w:styleId="SpecialFooter">
    <w:name w:val="Special Footer"/>
    <w:basedOn w:val="Footer"/>
    <w:rsid w:val="00255852"/>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255852"/>
    <w:pPr>
      <w:keepNext/>
      <w:spacing w:before="0" w:after="120"/>
      <w:jc w:val="center"/>
    </w:pPr>
  </w:style>
  <w:style w:type="paragraph" w:customStyle="1" w:styleId="Title1">
    <w:name w:val="Title 1"/>
    <w:basedOn w:val="Source"/>
    <w:next w:val="Title2"/>
    <w:rsid w:val="0025585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55852"/>
  </w:style>
  <w:style w:type="paragraph" w:customStyle="1" w:styleId="Title3">
    <w:name w:val="Title 3"/>
    <w:basedOn w:val="Title2"/>
    <w:next w:val="Title4"/>
    <w:rsid w:val="00255852"/>
    <w:rPr>
      <w:caps w:val="0"/>
    </w:rPr>
  </w:style>
  <w:style w:type="paragraph" w:customStyle="1" w:styleId="Title4">
    <w:name w:val="Title 4"/>
    <w:basedOn w:val="Title3"/>
    <w:next w:val="Heading1"/>
    <w:rsid w:val="00255852"/>
    <w:rPr>
      <w:b/>
    </w:rPr>
  </w:style>
  <w:style w:type="character" w:customStyle="1" w:styleId="Appdef">
    <w:name w:val="App_def"/>
    <w:basedOn w:val="DefaultParagraphFont"/>
    <w:rsid w:val="00255852"/>
    <w:rPr>
      <w:rFonts w:ascii="Times New Roman" w:hAnsi="Times New Roman"/>
      <w:b/>
    </w:rPr>
  </w:style>
  <w:style w:type="character" w:customStyle="1" w:styleId="Appref">
    <w:name w:val="App_ref"/>
    <w:basedOn w:val="DefaultParagraphFont"/>
    <w:rsid w:val="00255852"/>
  </w:style>
  <w:style w:type="character" w:customStyle="1" w:styleId="Artdef">
    <w:name w:val="Art_def"/>
    <w:basedOn w:val="DefaultParagraphFont"/>
    <w:rsid w:val="00255852"/>
    <w:rPr>
      <w:rFonts w:ascii="Times New Roman" w:hAnsi="Times New Roman"/>
      <w:b/>
    </w:rPr>
  </w:style>
  <w:style w:type="character" w:customStyle="1" w:styleId="Artref">
    <w:name w:val="Art_ref"/>
    <w:basedOn w:val="DefaultParagraphFont"/>
    <w:rsid w:val="00255852"/>
  </w:style>
  <w:style w:type="character" w:customStyle="1" w:styleId="Recdef">
    <w:name w:val="Rec_def"/>
    <w:basedOn w:val="DefaultParagraphFont"/>
    <w:rsid w:val="00255852"/>
    <w:rPr>
      <w:b/>
    </w:rPr>
  </w:style>
  <w:style w:type="character" w:customStyle="1" w:styleId="Resdef">
    <w:name w:val="Res_def"/>
    <w:basedOn w:val="DefaultParagraphFont"/>
    <w:rsid w:val="00255852"/>
    <w:rPr>
      <w:rFonts w:ascii="Times New Roman" w:hAnsi="Times New Roman"/>
      <w:b/>
    </w:rPr>
  </w:style>
  <w:style w:type="character" w:customStyle="1" w:styleId="Tablefreq">
    <w:name w:val="Table_freq"/>
    <w:basedOn w:val="DefaultParagraphFont"/>
    <w:rsid w:val="00255852"/>
    <w:rPr>
      <w:b/>
      <w:color w:val="auto"/>
    </w:rPr>
  </w:style>
  <w:style w:type="paragraph" w:customStyle="1" w:styleId="Formal">
    <w:name w:val="Formal"/>
    <w:basedOn w:val="ASN1"/>
    <w:rsid w:val="00255852"/>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25585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255852"/>
    <w:pPr>
      <w:tabs>
        <w:tab w:val="clear" w:pos="794"/>
        <w:tab w:val="clear" w:pos="1191"/>
        <w:tab w:val="clear" w:pos="1588"/>
        <w:tab w:val="clear" w:pos="1985"/>
      </w:tabs>
      <w:spacing w:before="240"/>
      <w:jc w:val="center"/>
    </w:pPr>
    <w:rPr>
      <w:i/>
    </w:rPr>
  </w:style>
  <w:style w:type="paragraph" w:customStyle="1" w:styleId="Line1">
    <w:name w:val="Line_1"/>
    <w:basedOn w:val="Normal"/>
    <w:next w:val="Normal"/>
    <w:rsid w:val="00255852"/>
    <w:pPr>
      <w:pBdr>
        <w:top w:val="dashed" w:sz="6" w:space="1" w:color="auto"/>
      </w:pBdr>
      <w:tabs>
        <w:tab w:val="clear" w:pos="794"/>
        <w:tab w:val="clear" w:pos="1191"/>
        <w:tab w:val="clear" w:pos="1588"/>
        <w:tab w:val="clear" w:pos="1985"/>
      </w:tabs>
      <w:spacing w:before="240"/>
      <w:ind w:left="3997" w:right="3997"/>
      <w:jc w:val="center"/>
    </w:pPr>
    <w:rPr>
      <w:sz w:val="20"/>
      <w:lang w:val="en-GB"/>
    </w:rPr>
  </w:style>
  <w:style w:type="paragraph" w:styleId="Index7">
    <w:name w:val="index 7"/>
    <w:basedOn w:val="Normal"/>
    <w:next w:val="Normal"/>
    <w:rsid w:val="00255852"/>
    <w:pPr>
      <w:spacing w:before="136"/>
      <w:ind w:left="1698"/>
    </w:pPr>
    <w:rPr>
      <w:sz w:val="20"/>
      <w:lang w:val="en-GB"/>
    </w:rPr>
  </w:style>
  <w:style w:type="paragraph" w:styleId="Index6">
    <w:name w:val="index 6"/>
    <w:basedOn w:val="Normal"/>
    <w:next w:val="Normal"/>
    <w:rsid w:val="00255852"/>
    <w:pPr>
      <w:spacing w:before="136"/>
      <w:ind w:left="1415"/>
    </w:pPr>
    <w:rPr>
      <w:sz w:val="20"/>
      <w:lang w:val="en-GB"/>
    </w:rPr>
  </w:style>
  <w:style w:type="paragraph" w:styleId="Index5">
    <w:name w:val="index 5"/>
    <w:basedOn w:val="Normal"/>
    <w:next w:val="Normal"/>
    <w:rsid w:val="00255852"/>
    <w:pPr>
      <w:spacing w:before="136"/>
      <w:ind w:left="1132"/>
    </w:pPr>
    <w:rPr>
      <w:sz w:val="20"/>
      <w:lang w:val="en-GB"/>
    </w:rPr>
  </w:style>
  <w:style w:type="paragraph" w:styleId="Index4">
    <w:name w:val="index 4"/>
    <w:basedOn w:val="Normal"/>
    <w:next w:val="Normal"/>
    <w:rsid w:val="00255852"/>
    <w:pPr>
      <w:spacing w:before="136"/>
      <w:ind w:left="849"/>
    </w:pPr>
    <w:rPr>
      <w:sz w:val="20"/>
      <w:lang w:val="en-GB"/>
    </w:rPr>
  </w:style>
  <w:style w:type="character" w:styleId="LineNumber">
    <w:name w:val="line number"/>
    <w:basedOn w:val="DefaultParagraphFont"/>
    <w:rsid w:val="00255852"/>
  </w:style>
  <w:style w:type="paragraph" w:customStyle="1" w:styleId="head">
    <w:name w:val="head"/>
    <w:basedOn w:val="headfoot"/>
    <w:rsid w:val="00255852"/>
  </w:style>
  <w:style w:type="paragraph" w:customStyle="1" w:styleId="foot">
    <w:name w:val="foot"/>
    <w:basedOn w:val="headfoot"/>
    <w:rsid w:val="00255852"/>
  </w:style>
  <w:style w:type="paragraph" w:customStyle="1" w:styleId="TableLegend0">
    <w:name w:val="Table_Legend"/>
    <w:basedOn w:val="Normal"/>
    <w:next w:val="Normal"/>
    <w:rsid w:val="00255852"/>
    <w:pPr>
      <w:keepNext/>
      <w:spacing w:before="86" w:line="199" w:lineRule="exact"/>
      <w:ind w:left="-85" w:right="-85"/>
    </w:pPr>
    <w:rPr>
      <w:sz w:val="18"/>
      <w:lang w:val="en-GB"/>
    </w:rPr>
  </w:style>
  <w:style w:type="paragraph" w:customStyle="1" w:styleId="TableTitle0">
    <w:name w:val="Table_Title"/>
    <w:basedOn w:val="Table"/>
    <w:next w:val="Blanc"/>
    <w:rsid w:val="00255852"/>
    <w:pPr>
      <w:spacing w:before="0"/>
    </w:pPr>
    <w:rPr>
      <w:b/>
    </w:rPr>
  </w:style>
  <w:style w:type="paragraph" w:customStyle="1" w:styleId="TableText0">
    <w:name w:val="Table_Text"/>
    <w:basedOn w:val="TableLegend0"/>
    <w:rsid w:val="00255852"/>
    <w:pPr>
      <w:spacing w:before="100" w:after="100" w:line="190" w:lineRule="exact"/>
      <w:ind w:left="0" w:right="0"/>
    </w:pPr>
  </w:style>
  <w:style w:type="paragraph" w:customStyle="1" w:styleId="Table">
    <w:name w:val="Table_#"/>
    <w:basedOn w:val="Normal"/>
    <w:next w:val="TableTitle0"/>
    <w:rsid w:val="00255852"/>
    <w:pPr>
      <w:keepNext/>
      <w:tabs>
        <w:tab w:val="clear" w:pos="794"/>
        <w:tab w:val="clear" w:pos="1191"/>
        <w:tab w:val="clear" w:pos="1588"/>
        <w:tab w:val="clear" w:pos="1985"/>
      </w:tabs>
      <w:spacing w:before="567" w:after="113"/>
      <w:jc w:val="center"/>
    </w:pPr>
    <w:rPr>
      <w:sz w:val="18"/>
      <w:lang w:val="en-GB"/>
    </w:rPr>
  </w:style>
  <w:style w:type="paragraph" w:customStyle="1" w:styleId="FigureLegend0">
    <w:name w:val="Figure_Legend"/>
    <w:basedOn w:val="TableLegend0"/>
    <w:next w:val="FigureRemark"/>
    <w:rsid w:val="00255852"/>
    <w:pPr>
      <w:jc w:val="left"/>
    </w:pPr>
  </w:style>
  <w:style w:type="paragraph" w:customStyle="1" w:styleId="Figure0">
    <w:name w:val="Figure_#"/>
    <w:basedOn w:val="Table"/>
    <w:next w:val="FigureTitle0"/>
    <w:rsid w:val="00255852"/>
  </w:style>
  <w:style w:type="paragraph" w:customStyle="1" w:styleId="FigureTitle0">
    <w:name w:val="Figure_Title"/>
    <w:basedOn w:val="TableTitle0"/>
    <w:next w:val="FigureLegend0"/>
    <w:rsid w:val="00255852"/>
    <w:pPr>
      <w:spacing w:after="240"/>
    </w:pPr>
  </w:style>
  <w:style w:type="paragraph" w:customStyle="1" w:styleId="Annex">
    <w:name w:val="Annex_#"/>
    <w:basedOn w:val="Normal"/>
    <w:next w:val="AnnexRef0"/>
    <w:rsid w:val="00255852"/>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Ref0">
    <w:name w:val="Annex_Ref"/>
    <w:basedOn w:val="Normal"/>
    <w:next w:val="AnnexTitle"/>
    <w:rsid w:val="00255852"/>
    <w:pPr>
      <w:tabs>
        <w:tab w:val="clear" w:pos="794"/>
        <w:tab w:val="clear" w:pos="1191"/>
        <w:tab w:val="clear" w:pos="1588"/>
        <w:tab w:val="clear" w:pos="1985"/>
        <w:tab w:val="center" w:pos="4849"/>
        <w:tab w:val="right" w:pos="9696"/>
      </w:tabs>
      <w:spacing w:before="0"/>
      <w:jc w:val="center"/>
    </w:pPr>
    <w:rPr>
      <w:sz w:val="20"/>
      <w:lang w:val="en-GB"/>
    </w:rPr>
  </w:style>
  <w:style w:type="paragraph" w:customStyle="1" w:styleId="AnnexTitle">
    <w:name w:val="Annex_Title"/>
    <w:basedOn w:val="Normal"/>
    <w:next w:val="Normalaftertitle0"/>
    <w:rsid w:val="00255852"/>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Appendix">
    <w:name w:val="Appendix_#"/>
    <w:basedOn w:val="Annex"/>
    <w:next w:val="AppendixRef0"/>
    <w:rsid w:val="00255852"/>
  </w:style>
  <w:style w:type="paragraph" w:customStyle="1" w:styleId="AppendixRef0">
    <w:name w:val="Appendix_Ref"/>
    <w:basedOn w:val="AnnexRef0"/>
    <w:next w:val="AppendixTitle"/>
    <w:rsid w:val="00255852"/>
  </w:style>
  <w:style w:type="paragraph" w:customStyle="1" w:styleId="AppendixTitle">
    <w:name w:val="Appendix_Title"/>
    <w:basedOn w:val="AnnexTitle"/>
    <w:next w:val="Normal"/>
    <w:rsid w:val="00255852"/>
  </w:style>
  <w:style w:type="paragraph" w:customStyle="1" w:styleId="RefTitle0">
    <w:name w:val="Ref_Title"/>
    <w:basedOn w:val="Normal"/>
    <w:next w:val="RefText0"/>
    <w:rsid w:val="00255852"/>
    <w:pPr>
      <w:keepNext/>
      <w:keepLines/>
      <w:tabs>
        <w:tab w:val="clear" w:pos="794"/>
        <w:tab w:val="clear" w:pos="1191"/>
        <w:tab w:val="clear" w:pos="1588"/>
        <w:tab w:val="clear" w:pos="1985"/>
      </w:tabs>
      <w:spacing w:before="600"/>
      <w:jc w:val="center"/>
    </w:pPr>
    <w:rPr>
      <w:sz w:val="18"/>
      <w:lang w:val="en-GB"/>
    </w:rPr>
  </w:style>
  <w:style w:type="paragraph" w:customStyle="1" w:styleId="RefText0">
    <w:name w:val="Ref_Text"/>
    <w:basedOn w:val="Normal"/>
    <w:rsid w:val="00255852"/>
    <w:pPr>
      <w:spacing w:before="136"/>
      <w:ind w:left="567" w:hanging="567"/>
    </w:pPr>
    <w:rPr>
      <w:sz w:val="18"/>
      <w:lang w:val="en-GB"/>
    </w:rPr>
  </w:style>
  <w:style w:type="paragraph" w:customStyle="1" w:styleId="listitem">
    <w:name w:val="listitem"/>
    <w:basedOn w:val="Normal"/>
    <w:rsid w:val="00255852"/>
    <w:pPr>
      <w:keepLines/>
      <w:spacing w:before="0"/>
      <w:jc w:val="left"/>
    </w:pPr>
    <w:rPr>
      <w:sz w:val="20"/>
      <w:lang w:val="en-GB"/>
    </w:rPr>
  </w:style>
  <w:style w:type="paragraph" w:customStyle="1" w:styleId="Rec">
    <w:name w:val="Rec_#"/>
    <w:basedOn w:val="Normal"/>
    <w:next w:val="RecTitle0"/>
    <w:rsid w:val="00255852"/>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RecTitleRef"/>
    <w:rsid w:val="00255852"/>
    <w:pPr>
      <w:spacing w:before="180"/>
    </w:pPr>
    <w:rPr>
      <w:b/>
    </w:rPr>
  </w:style>
  <w:style w:type="paragraph" w:customStyle="1" w:styleId="Normalaftertitle0">
    <w:name w:val="Normal after title"/>
    <w:basedOn w:val="Normal"/>
    <w:next w:val="Normal"/>
    <w:rsid w:val="00255852"/>
    <w:pPr>
      <w:spacing w:before="480"/>
    </w:pPr>
    <w:rPr>
      <w:sz w:val="20"/>
      <w:lang w:val="en-GB"/>
    </w:rPr>
  </w:style>
  <w:style w:type="paragraph" w:customStyle="1" w:styleId="call0">
    <w:name w:val="call"/>
    <w:basedOn w:val="Normal"/>
    <w:next w:val="Normal"/>
    <w:rsid w:val="00255852"/>
    <w:pPr>
      <w:keepNext/>
      <w:keepLines/>
      <w:tabs>
        <w:tab w:val="clear" w:pos="1191"/>
        <w:tab w:val="clear" w:pos="1588"/>
        <w:tab w:val="clear" w:pos="1985"/>
      </w:tabs>
      <w:spacing w:before="227"/>
      <w:ind w:left="794"/>
      <w:jc w:val="left"/>
    </w:pPr>
    <w:rPr>
      <w:i/>
      <w:sz w:val="20"/>
      <w:lang w:val="en-GB"/>
    </w:rPr>
  </w:style>
  <w:style w:type="paragraph" w:customStyle="1" w:styleId="deftitle">
    <w:name w:val="def title"/>
    <w:basedOn w:val="Heading2"/>
    <w:next w:val="deftexte"/>
    <w:rsid w:val="00255852"/>
    <w:pPr>
      <w:tabs>
        <w:tab w:val="clear" w:pos="1191"/>
        <w:tab w:val="clear" w:pos="1588"/>
        <w:tab w:val="clear" w:pos="1985"/>
      </w:tabs>
      <w:spacing w:before="313"/>
      <w:outlineLvl w:val="9"/>
    </w:pPr>
    <w:rPr>
      <w:sz w:val="22"/>
      <w:lang w:val="en-GB"/>
    </w:rPr>
  </w:style>
  <w:style w:type="paragraph" w:customStyle="1" w:styleId="deftexte">
    <w:name w:val="def texte"/>
    <w:basedOn w:val="Normal"/>
    <w:rsid w:val="00255852"/>
    <w:pPr>
      <w:spacing w:before="136"/>
    </w:pPr>
    <w:rPr>
      <w:sz w:val="20"/>
      <w:lang w:val="en-GB"/>
    </w:rPr>
  </w:style>
  <w:style w:type="paragraph" w:customStyle="1" w:styleId="Section">
    <w:name w:val="Section #"/>
    <w:basedOn w:val="Normal"/>
    <w:next w:val="Sectiontitle0"/>
    <w:rsid w:val="00255852"/>
    <w:pPr>
      <w:keepNext/>
      <w:keepLines/>
      <w:pageBreakBefore/>
      <w:tabs>
        <w:tab w:val="clear" w:pos="794"/>
        <w:tab w:val="clear" w:pos="1191"/>
        <w:tab w:val="clear" w:pos="1588"/>
        <w:tab w:val="clear" w:pos="1985"/>
        <w:tab w:val="left" w:pos="1474"/>
      </w:tabs>
      <w:spacing w:before="0"/>
      <w:ind w:left="1474" w:hanging="1474"/>
      <w:jc w:val="left"/>
    </w:pPr>
    <w:rPr>
      <w:sz w:val="20"/>
      <w:lang w:val="en-GB"/>
    </w:rPr>
  </w:style>
  <w:style w:type="paragraph" w:customStyle="1" w:styleId="Sectiontitle0">
    <w:name w:val="Section title"/>
    <w:basedOn w:val="Section"/>
    <w:next w:val="Rec"/>
    <w:rsid w:val="00255852"/>
    <w:pPr>
      <w:pageBreakBefore w:val="0"/>
      <w:spacing w:before="240"/>
    </w:pPr>
    <w:rPr>
      <w:i/>
    </w:rPr>
  </w:style>
  <w:style w:type="paragraph" w:customStyle="1" w:styleId="RecTitleRef">
    <w:name w:val="Rec_Title/Ref"/>
    <w:basedOn w:val="RecTitle0"/>
    <w:next w:val="RecTitleDate"/>
    <w:rsid w:val="00255852"/>
    <w:pPr>
      <w:spacing w:before="136"/>
    </w:pPr>
    <w:rPr>
      <w:b w:val="0"/>
    </w:rPr>
  </w:style>
  <w:style w:type="paragraph" w:customStyle="1" w:styleId="RecTitleDate">
    <w:name w:val="Rec_Title/Date"/>
    <w:basedOn w:val="RecTitleRef"/>
    <w:next w:val="headfoot"/>
    <w:rsid w:val="00255852"/>
    <w:pPr>
      <w:tabs>
        <w:tab w:val="clear" w:pos="4849"/>
      </w:tabs>
      <w:jc w:val="right"/>
    </w:pPr>
  </w:style>
  <w:style w:type="paragraph" w:customStyle="1" w:styleId="heading">
    <w:name w:val="heading"/>
    <w:basedOn w:val="Heading2"/>
    <w:rsid w:val="00255852"/>
    <w:pPr>
      <w:tabs>
        <w:tab w:val="clear" w:pos="1985"/>
      </w:tabs>
      <w:spacing w:before="313"/>
      <w:outlineLvl w:val="9"/>
    </w:pPr>
    <w:rPr>
      <w:sz w:val="22"/>
      <w:lang w:val="en-GB"/>
    </w:rPr>
  </w:style>
  <w:style w:type="paragraph" w:customStyle="1" w:styleId="headfoot">
    <w:name w:val="head_foot"/>
    <w:basedOn w:val="Normal"/>
    <w:next w:val="Normalaftertitle0"/>
    <w:rsid w:val="00255852"/>
    <w:pPr>
      <w:tabs>
        <w:tab w:val="clear" w:pos="794"/>
        <w:tab w:val="clear" w:pos="1191"/>
        <w:tab w:val="clear" w:pos="1588"/>
        <w:tab w:val="clear" w:pos="1985"/>
      </w:tabs>
      <w:spacing w:before="0"/>
    </w:pPr>
    <w:rPr>
      <w:b/>
      <w:color w:val="FFFFFF"/>
      <w:sz w:val="8"/>
      <w:lang w:val="en-GB"/>
    </w:rPr>
  </w:style>
  <w:style w:type="paragraph" w:customStyle="1" w:styleId="Part">
    <w:name w:val="Part_#"/>
    <w:basedOn w:val="Annex"/>
    <w:next w:val="PartRef0"/>
    <w:rsid w:val="00255852"/>
  </w:style>
  <w:style w:type="paragraph" w:customStyle="1" w:styleId="PartRef0">
    <w:name w:val="Part_Ref"/>
    <w:basedOn w:val="AnnexRef0"/>
    <w:rsid w:val="00255852"/>
  </w:style>
  <w:style w:type="paragraph" w:customStyle="1" w:styleId="PartTitle0">
    <w:name w:val="Part_Title"/>
    <w:basedOn w:val="AnnexTitle"/>
    <w:next w:val="Normalaftertitle0"/>
    <w:rsid w:val="00255852"/>
  </w:style>
  <w:style w:type="paragraph" w:customStyle="1" w:styleId="Rep">
    <w:name w:val="Rep_#"/>
    <w:basedOn w:val="Rec"/>
    <w:next w:val="RepTitle0"/>
    <w:rsid w:val="00255852"/>
  </w:style>
  <w:style w:type="paragraph" w:customStyle="1" w:styleId="RepTitle0">
    <w:name w:val="Rep_Title"/>
    <w:basedOn w:val="RecTitle0"/>
    <w:next w:val="RepTitleRef"/>
    <w:rsid w:val="00255852"/>
  </w:style>
  <w:style w:type="paragraph" w:customStyle="1" w:styleId="RepTitleDate">
    <w:name w:val="Rep_Title/Date"/>
    <w:basedOn w:val="RecTitleDate"/>
    <w:next w:val="headfoot"/>
    <w:rsid w:val="00255852"/>
  </w:style>
  <w:style w:type="paragraph" w:customStyle="1" w:styleId="RepTitleRef">
    <w:name w:val="Rep_Title/Ref"/>
    <w:basedOn w:val="RecTitleRef"/>
    <w:next w:val="RepTitleDate"/>
    <w:rsid w:val="00255852"/>
  </w:style>
  <w:style w:type="paragraph" w:customStyle="1" w:styleId="RefDoc">
    <w:name w:val="Ref_Doc"/>
    <w:basedOn w:val="RefText0"/>
    <w:next w:val="RefText0"/>
    <w:rsid w:val="00255852"/>
    <w:pPr>
      <w:spacing w:before="227"/>
    </w:pPr>
    <w:rPr>
      <w:i/>
    </w:rPr>
  </w:style>
  <w:style w:type="paragraph" w:customStyle="1" w:styleId="Question">
    <w:name w:val="Question_#"/>
    <w:basedOn w:val="Rec"/>
    <w:next w:val="QuestionTitle0"/>
    <w:rsid w:val="00255852"/>
    <w:pPr>
      <w:spacing w:before="0"/>
    </w:pPr>
  </w:style>
  <w:style w:type="paragraph" w:customStyle="1" w:styleId="QuestionTitle0">
    <w:name w:val="Question_Title"/>
    <w:basedOn w:val="RecTitle0"/>
    <w:next w:val="QuestionTitleRef"/>
    <w:rsid w:val="00255852"/>
  </w:style>
  <w:style w:type="paragraph" w:customStyle="1" w:styleId="QuestionTitleDate">
    <w:name w:val="Question_Title/Date"/>
    <w:basedOn w:val="RecTitleDate"/>
    <w:next w:val="headfoot"/>
    <w:rsid w:val="00255852"/>
  </w:style>
  <w:style w:type="paragraph" w:customStyle="1" w:styleId="QuestionTitleRef">
    <w:name w:val="Question_Title/Ref"/>
    <w:basedOn w:val="RecTitleRef"/>
    <w:next w:val="QuestionTitleDate"/>
    <w:rsid w:val="00255852"/>
  </w:style>
  <w:style w:type="paragraph" w:customStyle="1" w:styleId="Res">
    <w:name w:val="Res_#"/>
    <w:basedOn w:val="Rec"/>
    <w:next w:val="ResTitle0"/>
    <w:rsid w:val="00255852"/>
  </w:style>
  <w:style w:type="paragraph" w:customStyle="1" w:styleId="ResTitle0">
    <w:name w:val="Res_Title"/>
    <w:basedOn w:val="RecTitle0"/>
    <w:next w:val="ResTitleRef"/>
    <w:rsid w:val="00255852"/>
  </w:style>
  <w:style w:type="paragraph" w:customStyle="1" w:styleId="ResTitleDate">
    <w:name w:val="Res_Title/Date"/>
    <w:basedOn w:val="RecTitleDate"/>
    <w:next w:val="headfoot"/>
    <w:rsid w:val="00255852"/>
  </w:style>
  <w:style w:type="paragraph" w:customStyle="1" w:styleId="ResTitleRef">
    <w:name w:val="Res_Title/Ref"/>
    <w:basedOn w:val="RecTitleRef"/>
    <w:next w:val="ResTitleDate"/>
    <w:rsid w:val="00255852"/>
  </w:style>
  <w:style w:type="paragraph" w:customStyle="1" w:styleId="Style">
    <w:name w:val="Style"/>
    <w:basedOn w:val="Normal"/>
    <w:rsid w:val="00255852"/>
    <w:pPr>
      <w:tabs>
        <w:tab w:val="center" w:pos="4196"/>
        <w:tab w:val="left" w:pos="9242"/>
        <w:tab w:val="center" w:pos="12587"/>
      </w:tabs>
      <w:spacing w:before="340" w:line="318" w:lineRule="atLeast"/>
      <w:ind w:right="618"/>
    </w:pPr>
    <w:rPr>
      <w:i/>
      <w:sz w:val="28"/>
      <w:lang w:val="en-GB"/>
    </w:rPr>
  </w:style>
  <w:style w:type="paragraph" w:customStyle="1" w:styleId="Sectionsous">
    <w:name w:val="Section_sous"/>
    <w:basedOn w:val="Section"/>
    <w:next w:val="Rec"/>
    <w:rsid w:val="00255852"/>
    <w:pPr>
      <w:pageBreakBefore w:val="0"/>
      <w:spacing w:before="240"/>
    </w:pPr>
  </w:style>
  <w:style w:type="paragraph" w:customStyle="1" w:styleId="CCI">
    <w:name w:val="CCI"/>
    <w:basedOn w:val="Normal"/>
    <w:next w:val="call0"/>
    <w:rsid w:val="00255852"/>
    <w:pPr>
      <w:keepNext/>
      <w:keepLines/>
      <w:tabs>
        <w:tab w:val="clear" w:pos="794"/>
        <w:tab w:val="clear" w:pos="1191"/>
        <w:tab w:val="clear" w:pos="1588"/>
        <w:tab w:val="clear" w:pos="1985"/>
      </w:tabs>
      <w:spacing w:before="199"/>
    </w:pPr>
    <w:rPr>
      <w:sz w:val="20"/>
      <w:lang w:val="en-GB"/>
    </w:rPr>
  </w:style>
  <w:style w:type="paragraph" w:customStyle="1" w:styleId="FigureRemark">
    <w:name w:val="Figure_Remark"/>
    <w:basedOn w:val="TableLegend0"/>
    <w:rsid w:val="00255852"/>
    <w:pPr>
      <w:tabs>
        <w:tab w:val="clear" w:pos="794"/>
        <w:tab w:val="clear" w:pos="1191"/>
        <w:tab w:val="clear" w:pos="1588"/>
        <w:tab w:val="clear" w:pos="1985"/>
        <w:tab w:val="center" w:pos="284"/>
      </w:tabs>
      <w:spacing w:before="142"/>
    </w:pPr>
  </w:style>
  <w:style w:type="paragraph" w:customStyle="1" w:styleId="Fig">
    <w:name w:val="Fig"/>
    <w:basedOn w:val="Figure"/>
    <w:next w:val="Fig0"/>
    <w:rsid w:val="00255852"/>
    <w:pPr>
      <w:keepLines w:val="0"/>
      <w:spacing w:before="136" w:after="0"/>
    </w:pPr>
    <w:rPr>
      <w:caps w:val="0"/>
      <w:sz w:val="20"/>
      <w:lang w:val="en-US"/>
    </w:rPr>
  </w:style>
  <w:style w:type="paragraph" w:customStyle="1" w:styleId="Fig0">
    <w:name w:val="Fig_#"/>
    <w:basedOn w:val="Fig"/>
    <w:next w:val="Normal"/>
    <w:rsid w:val="00255852"/>
    <w:pPr>
      <w:jc w:val="left"/>
    </w:pPr>
    <w:rPr>
      <w:color w:val="FFFFFF"/>
    </w:rPr>
  </w:style>
  <w:style w:type="numbering" w:customStyle="1" w:styleId="NoList1">
    <w:name w:val="No List1"/>
    <w:next w:val="NoList"/>
    <w:uiPriority w:val="99"/>
    <w:semiHidden/>
    <w:unhideWhenUsed/>
    <w:rsid w:val="002D6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header" Target="header9.xml"/><Relationship Id="rId21" Type="http://schemas.openxmlformats.org/officeDocument/2006/relationships/image" Target="media/image8.wmf"/><Relationship Id="rId34" Type="http://schemas.openxmlformats.org/officeDocument/2006/relationships/oleObject" Target="embeddings/oleObject9.bin"/><Relationship Id="rId42" Type="http://schemas.openxmlformats.org/officeDocument/2006/relationships/image" Target="media/image16.wmf"/><Relationship Id="rId47" Type="http://schemas.openxmlformats.org/officeDocument/2006/relationships/image" Target="media/image21.wmf"/><Relationship Id="rId50" Type="http://schemas.openxmlformats.org/officeDocument/2006/relationships/image" Target="media/image23.wmf"/><Relationship Id="rId55"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header" Target="header8.xml"/><Relationship Id="rId46" Type="http://schemas.openxmlformats.org/officeDocument/2006/relationships/image" Target="media/image20.wmf"/><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oleObject" Target="embeddings/oleObject2.bin"/><Relationship Id="rId29" Type="http://schemas.openxmlformats.org/officeDocument/2006/relationships/image" Target="media/image12.wmf"/><Relationship Id="rId41" Type="http://schemas.openxmlformats.org/officeDocument/2006/relationships/image" Target="media/image15.wmf"/><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header" Target="header7.xml"/><Relationship Id="rId40" Type="http://schemas.openxmlformats.org/officeDocument/2006/relationships/header" Target="header10.xml"/><Relationship Id="rId45" Type="http://schemas.openxmlformats.org/officeDocument/2006/relationships/image" Target="media/image19.wmf"/><Relationship Id="rId53"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9.wmf"/><Relationship Id="rId28" Type="http://schemas.openxmlformats.org/officeDocument/2006/relationships/oleObject" Target="embeddings/oleObject6.bin"/><Relationship Id="rId36" Type="http://schemas.openxmlformats.org/officeDocument/2006/relationships/header" Target="header6.xml"/><Relationship Id="rId49" Type="http://schemas.openxmlformats.org/officeDocument/2006/relationships/image" Target="media/image22.wmf"/><Relationship Id="rId10" Type="http://schemas.openxmlformats.org/officeDocument/2006/relationships/hyperlink" Target="http://www.itu.int/publ/R-REC/fr" TargetMode="External"/><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18.wmf"/><Relationship Id="rId52"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image" Target="media/image3.wmf"/><Relationship Id="rId22" Type="http://schemas.openxmlformats.org/officeDocument/2006/relationships/oleObject" Target="embeddings/oleObject3.bin"/><Relationship Id="rId27" Type="http://schemas.openxmlformats.org/officeDocument/2006/relationships/image" Target="media/image11.wmf"/><Relationship Id="rId30" Type="http://schemas.openxmlformats.org/officeDocument/2006/relationships/oleObject" Target="embeddings/oleObject7.bin"/><Relationship Id="rId35" Type="http://schemas.openxmlformats.org/officeDocument/2006/relationships/header" Target="header5.xml"/><Relationship Id="rId43" Type="http://schemas.openxmlformats.org/officeDocument/2006/relationships/image" Target="media/image17.wmf"/><Relationship Id="rId48" Type="http://schemas.openxmlformats.org/officeDocument/2006/relationships/oleObject" Target="embeddings/oleObject10.bin"/><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24.wmf"/><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AC554F-EBE8-4AA6-9919-D121B94DC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123</TotalTime>
  <Pages>11</Pages>
  <Words>16134</Words>
  <Characters>89549</Characters>
  <Application>Microsoft Office Word</Application>
  <DocSecurity>0</DocSecurity>
  <Lines>1865</Lines>
  <Paragraphs>794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Gachet, Christelle</cp:lastModifiedBy>
  <cp:revision>15</cp:revision>
  <cp:lastPrinted>2020-04-23T09:30:00Z</cp:lastPrinted>
  <dcterms:created xsi:type="dcterms:W3CDTF">2011-04-04T13:29:00Z</dcterms:created>
  <dcterms:modified xsi:type="dcterms:W3CDTF">2020-04-23T12:01:00Z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