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E67" w:rsidRDefault="00FF4E67" w:rsidP="00FF4E67"/>
    <w:p w:rsidR="00FF4E67" w:rsidRDefault="00FF4E67" w:rsidP="00FF4E67"/>
    <w:p w:rsidR="00FF4E67" w:rsidRDefault="00FF4E67" w:rsidP="00FF4E67"/>
    <w:p w:rsidR="00FF4E67" w:rsidRDefault="00FF4E67" w:rsidP="00FF4E67"/>
    <w:p w:rsidR="00FF4E67" w:rsidRDefault="00FF4E67" w:rsidP="00FF4E67"/>
    <w:p w:rsidR="00FF4E67" w:rsidRDefault="00FF4E67" w:rsidP="00FF4E67"/>
    <w:p w:rsidR="00FF4E67" w:rsidRDefault="00FF4E67" w:rsidP="00FF4E67"/>
    <w:p w:rsidR="00FF4E67" w:rsidRDefault="00FF4E67" w:rsidP="00FF4E67"/>
    <w:p w:rsidR="00FF4E67" w:rsidRDefault="00FF4E67" w:rsidP="00FF4E67"/>
    <w:p w:rsidR="00FF4E67" w:rsidRDefault="00FF4E67" w:rsidP="00FF4E67"/>
    <w:p w:rsidR="00FF4E67" w:rsidRDefault="00FF4E67" w:rsidP="00FF4E67"/>
    <w:p w:rsidR="00FF4E67" w:rsidRDefault="00FF4E67" w:rsidP="00FF4E67"/>
    <w:tbl>
      <w:tblPr>
        <w:tblW w:w="10089" w:type="dxa"/>
        <w:tblLook w:val="01E0" w:firstRow="1" w:lastRow="1" w:firstColumn="1" w:lastColumn="1" w:noHBand="0" w:noVBand="0"/>
      </w:tblPr>
      <w:tblGrid>
        <w:gridCol w:w="10089"/>
      </w:tblGrid>
      <w:tr w:rsidR="00FF4E67" w:rsidTr="00B95906">
        <w:tc>
          <w:tcPr>
            <w:tcW w:w="10089" w:type="dxa"/>
          </w:tcPr>
          <w:p w:rsidR="00FF4E67" w:rsidRPr="001511A6" w:rsidRDefault="00FF4E67" w:rsidP="00B95906">
            <w:pPr>
              <w:spacing w:before="380" w:line="280" w:lineRule="exact"/>
              <w:jc w:val="right"/>
              <w:rPr>
                <w:rFonts w:ascii="Tahoma" w:hAnsi="Tahoma" w:cs="Tahoma"/>
                <w:b/>
                <w:bCs/>
                <w:iCs/>
                <w:color w:val="243285"/>
                <w:sz w:val="32"/>
                <w:szCs w:val="32"/>
                <w:lang w:val="en-US"/>
              </w:rPr>
            </w:pPr>
          </w:p>
          <w:p w:rsidR="00FF4E67" w:rsidRPr="008A1453" w:rsidRDefault="00FF4E67" w:rsidP="00FF4E67">
            <w:pPr>
              <w:spacing w:before="380" w:line="280" w:lineRule="exact"/>
              <w:jc w:val="right"/>
              <w:rPr>
                <w:rFonts w:ascii="Tahoma" w:hAnsi="Tahoma" w:cs="Tahoma"/>
                <w:b/>
                <w:bCs/>
                <w:iCs/>
                <w:color w:val="243285"/>
                <w:sz w:val="36"/>
                <w:szCs w:val="36"/>
                <w:lang w:val="fr-CH"/>
              </w:rPr>
            </w:pPr>
            <w:r w:rsidRPr="008A1453">
              <w:rPr>
                <w:rFonts w:ascii="Tahoma" w:hAnsi="Tahoma" w:cs="Tahoma"/>
                <w:b/>
                <w:bCs/>
                <w:iCs/>
                <w:color w:val="243285"/>
                <w:sz w:val="36"/>
                <w:szCs w:val="36"/>
                <w:lang w:val="fr-CH"/>
              </w:rPr>
              <w:t>Recommendation  ITU-R  SF.</w:t>
            </w:r>
            <w:r>
              <w:rPr>
                <w:rFonts w:ascii="Tahoma" w:hAnsi="Tahoma" w:cs="Tahoma"/>
                <w:b/>
                <w:bCs/>
                <w:iCs/>
                <w:color w:val="243285"/>
                <w:sz w:val="36"/>
                <w:szCs w:val="36"/>
                <w:lang w:val="fr-CH"/>
              </w:rPr>
              <w:t>675-4</w:t>
            </w:r>
          </w:p>
          <w:p w:rsidR="00FF4E67" w:rsidRPr="008A1453" w:rsidRDefault="00FF4E67" w:rsidP="00FF4E67">
            <w:pPr>
              <w:spacing w:before="80" w:line="280" w:lineRule="exact"/>
              <w:jc w:val="right"/>
              <w:rPr>
                <w:rFonts w:ascii="Tahoma" w:hAnsi="Tahoma" w:cs="Tahoma"/>
                <w:b/>
                <w:bCs/>
                <w:iCs/>
                <w:color w:val="243285"/>
                <w:szCs w:val="24"/>
                <w:lang w:val="fr-CH"/>
              </w:rPr>
            </w:pPr>
            <w:r w:rsidRPr="008A1453">
              <w:rPr>
                <w:rFonts w:ascii="Tahoma" w:hAnsi="Tahoma" w:cs="Tahoma"/>
                <w:b/>
                <w:bCs/>
                <w:iCs/>
                <w:color w:val="243285"/>
                <w:szCs w:val="24"/>
                <w:lang w:val="fr-CH"/>
              </w:rPr>
              <w:t>(0</w:t>
            </w:r>
            <w:r>
              <w:rPr>
                <w:rFonts w:ascii="Tahoma" w:hAnsi="Tahoma" w:cs="Tahoma"/>
                <w:b/>
                <w:bCs/>
                <w:iCs/>
                <w:color w:val="243285"/>
                <w:szCs w:val="24"/>
                <w:lang w:val="fr-CH"/>
              </w:rPr>
              <w:t>1</w:t>
            </w:r>
            <w:r w:rsidRPr="008A1453">
              <w:rPr>
                <w:rFonts w:ascii="Tahoma" w:hAnsi="Tahoma" w:cs="Tahoma"/>
                <w:b/>
                <w:bCs/>
                <w:iCs/>
                <w:color w:val="243285"/>
                <w:szCs w:val="24"/>
                <w:lang w:val="fr-CH"/>
              </w:rPr>
              <w:t>/201</w:t>
            </w:r>
            <w:r>
              <w:rPr>
                <w:rFonts w:ascii="Tahoma" w:hAnsi="Tahoma" w:cs="Tahoma"/>
                <w:b/>
                <w:bCs/>
                <w:iCs/>
                <w:color w:val="243285"/>
                <w:szCs w:val="24"/>
                <w:lang w:val="fr-CH"/>
              </w:rPr>
              <w:t>2</w:t>
            </w:r>
            <w:r w:rsidRPr="008A1453">
              <w:rPr>
                <w:rFonts w:ascii="Tahoma" w:hAnsi="Tahoma" w:cs="Tahoma"/>
                <w:b/>
                <w:bCs/>
                <w:iCs/>
                <w:color w:val="243285"/>
                <w:szCs w:val="24"/>
                <w:lang w:val="fr-CH"/>
              </w:rPr>
              <w:t>)</w:t>
            </w:r>
          </w:p>
        </w:tc>
      </w:tr>
      <w:tr w:rsidR="00FF4E67" w:rsidRPr="001A5E8E" w:rsidTr="00B95906">
        <w:tc>
          <w:tcPr>
            <w:tcW w:w="10089" w:type="dxa"/>
          </w:tcPr>
          <w:p w:rsidR="00FF4E67" w:rsidRPr="00FF4E67" w:rsidRDefault="00FF4E67" w:rsidP="00B95906">
            <w:pPr>
              <w:spacing w:before="80" w:line="500" w:lineRule="exact"/>
              <w:jc w:val="right"/>
              <w:rPr>
                <w:rFonts w:ascii="Tahoma" w:hAnsi="Tahoma" w:cs="Tahoma"/>
                <w:b/>
                <w:bCs/>
                <w:iCs/>
                <w:color w:val="243285"/>
                <w:sz w:val="44"/>
                <w:szCs w:val="44"/>
                <w:lang w:val="en-US"/>
              </w:rPr>
            </w:pPr>
          </w:p>
          <w:p w:rsidR="00FF4E67" w:rsidRPr="00FF4E67" w:rsidRDefault="00FF4E67" w:rsidP="00FF4E67">
            <w:pPr>
              <w:spacing w:before="80" w:line="500" w:lineRule="exact"/>
              <w:jc w:val="right"/>
              <w:rPr>
                <w:rFonts w:ascii="Tahoma" w:hAnsi="Tahoma" w:cs="Tahoma"/>
                <w:b/>
                <w:bCs/>
                <w:iCs/>
                <w:color w:val="243285"/>
                <w:sz w:val="44"/>
                <w:szCs w:val="44"/>
                <w:lang w:val="en-US"/>
              </w:rPr>
            </w:pPr>
            <w:r w:rsidRPr="00FF4E67">
              <w:rPr>
                <w:rFonts w:ascii="Tahoma" w:hAnsi="Tahoma" w:cs="Tahoma"/>
                <w:b/>
                <w:bCs/>
                <w:iCs/>
                <w:color w:val="243285"/>
                <w:sz w:val="44"/>
                <w:szCs w:val="44"/>
                <w:lang w:val="en-US"/>
              </w:rPr>
              <w:t>C</w:t>
            </w:r>
            <w:r w:rsidR="00077597" w:rsidRPr="00FF4E67">
              <w:rPr>
                <w:rFonts w:ascii="Tahoma" w:hAnsi="Tahoma" w:cs="Tahoma"/>
                <w:b/>
                <w:bCs/>
                <w:iCs/>
                <w:color w:val="243285"/>
                <w:sz w:val="44"/>
                <w:szCs w:val="44"/>
                <w:lang w:val="en-US"/>
              </w:rPr>
              <w:t xml:space="preserve">alculation </w:t>
            </w:r>
            <w:r w:rsidR="00D03931">
              <w:rPr>
                <w:rFonts w:ascii="Tahoma" w:hAnsi="Tahoma" w:cs="Tahoma"/>
                <w:b/>
                <w:bCs/>
                <w:iCs/>
                <w:color w:val="243285"/>
                <w:sz w:val="44"/>
                <w:szCs w:val="44"/>
                <w:lang w:val="en-US"/>
              </w:rPr>
              <w:t xml:space="preserve">of the maximum power </w:t>
            </w:r>
            <w:r w:rsidR="00077597">
              <w:rPr>
                <w:rFonts w:ascii="Tahoma" w:hAnsi="Tahoma" w:cs="Tahoma"/>
                <w:b/>
                <w:bCs/>
                <w:iCs/>
                <w:color w:val="243285"/>
                <w:sz w:val="44"/>
                <w:szCs w:val="44"/>
                <w:lang w:val="en-US"/>
              </w:rPr>
              <w:t xml:space="preserve">density </w:t>
            </w:r>
            <w:r w:rsidR="00077597" w:rsidRPr="00FF4E67">
              <w:rPr>
                <w:rFonts w:ascii="Tahoma" w:hAnsi="Tahoma" w:cs="Tahoma"/>
                <w:b/>
                <w:bCs/>
                <w:iCs/>
                <w:color w:val="243285"/>
                <w:sz w:val="44"/>
                <w:szCs w:val="44"/>
                <w:lang w:val="en-US"/>
              </w:rPr>
              <w:t>(a</w:t>
            </w:r>
            <w:r w:rsidR="00077597">
              <w:rPr>
                <w:rFonts w:ascii="Tahoma" w:hAnsi="Tahoma" w:cs="Tahoma"/>
                <w:b/>
                <w:bCs/>
                <w:iCs/>
                <w:color w:val="243285"/>
                <w:sz w:val="44"/>
                <w:szCs w:val="44"/>
                <w:lang w:val="en-US"/>
              </w:rPr>
              <w:t xml:space="preserve">veraged over </w:t>
            </w:r>
            <w:r>
              <w:rPr>
                <w:rFonts w:ascii="Tahoma" w:hAnsi="Tahoma" w:cs="Tahoma"/>
                <w:b/>
                <w:bCs/>
                <w:iCs/>
                <w:color w:val="243285"/>
                <w:sz w:val="44"/>
                <w:szCs w:val="44"/>
                <w:lang w:val="en-US"/>
              </w:rPr>
              <w:t xml:space="preserve">4 </w:t>
            </w:r>
            <w:r w:rsidRPr="00FF4E67">
              <w:rPr>
                <w:rFonts w:ascii="Tahoma" w:hAnsi="Tahoma" w:cs="Tahoma"/>
                <w:b/>
                <w:bCs/>
                <w:iCs/>
                <w:color w:val="243285"/>
                <w:sz w:val="44"/>
                <w:szCs w:val="44"/>
                <w:lang w:val="en-US"/>
              </w:rPr>
              <w:t>kHz or 1 MHz</w:t>
            </w:r>
            <w:r>
              <w:rPr>
                <w:rFonts w:ascii="Tahoma" w:hAnsi="Tahoma" w:cs="Tahoma"/>
                <w:b/>
                <w:bCs/>
                <w:iCs/>
                <w:color w:val="243285"/>
                <w:sz w:val="44"/>
                <w:szCs w:val="44"/>
                <w:lang w:val="en-US"/>
              </w:rPr>
              <w:t>)</w:t>
            </w:r>
            <w:r>
              <w:rPr>
                <w:rFonts w:ascii="Tahoma" w:hAnsi="Tahoma" w:cs="Tahoma"/>
                <w:b/>
                <w:bCs/>
                <w:iCs/>
                <w:color w:val="243285"/>
                <w:sz w:val="44"/>
                <w:szCs w:val="44"/>
                <w:lang w:val="en-US"/>
              </w:rPr>
              <w:br/>
            </w:r>
            <w:r w:rsidR="00077597">
              <w:rPr>
                <w:rFonts w:ascii="Tahoma" w:hAnsi="Tahoma" w:cs="Tahoma"/>
                <w:b/>
                <w:bCs/>
                <w:iCs/>
                <w:color w:val="243285"/>
                <w:sz w:val="44"/>
                <w:szCs w:val="44"/>
                <w:lang w:val="en-US"/>
              </w:rPr>
              <w:t xml:space="preserve">of angle-modulated </w:t>
            </w:r>
            <w:r w:rsidR="00077597" w:rsidRPr="00FF4E67">
              <w:rPr>
                <w:rFonts w:ascii="Tahoma" w:hAnsi="Tahoma" w:cs="Tahoma"/>
                <w:b/>
                <w:bCs/>
                <w:iCs/>
                <w:color w:val="243285"/>
                <w:sz w:val="44"/>
                <w:szCs w:val="44"/>
                <w:lang w:val="en-US"/>
              </w:rPr>
              <w:t>and digital carriers</w:t>
            </w:r>
          </w:p>
          <w:p w:rsidR="00FF4E67" w:rsidRPr="001511A6" w:rsidRDefault="00FF4E67" w:rsidP="00B95906">
            <w:pPr>
              <w:spacing w:before="80" w:line="500" w:lineRule="exact"/>
              <w:jc w:val="right"/>
              <w:rPr>
                <w:rFonts w:ascii="Tahoma" w:hAnsi="Tahoma" w:cs="Tahoma"/>
                <w:b/>
                <w:bCs/>
                <w:iCs/>
                <w:color w:val="243285"/>
                <w:sz w:val="40"/>
                <w:szCs w:val="40"/>
                <w:lang w:val="en-US"/>
              </w:rPr>
            </w:pPr>
          </w:p>
        </w:tc>
      </w:tr>
      <w:tr w:rsidR="00FF4E67" w:rsidRPr="001A5E8E" w:rsidTr="00B95906">
        <w:tc>
          <w:tcPr>
            <w:tcW w:w="10089" w:type="dxa"/>
          </w:tcPr>
          <w:p w:rsidR="00FF4E67" w:rsidRPr="008A1453" w:rsidRDefault="00FF4E67" w:rsidP="00B95906">
            <w:pPr>
              <w:spacing w:before="80" w:line="280" w:lineRule="exact"/>
              <w:ind w:right="640"/>
              <w:rPr>
                <w:rFonts w:ascii="Tahoma" w:hAnsi="Tahoma" w:cs="Tahoma"/>
                <w:b/>
                <w:bCs/>
                <w:iCs/>
                <w:color w:val="243285"/>
                <w:sz w:val="32"/>
                <w:szCs w:val="32"/>
                <w:lang w:val="en-US"/>
              </w:rPr>
            </w:pPr>
          </w:p>
          <w:p w:rsidR="00FF4E67" w:rsidRPr="008A1453" w:rsidRDefault="00FF4E67" w:rsidP="00B95906">
            <w:pPr>
              <w:spacing w:before="80" w:line="280" w:lineRule="exact"/>
              <w:ind w:right="640"/>
              <w:rPr>
                <w:rFonts w:ascii="Tahoma" w:hAnsi="Tahoma" w:cs="Tahoma"/>
                <w:b/>
                <w:bCs/>
                <w:iCs/>
                <w:color w:val="243285"/>
                <w:sz w:val="32"/>
                <w:szCs w:val="32"/>
                <w:lang w:val="en-US"/>
              </w:rPr>
            </w:pPr>
          </w:p>
          <w:p w:rsidR="00FF4E67" w:rsidRPr="008A1453" w:rsidRDefault="00FF4E67" w:rsidP="00B95906">
            <w:pPr>
              <w:spacing w:before="80" w:after="180" w:line="360" w:lineRule="exact"/>
              <w:ind w:right="720"/>
              <w:rPr>
                <w:rFonts w:ascii="Tahoma" w:hAnsi="Tahoma" w:cs="Tahoma"/>
                <w:b/>
                <w:bCs/>
                <w:iCs/>
                <w:color w:val="243285"/>
                <w:sz w:val="36"/>
                <w:szCs w:val="36"/>
                <w:lang w:val="en-US"/>
              </w:rPr>
            </w:pPr>
          </w:p>
          <w:p w:rsidR="00FF4E67" w:rsidRPr="001511A6" w:rsidRDefault="00FF4E67" w:rsidP="00B95906">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SF</w:t>
            </w:r>
            <w:r w:rsidRPr="001511A6">
              <w:rPr>
                <w:rFonts w:ascii="Tahoma" w:hAnsi="Tahoma" w:cs="Tahoma"/>
                <w:b/>
                <w:bCs/>
                <w:iCs/>
                <w:color w:val="243285"/>
                <w:sz w:val="36"/>
                <w:szCs w:val="36"/>
                <w:lang w:val="en-US"/>
              </w:rPr>
              <w:t xml:space="preserve"> Series</w:t>
            </w:r>
          </w:p>
          <w:p w:rsidR="00FF4E67" w:rsidRDefault="00FF4E67" w:rsidP="00B95906">
            <w:pPr>
              <w:spacing w:before="80" w:line="360" w:lineRule="exact"/>
              <w:jc w:val="right"/>
              <w:rPr>
                <w:rFonts w:ascii="Tahoma" w:hAnsi="Tahoma" w:cs="Tahoma"/>
                <w:b/>
                <w:bCs/>
                <w:iCs/>
                <w:color w:val="243285"/>
                <w:sz w:val="36"/>
                <w:szCs w:val="36"/>
                <w:lang w:val="en-US"/>
              </w:rPr>
            </w:pPr>
            <w:r w:rsidRPr="00A84B4E">
              <w:rPr>
                <w:rFonts w:ascii="Tahoma" w:hAnsi="Tahoma" w:cs="Tahoma"/>
                <w:b/>
                <w:bCs/>
                <w:iCs/>
                <w:color w:val="243285"/>
                <w:sz w:val="36"/>
                <w:szCs w:val="36"/>
                <w:lang w:val="en-US"/>
              </w:rPr>
              <w:t>Frequency sharing and coordination between</w:t>
            </w:r>
          </w:p>
          <w:p w:rsidR="00FF4E67" w:rsidRPr="001511A6" w:rsidRDefault="00FF4E67" w:rsidP="00B95906">
            <w:pPr>
              <w:spacing w:before="80" w:line="360" w:lineRule="exact"/>
              <w:jc w:val="right"/>
              <w:rPr>
                <w:rFonts w:ascii="Tahoma" w:hAnsi="Tahoma" w:cs="Tahoma"/>
                <w:b/>
                <w:bCs/>
                <w:iCs/>
                <w:color w:val="243285"/>
                <w:sz w:val="32"/>
                <w:szCs w:val="32"/>
                <w:lang w:val="en-US"/>
              </w:rPr>
            </w:pPr>
            <w:r w:rsidRPr="00A84B4E">
              <w:rPr>
                <w:rFonts w:ascii="Tahoma" w:hAnsi="Tahoma" w:cs="Tahoma"/>
                <w:b/>
                <w:bCs/>
                <w:iCs/>
                <w:color w:val="243285"/>
                <w:sz w:val="36"/>
                <w:szCs w:val="36"/>
                <w:lang w:val="en-US"/>
              </w:rPr>
              <w:t>fixed-satellite and fixed service systems</w:t>
            </w:r>
          </w:p>
        </w:tc>
      </w:tr>
    </w:tbl>
    <w:p w:rsidR="00FF4E67" w:rsidRDefault="00FF4E67" w:rsidP="00FF4E67">
      <w:pPr>
        <w:spacing w:before="80"/>
        <w:rPr>
          <w:i/>
          <w:sz w:val="22"/>
          <w:lang w:val="en-US"/>
        </w:rPr>
      </w:pPr>
    </w:p>
    <w:p w:rsidR="00FF4E67" w:rsidRDefault="00FF4E67" w:rsidP="00FF4E67">
      <w:pPr>
        <w:spacing w:before="80"/>
        <w:rPr>
          <w:i/>
          <w:sz w:val="22"/>
          <w:lang w:val="en-US"/>
        </w:rPr>
      </w:pPr>
    </w:p>
    <w:p w:rsidR="00FF4E67" w:rsidRDefault="00FF4E67" w:rsidP="00FF4E67">
      <w:pPr>
        <w:spacing w:before="80"/>
        <w:rPr>
          <w:i/>
          <w:sz w:val="22"/>
          <w:lang w:val="en-US"/>
        </w:rPr>
      </w:pPr>
    </w:p>
    <w:p w:rsidR="00FF4E67" w:rsidRDefault="00FF4E67" w:rsidP="00FF4E67">
      <w:pPr>
        <w:spacing w:before="80"/>
        <w:rPr>
          <w:i/>
          <w:sz w:val="22"/>
          <w:lang w:val="en-US"/>
        </w:rPr>
      </w:pPr>
    </w:p>
    <w:p w:rsidR="00FF4E67" w:rsidRDefault="00FF4E67" w:rsidP="00FF4E67">
      <w:pPr>
        <w:spacing w:before="80"/>
        <w:rPr>
          <w:i/>
          <w:sz w:val="22"/>
          <w:lang w:val="en-US"/>
        </w:rPr>
      </w:pPr>
    </w:p>
    <w:p w:rsidR="00FF4E67" w:rsidRDefault="00FF4E67" w:rsidP="00FF4E67">
      <w:pPr>
        <w:spacing w:before="80"/>
        <w:rPr>
          <w:i/>
          <w:sz w:val="22"/>
          <w:lang w:val="en-US"/>
        </w:rPr>
      </w:pPr>
    </w:p>
    <w:p w:rsidR="00FF4E67" w:rsidRDefault="00FF4E67" w:rsidP="00FF4E67">
      <w:pPr>
        <w:pStyle w:val="Equation"/>
        <w:tabs>
          <w:tab w:val="clear" w:pos="4820"/>
          <w:tab w:val="clear" w:pos="9639"/>
          <w:tab w:val="left" w:pos="1191"/>
          <w:tab w:val="left" w:pos="1588"/>
          <w:tab w:val="left" w:pos="1985"/>
        </w:tabs>
        <w:rPr>
          <w:rFonts w:ascii="Palatino Linotype" w:hAnsi="Palatino Linotype"/>
          <w:lang w:val="en-US"/>
        </w:rPr>
        <w:sectPr w:rsidR="00FF4E67">
          <w:headerReference w:type="even" r:id="rId8"/>
          <w:headerReference w:type="default" r:id="rId9"/>
          <w:pgSz w:w="11907" w:h="16840" w:code="9"/>
          <w:pgMar w:top="1089" w:right="1089" w:bottom="284" w:left="1089" w:header="567" w:footer="284" w:gutter="0"/>
          <w:pgNumType w:start="1"/>
          <w:cols w:space="720"/>
        </w:sectPr>
      </w:pPr>
    </w:p>
    <w:p w:rsidR="00FF4E67" w:rsidRPr="00586EF8" w:rsidRDefault="00FF4E67" w:rsidP="00FF4E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FF4E67" w:rsidRDefault="00FF4E67" w:rsidP="00FF4E67">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FF4E67" w:rsidRDefault="00FF4E67" w:rsidP="00FF4E67">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FF4E67" w:rsidRPr="00B714F3" w:rsidRDefault="00FF4E67" w:rsidP="00FF4E67">
      <w:pPr>
        <w:pStyle w:val="Heading1"/>
        <w:spacing w:before="680"/>
        <w:jc w:val="center"/>
        <w:rPr>
          <w:szCs w:val="24"/>
          <w:lang w:val="en-US"/>
        </w:rPr>
      </w:pPr>
      <w:r w:rsidRPr="00B714F3">
        <w:rPr>
          <w:szCs w:val="24"/>
          <w:lang w:val="en-US"/>
        </w:rPr>
        <w:t>Policy on Intellectual Property Right (IPR)</w:t>
      </w:r>
    </w:p>
    <w:p w:rsidR="00FF4E67" w:rsidRPr="00B714F3" w:rsidRDefault="00FF4E67" w:rsidP="00FF4E67">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FF4E67" w:rsidRDefault="00FF4E67" w:rsidP="00FF4E67">
      <w:pPr>
        <w:jc w:val="center"/>
        <w:rPr>
          <w:sz w:val="22"/>
          <w:lang w:val="en-US"/>
        </w:rPr>
      </w:pPr>
    </w:p>
    <w:p w:rsidR="00FF4E67" w:rsidRDefault="00FF4E67" w:rsidP="00FF4E67">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F4E67" w:rsidRPr="001A5E8E" w:rsidTr="00B95906">
        <w:tc>
          <w:tcPr>
            <w:tcW w:w="9360" w:type="dxa"/>
            <w:gridSpan w:val="2"/>
          </w:tcPr>
          <w:p w:rsidR="00FF4E67" w:rsidRPr="00036EE3" w:rsidRDefault="00FF4E67" w:rsidP="00B95906">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FF4E67" w:rsidRPr="00036EE3" w:rsidRDefault="00FF4E67" w:rsidP="00B959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036EE3">
                <w:rPr>
                  <w:rStyle w:val="Hyperlink"/>
                  <w:b w:val="0"/>
                  <w:sz w:val="18"/>
                  <w:szCs w:val="18"/>
                  <w:lang w:val="en-US"/>
                </w:rPr>
                <w:t>http://www.itu.int/publ/R-REC/en</w:t>
              </w:r>
            </w:hyperlink>
            <w:r w:rsidRPr="00CE0A43">
              <w:rPr>
                <w:b w:val="0"/>
                <w:sz w:val="18"/>
                <w:szCs w:val="18"/>
                <w:lang w:val="en-US"/>
              </w:rPr>
              <w:t>)</w:t>
            </w:r>
          </w:p>
        </w:tc>
      </w:tr>
      <w:tr w:rsidR="00FF4E67" w:rsidRPr="00036EE3" w:rsidTr="00B95906">
        <w:tc>
          <w:tcPr>
            <w:tcW w:w="1140" w:type="dxa"/>
            <w:tcBorders>
              <w:bottom w:val="nil"/>
            </w:tcBorders>
          </w:tcPr>
          <w:p w:rsidR="00FF4E67" w:rsidRPr="00036EE3" w:rsidRDefault="00FF4E67" w:rsidP="00B95906">
            <w:pPr>
              <w:spacing w:before="200" w:after="100"/>
              <w:ind w:left="57"/>
              <w:rPr>
                <w:b/>
                <w:bCs/>
                <w:sz w:val="20"/>
                <w:lang w:val="en-US"/>
              </w:rPr>
            </w:pPr>
            <w:r w:rsidRPr="00036EE3">
              <w:rPr>
                <w:b/>
                <w:bCs/>
                <w:sz w:val="20"/>
                <w:lang w:val="en-US"/>
              </w:rPr>
              <w:t>Series</w:t>
            </w:r>
          </w:p>
        </w:tc>
        <w:tc>
          <w:tcPr>
            <w:tcW w:w="8220" w:type="dxa"/>
            <w:tcBorders>
              <w:bottom w:val="nil"/>
            </w:tcBorders>
          </w:tcPr>
          <w:p w:rsidR="00FF4E67" w:rsidRPr="00036EE3" w:rsidRDefault="00FF4E67" w:rsidP="00B959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FF4E67" w:rsidRPr="00A4173A" w:rsidTr="00B95906">
        <w:tc>
          <w:tcPr>
            <w:tcW w:w="1140" w:type="dxa"/>
            <w:tcBorders>
              <w:top w:val="nil"/>
              <w:bottom w:val="nil"/>
            </w:tcBorders>
            <w:shd w:val="clear" w:color="auto" w:fill="auto"/>
          </w:tcPr>
          <w:p w:rsidR="00FF4E67" w:rsidRPr="00A4173A" w:rsidRDefault="00FF4E67" w:rsidP="00B95906">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FF4E67" w:rsidRPr="00A4173A" w:rsidRDefault="00FF4E67" w:rsidP="00B959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FF4E67" w:rsidRPr="001A5E8E" w:rsidTr="00B95906">
        <w:tc>
          <w:tcPr>
            <w:tcW w:w="1140" w:type="dxa"/>
            <w:tcBorders>
              <w:top w:val="nil"/>
            </w:tcBorders>
          </w:tcPr>
          <w:p w:rsidR="00FF4E67" w:rsidRPr="00036EE3" w:rsidRDefault="00FF4E67" w:rsidP="00B95906">
            <w:pPr>
              <w:spacing w:before="30" w:after="30"/>
              <w:ind w:left="57"/>
              <w:jc w:val="left"/>
              <w:rPr>
                <w:b/>
                <w:bCs/>
                <w:sz w:val="20"/>
                <w:lang w:val="en-US"/>
              </w:rPr>
            </w:pPr>
            <w:r w:rsidRPr="00036EE3">
              <w:rPr>
                <w:b/>
                <w:bCs/>
                <w:sz w:val="20"/>
                <w:lang w:val="en-US"/>
              </w:rPr>
              <w:t>BR</w:t>
            </w:r>
          </w:p>
        </w:tc>
        <w:tc>
          <w:tcPr>
            <w:tcW w:w="8220" w:type="dxa"/>
            <w:tcBorders>
              <w:top w:val="nil"/>
            </w:tcBorders>
          </w:tcPr>
          <w:p w:rsidR="00FF4E67" w:rsidRPr="00036EE3" w:rsidRDefault="00FF4E67" w:rsidP="00B959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FF4E67" w:rsidRPr="00036EE3" w:rsidTr="00B95906">
        <w:tc>
          <w:tcPr>
            <w:tcW w:w="1140" w:type="dxa"/>
          </w:tcPr>
          <w:p w:rsidR="00FF4E67" w:rsidRPr="00036EE3" w:rsidRDefault="00FF4E67" w:rsidP="00B95906">
            <w:pPr>
              <w:spacing w:before="30" w:after="30"/>
              <w:ind w:left="57"/>
              <w:jc w:val="left"/>
              <w:rPr>
                <w:b/>
                <w:bCs/>
                <w:sz w:val="20"/>
                <w:lang w:val="en-US"/>
              </w:rPr>
            </w:pPr>
            <w:r w:rsidRPr="00036EE3">
              <w:rPr>
                <w:b/>
                <w:bCs/>
                <w:sz w:val="20"/>
                <w:lang w:val="en-US"/>
              </w:rPr>
              <w:t>BS</w:t>
            </w:r>
          </w:p>
        </w:tc>
        <w:tc>
          <w:tcPr>
            <w:tcW w:w="8220" w:type="dxa"/>
          </w:tcPr>
          <w:p w:rsidR="00FF4E67" w:rsidRPr="00036EE3" w:rsidRDefault="00FF4E67" w:rsidP="00B959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FF4E67" w:rsidRPr="00ED2695" w:rsidTr="00B95906">
        <w:tc>
          <w:tcPr>
            <w:tcW w:w="1140" w:type="dxa"/>
            <w:shd w:val="clear" w:color="auto" w:fill="auto"/>
          </w:tcPr>
          <w:p w:rsidR="00FF4E67" w:rsidRPr="00ED2695" w:rsidRDefault="00FF4E67" w:rsidP="00B95906">
            <w:pPr>
              <w:spacing w:before="30" w:after="30"/>
              <w:ind w:left="57"/>
              <w:jc w:val="left"/>
              <w:rPr>
                <w:b/>
                <w:bCs/>
                <w:sz w:val="20"/>
                <w:lang w:val="en-US"/>
              </w:rPr>
            </w:pPr>
            <w:r w:rsidRPr="00ED2695">
              <w:rPr>
                <w:b/>
                <w:bCs/>
                <w:sz w:val="20"/>
                <w:lang w:val="en-US"/>
              </w:rPr>
              <w:t>BT</w:t>
            </w:r>
          </w:p>
        </w:tc>
        <w:tc>
          <w:tcPr>
            <w:tcW w:w="8220" w:type="dxa"/>
            <w:shd w:val="clear" w:color="auto" w:fill="auto"/>
          </w:tcPr>
          <w:p w:rsidR="00FF4E67" w:rsidRPr="00ED2695" w:rsidRDefault="00FF4E67" w:rsidP="00B959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FF4E67" w:rsidRPr="00036EE3" w:rsidTr="00B95906">
        <w:tc>
          <w:tcPr>
            <w:tcW w:w="1140" w:type="dxa"/>
            <w:shd w:val="clear" w:color="auto" w:fill="auto"/>
          </w:tcPr>
          <w:p w:rsidR="00FF4E67" w:rsidRPr="00036EE3" w:rsidRDefault="00FF4E67" w:rsidP="00B95906">
            <w:pPr>
              <w:spacing w:before="30" w:after="30"/>
              <w:ind w:left="57"/>
              <w:jc w:val="left"/>
              <w:rPr>
                <w:b/>
                <w:bCs/>
                <w:sz w:val="20"/>
                <w:lang w:val="fr-CH"/>
              </w:rPr>
            </w:pPr>
            <w:r w:rsidRPr="00036EE3">
              <w:rPr>
                <w:b/>
                <w:bCs/>
                <w:sz w:val="20"/>
                <w:lang w:val="fr-CH"/>
              </w:rPr>
              <w:t>F</w:t>
            </w:r>
          </w:p>
        </w:tc>
        <w:tc>
          <w:tcPr>
            <w:tcW w:w="8220" w:type="dxa"/>
            <w:shd w:val="clear" w:color="auto" w:fill="auto"/>
          </w:tcPr>
          <w:p w:rsidR="00FF4E67" w:rsidRPr="00036EE3" w:rsidRDefault="00FF4E67" w:rsidP="00B959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FF4E67" w:rsidRPr="00036EE3" w:rsidTr="00B95906">
        <w:tc>
          <w:tcPr>
            <w:tcW w:w="1140" w:type="dxa"/>
            <w:shd w:val="clear" w:color="auto" w:fill="auto"/>
          </w:tcPr>
          <w:p w:rsidR="00FF4E67" w:rsidRPr="00906589" w:rsidRDefault="00FF4E67" w:rsidP="00B95906">
            <w:pPr>
              <w:spacing w:before="30" w:after="30"/>
              <w:ind w:left="57"/>
              <w:jc w:val="left"/>
              <w:rPr>
                <w:b/>
                <w:bCs/>
                <w:sz w:val="20"/>
                <w:lang w:val="en-US"/>
              </w:rPr>
            </w:pPr>
            <w:r w:rsidRPr="00906589">
              <w:rPr>
                <w:b/>
                <w:bCs/>
                <w:sz w:val="20"/>
                <w:lang w:val="en-US"/>
              </w:rPr>
              <w:t>M</w:t>
            </w:r>
          </w:p>
        </w:tc>
        <w:tc>
          <w:tcPr>
            <w:tcW w:w="8220" w:type="dxa"/>
            <w:shd w:val="clear" w:color="auto" w:fill="auto"/>
          </w:tcPr>
          <w:p w:rsidR="00FF4E67" w:rsidRPr="00906589" w:rsidRDefault="00FF4E67" w:rsidP="00B959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FF4E67" w:rsidRPr="00036EE3" w:rsidTr="00B95906">
        <w:tc>
          <w:tcPr>
            <w:tcW w:w="1140" w:type="dxa"/>
          </w:tcPr>
          <w:p w:rsidR="00FF4E67" w:rsidRPr="00036EE3" w:rsidRDefault="00FF4E67" w:rsidP="00B95906">
            <w:pPr>
              <w:spacing w:before="30" w:after="30"/>
              <w:ind w:left="57"/>
              <w:jc w:val="left"/>
              <w:rPr>
                <w:b/>
                <w:bCs/>
                <w:sz w:val="20"/>
                <w:lang w:val="fr-CH"/>
              </w:rPr>
            </w:pPr>
            <w:r w:rsidRPr="00036EE3">
              <w:rPr>
                <w:b/>
                <w:bCs/>
                <w:sz w:val="20"/>
                <w:lang w:val="fr-CH"/>
              </w:rPr>
              <w:t>P</w:t>
            </w:r>
          </w:p>
        </w:tc>
        <w:tc>
          <w:tcPr>
            <w:tcW w:w="8220" w:type="dxa"/>
          </w:tcPr>
          <w:p w:rsidR="00FF4E67" w:rsidRPr="00036EE3" w:rsidRDefault="00FF4E67" w:rsidP="00B95906">
            <w:pPr>
              <w:spacing w:before="30" w:after="30"/>
              <w:jc w:val="left"/>
              <w:rPr>
                <w:sz w:val="20"/>
                <w:lang w:val="fr-CH"/>
              </w:rPr>
            </w:pPr>
            <w:r w:rsidRPr="00036EE3">
              <w:rPr>
                <w:sz w:val="20"/>
                <w:lang w:val="fr-CH"/>
              </w:rPr>
              <w:t>Radiowave propagation</w:t>
            </w:r>
          </w:p>
        </w:tc>
      </w:tr>
      <w:tr w:rsidR="00FF4E67" w:rsidRPr="00036EE3" w:rsidTr="00B95906">
        <w:tc>
          <w:tcPr>
            <w:tcW w:w="1140" w:type="dxa"/>
          </w:tcPr>
          <w:p w:rsidR="00FF4E67" w:rsidRPr="00036EE3" w:rsidRDefault="00FF4E67" w:rsidP="00B95906">
            <w:pPr>
              <w:spacing w:before="30" w:after="30"/>
              <w:ind w:left="57"/>
              <w:jc w:val="left"/>
              <w:rPr>
                <w:b/>
                <w:bCs/>
                <w:sz w:val="20"/>
                <w:lang w:val="en-US"/>
              </w:rPr>
            </w:pPr>
            <w:r w:rsidRPr="00036EE3">
              <w:rPr>
                <w:b/>
                <w:bCs/>
                <w:sz w:val="20"/>
                <w:lang w:val="en-US"/>
              </w:rPr>
              <w:t>RA</w:t>
            </w:r>
          </w:p>
        </w:tc>
        <w:tc>
          <w:tcPr>
            <w:tcW w:w="8220" w:type="dxa"/>
          </w:tcPr>
          <w:p w:rsidR="00FF4E67" w:rsidRPr="00036EE3" w:rsidRDefault="00FF4E67" w:rsidP="00B959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FF4E67" w:rsidRPr="00036EE3" w:rsidTr="00B95906">
        <w:tc>
          <w:tcPr>
            <w:tcW w:w="1140" w:type="dxa"/>
          </w:tcPr>
          <w:p w:rsidR="00FF4E67" w:rsidRPr="00036EE3" w:rsidRDefault="00FF4E67" w:rsidP="00B95906">
            <w:pPr>
              <w:spacing w:before="30" w:after="30"/>
              <w:ind w:left="57"/>
              <w:jc w:val="left"/>
              <w:rPr>
                <w:b/>
                <w:bCs/>
                <w:sz w:val="20"/>
                <w:lang w:val="en-US"/>
              </w:rPr>
            </w:pPr>
            <w:r w:rsidRPr="00036EE3">
              <w:rPr>
                <w:b/>
                <w:bCs/>
                <w:sz w:val="20"/>
                <w:lang w:val="en-US"/>
              </w:rPr>
              <w:t>RS</w:t>
            </w:r>
          </w:p>
        </w:tc>
        <w:tc>
          <w:tcPr>
            <w:tcW w:w="8220" w:type="dxa"/>
          </w:tcPr>
          <w:p w:rsidR="00FF4E67" w:rsidRPr="00036EE3" w:rsidRDefault="00FF4E67" w:rsidP="00B959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FF4E67" w:rsidRPr="00036EE3" w:rsidTr="00B95906">
        <w:tc>
          <w:tcPr>
            <w:tcW w:w="1140" w:type="dxa"/>
            <w:tcBorders>
              <w:bottom w:val="nil"/>
            </w:tcBorders>
          </w:tcPr>
          <w:p w:rsidR="00FF4E67" w:rsidRPr="00036EE3" w:rsidRDefault="00FF4E67" w:rsidP="00B95906">
            <w:pPr>
              <w:spacing w:before="30" w:after="30"/>
              <w:ind w:left="57"/>
              <w:jc w:val="left"/>
              <w:rPr>
                <w:b/>
                <w:bCs/>
                <w:sz w:val="20"/>
                <w:lang w:val="en-US"/>
              </w:rPr>
            </w:pPr>
            <w:r w:rsidRPr="00036EE3">
              <w:rPr>
                <w:b/>
                <w:bCs/>
                <w:sz w:val="20"/>
                <w:lang w:val="en-US"/>
              </w:rPr>
              <w:t>S</w:t>
            </w:r>
          </w:p>
        </w:tc>
        <w:tc>
          <w:tcPr>
            <w:tcW w:w="8220" w:type="dxa"/>
            <w:tcBorders>
              <w:bottom w:val="nil"/>
            </w:tcBorders>
          </w:tcPr>
          <w:p w:rsidR="00FF4E67" w:rsidRPr="00036EE3" w:rsidRDefault="00FF4E67" w:rsidP="00B95906">
            <w:pPr>
              <w:spacing w:before="30" w:after="30"/>
              <w:jc w:val="left"/>
              <w:rPr>
                <w:sz w:val="20"/>
                <w:lang w:val="en-US"/>
              </w:rPr>
            </w:pPr>
            <w:r w:rsidRPr="00036EE3">
              <w:rPr>
                <w:sz w:val="20"/>
                <w:lang w:val="en-US"/>
              </w:rPr>
              <w:t>Fixed-satellite service</w:t>
            </w:r>
          </w:p>
        </w:tc>
      </w:tr>
      <w:tr w:rsidR="00FF4E67" w:rsidRPr="00A84B4E" w:rsidTr="00B95906">
        <w:tc>
          <w:tcPr>
            <w:tcW w:w="1140" w:type="dxa"/>
            <w:tcBorders>
              <w:top w:val="nil"/>
              <w:bottom w:val="nil"/>
            </w:tcBorders>
            <w:shd w:val="clear" w:color="auto" w:fill="auto"/>
          </w:tcPr>
          <w:p w:rsidR="00FF4E67" w:rsidRPr="00A84B4E" w:rsidRDefault="00FF4E67" w:rsidP="00B95906">
            <w:pPr>
              <w:spacing w:before="30" w:after="30"/>
              <w:ind w:left="57"/>
              <w:jc w:val="left"/>
              <w:rPr>
                <w:b/>
                <w:bCs/>
                <w:sz w:val="20"/>
                <w:lang w:val="en-US"/>
              </w:rPr>
            </w:pPr>
            <w:r w:rsidRPr="00A84B4E">
              <w:rPr>
                <w:b/>
                <w:bCs/>
                <w:sz w:val="20"/>
                <w:lang w:val="en-US"/>
              </w:rPr>
              <w:t>SA</w:t>
            </w:r>
          </w:p>
        </w:tc>
        <w:tc>
          <w:tcPr>
            <w:tcW w:w="8220" w:type="dxa"/>
            <w:tcBorders>
              <w:top w:val="nil"/>
              <w:bottom w:val="nil"/>
            </w:tcBorders>
            <w:shd w:val="clear" w:color="auto" w:fill="auto"/>
          </w:tcPr>
          <w:p w:rsidR="00FF4E67" w:rsidRPr="00A84B4E" w:rsidRDefault="00FF4E67" w:rsidP="00B95906">
            <w:pPr>
              <w:spacing w:before="30" w:after="30"/>
              <w:jc w:val="left"/>
              <w:rPr>
                <w:sz w:val="20"/>
                <w:lang w:val="en-US"/>
              </w:rPr>
            </w:pPr>
            <w:r w:rsidRPr="00A84B4E">
              <w:rPr>
                <w:sz w:val="20"/>
                <w:lang w:val="en-US"/>
              </w:rPr>
              <w:t>Space applications and meteorology</w:t>
            </w:r>
          </w:p>
        </w:tc>
      </w:tr>
      <w:tr w:rsidR="00FF4E67" w:rsidRPr="001A5E8E" w:rsidTr="00B95906">
        <w:tc>
          <w:tcPr>
            <w:tcW w:w="1140" w:type="dxa"/>
            <w:tcBorders>
              <w:top w:val="nil"/>
              <w:bottom w:val="nil"/>
            </w:tcBorders>
            <w:shd w:val="clear" w:color="auto" w:fill="F3F3F3"/>
          </w:tcPr>
          <w:p w:rsidR="00FF4E67" w:rsidRPr="00A84B4E" w:rsidRDefault="00FF4E67" w:rsidP="00B95906">
            <w:pPr>
              <w:spacing w:before="30" w:after="30"/>
              <w:ind w:left="57"/>
              <w:jc w:val="left"/>
              <w:rPr>
                <w:b/>
                <w:bCs/>
                <w:color w:val="000080"/>
                <w:sz w:val="20"/>
                <w:lang w:val="en-US"/>
              </w:rPr>
            </w:pPr>
            <w:r w:rsidRPr="00A84B4E">
              <w:rPr>
                <w:b/>
                <w:bCs/>
                <w:color w:val="000080"/>
                <w:sz w:val="20"/>
                <w:lang w:val="en-US"/>
              </w:rPr>
              <w:t>SF</w:t>
            </w:r>
          </w:p>
        </w:tc>
        <w:tc>
          <w:tcPr>
            <w:tcW w:w="8220" w:type="dxa"/>
            <w:tcBorders>
              <w:top w:val="nil"/>
              <w:bottom w:val="nil"/>
            </w:tcBorders>
            <w:shd w:val="clear" w:color="auto" w:fill="F3F3F3"/>
          </w:tcPr>
          <w:p w:rsidR="00FF4E67" w:rsidRPr="00A84B4E" w:rsidRDefault="00FF4E67" w:rsidP="00B95906">
            <w:pPr>
              <w:spacing w:before="30" w:after="30"/>
              <w:jc w:val="left"/>
              <w:rPr>
                <w:b/>
                <w:bCs/>
                <w:color w:val="000080"/>
                <w:sz w:val="20"/>
                <w:lang w:val="en-US"/>
              </w:rPr>
            </w:pPr>
            <w:r w:rsidRPr="00A84B4E">
              <w:rPr>
                <w:b/>
                <w:bCs/>
                <w:color w:val="000080"/>
                <w:sz w:val="20"/>
                <w:lang w:val="en-US"/>
              </w:rPr>
              <w:t>Frequency sharing and coordination between fixed-satellite and fixed service systems</w:t>
            </w:r>
          </w:p>
        </w:tc>
      </w:tr>
      <w:tr w:rsidR="00FF4E67" w:rsidRPr="00036EE3" w:rsidTr="00B95906">
        <w:tc>
          <w:tcPr>
            <w:tcW w:w="1140" w:type="dxa"/>
            <w:tcBorders>
              <w:top w:val="nil"/>
              <w:bottom w:val="nil"/>
            </w:tcBorders>
            <w:shd w:val="clear" w:color="auto" w:fill="auto"/>
          </w:tcPr>
          <w:p w:rsidR="00FF4E67" w:rsidRPr="001B164E" w:rsidRDefault="00FF4E67" w:rsidP="00B95906">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FF4E67" w:rsidRPr="001B164E" w:rsidRDefault="00FF4E67" w:rsidP="00B95906">
            <w:pPr>
              <w:spacing w:before="30" w:after="30"/>
              <w:jc w:val="left"/>
              <w:rPr>
                <w:rFonts w:hAnsi="Times New Roman Bold"/>
                <w:sz w:val="20"/>
                <w:lang w:val="en-US"/>
              </w:rPr>
            </w:pPr>
            <w:r w:rsidRPr="001B164E">
              <w:rPr>
                <w:rFonts w:hAnsi="Times New Roman Bold"/>
                <w:sz w:val="20"/>
                <w:lang w:val="en-US"/>
              </w:rPr>
              <w:t>Spectrum management</w:t>
            </w:r>
          </w:p>
        </w:tc>
      </w:tr>
      <w:tr w:rsidR="00FF4E67" w:rsidRPr="00036EE3" w:rsidTr="00B95906">
        <w:tc>
          <w:tcPr>
            <w:tcW w:w="1140" w:type="dxa"/>
            <w:tcBorders>
              <w:top w:val="nil"/>
            </w:tcBorders>
          </w:tcPr>
          <w:p w:rsidR="00FF4E67" w:rsidRPr="00036EE3" w:rsidRDefault="00FF4E67" w:rsidP="00B95906">
            <w:pPr>
              <w:spacing w:before="30" w:after="30"/>
              <w:ind w:left="57"/>
              <w:jc w:val="left"/>
              <w:rPr>
                <w:b/>
                <w:bCs/>
                <w:sz w:val="20"/>
                <w:lang w:val="en-US"/>
              </w:rPr>
            </w:pPr>
            <w:r w:rsidRPr="00036EE3">
              <w:rPr>
                <w:b/>
                <w:bCs/>
                <w:sz w:val="20"/>
                <w:lang w:val="en-US"/>
              </w:rPr>
              <w:t>SNG</w:t>
            </w:r>
          </w:p>
        </w:tc>
        <w:tc>
          <w:tcPr>
            <w:tcW w:w="8220" w:type="dxa"/>
            <w:tcBorders>
              <w:top w:val="nil"/>
            </w:tcBorders>
          </w:tcPr>
          <w:p w:rsidR="00FF4E67" w:rsidRPr="00036EE3" w:rsidRDefault="00FF4E67" w:rsidP="00B95906">
            <w:pPr>
              <w:spacing w:before="30" w:after="30"/>
              <w:jc w:val="left"/>
              <w:rPr>
                <w:sz w:val="20"/>
                <w:lang w:val="en-US"/>
              </w:rPr>
            </w:pPr>
            <w:r w:rsidRPr="00036EE3">
              <w:rPr>
                <w:sz w:val="20"/>
                <w:lang w:val="en-US"/>
              </w:rPr>
              <w:t>Satellite news gathering</w:t>
            </w:r>
          </w:p>
        </w:tc>
      </w:tr>
      <w:tr w:rsidR="00FF4E67" w:rsidRPr="001A5E8E" w:rsidTr="00B95906">
        <w:tc>
          <w:tcPr>
            <w:tcW w:w="1140" w:type="dxa"/>
          </w:tcPr>
          <w:p w:rsidR="00FF4E67" w:rsidRPr="00036EE3" w:rsidRDefault="00FF4E67" w:rsidP="00B95906">
            <w:pPr>
              <w:spacing w:before="30" w:after="30"/>
              <w:ind w:left="57"/>
              <w:jc w:val="left"/>
              <w:rPr>
                <w:b/>
                <w:bCs/>
                <w:sz w:val="20"/>
                <w:lang w:val="en-US"/>
              </w:rPr>
            </w:pPr>
            <w:r w:rsidRPr="00036EE3">
              <w:rPr>
                <w:b/>
                <w:bCs/>
                <w:sz w:val="20"/>
                <w:lang w:val="en-US"/>
              </w:rPr>
              <w:t>TF</w:t>
            </w:r>
          </w:p>
        </w:tc>
        <w:tc>
          <w:tcPr>
            <w:tcW w:w="8220" w:type="dxa"/>
          </w:tcPr>
          <w:p w:rsidR="00FF4E67" w:rsidRPr="00036EE3" w:rsidRDefault="00FF4E67" w:rsidP="00B95906">
            <w:pPr>
              <w:spacing w:before="30" w:after="30"/>
              <w:jc w:val="left"/>
              <w:rPr>
                <w:sz w:val="20"/>
                <w:lang w:val="en-US"/>
              </w:rPr>
            </w:pPr>
            <w:r w:rsidRPr="00036EE3">
              <w:rPr>
                <w:sz w:val="20"/>
                <w:lang w:val="en-US"/>
              </w:rPr>
              <w:t>Time signals and frequency standards emissions</w:t>
            </w:r>
          </w:p>
        </w:tc>
      </w:tr>
      <w:tr w:rsidR="00FF4E67" w:rsidRPr="00036EE3" w:rsidTr="00B95906">
        <w:tc>
          <w:tcPr>
            <w:tcW w:w="1140" w:type="dxa"/>
          </w:tcPr>
          <w:p w:rsidR="00FF4E67" w:rsidRPr="00036EE3" w:rsidRDefault="00FF4E67" w:rsidP="00B95906">
            <w:pPr>
              <w:spacing w:before="30" w:after="30"/>
              <w:ind w:left="57"/>
              <w:jc w:val="left"/>
              <w:rPr>
                <w:b/>
                <w:bCs/>
                <w:sz w:val="20"/>
                <w:lang w:val="en-US"/>
              </w:rPr>
            </w:pPr>
            <w:r w:rsidRPr="00036EE3">
              <w:rPr>
                <w:b/>
                <w:bCs/>
                <w:sz w:val="20"/>
                <w:lang w:val="en-US"/>
              </w:rPr>
              <w:t>V</w:t>
            </w:r>
          </w:p>
        </w:tc>
        <w:tc>
          <w:tcPr>
            <w:tcW w:w="8220" w:type="dxa"/>
          </w:tcPr>
          <w:p w:rsidR="00FF4E67" w:rsidRPr="00036EE3" w:rsidRDefault="00FF4E67" w:rsidP="00B95906">
            <w:pPr>
              <w:spacing w:before="30" w:after="180"/>
              <w:jc w:val="left"/>
              <w:rPr>
                <w:sz w:val="20"/>
                <w:lang w:val="en-US"/>
              </w:rPr>
            </w:pPr>
            <w:r w:rsidRPr="00036EE3">
              <w:rPr>
                <w:sz w:val="20"/>
                <w:lang w:val="en-US"/>
              </w:rPr>
              <w:t>Vocabulary and related subjects</w:t>
            </w:r>
          </w:p>
        </w:tc>
      </w:tr>
    </w:tbl>
    <w:p w:rsidR="00FF4E67" w:rsidRPr="00036EE3" w:rsidRDefault="00FF4E67" w:rsidP="00FF4E6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F4E67" w:rsidTr="00B95906">
        <w:tc>
          <w:tcPr>
            <w:tcW w:w="720" w:type="dxa"/>
          </w:tcPr>
          <w:p w:rsidR="00FF4E67" w:rsidRDefault="00FF4E67" w:rsidP="00B95906">
            <w:pPr>
              <w:jc w:val="center"/>
              <w:rPr>
                <w:sz w:val="22"/>
                <w:lang w:val="en-US"/>
              </w:rPr>
            </w:pPr>
          </w:p>
        </w:tc>
      </w:tr>
    </w:tbl>
    <w:p w:rsidR="00FF4E67" w:rsidRPr="00036EE3" w:rsidRDefault="00FF4E67" w:rsidP="00FF4E6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F4E67" w:rsidRPr="001A5E8E" w:rsidTr="00B95906">
        <w:tc>
          <w:tcPr>
            <w:tcW w:w="9360" w:type="dxa"/>
          </w:tcPr>
          <w:p w:rsidR="00FF4E67" w:rsidRPr="002F5199" w:rsidRDefault="00FF4E67" w:rsidP="00B95906">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FF4E67" w:rsidRDefault="00FF4E67" w:rsidP="00FF4E67">
      <w:pPr>
        <w:spacing w:before="0"/>
        <w:jc w:val="center"/>
        <w:rPr>
          <w:sz w:val="22"/>
          <w:lang w:val="en-US"/>
        </w:rPr>
      </w:pPr>
    </w:p>
    <w:p w:rsidR="00FF4E67" w:rsidRDefault="00FF4E67" w:rsidP="00FF4E67">
      <w:pPr>
        <w:spacing w:before="0"/>
        <w:jc w:val="center"/>
        <w:rPr>
          <w:sz w:val="22"/>
          <w:lang w:val="en-US"/>
        </w:rPr>
      </w:pPr>
    </w:p>
    <w:p w:rsidR="00FF4E67" w:rsidRPr="002F5199" w:rsidRDefault="00FF4E67" w:rsidP="00FF4E67">
      <w:pPr>
        <w:spacing w:before="0"/>
        <w:jc w:val="right"/>
        <w:rPr>
          <w:i/>
          <w:iCs/>
          <w:sz w:val="20"/>
          <w:lang w:val="en-US"/>
        </w:rPr>
      </w:pPr>
      <w:r w:rsidRPr="002F5199">
        <w:rPr>
          <w:i/>
          <w:iCs/>
          <w:sz w:val="20"/>
          <w:lang w:val="en-US"/>
        </w:rPr>
        <w:t>Electronic Publication</w:t>
      </w:r>
    </w:p>
    <w:p w:rsidR="00FF4E67" w:rsidRPr="002F5199" w:rsidRDefault="00FF4E67" w:rsidP="00FF4E67">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12</w:t>
      </w:r>
    </w:p>
    <w:p w:rsidR="00FF4E67" w:rsidRDefault="00FF4E67" w:rsidP="00FF4E67">
      <w:pPr>
        <w:jc w:val="center"/>
        <w:rPr>
          <w:sz w:val="22"/>
          <w:lang w:val="en-US"/>
        </w:rPr>
      </w:pPr>
    </w:p>
    <w:p w:rsidR="00FF4E67" w:rsidRPr="00470E28" w:rsidRDefault="00FF4E67" w:rsidP="00FF4E67">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12</w:t>
      </w:r>
    </w:p>
    <w:p w:rsidR="00FF4E67" w:rsidRPr="00470E28" w:rsidRDefault="00FF4E67" w:rsidP="00FF4E67">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FF4E67" w:rsidRDefault="00FF4E67" w:rsidP="00FF4E67">
      <w:pPr>
        <w:spacing w:before="160"/>
        <w:rPr>
          <w:i/>
          <w:sz w:val="20"/>
          <w:lang w:val="en-US"/>
        </w:rPr>
        <w:sectPr w:rsidR="00FF4E67"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FF4E67" w:rsidRDefault="00FF4E67" w:rsidP="00B4320A">
      <w:pPr>
        <w:pStyle w:val="RecNo"/>
        <w:rPr>
          <w:lang w:val="en-GB"/>
        </w:rPr>
      </w:pPr>
      <w:bookmarkStart w:id="2" w:name="irecnoe"/>
      <w:bookmarkEnd w:id="2"/>
      <w:r>
        <w:rPr>
          <w:lang w:val="en-GB"/>
        </w:rPr>
        <w:lastRenderedPageBreak/>
        <w:t xml:space="preserve">RECOMMENDATION </w:t>
      </w:r>
      <w:r w:rsidR="00B4320A">
        <w:rPr>
          <w:rStyle w:val="href"/>
          <w:lang w:val="en-GB"/>
        </w:rPr>
        <w:t xml:space="preserve">ITU-R </w:t>
      </w:r>
      <w:r>
        <w:rPr>
          <w:rStyle w:val="href"/>
          <w:lang w:val="en-GB"/>
        </w:rPr>
        <w:t>SF.675-4</w:t>
      </w:r>
    </w:p>
    <w:p w:rsidR="00FF4E67" w:rsidRPr="00B4320A" w:rsidRDefault="00FF4E67" w:rsidP="00B4320A">
      <w:pPr>
        <w:pStyle w:val="Rectitle"/>
        <w:rPr>
          <w:lang w:val="en-US"/>
        </w:rPr>
      </w:pPr>
      <w:r w:rsidRPr="00B4320A">
        <w:rPr>
          <w:lang w:val="en-US"/>
        </w:rPr>
        <w:t>C</w:t>
      </w:r>
      <w:r w:rsidR="00B4320A" w:rsidRPr="00B4320A">
        <w:rPr>
          <w:lang w:val="en-US"/>
        </w:rPr>
        <w:t>alculation of the maximum power density (</w:t>
      </w:r>
      <w:r w:rsidR="00B4320A" w:rsidRPr="00B4320A">
        <w:rPr>
          <w:spacing w:val="-25"/>
          <w:lang w:val="en-US"/>
        </w:rPr>
        <w:t>a</w:t>
      </w:r>
      <w:r w:rsidR="00B4320A" w:rsidRPr="00B4320A">
        <w:rPr>
          <w:lang w:val="en-US"/>
        </w:rPr>
        <w:t>veraged over 4 kHz or 1 MHz</w:t>
      </w:r>
      <w:r w:rsidR="00B4320A">
        <w:rPr>
          <w:lang w:val="en-US"/>
        </w:rPr>
        <w:t>)</w:t>
      </w:r>
      <w:r w:rsidR="00B4320A">
        <w:rPr>
          <w:lang w:val="en-US"/>
        </w:rPr>
        <w:br/>
        <w:t xml:space="preserve">of angle-modulated </w:t>
      </w:r>
      <w:r w:rsidR="00B4320A" w:rsidRPr="00B4320A">
        <w:rPr>
          <w:lang w:val="en-US"/>
        </w:rPr>
        <w:t>and digital carriers</w:t>
      </w:r>
    </w:p>
    <w:p w:rsidR="00FF4E67" w:rsidRPr="00FF4E67" w:rsidRDefault="00FF4E67" w:rsidP="00B4320A">
      <w:pPr>
        <w:pStyle w:val="Recdate"/>
        <w:rPr>
          <w:lang w:val="en-US"/>
        </w:rPr>
      </w:pPr>
      <w:r w:rsidRPr="00FF4E67">
        <w:rPr>
          <w:lang w:val="en-US"/>
        </w:rPr>
        <w:t>(1990-1992-1993-1994</w:t>
      </w:r>
      <w:r w:rsidR="00566F73">
        <w:rPr>
          <w:lang w:val="en-US"/>
        </w:rPr>
        <w:t>-2012</w:t>
      </w:r>
      <w:r w:rsidRPr="00FF4E67">
        <w:rPr>
          <w:lang w:val="en-US"/>
        </w:rPr>
        <w:t>)</w:t>
      </w:r>
    </w:p>
    <w:p w:rsidR="00FF4E67" w:rsidRPr="00FF4E67" w:rsidRDefault="00FF4E67" w:rsidP="00FF4E67">
      <w:pPr>
        <w:pStyle w:val="headfoot"/>
        <w:rPr>
          <w:color w:val="FFFFFF"/>
          <w:lang w:val="en-US"/>
        </w:rPr>
      </w:pPr>
      <w:r w:rsidRPr="00FF4E67">
        <w:rPr>
          <w:color w:val="FFFFFF"/>
          <w:lang w:val="en-US"/>
        </w:rPr>
        <w:t>Rec. ITU-R SF.675-3</w:t>
      </w:r>
    </w:p>
    <w:p w:rsidR="00FF4E67" w:rsidRPr="00FF4E67" w:rsidRDefault="00FF4E67" w:rsidP="00FF4E67">
      <w:pPr>
        <w:pStyle w:val="Headingb"/>
        <w:rPr>
          <w:sz w:val="22"/>
          <w:szCs w:val="22"/>
          <w:lang w:val="en-US"/>
        </w:rPr>
      </w:pPr>
      <w:r w:rsidRPr="00FF4E67">
        <w:rPr>
          <w:sz w:val="22"/>
          <w:szCs w:val="22"/>
          <w:lang w:val="en-US"/>
        </w:rPr>
        <w:t>Scope</w:t>
      </w:r>
    </w:p>
    <w:p w:rsidR="00FF4E67" w:rsidRPr="00FF4E67" w:rsidRDefault="00FF4E67" w:rsidP="00FF4E67">
      <w:pPr>
        <w:rPr>
          <w:sz w:val="22"/>
          <w:szCs w:val="22"/>
          <w:lang w:val="en-US"/>
        </w:rPr>
      </w:pPr>
      <w:r w:rsidRPr="00FF4E67">
        <w:rPr>
          <w:sz w:val="22"/>
          <w:szCs w:val="22"/>
          <w:lang w:val="en-US"/>
        </w:rPr>
        <w:t>This Recommendation provides methods for calculating the maximum power density of various types of carriers averaged over 4 kHz or 1 MHz.</w:t>
      </w:r>
    </w:p>
    <w:p w:rsidR="00FF4E67" w:rsidRPr="000B219D" w:rsidRDefault="00FF4E67" w:rsidP="00B4320A">
      <w:pPr>
        <w:rPr>
          <w:lang w:val="en-US"/>
        </w:rPr>
      </w:pPr>
      <w:r w:rsidRPr="000B219D">
        <w:rPr>
          <w:lang w:val="en-US"/>
        </w:rPr>
        <w:t>The ITU Radiocommunication Assembly,</w:t>
      </w:r>
    </w:p>
    <w:p w:rsidR="00FF4E67" w:rsidRPr="000B219D" w:rsidRDefault="00FF4E67" w:rsidP="00566F73">
      <w:pPr>
        <w:pStyle w:val="Call"/>
        <w:rPr>
          <w:lang w:val="en-US"/>
        </w:rPr>
      </w:pPr>
      <w:r w:rsidRPr="000B219D">
        <w:rPr>
          <w:lang w:val="en-US"/>
        </w:rPr>
        <w:t>considering</w:t>
      </w:r>
    </w:p>
    <w:p w:rsidR="00FF4E67" w:rsidRPr="00FF4E67" w:rsidRDefault="00FF4E67" w:rsidP="00566F73">
      <w:pPr>
        <w:rPr>
          <w:lang w:val="en-US"/>
        </w:rPr>
      </w:pPr>
      <w:r w:rsidRPr="00FF4E67">
        <w:rPr>
          <w:lang w:val="en-US"/>
        </w:rPr>
        <w:t>a)</w:t>
      </w:r>
      <w:r w:rsidRPr="00FF4E67">
        <w:rPr>
          <w:lang w:val="en-US"/>
        </w:rPr>
        <w:tab/>
        <w:t>that administrations are requested to prepare the information listed in Appendices 3 and 4  to the Radio Regulations (RR) for coordination and notification purposes;</w:t>
      </w:r>
    </w:p>
    <w:p w:rsidR="00FF4E67" w:rsidRPr="00FF4E67" w:rsidRDefault="00FF4E67" w:rsidP="00FF4E67">
      <w:pPr>
        <w:rPr>
          <w:lang w:val="en-US"/>
        </w:rPr>
      </w:pPr>
      <w:r w:rsidRPr="00FF4E67">
        <w:rPr>
          <w:lang w:val="en-US"/>
        </w:rPr>
        <w:t>b)</w:t>
      </w:r>
      <w:r w:rsidRPr="00FF4E67">
        <w:rPr>
          <w:lang w:val="en-US"/>
        </w:rPr>
        <w:tab/>
        <w:t>that one item of the information listed in RR Appendices</w:t>
      </w:r>
      <w:r w:rsidR="00566F73">
        <w:rPr>
          <w:lang w:val="en-US"/>
        </w:rPr>
        <w:t xml:space="preserve"> </w:t>
      </w:r>
      <w:r w:rsidRPr="00FF4E67">
        <w:rPr>
          <w:lang w:val="en-US"/>
        </w:rPr>
        <w:t>3 and 4 is the maximum power density per Hz at the input of the antenna;</w:t>
      </w:r>
    </w:p>
    <w:p w:rsidR="00FF4E67" w:rsidRPr="00FF4E67" w:rsidRDefault="00FF4E67" w:rsidP="00FF4E67">
      <w:pPr>
        <w:rPr>
          <w:lang w:val="en-US"/>
        </w:rPr>
      </w:pPr>
      <w:r w:rsidRPr="00FF4E67">
        <w:rPr>
          <w:lang w:val="en-US"/>
        </w:rPr>
        <w:t>c)</w:t>
      </w:r>
      <w:r w:rsidRPr="00FF4E67">
        <w:rPr>
          <w:lang w:val="en-US"/>
        </w:rPr>
        <w:tab/>
        <w:t>that RR Appendix </w:t>
      </w:r>
      <w:r w:rsidRPr="00FF4E67">
        <w:rPr>
          <w:bCs/>
          <w:lang w:val="en-US"/>
        </w:rPr>
        <w:t>4</w:t>
      </w:r>
      <w:r w:rsidRPr="00FF4E67">
        <w:rPr>
          <w:lang w:val="en-US"/>
        </w:rPr>
        <w:t xml:space="preserve"> prescribes that the maximum power density per Hz of a carrier is averaged over the worst 4 kHz band for frequencies below 15 GHz and is averaged over the worst 1 MHz band for frequencies above 15 GHz;</w:t>
      </w:r>
    </w:p>
    <w:p w:rsidR="00FF4E67" w:rsidRPr="00FF4E67" w:rsidRDefault="00FF4E67" w:rsidP="00FF4E67">
      <w:pPr>
        <w:rPr>
          <w:lang w:val="en-US"/>
        </w:rPr>
      </w:pPr>
      <w:r w:rsidRPr="00FF4E67">
        <w:rPr>
          <w:lang w:val="en-US"/>
        </w:rPr>
        <w:t>d)</w:t>
      </w:r>
      <w:r w:rsidRPr="00FF4E67">
        <w:rPr>
          <w:lang w:val="en-US"/>
        </w:rPr>
        <w:tab/>
        <w:t>that generalized methods are necessary for the calculation of the maximum power density of an angle</w:t>
      </w:r>
      <w:r w:rsidRPr="00FF4E67">
        <w:rPr>
          <w:lang w:val="en-US"/>
        </w:rPr>
        <w:noBreakHyphen/>
        <w:t>modulated carrier;</w:t>
      </w:r>
    </w:p>
    <w:p w:rsidR="00FF4E67" w:rsidRPr="00FF4E67" w:rsidRDefault="00FF4E67" w:rsidP="00FF4E67">
      <w:pPr>
        <w:rPr>
          <w:lang w:val="en-US"/>
        </w:rPr>
      </w:pPr>
      <w:r w:rsidRPr="00FF4E67">
        <w:rPr>
          <w:lang w:val="en-US"/>
        </w:rPr>
        <w:t>e)</w:t>
      </w:r>
      <w:r w:rsidRPr="00FF4E67">
        <w:rPr>
          <w:lang w:val="en-US"/>
        </w:rPr>
        <w:tab/>
        <w:t>that tracking, telemetry and telecommand (TT&amp;C) carriers generally have modulation characteristics, and hence spectral density characteristics, that differ from other types of carriers,</w:t>
      </w:r>
    </w:p>
    <w:p w:rsidR="00FF4E67" w:rsidRPr="00566F73" w:rsidRDefault="00FF4E67" w:rsidP="00566F73">
      <w:pPr>
        <w:pStyle w:val="Call"/>
        <w:rPr>
          <w:lang w:val="en-US"/>
        </w:rPr>
      </w:pPr>
      <w:r w:rsidRPr="00566F73">
        <w:rPr>
          <w:lang w:val="en-US"/>
        </w:rPr>
        <w:t>recommends</w:t>
      </w:r>
    </w:p>
    <w:p w:rsidR="00FF4E67" w:rsidRPr="00FF4E67" w:rsidRDefault="00566F73" w:rsidP="00566F73">
      <w:pPr>
        <w:rPr>
          <w:lang w:val="en-US"/>
        </w:rPr>
      </w:pPr>
      <w:r w:rsidRPr="00566F73">
        <w:rPr>
          <w:b/>
          <w:bCs/>
          <w:lang w:val="en-US"/>
        </w:rPr>
        <w:t>1</w:t>
      </w:r>
      <w:r>
        <w:rPr>
          <w:lang w:val="en-US"/>
        </w:rPr>
        <w:tab/>
      </w:r>
      <w:r w:rsidR="00FF4E67" w:rsidRPr="00FF4E67">
        <w:rPr>
          <w:lang w:val="en-US"/>
        </w:rPr>
        <w:t>that the methods described in Annex 1 should be used for the calculation of the maximum power density, averaged</w:t>
      </w:r>
      <w:r>
        <w:rPr>
          <w:lang w:val="en-US"/>
        </w:rPr>
        <w:t xml:space="preserve"> over 4 kHz, of angle-modulated</w:t>
      </w:r>
      <w:r w:rsidR="00FF4E67" w:rsidRPr="00FF4E67">
        <w:rPr>
          <w:lang w:val="en-US"/>
        </w:rPr>
        <w:t>, digital or tracking, telemetry and telecommand (TT&amp;C) carriers;</w:t>
      </w:r>
    </w:p>
    <w:p w:rsidR="00FF4E67" w:rsidRPr="00FF4E67" w:rsidRDefault="00FF4E67" w:rsidP="00566F73">
      <w:pPr>
        <w:rPr>
          <w:lang w:val="en-US"/>
        </w:rPr>
      </w:pPr>
      <w:r w:rsidRPr="00FF4E67">
        <w:rPr>
          <w:b/>
          <w:lang w:val="en-US"/>
        </w:rPr>
        <w:t>2</w:t>
      </w:r>
      <w:r w:rsidRPr="00FF4E67">
        <w:rPr>
          <w:lang w:val="en-US"/>
        </w:rPr>
        <w:tab/>
        <w:t>that the methods described in Annex 2 should be used for calculation of the maximum power density, averaged over 1 MHz, of digital or TT&amp;C carriers;</w:t>
      </w:r>
    </w:p>
    <w:p w:rsidR="00FF4E67" w:rsidRPr="00FF4E67" w:rsidRDefault="00FF4E67" w:rsidP="00566F73">
      <w:pPr>
        <w:rPr>
          <w:lang w:val="en-US"/>
        </w:rPr>
      </w:pPr>
      <w:r w:rsidRPr="00FF4E67">
        <w:rPr>
          <w:b/>
          <w:bCs/>
          <w:lang w:val="en-US"/>
        </w:rPr>
        <w:t>3</w:t>
      </w:r>
      <w:r w:rsidR="00566F73">
        <w:rPr>
          <w:b/>
          <w:bCs/>
          <w:lang w:val="en-US"/>
        </w:rPr>
        <w:tab/>
      </w:r>
      <w:r w:rsidRPr="00FF4E67">
        <w:rPr>
          <w:lang w:val="en-US"/>
        </w:rPr>
        <w:t xml:space="preserve">that for the determination of the maximum spectral power density, with agreement of the other administrations concerned, the objectives of Resolution </w:t>
      </w:r>
      <w:r w:rsidRPr="00FF4E67">
        <w:rPr>
          <w:bCs/>
          <w:lang w:val="en-US"/>
        </w:rPr>
        <w:t>703 (Rev.WRC-07)</w:t>
      </w:r>
      <w:r w:rsidRPr="00FF4E67">
        <w:rPr>
          <w:lang w:val="en-US"/>
        </w:rPr>
        <w:t xml:space="preserve"> should be followed.</w:t>
      </w:r>
    </w:p>
    <w:p w:rsidR="00FF4E67" w:rsidRPr="00FF4E67" w:rsidRDefault="00FF4E67" w:rsidP="00FF4E67">
      <w:pPr>
        <w:rPr>
          <w:lang w:val="en-US"/>
        </w:rPr>
      </w:pPr>
    </w:p>
    <w:p w:rsidR="00FF4E67" w:rsidRPr="00FF4E67" w:rsidRDefault="00FF4E67" w:rsidP="00FF4E67">
      <w:pPr>
        <w:rPr>
          <w:lang w:val="en-US"/>
        </w:rPr>
      </w:pPr>
    </w:p>
    <w:p w:rsidR="00FF4E67" w:rsidRPr="00566F73" w:rsidRDefault="00566F73" w:rsidP="00B6034E">
      <w:pPr>
        <w:pStyle w:val="AnnexNoTitle"/>
        <w:rPr>
          <w:lang w:val="en-US"/>
        </w:rPr>
      </w:pPr>
      <w:r w:rsidRPr="00566F73">
        <w:rPr>
          <w:lang w:val="en-US"/>
        </w:rPr>
        <w:lastRenderedPageBreak/>
        <w:t xml:space="preserve">Annex </w:t>
      </w:r>
      <w:r w:rsidR="00FF4E67" w:rsidRPr="00566F73">
        <w:rPr>
          <w:lang w:val="en-US"/>
        </w:rPr>
        <w:t>1</w:t>
      </w:r>
      <w:r w:rsidRPr="00566F73">
        <w:rPr>
          <w:lang w:val="en-US"/>
        </w:rPr>
        <w:br/>
      </w:r>
      <w:r w:rsidRPr="00566F73">
        <w:rPr>
          <w:lang w:val="en-US"/>
        </w:rPr>
        <w:br/>
      </w:r>
      <w:r w:rsidR="00FF4E67" w:rsidRPr="00566F73">
        <w:rPr>
          <w:lang w:val="en-US"/>
        </w:rPr>
        <w:t>Calculation of the maximum power density (averaged over 4 kHz)</w:t>
      </w:r>
      <w:r w:rsidR="00FF4E67" w:rsidRPr="00566F73">
        <w:rPr>
          <w:lang w:val="en-US"/>
        </w:rPr>
        <w:br/>
        <w:t>of an angle</w:t>
      </w:r>
      <w:r w:rsidR="00B6034E">
        <w:rPr>
          <w:lang w:val="en-US"/>
        </w:rPr>
        <w:t>-</w:t>
      </w:r>
      <w:r w:rsidR="00FF4E67" w:rsidRPr="00566F73">
        <w:rPr>
          <w:lang w:val="en-US"/>
        </w:rPr>
        <w:t>modulated carrier</w:t>
      </w:r>
    </w:p>
    <w:p w:rsidR="00FF4E67" w:rsidRPr="000B219D" w:rsidRDefault="00FF4E67" w:rsidP="00B6034E">
      <w:pPr>
        <w:keepNext/>
        <w:keepLines/>
        <w:rPr>
          <w:lang w:val="en-US"/>
        </w:rPr>
      </w:pPr>
      <w:r w:rsidRPr="00566F73">
        <w:rPr>
          <w:lang w:val="en-US"/>
        </w:rPr>
        <w:t xml:space="preserve">Given below is the method of calculating the power level in the worst 4 kHz (W/4 kHz). </w:t>
      </w:r>
      <w:r w:rsidRPr="000B219D">
        <w:rPr>
          <w:lang w:val="en-US"/>
        </w:rPr>
        <w:t>The power density per Hz required by the RR is obtained by dividing this value by 4</w:t>
      </w:r>
      <w:r w:rsidRPr="000B219D">
        <w:rPr>
          <w:sz w:val="12"/>
          <w:szCs w:val="12"/>
          <w:lang w:val="en-US"/>
        </w:rPr>
        <w:t> </w:t>
      </w:r>
      <w:r w:rsidRPr="000B219D">
        <w:rPr>
          <w:lang w:val="en-US"/>
        </w:rPr>
        <w:t>000.</w:t>
      </w:r>
    </w:p>
    <w:p w:rsidR="00566F73" w:rsidRDefault="00FF4E67" w:rsidP="00B6034E">
      <w:pPr>
        <w:pStyle w:val="Heading1"/>
        <w:rPr>
          <w:lang w:val="en-US"/>
        </w:rPr>
      </w:pPr>
      <w:r w:rsidRPr="00FF4E67">
        <w:rPr>
          <w:lang w:val="en-US"/>
        </w:rPr>
        <w:t>1</w:t>
      </w:r>
      <w:r w:rsidRPr="00FF4E67">
        <w:rPr>
          <w:lang w:val="en-US"/>
        </w:rPr>
        <w:tab/>
        <w:t>FM carrier</w:t>
      </w:r>
    </w:p>
    <w:p w:rsidR="00566F73" w:rsidRDefault="00FF4E67" w:rsidP="00566F73">
      <w:pPr>
        <w:pStyle w:val="Heading2"/>
        <w:rPr>
          <w:lang w:val="en-US"/>
        </w:rPr>
      </w:pPr>
      <w:r w:rsidRPr="00FF4E67">
        <w:rPr>
          <w:lang w:val="en-US"/>
        </w:rPr>
        <w:t>1.1</w:t>
      </w:r>
      <w:r w:rsidRPr="00FF4E67">
        <w:rPr>
          <w:lang w:val="en-US"/>
        </w:rPr>
        <w:tab/>
        <w:t>FM carrier modulated by a multi-channel telephony signal</w:t>
      </w:r>
    </w:p>
    <w:p w:rsidR="00FF4E67" w:rsidRPr="00FF4E67" w:rsidRDefault="00FF4E67" w:rsidP="00566F73">
      <w:pPr>
        <w:rPr>
          <w:b/>
          <w:lang w:val="en-US"/>
        </w:rPr>
      </w:pPr>
      <w:r w:rsidRPr="00FF4E67">
        <w:rPr>
          <w:lang w:val="en-US"/>
        </w:rPr>
        <w:t>The maximum power spectral density at full baseband loading is determined either by the residual carrier or by the peaks of the continuous spectrum, depending upon the nature of the modulation.</w:t>
      </w:r>
    </w:p>
    <w:p w:rsidR="00FF4E67" w:rsidRPr="00FF4E67" w:rsidRDefault="00FF4E67" w:rsidP="00566F73">
      <w:pPr>
        <w:rPr>
          <w:lang w:val="en-US"/>
        </w:rPr>
      </w:pPr>
      <w:r w:rsidRPr="00FF4E67">
        <w:rPr>
          <w:lang w:val="en-US"/>
        </w:rPr>
        <w:t>The power of the residual carrier is given by the expression:</w:t>
      </w:r>
    </w:p>
    <w:p w:rsidR="00FF4E67" w:rsidRPr="00FF4E67" w:rsidRDefault="00FF4E67" w:rsidP="00FF4E67">
      <w:pPr>
        <w:pStyle w:val="Equation"/>
        <w:snapToGrid w:val="0"/>
        <w:spacing w:before="100" w:beforeAutospacing="1" w:after="100" w:afterAutospacing="1"/>
        <w:rPr>
          <w:lang w:val="en-US"/>
        </w:rPr>
      </w:pPr>
      <w:bookmarkStart w:id="3" w:name="f001"/>
      <w:r w:rsidRPr="00FF4E67">
        <w:rPr>
          <w:b/>
          <w:bCs/>
          <w:lang w:val="en-US"/>
        </w:rPr>
        <w:tab/>
      </w:r>
      <w:r w:rsidRPr="00FF4E67">
        <w:rPr>
          <w:i/>
          <w:iCs/>
          <w:lang w:val="en-US"/>
        </w:rPr>
        <w:tab/>
      </w:r>
      <w:r>
        <w:fldChar w:fldCharType="begin"/>
      </w:r>
      <w:r w:rsidRPr="00FF4E67">
        <w:rPr>
          <w:lang w:val="en-US"/>
        </w:rPr>
        <w:instrText xml:space="preserve">eq </w:instrText>
      </w:r>
      <w:r w:rsidRPr="00FF4E67">
        <w:rPr>
          <w:i/>
          <w:iCs/>
          <w:lang w:val="en-US"/>
        </w:rPr>
        <w:instrText>P</w:instrText>
      </w:r>
      <w:r w:rsidRPr="00FF4E67">
        <w:rPr>
          <w:i/>
          <w:iCs/>
          <w:position w:val="-4"/>
          <w:sz w:val="18"/>
          <w:szCs w:val="18"/>
          <w:lang w:val="en-US"/>
        </w:rPr>
        <w:instrText>t</w:instrText>
      </w:r>
      <w:r w:rsidRPr="00FF4E67">
        <w:rPr>
          <w:lang w:val="en-US"/>
        </w:rPr>
        <w:instrText xml:space="preserve">  </w:instrText>
      </w:r>
      <w:r w:rsidRPr="00FF4E67">
        <w:rPr>
          <w:rFonts w:ascii="Symbol" w:hAnsi="Symbol"/>
          <w:lang w:val="en-US"/>
        </w:rPr>
        <w:instrText>×</w:instrText>
      </w:r>
      <w:r w:rsidRPr="00FF4E67">
        <w:rPr>
          <w:lang w:val="en-US"/>
        </w:rPr>
        <w:instrText xml:space="preserve">  e\s\up4(</w:instrText>
      </w:r>
      <w:r w:rsidRPr="00FF4E67">
        <w:rPr>
          <w:sz w:val="18"/>
          <w:szCs w:val="18"/>
          <w:lang w:val="en-US"/>
        </w:rPr>
        <w:instrText>–</w:instrText>
      </w:r>
      <w:r w:rsidRPr="00FF4E67">
        <w:rPr>
          <w:rFonts w:ascii="Symbol" w:hAnsi="Symbol"/>
          <w:sz w:val="18"/>
          <w:szCs w:val="18"/>
          <w:lang w:val="en-US"/>
        </w:rPr>
        <w:instrText>y</w:instrText>
      </w:r>
      <w:r w:rsidRPr="00FF4E67">
        <w:rPr>
          <w:lang w:val="en-US"/>
        </w:rPr>
        <w:instrText>)\s\up2(</w:instrText>
      </w:r>
      <w:r w:rsidRPr="00FF4E67">
        <w:rPr>
          <w:rFonts w:ascii="Symbol" w:hAnsi="Symbol"/>
          <w:sz w:val="18"/>
          <w:szCs w:val="18"/>
          <w:lang w:val="en-US"/>
        </w:rPr>
        <w:instrText>0</w:instrText>
      </w:r>
      <w:r w:rsidRPr="00FF4E67">
        <w:rPr>
          <w:rFonts w:ascii="Symbol" w:hAnsi="Symbol"/>
          <w:lang w:val="en-US"/>
        </w:rPr>
        <w:instrText>)</w:instrText>
      </w:r>
      <w:r w:rsidRPr="00FF4E67">
        <w:rPr>
          <w:color w:val="FFFFFF"/>
          <w:lang w:val="en-US"/>
        </w:rPr>
        <w:instrText>mmmmmm</w:instrText>
      </w:r>
      <w:r w:rsidRPr="00FF4E67">
        <w:rPr>
          <w:lang w:val="en-US"/>
        </w:rPr>
        <w:instrText>W</w:instrText>
      </w:r>
      <w:r>
        <w:fldChar w:fldCharType="end"/>
      </w:r>
      <w:r w:rsidRPr="00FF4E67">
        <w:rPr>
          <w:lang w:val="en-US"/>
        </w:rPr>
        <w:tab/>
        <w:t>(1)</w:t>
      </w:r>
      <w:bookmarkEnd w:id="3"/>
    </w:p>
    <w:p w:rsidR="00FF4E67" w:rsidRPr="00FF4E67" w:rsidRDefault="00FF4E67" w:rsidP="00566F73">
      <w:pPr>
        <w:rPr>
          <w:lang w:val="en-US"/>
        </w:rPr>
      </w:pPr>
      <w:r w:rsidRPr="00FF4E67">
        <w:rPr>
          <w:lang w:val="en-US"/>
        </w:rPr>
        <w:t>where:</w:t>
      </w:r>
    </w:p>
    <w:p w:rsidR="00FF4E67" w:rsidRPr="00FF4E67" w:rsidRDefault="00FF4E67" w:rsidP="00FF4E67">
      <w:pPr>
        <w:pStyle w:val="Equation"/>
        <w:snapToGrid w:val="0"/>
        <w:spacing w:before="100" w:beforeAutospacing="1" w:after="100" w:afterAutospacing="1"/>
        <w:rPr>
          <w:lang w:val="en-US"/>
        </w:rPr>
      </w:pPr>
      <w:bookmarkStart w:id="4" w:name="F002"/>
      <w:r w:rsidRPr="00FF4E67">
        <w:rPr>
          <w:b/>
          <w:lang w:val="en-US"/>
        </w:rPr>
        <w:tab/>
      </w:r>
      <w:r w:rsidRPr="00FF4E67">
        <w:rPr>
          <w:lang w:val="en-US"/>
        </w:rPr>
        <w:tab/>
      </w:r>
      <w:r w:rsidRPr="00BC26C3">
        <w:rPr>
          <w:position w:val="-28"/>
        </w:rPr>
        <w:object w:dxaOrig="372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36.75pt" o:ole="">
            <v:imagedata r:id="rId14" o:title=""/>
          </v:shape>
          <o:OLEObject Type="Embed" ProgID="Equation.3" ShapeID="_x0000_i1025" DrawAspect="Content" ObjectID="_1389158217" r:id="rId15"/>
        </w:object>
      </w:r>
      <w:r w:rsidRPr="00FF4E67">
        <w:rPr>
          <w:lang w:val="en-US"/>
        </w:rPr>
        <w:tab/>
        <w:t>(2)</w:t>
      </w:r>
      <w:bookmarkEnd w:id="4"/>
    </w:p>
    <w:p w:rsidR="00FF4E67" w:rsidRPr="00FF4E67" w:rsidRDefault="00FF4E67" w:rsidP="00566F73">
      <w:pPr>
        <w:rPr>
          <w:lang w:val="en-US"/>
        </w:rPr>
      </w:pPr>
      <w:r w:rsidRPr="00FF4E67">
        <w:rPr>
          <w:lang w:val="en-US"/>
        </w:rPr>
        <w:t>In equation (2),</w:t>
      </w:r>
      <w:r w:rsidRPr="00FF4E67">
        <w:rPr>
          <w:i/>
          <w:iCs/>
          <w:lang w:val="en-US"/>
        </w:rPr>
        <w:t xml:space="preserve"> m</w:t>
      </w:r>
      <w:r w:rsidRPr="00FF4E67">
        <w:rPr>
          <w:lang w:val="en-US"/>
        </w:rPr>
        <w:t xml:space="preserve"> is the multi-channel r.m.s. modulation index and the constants</w:t>
      </w:r>
      <w:r w:rsidRPr="00FF4E67">
        <w:rPr>
          <w:i/>
          <w:iCs/>
          <w:lang w:val="en-US"/>
        </w:rPr>
        <w:t xml:space="preserve"> C</w:t>
      </w:r>
      <w:r w:rsidRPr="00FF4E67">
        <w:rPr>
          <w:position w:val="-4"/>
          <w:sz w:val="16"/>
          <w:szCs w:val="16"/>
          <w:lang w:val="en-US"/>
        </w:rPr>
        <w:t>0</w:t>
      </w:r>
      <w:r w:rsidRPr="00FF4E67">
        <w:rPr>
          <w:lang w:val="en-US"/>
        </w:rPr>
        <w:t>,</w:t>
      </w:r>
      <w:r w:rsidRPr="00FF4E67">
        <w:rPr>
          <w:i/>
          <w:iCs/>
          <w:lang w:val="en-US"/>
        </w:rPr>
        <w:t xml:space="preserve"> C</w:t>
      </w:r>
      <w:r w:rsidRPr="00FF4E67">
        <w:rPr>
          <w:position w:val="-4"/>
          <w:sz w:val="16"/>
          <w:szCs w:val="16"/>
          <w:lang w:val="en-US"/>
        </w:rPr>
        <w:t>2</w:t>
      </w:r>
      <w:r w:rsidRPr="00FF4E67">
        <w:rPr>
          <w:sz w:val="18"/>
          <w:szCs w:val="18"/>
          <w:lang w:val="en-US"/>
        </w:rPr>
        <w:t xml:space="preserve"> </w:t>
      </w:r>
      <w:r w:rsidRPr="00FF4E67">
        <w:rPr>
          <w:lang w:val="en-US"/>
        </w:rPr>
        <w:t>and</w:t>
      </w:r>
      <w:r w:rsidRPr="00FF4E67">
        <w:rPr>
          <w:i/>
          <w:iCs/>
          <w:lang w:val="en-US"/>
        </w:rPr>
        <w:t xml:space="preserve"> C</w:t>
      </w:r>
      <w:r w:rsidRPr="00FF4E67">
        <w:rPr>
          <w:position w:val="-4"/>
          <w:sz w:val="16"/>
          <w:szCs w:val="16"/>
          <w:lang w:val="en-US"/>
        </w:rPr>
        <w:t>4</w:t>
      </w:r>
      <w:r w:rsidRPr="00FF4E67">
        <w:rPr>
          <w:lang w:val="en-US"/>
        </w:rPr>
        <w:t xml:space="preserve"> describe the prevailing pre-emphasis characteristic in the general expression for the pre</w:t>
      </w:r>
      <w:r w:rsidRPr="00FF4E67">
        <w:rPr>
          <w:lang w:val="en-US"/>
        </w:rPr>
        <w:noBreakHyphen/>
        <w:t>emphasis:</w:t>
      </w:r>
    </w:p>
    <w:p w:rsidR="00FF4E67" w:rsidRPr="00FF4E67" w:rsidRDefault="00FF4E67" w:rsidP="00FF4E67">
      <w:pPr>
        <w:pStyle w:val="Equation"/>
        <w:rPr>
          <w:lang w:val="en-US"/>
        </w:rPr>
      </w:pPr>
      <w:bookmarkStart w:id="5" w:name="F003"/>
      <w:r w:rsidRPr="00FF4E67">
        <w:rPr>
          <w:lang w:val="en-US"/>
        </w:rPr>
        <w:tab/>
      </w:r>
      <w:r w:rsidRPr="00FF4E67">
        <w:rPr>
          <w:lang w:val="en-US"/>
        </w:rPr>
        <w:tab/>
      </w:r>
      <w:r w:rsidRPr="00FF4E67">
        <w:rPr>
          <w:i/>
          <w:iCs/>
          <w:lang w:val="en-US"/>
        </w:rPr>
        <w:t>p</w:t>
      </w:r>
      <w:r w:rsidRPr="00FF4E67">
        <w:rPr>
          <w:lang w:val="en-US"/>
        </w:rPr>
        <w:t>(</w:t>
      </w:r>
      <w:r>
        <w:rPr>
          <w:rFonts w:ascii="Symbol" w:hAnsi="Symbol"/>
        </w:rPr>
        <w:t></w:t>
      </w:r>
      <w:r w:rsidRPr="00FF4E67">
        <w:rPr>
          <w:lang w:val="en-US"/>
        </w:rPr>
        <w:t>/</w:t>
      </w:r>
      <w:r>
        <w:rPr>
          <w:rFonts w:ascii="Symbol" w:hAnsi="Symbol"/>
        </w:rPr>
        <w:t></w:t>
      </w:r>
      <w:r w:rsidRPr="00FF4E67">
        <w:rPr>
          <w:i/>
          <w:iCs/>
          <w:position w:val="-4"/>
          <w:sz w:val="18"/>
          <w:szCs w:val="18"/>
          <w:lang w:val="en-US"/>
        </w:rPr>
        <w:t>h</w:t>
      </w:r>
      <w:r w:rsidRPr="00FF4E67">
        <w:rPr>
          <w:lang w:val="en-US"/>
        </w:rPr>
        <w:t xml:space="preserve">)  </w:t>
      </w:r>
      <w:r>
        <w:rPr>
          <w:rFonts w:ascii="Symbol" w:hAnsi="Symbol"/>
        </w:rPr>
        <w:t></w:t>
      </w:r>
      <w:r w:rsidRPr="00FF4E67">
        <w:rPr>
          <w:lang w:val="en-US"/>
        </w:rPr>
        <w:t xml:space="preserve"> </w:t>
      </w:r>
      <w:r w:rsidRPr="00FF4E67">
        <w:rPr>
          <w:i/>
          <w:iCs/>
          <w:lang w:val="en-US"/>
        </w:rPr>
        <w:t xml:space="preserve"> C</w:t>
      </w:r>
      <w:r w:rsidRPr="00FF4E67">
        <w:rPr>
          <w:position w:val="-4"/>
          <w:sz w:val="18"/>
          <w:szCs w:val="18"/>
          <w:lang w:val="en-US"/>
        </w:rPr>
        <w:t>0</w:t>
      </w:r>
      <w:r w:rsidRPr="00FF4E67">
        <w:rPr>
          <w:lang w:val="en-US"/>
        </w:rPr>
        <w:t xml:space="preserve">  </w:t>
      </w:r>
      <w:r>
        <w:rPr>
          <w:rFonts w:ascii="Symbol" w:hAnsi="Symbol"/>
        </w:rPr>
        <w:t></w:t>
      </w:r>
      <w:r w:rsidRPr="00FF4E67">
        <w:rPr>
          <w:lang w:val="en-US"/>
        </w:rPr>
        <w:t xml:space="preserve">  </w:t>
      </w:r>
      <w:r w:rsidRPr="00FF4E67">
        <w:rPr>
          <w:i/>
          <w:iCs/>
          <w:lang w:val="en-US"/>
        </w:rPr>
        <w:t>C</w:t>
      </w:r>
      <w:r w:rsidRPr="00FF4E67">
        <w:rPr>
          <w:position w:val="-4"/>
          <w:sz w:val="18"/>
          <w:szCs w:val="18"/>
          <w:lang w:val="en-US"/>
        </w:rPr>
        <w:t>2</w:t>
      </w:r>
      <w:r w:rsidRPr="00FF4E67">
        <w:rPr>
          <w:lang w:val="en-US"/>
        </w:rPr>
        <w:t>(</w:t>
      </w:r>
      <w:r>
        <w:rPr>
          <w:rFonts w:ascii="Symbol" w:hAnsi="Symbol"/>
        </w:rPr>
        <w:t></w:t>
      </w:r>
      <w:r w:rsidRPr="00FF4E67">
        <w:rPr>
          <w:lang w:val="en-US"/>
        </w:rPr>
        <w:t>/</w:t>
      </w:r>
      <w:r>
        <w:rPr>
          <w:rFonts w:ascii="Symbol" w:hAnsi="Symbol"/>
        </w:rPr>
        <w:t></w:t>
      </w:r>
      <w:r w:rsidRPr="00FF4E67">
        <w:rPr>
          <w:i/>
          <w:iCs/>
          <w:position w:val="-4"/>
          <w:sz w:val="18"/>
          <w:szCs w:val="18"/>
          <w:lang w:val="en-US"/>
        </w:rPr>
        <w:t>h</w:t>
      </w:r>
      <w:r w:rsidRPr="00FF4E67">
        <w:rPr>
          <w:lang w:val="en-US"/>
        </w:rPr>
        <w:t>)</w:t>
      </w:r>
      <w:r w:rsidRPr="00FF4E67">
        <w:rPr>
          <w:position w:val="6"/>
          <w:sz w:val="18"/>
          <w:szCs w:val="18"/>
          <w:lang w:val="en-US"/>
        </w:rPr>
        <w:t>2</w:t>
      </w:r>
      <w:r w:rsidRPr="00FF4E67">
        <w:rPr>
          <w:lang w:val="en-US"/>
        </w:rPr>
        <w:t xml:space="preserve">  </w:t>
      </w:r>
      <w:r>
        <w:rPr>
          <w:rFonts w:ascii="Symbol" w:hAnsi="Symbol"/>
        </w:rPr>
        <w:t></w:t>
      </w:r>
      <w:r w:rsidRPr="00FF4E67">
        <w:rPr>
          <w:lang w:val="en-US"/>
        </w:rPr>
        <w:t xml:space="preserve"> </w:t>
      </w:r>
      <w:r w:rsidRPr="00FF4E67">
        <w:rPr>
          <w:i/>
          <w:iCs/>
          <w:lang w:val="en-US"/>
        </w:rPr>
        <w:t xml:space="preserve"> C</w:t>
      </w:r>
      <w:r w:rsidRPr="00FF4E67">
        <w:rPr>
          <w:position w:val="-4"/>
          <w:sz w:val="18"/>
          <w:szCs w:val="18"/>
          <w:lang w:val="en-US"/>
        </w:rPr>
        <w:t>4</w:t>
      </w:r>
      <w:r w:rsidRPr="00FF4E67">
        <w:rPr>
          <w:lang w:val="en-US"/>
        </w:rPr>
        <w:t>(</w:t>
      </w:r>
      <w:r>
        <w:rPr>
          <w:rFonts w:ascii="Symbol" w:hAnsi="Symbol"/>
        </w:rPr>
        <w:t></w:t>
      </w:r>
      <w:r w:rsidRPr="00FF4E67">
        <w:rPr>
          <w:lang w:val="en-US"/>
        </w:rPr>
        <w:t>/</w:t>
      </w:r>
      <w:r>
        <w:rPr>
          <w:rFonts w:ascii="Symbol" w:hAnsi="Symbol"/>
        </w:rPr>
        <w:t></w:t>
      </w:r>
      <w:r w:rsidRPr="00FF4E67">
        <w:rPr>
          <w:i/>
          <w:iCs/>
          <w:position w:val="-4"/>
          <w:sz w:val="18"/>
          <w:szCs w:val="18"/>
          <w:lang w:val="en-US"/>
        </w:rPr>
        <w:t>h</w:t>
      </w:r>
      <w:r w:rsidRPr="00FF4E67">
        <w:rPr>
          <w:lang w:val="en-US"/>
        </w:rPr>
        <w:t>)</w:t>
      </w:r>
      <w:r w:rsidRPr="00FF4E67">
        <w:rPr>
          <w:position w:val="6"/>
          <w:sz w:val="18"/>
          <w:szCs w:val="18"/>
          <w:lang w:val="en-US"/>
        </w:rPr>
        <w:t>4</w:t>
      </w:r>
      <w:r w:rsidRPr="00FF4E67">
        <w:rPr>
          <w:position w:val="6"/>
          <w:lang w:val="en-US"/>
        </w:rPr>
        <w:tab/>
      </w:r>
      <w:r w:rsidRPr="00FF4E67">
        <w:rPr>
          <w:lang w:val="en-US"/>
        </w:rPr>
        <w:t>(3)</w:t>
      </w:r>
      <w:bookmarkEnd w:id="5"/>
    </w:p>
    <w:p w:rsidR="00FF4E67" w:rsidRPr="00FF4E67" w:rsidRDefault="00FF4E67" w:rsidP="00FF4E67">
      <w:pPr>
        <w:rPr>
          <w:lang w:val="en-US"/>
        </w:rPr>
      </w:pPr>
      <w:r w:rsidRPr="00FF4E67">
        <w:rPr>
          <w:lang w:val="en-US"/>
        </w:rPr>
        <w:t xml:space="preserve">where </w:t>
      </w:r>
      <w:r>
        <w:rPr>
          <w:rFonts w:ascii="Symbol" w:hAnsi="Symbol"/>
        </w:rPr>
        <w:t></w:t>
      </w:r>
      <w:r w:rsidRPr="00FF4E67">
        <w:rPr>
          <w:lang w:val="en-US"/>
        </w:rPr>
        <w:t xml:space="preserve"> is the specific baseband frequency under consideration, to be given in the same units as</w:t>
      </w:r>
      <w:r w:rsidRPr="00FF4E67">
        <w:rPr>
          <w:i/>
          <w:iCs/>
          <w:lang w:val="en-US"/>
        </w:rPr>
        <w:t xml:space="preserve"> </w:t>
      </w:r>
      <w:r>
        <w:rPr>
          <w:rFonts w:ascii="Symbol" w:hAnsi="Symbol"/>
        </w:rPr>
        <w:t></w:t>
      </w:r>
      <w:r w:rsidRPr="00FF4E67">
        <w:rPr>
          <w:i/>
          <w:iCs/>
          <w:position w:val="-4"/>
          <w:sz w:val="16"/>
          <w:szCs w:val="16"/>
          <w:lang w:val="en-US"/>
        </w:rPr>
        <w:t>h</w:t>
      </w:r>
      <w:r w:rsidRPr="00FF4E67">
        <w:rPr>
          <w:lang w:val="en-US"/>
        </w:rPr>
        <w:t>. In the range </w:t>
      </w:r>
      <w:r>
        <w:rPr>
          <w:rFonts w:ascii="Symbol" w:hAnsi="Symbol"/>
        </w:rPr>
        <w:t></w:t>
      </w:r>
      <w:r w:rsidRPr="00FF4E67">
        <w:rPr>
          <w:lang w:val="en-US"/>
        </w:rPr>
        <w:t> </w:t>
      </w:r>
      <w:r>
        <w:rPr>
          <w:rFonts w:ascii="Symbol" w:hAnsi="Symbol"/>
        </w:rPr>
        <w:t></w:t>
      </w:r>
      <w:r w:rsidRPr="00FF4E67">
        <w:rPr>
          <w:lang w:val="en-US"/>
        </w:rPr>
        <w:t> </w:t>
      </w:r>
      <w:r>
        <w:rPr>
          <w:rFonts w:ascii="Symbol" w:hAnsi="Symbol"/>
        </w:rPr>
        <w:t></w:t>
      </w:r>
      <w:r w:rsidRPr="00FF4E67">
        <w:rPr>
          <w:lang w:val="en-US"/>
        </w:rPr>
        <w:t>/</w:t>
      </w:r>
      <w:r>
        <w:rPr>
          <w:rFonts w:ascii="Symbol" w:hAnsi="Symbol"/>
        </w:rPr>
        <w:t></w:t>
      </w:r>
      <w:r w:rsidRPr="00FF4E67">
        <w:rPr>
          <w:i/>
          <w:iCs/>
          <w:position w:val="-4"/>
          <w:sz w:val="16"/>
          <w:szCs w:val="16"/>
          <w:lang w:val="en-US"/>
        </w:rPr>
        <w:t>h </w:t>
      </w:r>
      <w:r>
        <w:rPr>
          <w:rFonts w:ascii="Symbol" w:hAnsi="Symbol"/>
        </w:rPr>
        <w:t></w:t>
      </w:r>
      <w:r w:rsidRPr="00FF4E67">
        <w:rPr>
          <w:lang w:val="en-US"/>
        </w:rPr>
        <w:t xml:space="preserve"> 1, the pre-emphasis characteristic is well approximated by:</w:t>
      </w:r>
    </w:p>
    <w:p w:rsidR="00FF4E67" w:rsidRPr="00FF4E67" w:rsidRDefault="00FF4E67" w:rsidP="00FF4E67">
      <w:pPr>
        <w:pStyle w:val="Equation"/>
        <w:rPr>
          <w:lang w:val="en-US"/>
        </w:rPr>
      </w:pPr>
      <w:bookmarkStart w:id="6" w:name="F004"/>
      <w:r w:rsidRPr="00FF4E67">
        <w:rPr>
          <w:lang w:val="en-US"/>
        </w:rPr>
        <w:tab/>
      </w:r>
      <w:r w:rsidRPr="00FF4E67">
        <w:rPr>
          <w:lang w:val="en-US"/>
        </w:rPr>
        <w:tab/>
      </w:r>
      <w:r>
        <w:fldChar w:fldCharType="begin"/>
      </w:r>
      <w:r w:rsidRPr="00FF4E67">
        <w:rPr>
          <w:lang w:val="en-US"/>
        </w:rPr>
        <w:instrText xml:space="preserve">eq </w:instrText>
      </w:r>
      <w:r w:rsidRPr="00FF4E67">
        <w:rPr>
          <w:i/>
          <w:iCs/>
          <w:lang w:val="en-US"/>
        </w:rPr>
        <w:instrText>p</w:instrText>
      </w:r>
      <w:r w:rsidRPr="00FF4E67">
        <w:rPr>
          <w:lang w:val="en-US"/>
        </w:rPr>
        <w:instrText>(</w:instrText>
      </w:r>
      <w:r w:rsidRPr="00FF4E67">
        <w:rPr>
          <w:rFonts w:ascii="Symbol" w:hAnsi="Symbol"/>
          <w:lang w:val="en-US"/>
        </w:rPr>
        <w:instrText>¦</w:instrText>
      </w:r>
      <w:r w:rsidRPr="00FF4E67">
        <w:rPr>
          <w:lang w:val="en-US"/>
        </w:rPr>
        <w:instrText>/</w:instrText>
      </w:r>
      <w:r w:rsidRPr="00FF4E67">
        <w:rPr>
          <w:rFonts w:ascii="Symbol" w:hAnsi="Symbol"/>
          <w:lang w:val="en-US"/>
        </w:rPr>
        <w:instrText>¦</w:instrText>
      </w:r>
      <w:r w:rsidRPr="00FF4E67">
        <w:rPr>
          <w:i/>
          <w:iCs/>
          <w:position w:val="-4"/>
          <w:sz w:val="18"/>
          <w:szCs w:val="18"/>
          <w:lang w:val="en-US"/>
        </w:rPr>
        <w:instrText>h</w:instrText>
      </w:r>
      <w:r w:rsidRPr="00FF4E67">
        <w:rPr>
          <w:lang w:val="en-US"/>
        </w:rPr>
        <w:instrText xml:space="preserve">)  </w:instrText>
      </w:r>
      <w:r w:rsidRPr="00FF4E67">
        <w:rPr>
          <w:rFonts w:ascii="Symbol" w:hAnsi="Symbol"/>
          <w:lang w:val="en-US"/>
        </w:rPr>
        <w:instrText>=</w:instrText>
      </w:r>
      <w:r w:rsidRPr="00FF4E67">
        <w:rPr>
          <w:lang w:val="en-US"/>
        </w:rPr>
        <w:instrText xml:space="preserve">  0.4  </w:instrText>
      </w:r>
      <w:r w:rsidRPr="00FF4E67">
        <w:rPr>
          <w:rFonts w:ascii="Symbol" w:hAnsi="Symbol"/>
          <w:lang w:val="en-US"/>
        </w:rPr>
        <w:instrText>+</w:instrText>
      </w:r>
      <w:r w:rsidRPr="00FF4E67">
        <w:rPr>
          <w:lang w:val="en-US"/>
        </w:rPr>
        <w:instrText xml:space="preserve">  1.35(</w:instrText>
      </w:r>
      <w:r w:rsidRPr="00FF4E67">
        <w:rPr>
          <w:rFonts w:ascii="Symbol" w:hAnsi="Symbol"/>
          <w:lang w:val="en-US"/>
        </w:rPr>
        <w:instrText>¦</w:instrText>
      </w:r>
      <w:r w:rsidRPr="00FF4E67">
        <w:rPr>
          <w:lang w:val="en-US"/>
        </w:rPr>
        <w:instrText>/</w:instrText>
      </w:r>
      <w:r w:rsidRPr="00FF4E67">
        <w:rPr>
          <w:rFonts w:ascii="Symbol" w:hAnsi="Symbol"/>
          <w:lang w:val="en-US"/>
        </w:rPr>
        <w:instrText>¦</w:instrText>
      </w:r>
      <w:r w:rsidRPr="00FF4E67">
        <w:rPr>
          <w:i/>
          <w:iCs/>
          <w:position w:val="-3"/>
          <w:sz w:val="16"/>
          <w:szCs w:val="16"/>
          <w:lang w:val="en-US"/>
        </w:rPr>
        <w:instrText>h</w:instrText>
      </w:r>
      <w:r w:rsidRPr="00FF4E67">
        <w:rPr>
          <w:lang w:val="en-US"/>
        </w:rPr>
        <w:instrText>)</w:instrText>
      </w:r>
      <w:r w:rsidRPr="00FF4E67">
        <w:rPr>
          <w:position w:val="6"/>
          <w:sz w:val="18"/>
          <w:szCs w:val="18"/>
          <w:lang w:val="en-US"/>
        </w:rPr>
        <w:instrText>2</w:instrText>
      </w:r>
      <w:r w:rsidRPr="00FF4E67">
        <w:rPr>
          <w:lang w:val="en-US"/>
        </w:rPr>
        <w:instrText xml:space="preserve">  </w:instrText>
      </w:r>
      <w:r w:rsidRPr="00FF4E67">
        <w:rPr>
          <w:rFonts w:ascii="Symbol" w:hAnsi="Symbol"/>
          <w:lang w:val="en-US"/>
        </w:rPr>
        <w:instrText>+</w:instrText>
      </w:r>
      <w:r w:rsidRPr="00FF4E67">
        <w:rPr>
          <w:lang w:val="en-US"/>
        </w:rPr>
        <w:instrText xml:space="preserve">  0.75(</w:instrText>
      </w:r>
      <w:r w:rsidRPr="00FF4E67">
        <w:rPr>
          <w:rFonts w:ascii="Symbol" w:hAnsi="Symbol"/>
          <w:lang w:val="en-US"/>
        </w:rPr>
        <w:instrText>¦</w:instrText>
      </w:r>
      <w:r w:rsidRPr="00FF4E67">
        <w:rPr>
          <w:lang w:val="en-US"/>
        </w:rPr>
        <w:instrText>/</w:instrText>
      </w:r>
      <w:r w:rsidRPr="00FF4E67">
        <w:rPr>
          <w:rFonts w:ascii="Symbol" w:hAnsi="Symbol"/>
          <w:lang w:val="en-US"/>
        </w:rPr>
        <w:instrText>¦</w:instrText>
      </w:r>
      <w:r w:rsidRPr="00FF4E67">
        <w:rPr>
          <w:i/>
          <w:iCs/>
          <w:position w:val="-3"/>
          <w:sz w:val="16"/>
          <w:szCs w:val="16"/>
          <w:lang w:val="en-US"/>
        </w:rPr>
        <w:instrText>h</w:instrText>
      </w:r>
      <w:r w:rsidRPr="00FF4E67">
        <w:rPr>
          <w:lang w:val="en-US"/>
        </w:rPr>
        <w:instrText>)</w:instrText>
      </w:r>
      <w:r w:rsidRPr="00FF4E67">
        <w:rPr>
          <w:position w:val="6"/>
          <w:sz w:val="18"/>
          <w:szCs w:val="18"/>
          <w:lang w:val="en-US"/>
        </w:rPr>
        <w:instrText>4</w:instrText>
      </w:r>
      <w:r>
        <w:fldChar w:fldCharType="end"/>
      </w:r>
      <w:r w:rsidRPr="00FF4E67">
        <w:rPr>
          <w:lang w:val="en-US"/>
        </w:rPr>
        <w:tab/>
        <w:t>(4)</w:t>
      </w:r>
      <w:bookmarkEnd w:id="6"/>
    </w:p>
    <w:p w:rsidR="00FF4E67" w:rsidRPr="00FF4E67" w:rsidRDefault="00FF4E67" w:rsidP="00FF4E67">
      <w:pPr>
        <w:rPr>
          <w:lang w:val="en-US"/>
        </w:rPr>
      </w:pPr>
      <w:r w:rsidRPr="00FF4E67">
        <w:rPr>
          <w:lang w:val="en-US"/>
        </w:rPr>
        <w:t>Thus, for a system with pre-emphasis:</w:t>
      </w:r>
    </w:p>
    <w:p w:rsidR="00FF4E67" w:rsidRPr="00FF4E67" w:rsidRDefault="00FF4E67" w:rsidP="00FF4E67">
      <w:pPr>
        <w:pStyle w:val="Equation"/>
        <w:rPr>
          <w:lang w:val="en-US"/>
        </w:rPr>
      </w:pPr>
      <w:bookmarkStart w:id="7" w:name="F005"/>
      <w:r w:rsidRPr="00FF4E67">
        <w:rPr>
          <w:lang w:val="en-US"/>
        </w:rPr>
        <w:tab/>
      </w:r>
      <w:r w:rsidRPr="00FF4E67">
        <w:rPr>
          <w:lang w:val="en-US"/>
        </w:rPr>
        <w:tab/>
      </w:r>
      <w:r>
        <w:rPr>
          <w:position w:val="-20"/>
        </w:rPr>
        <w:object w:dxaOrig="4800" w:dyaOrig="580">
          <v:shape id="_x0000_i1026" type="#_x0000_t75" style="width:240pt;height:28.5pt" o:ole="">
            <v:imagedata r:id="rId16" o:title=""/>
          </v:shape>
          <o:OLEObject Type="Embed" ProgID="Equation.3" ShapeID="_x0000_i1026" DrawAspect="Content" ObjectID="_1389158218" r:id="rId17"/>
        </w:object>
      </w:r>
      <w:r w:rsidRPr="00FF4E67">
        <w:rPr>
          <w:lang w:val="en-US"/>
        </w:rPr>
        <w:tab/>
        <w:t>(5)</w:t>
      </w:r>
      <w:bookmarkEnd w:id="7"/>
    </w:p>
    <w:p w:rsidR="00FF4E67" w:rsidRPr="00FF4E67" w:rsidRDefault="00FF4E67" w:rsidP="00FF4E67">
      <w:pPr>
        <w:rPr>
          <w:lang w:val="en-US"/>
        </w:rPr>
      </w:pPr>
      <w:r w:rsidRPr="00FF4E67">
        <w:rPr>
          <w:lang w:val="en-US"/>
        </w:rPr>
        <w:t>Where</w:t>
      </w:r>
      <w:r w:rsidRPr="00FF4E67">
        <w:rPr>
          <w:lang w:val="en-US"/>
        </w:rPr>
        <w:tab/>
      </w:r>
      <w:r w:rsidRPr="00FF4E67">
        <w:rPr>
          <w:i/>
          <w:iCs/>
          <w:lang w:val="en-US"/>
        </w:rPr>
        <w:t xml:space="preserve"> m</w:t>
      </w:r>
      <w:r w:rsidRPr="00FF4E67">
        <w:rPr>
          <w:lang w:val="en-US"/>
        </w:rPr>
        <w:t xml:space="preserve">  </w:t>
      </w:r>
      <w:r>
        <w:rPr>
          <w:rFonts w:ascii="Symbol" w:hAnsi="Symbol"/>
        </w:rPr>
        <w:t></w:t>
      </w:r>
      <w:r w:rsidRPr="00FF4E67">
        <w:rPr>
          <w:lang w:val="en-US"/>
        </w:rPr>
        <w:t xml:space="preserve"> </w:t>
      </w:r>
      <w:r w:rsidRPr="00FF4E67">
        <w:rPr>
          <w:i/>
          <w:iCs/>
          <w:lang w:val="en-US"/>
        </w:rPr>
        <w:t xml:space="preserve"> </w:t>
      </w:r>
      <w:r>
        <w:rPr>
          <w:rFonts w:ascii="Symbol" w:hAnsi="Symbol"/>
        </w:rPr>
        <w:t></w:t>
      </w:r>
      <w:r>
        <w:rPr>
          <w:rFonts w:ascii="Symbol" w:hAnsi="Symbol"/>
          <w:position w:val="-4"/>
          <w:sz w:val="16"/>
          <w:szCs w:val="16"/>
        </w:rPr>
        <w:t></w:t>
      </w:r>
      <w:r w:rsidRPr="00FF4E67">
        <w:rPr>
          <w:sz w:val="12"/>
          <w:szCs w:val="12"/>
          <w:lang w:val="en-US"/>
        </w:rPr>
        <w:t> </w:t>
      </w:r>
      <w:r w:rsidRPr="00FF4E67">
        <w:rPr>
          <w:lang w:val="en-US"/>
        </w:rPr>
        <w:t>/</w:t>
      </w:r>
      <w:r>
        <w:rPr>
          <w:rFonts w:ascii="Symbol" w:hAnsi="Symbol"/>
        </w:rPr>
        <w:t></w:t>
      </w:r>
      <w:r w:rsidRPr="00FF4E67">
        <w:rPr>
          <w:i/>
          <w:iCs/>
          <w:position w:val="-4"/>
          <w:sz w:val="16"/>
          <w:szCs w:val="16"/>
          <w:lang w:val="en-US"/>
        </w:rPr>
        <w:t>h</w:t>
      </w:r>
      <w:r w:rsidRPr="00FF4E67">
        <w:rPr>
          <w:lang w:val="en-US"/>
        </w:rPr>
        <w:t>.</w:t>
      </w:r>
    </w:p>
    <w:p w:rsidR="00FF4E67" w:rsidRPr="00FF4E67" w:rsidRDefault="00566F73" w:rsidP="00FF4E67">
      <w:pPr>
        <w:pStyle w:val="Note"/>
        <w:rPr>
          <w:lang w:val="en-US"/>
        </w:rPr>
      </w:pPr>
      <w:r w:rsidRPr="00566F73">
        <w:rPr>
          <w:lang w:val="en-US"/>
        </w:rPr>
        <w:t>NOTE 1</w:t>
      </w:r>
      <w:r w:rsidRPr="00FF4E67">
        <w:rPr>
          <w:lang w:val="en-US"/>
        </w:rPr>
        <w:t xml:space="preserve"> </w:t>
      </w:r>
      <w:r w:rsidR="00FF4E67" w:rsidRPr="00FF4E67">
        <w:rPr>
          <w:lang w:val="en-US"/>
        </w:rPr>
        <w:t>– Administrations should make available details of the spectrum shape and the value of the coefficients used in equations (2) and (3), for detailed coordination purposes.</w:t>
      </w:r>
    </w:p>
    <w:p w:rsidR="00FF4E67" w:rsidRPr="00FF4E67" w:rsidRDefault="00FF4E67" w:rsidP="00566F73">
      <w:pPr>
        <w:rPr>
          <w:lang w:val="en-US"/>
        </w:rPr>
      </w:pPr>
      <w:r w:rsidRPr="00FF4E67">
        <w:rPr>
          <w:lang w:val="en-US"/>
        </w:rPr>
        <w:t>The maximum power of the spectral density in the continuous part of the spectrum can be obtained approximately from Figs 1 and 2.</w:t>
      </w:r>
    </w:p>
    <w:p w:rsidR="00FF4E67" w:rsidRPr="00160476" w:rsidRDefault="00160476" w:rsidP="00160476">
      <w:pPr>
        <w:pStyle w:val="FigureNo"/>
        <w:rPr>
          <w:lang w:val="en-US"/>
        </w:rPr>
      </w:pPr>
      <w:r w:rsidRPr="00160476">
        <w:rPr>
          <w:lang w:val="en-US"/>
        </w:rPr>
        <w:lastRenderedPageBreak/>
        <w:t>Figure 1</w:t>
      </w:r>
    </w:p>
    <w:p w:rsidR="00160476" w:rsidRPr="00160476" w:rsidRDefault="00160476" w:rsidP="00160476">
      <w:pPr>
        <w:pStyle w:val="Figuretitle"/>
        <w:rPr>
          <w:lang w:val="en-US"/>
        </w:rPr>
      </w:pPr>
      <w:r w:rsidRPr="00160476">
        <w:rPr>
          <w:lang w:val="en-US"/>
        </w:rPr>
        <w:t>Maximum spectral density of signal (distributed component)</w:t>
      </w:r>
      <w:r w:rsidRPr="00160476">
        <w:rPr>
          <w:lang w:val="en-US"/>
        </w:rPr>
        <w:br/>
      </w:r>
      <w:r>
        <w:rPr>
          <w:lang w:val="en-US"/>
        </w:rPr>
        <w:t>frequency modulated by Gaussian noise</w:t>
      </w:r>
    </w:p>
    <w:p w:rsidR="00160476" w:rsidRPr="00160476" w:rsidRDefault="00160476" w:rsidP="00160476">
      <w:pPr>
        <w:pStyle w:val="Figure"/>
        <w:rPr>
          <w:lang w:val="en-US"/>
        </w:rPr>
      </w:pPr>
      <w:r>
        <w:object w:dxaOrig="7199" w:dyaOrig="7779">
          <v:shape id="_x0000_i1027" type="#_x0000_t75" style="width:5in;height:389.25pt" o:ole="">
            <v:imagedata r:id="rId18" o:title=""/>
          </v:shape>
          <o:OLEObject Type="Embed" ProgID="CorelDRAW.Graphic.14" ShapeID="_x0000_i1027" DrawAspect="Content" ObjectID="_1389158219" r:id="rId19"/>
        </w:object>
      </w:r>
    </w:p>
    <w:p w:rsidR="00160476" w:rsidRDefault="00160476" w:rsidP="00160476">
      <w:pPr>
        <w:rPr>
          <w:lang w:val="en-US"/>
        </w:rPr>
      </w:pPr>
    </w:p>
    <w:p w:rsidR="00160476" w:rsidRDefault="00160476" w:rsidP="00160476">
      <w:pPr>
        <w:pStyle w:val="FigureNo"/>
        <w:rPr>
          <w:lang w:val="en-US"/>
        </w:rPr>
      </w:pPr>
      <w:r>
        <w:rPr>
          <w:lang w:val="en-US"/>
        </w:rPr>
        <w:lastRenderedPageBreak/>
        <w:t>figure 2</w:t>
      </w:r>
    </w:p>
    <w:p w:rsidR="00160476" w:rsidRPr="00160476" w:rsidRDefault="00160476" w:rsidP="00160476">
      <w:pPr>
        <w:pStyle w:val="Figuretitle"/>
        <w:rPr>
          <w:lang w:val="en-US"/>
        </w:rPr>
      </w:pPr>
      <w:r>
        <w:rPr>
          <w:lang w:val="en-US"/>
        </w:rPr>
        <w:t xml:space="preserve">Equal contour of </w:t>
      </w:r>
      <w:r w:rsidRPr="00A54C31">
        <w:rPr>
          <w:i/>
          <w:iCs/>
          <w:lang w:val="en-US"/>
        </w:rPr>
        <w:t>V</w:t>
      </w:r>
      <w:r w:rsidRPr="00A54C31">
        <w:rPr>
          <w:i/>
          <w:iCs/>
          <w:vertAlign w:val="subscript"/>
          <w:lang w:val="en-US"/>
        </w:rPr>
        <w:t>max</w:t>
      </w:r>
      <w:r>
        <w:rPr>
          <w:lang w:val="en-US"/>
        </w:rPr>
        <w:t xml:space="preserve"> (maximum spectral density) of the FDM-FM signal</w:t>
      </w:r>
    </w:p>
    <w:p w:rsidR="00FF4E67" w:rsidRPr="00160476" w:rsidRDefault="00A54C31" w:rsidP="00B4320A">
      <w:pPr>
        <w:pStyle w:val="Figure"/>
        <w:rPr>
          <w:noProof/>
          <w:lang w:val="en-US" w:eastAsia="zh-CN"/>
        </w:rPr>
      </w:pPr>
      <w:r>
        <w:rPr>
          <w:noProof/>
          <w:lang w:val="en-US" w:eastAsia="zh-CN"/>
        </w:rPr>
        <w:object w:dxaOrig="6878" w:dyaOrig="5696">
          <v:shape id="_x0000_i1028" type="#_x0000_t75" style="width:344.25pt;height:285pt" o:ole="">
            <v:imagedata r:id="rId20" o:title=""/>
          </v:shape>
          <o:OLEObject Type="Embed" ProgID="CorelDRAW.Graphic.14" ShapeID="_x0000_i1028" DrawAspect="Content" ObjectID="_1389158220" r:id="rId21"/>
        </w:object>
      </w:r>
    </w:p>
    <w:p w:rsidR="00160476" w:rsidRPr="00160476" w:rsidRDefault="00160476" w:rsidP="00160476">
      <w:pPr>
        <w:rPr>
          <w:lang w:val="en-US" w:eastAsia="zh-CN"/>
        </w:rPr>
      </w:pPr>
    </w:p>
    <w:p w:rsidR="00FF4E67" w:rsidRPr="00FF4E67" w:rsidRDefault="00FF4E67" w:rsidP="00A54C31">
      <w:pPr>
        <w:rPr>
          <w:lang w:val="en-US"/>
        </w:rPr>
      </w:pPr>
      <w:r w:rsidRPr="00FF4E67">
        <w:rPr>
          <w:lang w:val="en-US"/>
        </w:rPr>
        <w:t>In the equations and the figures, the symbols have the following meanings:</w:t>
      </w:r>
    </w:p>
    <w:p w:rsidR="00FF4E67" w:rsidRPr="00FF4E67" w:rsidRDefault="00A54C31" w:rsidP="00A54C31">
      <w:pPr>
        <w:pStyle w:val="Equationlegend"/>
      </w:pPr>
      <w:r>
        <w:rPr>
          <w:i/>
          <w:iCs/>
        </w:rPr>
        <w:tab/>
      </w:r>
      <w:r w:rsidR="00FF4E67" w:rsidRPr="00FF4E67">
        <w:rPr>
          <w:i/>
          <w:iCs/>
        </w:rPr>
        <w:t>P</w:t>
      </w:r>
      <w:r w:rsidR="00FF4E67" w:rsidRPr="00FF4E67">
        <w:rPr>
          <w:i/>
          <w:iCs/>
          <w:position w:val="-4"/>
          <w:sz w:val="16"/>
          <w:szCs w:val="16"/>
        </w:rPr>
        <w:t>t</w:t>
      </w:r>
      <w:r w:rsidR="00FF4E67" w:rsidRPr="00FF4E67">
        <w:rPr>
          <w:rFonts w:ascii="Tms Rmn" w:hAnsi="Tms Rmn"/>
          <w:sz w:val="12"/>
          <w:szCs w:val="12"/>
        </w:rPr>
        <w:t> </w:t>
      </w:r>
      <w:r w:rsidR="00FF4E67" w:rsidRPr="00FF4E67">
        <w:t>:</w:t>
      </w:r>
      <w:r w:rsidR="00FF4E67" w:rsidRPr="00FF4E67">
        <w:tab/>
      </w:r>
      <w:r w:rsidR="00FF4E67" w:rsidRPr="00FF4E67">
        <w:tab/>
        <w:t>total power of carrier (W)</w:t>
      </w:r>
    </w:p>
    <w:p w:rsidR="00FF4E67" w:rsidRPr="000B219D" w:rsidRDefault="00A54C31" w:rsidP="00A54C31">
      <w:pPr>
        <w:pStyle w:val="Equationlegend"/>
        <w:rPr>
          <w:lang w:val="fr-CH"/>
        </w:rPr>
      </w:pPr>
      <w:r>
        <w:rPr>
          <w:rFonts w:ascii="Symbol" w:hAnsi="Symbol"/>
        </w:rPr>
        <w:tab/>
      </w:r>
      <w:r w:rsidR="00FF4E67">
        <w:rPr>
          <w:rFonts w:ascii="Symbol" w:hAnsi="Symbol"/>
        </w:rPr>
        <w:t></w:t>
      </w:r>
      <w:r w:rsidR="00FF4E67">
        <w:rPr>
          <w:rFonts w:ascii="Symbol" w:hAnsi="Symbol"/>
          <w:position w:val="-4"/>
          <w:sz w:val="16"/>
          <w:szCs w:val="16"/>
        </w:rPr>
        <w:t></w:t>
      </w:r>
      <w:r w:rsidR="00FF4E67" w:rsidRPr="000B219D">
        <w:rPr>
          <w:rFonts w:ascii="Tms Rmn" w:hAnsi="Tms Rmn"/>
          <w:position w:val="-4"/>
          <w:sz w:val="12"/>
          <w:szCs w:val="12"/>
          <w:lang w:val="fr-CH"/>
        </w:rPr>
        <w:t> </w:t>
      </w:r>
      <w:r w:rsidR="00FF4E67" w:rsidRPr="000B219D">
        <w:rPr>
          <w:lang w:val="fr-CH"/>
        </w:rPr>
        <w:t>:</w:t>
      </w:r>
      <w:r w:rsidR="00FF4E67" w:rsidRPr="000B219D">
        <w:rPr>
          <w:lang w:val="fr-CH"/>
        </w:rPr>
        <w:tab/>
      </w:r>
      <w:r w:rsidR="00FF4E67" w:rsidRPr="000B219D">
        <w:rPr>
          <w:lang w:val="fr-CH"/>
        </w:rPr>
        <w:tab/>
        <w:t>multi-channel r.m.s. deviation (Hz)</w:t>
      </w:r>
    </w:p>
    <w:p w:rsidR="00FF4E67" w:rsidRDefault="00A54C31" w:rsidP="00FF4E67">
      <w:pPr>
        <w:pStyle w:val="Equation"/>
        <w:tabs>
          <w:tab w:val="left" w:pos="1474"/>
          <w:tab w:val="left" w:pos="1702"/>
        </w:tabs>
        <w:rPr>
          <w:b/>
        </w:rPr>
      </w:pPr>
      <w:bookmarkStart w:id="8" w:name="F006"/>
      <w:r>
        <w:rPr>
          <w:b/>
          <w:bCs/>
        </w:rPr>
        <w:tab/>
      </w:r>
      <w:r>
        <w:rPr>
          <w:b/>
          <w:bCs/>
        </w:rPr>
        <w:tab/>
      </w:r>
      <w:r w:rsidR="00FF4E67">
        <w:rPr>
          <w:b/>
          <w:bCs/>
        </w:rPr>
        <w:tab/>
      </w:r>
      <w:r w:rsidR="00FF4E67">
        <w:rPr>
          <w:b/>
        </w:rPr>
        <w:tab/>
      </w:r>
      <w:r w:rsidR="00FF4E67">
        <w:rPr>
          <w:position w:val="-54"/>
        </w:rPr>
        <w:object w:dxaOrig="4380" w:dyaOrig="1180">
          <v:shape id="_x0000_i1029" type="#_x0000_t75" style="width:219pt;height:58.5pt" o:ole="">
            <v:imagedata r:id="rId22" o:title=""/>
          </v:shape>
          <o:OLEObject Type="Embed" ProgID="Equation.3" ShapeID="_x0000_i1029" DrawAspect="Content" ObjectID="_1389158221" r:id="rId23"/>
        </w:object>
      </w:r>
    </w:p>
    <w:p w:rsidR="00FF4E67" w:rsidRDefault="00A54C31" w:rsidP="00FF4E67">
      <w:pPr>
        <w:pStyle w:val="Equation"/>
        <w:tabs>
          <w:tab w:val="left" w:pos="1474"/>
        </w:tabs>
      </w:pPr>
      <w:r>
        <w:tab/>
      </w:r>
      <w:r w:rsidR="00FF4E67">
        <w:tab/>
      </w:r>
      <w:r w:rsidR="00FF4E67">
        <w:tab/>
      </w:r>
      <w:r w:rsidR="00FF4E67">
        <w:rPr>
          <w:b/>
          <w:bCs/>
          <w:position w:val="-34"/>
        </w:rPr>
        <w:object w:dxaOrig="4360" w:dyaOrig="780">
          <v:shape id="_x0000_i1030" type="#_x0000_t75" style="width:217.5pt;height:39pt" o:ole="">
            <v:imagedata r:id="rId24" o:title=""/>
          </v:shape>
          <o:OLEObject Type="Embed" ProgID="Equation.3" ShapeID="_x0000_i1030" DrawAspect="Content" ObjectID="_1389158222" r:id="rId25"/>
        </w:object>
      </w:r>
      <w:bookmarkEnd w:id="8"/>
    </w:p>
    <w:p w:rsidR="00FF4E67" w:rsidRPr="00FF4E67" w:rsidRDefault="000B219D" w:rsidP="000B219D">
      <w:pPr>
        <w:pStyle w:val="Equationlegend"/>
      </w:pPr>
      <w:r>
        <w:rPr>
          <w:rFonts w:ascii="Symbol" w:hAnsi="Symbol"/>
          <w:lang w:val="fr-FR"/>
        </w:rPr>
        <w:tab/>
      </w:r>
      <w:r w:rsidR="00FF4E67">
        <w:rPr>
          <w:rFonts w:ascii="Symbol" w:hAnsi="Symbol"/>
        </w:rPr>
        <w:t></w:t>
      </w:r>
      <w:r w:rsidR="00FF4E67" w:rsidRPr="00FF4E67">
        <w:rPr>
          <w:i/>
          <w:iCs/>
          <w:position w:val="-4"/>
          <w:sz w:val="16"/>
          <w:szCs w:val="16"/>
        </w:rPr>
        <w:t>d</w:t>
      </w:r>
      <w:r w:rsidR="00FF4E67" w:rsidRPr="00FF4E67">
        <w:rPr>
          <w:rFonts w:ascii="Tms Rmn" w:hAnsi="Tms Rmn"/>
          <w:sz w:val="12"/>
          <w:szCs w:val="12"/>
        </w:rPr>
        <w:t> </w:t>
      </w:r>
      <w:r w:rsidR="00FF4E67" w:rsidRPr="00FF4E67">
        <w:t>:</w:t>
      </w:r>
      <w:r w:rsidR="00FF4E67" w:rsidRPr="00FF4E67">
        <w:tab/>
      </w:r>
      <w:r w:rsidR="00FF4E67" w:rsidRPr="00FF4E67">
        <w:tab/>
        <w:t>r.m.s. test tone deviation (Hz)</w:t>
      </w:r>
    </w:p>
    <w:p w:rsidR="00FF4E67" w:rsidRPr="00FF4E67" w:rsidRDefault="000B219D" w:rsidP="000B219D">
      <w:pPr>
        <w:pStyle w:val="Equationlegend"/>
      </w:pPr>
      <w:r>
        <w:rPr>
          <w:i/>
          <w:iCs/>
          <w:sz w:val="18"/>
          <w:szCs w:val="18"/>
        </w:rPr>
        <w:tab/>
      </w:r>
      <w:r w:rsidR="00FF4E67" w:rsidRPr="00FF4E67">
        <w:rPr>
          <w:i/>
          <w:iCs/>
          <w:sz w:val="18"/>
          <w:szCs w:val="18"/>
        </w:rPr>
        <w:t>N</w:t>
      </w:r>
      <w:r w:rsidR="00FF4E67" w:rsidRPr="00FF4E67">
        <w:rPr>
          <w:i/>
          <w:iCs/>
          <w:position w:val="-4"/>
          <w:sz w:val="16"/>
          <w:szCs w:val="16"/>
        </w:rPr>
        <w:t>c</w:t>
      </w:r>
      <w:r w:rsidR="00FF4E67" w:rsidRPr="00FF4E67">
        <w:rPr>
          <w:rFonts w:ascii="Tms Rmn" w:hAnsi="Tms Rmn"/>
          <w:sz w:val="12"/>
          <w:szCs w:val="12"/>
        </w:rPr>
        <w:t> </w:t>
      </w:r>
      <w:r w:rsidR="00FF4E67" w:rsidRPr="00FF4E67">
        <w:t>:</w:t>
      </w:r>
      <w:r w:rsidR="00FF4E67" w:rsidRPr="00FF4E67">
        <w:tab/>
      </w:r>
      <w:r w:rsidR="00FF4E67" w:rsidRPr="00FF4E67">
        <w:tab/>
        <w:t>number of channels</w:t>
      </w:r>
    </w:p>
    <w:p w:rsidR="00FF4E67" w:rsidRPr="00FF4E67" w:rsidRDefault="000B219D" w:rsidP="000B219D">
      <w:pPr>
        <w:pStyle w:val="Equationlegend"/>
      </w:pPr>
      <w:r>
        <w:rPr>
          <w:rFonts w:ascii="Symbol" w:hAnsi="Symbol"/>
        </w:rPr>
        <w:tab/>
      </w:r>
      <w:r w:rsidR="00FF4E67">
        <w:rPr>
          <w:rFonts w:ascii="Symbol" w:hAnsi="Symbol"/>
        </w:rPr>
        <w:t></w:t>
      </w:r>
      <w:r w:rsidR="00FF4E67" w:rsidRPr="00FF4E67">
        <w:rPr>
          <w:i/>
          <w:iCs/>
          <w:position w:val="-4"/>
          <w:sz w:val="16"/>
          <w:szCs w:val="16"/>
        </w:rPr>
        <w:t>h</w:t>
      </w:r>
      <w:r w:rsidR="00FF4E67" w:rsidRPr="00FF4E67">
        <w:rPr>
          <w:rFonts w:ascii="Tms Rmn" w:hAnsi="Tms Rmn"/>
          <w:sz w:val="12"/>
          <w:szCs w:val="12"/>
        </w:rPr>
        <w:t> </w:t>
      </w:r>
      <w:r w:rsidR="00FF4E67" w:rsidRPr="00FF4E67">
        <w:t>:</w:t>
      </w:r>
      <w:r w:rsidR="00FF4E67" w:rsidRPr="00FF4E67">
        <w:tab/>
      </w:r>
      <w:r w:rsidR="00FF4E67" w:rsidRPr="00FF4E67">
        <w:tab/>
        <w:t>top frequency of the baseband (Hz)</w:t>
      </w:r>
    </w:p>
    <w:p w:rsidR="00FF4E67" w:rsidRPr="00FF4E67" w:rsidRDefault="000B219D" w:rsidP="000B219D">
      <w:pPr>
        <w:pStyle w:val="Equationlegend"/>
      </w:pPr>
      <w:r>
        <w:rPr>
          <w:rFonts w:ascii="Symbol" w:hAnsi="Symbol"/>
        </w:rPr>
        <w:tab/>
      </w:r>
      <w:r w:rsidR="00FF4E67">
        <w:rPr>
          <w:rFonts w:ascii="Symbol" w:hAnsi="Symbol"/>
        </w:rPr>
        <w:t></w:t>
      </w:r>
      <w:r w:rsidR="00FF4E67" w:rsidRPr="00FF4E67">
        <w:rPr>
          <w:position w:val="-4"/>
          <w:sz w:val="16"/>
          <w:szCs w:val="16"/>
        </w:rPr>
        <w:t>1</w:t>
      </w:r>
      <w:r w:rsidR="00FF4E67" w:rsidRPr="00FF4E67">
        <w:rPr>
          <w:rFonts w:ascii="Tms Rmn" w:hAnsi="Tms Rmn"/>
          <w:sz w:val="12"/>
          <w:szCs w:val="12"/>
        </w:rPr>
        <w:t> </w:t>
      </w:r>
      <w:r w:rsidR="00FF4E67" w:rsidRPr="00FF4E67">
        <w:t>:</w:t>
      </w:r>
      <w:r w:rsidR="00FF4E67" w:rsidRPr="00FF4E67">
        <w:tab/>
      </w:r>
      <w:r w:rsidR="00FF4E67" w:rsidRPr="00FF4E67">
        <w:tab/>
        <w:t>bottom frequency of the baseband (Hz)</w:t>
      </w:r>
    </w:p>
    <w:p w:rsidR="00FF4E67" w:rsidRPr="00FF4E67" w:rsidRDefault="000B219D" w:rsidP="000B219D">
      <w:pPr>
        <w:pStyle w:val="Equationlegend"/>
      </w:pPr>
      <w:r>
        <w:rPr>
          <w:i/>
          <w:iCs/>
        </w:rPr>
        <w:tab/>
      </w:r>
      <w:r w:rsidR="00FF4E67" w:rsidRPr="00FF4E67">
        <w:rPr>
          <w:i/>
          <w:iCs/>
        </w:rPr>
        <w:t>m</w:t>
      </w:r>
      <w:r w:rsidR="00FF4E67" w:rsidRPr="00FF4E67">
        <w:rPr>
          <w:rFonts w:ascii="Tms Rmn" w:hAnsi="Tms Rmn"/>
          <w:sz w:val="12"/>
          <w:szCs w:val="12"/>
        </w:rPr>
        <w:t> </w:t>
      </w:r>
      <w:r w:rsidR="00FF4E67" w:rsidRPr="00FF4E67">
        <w:t>:</w:t>
      </w:r>
      <w:r w:rsidR="00FF4E67" w:rsidRPr="00FF4E67">
        <w:tab/>
      </w:r>
      <w:r w:rsidR="00FF4E67" w:rsidRPr="00FF4E67">
        <w:tab/>
        <w:t>multi-channel modulation index (</w:t>
      </w:r>
      <w:r w:rsidR="00FF4E67">
        <w:rPr>
          <w:rFonts w:ascii="Symbol" w:hAnsi="Symbol"/>
        </w:rPr>
        <w:t></w:t>
      </w:r>
      <w:r w:rsidR="00FF4E67" w:rsidRPr="00FF4E67">
        <w:rPr>
          <w:i/>
          <w:iCs/>
        </w:rPr>
        <w:t xml:space="preserve"> </w:t>
      </w:r>
      <w:r w:rsidR="00FF4E67">
        <w:rPr>
          <w:rFonts w:ascii="Symbol" w:hAnsi="Symbol"/>
        </w:rPr>
        <w:t></w:t>
      </w:r>
      <w:r w:rsidR="00FF4E67">
        <w:rPr>
          <w:rFonts w:ascii="Symbol" w:hAnsi="Symbol"/>
          <w:position w:val="-4"/>
          <w:sz w:val="16"/>
          <w:szCs w:val="16"/>
        </w:rPr>
        <w:t></w:t>
      </w:r>
      <w:r w:rsidR="00FF4E67" w:rsidRPr="00FF4E67">
        <w:rPr>
          <w:sz w:val="12"/>
          <w:szCs w:val="12"/>
        </w:rPr>
        <w:t> </w:t>
      </w:r>
      <w:r w:rsidR="00FF4E67" w:rsidRPr="00FF4E67">
        <w:t>/</w:t>
      </w:r>
      <w:r w:rsidR="00FF4E67">
        <w:rPr>
          <w:rFonts w:ascii="Symbol" w:hAnsi="Symbol"/>
        </w:rPr>
        <w:t></w:t>
      </w:r>
      <w:r w:rsidR="00FF4E67" w:rsidRPr="00FF4E67">
        <w:rPr>
          <w:i/>
          <w:iCs/>
          <w:position w:val="-4"/>
          <w:sz w:val="16"/>
          <w:szCs w:val="16"/>
        </w:rPr>
        <w:t>h</w:t>
      </w:r>
      <w:r w:rsidR="00FF4E67" w:rsidRPr="00FF4E67">
        <w:t>)</w:t>
      </w:r>
    </w:p>
    <w:p w:rsidR="00FF4E67" w:rsidRPr="00FF4E67" w:rsidRDefault="000B219D" w:rsidP="000B219D">
      <w:pPr>
        <w:pStyle w:val="Equationlegend"/>
      </w:pPr>
      <w:r>
        <w:rPr>
          <w:rFonts w:ascii="Symbol" w:hAnsi="Symbol"/>
        </w:rPr>
        <w:tab/>
      </w:r>
      <w:r w:rsidR="00FF4E67">
        <w:rPr>
          <w:rFonts w:ascii="Symbol" w:hAnsi="Symbol"/>
        </w:rPr>
        <w:t></w:t>
      </w:r>
      <w:r w:rsidR="00FF4E67" w:rsidRPr="00FF4E67">
        <w:t xml:space="preserve">  </w:t>
      </w:r>
      <w:r w:rsidR="00FF4E67">
        <w:rPr>
          <w:rFonts w:ascii="Symbol" w:hAnsi="Symbol"/>
        </w:rPr>
        <w:t></w:t>
      </w:r>
      <w:r w:rsidR="00FF4E67" w:rsidRPr="00FF4E67">
        <w:tab/>
      </w:r>
      <w:r w:rsidR="00FF4E67" w:rsidRPr="00FF4E67">
        <w:tab/>
      </w:r>
      <w:r w:rsidR="00FF4E67">
        <w:rPr>
          <w:rFonts w:ascii="Symbol" w:hAnsi="Symbol"/>
        </w:rPr>
        <w:t></w:t>
      </w:r>
      <w:r w:rsidR="00FF4E67" w:rsidRPr="00FF4E67">
        <w:rPr>
          <w:position w:val="-4"/>
          <w:sz w:val="16"/>
          <w:szCs w:val="16"/>
        </w:rPr>
        <w:t>1</w:t>
      </w:r>
      <w:r w:rsidR="00FF4E67" w:rsidRPr="00FF4E67">
        <w:rPr>
          <w:sz w:val="12"/>
          <w:szCs w:val="12"/>
        </w:rPr>
        <w:t> </w:t>
      </w:r>
      <w:r w:rsidR="00FF4E67" w:rsidRPr="00FF4E67">
        <w:t>/</w:t>
      </w:r>
      <w:r w:rsidR="00FF4E67" w:rsidRPr="00FF4E67">
        <w:rPr>
          <w:sz w:val="12"/>
          <w:szCs w:val="12"/>
        </w:rPr>
        <w:t> </w:t>
      </w:r>
      <w:r w:rsidR="00FF4E67">
        <w:rPr>
          <w:rFonts w:ascii="Symbol" w:hAnsi="Symbol"/>
        </w:rPr>
        <w:t></w:t>
      </w:r>
      <w:r w:rsidR="00FF4E67" w:rsidRPr="00FF4E67">
        <w:rPr>
          <w:i/>
          <w:iCs/>
          <w:position w:val="-4"/>
          <w:sz w:val="16"/>
          <w:szCs w:val="16"/>
        </w:rPr>
        <w:t>h</w:t>
      </w:r>
    </w:p>
    <w:p w:rsidR="00FF4E67" w:rsidRPr="00FF4E67" w:rsidRDefault="000B219D" w:rsidP="000B219D">
      <w:pPr>
        <w:pStyle w:val="Equationlegend"/>
      </w:pPr>
      <w:r>
        <w:rPr>
          <w:i/>
          <w:iCs/>
        </w:rPr>
        <w:tab/>
      </w:r>
      <w:r w:rsidR="00FF4E67" w:rsidRPr="00FF4E67">
        <w:rPr>
          <w:i/>
          <w:iCs/>
        </w:rPr>
        <w:t>V</w:t>
      </w:r>
      <w:r w:rsidR="00FF4E67" w:rsidRPr="00FF4E67">
        <w:rPr>
          <w:i/>
          <w:iCs/>
          <w:position w:val="-4"/>
          <w:sz w:val="16"/>
          <w:szCs w:val="16"/>
        </w:rPr>
        <w:t>max</w:t>
      </w:r>
      <w:r w:rsidR="00FF4E67" w:rsidRPr="00FF4E67">
        <w:t xml:space="preserve">  </w:t>
      </w:r>
      <w:r w:rsidR="00FF4E67">
        <w:rPr>
          <w:rFonts w:ascii="Symbol" w:hAnsi="Symbol"/>
        </w:rPr>
        <w:t></w:t>
      </w:r>
      <w:r w:rsidR="00FF4E67" w:rsidRPr="00FF4E67">
        <w:tab/>
      </w:r>
      <w:r w:rsidR="00FF4E67" w:rsidRPr="00FF4E67">
        <w:rPr>
          <w:i/>
          <w:iCs/>
        </w:rPr>
        <w:t>W</w:t>
      </w:r>
      <w:r w:rsidR="00FF4E67" w:rsidRPr="00FF4E67">
        <w:rPr>
          <w:i/>
          <w:iCs/>
          <w:position w:val="-4"/>
          <w:sz w:val="16"/>
          <w:szCs w:val="16"/>
        </w:rPr>
        <w:t>max</w:t>
      </w:r>
      <w:r w:rsidR="00FF4E67" w:rsidRPr="00FF4E67">
        <w:rPr>
          <w:i/>
          <w:iCs/>
        </w:rPr>
        <w:t xml:space="preserve"> </w:t>
      </w:r>
      <w:r w:rsidR="00FF4E67">
        <w:rPr>
          <w:rFonts w:ascii="Symbol" w:hAnsi="Symbol"/>
        </w:rPr>
        <w:t></w:t>
      </w:r>
      <w:r w:rsidR="00FF4E67" w:rsidRPr="00FF4E67">
        <w:rPr>
          <w:i/>
          <w:iCs/>
          <w:position w:val="-4"/>
          <w:sz w:val="16"/>
          <w:szCs w:val="16"/>
        </w:rPr>
        <w:t>h</w:t>
      </w:r>
      <w:r w:rsidR="00FF4E67" w:rsidRPr="00FF4E67">
        <w:rPr>
          <w:i/>
          <w:iCs/>
          <w:position w:val="-3"/>
          <w:sz w:val="12"/>
          <w:szCs w:val="12"/>
        </w:rPr>
        <w:t> </w:t>
      </w:r>
      <w:r w:rsidR="00FF4E67" w:rsidRPr="00FF4E67">
        <w:t>/</w:t>
      </w:r>
      <w:r w:rsidR="00FF4E67" w:rsidRPr="00FF4E67">
        <w:rPr>
          <w:sz w:val="12"/>
          <w:szCs w:val="12"/>
        </w:rPr>
        <w:t> </w:t>
      </w:r>
      <w:r w:rsidR="00FF4E67" w:rsidRPr="00FF4E67">
        <w:rPr>
          <w:i/>
          <w:iCs/>
        </w:rPr>
        <w:t>P</w:t>
      </w:r>
      <w:r w:rsidR="00FF4E67" w:rsidRPr="00FF4E67">
        <w:rPr>
          <w:i/>
          <w:iCs/>
          <w:position w:val="-4"/>
          <w:sz w:val="16"/>
          <w:szCs w:val="16"/>
        </w:rPr>
        <w:t>t</w:t>
      </w:r>
    </w:p>
    <w:p w:rsidR="00FF4E67" w:rsidRPr="00FF4E67" w:rsidRDefault="000B219D" w:rsidP="000B219D">
      <w:pPr>
        <w:pStyle w:val="Equationlegend"/>
      </w:pPr>
      <w:r>
        <w:rPr>
          <w:i/>
          <w:iCs/>
        </w:rPr>
        <w:tab/>
      </w:r>
      <w:r w:rsidR="00FF4E67" w:rsidRPr="00FF4E67">
        <w:rPr>
          <w:i/>
          <w:iCs/>
        </w:rPr>
        <w:t>W</w:t>
      </w:r>
      <w:r w:rsidR="00FF4E67" w:rsidRPr="00FF4E67">
        <w:rPr>
          <w:i/>
          <w:iCs/>
          <w:position w:val="-4"/>
          <w:sz w:val="16"/>
          <w:szCs w:val="16"/>
        </w:rPr>
        <w:t>max</w:t>
      </w:r>
      <w:r w:rsidR="00FF4E67" w:rsidRPr="00FF4E67">
        <w:rPr>
          <w:rFonts w:ascii="Tms Rmn" w:hAnsi="Tms Rmn"/>
          <w:sz w:val="12"/>
          <w:szCs w:val="12"/>
        </w:rPr>
        <w:t> </w:t>
      </w:r>
      <w:r w:rsidR="00FF4E67" w:rsidRPr="00FF4E67">
        <w:t>:</w:t>
      </w:r>
      <w:r w:rsidR="00FF4E67" w:rsidRPr="00FF4E67">
        <w:tab/>
        <w:t>maximum spectral power per unit bandwidth (W/Hz).</w:t>
      </w:r>
    </w:p>
    <w:p w:rsidR="00FF4E67" w:rsidRPr="00FF4E67" w:rsidRDefault="00FF4E67" w:rsidP="000B219D">
      <w:pPr>
        <w:rPr>
          <w:lang w:val="en-US"/>
        </w:rPr>
      </w:pPr>
      <w:r w:rsidRPr="00FF4E67">
        <w:rPr>
          <w:lang w:val="en-US"/>
        </w:rPr>
        <w:br w:type="page"/>
      </w:r>
      <w:r w:rsidRPr="00FF4E67">
        <w:rPr>
          <w:lang w:val="en-US"/>
        </w:rPr>
        <w:lastRenderedPageBreak/>
        <w:t>For carriers for which 1 &lt;</w:t>
      </w:r>
      <w:r w:rsidRPr="00FF4E67">
        <w:rPr>
          <w:i/>
          <w:iCs/>
          <w:lang w:val="en-US"/>
        </w:rPr>
        <w:t xml:space="preserve"> N </w:t>
      </w:r>
      <w:r>
        <w:rPr>
          <w:rFonts w:ascii="Symbol" w:hAnsi="Symbol"/>
        </w:rPr>
        <w:t></w:t>
      </w:r>
      <w:r w:rsidRPr="00FF4E67">
        <w:rPr>
          <w:lang w:val="en-US"/>
        </w:rPr>
        <w:t xml:space="preserve"> 12, the maximum power density per 4 kHz is approximated by the expression:</w:t>
      </w:r>
    </w:p>
    <w:p w:rsidR="00FF4E67" w:rsidRPr="00FF4E67" w:rsidRDefault="00FF4E67" w:rsidP="00FF4E67">
      <w:pPr>
        <w:pStyle w:val="Equation"/>
        <w:tabs>
          <w:tab w:val="left" w:pos="1588"/>
        </w:tabs>
        <w:rPr>
          <w:lang w:val="en-US"/>
        </w:rPr>
      </w:pPr>
      <w:r w:rsidRPr="00FF4E67">
        <w:rPr>
          <w:lang w:val="en-US"/>
        </w:rPr>
        <w:tab/>
      </w:r>
      <w:bookmarkStart w:id="9" w:name="F007"/>
      <w:r w:rsidRPr="00FF4E67">
        <w:rPr>
          <w:lang w:val="en-US"/>
        </w:rPr>
        <w:tab/>
      </w:r>
      <w:r w:rsidRPr="00FF4E67">
        <w:rPr>
          <w:lang w:val="en-US"/>
        </w:rPr>
        <w:tab/>
      </w:r>
      <w:r>
        <w:fldChar w:fldCharType="begin"/>
      </w:r>
      <w:r w:rsidRPr="00FF4E67">
        <w:rPr>
          <w:lang w:val="en-US"/>
        </w:rPr>
        <w:instrText xml:space="preserve">eq </w:instrText>
      </w:r>
      <w:r w:rsidRPr="00FF4E67">
        <w:rPr>
          <w:i/>
          <w:iCs/>
          <w:lang w:val="en-US"/>
        </w:rPr>
        <w:instrText>P</w:instrText>
      </w:r>
      <w:r w:rsidRPr="00FF4E67">
        <w:rPr>
          <w:i/>
          <w:iCs/>
          <w:position w:val="-4"/>
          <w:sz w:val="18"/>
          <w:szCs w:val="18"/>
          <w:lang w:val="en-US"/>
        </w:rPr>
        <w:instrText>t</w:instrText>
      </w:r>
      <w:r w:rsidRPr="00FF4E67">
        <w:rPr>
          <w:i/>
          <w:iCs/>
          <w:lang w:val="en-US"/>
        </w:rPr>
        <w:instrText xml:space="preserve"> </w:instrText>
      </w:r>
      <w:r w:rsidRPr="00FF4E67">
        <w:rPr>
          <w:lang w:val="en-US"/>
        </w:rPr>
        <w:instrText xml:space="preserve"> cos</w:instrText>
      </w:r>
      <w:r w:rsidRPr="00FF4E67">
        <w:rPr>
          <w:position w:val="6"/>
          <w:sz w:val="18"/>
          <w:szCs w:val="18"/>
          <w:lang w:val="en-US"/>
        </w:rPr>
        <w:instrText>2</w:instrText>
      </w:r>
      <w:r w:rsidRPr="00FF4E67">
        <w:rPr>
          <w:lang w:val="en-US"/>
        </w:rPr>
        <w:instrText xml:space="preserve">  \f(\s\up4(</w:instrText>
      </w:r>
      <w:r w:rsidRPr="00FF4E67">
        <w:rPr>
          <w:i/>
          <w:iCs/>
          <w:lang w:val="en-US"/>
        </w:rPr>
        <w:instrText>m</w:instrText>
      </w:r>
      <w:r w:rsidRPr="00FF4E67">
        <w:rPr>
          <w:i/>
          <w:iCs/>
          <w:position w:val="-4"/>
          <w:sz w:val="18"/>
          <w:szCs w:val="18"/>
          <w:lang w:val="en-US"/>
        </w:rPr>
        <w:instrText>b</w:instrText>
      </w:r>
      <w:r w:rsidRPr="00FF4E67">
        <w:rPr>
          <w:lang w:val="en-US"/>
        </w:rPr>
        <w:instrText>);1.5)</w:instrText>
      </w:r>
      <w:r w:rsidRPr="00FF4E67">
        <w:rPr>
          <w:color w:val="FFFFFF"/>
          <w:lang w:val="en-US"/>
        </w:rPr>
        <w:instrText>mmmmmm</w:instrText>
      </w:r>
      <w:r w:rsidRPr="00FF4E67">
        <w:rPr>
          <w:lang w:val="en-US"/>
        </w:rPr>
        <w:instrText>W/4 kHz</w:instrText>
      </w:r>
      <w:r w:rsidRPr="00FF4E67">
        <w:rPr>
          <w:color w:val="FFFFFF"/>
          <w:lang w:val="en-US"/>
        </w:rPr>
        <w:instrText>mmmmmm</w:instrText>
      </w:r>
      <w:r w:rsidRPr="00FF4E67">
        <w:rPr>
          <w:color w:val="000000"/>
          <w:lang w:val="en-US"/>
        </w:rPr>
        <w:instrText>fo</w:instrText>
      </w:r>
      <w:r w:rsidRPr="00FF4E67">
        <w:rPr>
          <w:lang w:val="en-US"/>
        </w:rPr>
        <w:instrText xml:space="preserve">r </w:instrText>
      </w:r>
      <w:r w:rsidRPr="00FF4E67">
        <w:rPr>
          <w:i/>
          <w:iCs/>
          <w:lang w:val="en-US"/>
        </w:rPr>
        <w:instrText>m</w:instrText>
      </w:r>
      <w:r w:rsidRPr="00FF4E67">
        <w:rPr>
          <w:i/>
          <w:iCs/>
          <w:position w:val="-4"/>
          <w:sz w:val="18"/>
          <w:szCs w:val="18"/>
          <w:lang w:val="en-US"/>
        </w:rPr>
        <w:instrText>b</w:instrText>
      </w:r>
      <w:r w:rsidRPr="00FF4E67">
        <w:rPr>
          <w:lang w:val="en-US"/>
        </w:rPr>
        <w:instrText xml:space="preserve">  &lt;  1</w:instrText>
      </w:r>
      <w:r>
        <w:fldChar w:fldCharType="end"/>
      </w:r>
      <w:r w:rsidRPr="00FF4E67">
        <w:rPr>
          <w:lang w:val="en-US"/>
        </w:rPr>
        <w:tab/>
        <w:t>(6)</w:t>
      </w:r>
      <w:bookmarkEnd w:id="9"/>
    </w:p>
    <w:p w:rsidR="00FF4E67" w:rsidRPr="00FF4E67" w:rsidRDefault="00FF4E67" w:rsidP="00FF4E67">
      <w:pPr>
        <w:rPr>
          <w:lang w:val="en-US"/>
        </w:rPr>
      </w:pPr>
      <w:r w:rsidRPr="00FF4E67">
        <w:rPr>
          <w:lang w:val="en-US"/>
        </w:rPr>
        <w:t>where:</w:t>
      </w:r>
    </w:p>
    <w:p w:rsidR="00FF4E67" w:rsidRPr="00FF4E67" w:rsidRDefault="000B219D" w:rsidP="000B219D">
      <w:pPr>
        <w:pStyle w:val="Equationlegend"/>
      </w:pPr>
      <w:r>
        <w:rPr>
          <w:i/>
          <w:iCs/>
        </w:rPr>
        <w:tab/>
      </w:r>
      <w:r w:rsidR="00FF4E67" w:rsidRPr="00FF4E67">
        <w:rPr>
          <w:i/>
          <w:iCs/>
        </w:rPr>
        <w:t>P</w:t>
      </w:r>
      <w:r w:rsidR="00FF4E67" w:rsidRPr="00FF4E67">
        <w:rPr>
          <w:i/>
          <w:iCs/>
          <w:position w:val="-4"/>
          <w:sz w:val="16"/>
          <w:szCs w:val="16"/>
        </w:rPr>
        <w:t>t</w:t>
      </w:r>
      <w:r w:rsidR="00FF4E67" w:rsidRPr="00FF4E67">
        <w:rPr>
          <w:rFonts w:ascii="Tms Rmn" w:hAnsi="Tms Rmn"/>
          <w:sz w:val="12"/>
          <w:szCs w:val="12"/>
        </w:rPr>
        <w:t> </w:t>
      </w:r>
      <w:r w:rsidR="00FF4E67" w:rsidRPr="00FF4E67">
        <w:t>:</w:t>
      </w:r>
      <w:r w:rsidR="00FF4E67" w:rsidRPr="00FF4E67">
        <w:tab/>
      </w:r>
      <w:r w:rsidR="00FF4E67" w:rsidRPr="00FF4E67">
        <w:tab/>
        <w:t>total power of the carrier (W)</w:t>
      </w:r>
    </w:p>
    <w:p w:rsidR="00FF4E67" w:rsidRPr="00FF4E67" w:rsidRDefault="000B219D" w:rsidP="00B6034E">
      <w:pPr>
        <w:pStyle w:val="Equationlegend"/>
        <w:ind w:left="2160" w:hanging="2160"/>
      </w:pPr>
      <w:r>
        <w:rPr>
          <w:i/>
          <w:iCs/>
        </w:rPr>
        <w:tab/>
      </w:r>
      <w:r w:rsidR="00FF4E67" w:rsidRPr="00FF4E67">
        <w:rPr>
          <w:i/>
          <w:iCs/>
        </w:rPr>
        <w:t>m</w:t>
      </w:r>
      <w:r w:rsidR="00FF4E67" w:rsidRPr="00FF4E67">
        <w:rPr>
          <w:i/>
          <w:iCs/>
          <w:position w:val="-4"/>
          <w:sz w:val="16"/>
          <w:szCs w:val="16"/>
        </w:rPr>
        <w:t>b</w:t>
      </w:r>
      <w:r w:rsidR="00FF4E67" w:rsidRPr="00FF4E67">
        <w:rPr>
          <w:rFonts w:ascii="Tms Rmn" w:hAnsi="Tms Rmn"/>
          <w:sz w:val="12"/>
          <w:szCs w:val="12"/>
        </w:rPr>
        <w:t> </w:t>
      </w:r>
      <w:r w:rsidR="00FF4E67" w:rsidRPr="00FF4E67">
        <w:t>:</w:t>
      </w:r>
      <w:r w:rsidR="00FF4E67" w:rsidRPr="00FF4E67">
        <w:tab/>
      </w:r>
      <w:r w:rsidR="00FF4E67" w:rsidRPr="00FF4E67">
        <w:tab/>
        <w:t>peak modulation index (rad) due to a 0 dBm test tone in the highest frequency baseband channel.</w:t>
      </w:r>
    </w:p>
    <w:p w:rsidR="00FF4E67" w:rsidRPr="00FF4E67" w:rsidRDefault="00FF4E67" w:rsidP="000B219D">
      <w:pPr>
        <w:pStyle w:val="Heading2"/>
        <w:rPr>
          <w:lang w:val="en-US"/>
        </w:rPr>
      </w:pPr>
      <w:r w:rsidRPr="00FF4E67">
        <w:rPr>
          <w:lang w:val="en-US"/>
        </w:rPr>
        <w:t>1.2</w:t>
      </w:r>
      <w:r w:rsidRPr="00FF4E67">
        <w:rPr>
          <w:lang w:val="en-US"/>
        </w:rPr>
        <w:tab/>
        <w:t>FM carrier modulated by a multi-channel telephony signal and an energy dispersal signal of a triangular waveform with fixed amplitude</w:t>
      </w:r>
    </w:p>
    <w:p w:rsidR="00FF4E67" w:rsidRPr="00FF4E67" w:rsidRDefault="00FF4E67" w:rsidP="000B219D">
      <w:pPr>
        <w:rPr>
          <w:lang w:val="en-US"/>
        </w:rPr>
      </w:pPr>
      <w:r w:rsidRPr="00FF4E67">
        <w:rPr>
          <w:lang w:val="en-US"/>
        </w:rPr>
        <w:t>Triangular wave dispersal systems are normally designed to ensure that the maximum power spectral density per 4 kHz centred on the carrier frequency is maintained within 3 dB of the fully loaded value.</w:t>
      </w:r>
    </w:p>
    <w:p w:rsidR="00FF4E67" w:rsidRPr="00FF4E67" w:rsidRDefault="00FF4E67" w:rsidP="000B219D">
      <w:pPr>
        <w:rPr>
          <w:lang w:val="en-US"/>
        </w:rPr>
      </w:pPr>
      <w:r w:rsidRPr="00FF4E67">
        <w:rPr>
          <w:lang w:val="en-US"/>
        </w:rPr>
        <w:t>The power spectral density centred on the carrier frequency is given by:</w:t>
      </w:r>
    </w:p>
    <w:p w:rsidR="00FF4E67" w:rsidRPr="00FF4E67" w:rsidRDefault="00FF4E67" w:rsidP="00FF4E67">
      <w:pPr>
        <w:pStyle w:val="Equation"/>
        <w:rPr>
          <w:lang w:val="en-US"/>
        </w:rPr>
      </w:pPr>
      <w:bookmarkStart w:id="10" w:name="F008"/>
      <w:r w:rsidRPr="00FF4E67">
        <w:rPr>
          <w:b/>
          <w:lang w:val="en-US"/>
        </w:rPr>
        <w:tab/>
      </w:r>
      <w:r w:rsidRPr="00FF4E67">
        <w:rPr>
          <w:lang w:val="en-US"/>
        </w:rPr>
        <w:tab/>
      </w:r>
      <w:r w:rsidRPr="00BC26C3">
        <w:rPr>
          <w:position w:val="-24"/>
        </w:rPr>
        <w:object w:dxaOrig="1080" w:dyaOrig="639">
          <v:shape id="_x0000_i1031" type="#_x0000_t75" style="width:54pt;height:33pt" o:ole="">
            <v:imagedata r:id="rId26" o:title=""/>
          </v:shape>
          <o:OLEObject Type="Embed" ProgID="Equation.3" ShapeID="_x0000_i1031" DrawAspect="Content" ObjectID="_1389158223" r:id="rId27"/>
        </w:object>
      </w:r>
      <w:r w:rsidRPr="00FF4E67">
        <w:rPr>
          <w:lang w:val="en-US"/>
        </w:rPr>
        <w:t>                     </w:t>
      </w:r>
      <w:r w:rsidRPr="00BC26C3">
        <w:rPr>
          <w:position w:val="-10"/>
        </w:rPr>
        <w:object w:dxaOrig="920" w:dyaOrig="320">
          <v:shape id="_x0000_i1032" type="#_x0000_t75" style="width:47.25pt;height:15pt" o:ole="">
            <v:imagedata r:id="rId28" o:title=""/>
          </v:shape>
          <o:OLEObject Type="Embed" ProgID="Equation.3" ShapeID="_x0000_i1032" DrawAspect="Content" ObjectID="_1389158224" r:id="rId29"/>
        </w:object>
      </w:r>
      <w:r w:rsidRPr="00FF4E67">
        <w:rPr>
          <w:lang w:val="en-US"/>
        </w:rPr>
        <w:tab/>
        <w:t>(7)</w:t>
      </w:r>
      <w:bookmarkEnd w:id="10"/>
    </w:p>
    <w:p w:rsidR="00FF4E67" w:rsidRPr="00FF4E67" w:rsidRDefault="00FF4E67" w:rsidP="00FF4E67">
      <w:pPr>
        <w:rPr>
          <w:lang w:val="en-US"/>
        </w:rPr>
      </w:pPr>
      <w:r w:rsidRPr="00FF4E67">
        <w:rPr>
          <w:lang w:val="en-US"/>
        </w:rPr>
        <w:t>where:</w:t>
      </w:r>
    </w:p>
    <w:p w:rsidR="00FF4E67" w:rsidRPr="00FF4E67" w:rsidRDefault="000B219D" w:rsidP="000B219D">
      <w:pPr>
        <w:pStyle w:val="Equationlegend"/>
      </w:pPr>
      <w:r>
        <w:rPr>
          <w:i/>
          <w:iCs/>
        </w:rPr>
        <w:tab/>
      </w:r>
      <w:r w:rsidR="00FF4E67" w:rsidRPr="00FF4E67">
        <w:rPr>
          <w:i/>
          <w:iCs/>
        </w:rPr>
        <w:t>P</w:t>
      </w:r>
      <w:r w:rsidR="00FF4E67" w:rsidRPr="00FF4E67">
        <w:rPr>
          <w:i/>
          <w:iCs/>
          <w:position w:val="-4"/>
          <w:sz w:val="16"/>
          <w:szCs w:val="16"/>
        </w:rPr>
        <w:t>t</w:t>
      </w:r>
      <w:r w:rsidR="00FF4E67" w:rsidRPr="00FF4E67">
        <w:rPr>
          <w:rFonts w:ascii="Tms Rmn" w:hAnsi="Tms Rmn"/>
          <w:sz w:val="12"/>
          <w:szCs w:val="12"/>
        </w:rPr>
        <w:t> </w:t>
      </w:r>
      <w:r w:rsidR="00FF4E67" w:rsidRPr="00FF4E67">
        <w:t>:</w:t>
      </w:r>
      <w:r w:rsidR="00FF4E67" w:rsidRPr="00FF4E67">
        <w:tab/>
      </w:r>
      <w:r w:rsidR="00FF4E67" w:rsidRPr="00FF4E67">
        <w:tab/>
        <w:t>total power of the carrier (W)</w:t>
      </w:r>
    </w:p>
    <w:p w:rsidR="00FF4E67" w:rsidRPr="00FF4E67" w:rsidRDefault="000B219D" w:rsidP="000B219D">
      <w:pPr>
        <w:pStyle w:val="Equationlegend"/>
      </w:pPr>
      <w:r>
        <w:rPr>
          <w:rFonts w:ascii="Symbol" w:hAnsi="Symbol"/>
        </w:rPr>
        <w:tab/>
      </w:r>
      <w:r w:rsidR="00FF4E67">
        <w:rPr>
          <w:rFonts w:ascii="Symbol" w:hAnsi="Symbol"/>
        </w:rPr>
        <w:t></w:t>
      </w:r>
      <w:r w:rsidR="00FF4E67" w:rsidRPr="00FF4E67">
        <w:rPr>
          <w:i/>
          <w:iCs/>
        </w:rPr>
        <w:t>F</w:t>
      </w:r>
      <w:r w:rsidR="00FF4E67" w:rsidRPr="00FF4E67">
        <w:rPr>
          <w:rFonts w:ascii="Tms Rmn" w:hAnsi="Tms Rmn"/>
          <w:sz w:val="12"/>
          <w:szCs w:val="12"/>
        </w:rPr>
        <w:t> </w:t>
      </w:r>
      <w:r w:rsidR="00FF4E67" w:rsidRPr="00FF4E67">
        <w:t>:</w:t>
      </w:r>
      <w:r w:rsidR="00FF4E67" w:rsidRPr="00FF4E67">
        <w:tab/>
      </w:r>
      <w:r w:rsidR="00FF4E67" w:rsidRPr="00FF4E67">
        <w:tab/>
        <w:t>peak-to-peak frequency deviation due to the energy dispersal signal (Hz).</w:t>
      </w:r>
    </w:p>
    <w:p w:rsidR="00FF4E67" w:rsidRPr="00FF4E67" w:rsidRDefault="000B219D" w:rsidP="00FF4E67">
      <w:pPr>
        <w:pStyle w:val="Note"/>
        <w:rPr>
          <w:lang w:val="en-US"/>
        </w:rPr>
      </w:pPr>
      <w:r w:rsidRPr="000B219D">
        <w:rPr>
          <w:lang w:val="en-US"/>
        </w:rPr>
        <w:t xml:space="preserve">NOTE </w:t>
      </w:r>
      <w:r w:rsidR="00FF4E67" w:rsidRPr="000B219D">
        <w:rPr>
          <w:lang w:val="en-US"/>
        </w:rPr>
        <w:t xml:space="preserve">1 </w:t>
      </w:r>
      <w:r w:rsidR="00FF4E67" w:rsidRPr="00FF4E67">
        <w:rPr>
          <w:lang w:val="en-US"/>
        </w:rPr>
        <w:t>– Equation (7) assumes the use of a perfectly linear triangular dispersal waveform.</w:t>
      </w:r>
    </w:p>
    <w:p w:rsidR="00FF4E67" w:rsidRPr="00FF4E67" w:rsidRDefault="00FF4E67" w:rsidP="00FF4E67">
      <w:pPr>
        <w:pStyle w:val="Heading2"/>
        <w:rPr>
          <w:lang w:val="en-US"/>
        </w:rPr>
      </w:pPr>
      <w:r w:rsidRPr="00FF4E67">
        <w:rPr>
          <w:lang w:val="en-US"/>
        </w:rPr>
        <w:t>1.3</w:t>
      </w:r>
      <w:r w:rsidRPr="00FF4E67">
        <w:rPr>
          <w:lang w:val="en-US"/>
        </w:rPr>
        <w:tab/>
        <w:t>FM carrier modulated by a television video signal</w:t>
      </w:r>
    </w:p>
    <w:p w:rsidR="00FF4E67" w:rsidRPr="00FF4E67" w:rsidRDefault="00FF4E67" w:rsidP="00FF4E67">
      <w:pPr>
        <w:pStyle w:val="enumlev1"/>
        <w:rPr>
          <w:lang w:val="en-US"/>
        </w:rPr>
      </w:pPr>
      <w:r w:rsidRPr="00FF4E67">
        <w:rPr>
          <w:lang w:val="en-US"/>
        </w:rPr>
        <w:t>–</w:t>
      </w:r>
      <w:r w:rsidRPr="00FF4E67">
        <w:rPr>
          <w:lang w:val="en-US"/>
        </w:rPr>
        <w:tab/>
        <w:t>For the case where an energy dispersal signal of a triangular waveform is superimposed on the video signal, the maximum power density per 4 kHz in the worst case is given by:</w:t>
      </w:r>
    </w:p>
    <w:p w:rsidR="00FF4E67" w:rsidRPr="00FF4E67" w:rsidRDefault="00FF4E67" w:rsidP="00FF4E67">
      <w:pPr>
        <w:pStyle w:val="Equation"/>
        <w:rPr>
          <w:lang w:val="en-US"/>
        </w:rPr>
      </w:pPr>
      <w:bookmarkStart w:id="11" w:name="F009"/>
      <w:r w:rsidRPr="00FF4E67">
        <w:rPr>
          <w:b/>
          <w:lang w:val="en-US"/>
        </w:rPr>
        <w:tab/>
      </w:r>
      <w:r w:rsidRPr="00FF4E67">
        <w:rPr>
          <w:lang w:val="en-US"/>
        </w:rPr>
        <w:tab/>
      </w:r>
      <w:r w:rsidRPr="00BC26C3">
        <w:rPr>
          <w:position w:val="-24"/>
        </w:rPr>
        <w:object w:dxaOrig="1080" w:dyaOrig="639">
          <v:shape id="_x0000_i1033" type="#_x0000_t75" style="width:54pt;height:33pt" o:ole="">
            <v:imagedata r:id="rId30" o:title=""/>
          </v:shape>
          <o:OLEObject Type="Embed" ProgID="Equation.3" ShapeID="_x0000_i1033" DrawAspect="Content" ObjectID="_1389158225" r:id="rId31"/>
        </w:object>
      </w:r>
      <w:r w:rsidRPr="00BC26C3">
        <w:object w:dxaOrig="180" w:dyaOrig="340">
          <v:shape id="_x0000_i1034" type="#_x0000_t75" style="width:9pt;height:17.25pt" o:ole="">
            <v:imagedata r:id="rId32" o:title=""/>
          </v:shape>
          <o:OLEObject Type="Embed" ProgID="Equation.3" ShapeID="_x0000_i1034" DrawAspect="Content" ObjectID="_1389158226" r:id="rId33"/>
        </w:object>
      </w:r>
      <w:r w:rsidRPr="00FF4E67">
        <w:rPr>
          <w:lang w:val="en-US"/>
        </w:rPr>
        <w:t>                     </w:t>
      </w:r>
      <w:r w:rsidRPr="00BC26C3">
        <w:object w:dxaOrig="920" w:dyaOrig="320">
          <v:shape id="_x0000_i1035" type="#_x0000_t75" style="width:47.25pt;height:15pt" o:ole="">
            <v:imagedata r:id="rId28" o:title=""/>
          </v:shape>
          <o:OLEObject Type="Embed" ProgID="Equation.3" ShapeID="_x0000_i1035" DrawAspect="Content" ObjectID="_1389158227" r:id="rId34"/>
        </w:object>
      </w:r>
      <w:r w:rsidRPr="00FF4E67">
        <w:rPr>
          <w:lang w:val="en-US"/>
        </w:rPr>
        <w:tab/>
        <w:t>(8)</w:t>
      </w:r>
      <w:bookmarkEnd w:id="11"/>
    </w:p>
    <w:p w:rsidR="00FF4E67" w:rsidRPr="00FF4E67" w:rsidRDefault="00FF4E67" w:rsidP="00FF4E67">
      <w:pPr>
        <w:rPr>
          <w:lang w:val="en-US"/>
        </w:rPr>
      </w:pPr>
      <w:r w:rsidRPr="00FF4E67">
        <w:rPr>
          <w:lang w:val="en-US"/>
        </w:rPr>
        <w:t>where:</w:t>
      </w:r>
    </w:p>
    <w:p w:rsidR="00FF4E67" w:rsidRPr="00FF4E67" w:rsidRDefault="000B219D" w:rsidP="000B219D">
      <w:pPr>
        <w:pStyle w:val="Equationlegend"/>
      </w:pPr>
      <w:r>
        <w:rPr>
          <w:i/>
          <w:iCs/>
        </w:rPr>
        <w:tab/>
      </w:r>
      <w:r w:rsidR="00FF4E67" w:rsidRPr="00FF4E67">
        <w:rPr>
          <w:i/>
          <w:iCs/>
        </w:rPr>
        <w:t>P</w:t>
      </w:r>
      <w:r w:rsidR="00FF4E67" w:rsidRPr="00FF4E67">
        <w:rPr>
          <w:i/>
          <w:iCs/>
          <w:position w:val="-4"/>
          <w:sz w:val="16"/>
          <w:szCs w:val="16"/>
        </w:rPr>
        <w:t>t</w:t>
      </w:r>
      <w:r w:rsidR="00FF4E67" w:rsidRPr="00FF4E67">
        <w:rPr>
          <w:rFonts w:ascii="Tms Rmn" w:hAnsi="Tms Rmn"/>
          <w:sz w:val="12"/>
          <w:szCs w:val="12"/>
        </w:rPr>
        <w:t> </w:t>
      </w:r>
      <w:r w:rsidR="00FF4E67" w:rsidRPr="00FF4E67">
        <w:t>:</w:t>
      </w:r>
      <w:r w:rsidR="00FF4E67" w:rsidRPr="00FF4E67">
        <w:tab/>
      </w:r>
      <w:r w:rsidR="00FF4E67" w:rsidRPr="00FF4E67">
        <w:tab/>
        <w:t>total power of the carrier (W)</w:t>
      </w:r>
    </w:p>
    <w:p w:rsidR="00FF4E67" w:rsidRPr="00FF4E67" w:rsidRDefault="000B219D" w:rsidP="000B219D">
      <w:pPr>
        <w:pStyle w:val="Equationlegend"/>
      </w:pPr>
      <w:r>
        <w:rPr>
          <w:rFonts w:ascii="Symbol" w:hAnsi="Symbol"/>
        </w:rPr>
        <w:tab/>
      </w:r>
      <w:r w:rsidR="00FF4E67">
        <w:rPr>
          <w:rFonts w:ascii="Symbol" w:hAnsi="Symbol"/>
        </w:rPr>
        <w:t></w:t>
      </w:r>
      <w:r w:rsidR="00FF4E67" w:rsidRPr="00FF4E67">
        <w:rPr>
          <w:i/>
          <w:iCs/>
        </w:rPr>
        <w:t>F</w:t>
      </w:r>
      <w:r w:rsidR="00FF4E67" w:rsidRPr="00FF4E67">
        <w:rPr>
          <w:rFonts w:ascii="Tms Rmn" w:hAnsi="Tms Rmn"/>
          <w:sz w:val="12"/>
          <w:szCs w:val="12"/>
        </w:rPr>
        <w:t> </w:t>
      </w:r>
      <w:r w:rsidR="00FF4E67" w:rsidRPr="00FF4E67">
        <w:t>:</w:t>
      </w:r>
      <w:r w:rsidR="00FF4E67" w:rsidRPr="00FF4E67">
        <w:tab/>
      </w:r>
      <w:r w:rsidR="00FF4E67" w:rsidRPr="00FF4E67">
        <w:tab/>
        <w:t>peak-to-peak frequency deviation due to the energy dispersal signal (Hz).</w:t>
      </w:r>
    </w:p>
    <w:p w:rsidR="00FF4E67" w:rsidRPr="00FF4E67" w:rsidRDefault="000B219D" w:rsidP="00FF4E67">
      <w:pPr>
        <w:pStyle w:val="Note"/>
        <w:rPr>
          <w:lang w:val="en-US"/>
        </w:rPr>
      </w:pPr>
      <w:r w:rsidRPr="000B219D">
        <w:rPr>
          <w:lang w:val="en-US"/>
        </w:rPr>
        <w:t xml:space="preserve">NOTE </w:t>
      </w:r>
      <w:r w:rsidR="00FF4E67" w:rsidRPr="000B219D">
        <w:rPr>
          <w:lang w:val="en-US"/>
        </w:rPr>
        <w:t>1</w:t>
      </w:r>
      <w:r w:rsidR="00FF4E67" w:rsidRPr="00FF4E67">
        <w:rPr>
          <w:lang w:val="en-US"/>
        </w:rPr>
        <w:t xml:space="preserve"> – Equation (8) assumes the use of a perfectly linear triangular dispersal waveform. Negligible error results from this assumption for current FM-TV transmissions.</w:t>
      </w:r>
    </w:p>
    <w:p w:rsidR="00FF4E67" w:rsidRPr="00FF4E67" w:rsidRDefault="00FF4E67" w:rsidP="00FF4E67">
      <w:pPr>
        <w:pStyle w:val="enumlev1"/>
        <w:rPr>
          <w:lang w:val="en-US"/>
        </w:rPr>
      </w:pPr>
      <w:r w:rsidRPr="00FF4E67">
        <w:rPr>
          <w:lang w:val="en-US"/>
        </w:rPr>
        <w:t>–</w:t>
      </w:r>
      <w:r w:rsidRPr="00FF4E67">
        <w:rPr>
          <w:lang w:val="en-US"/>
        </w:rPr>
        <w:tab/>
        <w:t>For the case where there is no modulation by video and energy dispersal signals, the maximum power density per 4 kHz in the worst-case is given by:</w:t>
      </w:r>
    </w:p>
    <w:p w:rsidR="00FF4E67" w:rsidRPr="00FF4E67" w:rsidRDefault="00FF4E67" w:rsidP="00FF4E67">
      <w:pPr>
        <w:pStyle w:val="Equation"/>
        <w:rPr>
          <w:lang w:val="en-US"/>
        </w:rPr>
      </w:pPr>
      <w:bookmarkStart w:id="12" w:name="F010"/>
      <w:r w:rsidRPr="00FF4E67">
        <w:rPr>
          <w:b/>
          <w:bCs/>
          <w:lang w:val="en-US"/>
        </w:rPr>
        <w:tab/>
      </w:r>
      <w:r w:rsidRPr="00FF4E67">
        <w:rPr>
          <w:b/>
          <w:bCs/>
          <w:lang w:val="en-US"/>
        </w:rPr>
        <w:tab/>
      </w:r>
      <w:r w:rsidRPr="00FF4E67">
        <w:rPr>
          <w:i/>
          <w:iCs/>
          <w:lang w:val="en-US"/>
        </w:rPr>
        <w:t>P</w:t>
      </w:r>
      <w:r w:rsidRPr="00FF4E67">
        <w:rPr>
          <w:i/>
          <w:iCs/>
          <w:position w:val="-4"/>
          <w:sz w:val="18"/>
          <w:szCs w:val="18"/>
          <w:lang w:val="en-US"/>
        </w:rPr>
        <w:t>t</w:t>
      </w:r>
      <w:r w:rsidRPr="00FF4E67">
        <w:rPr>
          <w:color w:val="FFFFFF"/>
          <w:lang w:val="en-US"/>
        </w:rPr>
        <w:t>mmmmmm</w:t>
      </w:r>
      <w:r w:rsidRPr="00FF4E67">
        <w:rPr>
          <w:color w:val="000000"/>
          <w:lang w:val="en-US"/>
        </w:rPr>
        <w:t>W/4 kHz</w:t>
      </w:r>
      <w:bookmarkEnd w:id="12"/>
    </w:p>
    <w:p w:rsidR="00FF4E67" w:rsidRPr="00FF4E67" w:rsidRDefault="00FF4E67" w:rsidP="00FF4E67">
      <w:pPr>
        <w:pStyle w:val="Heading1"/>
        <w:rPr>
          <w:lang w:val="en-US"/>
        </w:rPr>
      </w:pPr>
      <w:r w:rsidRPr="00FF4E67">
        <w:rPr>
          <w:lang w:val="en-US"/>
        </w:rPr>
        <w:t>2</w:t>
      </w:r>
      <w:r w:rsidRPr="00FF4E67">
        <w:rPr>
          <w:lang w:val="en-US"/>
        </w:rPr>
        <w:tab/>
        <w:t>Phase modulated (PM) carrier modulated by a multi-channel telephony signal</w:t>
      </w:r>
    </w:p>
    <w:p w:rsidR="00FF4E67" w:rsidRPr="00FF4E67" w:rsidRDefault="00FF4E67" w:rsidP="000B219D">
      <w:pPr>
        <w:rPr>
          <w:lang w:val="en-US"/>
        </w:rPr>
      </w:pPr>
      <w:r w:rsidRPr="00FF4E67">
        <w:rPr>
          <w:lang w:val="en-US"/>
        </w:rPr>
        <w:t>When a PM carrier is modulated by a multi</w:t>
      </w:r>
      <w:r w:rsidRPr="00FF4E67">
        <w:rPr>
          <w:lang w:val="en-US"/>
        </w:rPr>
        <w:noBreakHyphen/>
        <w:t>channel telephony signal, the maximum power density is found at the centre frequency of the carrier. This is true if the top baseband frequency is much larger than the bottom baseband frequency. An expression for the maximum power density assuming this condition is given as follows:</w:t>
      </w:r>
    </w:p>
    <w:p w:rsidR="00FF4E67" w:rsidRPr="00FF4E67" w:rsidRDefault="00FF4E67" w:rsidP="00FF4E67">
      <w:pPr>
        <w:pStyle w:val="Equation"/>
        <w:tabs>
          <w:tab w:val="left" w:pos="1191"/>
          <w:tab w:val="left" w:pos="2948"/>
        </w:tabs>
        <w:rPr>
          <w:lang w:val="en-US"/>
        </w:rPr>
      </w:pPr>
      <w:bookmarkStart w:id="13" w:name="F011"/>
      <w:r w:rsidRPr="00FF4E67">
        <w:rPr>
          <w:lang w:val="en-US"/>
        </w:rPr>
        <w:lastRenderedPageBreak/>
        <w:t>–</w:t>
      </w:r>
      <w:r w:rsidRPr="00FF4E67">
        <w:rPr>
          <w:lang w:val="en-US"/>
        </w:rPr>
        <w:tab/>
        <w:t xml:space="preserve">for </w:t>
      </w:r>
      <w:r>
        <w:rPr>
          <w:rFonts w:ascii="Symbol" w:hAnsi="Symbol"/>
        </w:rPr>
        <w:t></w:t>
      </w:r>
      <w:r>
        <w:rPr>
          <w:rFonts w:ascii="Symbol" w:hAnsi="Symbol"/>
        </w:rPr>
        <w:t></w:t>
      </w:r>
      <w:r w:rsidRPr="00FF4E67">
        <w:rPr>
          <w:i/>
          <w:iCs/>
          <w:position w:val="-4"/>
          <w:sz w:val="18"/>
          <w:szCs w:val="18"/>
          <w:lang w:val="en-US"/>
        </w:rPr>
        <w:t>a</w:t>
      </w:r>
      <w:r w:rsidRPr="00FF4E67">
        <w:rPr>
          <w:lang w:val="en-US"/>
        </w:rPr>
        <w:t xml:space="preserve">  </w:t>
      </w:r>
      <w:r>
        <w:rPr>
          <w:rFonts w:ascii="Symbol" w:hAnsi="Symbol"/>
        </w:rPr>
        <w:t></w:t>
      </w:r>
      <w:r w:rsidRPr="00FF4E67">
        <w:rPr>
          <w:lang w:val="en-US"/>
        </w:rPr>
        <w:t xml:space="preserve">  2:</w:t>
      </w:r>
      <w:r w:rsidRPr="00FF4E67">
        <w:rPr>
          <w:lang w:val="en-US"/>
        </w:rPr>
        <w:tab/>
      </w:r>
      <w:r>
        <w:fldChar w:fldCharType="begin"/>
      </w:r>
      <w:r w:rsidRPr="00FF4E67">
        <w:rPr>
          <w:lang w:val="en-US"/>
        </w:rPr>
        <w:instrText>eq \f(\s\up4(</w:instrText>
      </w:r>
      <w:r w:rsidRPr="00FF4E67">
        <w:rPr>
          <w:i/>
          <w:iCs/>
          <w:lang w:val="en-US"/>
        </w:rPr>
        <w:instrText>P</w:instrText>
      </w:r>
      <w:r w:rsidRPr="00FF4E67">
        <w:rPr>
          <w:i/>
          <w:iCs/>
          <w:position w:val="-4"/>
          <w:sz w:val="18"/>
          <w:szCs w:val="18"/>
          <w:lang w:val="en-US"/>
        </w:rPr>
        <w:instrText>t</w:instrText>
      </w:r>
      <w:r w:rsidRPr="00FF4E67">
        <w:rPr>
          <w:lang w:val="en-US"/>
        </w:rPr>
        <w:instrText>);(</w:instrText>
      </w:r>
      <w:r w:rsidRPr="00FF4E67">
        <w:rPr>
          <w:rFonts w:ascii="Symbol" w:hAnsi="Symbol"/>
          <w:lang w:val="en-US"/>
        </w:rPr>
        <w:instrText>bs</w:instrText>
      </w:r>
      <w:r w:rsidRPr="00FF4E67">
        <w:rPr>
          <w:i/>
          <w:iCs/>
          <w:position w:val="-4"/>
          <w:sz w:val="18"/>
          <w:szCs w:val="18"/>
          <w:lang w:val="en-US"/>
        </w:rPr>
        <w:instrText>a</w:instrText>
      </w:r>
      <w:r w:rsidRPr="00FF4E67">
        <w:rPr>
          <w:lang w:val="en-US"/>
        </w:rPr>
        <w:instrText xml:space="preserve">) </w:instrText>
      </w:r>
      <w:r w:rsidRPr="00FF4E67">
        <w:rPr>
          <w:rFonts w:ascii="Symbol" w:hAnsi="Symbol"/>
          <w:lang w:val="en-US"/>
        </w:rPr>
        <w:instrText>¦</w:instrText>
      </w:r>
      <w:r w:rsidRPr="00FF4E67">
        <w:rPr>
          <w:i/>
          <w:iCs/>
          <w:position w:val="-4"/>
          <w:sz w:val="18"/>
          <w:szCs w:val="18"/>
          <w:lang w:val="en-US"/>
        </w:rPr>
        <w:instrText>h</w:instrText>
      </w:r>
      <w:r w:rsidRPr="00FF4E67">
        <w:rPr>
          <w:lang w:val="en-US"/>
        </w:rPr>
        <w:instrText>)  \r(\f(3;2</w:instrText>
      </w:r>
      <w:r w:rsidRPr="00FF4E67">
        <w:rPr>
          <w:rFonts w:ascii="Symbol" w:hAnsi="Symbol"/>
          <w:lang w:val="en-US"/>
        </w:rPr>
        <w:instrText>p</w:instrText>
      </w:r>
      <w:r w:rsidRPr="00FF4E67">
        <w:rPr>
          <w:lang w:val="en-US"/>
        </w:rPr>
        <w:instrText xml:space="preserve">))  </w:instrText>
      </w:r>
      <w:r w:rsidRPr="00FF4E67">
        <w:rPr>
          <w:rFonts w:ascii="Symbol" w:hAnsi="Symbol"/>
          <w:lang w:val="en-US"/>
        </w:rPr>
        <w:instrText>´</w:instrText>
      </w:r>
      <w:r w:rsidRPr="00FF4E67">
        <w:rPr>
          <w:lang w:val="en-US"/>
        </w:rPr>
        <w:instrText xml:space="preserve">  4</w:instrText>
      </w:r>
      <w:r w:rsidRPr="00FF4E67">
        <w:rPr>
          <w:sz w:val="12"/>
          <w:szCs w:val="12"/>
          <w:lang w:val="en-US"/>
        </w:rPr>
        <w:instrText> </w:instrText>
      </w:r>
      <w:r w:rsidRPr="00FF4E67">
        <w:rPr>
          <w:lang w:val="en-US"/>
        </w:rPr>
        <w:instrText>000</w:instrText>
      </w:r>
      <w:r w:rsidRPr="00FF4E67">
        <w:rPr>
          <w:color w:val="FFFFFF"/>
          <w:lang w:val="en-US"/>
        </w:rPr>
        <w:instrText>mmmmmm</w:instrText>
      </w:r>
      <w:r w:rsidRPr="00FF4E67">
        <w:rPr>
          <w:lang w:val="en-US"/>
        </w:rPr>
        <w:instrText>W/4 kHz</w:instrText>
      </w:r>
      <w:r>
        <w:fldChar w:fldCharType="end"/>
      </w:r>
      <w:r w:rsidRPr="00FF4E67">
        <w:rPr>
          <w:lang w:val="en-US"/>
        </w:rPr>
        <w:tab/>
        <w:t>(9)</w:t>
      </w:r>
      <w:bookmarkEnd w:id="13"/>
    </w:p>
    <w:p w:rsidR="00FF4E67" w:rsidRPr="00FF4E67" w:rsidRDefault="00FF4E67" w:rsidP="00FF4E67">
      <w:pPr>
        <w:pStyle w:val="enumlev1"/>
        <w:rPr>
          <w:lang w:val="en-US"/>
        </w:rPr>
      </w:pPr>
      <w:r w:rsidRPr="00FF4E67">
        <w:rPr>
          <w:lang w:val="en-US"/>
        </w:rPr>
        <w:t>–</w:t>
      </w:r>
      <w:r w:rsidRPr="00FF4E67">
        <w:rPr>
          <w:lang w:val="en-US"/>
        </w:rPr>
        <w:tab/>
        <w:t>for ß</w:t>
      </w:r>
      <w:r>
        <w:rPr>
          <w:rFonts w:ascii="Symbol" w:hAnsi="Symbol"/>
        </w:rPr>
        <w:t></w:t>
      </w:r>
      <w:r w:rsidRPr="00FF4E67">
        <w:rPr>
          <w:i/>
          <w:iCs/>
          <w:position w:val="-4"/>
          <w:sz w:val="16"/>
          <w:szCs w:val="16"/>
          <w:lang w:val="en-US"/>
        </w:rPr>
        <w:t>a</w:t>
      </w:r>
      <w:r w:rsidRPr="00FF4E67">
        <w:rPr>
          <w:lang w:val="en-US"/>
        </w:rPr>
        <w:t xml:space="preserve"> &lt; 2, the maximum power density per 4 kHz is the sum of following two terms:</w:t>
      </w:r>
    </w:p>
    <w:p w:rsidR="00FF4E67" w:rsidRPr="00FF4E67" w:rsidRDefault="00FF4E67" w:rsidP="00FF4E67">
      <w:pPr>
        <w:pStyle w:val="Equation"/>
        <w:tabs>
          <w:tab w:val="left" w:pos="1191"/>
          <w:tab w:val="left" w:pos="1588"/>
        </w:tabs>
        <w:rPr>
          <w:lang w:val="en-US"/>
        </w:rPr>
      </w:pPr>
      <w:bookmarkStart w:id="14" w:name="F012"/>
      <w:r w:rsidRPr="00FF4E67">
        <w:rPr>
          <w:lang w:val="en-US"/>
        </w:rPr>
        <w:tab/>
      </w:r>
      <w:r w:rsidRPr="00FF4E67">
        <w:rPr>
          <w:lang w:val="en-US"/>
        </w:rPr>
        <w:tab/>
        <w:t>–</w:t>
      </w:r>
      <w:r w:rsidRPr="00FF4E67">
        <w:rPr>
          <w:lang w:val="en-US"/>
        </w:rPr>
        <w:tab/>
        <w:t>continuous spectrum:</w:t>
      </w:r>
      <w:r w:rsidRPr="00FF4E67">
        <w:rPr>
          <w:i/>
          <w:iCs/>
          <w:lang w:val="en-US"/>
        </w:rPr>
        <w:t xml:space="preserve"> </w:t>
      </w:r>
      <w:r>
        <w:fldChar w:fldCharType="begin"/>
      </w:r>
      <w:r w:rsidRPr="00FF4E67">
        <w:rPr>
          <w:lang w:val="en-US"/>
        </w:rPr>
        <w:instrText xml:space="preserve">eq </w:instrText>
      </w:r>
      <w:r w:rsidRPr="00FF4E67">
        <w:rPr>
          <w:i/>
          <w:iCs/>
          <w:lang w:val="en-US"/>
        </w:rPr>
        <w:instrText>P</w:instrText>
      </w:r>
      <w:r w:rsidRPr="00FF4E67">
        <w:rPr>
          <w:i/>
          <w:iCs/>
          <w:position w:val="-4"/>
          <w:sz w:val="18"/>
          <w:szCs w:val="18"/>
          <w:lang w:val="en-US"/>
        </w:rPr>
        <w:instrText>t</w:instrText>
      </w:r>
      <w:r w:rsidRPr="00FF4E67">
        <w:rPr>
          <w:lang w:val="en-US"/>
        </w:rPr>
        <w:instrText xml:space="preserve">  </w:instrText>
      </w:r>
      <w:r w:rsidRPr="00FF4E67">
        <w:rPr>
          <w:rFonts w:ascii="Symbol" w:hAnsi="Symbol"/>
          <w:lang w:val="en-US"/>
        </w:rPr>
        <w:instrText>´</w:instrText>
      </w:r>
      <w:r w:rsidRPr="00FF4E67">
        <w:rPr>
          <w:lang w:val="en-US"/>
        </w:rPr>
        <w:instrText xml:space="preserve">  </w:instrText>
      </w:r>
      <w:r w:rsidRPr="00FF4E67">
        <w:rPr>
          <w:i/>
          <w:iCs/>
          <w:lang w:val="en-US"/>
        </w:rPr>
        <w:instrText>S</w:instrText>
      </w:r>
      <w:r w:rsidRPr="00FF4E67">
        <w:rPr>
          <w:lang w:val="en-US"/>
        </w:rPr>
        <w:instrText xml:space="preserve">(0)  </w:instrText>
      </w:r>
      <w:r w:rsidRPr="00FF4E67">
        <w:rPr>
          <w:rFonts w:ascii="Symbol" w:hAnsi="Symbol"/>
          <w:lang w:val="en-US"/>
        </w:rPr>
        <w:instrText>´</w:instrText>
      </w:r>
      <w:r w:rsidRPr="00FF4E67">
        <w:rPr>
          <w:lang w:val="en-US"/>
        </w:rPr>
        <w:instrText xml:space="preserve">  4</w:instrText>
      </w:r>
      <w:r w:rsidRPr="00FF4E67">
        <w:rPr>
          <w:sz w:val="12"/>
          <w:szCs w:val="12"/>
          <w:lang w:val="en-US"/>
        </w:rPr>
        <w:instrText> </w:instrText>
      </w:r>
      <w:r w:rsidRPr="00FF4E67">
        <w:rPr>
          <w:lang w:val="en-US"/>
        </w:rPr>
        <w:instrText>000</w:instrText>
      </w:r>
      <w:r w:rsidRPr="00FF4E67">
        <w:rPr>
          <w:color w:val="FFFFFF"/>
          <w:lang w:val="en-US"/>
        </w:rPr>
        <w:instrText>mmmmmm</w:instrText>
      </w:r>
      <w:r w:rsidRPr="00FF4E67">
        <w:rPr>
          <w:lang w:val="en-US"/>
        </w:rPr>
        <w:instrText>W/4 kHz</w:instrText>
      </w:r>
      <w:r>
        <w:fldChar w:fldCharType="end"/>
      </w:r>
      <w:r w:rsidRPr="00FF4E67">
        <w:rPr>
          <w:lang w:val="en-US"/>
        </w:rPr>
        <w:tab/>
        <w:t>(10)</w:t>
      </w:r>
      <w:bookmarkEnd w:id="14"/>
    </w:p>
    <w:p w:rsidR="00FF4E67" w:rsidRPr="00FF4E67" w:rsidRDefault="00FF4E67" w:rsidP="00FF4E67">
      <w:pPr>
        <w:pStyle w:val="enumlev3"/>
        <w:ind w:firstLine="0"/>
        <w:rPr>
          <w:lang w:val="en-US"/>
        </w:rPr>
      </w:pPr>
      <w:r w:rsidRPr="00FF4E67">
        <w:rPr>
          <w:i/>
          <w:iCs/>
          <w:lang w:val="en-US"/>
        </w:rPr>
        <w:t>S</w:t>
      </w:r>
      <w:r w:rsidRPr="00FF4E67">
        <w:rPr>
          <w:lang w:val="en-US"/>
        </w:rPr>
        <w:t>(0) can be found from Fig. 3 which gives values for the ratio of the total carrier power</w:t>
      </w:r>
      <w:r w:rsidRPr="00FF4E67">
        <w:rPr>
          <w:lang w:val="en-US"/>
        </w:rPr>
        <w:noBreakHyphen/>
        <w:t>to-power density in a bandwidth of</w:t>
      </w:r>
      <w:r w:rsidRPr="00FF4E67">
        <w:rPr>
          <w:i/>
          <w:iCs/>
          <w:lang w:val="en-US"/>
        </w:rPr>
        <w:t xml:space="preserve"> </w:t>
      </w:r>
      <w:r>
        <w:rPr>
          <w:rFonts w:ascii="Symbol" w:hAnsi="Symbol"/>
        </w:rPr>
        <w:t></w:t>
      </w:r>
      <w:r w:rsidRPr="00FF4E67">
        <w:rPr>
          <w:i/>
          <w:iCs/>
          <w:position w:val="-4"/>
          <w:sz w:val="16"/>
          <w:szCs w:val="16"/>
          <w:lang w:val="en-US"/>
        </w:rPr>
        <w:t>h</w:t>
      </w:r>
      <w:r w:rsidRPr="00FF4E67">
        <w:rPr>
          <w:lang w:val="en-US"/>
        </w:rPr>
        <w:t xml:space="preserve"> (Hz).</w:t>
      </w:r>
    </w:p>
    <w:p w:rsidR="00FF4E67" w:rsidRPr="00FF4E67" w:rsidRDefault="00FF4E67" w:rsidP="00FF4E67">
      <w:pPr>
        <w:pStyle w:val="Equation"/>
        <w:tabs>
          <w:tab w:val="left" w:pos="1191"/>
          <w:tab w:val="left" w:pos="1588"/>
        </w:tabs>
        <w:rPr>
          <w:lang w:val="en-US"/>
        </w:rPr>
      </w:pPr>
      <w:bookmarkStart w:id="15" w:name="F013"/>
      <w:r w:rsidRPr="00FF4E67">
        <w:rPr>
          <w:b/>
          <w:bCs/>
          <w:lang w:val="en-US"/>
        </w:rPr>
        <w:tab/>
      </w:r>
      <w:r w:rsidRPr="00FF4E67">
        <w:rPr>
          <w:b/>
          <w:bCs/>
          <w:lang w:val="en-US"/>
        </w:rPr>
        <w:tab/>
      </w:r>
      <w:r w:rsidRPr="00FF4E67">
        <w:rPr>
          <w:lang w:val="en-US"/>
        </w:rPr>
        <w:t>–</w:t>
      </w:r>
      <w:r w:rsidRPr="00FF4E67">
        <w:rPr>
          <w:lang w:val="en-US"/>
        </w:rPr>
        <w:tab/>
        <w:t>residual carrier:</w:t>
      </w:r>
      <w:r w:rsidRPr="00FF4E67">
        <w:rPr>
          <w:i/>
          <w:iCs/>
          <w:lang w:val="en-US"/>
        </w:rPr>
        <w:t xml:space="preserve"> </w:t>
      </w:r>
      <w:r>
        <w:fldChar w:fldCharType="begin"/>
      </w:r>
      <w:r w:rsidRPr="00FF4E67">
        <w:rPr>
          <w:lang w:val="en-US"/>
        </w:rPr>
        <w:instrText xml:space="preserve">eq </w:instrText>
      </w:r>
      <w:r w:rsidRPr="00FF4E67">
        <w:rPr>
          <w:i/>
          <w:iCs/>
          <w:lang w:val="en-US"/>
        </w:rPr>
        <w:instrText>P</w:instrText>
      </w:r>
      <w:r w:rsidRPr="00FF4E67">
        <w:rPr>
          <w:i/>
          <w:iCs/>
          <w:position w:val="-4"/>
          <w:sz w:val="18"/>
          <w:szCs w:val="18"/>
          <w:lang w:val="en-US"/>
        </w:rPr>
        <w:instrText>t</w:instrText>
      </w:r>
      <w:r w:rsidRPr="00FF4E67">
        <w:rPr>
          <w:lang w:val="en-US"/>
        </w:rPr>
        <w:instrText xml:space="preserve"> exp {– (</w:instrText>
      </w:r>
      <w:r w:rsidRPr="00FF4E67">
        <w:rPr>
          <w:rFonts w:ascii="Symbol" w:hAnsi="Symbol"/>
          <w:lang w:val="en-US"/>
        </w:rPr>
        <w:instrText>bs</w:instrText>
      </w:r>
      <w:r w:rsidRPr="00FF4E67">
        <w:rPr>
          <w:i/>
          <w:iCs/>
          <w:position w:val="-4"/>
          <w:sz w:val="18"/>
          <w:szCs w:val="18"/>
          <w:lang w:val="en-US"/>
        </w:rPr>
        <w:instrText>a</w:instrText>
      </w:r>
      <w:r w:rsidRPr="00FF4E67">
        <w:rPr>
          <w:lang w:val="en-US"/>
        </w:rPr>
        <w:instrText>)</w:instrText>
      </w:r>
      <w:r w:rsidRPr="00FF4E67">
        <w:rPr>
          <w:position w:val="6"/>
          <w:sz w:val="18"/>
          <w:szCs w:val="18"/>
          <w:lang w:val="en-US"/>
        </w:rPr>
        <w:instrText>2</w:instrText>
      </w:r>
      <w:r w:rsidRPr="00FF4E67">
        <w:rPr>
          <w:lang w:val="en-US"/>
        </w:rPr>
        <w:instrText>}</w:instrText>
      </w:r>
      <w:r w:rsidRPr="00FF4E67">
        <w:rPr>
          <w:color w:val="FFFFFF"/>
          <w:lang w:val="en-US"/>
        </w:rPr>
        <w:instrText>mmmmmm</w:instrText>
      </w:r>
      <w:r w:rsidRPr="00FF4E67">
        <w:rPr>
          <w:lang w:val="en-US"/>
        </w:rPr>
        <w:instrText>W</w:instrText>
      </w:r>
      <w:r>
        <w:fldChar w:fldCharType="end"/>
      </w:r>
      <w:r w:rsidRPr="00FF4E67">
        <w:rPr>
          <w:lang w:val="en-US"/>
        </w:rPr>
        <w:tab/>
        <w:t>(11)</w:t>
      </w:r>
      <w:bookmarkEnd w:id="15"/>
    </w:p>
    <w:p w:rsidR="00FF4E67" w:rsidRPr="00FF4E67" w:rsidRDefault="00FF4E67" w:rsidP="00FF4E67">
      <w:pPr>
        <w:rPr>
          <w:lang w:val="en-US"/>
        </w:rPr>
      </w:pPr>
      <w:r w:rsidRPr="00FF4E67">
        <w:rPr>
          <w:lang w:val="en-US"/>
        </w:rPr>
        <w:tab/>
      </w:r>
      <w:r w:rsidRPr="00FF4E67">
        <w:rPr>
          <w:lang w:val="en-US"/>
        </w:rPr>
        <w:tab/>
      </w:r>
      <w:r w:rsidRPr="00FF4E67">
        <w:rPr>
          <w:lang w:val="en-US"/>
        </w:rPr>
        <w:tab/>
        <w:t>where:</w:t>
      </w:r>
    </w:p>
    <w:p w:rsidR="00FF4E67" w:rsidRPr="00FF4E67" w:rsidRDefault="00FF4E67" w:rsidP="00FF4E67">
      <w:pPr>
        <w:pStyle w:val="enumlev3"/>
        <w:tabs>
          <w:tab w:val="left" w:pos="1418"/>
        </w:tabs>
        <w:rPr>
          <w:lang w:val="en-US"/>
        </w:rPr>
      </w:pPr>
      <w:r w:rsidRPr="00FF4E67">
        <w:rPr>
          <w:i/>
          <w:iCs/>
          <w:lang w:val="en-US"/>
        </w:rPr>
        <w:t>P</w:t>
      </w:r>
      <w:r w:rsidRPr="00FF4E67">
        <w:rPr>
          <w:i/>
          <w:iCs/>
          <w:position w:val="-4"/>
          <w:sz w:val="16"/>
          <w:szCs w:val="16"/>
          <w:lang w:val="en-US"/>
        </w:rPr>
        <w:t>t</w:t>
      </w:r>
      <w:r w:rsidRPr="00FF4E67">
        <w:rPr>
          <w:rFonts w:ascii="Tms Rmn" w:hAnsi="Tms Rmn"/>
          <w:sz w:val="12"/>
          <w:szCs w:val="12"/>
          <w:lang w:val="en-US"/>
        </w:rPr>
        <w:t> </w:t>
      </w:r>
      <w:r w:rsidRPr="00FF4E67">
        <w:rPr>
          <w:lang w:val="en-US"/>
        </w:rPr>
        <w:t>:</w:t>
      </w:r>
      <w:r w:rsidRPr="00FF4E67">
        <w:rPr>
          <w:lang w:val="en-US"/>
        </w:rPr>
        <w:tab/>
      </w:r>
      <w:r w:rsidRPr="00FF4E67">
        <w:rPr>
          <w:lang w:val="en-US"/>
        </w:rPr>
        <w:tab/>
        <w:t>total power of the carrier (W)</w:t>
      </w:r>
    </w:p>
    <w:p w:rsidR="00FF4E67" w:rsidRDefault="00FF4E67" w:rsidP="00FF4E67">
      <w:pPr>
        <w:pStyle w:val="enumlev3"/>
        <w:tabs>
          <w:tab w:val="left" w:pos="1418"/>
        </w:tabs>
      </w:pPr>
      <w:r>
        <w:rPr>
          <w:rFonts w:ascii="Symbol" w:hAnsi="Symbol"/>
        </w:rPr>
        <w:t></w:t>
      </w:r>
      <w:r>
        <w:rPr>
          <w:rFonts w:ascii="Symbol" w:hAnsi="Symbol"/>
        </w:rPr>
        <w:t></w:t>
      </w:r>
      <w:r>
        <w:rPr>
          <w:i/>
          <w:iCs/>
          <w:position w:val="-4"/>
          <w:sz w:val="16"/>
          <w:szCs w:val="16"/>
        </w:rPr>
        <w:t>a</w:t>
      </w:r>
      <w:r>
        <w:rPr>
          <w:rFonts w:ascii="Tms Rmn" w:hAnsi="Tms Rmn"/>
          <w:sz w:val="12"/>
          <w:szCs w:val="12"/>
        </w:rPr>
        <w:t> </w:t>
      </w:r>
      <w:r>
        <w:t>:</w:t>
      </w:r>
      <w:r>
        <w:tab/>
        <w:t>multi-channel phase deviation (rad)</w:t>
      </w:r>
    </w:p>
    <w:p w:rsidR="00FF4E67" w:rsidRPr="00FF4E67" w:rsidRDefault="00FF4E67" w:rsidP="00FF4E67">
      <w:pPr>
        <w:pStyle w:val="enumlev3"/>
        <w:tabs>
          <w:tab w:val="left" w:pos="1418"/>
        </w:tabs>
        <w:rPr>
          <w:lang w:val="en-US"/>
        </w:rPr>
      </w:pPr>
      <w:r>
        <w:rPr>
          <w:rFonts w:ascii="Symbol" w:hAnsi="Symbol"/>
        </w:rPr>
        <w:t></w:t>
      </w:r>
      <w:r w:rsidRPr="00FF4E67">
        <w:rPr>
          <w:rFonts w:ascii="Tms Rmn" w:hAnsi="Tms Rmn"/>
          <w:sz w:val="12"/>
          <w:szCs w:val="12"/>
          <w:lang w:val="en-US"/>
        </w:rPr>
        <w:t> </w:t>
      </w:r>
      <w:r w:rsidRPr="00FF4E67">
        <w:rPr>
          <w:lang w:val="en-US"/>
        </w:rPr>
        <w:t>:</w:t>
      </w:r>
      <w:r w:rsidRPr="00FF4E67">
        <w:rPr>
          <w:lang w:val="en-US"/>
        </w:rPr>
        <w:tab/>
      </w:r>
      <w:r w:rsidRPr="00FF4E67">
        <w:rPr>
          <w:lang w:val="en-US"/>
        </w:rPr>
        <w:tab/>
        <w:t>r.m.s. test tone phase deviation (rad)</w:t>
      </w:r>
    </w:p>
    <w:p w:rsidR="00FF4E67" w:rsidRPr="00FF4E67" w:rsidRDefault="00FF4E67" w:rsidP="00FF4E67">
      <w:pPr>
        <w:pStyle w:val="enumlev3"/>
        <w:tabs>
          <w:tab w:val="left" w:pos="1418"/>
        </w:tabs>
        <w:rPr>
          <w:lang w:val="en-US"/>
        </w:rPr>
      </w:pPr>
      <w:r>
        <w:rPr>
          <w:rFonts w:ascii="Symbol" w:hAnsi="Symbol"/>
        </w:rPr>
        <w:t></w:t>
      </w:r>
      <w:r w:rsidRPr="00FF4E67">
        <w:rPr>
          <w:i/>
          <w:iCs/>
          <w:position w:val="-4"/>
          <w:sz w:val="16"/>
          <w:szCs w:val="16"/>
          <w:lang w:val="en-US"/>
        </w:rPr>
        <w:t>a</w:t>
      </w:r>
      <w:r w:rsidRPr="00FF4E67">
        <w:rPr>
          <w:rFonts w:ascii="Tms Rmn" w:hAnsi="Tms Rmn"/>
          <w:sz w:val="12"/>
          <w:szCs w:val="12"/>
          <w:lang w:val="en-US"/>
        </w:rPr>
        <w:t> </w:t>
      </w:r>
      <w:r w:rsidRPr="00FF4E67">
        <w:rPr>
          <w:lang w:val="en-US"/>
        </w:rPr>
        <w:t>:</w:t>
      </w:r>
      <w:r w:rsidRPr="00FF4E67">
        <w:rPr>
          <w:lang w:val="en-US"/>
        </w:rPr>
        <w:tab/>
      </w:r>
      <w:r w:rsidRPr="00FF4E67">
        <w:rPr>
          <w:lang w:val="en-US"/>
        </w:rPr>
        <w:tab/>
        <w:t>loading factor of the multi</w:t>
      </w:r>
      <w:r w:rsidRPr="00FF4E67">
        <w:rPr>
          <w:lang w:val="en-US"/>
        </w:rPr>
        <w:noBreakHyphen/>
        <w:t>channel telephony signal.</w:t>
      </w:r>
    </w:p>
    <w:p w:rsidR="00FF4E67" w:rsidRPr="00FF4E67" w:rsidRDefault="00FF4E67" w:rsidP="00FF4E67">
      <w:pPr>
        <w:pStyle w:val="Equation"/>
        <w:tabs>
          <w:tab w:val="left" w:pos="1191"/>
          <w:tab w:val="left" w:pos="2155"/>
        </w:tabs>
        <w:rPr>
          <w:lang w:val="en-US"/>
        </w:rPr>
      </w:pPr>
      <w:bookmarkStart w:id="16" w:name="F014"/>
      <w:r w:rsidRPr="00FF4E67">
        <w:rPr>
          <w:b/>
          <w:bCs/>
          <w:lang w:val="en-US"/>
        </w:rPr>
        <w:tab/>
      </w:r>
      <w:r w:rsidRPr="00FF4E67">
        <w:rPr>
          <w:b/>
          <w:bCs/>
          <w:lang w:val="en-US"/>
        </w:rPr>
        <w:tab/>
      </w:r>
      <w:r w:rsidRPr="00FF4E67">
        <w:rPr>
          <w:b/>
          <w:bCs/>
          <w:lang w:val="en-US"/>
        </w:rPr>
        <w:tab/>
      </w:r>
      <w:r>
        <w:rPr>
          <w:rFonts w:ascii="Symbol" w:hAnsi="Symbol"/>
        </w:rPr>
        <w:t></w:t>
      </w:r>
      <w:r w:rsidRPr="00FF4E67">
        <w:rPr>
          <w:i/>
          <w:iCs/>
          <w:position w:val="-4"/>
          <w:sz w:val="18"/>
          <w:szCs w:val="18"/>
          <w:lang w:val="en-US"/>
        </w:rPr>
        <w:t>a</w:t>
      </w:r>
      <w:r w:rsidRPr="00FF4E67">
        <w:rPr>
          <w:lang w:val="en-US"/>
        </w:rPr>
        <w:t xml:space="preserve">  </w:t>
      </w:r>
      <w:r>
        <w:rPr>
          <w:rFonts w:ascii="Symbol" w:hAnsi="Symbol"/>
        </w:rPr>
        <w:t></w:t>
      </w:r>
      <w:r w:rsidRPr="00FF4E67">
        <w:rPr>
          <w:lang w:val="en-US"/>
        </w:rPr>
        <w:t xml:space="preserve">       </w:t>
      </w:r>
      <w:r>
        <w:rPr>
          <w:position w:val="-32"/>
        </w:rPr>
        <w:object w:dxaOrig="2980" w:dyaOrig="740">
          <v:shape id="_x0000_i1036" type="#_x0000_t75" style="width:148.5pt;height:37.5pt" o:ole="">
            <v:imagedata r:id="rId35" o:title=""/>
          </v:shape>
          <o:OLEObject Type="Embed" ProgID="Equation.3" ShapeID="_x0000_i1036" DrawAspect="Content" ObjectID="_1389158228" r:id="rId36"/>
        </w:object>
      </w:r>
      <w:bookmarkEnd w:id="16"/>
    </w:p>
    <w:p w:rsidR="00FF4E67" w:rsidRPr="00FF4E67" w:rsidRDefault="00FF4E67" w:rsidP="00FF4E67">
      <w:pPr>
        <w:pStyle w:val="enumlev3"/>
        <w:tabs>
          <w:tab w:val="left" w:pos="1418"/>
        </w:tabs>
        <w:rPr>
          <w:lang w:val="en-US"/>
        </w:rPr>
      </w:pPr>
      <w:r w:rsidRPr="00FF4E67">
        <w:rPr>
          <w:i/>
          <w:iCs/>
          <w:lang w:val="en-US"/>
        </w:rPr>
        <w:t>N</w:t>
      </w:r>
      <w:r w:rsidRPr="00FF4E67">
        <w:rPr>
          <w:rFonts w:ascii="Tms Rmn" w:hAnsi="Tms Rmn"/>
          <w:sz w:val="12"/>
          <w:szCs w:val="12"/>
          <w:lang w:val="en-US"/>
        </w:rPr>
        <w:t> </w:t>
      </w:r>
      <w:r w:rsidRPr="00FF4E67">
        <w:rPr>
          <w:lang w:val="en-US"/>
        </w:rPr>
        <w:t>:</w:t>
      </w:r>
      <w:r w:rsidRPr="00FF4E67">
        <w:rPr>
          <w:lang w:val="en-US"/>
        </w:rPr>
        <w:tab/>
      </w:r>
      <w:r w:rsidRPr="00FF4E67">
        <w:rPr>
          <w:lang w:val="en-US"/>
        </w:rPr>
        <w:tab/>
        <w:t>channel number</w:t>
      </w:r>
    </w:p>
    <w:p w:rsidR="00FF4E67" w:rsidRDefault="00FF4E67" w:rsidP="00FF4E67">
      <w:pPr>
        <w:pStyle w:val="enumlev3"/>
        <w:tabs>
          <w:tab w:val="left" w:pos="1418"/>
        </w:tabs>
        <w:rPr>
          <w:lang w:val="en-US"/>
        </w:rPr>
      </w:pPr>
      <w:r>
        <w:rPr>
          <w:rFonts w:ascii="Symbol" w:hAnsi="Symbol"/>
        </w:rPr>
        <w:t></w:t>
      </w:r>
      <w:r w:rsidRPr="00FF4E67">
        <w:rPr>
          <w:i/>
          <w:iCs/>
          <w:position w:val="-4"/>
          <w:sz w:val="16"/>
          <w:szCs w:val="16"/>
          <w:lang w:val="en-US"/>
        </w:rPr>
        <w:t>h</w:t>
      </w:r>
      <w:r w:rsidRPr="00FF4E67">
        <w:rPr>
          <w:rFonts w:ascii="Tms Rmn" w:hAnsi="Tms Rmn"/>
          <w:sz w:val="12"/>
          <w:szCs w:val="12"/>
          <w:lang w:val="en-US"/>
        </w:rPr>
        <w:t> </w:t>
      </w:r>
      <w:r w:rsidRPr="00FF4E67">
        <w:rPr>
          <w:lang w:val="en-US"/>
        </w:rPr>
        <w:t>:</w:t>
      </w:r>
      <w:r w:rsidRPr="00FF4E67">
        <w:rPr>
          <w:lang w:val="en-US"/>
        </w:rPr>
        <w:tab/>
      </w:r>
      <w:r w:rsidRPr="00FF4E67">
        <w:rPr>
          <w:lang w:val="en-US"/>
        </w:rPr>
        <w:tab/>
        <w:t>top baseband frequency (Hz).</w:t>
      </w:r>
    </w:p>
    <w:p w:rsidR="00B6034E" w:rsidRDefault="00B6034E" w:rsidP="00B6034E">
      <w:pPr>
        <w:pStyle w:val="FigureNo"/>
        <w:rPr>
          <w:lang w:val="en-US"/>
        </w:rPr>
      </w:pPr>
      <w:r>
        <w:rPr>
          <w:lang w:val="en-US"/>
        </w:rPr>
        <w:t>figure 3</w:t>
      </w:r>
    </w:p>
    <w:p w:rsidR="00B6034E" w:rsidRPr="00B6034E" w:rsidRDefault="00B6034E" w:rsidP="00B6034E">
      <w:pPr>
        <w:pStyle w:val="Figuretitle"/>
        <w:rPr>
          <w:lang w:val="en-US"/>
        </w:rPr>
      </w:pPr>
      <w:r>
        <w:rPr>
          <w:lang w:val="en-US"/>
        </w:rPr>
        <w:t>Power density at the centre frequency of continuous power spectrum</w:t>
      </w:r>
      <w:r>
        <w:rPr>
          <w:lang w:val="en-US"/>
        </w:rPr>
        <w:br/>
        <w:t xml:space="preserve">of PM carrier in a bandwidth of </w:t>
      </w:r>
      <w:r w:rsidRPr="00B6034E">
        <w:rPr>
          <w:i/>
          <w:iCs/>
          <w:lang w:val="en-US"/>
        </w:rPr>
        <w:t>f</w:t>
      </w:r>
      <w:r w:rsidRPr="00B6034E">
        <w:rPr>
          <w:i/>
          <w:iCs/>
          <w:vertAlign w:val="subscript"/>
          <w:lang w:val="en-US"/>
        </w:rPr>
        <w:t>h</w:t>
      </w:r>
    </w:p>
    <w:p w:rsidR="00FF4E67" w:rsidRPr="00FF4E67" w:rsidRDefault="00FF4E67" w:rsidP="00FF4E67">
      <w:pPr>
        <w:rPr>
          <w:lang w:val="en-US"/>
        </w:rPr>
      </w:pPr>
    </w:p>
    <w:p w:rsidR="00FF4E67" w:rsidRDefault="00D03931" w:rsidP="00B4320A">
      <w:pPr>
        <w:pStyle w:val="Figure"/>
        <w:rPr>
          <w:lang w:val="en-GB"/>
        </w:rPr>
      </w:pPr>
      <w:r>
        <w:rPr>
          <w:noProof/>
          <w:lang w:eastAsia="zh-CN"/>
        </w:rPr>
        <w:object w:dxaOrig="9521" w:dyaOrig="7121">
          <v:shape id="_x0000_i1037" type="#_x0000_t75" style="width:425.25pt;height:318pt" o:ole="">
            <v:imagedata r:id="rId37" o:title=""/>
          </v:shape>
          <o:OLEObject Type="Embed" ProgID="CorelDRAW.Graphic.14" ShapeID="_x0000_i1037" DrawAspect="Content" ObjectID="_1389158229" r:id="rId38"/>
        </w:object>
      </w:r>
    </w:p>
    <w:p w:rsidR="00FF4E67" w:rsidRPr="00FF4E67" w:rsidRDefault="00FF4E67" w:rsidP="00FF4E67">
      <w:pPr>
        <w:pStyle w:val="Heading1"/>
        <w:rPr>
          <w:lang w:val="en-US"/>
        </w:rPr>
      </w:pPr>
      <w:r w:rsidRPr="00FF4E67">
        <w:rPr>
          <w:lang w:val="en-US"/>
        </w:rPr>
        <w:br w:type="page"/>
      </w:r>
      <w:r w:rsidRPr="00FF4E67">
        <w:rPr>
          <w:lang w:val="en-US"/>
        </w:rPr>
        <w:lastRenderedPageBreak/>
        <w:t>3</w:t>
      </w:r>
      <w:r w:rsidRPr="00FF4E67">
        <w:rPr>
          <w:lang w:val="en-US"/>
        </w:rPr>
        <w:tab/>
        <w:t>Digita</w:t>
      </w:r>
      <w:bookmarkStart w:id="17" w:name="_GoBack"/>
      <w:bookmarkEnd w:id="17"/>
      <w:r w:rsidRPr="00FF4E67">
        <w:rPr>
          <w:lang w:val="en-US"/>
        </w:rPr>
        <w:t>l carrier with necessary bandwidth greater than 4 kHz</w:t>
      </w:r>
    </w:p>
    <w:p w:rsidR="00FF4E67" w:rsidRPr="00FF4E67" w:rsidRDefault="001A5E8E" w:rsidP="00FF4E67">
      <w:pPr>
        <w:rPr>
          <w:lang w:val="en-US"/>
        </w:rPr>
      </w:pPr>
      <w:r>
        <w:rPr>
          <w:lang w:val="en-US"/>
        </w:rPr>
        <w:t xml:space="preserve">The maximum power density per </w:t>
      </w:r>
      <w:r w:rsidR="00FF4E67" w:rsidRPr="00FF4E67">
        <w:rPr>
          <w:lang w:val="en-US"/>
        </w:rPr>
        <w:t xml:space="preserve">Hz of a digital </w:t>
      </w:r>
      <w:r w:rsidR="00B6034E">
        <w:rPr>
          <w:lang w:val="en-US"/>
        </w:rPr>
        <w:t xml:space="preserve">carrier </w:t>
      </w:r>
      <w:r w:rsidR="00FF4E67" w:rsidRPr="00FF4E67">
        <w:rPr>
          <w:lang w:val="en-US"/>
        </w:rPr>
        <w:t>is given by:</w:t>
      </w:r>
    </w:p>
    <w:p w:rsidR="00FF4E67" w:rsidRPr="00FF4E67" w:rsidRDefault="00FF4E67" w:rsidP="00FF4E67">
      <w:pPr>
        <w:pStyle w:val="Equation"/>
        <w:rPr>
          <w:lang w:val="en-US"/>
        </w:rPr>
      </w:pPr>
      <w:bookmarkStart w:id="18" w:name="F015"/>
      <w:r w:rsidRPr="00FF4E67">
        <w:rPr>
          <w:b/>
          <w:bCs/>
          <w:lang w:val="en-US"/>
        </w:rPr>
        <w:tab/>
      </w:r>
      <w:r w:rsidRPr="00FF4E67">
        <w:rPr>
          <w:b/>
          <w:bCs/>
          <w:lang w:val="en-US"/>
        </w:rPr>
        <w:tab/>
      </w:r>
      <w:r w:rsidRPr="00FF4E67">
        <w:rPr>
          <w:i/>
          <w:iCs/>
          <w:lang w:val="en-US"/>
        </w:rPr>
        <w:t>P</w:t>
      </w:r>
      <w:r w:rsidRPr="00FF4E67">
        <w:rPr>
          <w:i/>
          <w:iCs/>
          <w:vertAlign w:val="subscript"/>
          <w:lang w:val="en-US"/>
        </w:rPr>
        <w:t>o</w:t>
      </w:r>
      <w:r w:rsidRPr="00FF4E67">
        <w:rPr>
          <w:vertAlign w:val="subscript"/>
          <w:lang w:val="en-US"/>
        </w:rPr>
        <w:t xml:space="preserve"> </w:t>
      </w:r>
      <w:r w:rsidRPr="00FF4E67">
        <w:rPr>
          <w:lang w:val="en-US"/>
        </w:rPr>
        <w:t xml:space="preserve">= </w:t>
      </w:r>
      <w:r w:rsidRPr="00FF4E67">
        <w:rPr>
          <w:i/>
          <w:iCs/>
          <w:lang w:val="en-US"/>
        </w:rPr>
        <w:t>P</w:t>
      </w:r>
      <w:r w:rsidRPr="00FF4E67">
        <w:rPr>
          <w:i/>
          <w:iCs/>
          <w:vertAlign w:val="subscript"/>
          <w:lang w:val="en-US"/>
        </w:rPr>
        <w:t>t</w:t>
      </w:r>
      <w:r w:rsidRPr="00FF4E67">
        <w:rPr>
          <w:lang w:val="en-US"/>
        </w:rPr>
        <w:t>/</w:t>
      </w:r>
      <w:r w:rsidRPr="00FF4E67">
        <w:rPr>
          <w:i/>
          <w:iCs/>
          <w:lang w:val="en-US"/>
        </w:rPr>
        <w:t>B</w:t>
      </w:r>
      <w:r w:rsidRPr="00FF4E67">
        <w:rPr>
          <w:lang w:val="en-US"/>
        </w:rPr>
        <w:t xml:space="preserve">     </w:t>
      </w:r>
      <w:r w:rsidRPr="00FF4E67">
        <w:rPr>
          <w:lang w:val="en-US"/>
        </w:rPr>
        <w:tab/>
        <w:t>(12)</w:t>
      </w:r>
      <w:bookmarkEnd w:id="18"/>
    </w:p>
    <w:p w:rsidR="00FF4E67" w:rsidRPr="00FF4E67" w:rsidRDefault="00FF4E67" w:rsidP="00FF4E67">
      <w:pPr>
        <w:rPr>
          <w:lang w:val="en-US"/>
        </w:rPr>
      </w:pPr>
      <w:r w:rsidRPr="00FF4E67">
        <w:rPr>
          <w:lang w:val="en-US"/>
        </w:rPr>
        <w:t>where:</w:t>
      </w:r>
    </w:p>
    <w:p w:rsidR="00FF4E67" w:rsidRPr="00FF4E67" w:rsidRDefault="000B219D" w:rsidP="000B219D">
      <w:pPr>
        <w:pStyle w:val="Equationlegend"/>
      </w:pPr>
      <w:r>
        <w:rPr>
          <w:i/>
          <w:iCs/>
        </w:rPr>
        <w:tab/>
      </w:r>
      <w:r w:rsidR="00FF4E67" w:rsidRPr="00FF4E67">
        <w:rPr>
          <w:i/>
          <w:iCs/>
        </w:rPr>
        <w:t>P</w:t>
      </w:r>
      <w:r w:rsidR="00FF4E67" w:rsidRPr="00FF4E67">
        <w:rPr>
          <w:i/>
          <w:iCs/>
          <w:position w:val="-4"/>
          <w:sz w:val="16"/>
          <w:szCs w:val="16"/>
        </w:rPr>
        <w:t>t</w:t>
      </w:r>
      <w:r w:rsidR="00FF4E67" w:rsidRPr="00FF4E67">
        <w:rPr>
          <w:rFonts w:ascii="Tms Rmn" w:hAnsi="Tms Rmn"/>
          <w:sz w:val="12"/>
          <w:szCs w:val="12"/>
        </w:rPr>
        <w:t> </w:t>
      </w:r>
      <w:r w:rsidR="00FF4E67" w:rsidRPr="00FF4E67">
        <w:t>:</w:t>
      </w:r>
      <w:r w:rsidR="00FF4E67" w:rsidRPr="00FF4E67">
        <w:tab/>
      </w:r>
      <w:r w:rsidR="00FF4E67" w:rsidRPr="00FF4E67">
        <w:tab/>
        <w:t>total power of the carrier (W)</w:t>
      </w:r>
    </w:p>
    <w:p w:rsidR="00FF4E67" w:rsidRPr="00FF4E67" w:rsidRDefault="000B219D" w:rsidP="00B6034E">
      <w:pPr>
        <w:pStyle w:val="Equationlegend"/>
      </w:pPr>
      <w:r>
        <w:rPr>
          <w:i/>
          <w:iCs/>
        </w:rPr>
        <w:tab/>
      </w:r>
      <w:r w:rsidR="00FF4E67" w:rsidRPr="00FF4E67">
        <w:rPr>
          <w:i/>
          <w:iCs/>
        </w:rPr>
        <w:t>B</w:t>
      </w:r>
      <w:r w:rsidR="00FF4E67" w:rsidRPr="00FF4E67">
        <w:rPr>
          <w:rFonts w:ascii="Tms Rmn" w:hAnsi="Tms Rmn"/>
          <w:sz w:val="12"/>
          <w:szCs w:val="12"/>
        </w:rPr>
        <w:t> </w:t>
      </w:r>
      <w:r w:rsidR="00FF4E67" w:rsidRPr="00FF4E67">
        <w:t>:</w:t>
      </w:r>
      <w:r w:rsidR="00FF4E67" w:rsidRPr="00FF4E67">
        <w:tab/>
      </w:r>
      <w:r w:rsidR="00FF4E67" w:rsidRPr="00FF4E67">
        <w:tab/>
      </w:r>
      <w:r w:rsidR="00B6034E" w:rsidRPr="00BC26C3">
        <w:t>necessary bandwidth of the digital emission (Hz).</w:t>
      </w:r>
    </w:p>
    <w:p w:rsidR="00FF4E67" w:rsidRPr="00FF4E67" w:rsidRDefault="00FF4E67" w:rsidP="00FF4E67">
      <w:pPr>
        <w:rPr>
          <w:lang w:val="en-US"/>
        </w:rPr>
      </w:pPr>
      <w:r w:rsidRPr="00FF4E67">
        <w:rPr>
          <w:lang w:val="en-US"/>
        </w:rPr>
        <w:t xml:space="preserve">The maximum power density per 4 kHz in the worst case is given by multiplying the result of equation (12) by 4 </w:t>
      </w:r>
      <w:r w:rsidRPr="00FF4E67">
        <w:rPr>
          <w:rFonts w:ascii="Times" w:hAnsi="Times"/>
          <w:lang w:val="en-US"/>
        </w:rPr>
        <w:t>×</w:t>
      </w:r>
      <w:r w:rsidRPr="00FF4E67">
        <w:rPr>
          <w:lang w:val="en-US"/>
        </w:rPr>
        <w:t xml:space="preserve"> 10</w:t>
      </w:r>
      <w:r w:rsidRPr="00FF4E67">
        <w:rPr>
          <w:vertAlign w:val="superscript"/>
          <w:lang w:val="en-US"/>
        </w:rPr>
        <w:t xml:space="preserve">3 </w:t>
      </w:r>
      <w:r w:rsidRPr="00FF4E67">
        <w:rPr>
          <w:lang w:val="en-US"/>
        </w:rPr>
        <w:t>as:</w:t>
      </w:r>
    </w:p>
    <w:p w:rsidR="00FF4E67" w:rsidRPr="00FF4E67" w:rsidRDefault="00FF4E67" w:rsidP="00FF4E67">
      <w:pPr>
        <w:pStyle w:val="Equation"/>
        <w:rPr>
          <w:lang w:val="en-US"/>
        </w:rPr>
      </w:pPr>
      <w:r w:rsidRPr="00FF4E67">
        <w:rPr>
          <w:lang w:val="en-US"/>
        </w:rPr>
        <w:tab/>
      </w:r>
      <w:r w:rsidRPr="00FF4E67">
        <w:rPr>
          <w:lang w:val="en-US"/>
        </w:rPr>
        <w:tab/>
      </w:r>
      <w:r w:rsidRPr="00FF4E67">
        <w:rPr>
          <w:i/>
          <w:iCs/>
          <w:lang w:val="en-US"/>
        </w:rPr>
        <w:t>P</w:t>
      </w:r>
      <w:r w:rsidRPr="00FF4E67">
        <w:rPr>
          <w:vertAlign w:val="subscript"/>
          <w:lang w:val="en-US"/>
        </w:rPr>
        <w:t>4 kHz</w:t>
      </w:r>
      <w:r w:rsidRPr="00FF4E67">
        <w:rPr>
          <w:lang w:val="en-US"/>
        </w:rPr>
        <w:t xml:space="preserve"> = </w:t>
      </w:r>
      <w:r w:rsidRPr="00FF4E67">
        <w:rPr>
          <w:i/>
          <w:iCs/>
          <w:lang w:val="en-US"/>
        </w:rPr>
        <w:t>P</w:t>
      </w:r>
      <w:r w:rsidRPr="00FF4E67">
        <w:rPr>
          <w:i/>
          <w:iCs/>
          <w:vertAlign w:val="subscript"/>
          <w:lang w:val="en-US"/>
        </w:rPr>
        <w:t>o</w:t>
      </w:r>
      <w:r w:rsidRPr="00FF4E67">
        <w:rPr>
          <w:i/>
          <w:iCs/>
          <w:lang w:val="en-US"/>
        </w:rPr>
        <w:t xml:space="preserve"> </w:t>
      </w:r>
      <w:r w:rsidRPr="00FF4E67">
        <w:rPr>
          <w:lang w:val="en-US"/>
        </w:rPr>
        <w:t xml:space="preserve">* 4 </w:t>
      </w:r>
      <w:r w:rsidRPr="00FF4E67">
        <w:rPr>
          <w:rFonts w:ascii="Times" w:hAnsi="Times"/>
          <w:lang w:val="en-US"/>
        </w:rPr>
        <w:t>×</w:t>
      </w:r>
      <w:r w:rsidRPr="00FF4E67">
        <w:rPr>
          <w:lang w:val="en-US"/>
        </w:rPr>
        <w:t xml:space="preserve"> 10</w:t>
      </w:r>
      <w:r w:rsidRPr="00FF4E67">
        <w:rPr>
          <w:vertAlign w:val="superscript"/>
          <w:lang w:val="en-US"/>
        </w:rPr>
        <w:t>3</w:t>
      </w:r>
      <w:r w:rsidRPr="00FF4E67">
        <w:rPr>
          <w:lang w:val="en-US"/>
        </w:rPr>
        <w:t xml:space="preserve">  (W/4 kHz)</w:t>
      </w:r>
      <w:r w:rsidRPr="00FF4E67">
        <w:rPr>
          <w:lang w:val="en-US"/>
        </w:rPr>
        <w:tab/>
        <w:t>(13)</w:t>
      </w:r>
    </w:p>
    <w:p w:rsidR="00FF4E67" w:rsidRPr="00FF4E67" w:rsidRDefault="00FF4E67" w:rsidP="00FF4E67">
      <w:pPr>
        <w:pStyle w:val="Heading1"/>
        <w:rPr>
          <w:lang w:val="en-US"/>
        </w:rPr>
      </w:pPr>
      <w:r w:rsidRPr="00FF4E67">
        <w:rPr>
          <w:lang w:val="en-US" w:eastAsia="ja-JP"/>
        </w:rPr>
        <w:t>4</w:t>
      </w:r>
      <w:r w:rsidRPr="00FF4E67">
        <w:rPr>
          <w:lang w:val="en-US"/>
        </w:rPr>
        <w:tab/>
        <w:t>Digital carrier with necessary bandwidth less than 4 kHz</w:t>
      </w:r>
    </w:p>
    <w:p w:rsidR="00FF4E67" w:rsidRPr="00FF4E67" w:rsidRDefault="00FF4E67" w:rsidP="00FF4E67">
      <w:pPr>
        <w:rPr>
          <w:lang w:val="en-US"/>
        </w:rPr>
      </w:pPr>
      <w:r w:rsidRPr="00FF4E67">
        <w:rPr>
          <w:lang w:val="en-US"/>
        </w:rPr>
        <w:t xml:space="preserve">For those cases with multiple identical carriers with a bandwidth less than </w:t>
      </w:r>
      <w:r w:rsidRPr="00FF4E67">
        <w:rPr>
          <w:lang w:val="en-US" w:eastAsia="ja-JP"/>
        </w:rPr>
        <w:t xml:space="preserve">4 kHz </w:t>
      </w:r>
      <w:r w:rsidRPr="00FF4E67">
        <w:rPr>
          <w:lang w:val="en-US"/>
        </w:rPr>
        <w:t xml:space="preserve">where it is known that any </w:t>
      </w:r>
      <w:r w:rsidRPr="00FF4E67">
        <w:rPr>
          <w:lang w:val="en-US" w:eastAsia="ja-JP"/>
        </w:rPr>
        <w:t>4</w:t>
      </w:r>
      <w:r w:rsidRPr="00FF4E67">
        <w:rPr>
          <w:lang w:val="en-US"/>
        </w:rPr>
        <w:t xml:space="preserve"> </w:t>
      </w:r>
      <w:r w:rsidRPr="00FF4E67">
        <w:rPr>
          <w:lang w:val="en-US" w:eastAsia="ja-JP"/>
        </w:rPr>
        <w:t>k</w:t>
      </w:r>
      <w:r w:rsidRPr="00FF4E67">
        <w:rPr>
          <w:lang w:val="en-US"/>
        </w:rPr>
        <w:t>Hz will not be completely filled with such carriers, the following equation should be applied:</w:t>
      </w:r>
    </w:p>
    <w:p w:rsidR="00FF4E67" w:rsidRPr="00FF4E67" w:rsidRDefault="00FF4E67" w:rsidP="00FF4E67">
      <w:pPr>
        <w:pStyle w:val="Equation"/>
        <w:rPr>
          <w:lang w:val="en-US"/>
        </w:rPr>
      </w:pPr>
      <w:r w:rsidRPr="00FF4E67">
        <w:rPr>
          <w:lang w:val="en-US"/>
        </w:rPr>
        <w:tab/>
      </w:r>
      <w:r w:rsidRPr="00FF4E67">
        <w:rPr>
          <w:lang w:val="en-US"/>
        </w:rPr>
        <w:tab/>
      </w:r>
      <w:r w:rsidRPr="00FF4E67">
        <w:rPr>
          <w:i/>
          <w:iCs/>
          <w:lang w:val="en-US"/>
        </w:rPr>
        <w:t>P</w:t>
      </w:r>
      <w:r w:rsidRPr="00FF4E67">
        <w:rPr>
          <w:vertAlign w:val="subscript"/>
          <w:lang w:val="en-US" w:eastAsia="ja-JP"/>
        </w:rPr>
        <w:t>4 k</w:t>
      </w:r>
      <w:r w:rsidRPr="00FF4E67">
        <w:rPr>
          <w:vertAlign w:val="subscript"/>
          <w:lang w:val="en-US"/>
        </w:rPr>
        <w:t>Hz</w:t>
      </w:r>
      <w:r w:rsidRPr="00FF4E67">
        <w:rPr>
          <w:lang w:val="en-US"/>
        </w:rPr>
        <w:t xml:space="preserve"> = (</w:t>
      </w:r>
      <w:r w:rsidRPr="00FF4E67">
        <w:rPr>
          <w:i/>
          <w:iCs/>
          <w:lang w:val="en-US"/>
        </w:rPr>
        <w:t>P</w:t>
      </w:r>
      <w:r w:rsidRPr="00FF4E67">
        <w:rPr>
          <w:i/>
          <w:iCs/>
          <w:vertAlign w:val="subscript"/>
          <w:lang w:val="en-US"/>
        </w:rPr>
        <w:t>t</w:t>
      </w:r>
      <w:r w:rsidRPr="00FF4E67">
        <w:rPr>
          <w:lang w:val="en-US"/>
        </w:rPr>
        <w:t xml:space="preserve"> * </w:t>
      </w:r>
      <w:r w:rsidRPr="00FF4E67">
        <w:rPr>
          <w:i/>
          <w:iCs/>
          <w:lang w:val="en-US"/>
        </w:rPr>
        <w:t>N</w:t>
      </w:r>
      <w:r w:rsidRPr="00FF4E67">
        <w:rPr>
          <w:lang w:val="en-US"/>
        </w:rPr>
        <w:t>)  (W/</w:t>
      </w:r>
      <w:r w:rsidRPr="00FF4E67">
        <w:rPr>
          <w:lang w:val="en-US" w:eastAsia="ja-JP"/>
        </w:rPr>
        <w:t>4 k</w:t>
      </w:r>
      <w:r w:rsidRPr="00FF4E67">
        <w:rPr>
          <w:lang w:val="en-US"/>
        </w:rPr>
        <w:t>Hz)</w:t>
      </w:r>
      <w:r w:rsidRPr="00FF4E67">
        <w:rPr>
          <w:lang w:val="en-US"/>
        </w:rPr>
        <w:tab/>
        <w:t>(</w:t>
      </w:r>
      <w:r w:rsidRPr="00FF4E67">
        <w:rPr>
          <w:lang w:val="en-US" w:eastAsia="ja-JP"/>
        </w:rPr>
        <w:t>14</w:t>
      </w:r>
      <w:r w:rsidRPr="00FF4E67">
        <w:rPr>
          <w:lang w:val="en-US"/>
        </w:rPr>
        <w:t>)</w:t>
      </w:r>
    </w:p>
    <w:p w:rsidR="00FF4E67" w:rsidRPr="00FF4E67" w:rsidRDefault="00FF4E67" w:rsidP="00FF4E67">
      <w:pPr>
        <w:rPr>
          <w:lang w:val="en-US"/>
        </w:rPr>
      </w:pPr>
      <w:r w:rsidRPr="00FF4E67">
        <w:rPr>
          <w:lang w:val="en-US"/>
        </w:rPr>
        <w:t>where:</w:t>
      </w:r>
    </w:p>
    <w:p w:rsidR="00FF4E67" w:rsidRPr="00BC26C3" w:rsidRDefault="00FF4E67" w:rsidP="00FF4E67">
      <w:pPr>
        <w:pStyle w:val="Equationlegend"/>
      </w:pPr>
      <w:r w:rsidRPr="00BC26C3">
        <w:tab/>
      </w:r>
      <w:r w:rsidRPr="00BC26C3">
        <w:rPr>
          <w:i/>
          <w:iCs/>
        </w:rPr>
        <w:t>P</w:t>
      </w:r>
      <w:r w:rsidRPr="00BC26C3">
        <w:rPr>
          <w:i/>
          <w:iCs/>
          <w:vertAlign w:val="subscript"/>
        </w:rPr>
        <w:t>t</w:t>
      </w:r>
      <w:r w:rsidRPr="00BC26C3">
        <w:t>:</w:t>
      </w:r>
      <w:r w:rsidRPr="00BC26C3">
        <w:tab/>
        <w:t>total power of a single carrier (W)</w:t>
      </w:r>
    </w:p>
    <w:p w:rsidR="00FF4E67" w:rsidRPr="00BC26C3" w:rsidRDefault="00FF4E67" w:rsidP="00FF4E67">
      <w:pPr>
        <w:pStyle w:val="Equationlegend"/>
      </w:pPr>
      <w:r w:rsidRPr="00BC26C3">
        <w:tab/>
      </w:r>
      <w:r w:rsidRPr="00BC26C3">
        <w:rPr>
          <w:i/>
          <w:iCs/>
        </w:rPr>
        <w:t>N</w:t>
      </w:r>
      <w:r w:rsidRPr="00BC26C3">
        <w:t>:</w:t>
      </w:r>
      <w:r w:rsidRPr="00BC26C3">
        <w:tab/>
        <w:t xml:space="preserve">maximum number of carriers, or portions of carriers, with a bandwidth less than </w:t>
      </w:r>
      <w:r w:rsidRPr="00BC26C3">
        <w:rPr>
          <w:lang w:eastAsia="ja-JP"/>
        </w:rPr>
        <w:t>4</w:t>
      </w:r>
      <w:r w:rsidRPr="00BC26C3">
        <w:t> </w:t>
      </w:r>
      <w:r w:rsidRPr="00BC26C3">
        <w:rPr>
          <w:lang w:eastAsia="ja-JP"/>
        </w:rPr>
        <w:t>k</w:t>
      </w:r>
      <w:r w:rsidRPr="00BC26C3">
        <w:t xml:space="preserve">Hz to occupy any given </w:t>
      </w:r>
      <w:r w:rsidRPr="00BC26C3">
        <w:rPr>
          <w:lang w:eastAsia="ja-JP"/>
        </w:rPr>
        <w:t>4</w:t>
      </w:r>
      <w:r w:rsidRPr="00BC26C3">
        <w:t> </w:t>
      </w:r>
      <w:r w:rsidRPr="00BC26C3">
        <w:rPr>
          <w:lang w:eastAsia="ja-JP"/>
        </w:rPr>
        <w:t>k</w:t>
      </w:r>
      <w:r w:rsidRPr="00BC26C3">
        <w:t>Hz band.</w:t>
      </w:r>
    </w:p>
    <w:p w:rsidR="00FF4E67" w:rsidRPr="00FF4E67" w:rsidRDefault="00FF4E67" w:rsidP="00FF4E67">
      <w:pPr>
        <w:rPr>
          <w:iCs/>
          <w:lang w:val="en-US"/>
        </w:rPr>
      </w:pPr>
      <w:r w:rsidRPr="00FF4E67">
        <w:rPr>
          <w:lang w:val="en-US"/>
        </w:rPr>
        <w:t>Equation (</w:t>
      </w:r>
      <w:r w:rsidRPr="00FF4E67">
        <w:rPr>
          <w:lang w:val="en-US" w:eastAsia="ja-JP"/>
        </w:rPr>
        <w:t>14)</w:t>
      </w:r>
      <w:r w:rsidRPr="00FF4E67">
        <w:rPr>
          <w:lang w:val="en-US"/>
        </w:rPr>
        <w:t xml:space="preserve"> can be generalized for the case where it is known that there will be multiple different types of carriers with bandwidths less </w:t>
      </w:r>
      <w:r w:rsidR="00B6034E">
        <w:rPr>
          <w:lang w:val="en-US"/>
        </w:rPr>
        <w:t xml:space="preserve">than </w:t>
      </w:r>
      <w:r w:rsidRPr="00FF4E67">
        <w:rPr>
          <w:lang w:val="en-US" w:eastAsia="ja-JP"/>
        </w:rPr>
        <w:t>4</w:t>
      </w:r>
      <w:r w:rsidRPr="00FF4E67">
        <w:rPr>
          <w:lang w:val="en-US"/>
        </w:rPr>
        <w:t> </w:t>
      </w:r>
      <w:r w:rsidRPr="00FF4E67">
        <w:rPr>
          <w:lang w:val="en-US" w:eastAsia="ja-JP"/>
        </w:rPr>
        <w:t>k</w:t>
      </w:r>
      <w:r w:rsidRPr="00FF4E67">
        <w:rPr>
          <w:lang w:val="en-US"/>
        </w:rPr>
        <w:t xml:space="preserve">Hz occupying any given </w:t>
      </w:r>
      <w:r w:rsidRPr="00FF4E67">
        <w:rPr>
          <w:lang w:val="en-US" w:eastAsia="ja-JP"/>
        </w:rPr>
        <w:t>4</w:t>
      </w:r>
      <w:r w:rsidRPr="00FF4E67">
        <w:rPr>
          <w:lang w:val="en-US"/>
        </w:rPr>
        <w:t> </w:t>
      </w:r>
      <w:r w:rsidRPr="00FF4E67">
        <w:rPr>
          <w:lang w:val="en-US" w:eastAsia="ja-JP"/>
        </w:rPr>
        <w:t>k</w:t>
      </w:r>
      <w:r w:rsidRPr="00FF4E67">
        <w:rPr>
          <w:lang w:val="en-US"/>
        </w:rPr>
        <w:t xml:space="preserve">Hz band by summing the power of the various individual carrier types to occupy the </w:t>
      </w:r>
      <w:r w:rsidRPr="00FF4E67">
        <w:rPr>
          <w:lang w:val="en-US" w:eastAsia="ja-JP"/>
        </w:rPr>
        <w:t>4</w:t>
      </w:r>
      <w:r w:rsidRPr="00FF4E67">
        <w:rPr>
          <w:lang w:val="en-US"/>
        </w:rPr>
        <w:t> </w:t>
      </w:r>
      <w:r w:rsidRPr="00FF4E67">
        <w:rPr>
          <w:lang w:val="en-US" w:eastAsia="ja-JP"/>
        </w:rPr>
        <w:t>k</w:t>
      </w:r>
      <w:r w:rsidRPr="00FF4E67">
        <w:rPr>
          <w:lang w:val="en-US"/>
        </w:rPr>
        <w:t xml:space="preserve">Hz band and assuming this total power is the power per </w:t>
      </w:r>
      <w:r w:rsidRPr="00FF4E67">
        <w:rPr>
          <w:lang w:val="en-US" w:eastAsia="ja-JP"/>
        </w:rPr>
        <w:t>4</w:t>
      </w:r>
      <w:r w:rsidRPr="00FF4E67">
        <w:rPr>
          <w:lang w:val="en-US"/>
        </w:rPr>
        <w:t> </w:t>
      </w:r>
      <w:r w:rsidRPr="00FF4E67">
        <w:rPr>
          <w:lang w:val="en-US" w:eastAsia="ja-JP"/>
        </w:rPr>
        <w:t>k</w:t>
      </w:r>
      <w:r w:rsidRPr="00FF4E67">
        <w:rPr>
          <w:lang w:val="en-US"/>
        </w:rPr>
        <w:t>Hz.</w:t>
      </w:r>
    </w:p>
    <w:p w:rsidR="00FF4E67" w:rsidRPr="00FF4E67" w:rsidRDefault="00FF4E67" w:rsidP="00FF4E67">
      <w:pPr>
        <w:pStyle w:val="Heading1"/>
        <w:rPr>
          <w:lang w:val="en-US"/>
        </w:rPr>
      </w:pPr>
      <w:r w:rsidRPr="00FF4E67">
        <w:rPr>
          <w:lang w:val="en-US"/>
        </w:rPr>
        <w:t>5</w:t>
      </w:r>
      <w:r w:rsidRPr="00FF4E67">
        <w:rPr>
          <w:lang w:val="en-US"/>
        </w:rPr>
        <w:tab/>
        <w:t>TT&amp;C carrier</w:t>
      </w:r>
    </w:p>
    <w:p w:rsidR="00FF4E67" w:rsidRDefault="00FF4E67" w:rsidP="00FF4E67">
      <w:pPr>
        <w:rPr>
          <w:lang w:val="en-US"/>
        </w:rPr>
      </w:pPr>
      <w:r w:rsidRPr="00FF4E67">
        <w:rPr>
          <w:lang w:val="en-US"/>
        </w:rPr>
        <w:t>When narrow-band TT&amp;C carriers are involved, in accordance with RR No. </w:t>
      </w:r>
      <w:r w:rsidRPr="00FF4E67">
        <w:rPr>
          <w:bCs/>
          <w:lang w:val="en-US"/>
        </w:rPr>
        <w:t>1.23, in</w:t>
      </w:r>
      <w:r w:rsidRPr="00FF4E67">
        <w:rPr>
          <w:lang w:val="en-US"/>
        </w:rPr>
        <w:t xml:space="preserve"> frequency bands below 15 GHz, care must be taken in assessing the maximum power per 4 kHz for such carriers. This is due to the fact that such carriers can have multiple distinct and significant spectral components. As such, it is important to consider the actual spectral shape of such TT&amp;C carriers when selecting the worst 4 kHz bandwidth in order to assess the maximum power density.</w:t>
      </w:r>
    </w:p>
    <w:p w:rsidR="00D03931" w:rsidRDefault="00D03931" w:rsidP="00FF4E67">
      <w:pPr>
        <w:rPr>
          <w:lang w:val="en-US"/>
        </w:rPr>
      </w:pPr>
    </w:p>
    <w:p w:rsidR="00D03931" w:rsidRPr="00FF4E67" w:rsidRDefault="00D03931" w:rsidP="00FF4E67">
      <w:pPr>
        <w:rPr>
          <w:lang w:val="en-US" w:eastAsia="ja-JP"/>
        </w:rPr>
      </w:pPr>
    </w:p>
    <w:p w:rsidR="00FF4E67" w:rsidRPr="000B219D" w:rsidRDefault="00FF4E67" w:rsidP="00B6034E">
      <w:pPr>
        <w:pStyle w:val="AnnexNoTitle"/>
        <w:rPr>
          <w:lang w:val="en-US"/>
        </w:rPr>
      </w:pPr>
      <w:r w:rsidRPr="000B219D">
        <w:rPr>
          <w:lang w:val="en-US"/>
        </w:rPr>
        <w:lastRenderedPageBreak/>
        <w:t>A</w:t>
      </w:r>
      <w:r w:rsidR="000B219D" w:rsidRPr="000B219D">
        <w:rPr>
          <w:lang w:val="en-US"/>
        </w:rPr>
        <w:t xml:space="preserve">nnex </w:t>
      </w:r>
      <w:r w:rsidRPr="000B219D">
        <w:rPr>
          <w:lang w:val="en-US"/>
        </w:rPr>
        <w:t>2</w:t>
      </w:r>
      <w:r w:rsidR="000B219D">
        <w:rPr>
          <w:lang w:val="en-US"/>
        </w:rPr>
        <w:br/>
      </w:r>
      <w:r w:rsidR="000B219D">
        <w:rPr>
          <w:lang w:val="en-US"/>
        </w:rPr>
        <w:br/>
      </w:r>
      <w:r w:rsidRPr="000B219D">
        <w:rPr>
          <w:rFonts w:eastAsia="MS Mincho"/>
          <w:szCs w:val="28"/>
          <w:lang w:val="en-US"/>
        </w:rPr>
        <w:t xml:space="preserve">Calculation of the maximum power density (averaged over 1 MHz) </w:t>
      </w:r>
      <w:r w:rsidRPr="000B219D">
        <w:rPr>
          <w:szCs w:val="28"/>
          <w:lang w:val="en-US"/>
        </w:rPr>
        <w:br/>
      </w:r>
      <w:r w:rsidRPr="000B219D">
        <w:rPr>
          <w:rFonts w:eastAsia="MS Mincho"/>
          <w:szCs w:val="28"/>
          <w:lang w:val="en-US"/>
        </w:rPr>
        <w:t>of a digital or TT&amp;C carrier</w:t>
      </w:r>
    </w:p>
    <w:p w:rsidR="00FF4E67" w:rsidRPr="00D03931" w:rsidRDefault="00FF4E67" w:rsidP="00B6034E">
      <w:pPr>
        <w:keepNext/>
        <w:keepLines/>
        <w:rPr>
          <w:lang w:val="en-US"/>
        </w:rPr>
      </w:pPr>
      <w:r w:rsidRPr="00D03931">
        <w:rPr>
          <w:lang w:val="en-US"/>
        </w:rPr>
        <w:t>Given below is the method of calculating the power level in the worst 1 MHz (W/MHz).</w:t>
      </w:r>
    </w:p>
    <w:p w:rsidR="00FF4E67" w:rsidRPr="00FF4E67" w:rsidRDefault="00FF4E67" w:rsidP="00B6034E">
      <w:pPr>
        <w:pStyle w:val="Heading1"/>
        <w:rPr>
          <w:lang w:val="en-US"/>
        </w:rPr>
      </w:pPr>
      <w:r w:rsidRPr="00FF4E67">
        <w:rPr>
          <w:lang w:val="en-US"/>
        </w:rPr>
        <w:t>1</w:t>
      </w:r>
      <w:r w:rsidRPr="00FF4E67">
        <w:rPr>
          <w:lang w:val="en-US"/>
        </w:rPr>
        <w:tab/>
        <w:t>Digital carrier with necessary bandwidth greater than 1 MHz</w:t>
      </w:r>
    </w:p>
    <w:p w:rsidR="00FF4E67" w:rsidRPr="00FF4E67" w:rsidRDefault="00FF4E67" w:rsidP="00B6034E">
      <w:pPr>
        <w:keepNext/>
        <w:keepLines/>
        <w:rPr>
          <w:lang w:val="en-US"/>
        </w:rPr>
      </w:pPr>
      <w:r w:rsidRPr="00FF4E67">
        <w:rPr>
          <w:lang w:val="en-US"/>
        </w:rPr>
        <w:t>The maximum power density per Hz of a digital carrier is given by:</w:t>
      </w:r>
    </w:p>
    <w:p w:rsidR="00FF4E67" w:rsidRPr="00FF4E67" w:rsidRDefault="00FF4E67" w:rsidP="00B6034E">
      <w:pPr>
        <w:pStyle w:val="Equation"/>
        <w:keepNext/>
        <w:keepLines/>
        <w:rPr>
          <w:lang w:val="en-US"/>
        </w:rPr>
      </w:pPr>
      <w:r w:rsidRPr="00FF4E67">
        <w:rPr>
          <w:lang w:val="en-US"/>
        </w:rPr>
        <w:tab/>
      </w:r>
      <w:r w:rsidRPr="00FF4E67">
        <w:rPr>
          <w:lang w:val="en-US"/>
        </w:rPr>
        <w:tab/>
      </w:r>
      <w:r w:rsidRPr="00FF4E67">
        <w:rPr>
          <w:i/>
          <w:iCs/>
          <w:lang w:val="en-US"/>
        </w:rPr>
        <w:t>P</w:t>
      </w:r>
      <w:r w:rsidRPr="00FF4E67">
        <w:rPr>
          <w:i/>
          <w:iCs/>
          <w:vertAlign w:val="subscript"/>
          <w:lang w:val="en-US"/>
        </w:rPr>
        <w:t>o</w:t>
      </w:r>
      <w:r w:rsidRPr="00FF4E67">
        <w:rPr>
          <w:lang w:val="en-US"/>
        </w:rPr>
        <w:t xml:space="preserve"> = </w:t>
      </w:r>
      <w:r w:rsidRPr="00FF4E67">
        <w:rPr>
          <w:i/>
          <w:iCs/>
          <w:lang w:val="en-US"/>
        </w:rPr>
        <w:t>P</w:t>
      </w:r>
      <w:r w:rsidRPr="00FF4E67">
        <w:rPr>
          <w:i/>
          <w:iCs/>
          <w:vertAlign w:val="subscript"/>
          <w:lang w:val="en-US"/>
        </w:rPr>
        <w:t>t</w:t>
      </w:r>
      <w:r w:rsidRPr="00FF4E67">
        <w:rPr>
          <w:lang w:val="en-US"/>
        </w:rPr>
        <w:t xml:space="preserve"> /</w:t>
      </w:r>
      <w:r w:rsidRPr="00FF4E67">
        <w:rPr>
          <w:i/>
          <w:iCs/>
          <w:lang w:val="en-US"/>
        </w:rPr>
        <w:t xml:space="preserve">B </w:t>
      </w:r>
      <w:r w:rsidRPr="00FF4E67">
        <w:rPr>
          <w:lang w:val="en-US"/>
        </w:rPr>
        <w:t xml:space="preserve">    (W/Hz)</w:t>
      </w:r>
      <w:r w:rsidRPr="00FF4E67">
        <w:rPr>
          <w:lang w:val="en-US"/>
        </w:rPr>
        <w:tab/>
        <w:t>(15)</w:t>
      </w:r>
    </w:p>
    <w:p w:rsidR="00FF4E67" w:rsidRPr="00FF4E67" w:rsidRDefault="00FF4E67" w:rsidP="00FF4E67">
      <w:pPr>
        <w:rPr>
          <w:lang w:val="en-US"/>
        </w:rPr>
      </w:pPr>
      <w:r w:rsidRPr="00FF4E67">
        <w:rPr>
          <w:lang w:val="en-US"/>
        </w:rPr>
        <w:t>where:</w:t>
      </w:r>
    </w:p>
    <w:p w:rsidR="00FF4E67" w:rsidRPr="00BC26C3" w:rsidRDefault="00FF4E67" w:rsidP="00FF4E67">
      <w:pPr>
        <w:pStyle w:val="Equationlegend"/>
      </w:pPr>
      <w:r w:rsidRPr="00BC26C3">
        <w:tab/>
      </w:r>
      <w:r w:rsidRPr="00BC26C3">
        <w:rPr>
          <w:i/>
          <w:iCs/>
        </w:rPr>
        <w:t>P</w:t>
      </w:r>
      <w:r w:rsidRPr="00FF4E67">
        <w:rPr>
          <w:i/>
          <w:iCs/>
          <w:vertAlign w:val="subscript"/>
        </w:rPr>
        <w:t>t</w:t>
      </w:r>
      <w:r w:rsidRPr="00BC26C3">
        <w:t>:</w:t>
      </w:r>
      <w:r w:rsidRPr="00BC26C3">
        <w:tab/>
        <w:t>total power of the carrier (W)</w:t>
      </w:r>
    </w:p>
    <w:p w:rsidR="00FF4E67" w:rsidRPr="00BC26C3" w:rsidRDefault="00FF4E67" w:rsidP="00FF4E67">
      <w:pPr>
        <w:pStyle w:val="Equationlegend"/>
      </w:pPr>
      <w:r w:rsidRPr="00BC26C3">
        <w:tab/>
      </w:r>
      <w:r w:rsidRPr="00BC26C3">
        <w:rPr>
          <w:i/>
          <w:iCs/>
        </w:rPr>
        <w:t>B</w:t>
      </w:r>
      <w:r w:rsidRPr="00BC26C3">
        <w:t>:</w:t>
      </w:r>
      <w:r w:rsidRPr="00BC26C3">
        <w:tab/>
        <w:t>necessary bandwidth of the digital emission (Hz).</w:t>
      </w:r>
    </w:p>
    <w:p w:rsidR="00FF4E67" w:rsidRPr="00FF4E67" w:rsidRDefault="00FF4E67" w:rsidP="00FF4E67">
      <w:pPr>
        <w:rPr>
          <w:lang w:val="en-US"/>
        </w:rPr>
      </w:pPr>
      <w:r w:rsidRPr="00FF4E67">
        <w:rPr>
          <w:lang w:val="en-US"/>
        </w:rPr>
        <w:t>The maximum power density per MHz in the worst case is given by multiplying the result of equation (15) by 1 </w:t>
      </w:r>
      <w:r w:rsidRPr="00FF4E67">
        <w:rPr>
          <w:rFonts w:ascii="Times" w:hAnsi="Times"/>
          <w:lang w:val="en-US"/>
        </w:rPr>
        <w:t>×</w:t>
      </w:r>
      <w:r w:rsidRPr="00FF4E67">
        <w:rPr>
          <w:lang w:val="en-US"/>
        </w:rPr>
        <w:t> 10</w:t>
      </w:r>
      <w:r w:rsidRPr="00FF4E67">
        <w:rPr>
          <w:vertAlign w:val="superscript"/>
          <w:lang w:val="en-US"/>
        </w:rPr>
        <w:t xml:space="preserve">6 </w:t>
      </w:r>
      <w:r w:rsidRPr="00FF4E67">
        <w:rPr>
          <w:lang w:val="en-US"/>
        </w:rPr>
        <w:t>as:</w:t>
      </w:r>
    </w:p>
    <w:p w:rsidR="00FF4E67" w:rsidRPr="00FF4E67" w:rsidRDefault="00FF4E67" w:rsidP="00FF4E67">
      <w:pPr>
        <w:pStyle w:val="Equation"/>
        <w:rPr>
          <w:lang w:val="en-US"/>
        </w:rPr>
      </w:pPr>
      <w:r w:rsidRPr="00FF4E67">
        <w:rPr>
          <w:lang w:val="en-US"/>
        </w:rPr>
        <w:tab/>
      </w:r>
      <w:r w:rsidRPr="00FF4E67">
        <w:rPr>
          <w:lang w:val="en-US"/>
        </w:rPr>
        <w:tab/>
      </w:r>
      <w:r w:rsidRPr="00FF4E67">
        <w:rPr>
          <w:i/>
          <w:iCs/>
          <w:lang w:val="en-US"/>
        </w:rPr>
        <w:t>P</w:t>
      </w:r>
      <w:r w:rsidRPr="00FF4E67">
        <w:rPr>
          <w:vertAlign w:val="subscript"/>
          <w:lang w:val="en-US"/>
        </w:rPr>
        <w:t>1 MHz</w:t>
      </w:r>
      <w:r w:rsidRPr="00FF4E67">
        <w:rPr>
          <w:lang w:val="en-US"/>
        </w:rPr>
        <w:t xml:space="preserve"> = </w:t>
      </w:r>
      <w:r w:rsidRPr="00FF4E67">
        <w:rPr>
          <w:i/>
          <w:iCs/>
          <w:lang w:val="en-US"/>
        </w:rPr>
        <w:t>P</w:t>
      </w:r>
      <w:r w:rsidRPr="00FF4E67">
        <w:rPr>
          <w:i/>
          <w:iCs/>
          <w:vertAlign w:val="subscript"/>
          <w:lang w:val="en-US"/>
        </w:rPr>
        <w:t>o</w:t>
      </w:r>
      <w:r w:rsidRPr="00FF4E67">
        <w:rPr>
          <w:lang w:val="en-US"/>
        </w:rPr>
        <w:t xml:space="preserve"> * 1 </w:t>
      </w:r>
      <w:r w:rsidRPr="00FF4E67">
        <w:rPr>
          <w:rFonts w:ascii="Times" w:hAnsi="Times"/>
          <w:lang w:val="en-US"/>
        </w:rPr>
        <w:t>×</w:t>
      </w:r>
      <w:r w:rsidRPr="00FF4E67">
        <w:rPr>
          <w:lang w:val="en-US"/>
        </w:rPr>
        <w:t xml:space="preserve"> 10</w:t>
      </w:r>
      <w:r w:rsidRPr="00FF4E67">
        <w:rPr>
          <w:vertAlign w:val="superscript"/>
          <w:lang w:val="en-US"/>
        </w:rPr>
        <w:t>6</w:t>
      </w:r>
      <w:r w:rsidRPr="00FF4E67">
        <w:rPr>
          <w:lang w:val="en-US"/>
        </w:rPr>
        <w:t xml:space="preserve">  (W/MHz)</w:t>
      </w:r>
      <w:r w:rsidRPr="00FF4E67">
        <w:rPr>
          <w:lang w:val="en-US"/>
        </w:rPr>
        <w:tab/>
        <w:t>(16)</w:t>
      </w:r>
    </w:p>
    <w:p w:rsidR="00FF4E67" w:rsidRPr="00FF4E67" w:rsidRDefault="00FF4E67" w:rsidP="00FF4E67">
      <w:pPr>
        <w:pStyle w:val="Heading1"/>
        <w:rPr>
          <w:lang w:val="en-US"/>
        </w:rPr>
      </w:pPr>
      <w:r w:rsidRPr="00FF4E67">
        <w:rPr>
          <w:lang w:val="en-US" w:eastAsia="ja-JP"/>
        </w:rPr>
        <w:t>2</w:t>
      </w:r>
      <w:r w:rsidRPr="00FF4E67">
        <w:rPr>
          <w:lang w:val="en-US"/>
        </w:rPr>
        <w:tab/>
      </w:r>
      <w:r w:rsidRPr="00FF4E67">
        <w:rPr>
          <w:lang w:val="en-US" w:eastAsia="ja-JP"/>
        </w:rPr>
        <w:t>Digital carrier with necessary bandwidth less than 1 MHz</w:t>
      </w:r>
    </w:p>
    <w:p w:rsidR="00FF4E67" w:rsidRPr="00FF4E67" w:rsidRDefault="00FF4E67" w:rsidP="00FF4E67">
      <w:pPr>
        <w:rPr>
          <w:lang w:val="en-US"/>
        </w:rPr>
      </w:pPr>
      <w:r w:rsidRPr="00FF4E67">
        <w:rPr>
          <w:lang w:val="en-US"/>
        </w:rPr>
        <w:t>Note that for digital carriers with a necessary bandwidth less than</w:t>
      </w:r>
      <w:r w:rsidR="00B6034E">
        <w:rPr>
          <w:lang w:val="en-US"/>
        </w:rPr>
        <w:t xml:space="preserve"> </w:t>
      </w:r>
      <w:r w:rsidRPr="00FF4E67">
        <w:rPr>
          <w:lang w:val="en-US"/>
        </w:rPr>
        <w:t>1 MHz, a determination must be made as to the maximum number of carriers, and portions of carriers, that will be operating in any 1 MHz band. Where this maximum number of carriers is not known, an assumption should be made that the 1 MHz reference bandwidth will be filled with multiple identical carriers. Under this assumption equations (15) and (16) provide the estimate of the maximum power density per MHz in the worst case. For those cases with carriers with a necessary bandwidth less than 1 MHz where it is known that any 1 MHz will not be completely filled with multiple identical carriers, the following equation for calculating the maximum power density per 1 MHz should be applied:</w:t>
      </w:r>
    </w:p>
    <w:p w:rsidR="00FF4E67" w:rsidRPr="00FF4E67" w:rsidRDefault="00FF4E67" w:rsidP="00FF4E67">
      <w:pPr>
        <w:pStyle w:val="Equation"/>
        <w:rPr>
          <w:lang w:val="en-US"/>
        </w:rPr>
      </w:pPr>
      <w:r w:rsidRPr="00FF4E67">
        <w:rPr>
          <w:lang w:val="en-US"/>
        </w:rPr>
        <w:tab/>
      </w:r>
      <w:r w:rsidRPr="00FF4E67">
        <w:rPr>
          <w:lang w:val="en-US"/>
        </w:rPr>
        <w:tab/>
      </w:r>
      <w:r w:rsidRPr="00FF4E67">
        <w:rPr>
          <w:i/>
          <w:iCs/>
          <w:lang w:val="en-US"/>
        </w:rPr>
        <w:t>P</w:t>
      </w:r>
      <w:r w:rsidRPr="00FF4E67">
        <w:rPr>
          <w:vertAlign w:val="subscript"/>
          <w:lang w:val="en-US"/>
        </w:rPr>
        <w:t>1 MHz</w:t>
      </w:r>
      <w:r w:rsidRPr="00FF4E67">
        <w:rPr>
          <w:lang w:val="en-US"/>
        </w:rPr>
        <w:t xml:space="preserve"> = (</w:t>
      </w:r>
      <w:r w:rsidRPr="00FF4E67">
        <w:rPr>
          <w:i/>
          <w:iCs/>
          <w:lang w:val="en-US"/>
        </w:rPr>
        <w:t>P</w:t>
      </w:r>
      <w:r w:rsidRPr="00FF4E67">
        <w:rPr>
          <w:i/>
          <w:iCs/>
          <w:vertAlign w:val="subscript"/>
          <w:lang w:val="en-US"/>
        </w:rPr>
        <w:t>t</w:t>
      </w:r>
      <w:r w:rsidRPr="00FF4E67">
        <w:rPr>
          <w:lang w:val="en-US"/>
        </w:rPr>
        <w:t xml:space="preserve"> * </w:t>
      </w:r>
      <w:r w:rsidRPr="00FF4E67">
        <w:rPr>
          <w:i/>
          <w:iCs/>
          <w:lang w:val="en-US"/>
        </w:rPr>
        <w:t>N</w:t>
      </w:r>
      <w:r w:rsidRPr="00FF4E67">
        <w:rPr>
          <w:lang w:val="en-US"/>
        </w:rPr>
        <w:t>)  (W/MHz)</w:t>
      </w:r>
      <w:r w:rsidRPr="00FF4E67">
        <w:rPr>
          <w:lang w:val="en-US"/>
        </w:rPr>
        <w:tab/>
        <w:t>(17)</w:t>
      </w:r>
    </w:p>
    <w:p w:rsidR="00FF4E67" w:rsidRPr="00FF4E67" w:rsidRDefault="00FF4E67" w:rsidP="00FF4E67">
      <w:pPr>
        <w:rPr>
          <w:lang w:val="en-US"/>
        </w:rPr>
      </w:pPr>
      <w:r w:rsidRPr="00FF4E67">
        <w:rPr>
          <w:lang w:val="en-US"/>
        </w:rPr>
        <w:t>where:</w:t>
      </w:r>
    </w:p>
    <w:p w:rsidR="00FF4E67" w:rsidRPr="00BC26C3" w:rsidRDefault="00FF4E67" w:rsidP="00FF4E67">
      <w:pPr>
        <w:pStyle w:val="Equationlegend"/>
      </w:pPr>
      <w:r w:rsidRPr="00BC26C3">
        <w:tab/>
      </w:r>
      <w:r w:rsidRPr="00BC26C3">
        <w:rPr>
          <w:i/>
          <w:iCs/>
        </w:rPr>
        <w:t>P</w:t>
      </w:r>
      <w:r w:rsidRPr="00BC26C3">
        <w:rPr>
          <w:i/>
          <w:iCs/>
          <w:vertAlign w:val="subscript"/>
        </w:rPr>
        <w:t>t</w:t>
      </w:r>
      <w:r w:rsidRPr="00BC26C3">
        <w:t>:</w:t>
      </w:r>
      <w:r w:rsidRPr="00BC26C3">
        <w:tab/>
        <w:t>total power of a single carrier (W)</w:t>
      </w:r>
    </w:p>
    <w:p w:rsidR="00FF4E67" w:rsidRPr="00BC26C3" w:rsidRDefault="00FF4E67" w:rsidP="00FF4E67">
      <w:pPr>
        <w:pStyle w:val="Equationlegend"/>
      </w:pPr>
      <w:r w:rsidRPr="00BC26C3">
        <w:tab/>
      </w:r>
      <w:r w:rsidRPr="00BC26C3">
        <w:rPr>
          <w:i/>
          <w:iCs/>
        </w:rPr>
        <w:t>N</w:t>
      </w:r>
      <w:r w:rsidRPr="00BC26C3">
        <w:t>:</w:t>
      </w:r>
      <w:r w:rsidRPr="00BC26C3">
        <w:tab/>
        <w:t>maximum number of carriers, including portions of carriers, with a necessary bandwidth less than 1 MHz to occupy any given 1 MHz band.</w:t>
      </w:r>
    </w:p>
    <w:p w:rsidR="00FF4E67" w:rsidRPr="00FF4E67" w:rsidRDefault="00FF4E67" w:rsidP="00FF4E67">
      <w:pPr>
        <w:rPr>
          <w:iCs/>
          <w:lang w:val="en-US"/>
        </w:rPr>
      </w:pPr>
      <w:r w:rsidRPr="00FF4E67">
        <w:rPr>
          <w:lang w:val="en-US"/>
        </w:rPr>
        <w:t>Equation (17) can be generalized for the case where it is known that there will be multiple different types of carriers with necessary bandwidths less than 1 MHz occupying any given 1 MHz band by summing the power of the various individual carrier types to occupy the 1 MHz band and assuming this total power is the power per 1 MHz.</w:t>
      </w:r>
    </w:p>
    <w:p w:rsidR="00FF4E67" w:rsidRPr="00B4320A" w:rsidRDefault="00FF4E67" w:rsidP="00FF4E67">
      <w:pPr>
        <w:pStyle w:val="Heading1"/>
        <w:rPr>
          <w:lang w:val="en-US"/>
        </w:rPr>
      </w:pPr>
      <w:r w:rsidRPr="00B4320A">
        <w:rPr>
          <w:lang w:val="en-US"/>
        </w:rPr>
        <w:t>3</w:t>
      </w:r>
      <w:bookmarkStart w:id="19" w:name="OLE_LINK1"/>
      <w:bookmarkStart w:id="20" w:name="OLE_LINK4"/>
      <w:r w:rsidRPr="00B4320A">
        <w:rPr>
          <w:lang w:val="en-US"/>
        </w:rPr>
        <w:tab/>
        <w:t>TT&amp;C carrier</w:t>
      </w:r>
    </w:p>
    <w:p w:rsidR="00FF4E67" w:rsidRPr="00FF4E67" w:rsidRDefault="00FF4E67" w:rsidP="00FF4E67">
      <w:pPr>
        <w:rPr>
          <w:lang w:val="en-US"/>
        </w:rPr>
      </w:pPr>
      <w:r w:rsidRPr="00FF4E67">
        <w:rPr>
          <w:lang w:val="en-US"/>
        </w:rPr>
        <w:t>When, in accordance with RR No. </w:t>
      </w:r>
      <w:r w:rsidRPr="00FF4E67">
        <w:rPr>
          <w:bCs/>
          <w:lang w:val="en-US"/>
        </w:rPr>
        <w:t xml:space="preserve">1.23, </w:t>
      </w:r>
      <w:r w:rsidRPr="00FF4E67">
        <w:rPr>
          <w:lang w:val="en-US"/>
        </w:rPr>
        <w:t xml:space="preserve">narrow-band TT&amp;C carriers are involved, the calculation of maximum power density per MHz can lead to an overestimation of the potential interference power. This is due to the fact that simply scaling the power of a single TT&amp;C carrier up to 1 MHz by applying a ratio of the bandwidths would result in a power level greater than the TT&amp;C carrier itself when a single TT&amp;C carrier with a necessary bandwidth less than 1 MHz is used in a given frequency assignment. In such cases, the interference potential caused by a TT&amp;C carrier would be </w:t>
      </w:r>
      <w:r w:rsidRPr="00FF4E67">
        <w:rPr>
          <w:lang w:val="en-US"/>
        </w:rPr>
        <w:lastRenderedPageBreak/>
        <w:t>more accurately assessed if recognition were given to the fact that, in most cases, only a single TT&amp;C carrier will be transmitted in any given 1 MHz band.</w:t>
      </w:r>
    </w:p>
    <w:bookmarkEnd w:id="19"/>
    <w:bookmarkEnd w:id="20"/>
    <w:p w:rsidR="00FF4E67" w:rsidRPr="00FF4E67" w:rsidRDefault="00FF4E67" w:rsidP="00FF4E67">
      <w:pPr>
        <w:rPr>
          <w:lang w:val="en-US"/>
        </w:rPr>
      </w:pPr>
      <w:r w:rsidRPr="00FF4E67">
        <w:rPr>
          <w:lang w:val="en-US"/>
        </w:rPr>
        <w:t>As such, the maximum power density per 1 MHz for a TT&amp;C carrier having a necessary bandwidth less than 1 MHz is given by:</w:t>
      </w:r>
    </w:p>
    <w:p w:rsidR="00FF4E67" w:rsidRPr="00FF4E67" w:rsidRDefault="00FF4E67" w:rsidP="00FF4E67">
      <w:pPr>
        <w:pStyle w:val="Equation"/>
        <w:rPr>
          <w:lang w:val="en-US"/>
        </w:rPr>
      </w:pPr>
      <w:r w:rsidRPr="00FF4E67">
        <w:rPr>
          <w:lang w:val="en-US"/>
        </w:rPr>
        <w:tab/>
      </w:r>
      <w:r w:rsidRPr="00FF4E67">
        <w:rPr>
          <w:lang w:val="en-US"/>
        </w:rPr>
        <w:tab/>
      </w:r>
      <w:r w:rsidRPr="00FF4E67">
        <w:rPr>
          <w:i/>
          <w:iCs/>
          <w:lang w:val="en-US"/>
        </w:rPr>
        <w:t>P</w:t>
      </w:r>
      <w:r w:rsidRPr="00FF4E67">
        <w:rPr>
          <w:i/>
          <w:iCs/>
          <w:vertAlign w:val="subscript"/>
          <w:lang w:val="en-US"/>
        </w:rPr>
        <w:t>t</w:t>
      </w:r>
      <w:r w:rsidRPr="00FF4E67">
        <w:rPr>
          <w:lang w:val="en-US"/>
        </w:rPr>
        <w:t xml:space="preserve">      (W/MHz)     </w:t>
      </w:r>
      <w:r w:rsidRPr="00FF4E67">
        <w:rPr>
          <w:lang w:val="en-US"/>
        </w:rPr>
        <w:tab/>
        <w:t>(18)</w:t>
      </w:r>
    </w:p>
    <w:p w:rsidR="00FF4E67" w:rsidRPr="00FF4E67" w:rsidRDefault="00FF4E67" w:rsidP="00FF4E67">
      <w:pPr>
        <w:rPr>
          <w:iCs/>
          <w:lang w:val="en-US"/>
        </w:rPr>
      </w:pPr>
      <w:r w:rsidRPr="00FF4E67">
        <w:rPr>
          <w:iCs/>
          <w:lang w:val="en-US"/>
        </w:rPr>
        <w:t>where:</w:t>
      </w:r>
    </w:p>
    <w:p w:rsidR="00FF4E67" w:rsidRPr="00BC26C3" w:rsidRDefault="00FF4E67" w:rsidP="00FF4E67">
      <w:pPr>
        <w:pStyle w:val="Equationlegend"/>
      </w:pPr>
      <w:r w:rsidRPr="00BC26C3">
        <w:tab/>
      </w:r>
      <w:r w:rsidRPr="00BC26C3">
        <w:rPr>
          <w:i/>
          <w:iCs/>
        </w:rPr>
        <w:t>P</w:t>
      </w:r>
      <w:r w:rsidRPr="00BC26C3">
        <w:rPr>
          <w:i/>
          <w:iCs/>
          <w:vertAlign w:val="subscript"/>
        </w:rPr>
        <w:t>t</w:t>
      </w:r>
      <w:r w:rsidRPr="00BC26C3">
        <w:t>:</w:t>
      </w:r>
      <w:r w:rsidRPr="00BC26C3">
        <w:tab/>
        <w:t>total power of the TT&amp;C carrier (W).</w:t>
      </w:r>
    </w:p>
    <w:p w:rsidR="00FF4E67" w:rsidRPr="00FF4E67" w:rsidRDefault="00FF4E67" w:rsidP="00FF4E67">
      <w:pPr>
        <w:rPr>
          <w:iCs/>
          <w:lang w:val="en-US"/>
        </w:rPr>
      </w:pPr>
      <w:r w:rsidRPr="00FF4E67">
        <w:rPr>
          <w:iCs/>
          <w:lang w:val="en-US"/>
        </w:rPr>
        <w:t>For the case of a TT&amp;C carrier having a necessary bandwidth greater than 1</w:t>
      </w:r>
      <w:r w:rsidRPr="00FF4E67">
        <w:rPr>
          <w:lang w:val="en-US"/>
        </w:rPr>
        <w:t> </w:t>
      </w:r>
      <w:r w:rsidRPr="00FF4E67">
        <w:rPr>
          <w:iCs/>
          <w:lang w:val="en-US"/>
        </w:rPr>
        <w:t>MHz, but not more than 1.5</w:t>
      </w:r>
      <w:r w:rsidRPr="00FF4E67">
        <w:rPr>
          <w:lang w:val="en-US"/>
        </w:rPr>
        <w:t> </w:t>
      </w:r>
      <w:r w:rsidRPr="00FF4E67">
        <w:rPr>
          <w:iCs/>
          <w:lang w:val="en-US"/>
        </w:rPr>
        <w:t>MHz, the maximum power density per 1</w:t>
      </w:r>
      <w:r w:rsidRPr="00FF4E67">
        <w:rPr>
          <w:lang w:val="en-US"/>
        </w:rPr>
        <w:t> </w:t>
      </w:r>
      <w:r w:rsidRPr="00FF4E67">
        <w:rPr>
          <w:iCs/>
          <w:lang w:val="en-US"/>
        </w:rPr>
        <w:t>MHz is given by:</w:t>
      </w:r>
    </w:p>
    <w:p w:rsidR="00FF4E67" w:rsidRPr="00FF4E67" w:rsidRDefault="00FF4E67" w:rsidP="00FF4E67">
      <w:pPr>
        <w:pStyle w:val="Equation"/>
        <w:rPr>
          <w:lang w:val="en-US"/>
        </w:rPr>
      </w:pPr>
      <w:r w:rsidRPr="00FF4E67">
        <w:rPr>
          <w:lang w:val="en-US"/>
        </w:rPr>
        <w:tab/>
      </w:r>
      <w:r w:rsidRPr="00FF4E67">
        <w:rPr>
          <w:lang w:val="en-US"/>
        </w:rPr>
        <w:tab/>
      </w:r>
      <w:r w:rsidRPr="00FF4E67">
        <w:rPr>
          <w:i/>
          <w:iCs/>
          <w:lang w:val="en-US"/>
        </w:rPr>
        <w:t>P</w:t>
      </w:r>
      <w:r w:rsidRPr="00FF4E67">
        <w:rPr>
          <w:i/>
          <w:iCs/>
          <w:vertAlign w:val="subscript"/>
          <w:lang w:val="en-US"/>
        </w:rPr>
        <w:t>t</w:t>
      </w:r>
      <w:r w:rsidRPr="00FF4E67">
        <w:rPr>
          <w:i/>
          <w:iCs/>
          <w:lang w:val="en-US"/>
        </w:rPr>
        <w:t xml:space="preserve"> </w:t>
      </w:r>
      <w:r w:rsidRPr="00FF4E67">
        <w:rPr>
          <w:rFonts w:ascii="Times" w:hAnsi="Times"/>
          <w:lang w:val="en-US"/>
        </w:rPr>
        <w:t>×</w:t>
      </w:r>
      <w:r w:rsidRPr="00FF4E67">
        <w:rPr>
          <w:lang w:val="en-US"/>
        </w:rPr>
        <w:t xml:space="preserve"> (1 </w:t>
      </w:r>
      <w:r w:rsidRPr="00FF4E67">
        <w:rPr>
          <w:rFonts w:ascii="Times" w:hAnsi="Times"/>
          <w:lang w:val="en-US"/>
        </w:rPr>
        <w:t xml:space="preserve">× </w:t>
      </w:r>
      <w:r w:rsidRPr="00FF4E67">
        <w:rPr>
          <w:lang w:val="en-US"/>
        </w:rPr>
        <w:t>10</w:t>
      </w:r>
      <w:r w:rsidRPr="00FF4E67">
        <w:rPr>
          <w:vertAlign w:val="superscript"/>
          <w:lang w:val="en-US"/>
        </w:rPr>
        <w:t>6</w:t>
      </w:r>
      <w:r w:rsidRPr="00FF4E67">
        <w:rPr>
          <w:lang w:val="en-US"/>
        </w:rPr>
        <w:t>/</w:t>
      </w:r>
      <w:r w:rsidRPr="00FF4E67">
        <w:rPr>
          <w:i/>
          <w:iCs/>
          <w:lang w:val="en-US"/>
        </w:rPr>
        <w:t>B</w:t>
      </w:r>
      <w:r w:rsidRPr="00FF4E67">
        <w:rPr>
          <w:lang w:val="en-US"/>
        </w:rPr>
        <w:t>)     (W/MHz)</w:t>
      </w:r>
      <w:r w:rsidRPr="00FF4E67">
        <w:rPr>
          <w:lang w:val="en-US"/>
        </w:rPr>
        <w:tab/>
        <w:t>(19)</w:t>
      </w:r>
    </w:p>
    <w:p w:rsidR="00FF4E67" w:rsidRPr="00FF4E67" w:rsidRDefault="00FF4E67" w:rsidP="00FF4E67">
      <w:pPr>
        <w:rPr>
          <w:iCs/>
          <w:lang w:val="en-US"/>
        </w:rPr>
      </w:pPr>
      <w:r w:rsidRPr="00FF4E67">
        <w:rPr>
          <w:iCs/>
          <w:lang w:val="en-US"/>
        </w:rPr>
        <w:t>where:</w:t>
      </w:r>
    </w:p>
    <w:p w:rsidR="00FF4E67" w:rsidRPr="00BC26C3" w:rsidRDefault="00FF4E67" w:rsidP="00FF4E67">
      <w:pPr>
        <w:pStyle w:val="Equationlegend"/>
      </w:pPr>
      <w:r w:rsidRPr="00BC26C3">
        <w:tab/>
      </w:r>
      <w:r w:rsidRPr="00BC26C3">
        <w:rPr>
          <w:i/>
          <w:iCs/>
        </w:rPr>
        <w:t>P</w:t>
      </w:r>
      <w:r w:rsidRPr="00BC26C3">
        <w:rPr>
          <w:i/>
          <w:iCs/>
          <w:vertAlign w:val="subscript"/>
        </w:rPr>
        <w:t>t</w:t>
      </w:r>
      <w:r w:rsidRPr="00BC26C3">
        <w:t>:</w:t>
      </w:r>
      <w:r w:rsidRPr="00BC26C3">
        <w:tab/>
        <w:t>total power of the TT&amp;C carrier (W)</w:t>
      </w:r>
    </w:p>
    <w:p w:rsidR="00FF4E67" w:rsidRPr="00BC26C3" w:rsidRDefault="00FF4E67" w:rsidP="00FF4E67">
      <w:pPr>
        <w:pStyle w:val="Equationlegend"/>
      </w:pPr>
      <w:r w:rsidRPr="00BC26C3">
        <w:tab/>
      </w:r>
      <w:r w:rsidRPr="00BC26C3">
        <w:rPr>
          <w:i/>
          <w:iCs/>
        </w:rPr>
        <w:t>B</w:t>
      </w:r>
      <w:r w:rsidRPr="00BC26C3">
        <w:t>:</w:t>
      </w:r>
      <w:r w:rsidRPr="00BC26C3">
        <w:tab/>
        <w:t>necessary bandwidth of the TT&amp;C emission which is greater than 1 MHz (Hz).</w:t>
      </w:r>
    </w:p>
    <w:p w:rsidR="00FF4E67" w:rsidRPr="00FF4E67" w:rsidRDefault="00FF4E67" w:rsidP="00FF4E67">
      <w:pPr>
        <w:rPr>
          <w:iCs/>
          <w:lang w:val="en-US" w:eastAsia="ja-JP"/>
        </w:rPr>
      </w:pPr>
    </w:p>
    <w:p w:rsidR="006A5592" w:rsidRDefault="006A5592" w:rsidP="0032202E">
      <w:pPr>
        <w:pStyle w:val="Reasons"/>
      </w:pPr>
    </w:p>
    <w:p w:rsidR="006A5592" w:rsidRDefault="006A5592">
      <w:pPr>
        <w:jc w:val="center"/>
      </w:pPr>
      <w:r>
        <w:t>______________</w:t>
      </w:r>
    </w:p>
    <w:p w:rsidR="00FF4E67" w:rsidRPr="00FF4E67" w:rsidRDefault="00FF4E67" w:rsidP="006A5592">
      <w:pPr>
        <w:rPr>
          <w:lang w:val="en-US"/>
        </w:rPr>
      </w:pPr>
    </w:p>
    <w:sectPr w:rsidR="00FF4E67" w:rsidRPr="00FF4E67" w:rsidSect="003F1E05">
      <w:headerReference w:type="even" r:id="rId39"/>
      <w:headerReference w:type="default" r:id="rId4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E67" w:rsidRDefault="00FF4E67">
      <w:r>
        <w:separator/>
      </w:r>
    </w:p>
  </w:endnote>
  <w:endnote w:type="continuationSeparator" w:id="0">
    <w:p w:rsidR="00FF4E67" w:rsidRDefault="00FF4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E67" w:rsidRDefault="00FF4E67">
      <w:r>
        <w:separator/>
      </w:r>
    </w:p>
  </w:footnote>
  <w:footnote w:type="continuationSeparator" w:id="0">
    <w:p w:rsidR="00FF4E67" w:rsidRDefault="00FF4E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E67" w:rsidRDefault="00FF4E6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E67" w:rsidRDefault="00FF4E67" w:rsidP="00B033C8">
    <w:pPr>
      <w:pStyle w:val="Header"/>
      <w:ind w:right="360" w:firstLine="360"/>
    </w:pPr>
    <w:r>
      <w:rPr>
        <w:noProof/>
        <w:lang w:val="en-US" w:eastAsia="zh-CN"/>
      </w:rPr>
      <w:drawing>
        <wp:anchor distT="0" distB="0" distL="114300" distR="114300" simplePos="0" relativeHeight="251659264" behindDoc="1" locked="0" layoutInCell="1" allowOverlap="1" wp14:anchorId="38C3AD86" wp14:editId="45E4B4D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E67" w:rsidRPr="00FF4E67" w:rsidRDefault="00FF4E67">
    <w:pPr>
      <w:pStyle w:val="Header"/>
      <w:jc w:val="left"/>
      <w:rPr>
        <w:lang w:val="fr-CH"/>
      </w:rPr>
    </w:pPr>
    <w:r>
      <w:rPr>
        <w:rStyle w:val="PageNumber"/>
        <w:b/>
        <w:bCs/>
      </w:rPr>
      <w:fldChar w:fldCharType="begin"/>
    </w:r>
    <w:r w:rsidRPr="00FF4E67">
      <w:rPr>
        <w:rStyle w:val="PageNumber"/>
        <w:b/>
        <w:bCs/>
        <w:lang w:val="fr-CH"/>
      </w:rPr>
      <w:instrText xml:space="preserve"> PAGE </w:instrText>
    </w:r>
    <w:r>
      <w:rPr>
        <w:rStyle w:val="PageNumber"/>
        <w:b/>
        <w:bCs/>
      </w:rPr>
      <w:fldChar w:fldCharType="separate"/>
    </w:r>
    <w:r w:rsidR="003F1E05">
      <w:rPr>
        <w:rStyle w:val="PageNumber"/>
        <w:b/>
        <w:bCs/>
        <w:noProof/>
        <w:lang w:val="fr-CH"/>
      </w:rPr>
      <w:t>ii</w:t>
    </w:r>
    <w:r>
      <w:rPr>
        <w:rStyle w:val="PageNumber"/>
        <w:b/>
        <w:bCs/>
      </w:rPr>
      <w:fldChar w:fldCharType="end"/>
    </w:r>
    <w:r w:rsidRPr="00FF4E67">
      <w:rPr>
        <w:lang w:val="fr-CH"/>
      </w:rPr>
      <w:tab/>
    </w:r>
    <w:fldSimple w:instr=" DOCPROPERTY &quot;Header&quot; \* MERGEFORMAT ">
      <w:r w:rsidR="006A5592" w:rsidRPr="006A5592">
        <w:rPr>
          <w:b/>
          <w:bCs/>
          <w:lang w:val="fr-CH"/>
        </w:rPr>
        <w:t xml:space="preserve">Rec. </w:t>
      </w:r>
    </w:fldSimple>
    <w:r>
      <w:rPr>
        <w:b/>
        <w:bCs/>
      </w:rPr>
      <w:t xml:space="preserve"> </w:t>
    </w:r>
    <w:r>
      <w:rPr>
        <w:b/>
        <w:bCs/>
      </w:rPr>
      <w:fldChar w:fldCharType="begin"/>
    </w:r>
    <w:r w:rsidRPr="00FF4E67">
      <w:rPr>
        <w:b/>
        <w:bCs/>
        <w:lang w:val="fr-CH"/>
      </w:rPr>
      <w:instrText>styleref href</w:instrText>
    </w:r>
    <w:r>
      <w:rPr>
        <w:b/>
        <w:bCs/>
      </w:rPr>
      <w:fldChar w:fldCharType="separate"/>
    </w:r>
    <w:r w:rsidR="003F1E05">
      <w:rPr>
        <w:b/>
        <w:bCs/>
        <w:noProof/>
      </w:rPr>
      <w:t>ITU-R SF.675-4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E67" w:rsidRDefault="00FF4E67">
    <w:pPr>
      <w:pStyle w:val="Header"/>
    </w:pPr>
    <w:r>
      <w:tab/>
    </w:r>
    <w:fldSimple w:instr=" DOCPROPERTY &quot;Header&quot; \* MERGEFORMAT ">
      <w:r w:rsidR="006A5592" w:rsidRPr="006A559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A5592">
      <w:rPr>
        <w:b/>
        <w:bCs/>
        <w:noProof/>
      </w:rPr>
      <w:t>ITU-R SF.675-4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F1E05">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6A5592" w:rsidRPr="006A5592">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F1E05">
      <w:rPr>
        <w:b/>
        <w:bCs/>
        <w:noProof/>
      </w:rPr>
      <w:t>ITU-R SF.675-4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6A5592" w:rsidRPr="006A559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F1E05">
      <w:rPr>
        <w:b/>
        <w:bCs/>
        <w:noProof/>
      </w:rPr>
      <w:t>ITU-R SF.675-4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F1E05">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B512C2"/>
    <w:multiLevelType w:val="hybridMultilevel"/>
    <w:tmpl w:val="D0421460"/>
    <w:lvl w:ilvl="0" w:tplc="945028BA">
      <w:start w:val="1"/>
      <w:numFmt w:val="decimal"/>
      <w:lvlText w:val="%1."/>
      <w:lvlJc w:val="left"/>
      <w:pPr>
        <w:ind w:left="1155" w:hanging="79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E67"/>
    <w:rsid w:val="00077597"/>
    <w:rsid w:val="000B219D"/>
    <w:rsid w:val="00160476"/>
    <w:rsid w:val="001A5E8E"/>
    <w:rsid w:val="00217EBF"/>
    <w:rsid w:val="00242AEE"/>
    <w:rsid w:val="00250337"/>
    <w:rsid w:val="002D76C4"/>
    <w:rsid w:val="00365F1B"/>
    <w:rsid w:val="003F1E05"/>
    <w:rsid w:val="0052529D"/>
    <w:rsid w:val="00566F73"/>
    <w:rsid w:val="00607D68"/>
    <w:rsid w:val="006A5592"/>
    <w:rsid w:val="007468DA"/>
    <w:rsid w:val="009E00A8"/>
    <w:rsid w:val="00A54C31"/>
    <w:rsid w:val="00A6617B"/>
    <w:rsid w:val="00AB0DC8"/>
    <w:rsid w:val="00B4320A"/>
    <w:rsid w:val="00B44E24"/>
    <w:rsid w:val="00B6034E"/>
    <w:rsid w:val="00D03931"/>
    <w:rsid w:val="00DF4176"/>
    <w:rsid w:val="00FF4E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E6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uiPriority w:val="99"/>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FF4E67"/>
    <w:rPr>
      <w:b/>
      <w:sz w:val="24"/>
      <w:lang w:val="fr-FR" w:eastAsia="en-US"/>
    </w:rPr>
  </w:style>
  <w:style w:type="character" w:customStyle="1" w:styleId="HeaderChar">
    <w:name w:val="Header Char"/>
    <w:basedOn w:val="DefaultParagraphFont"/>
    <w:link w:val="Header"/>
    <w:rsid w:val="00FF4E67"/>
    <w:rPr>
      <w:sz w:val="24"/>
      <w:lang w:val="fr-FR" w:eastAsia="en-US"/>
    </w:rPr>
  </w:style>
  <w:style w:type="character" w:styleId="Hyperlink">
    <w:name w:val="Hyperlink"/>
    <w:basedOn w:val="DefaultParagraphFont"/>
    <w:rsid w:val="00FF4E67"/>
    <w:rPr>
      <w:color w:val="0000FF"/>
      <w:u w:val="single"/>
    </w:rPr>
  </w:style>
  <w:style w:type="paragraph" w:customStyle="1" w:styleId="Normalaftertitle0">
    <w:name w:val="Normal after title"/>
    <w:basedOn w:val="Normal"/>
    <w:next w:val="Normal"/>
    <w:link w:val="NormalaftertitleChar"/>
    <w:uiPriority w:val="99"/>
    <w:rsid w:val="00FF4E67"/>
    <w:pPr>
      <w:spacing w:before="480"/>
    </w:pPr>
    <w:rPr>
      <w:sz w:val="20"/>
      <w:lang w:val="en-GB"/>
    </w:rPr>
  </w:style>
  <w:style w:type="paragraph" w:customStyle="1" w:styleId="call0">
    <w:name w:val="call"/>
    <w:basedOn w:val="Normal"/>
    <w:next w:val="Normal"/>
    <w:rsid w:val="00FF4E67"/>
    <w:pPr>
      <w:keepNext/>
      <w:keepLines/>
      <w:tabs>
        <w:tab w:val="clear" w:pos="1191"/>
        <w:tab w:val="clear" w:pos="1588"/>
        <w:tab w:val="clear" w:pos="1985"/>
      </w:tabs>
      <w:spacing w:before="227"/>
      <w:ind w:left="794"/>
      <w:jc w:val="left"/>
    </w:pPr>
    <w:rPr>
      <w:i/>
      <w:iCs/>
      <w:sz w:val="20"/>
      <w:lang w:val="en-GB"/>
    </w:rPr>
  </w:style>
  <w:style w:type="paragraph" w:customStyle="1" w:styleId="headfoot">
    <w:name w:val="head_foot"/>
    <w:basedOn w:val="Normal"/>
    <w:next w:val="Normalaftertitle0"/>
    <w:rsid w:val="00FF4E67"/>
    <w:pPr>
      <w:tabs>
        <w:tab w:val="clear" w:pos="794"/>
        <w:tab w:val="clear" w:pos="1191"/>
        <w:tab w:val="clear" w:pos="1588"/>
        <w:tab w:val="clear" w:pos="1985"/>
      </w:tabs>
      <w:spacing w:before="0"/>
    </w:pPr>
    <w:rPr>
      <w:color w:val="FF0000"/>
      <w:sz w:val="8"/>
      <w:szCs w:val="8"/>
      <w:lang w:val="en-GB"/>
    </w:rPr>
  </w:style>
  <w:style w:type="character" w:customStyle="1" w:styleId="EquationChar">
    <w:name w:val="Equation Char"/>
    <w:link w:val="Equation"/>
    <w:locked/>
    <w:rsid w:val="00FF4E67"/>
    <w:rPr>
      <w:sz w:val="24"/>
      <w:lang w:val="fr-FR" w:eastAsia="en-US"/>
    </w:rPr>
  </w:style>
  <w:style w:type="character" w:customStyle="1" w:styleId="EquationlegendChar">
    <w:name w:val="Equation_legend Char"/>
    <w:link w:val="Equationlegend"/>
    <w:uiPriority w:val="99"/>
    <w:locked/>
    <w:rsid w:val="00FF4E67"/>
    <w:rPr>
      <w:sz w:val="24"/>
      <w:lang w:eastAsia="en-US"/>
    </w:rPr>
  </w:style>
  <w:style w:type="character" w:customStyle="1" w:styleId="NormalaftertitleChar">
    <w:name w:val="Normal after title Char"/>
    <w:link w:val="Normalaftertitle0"/>
    <w:uiPriority w:val="99"/>
    <w:locked/>
    <w:rsid w:val="00FF4E67"/>
    <w:rPr>
      <w:lang w:val="en-GB" w:eastAsia="en-US"/>
    </w:rPr>
  </w:style>
  <w:style w:type="paragraph" w:customStyle="1" w:styleId="Reasons">
    <w:name w:val="Reasons"/>
    <w:basedOn w:val="Normal"/>
    <w:qFormat/>
    <w:rsid w:val="006A5592"/>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E6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uiPriority w:val="99"/>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FF4E67"/>
    <w:rPr>
      <w:b/>
      <w:sz w:val="24"/>
      <w:lang w:val="fr-FR" w:eastAsia="en-US"/>
    </w:rPr>
  </w:style>
  <w:style w:type="character" w:customStyle="1" w:styleId="HeaderChar">
    <w:name w:val="Header Char"/>
    <w:basedOn w:val="DefaultParagraphFont"/>
    <w:link w:val="Header"/>
    <w:rsid w:val="00FF4E67"/>
    <w:rPr>
      <w:sz w:val="24"/>
      <w:lang w:val="fr-FR" w:eastAsia="en-US"/>
    </w:rPr>
  </w:style>
  <w:style w:type="character" w:styleId="Hyperlink">
    <w:name w:val="Hyperlink"/>
    <w:basedOn w:val="DefaultParagraphFont"/>
    <w:rsid w:val="00FF4E67"/>
    <w:rPr>
      <w:color w:val="0000FF"/>
      <w:u w:val="single"/>
    </w:rPr>
  </w:style>
  <w:style w:type="paragraph" w:customStyle="1" w:styleId="Normalaftertitle0">
    <w:name w:val="Normal after title"/>
    <w:basedOn w:val="Normal"/>
    <w:next w:val="Normal"/>
    <w:link w:val="NormalaftertitleChar"/>
    <w:uiPriority w:val="99"/>
    <w:rsid w:val="00FF4E67"/>
    <w:pPr>
      <w:spacing w:before="480"/>
    </w:pPr>
    <w:rPr>
      <w:sz w:val="20"/>
      <w:lang w:val="en-GB"/>
    </w:rPr>
  </w:style>
  <w:style w:type="paragraph" w:customStyle="1" w:styleId="call0">
    <w:name w:val="call"/>
    <w:basedOn w:val="Normal"/>
    <w:next w:val="Normal"/>
    <w:rsid w:val="00FF4E67"/>
    <w:pPr>
      <w:keepNext/>
      <w:keepLines/>
      <w:tabs>
        <w:tab w:val="clear" w:pos="1191"/>
        <w:tab w:val="clear" w:pos="1588"/>
        <w:tab w:val="clear" w:pos="1985"/>
      </w:tabs>
      <w:spacing w:before="227"/>
      <w:ind w:left="794"/>
      <w:jc w:val="left"/>
    </w:pPr>
    <w:rPr>
      <w:i/>
      <w:iCs/>
      <w:sz w:val="20"/>
      <w:lang w:val="en-GB"/>
    </w:rPr>
  </w:style>
  <w:style w:type="paragraph" w:customStyle="1" w:styleId="headfoot">
    <w:name w:val="head_foot"/>
    <w:basedOn w:val="Normal"/>
    <w:next w:val="Normalaftertitle0"/>
    <w:rsid w:val="00FF4E67"/>
    <w:pPr>
      <w:tabs>
        <w:tab w:val="clear" w:pos="794"/>
        <w:tab w:val="clear" w:pos="1191"/>
        <w:tab w:val="clear" w:pos="1588"/>
        <w:tab w:val="clear" w:pos="1985"/>
      </w:tabs>
      <w:spacing w:before="0"/>
    </w:pPr>
    <w:rPr>
      <w:color w:val="FF0000"/>
      <w:sz w:val="8"/>
      <w:szCs w:val="8"/>
      <w:lang w:val="en-GB"/>
    </w:rPr>
  </w:style>
  <w:style w:type="character" w:customStyle="1" w:styleId="EquationChar">
    <w:name w:val="Equation Char"/>
    <w:link w:val="Equation"/>
    <w:locked/>
    <w:rsid w:val="00FF4E67"/>
    <w:rPr>
      <w:sz w:val="24"/>
      <w:lang w:val="fr-FR" w:eastAsia="en-US"/>
    </w:rPr>
  </w:style>
  <w:style w:type="character" w:customStyle="1" w:styleId="EquationlegendChar">
    <w:name w:val="Equation_legend Char"/>
    <w:link w:val="Equationlegend"/>
    <w:uiPriority w:val="99"/>
    <w:locked/>
    <w:rsid w:val="00FF4E67"/>
    <w:rPr>
      <w:sz w:val="24"/>
      <w:lang w:eastAsia="en-US"/>
    </w:rPr>
  </w:style>
  <w:style w:type="character" w:customStyle="1" w:styleId="NormalaftertitleChar">
    <w:name w:val="Normal after title Char"/>
    <w:link w:val="Normalaftertitle0"/>
    <w:uiPriority w:val="99"/>
    <w:locked/>
    <w:rsid w:val="00FF4E67"/>
    <w:rPr>
      <w:lang w:val="en-GB" w:eastAsia="en-US"/>
    </w:rPr>
  </w:style>
  <w:style w:type="paragraph" w:customStyle="1" w:styleId="Reasons">
    <w:name w:val="Reasons"/>
    <w:basedOn w:val="Normal"/>
    <w:qFormat/>
    <w:rsid w:val="006A5592"/>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oleObject" Target="embeddings/oleObject11.bin"/><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oleObject" Target="embeddings/oleObject13.bin"/><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image" Target="media/image13.emf"/><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oleObject" Target="embeddings/oleObject12.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image" Target="media/image1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31</TotalTime>
  <Pages>11</Pages>
  <Words>2363</Words>
  <Characters>12195</Characters>
  <Application>Microsoft Office Word</Application>
  <DocSecurity>0</DocSecurity>
  <Lines>320</Lines>
  <Paragraphs>39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14</cp:revision>
  <cp:lastPrinted>2005-02-10T15:54:00Z</cp:lastPrinted>
  <dcterms:created xsi:type="dcterms:W3CDTF">2012-01-26T15:58:00Z</dcterms:created>
  <dcterms:modified xsi:type="dcterms:W3CDTF">2012-01-27T07:25:00Z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