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1CC3" w:rsidRPr="00A10274" w:rsidRDefault="00281CC3" w:rsidP="00281CC3">
      <w:pPr>
        <w:rPr>
          <w:lang w:val="es-ES_tradnl"/>
        </w:rPr>
      </w:pPr>
      <w:bookmarkStart w:id="0" w:name="dbreak"/>
      <w:bookmarkEnd w:id="0"/>
    </w:p>
    <w:p w:rsidR="00281CC3" w:rsidRPr="00A10274" w:rsidRDefault="00281CC3" w:rsidP="00281CC3">
      <w:pPr>
        <w:rPr>
          <w:lang w:val="es-ES_tradnl"/>
        </w:rPr>
      </w:pPr>
    </w:p>
    <w:p w:rsidR="00281CC3" w:rsidRPr="00A10274" w:rsidRDefault="00281CC3" w:rsidP="00281CC3">
      <w:pPr>
        <w:rPr>
          <w:lang w:val="es-ES_tradnl"/>
        </w:rPr>
      </w:pPr>
    </w:p>
    <w:p w:rsidR="00281CC3" w:rsidRPr="00A10274" w:rsidRDefault="00281CC3" w:rsidP="00281CC3">
      <w:pPr>
        <w:rPr>
          <w:lang w:val="es-ES_tradnl"/>
        </w:rPr>
      </w:pPr>
    </w:p>
    <w:p w:rsidR="00281CC3" w:rsidRPr="00A10274" w:rsidRDefault="00281CC3" w:rsidP="00281CC3">
      <w:pPr>
        <w:rPr>
          <w:lang w:val="es-ES_tradnl"/>
        </w:rPr>
      </w:pPr>
    </w:p>
    <w:p w:rsidR="00281CC3" w:rsidRPr="00A10274" w:rsidRDefault="00281CC3" w:rsidP="00281CC3">
      <w:pPr>
        <w:rPr>
          <w:lang w:val="es-ES_tradnl"/>
        </w:rPr>
      </w:pPr>
    </w:p>
    <w:p w:rsidR="00281CC3" w:rsidRPr="00A10274" w:rsidRDefault="00281CC3" w:rsidP="00281CC3">
      <w:pPr>
        <w:rPr>
          <w:lang w:val="es-ES_tradnl"/>
        </w:rPr>
      </w:pPr>
    </w:p>
    <w:p w:rsidR="00281CC3" w:rsidRPr="00A10274" w:rsidRDefault="00281CC3" w:rsidP="00281CC3">
      <w:pPr>
        <w:rPr>
          <w:lang w:val="es-ES_tradnl"/>
        </w:rPr>
      </w:pPr>
    </w:p>
    <w:p w:rsidR="00281CC3" w:rsidRPr="00A10274" w:rsidRDefault="00281CC3" w:rsidP="00281CC3">
      <w:pPr>
        <w:rPr>
          <w:lang w:val="es-ES_tradnl"/>
        </w:rPr>
      </w:pPr>
    </w:p>
    <w:p w:rsidR="00281CC3" w:rsidRPr="00A10274" w:rsidRDefault="00281CC3" w:rsidP="00281CC3">
      <w:pPr>
        <w:rPr>
          <w:lang w:val="es-ES_tradnl"/>
        </w:rPr>
      </w:pPr>
    </w:p>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281CC3" w:rsidRPr="00A10274" w:rsidTr="002F1481">
        <w:tc>
          <w:tcPr>
            <w:tcW w:w="10089" w:type="dxa"/>
          </w:tcPr>
          <w:p w:rsidR="00281CC3" w:rsidRPr="00A10274" w:rsidRDefault="00281CC3" w:rsidP="002F1481">
            <w:pPr>
              <w:spacing w:before="380" w:line="280" w:lineRule="exact"/>
              <w:jc w:val="right"/>
              <w:rPr>
                <w:rFonts w:ascii="Tahoma" w:hAnsi="Tahoma" w:cs="Tahoma"/>
                <w:b/>
                <w:bCs/>
                <w:iCs/>
                <w:color w:val="243285"/>
                <w:sz w:val="32"/>
                <w:szCs w:val="32"/>
                <w:lang w:val="es-ES_tradnl"/>
              </w:rPr>
            </w:pPr>
          </w:p>
          <w:p w:rsidR="00281CC3" w:rsidRPr="00A10274" w:rsidRDefault="00281CC3" w:rsidP="001C5271">
            <w:pPr>
              <w:spacing w:before="380" w:line="280" w:lineRule="exact"/>
              <w:jc w:val="right"/>
              <w:rPr>
                <w:rFonts w:ascii="Tahoma" w:hAnsi="Tahoma" w:cs="Tahoma"/>
                <w:b/>
                <w:bCs/>
                <w:iCs/>
                <w:color w:val="243285"/>
                <w:sz w:val="36"/>
                <w:szCs w:val="36"/>
                <w:lang w:val="es-ES_tradnl"/>
              </w:rPr>
            </w:pPr>
            <w:r w:rsidRPr="00A10274">
              <w:rPr>
                <w:rFonts w:ascii="Tahoma" w:hAnsi="Tahoma" w:cs="Tahoma"/>
                <w:b/>
                <w:bCs/>
                <w:iCs/>
                <w:color w:val="243285"/>
                <w:sz w:val="36"/>
                <w:szCs w:val="36"/>
                <w:lang w:val="es-ES_tradnl"/>
              </w:rPr>
              <w:t>Recomendación  UIT-R  SF.</w:t>
            </w:r>
            <w:r w:rsidR="00A8037B" w:rsidRPr="00A10274">
              <w:rPr>
                <w:rFonts w:ascii="Tahoma" w:hAnsi="Tahoma" w:cs="Tahoma"/>
                <w:b/>
                <w:bCs/>
                <w:iCs/>
                <w:color w:val="243285"/>
                <w:sz w:val="36"/>
                <w:szCs w:val="36"/>
                <w:lang w:val="es-ES_tradnl"/>
              </w:rPr>
              <w:t>674-3</w:t>
            </w:r>
          </w:p>
          <w:p w:rsidR="00281CC3" w:rsidRPr="00A10274" w:rsidRDefault="001C5271" w:rsidP="001C5271">
            <w:pPr>
              <w:spacing w:before="80" w:line="280" w:lineRule="exact"/>
              <w:jc w:val="right"/>
              <w:rPr>
                <w:rFonts w:ascii="Tahoma" w:hAnsi="Tahoma" w:cs="Tahoma"/>
                <w:b/>
                <w:bCs/>
                <w:iCs/>
                <w:color w:val="243285"/>
                <w:szCs w:val="24"/>
                <w:lang w:val="es-ES_tradnl"/>
              </w:rPr>
            </w:pPr>
            <w:r w:rsidRPr="00A10274">
              <w:rPr>
                <w:rFonts w:ascii="Tahoma" w:hAnsi="Tahoma" w:cs="Tahoma"/>
                <w:b/>
                <w:bCs/>
                <w:iCs/>
                <w:color w:val="243285"/>
                <w:szCs w:val="24"/>
                <w:lang w:val="es-ES_tradnl"/>
              </w:rPr>
              <w:t>(12</w:t>
            </w:r>
            <w:r w:rsidR="00281CC3" w:rsidRPr="00A10274">
              <w:rPr>
                <w:rFonts w:ascii="Tahoma" w:hAnsi="Tahoma" w:cs="Tahoma"/>
                <w:b/>
                <w:bCs/>
                <w:iCs/>
                <w:color w:val="243285"/>
                <w:szCs w:val="24"/>
                <w:lang w:val="es-ES_tradnl"/>
              </w:rPr>
              <w:t>/</w:t>
            </w:r>
            <w:r w:rsidRPr="00A10274">
              <w:rPr>
                <w:rFonts w:ascii="Tahoma" w:hAnsi="Tahoma" w:cs="Tahoma"/>
                <w:b/>
                <w:bCs/>
                <w:iCs/>
                <w:color w:val="243285"/>
                <w:szCs w:val="24"/>
                <w:lang w:val="es-ES_tradnl"/>
              </w:rPr>
              <w:t>2013</w:t>
            </w:r>
            <w:r w:rsidR="00281CC3" w:rsidRPr="00A10274">
              <w:rPr>
                <w:rFonts w:ascii="Tahoma" w:hAnsi="Tahoma" w:cs="Tahoma"/>
                <w:b/>
                <w:bCs/>
                <w:iCs/>
                <w:color w:val="243285"/>
                <w:szCs w:val="24"/>
                <w:lang w:val="es-ES_tradnl"/>
              </w:rPr>
              <w:t>)</w:t>
            </w:r>
          </w:p>
        </w:tc>
      </w:tr>
      <w:tr w:rsidR="00281CC3" w:rsidRPr="0096474A" w:rsidTr="002F1481">
        <w:tc>
          <w:tcPr>
            <w:tcW w:w="10089" w:type="dxa"/>
          </w:tcPr>
          <w:p w:rsidR="00281CC3" w:rsidRPr="00A10274" w:rsidRDefault="00281CC3" w:rsidP="002F1481">
            <w:pPr>
              <w:spacing w:before="80" w:line="500" w:lineRule="exact"/>
              <w:jc w:val="right"/>
              <w:rPr>
                <w:rFonts w:ascii="Tahoma" w:hAnsi="Tahoma" w:cs="Tahoma"/>
                <w:b/>
                <w:bCs/>
                <w:iCs/>
                <w:color w:val="243285"/>
                <w:sz w:val="44"/>
                <w:szCs w:val="44"/>
                <w:lang w:val="es-ES_tradnl"/>
              </w:rPr>
            </w:pPr>
          </w:p>
          <w:p w:rsidR="00281CC3" w:rsidRPr="00A10274" w:rsidRDefault="001C5271" w:rsidP="00C64222">
            <w:pPr>
              <w:spacing w:before="80" w:line="500" w:lineRule="exact"/>
              <w:jc w:val="right"/>
              <w:rPr>
                <w:rFonts w:ascii="Tahoma" w:hAnsi="Tahoma" w:cs="Tahoma"/>
                <w:b/>
                <w:bCs/>
                <w:color w:val="243285"/>
                <w:sz w:val="44"/>
                <w:szCs w:val="44"/>
                <w:lang w:val="es-ES_tradnl"/>
              </w:rPr>
            </w:pPr>
            <w:r w:rsidRPr="00A10274">
              <w:rPr>
                <w:rFonts w:ascii="Tahoma" w:hAnsi="Tahoma" w:cs="Tahoma"/>
                <w:b/>
                <w:bCs/>
                <w:color w:val="243285"/>
                <w:sz w:val="44"/>
                <w:szCs w:val="44"/>
                <w:lang w:val="es-ES_tradnl"/>
              </w:rPr>
              <w:t>Determinación del efecto sobre el servicio</w:t>
            </w:r>
            <w:r w:rsidR="00C64222" w:rsidRPr="00A10274">
              <w:rPr>
                <w:rFonts w:ascii="Tahoma" w:hAnsi="Tahoma" w:cs="Tahoma"/>
                <w:b/>
                <w:bCs/>
                <w:color w:val="243285"/>
                <w:sz w:val="44"/>
                <w:szCs w:val="44"/>
                <w:lang w:val="es-ES_tradnl"/>
              </w:rPr>
              <w:t xml:space="preserve"> fijo que utiliza la banda 11,7-</w:t>
            </w:r>
            <w:r w:rsidRPr="00A10274">
              <w:rPr>
                <w:rFonts w:ascii="Tahoma" w:hAnsi="Tahoma" w:cs="Tahoma"/>
                <w:b/>
                <w:bCs/>
                <w:color w:val="243285"/>
                <w:sz w:val="44"/>
                <w:szCs w:val="44"/>
                <w:lang w:val="es-ES_tradnl"/>
              </w:rPr>
              <w:t>12,2 GHz causado por las redes del servicio fijo</w:t>
            </w:r>
            <w:r w:rsidR="00C64222" w:rsidRPr="00A10274">
              <w:rPr>
                <w:rFonts w:ascii="Tahoma" w:hAnsi="Tahoma" w:cs="Tahoma"/>
                <w:b/>
                <w:bCs/>
                <w:color w:val="243285"/>
                <w:sz w:val="44"/>
                <w:szCs w:val="44"/>
                <w:lang w:val="es-ES_tradnl"/>
              </w:rPr>
              <w:br/>
            </w:r>
            <w:r w:rsidRPr="00A10274">
              <w:rPr>
                <w:rFonts w:ascii="Tahoma" w:hAnsi="Tahoma" w:cs="Tahoma"/>
                <w:b/>
                <w:bCs/>
                <w:color w:val="243285"/>
                <w:sz w:val="44"/>
                <w:szCs w:val="44"/>
                <w:lang w:val="es-ES_tradnl"/>
              </w:rPr>
              <w:t>por satélite geoestacionario de</w:t>
            </w:r>
            <w:r w:rsidR="00C64222" w:rsidRPr="00A10274">
              <w:rPr>
                <w:rFonts w:ascii="Tahoma" w:hAnsi="Tahoma" w:cs="Tahoma"/>
                <w:b/>
                <w:bCs/>
                <w:color w:val="243285"/>
                <w:sz w:val="44"/>
                <w:szCs w:val="44"/>
                <w:lang w:val="es-ES_tradnl"/>
              </w:rPr>
              <w:t xml:space="preserve"> </w:t>
            </w:r>
            <w:r w:rsidRPr="00A10274">
              <w:rPr>
                <w:rFonts w:ascii="Tahoma" w:hAnsi="Tahoma" w:cs="Tahoma"/>
                <w:b/>
                <w:bCs/>
                <w:color w:val="243285"/>
                <w:sz w:val="44"/>
                <w:szCs w:val="44"/>
                <w:lang w:val="es-ES_tradnl"/>
              </w:rPr>
              <w:t>la</w:t>
            </w:r>
            <w:r w:rsidR="00C64222" w:rsidRPr="00A10274">
              <w:rPr>
                <w:rFonts w:ascii="Tahoma" w:hAnsi="Tahoma" w:cs="Tahoma"/>
                <w:b/>
                <w:bCs/>
                <w:color w:val="243285"/>
                <w:sz w:val="44"/>
                <w:szCs w:val="44"/>
                <w:lang w:val="es-ES_tradnl"/>
              </w:rPr>
              <w:br/>
            </w:r>
            <w:r w:rsidRPr="00A10274">
              <w:rPr>
                <w:rFonts w:ascii="Tahoma" w:hAnsi="Tahoma" w:cs="Tahoma"/>
                <w:b/>
                <w:bCs/>
                <w:color w:val="243285"/>
                <w:sz w:val="44"/>
                <w:szCs w:val="44"/>
                <w:lang w:val="es-ES_tradnl"/>
              </w:rPr>
              <w:t>Región 2 cuando éstas superan</w:t>
            </w:r>
            <w:r w:rsidR="00C64222" w:rsidRPr="00A10274">
              <w:rPr>
                <w:rFonts w:ascii="Tahoma" w:hAnsi="Tahoma" w:cs="Tahoma"/>
                <w:b/>
                <w:bCs/>
                <w:color w:val="243285"/>
                <w:sz w:val="44"/>
                <w:szCs w:val="44"/>
                <w:lang w:val="es-ES_tradnl"/>
              </w:rPr>
              <w:br/>
            </w:r>
            <w:r w:rsidRPr="00A10274">
              <w:rPr>
                <w:rFonts w:ascii="Tahoma" w:hAnsi="Tahoma" w:cs="Tahoma"/>
                <w:b/>
                <w:bCs/>
                <w:color w:val="243285"/>
                <w:sz w:val="44"/>
                <w:szCs w:val="44"/>
                <w:lang w:val="es-ES_tradnl"/>
              </w:rPr>
              <w:t>los umbrales de densidad</w:t>
            </w:r>
            <w:r w:rsidR="00C64222" w:rsidRPr="00A10274">
              <w:rPr>
                <w:rFonts w:ascii="Tahoma" w:hAnsi="Tahoma" w:cs="Tahoma"/>
                <w:b/>
                <w:bCs/>
                <w:color w:val="243285"/>
                <w:sz w:val="44"/>
                <w:szCs w:val="44"/>
                <w:lang w:val="es-ES_tradnl"/>
              </w:rPr>
              <w:t xml:space="preserve"> de</w:t>
            </w:r>
            <w:r w:rsidR="00C64222" w:rsidRPr="00A10274">
              <w:rPr>
                <w:rFonts w:ascii="Tahoma" w:hAnsi="Tahoma" w:cs="Tahoma"/>
                <w:b/>
                <w:bCs/>
                <w:color w:val="243285"/>
                <w:sz w:val="44"/>
                <w:szCs w:val="44"/>
                <w:lang w:val="es-ES_tradnl"/>
              </w:rPr>
              <w:br/>
            </w:r>
            <w:r w:rsidRPr="00A10274">
              <w:rPr>
                <w:rFonts w:ascii="Tahoma" w:hAnsi="Tahoma" w:cs="Tahoma"/>
                <w:b/>
                <w:bCs/>
                <w:color w:val="243285"/>
                <w:sz w:val="44"/>
                <w:szCs w:val="44"/>
                <w:lang w:val="es-ES_tradnl"/>
              </w:rPr>
              <w:t>flujo</w:t>
            </w:r>
            <w:r w:rsidR="00C64222" w:rsidRPr="00A10274">
              <w:rPr>
                <w:rFonts w:ascii="Tahoma" w:hAnsi="Tahoma" w:cs="Tahoma"/>
                <w:b/>
                <w:bCs/>
                <w:color w:val="243285"/>
                <w:sz w:val="44"/>
                <w:szCs w:val="44"/>
                <w:lang w:val="es-ES_tradnl"/>
              </w:rPr>
              <w:t xml:space="preserve"> </w:t>
            </w:r>
            <w:r w:rsidRPr="00A10274">
              <w:rPr>
                <w:rFonts w:ascii="Tahoma" w:hAnsi="Tahoma" w:cs="Tahoma"/>
                <w:b/>
                <w:bCs/>
                <w:color w:val="243285"/>
                <w:sz w:val="44"/>
                <w:szCs w:val="44"/>
                <w:lang w:val="es-ES_tradnl"/>
              </w:rPr>
              <w:t>de potencia para</w:t>
            </w:r>
            <w:r w:rsidR="00C64222" w:rsidRPr="00A10274">
              <w:rPr>
                <w:rFonts w:ascii="Tahoma" w:hAnsi="Tahoma" w:cs="Tahoma"/>
                <w:b/>
                <w:bCs/>
                <w:color w:val="243285"/>
                <w:sz w:val="44"/>
                <w:szCs w:val="44"/>
                <w:lang w:val="es-ES_tradnl"/>
              </w:rPr>
              <w:br/>
            </w:r>
            <w:r w:rsidRPr="00A10274">
              <w:rPr>
                <w:rFonts w:ascii="Tahoma" w:hAnsi="Tahoma" w:cs="Tahoma"/>
                <w:b/>
                <w:bCs/>
                <w:color w:val="243285"/>
                <w:sz w:val="44"/>
                <w:szCs w:val="44"/>
                <w:lang w:val="es-ES_tradnl"/>
              </w:rPr>
              <w:t>la coordinación</w:t>
            </w:r>
          </w:p>
        </w:tc>
      </w:tr>
      <w:tr w:rsidR="00281CC3" w:rsidRPr="0096474A" w:rsidTr="002F1481">
        <w:tc>
          <w:tcPr>
            <w:tcW w:w="10089" w:type="dxa"/>
          </w:tcPr>
          <w:p w:rsidR="00281CC3" w:rsidRPr="00A10274" w:rsidRDefault="00281CC3" w:rsidP="002F1481">
            <w:pPr>
              <w:spacing w:before="80" w:line="280" w:lineRule="exact"/>
              <w:ind w:right="640"/>
              <w:rPr>
                <w:rFonts w:ascii="Tahoma" w:hAnsi="Tahoma" w:cs="Tahoma"/>
                <w:b/>
                <w:bCs/>
                <w:iCs/>
                <w:color w:val="243285"/>
                <w:sz w:val="32"/>
                <w:szCs w:val="32"/>
                <w:lang w:val="es-ES_tradnl"/>
              </w:rPr>
            </w:pPr>
          </w:p>
          <w:p w:rsidR="00281CC3" w:rsidRPr="00A10274" w:rsidRDefault="00281CC3" w:rsidP="002F1481">
            <w:pPr>
              <w:spacing w:before="80" w:after="180" w:line="360" w:lineRule="exact"/>
              <w:ind w:right="720"/>
              <w:rPr>
                <w:rFonts w:ascii="Tahoma" w:hAnsi="Tahoma" w:cs="Tahoma"/>
                <w:b/>
                <w:bCs/>
                <w:iCs/>
                <w:color w:val="243285"/>
                <w:sz w:val="36"/>
                <w:szCs w:val="36"/>
                <w:lang w:val="es-ES_tradnl"/>
              </w:rPr>
            </w:pPr>
          </w:p>
          <w:p w:rsidR="00281CC3" w:rsidRPr="00A10274" w:rsidRDefault="00281CC3" w:rsidP="002F1481">
            <w:pPr>
              <w:spacing w:before="80" w:after="180" w:line="360" w:lineRule="exact"/>
              <w:jc w:val="right"/>
              <w:rPr>
                <w:rFonts w:ascii="Tahoma" w:hAnsi="Tahoma" w:cs="Tahoma"/>
                <w:b/>
                <w:bCs/>
                <w:iCs/>
                <w:color w:val="243285"/>
                <w:sz w:val="36"/>
                <w:szCs w:val="36"/>
                <w:lang w:val="es-ES_tradnl"/>
              </w:rPr>
            </w:pPr>
            <w:r w:rsidRPr="00A10274">
              <w:rPr>
                <w:rFonts w:ascii="Tahoma" w:hAnsi="Tahoma" w:cs="Tahoma"/>
                <w:b/>
                <w:bCs/>
                <w:iCs/>
                <w:color w:val="243285"/>
                <w:sz w:val="36"/>
                <w:szCs w:val="36"/>
                <w:lang w:val="es-ES_tradnl"/>
              </w:rPr>
              <w:t>Serie SF</w:t>
            </w:r>
          </w:p>
          <w:p w:rsidR="00281CC3" w:rsidRPr="00A10274" w:rsidRDefault="00281CC3" w:rsidP="00C64222">
            <w:pPr>
              <w:spacing w:before="80" w:line="420" w:lineRule="exact"/>
              <w:jc w:val="right"/>
              <w:rPr>
                <w:rFonts w:ascii="Tahoma" w:hAnsi="Tahoma" w:cs="Tahoma"/>
                <w:b/>
                <w:bCs/>
                <w:iCs/>
                <w:color w:val="243285"/>
                <w:sz w:val="36"/>
                <w:szCs w:val="36"/>
                <w:lang w:val="es-ES_tradnl"/>
              </w:rPr>
            </w:pPr>
            <w:r w:rsidRPr="00A10274">
              <w:rPr>
                <w:rFonts w:ascii="Tahoma" w:hAnsi="Tahoma" w:cs="Tahoma"/>
                <w:b/>
                <w:bCs/>
                <w:iCs/>
                <w:color w:val="243285"/>
                <w:sz w:val="36"/>
                <w:szCs w:val="36"/>
                <w:lang w:val="es-ES_tradnl"/>
              </w:rPr>
              <w:t>Compartición de frecuencias y coordinación</w:t>
            </w:r>
            <w:r w:rsidR="00C64222" w:rsidRPr="00A10274">
              <w:rPr>
                <w:rFonts w:ascii="Tahoma" w:hAnsi="Tahoma" w:cs="Tahoma"/>
                <w:b/>
                <w:bCs/>
                <w:iCs/>
                <w:color w:val="243285"/>
                <w:sz w:val="36"/>
                <w:szCs w:val="36"/>
                <w:lang w:val="es-ES_tradnl"/>
              </w:rPr>
              <w:br/>
            </w:r>
            <w:r w:rsidRPr="00A10274">
              <w:rPr>
                <w:rFonts w:ascii="Tahoma" w:hAnsi="Tahoma" w:cs="Tahoma"/>
                <w:b/>
                <w:bCs/>
                <w:iCs/>
                <w:color w:val="243285"/>
                <w:sz w:val="36"/>
                <w:szCs w:val="36"/>
                <w:lang w:val="es-ES_tradnl"/>
              </w:rPr>
              <w:t>entre los sistemas del servicio fijo</w:t>
            </w:r>
            <w:r w:rsidR="00C64222" w:rsidRPr="00A10274">
              <w:rPr>
                <w:rFonts w:ascii="Tahoma" w:hAnsi="Tahoma" w:cs="Tahoma"/>
                <w:b/>
                <w:bCs/>
                <w:iCs/>
                <w:color w:val="243285"/>
                <w:sz w:val="36"/>
                <w:szCs w:val="36"/>
                <w:lang w:val="es-ES_tradnl"/>
              </w:rPr>
              <w:br/>
            </w:r>
            <w:r w:rsidRPr="00A10274">
              <w:rPr>
                <w:rFonts w:ascii="Tahoma" w:hAnsi="Tahoma" w:cs="Tahoma"/>
                <w:b/>
                <w:bCs/>
                <w:iCs/>
                <w:color w:val="243285"/>
                <w:sz w:val="36"/>
                <w:szCs w:val="36"/>
                <w:lang w:val="es-ES_tradnl"/>
              </w:rPr>
              <w:t>por satélite y del servicio fijo</w:t>
            </w:r>
          </w:p>
        </w:tc>
      </w:tr>
    </w:tbl>
    <w:p w:rsidR="00281CC3" w:rsidRPr="00A10274" w:rsidRDefault="00281CC3" w:rsidP="00281CC3">
      <w:pPr>
        <w:spacing w:before="80"/>
        <w:rPr>
          <w:i/>
          <w:sz w:val="22"/>
          <w:lang w:val="es-ES_tradnl"/>
        </w:rPr>
      </w:pPr>
    </w:p>
    <w:p w:rsidR="00281CC3" w:rsidRPr="00A10274" w:rsidRDefault="00281CC3" w:rsidP="00281CC3">
      <w:pPr>
        <w:spacing w:before="80"/>
        <w:rPr>
          <w:i/>
          <w:sz w:val="22"/>
          <w:lang w:val="es-ES_tradnl"/>
        </w:rPr>
      </w:pPr>
    </w:p>
    <w:p w:rsidR="00281CC3" w:rsidRPr="00A10274" w:rsidRDefault="00281CC3" w:rsidP="00281CC3">
      <w:pPr>
        <w:spacing w:before="80"/>
        <w:rPr>
          <w:i/>
          <w:sz w:val="22"/>
          <w:lang w:val="es-ES_tradnl"/>
        </w:rPr>
      </w:pPr>
    </w:p>
    <w:p w:rsidR="00281CC3" w:rsidRPr="00A10274" w:rsidRDefault="00281CC3" w:rsidP="00281CC3">
      <w:pPr>
        <w:spacing w:before="80"/>
        <w:rPr>
          <w:i/>
          <w:sz w:val="22"/>
          <w:lang w:val="es-ES_tradnl"/>
        </w:rPr>
      </w:pPr>
    </w:p>
    <w:p w:rsidR="00281CC3" w:rsidRPr="00A10274" w:rsidRDefault="00281CC3" w:rsidP="00281CC3">
      <w:pPr>
        <w:spacing w:before="80"/>
        <w:rPr>
          <w:i/>
          <w:sz w:val="22"/>
          <w:lang w:val="es-ES_tradnl"/>
        </w:rPr>
      </w:pPr>
    </w:p>
    <w:p w:rsidR="00281CC3" w:rsidRPr="00A10274" w:rsidRDefault="00281CC3" w:rsidP="00281CC3">
      <w:pPr>
        <w:pStyle w:val="Equation"/>
        <w:tabs>
          <w:tab w:val="clear" w:pos="4820"/>
          <w:tab w:val="clear" w:pos="9639"/>
          <w:tab w:val="left" w:pos="1191"/>
          <w:tab w:val="left" w:pos="1588"/>
          <w:tab w:val="left" w:pos="1985"/>
        </w:tabs>
        <w:rPr>
          <w:rFonts w:ascii="Palatino Linotype" w:hAnsi="Palatino Linotype"/>
          <w:lang w:val="es-ES_tradnl"/>
        </w:rPr>
        <w:sectPr w:rsidR="00281CC3" w:rsidRPr="00A10274">
          <w:headerReference w:type="even" r:id="rId7"/>
          <w:headerReference w:type="default" r:id="rId8"/>
          <w:pgSz w:w="11907" w:h="16840" w:code="9"/>
          <w:pgMar w:top="1089" w:right="1089" w:bottom="284" w:left="1089" w:header="567" w:footer="284" w:gutter="0"/>
          <w:pgNumType w:start="1"/>
          <w:cols w:space="720"/>
        </w:sectPr>
      </w:pPr>
    </w:p>
    <w:p w:rsidR="00281CC3" w:rsidRPr="00A10274" w:rsidRDefault="00281CC3" w:rsidP="00281C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A10274">
        <w:rPr>
          <w:bCs/>
          <w:sz w:val="24"/>
          <w:szCs w:val="24"/>
          <w:lang w:val="es-ES_tradnl"/>
        </w:rPr>
        <w:lastRenderedPageBreak/>
        <w:t>Prólogo</w:t>
      </w:r>
    </w:p>
    <w:p w:rsidR="00281CC3" w:rsidRPr="00A10274" w:rsidRDefault="00281CC3" w:rsidP="00281CC3">
      <w:pPr>
        <w:spacing w:before="180"/>
        <w:rPr>
          <w:sz w:val="20"/>
          <w:lang w:val="es-ES_tradnl"/>
        </w:rPr>
      </w:pPr>
      <w:r w:rsidRPr="00A10274">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81CC3" w:rsidRPr="00A10274" w:rsidRDefault="00281CC3" w:rsidP="00281CC3">
      <w:pPr>
        <w:rPr>
          <w:sz w:val="20"/>
          <w:lang w:val="es-ES_tradnl"/>
        </w:rPr>
      </w:pPr>
      <w:r w:rsidRPr="00A10274">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281CC3" w:rsidRPr="00A10274" w:rsidRDefault="00281CC3" w:rsidP="00281CC3">
      <w:pPr>
        <w:pStyle w:val="Heading1"/>
        <w:spacing w:before="340"/>
        <w:jc w:val="center"/>
        <w:rPr>
          <w:szCs w:val="24"/>
          <w:lang w:val="es-ES_tradnl"/>
        </w:rPr>
      </w:pPr>
      <w:r w:rsidRPr="00A10274">
        <w:rPr>
          <w:lang w:val="es-ES_tradnl"/>
        </w:rPr>
        <w:t>Política sobre Derechos de Propiedad Intelectual</w:t>
      </w:r>
      <w:r w:rsidRPr="00A10274">
        <w:rPr>
          <w:szCs w:val="24"/>
          <w:lang w:val="es-ES_tradnl"/>
        </w:rPr>
        <w:t xml:space="preserve"> (IPR)</w:t>
      </w:r>
    </w:p>
    <w:p w:rsidR="00281CC3" w:rsidRPr="00A10274" w:rsidRDefault="00281CC3" w:rsidP="00281CC3">
      <w:pPr>
        <w:spacing w:before="180"/>
        <w:rPr>
          <w:sz w:val="20"/>
          <w:lang w:val="es-ES_tradnl"/>
        </w:rPr>
      </w:pPr>
      <w:r w:rsidRPr="00A10274">
        <w:rPr>
          <w:sz w:val="20"/>
          <w:lang w:val="es-ES_tradnl"/>
        </w:rPr>
        <w:t>La política del UIT</w:t>
      </w:r>
      <w:r w:rsidRPr="00A10274">
        <w:rPr>
          <w:sz w:val="20"/>
          <w:lang w:val="es-ES_tradnl"/>
        </w:rPr>
        <w:noBreakHyphen/>
        <w:t>R sobre Derechos de Propiedad Intelectual se describe en la Política Común de Patentes UIT</w:t>
      </w:r>
      <w:r w:rsidRPr="00A10274">
        <w:rPr>
          <w:sz w:val="20"/>
          <w:lang w:val="es-ES_tradnl"/>
        </w:rPr>
        <w:noBreakHyphen/>
        <w:t>T/UIT</w:t>
      </w:r>
      <w:r w:rsidRPr="00A10274">
        <w:rPr>
          <w:sz w:val="20"/>
          <w:lang w:val="es-ES_tradnl"/>
        </w:rPr>
        <w:noBreakHyphen/>
        <w:t>R/ISO/CEI a la que se hace referencia en el Anexo 1 a la Resolución UIT</w:t>
      </w:r>
      <w:r w:rsidRPr="00A10274">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A10274">
          <w:rPr>
            <w:rStyle w:val="Hyperlink"/>
            <w:sz w:val="20"/>
            <w:lang w:val="es-ES_tradnl"/>
          </w:rPr>
          <w:t>http://www.itu.int/ITU-R/go/patents/es</w:t>
        </w:r>
      </w:hyperlink>
      <w:r w:rsidRPr="00A10274">
        <w:rPr>
          <w:sz w:val="20"/>
          <w:lang w:val="es-ES_tradnl"/>
        </w:rPr>
        <w:t>, donde también aparecen las Directrices para la implementación de la Política Común de Patentes UIT</w:t>
      </w:r>
      <w:r w:rsidRPr="00A10274">
        <w:rPr>
          <w:sz w:val="20"/>
          <w:lang w:val="es-ES_tradnl"/>
        </w:rPr>
        <w:noBreakHyphen/>
        <w:t>T/UIT</w:t>
      </w:r>
      <w:r w:rsidRPr="00A10274">
        <w:rPr>
          <w:sz w:val="20"/>
          <w:lang w:val="es-ES_tradnl"/>
        </w:rPr>
        <w:noBreakHyphen/>
        <w:t>R/ISO/CEI y la base de datos sobre información de patentes del UIT</w:t>
      </w:r>
      <w:r w:rsidRPr="00A10274">
        <w:rPr>
          <w:sz w:val="20"/>
          <w:lang w:val="es-ES_tradnl"/>
        </w:rPr>
        <w:noBreakHyphen/>
        <w:t>R sobre este asunto.</w:t>
      </w:r>
    </w:p>
    <w:p w:rsidR="00281CC3" w:rsidRPr="00A10274" w:rsidRDefault="00281CC3" w:rsidP="00281CC3">
      <w:pPr>
        <w:spacing w:before="0"/>
        <w:jc w:val="center"/>
        <w:rPr>
          <w:sz w:val="22"/>
          <w:lang w:val="es-ES_tradnl"/>
        </w:rPr>
      </w:pPr>
    </w:p>
    <w:p w:rsidR="00281CC3" w:rsidRPr="00A10274" w:rsidRDefault="00281CC3" w:rsidP="00281CC3">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81CC3" w:rsidRPr="0096474A" w:rsidTr="002F1481">
        <w:tc>
          <w:tcPr>
            <w:tcW w:w="9360" w:type="dxa"/>
            <w:gridSpan w:val="2"/>
          </w:tcPr>
          <w:p w:rsidR="00281CC3" w:rsidRPr="00A10274" w:rsidRDefault="00281CC3" w:rsidP="002F1481">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A10274">
              <w:rPr>
                <w:sz w:val="22"/>
                <w:szCs w:val="22"/>
                <w:lang w:val="es-ES_tradnl"/>
              </w:rPr>
              <w:t xml:space="preserve">Series de las Recomendaciones UIT-R </w:t>
            </w:r>
          </w:p>
          <w:p w:rsidR="00281CC3" w:rsidRPr="00A10274" w:rsidRDefault="00281CC3" w:rsidP="002F148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A10274">
              <w:rPr>
                <w:b w:val="0"/>
                <w:sz w:val="18"/>
                <w:szCs w:val="18"/>
                <w:lang w:val="es-ES_tradnl"/>
              </w:rPr>
              <w:t xml:space="preserve">(También disponible en línea en </w:t>
            </w:r>
            <w:hyperlink r:id="rId10" w:history="1">
              <w:r w:rsidRPr="00A10274">
                <w:rPr>
                  <w:rStyle w:val="Hyperlink"/>
                  <w:b w:val="0"/>
                  <w:bCs/>
                  <w:sz w:val="18"/>
                  <w:szCs w:val="18"/>
                  <w:lang w:val="es-ES_tradnl"/>
                </w:rPr>
                <w:t>http://www.itu.int/publ/R-REC/es</w:t>
              </w:r>
            </w:hyperlink>
            <w:r w:rsidRPr="00A10274">
              <w:rPr>
                <w:b w:val="0"/>
                <w:bCs/>
                <w:sz w:val="18"/>
                <w:szCs w:val="18"/>
                <w:lang w:val="es-ES_tradnl"/>
              </w:rPr>
              <w:t>)</w:t>
            </w:r>
          </w:p>
        </w:tc>
      </w:tr>
      <w:tr w:rsidR="00281CC3" w:rsidRPr="00A10274" w:rsidTr="002F1481">
        <w:tc>
          <w:tcPr>
            <w:tcW w:w="1140" w:type="dxa"/>
            <w:tcBorders>
              <w:bottom w:val="nil"/>
            </w:tcBorders>
          </w:tcPr>
          <w:p w:rsidR="00281CC3" w:rsidRPr="00A10274" w:rsidRDefault="00281CC3" w:rsidP="002F1481">
            <w:pPr>
              <w:spacing w:before="180" w:after="100"/>
              <w:ind w:left="57"/>
              <w:rPr>
                <w:b/>
                <w:bCs/>
                <w:sz w:val="20"/>
                <w:lang w:val="es-ES_tradnl"/>
              </w:rPr>
            </w:pPr>
            <w:r w:rsidRPr="00A10274">
              <w:rPr>
                <w:b/>
                <w:bCs/>
                <w:sz w:val="20"/>
                <w:lang w:val="es-ES_tradnl"/>
              </w:rPr>
              <w:t>Series</w:t>
            </w:r>
          </w:p>
        </w:tc>
        <w:tc>
          <w:tcPr>
            <w:tcW w:w="8220" w:type="dxa"/>
            <w:tcBorders>
              <w:bottom w:val="nil"/>
            </w:tcBorders>
          </w:tcPr>
          <w:p w:rsidR="00281CC3" w:rsidRPr="00A10274" w:rsidRDefault="00281CC3" w:rsidP="002F148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A10274">
              <w:rPr>
                <w:bCs/>
                <w:sz w:val="20"/>
                <w:lang w:val="es-ES_tradnl"/>
              </w:rPr>
              <w:t>Título</w:t>
            </w:r>
          </w:p>
        </w:tc>
      </w:tr>
      <w:tr w:rsidR="00281CC3" w:rsidRPr="00A10274" w:rsidTr="002F1481">
        <w:tc>
          <w:tcPr>
            <w:tcW w:w="1140" w:type="dxa"/>
            <w:tcBorders>
              <w:top w:val="nil"/>
              <w:bottom w:val="nil"/>
            </w:tcBorders>
            <w:shd w:val="clear" w:color="auto" w:fill="auto"/>
          </w:tcPr>
          <w:p w:rsidR="00281CC3" w:rsidRPr="00A10274" w:rsidRDefault="00281CC3" w:rsidP="002F1481">
            <w:pPr>
              <w:spacing w:before="30" w:after="30"/>
              <w:ind w:left="57"/>
              <w:jc w:val="left"/>
              <w:rPr>
                <w:b/>
                <w:bCs/>
                <w:sz w:val="20"/>
                <w:lang w:val="es-ES_tradnl"/>
              </w:rPr>
            </w:pPr>
            <w:r w:rsidRPr="00A10274">
              <w:rPr>
                <w:b/>
                <w:bCs/>
                <w:sz w:val="20"/>
                <w:lang w:val="es-ES_tradnl"/>
              </w:rPr>
              <w:t>BO</w:t>
            </w:r>
          </w:p>
        </w:tc>
        <w:tc>
          <w:tcPr>
            <w:tcW w:w="8220" w:type="dxa"/>
            <w:tcBorders>
              <w:top w:val="nil"/>
              <w:bottom w:val="nil"/>
            </w:tcBorders>
            <w:shd w:val="clear" w:color="auto" w:fill="auto"/>
          </w:tcPr>
          <w:p w:rsidR="00281CC3" w:rsidRPr="00A10274" w:rsidRDefault="00281CC3" w:rsidP="002F148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A10274">
              <w:rPr>
                <w:b w:val="0"/>
                <w:sz w:val="20"/>
                <w:lang w:val="es-ES_tradnl"/>
              </w:rPr>
              <w:t>Distribución por satélite</w:t>
            </w:r>
          </w:p>
        </w:tc>
      </w:tr>
      <w:tr w:rsidR="00281CC3" w:rsidRPr="0096474A" w:rsidTr="002F1481">
        <w:tc>
          <w:tcPr>
            <w:tcW w:w="1140" w:type="dxa"/>
            <w:tcBorders>
              <w:top w:val="nil"/>
              <w:bottom w:val="nil"/>
            </w:tcBorders>
            <w:shd w:val="clear" w:color="auto" w:fill="auto"/>
          </w:tcPr>
          <w:p w:rsidR="00281CC3" w:rsidRPr="00A10274" w:rsidRDefault="00281CC3" w:rsidP="002F1481">
            <w:pPr>
              <w:spacing w:before="30" w:after="30"/>
              <w:ind w:left="57"/>
              <w:jc w:val="left"/>
              <w:rPr>
                <w:b/>
                <w:bCs/>
                <w:sz w:val="20"/>
                <w:lang w:val="es-ES_tradnl"/>
              </w:rPr>
            </w:pPr>
            <w:r w:rsidRPr="00A10274">
              <w:rPr>
                <w:b/>
                <w:bCs/>
                <w:sz w:val="20"/>
                <w:lang w:val="es-ES_tradnl"/>
              </w:rPr>
              <w:t>BR</w:t>
            </w:r>
          </w:p>
        </w:tc>
        <w:tc>
          <w:tcPr>
            <w:tcW w:w="8220" w:type="dxa"/>
            <w:tcBorders>
              <w:top w:val="nil"/>
              <w:bottom w:val="nil"/>
            </w:tcBorders>
            <w:shd w:val="clear" w:color="auto" w:fill="auto"/>
          </w:tcPr>
          <w:p w:rsidR="00281CC3" w:rsidRPr="00A10274" w:rsidRDefault="00281CC3" w:rsidP="002F148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A10274">
              <w:rPr>
                <w:b w:val="0"/>
                <w:sz w:val="20"/>
                <w:lang w:val="es-ES_tradnl"/>
              </w:rPr>
              <w:t>Registro para producción, archivo y reproducción; películas en televisión</w:t>
            </w:r>
          </w:p>
        </w:tc>
      </w:tr>
      <w:tr w:rsidR="00281CC3" w:rsidRPr="00A10274" w:rsidTr="002F1481">
        <w:tc>
          <w:tcPr>
            <w:tcW w:w="1140" w:type="dxa"/>
            <w:tcBorders>
              <w:top w:val="nil"/>
              <w:bottom w:val="nil"/>
            </w:tcBorders>
            <w:shd w:val="clear" w:color="auto" w:fill="auto"/>
          </w:tcPr>
          <w:p w:rsidR="00281CC3" w:rsidRPr="00A10274" w:rsidRDefault="00281CC3" w:rsidP="002F1481">
            <w:pPr>
              <w:spacing w:before="30" w:after="30"/>
              <w:ind w:left="57"/>
              <w:jc w:val="left"/>
              <w:rPr>
                <w:b/>
                <w:bCs/>
                <w:sz w:val="20"/>
                <w:lang w:val="es-ES_tradnl"/>
              </w:rPr>
            </w:pPr>
            <w:r w:rsidRPr="00A10274">
              <w:rPr>
                <w:b/>
                <w:bCs/>
                <w:sz w:val="20"/>
                <w:lang w:val="es-ES_tradnl"/>
              </w:rPr>
              <w:t>BS</w:t>
            </w:r>
          </w:p>
        </w:tc>
        <w:tc>
          <w:tcPr>
            <w:tcW w:w="8220" w:type="dxa"/>
            <w:tcBorders>
              <w:top w:val="nil"/>
              <w:bottom w:val="nil"/>
            </w:tcBorders>
            <w:shd w:val="clear" w:color="auto" w:fill="auto"/>
          </w:tcPr>
          <w:p w:rsidR="00281CC3" w:rsidRPr="00A10274" w:rsidRDefault="00281CC3" w:rsidP="002F148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A10274">
              <w:rPr>
                <w:b w:val="0"/>
                <w:bCs/>
                <w:sz w:val="20"/>
                <w:lang w:val="es-ES_tradnl"/>
              </w:rPr>
              <w:t>Servicio de radiodifusión (sonora)</w:t>
            </w:r>
          </w:p>
        </w:tc>
      </w:tr>
      <w:tr w:rsidR="00281CC3" w:rsidRPr="00A10274" w:rsidTr="002F1481">
        <w:tc>
          <w:tcPr>
            <w:tcW w:w="1140" w:type="dxa"/>
            <w:tcBorders>
              <w:top w:val="nil"/>
              <w:bottom w:val="nil"/>
            </w:tcBorders>
            <w:shd w:val="clear" w:color="auto" w:fill="auto"/>
          </w:tcPr>
          <w:p w:rsidR="00281CC3" w:rsidRPr="00A10274" w:rsidRDefault="00281CC3" w:rsidP="002F1481">
            <w:pPr>
              <w:spacing w:before="30" w:after="30"/>
              <w:ind w:left="57"/>
              <w:jc w:val="left"/>
              <w:rPr>
                <w:b/>
                <w:bCs/>
                <w:sz w:val="20"/>
                <w:lang w:val="es-ES_tradnl"/>
              </w:rPr>
            </w:pPr>
            <w:r w:rsidRPr="00A10274">
              <w:rPr>
                <w:b/>
                <w:bCs/>
                <w:sz w:val="20"/>
                <w:lang w:val="es-ES_tradnl"/>
              </w:rPr>
              <w:t>BT</w:t>
            </w:r>
          </w:p>
        </w:tc>
        <w:tc>
          <w:tcPr>
            <w:tcW w:w="8220" w:type="dxa"/>
            <w:tcBorders>
              <w:top w:val="nil"/>
              <w:bottom w:val="nil"/>
            </w:tcBorders>
            <w:shd w:val="clear" w:color="auto" w:fill="auto"/>
          </w:tcPr>
          <w:p w:rsidR="00281CC3" w:rsidRPr="00A10274" w:rsidRDefault="00281CC3" w:rsidP="002F148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A10274">
              <w:rPr>
                <w:b w:val="0"/>
                <w:bCs/>
                <w:sz w:val="20"/>
                <w:lang w:val="es-ES_tradnl"/>
              </w:rPr>
              <w:t>Servicio de radiodifusión (televisión)</w:t>
            </w:r>
          </w:p>
        </w:tc>
      </w:tr>
      <w:tr w:rsidR="00281CC3" w:rsidRPr="00A10274" w:rsidTr="002F1481">
        <w:tc>
          <w:tcPr>
            <w:tcW w:w="1140" w:type="dxa"/>
            <w:tcBorders>
              <w:top w:val="nil"/>
              <w:bottom w:val="nil"/>
            </w:tcBorders>
            <w:shd w:val="clear" w:color="auto" w:fill="auto"/>
          </w:tcPr>
          <w:p w:rsidR="00281CC3" w:rsidRPr="00A10274" w:rsidRDefault="00281CC3" w:rsidP="002F1481">
            <w:pPr>
              <w:spacing w:before="30" w:after="30"/>
              <w:ind w:left="57"/>
              <w:jc w:val="left"/>
              <w:rPr>
                <w:b/>
                <w:bCs/>
                <w:sz w:val="20"/>
                <w:lang w:val="es-ES_tradnl"/>
              </w:rPr>
            </w:pPr>
            <w:r w:rsidRPr="00A10274">
              <w:rPr>
                <w:b/>
                <w:bCs/>
                <w:sz w:val="20"/>
                <w:lang w:val="es-ES_tradnl"/>
              </w:rPr>
              <w:t>F</w:t>
            </w:r>
          </w:p>
        </w:tc>
        <w:tc>
          <w:tcPr>
            <w:tcW w:w="8220" w:type="dxa"/>
            <w:tcBorders>
              <w:top w:val="nil"/>
              <w:bottom w:val="nil"/>
            </w:tcBorders>
            <w:shd w:val="clear" w:color="auto" w:fill="auto"/>
          </w:tcPr>
          <w:p w:rsidR="00281CC3" w:rsidRPr="00A10274" w:rsidRDefault="00281CC3" w:rsidP="002F148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A10274">
              <w:rPr>
                <w:sz w:val="20"/>
                <w:lang w:val="es-ES_tradnl"/>
              </w:rPr>
              <w:t>Servicio fijo</w:t>
            </w:r>
          </w:p>
        </w:tc>
      </w:tr>
      <w:tr w:rsidR="00281CC3" w:rsidRPr="0096474A" w:rsidTr="002F1481">
        <w:tc>
          <w:tcPr>
            <w:tcW w:w="1140" w:type="dxa"/>
            <w:tcBorders>
              <w:top w:val="nil"/>
              <w:bottom w:val="nil"/>
            </w:tcBorders>
            <w:shd w:val="clear" w:color="auto" w:fill="auto"/>
          </w:tcPr>
          <w:p w:rsidR="00281CC3" w:rsidRPr="00A10274" w:rsidRDefault="00281CC3" w:rsidP="002F1481">
            <w:pPr>
              <w:spacing w:before="30" w:after="30"/>
              <w:ind w:left="57"/>
              <w:jc w:val="left"/>
              <w:rPr>
                <w:rFonts w:hAnsi="Times New Roman Bold"/>
                <w:b/>
                <w:bCs/>
                <w:sz w:val="20"/>
                <w:lang w:val="es-ES_tradnl"/>
              </w:rPr>
            </w:pPr>
            <w:r w:rsidRPr="00A10274">
              <w:rPr>
                <w:rFonts w:hAnsi="Times New Roman Bold"/>
                <w:b/>
                <w:bCs/>
                <w:sz w:val="20"/>
                <w:lang w:val="es-ES_tradnl"/>
              </w:rPr>
              <w:t>M</w:t>
            </w:r>
          </w:p>
        </w:tc>
        <w:tc>
          <w:tcPr>
            <w:tcW w:w="8220" w:type="dxa"/>
            <w:tcBorders>
              <w:top w:val="nil"/>
              <w:bottom w:val="nil"/>
            </w:tcBorders>
            <w:shd w:val="clear" w:color="auto" w:fill="auto"/>
          </w:tcPr>
          <w:p w:rsidR="00281CC3" w:rsidRPr="00A10274" w:rsidRDefault="00281CC3" w:rsidP="002F148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A10274">
              <w:rPr>
                <w:rFonts w:hAnsi="Times New Roman Bold"/>
                <w:b w:val="0"/>
                <w:sz w:val="20"/>
                <w:lang w:val="es-ES_tradnl"/>
              </w:rPr>
              <w:t>Servicios m</w:t>
            </w:r>
            <w:r w:rsidRPr="00A10274">
              <w:rPr>
                <w:rFonts w:hAnsi="Times New Roman Bold"/>
                <w:b w:val="0"/>
                <w:sz w:val="20"/>
                <w:lang w:val="es-ES_tradnl"/>
              </w:rPr>
              <w:t>ó</w:t>
            </w:r>
            <w:r w:rsidRPr="00A10274">
              <w:rPr>
                <w:rFonts w:hAnsi="Times New Roman Bold"/>
                <w:b w:val="0"/>
                <w:sz w:val="20"/>
                <w:lang w:val="es-ES_tradnl"/>
              </w:rPr>
              <w:t>viles, de radiodeterminaci</w:t>
            </w:r>
            <w:r w:rsidRPr="00A10274">
              <w:rPr>
                <w:rFonts w:hAnsi="Times New Roman Bold"/>
                <w:b w:val="0"/>
                <w:sz w:val="20"/>
                <w:lang w:val="es-ES_tradnl"/>
              </w:rPr>
              <w:t>ó</w:t>
            </w:r>
            <w:r w:rsidRPr="00A10274">
              <w:rPr>
                <w:rFonts w:hAnsi="Times New Roman Bold"/>
                <w:b w:val="0"/>
                <w:sz w:val="20"/>
                <w:lang w:val="es-ES_tradnl"/>
              </w:rPr>
              <w:t>n, de aficionados y otros servicios por sat</w:t>
            </w:r>
            <w:r w:rsidRPr="00A10274">
              <w:rPr>
                <w:rFonts w:hAnsi="Times New Roman Bold"/>
                <w:b w:val="0"/>
                <w:sz w:val="20"/>
                <w:lang w:val="es-ES_tradnl"/>
              </w:rPr>
              <w:t>é</w:t>
            </w:r>
            <w:r w:rsidRPr="00A10274">
              <w:rPr>
                <w:rFonts w:hAnsi="Times New Roman Bold"/>
                <w:b w:val="0"/>
                <w:sz w:val="20"/>
                <w:lang w:val="es-ES_tradnl"/>
              </w:rPr>
              <w:t>lite conexos</w:t>
            </w:r>
          </w:p>
        </w:tc>
      </w:tr>
      <w:tr w:rsidR="00281CC3" w:rsidRPr="0096474A" w:rsidTr="002F1481">
        <w:tc>
          <w:tcPr>
            <w:tcW w:w="1140" w:type="dxa"/>
            <w:tcBorders>
              <w:top w:val="nil"/>
              <w:bottom w:val="nil"/>
            </w:tcBorders>
            <w:shd w:val="clear" w:color="auto" w:fill="auto"/>
          </w:tcPr>
          <w:p w:rsidR="00281CC3" w:rsidRPr="00A10274" w:rsidRDefault="00281CC3" w:rsidP="002F1481">
            <w:pPr>
              <w:spacing w:before="30" w:after="30"/>
              <w:ind w:left="57"/>
              <w:jc w:val="left"/>
              <w:rPr>
                <w:b/>
                <w:bCs/>
                <w:sz w:val="20"/>
                <w:lang w:val="es-ES_tradnl"/>
              </w:rPr>
            </w:pPr>
            <w:r w:rsidRPr="00A10274">
              <w:rPr>
                <w:b/>
                <w:bCs/>
                <w:sz w:val="20"/>
                <w:lang w:val="es-ES_tradnl"/>
              </w:rPr>
              <w:t>P</w:t>
            </w:r>
          </w:p>
        </w:tc>
        <w:tc>
          <w:tcPr>
            <w:tcW w:w="8220" w:type="dxa"/>
            <w:tcBorders>
              <w:top w:val="nil"/>
              <w:bottom w:val="nil"/>
            </w:tcBorders>
            <w:shd w:val="clear" w:color="auto" w:fill="auto"/>
          </w:tcPr>
          <w:p w:rsidR="00281CC3" w:rsidRPr="00A10274" w:rsidRDefault="00281CC3" w:rsidP="002F1481">
            <w:pPr>
              <w:spacing w:before="30" w:after="30"/>
              <w:jc w:val="left"/>
              <w:rPr>
                <w:sz w:val="20"/>
                <w:lang w:val="es-ES_tradnl"/>
              </w:rPr>
            </w:pPr>
            <w:r w:rsidRPr="00A10274">
              <w:rPr>
                <w:sz w:val="20"/>
                <w:lang w:val="es-ES_tradnl"/>
              </w:rPr>
              <w:t>Propagación de las ondas radioeléctricas</w:t>
            </w:r>
          </w:p>
        </w:tc>
      </w:tr>
      <w:tr w:rsidR="00281CC3" w:rsidRPr="00A10274" w:rsidTr="002F1481">
        <w:tc>
          <w:tcPr>
            <w:tcW w:w="1140" w:type="dxa"/>
            <w:tcBorders>
              <w:top w:val="nil"/>
              <w:bottom w:val="nil"/>
            </w:tcBorders>
            <w:shd w:val="clear" w:color="auto" w:fill="auto"/>
          </w:tcPr>
          <w:p w:rsidR="00281CC3" w:rsidRPr="00A10274" w:rsidRDefault="00281CC3" w:rsidP="002F1481">
            <w:pPr>
              <w:spacing w:before="30" w:after="30"/>
              <w:ind w:left="57"/>
              <w:jc w:val="left"/>
              <w:rPr>
                <w:b/>
                <w:bCs/>
                <w:sz w:val="20"/>
                <w:lang w:val="es-ES_tradnl"/>
              </w:rPr>
            </w:pPr>
            <w:r w:rsidRPr="00A10274">
              <w:rPr>
                <w:b/>
                <w:bCs/>
                <w:sz w:val="20"/>
                <w:lang w:val="es-ES_tradnl"/>
              </w:rPr>
              <w:t>RA</w:t>
            </w:r>
          </w:p>
        </w:tc>
        <w:tc>
          <w:tcPr>
            <w:tcW w:w="8220" w:type="dxa"/>
            <w:tcBorders>
              <w:top w:val="nil"/>
              <w:bottom w:val="nil"/>
            </w:tcBorders>
            <w:shd w:val="clear" w:color="auto" w:fill="auto"/>
          </w:tcPr>
          <w:p w:rsidR="00281CC3" w:rsidRPr="00A10274" w:rsidRDefault="00281CC3" w:rsidP="0096474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A10274">
              <w:rPr>
                <w:sz w:val="20"/>
                <w:lang w:val="es-ES_tradnl"/>
              </w:rPr>
              <w:t>Radioastronomía</w:t>
            </w:r>
          </w:p>
        </w:tc>
      </w:tr>
      <w:tr w:rsidR="00281CC3" w:rsidRPr="0096474A" w:rsidTr="002F1481">
        <w:tc>
          <w:tcPr>
            <w:tcW w:w="1140" w:type="dxa"/>
            <w:tcBorders>
              <w:top w:val="nil"/>
              <w:bottom w:val="nil"/>
            </w:tcBorders>
            <w:shd w:val="clear" w:color="auto" w:fill="auto"/>
          </w:tcPr>
          <w:p w:rsidR="00281CC3" w:rsidRPr="00A10274" w:rsidRDefault="00281CC3" w:rsidP="002F1481">
            <w:pPr>
              <w:spacing w:before="30" w:after="30"/>
              <w:ind w:left="57"/>
              <w:jc w:val="left"/>
              <w:rPr>
                <w:b/>
                <w:bCs/>
                <w:sz w:val="20"/>
                <w:lang w:val="es-ES_tradnl"/>
              </w:rPr>
            </w:pPr>
            <w:r w:rsidRPr="00A10274">
              <w:rPr>
                <w:b/>
                <w:bCs/>
                <w:sz w:val="20"/>
                <w:lang w:val="es-ES_tradnl"/>
              </w:rPr>
              <w:t>RS</w:t>
            </w:r>
          </w:p>
        </w:tc>
        <w:tc>
          <w:tcPr>
            <w:tcW w:w="8220" w:type="dxa"/>
            <w:tcBorders>
              <w:top w:val="nil"/>
              <w:bottom w:val="nil"/>
            </w:tcBorders>
            <w:shd w:val="clear" w:color="auto" w:fill="auto"/>
          </w:tcPr>
          <w:p w:rsidR="00281CC3" w:rsidRPr="00A10274" w:rsidRDefault="00281CC3" w:rsidP="002F148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A10274">
              <w:rPr>
                <w:sz w:val="20"/>
                <w:lang w:val="es-ES_tradnl"/>
              </w:rPr>
              <w:t>Sistemas de detección a distancia</w:t>
            </w:r>
          </w:p>
        </w:tc>
      </w:tr>
      <w:tr w:rsidR="00281CC3" w:rsidRPr="00A10274" w:rsidTr="002F1481">
        <w:tc>
          <w:tcPr>
            <w:tcW w:w="1140" w:type="dxa"/>
            <w:tcBorders>
              <w:top w:val="nil"/>
              <w:bottom w:val="nil"/>
            </w:tcBorders>
            <w:shd w:val="clear" w:color="auto" w:fill="auto"/>
          </w:tcPr>
          <w:p w:rsidR="00281CC3" w:rsidRPr="00A10274" w:rsidRDefault="00281CC3" w:rsidP="002F1481">
            <w:pPr>
              <w:spacing w:before="30" w:after="30"/>
              <w:ind w:left="57"/>
              <w:jc w:val="left"/>
              <w:rPr>
                <w:b/>
                <w:bCs/>
                <w:sz w:val="20"/>
                <w:lang w:val="es-ES_tradnl"/>
              </w:rPr>
            </w:pPr>
            <w:r w:rsidRPr="00A10274">
              <w:rPr>
                <w:b/>
                <w:bCs/>
                <w:sz w:val="20"/>
                <w:lang w:val="es-ES_tradnl"/>
              </w:rPr>
              <w:t>S</w:t>
            </w:r>
          </w:p>
        </w:tc>
        <w:tc>
          <w:tcPr>
            <w:tcW w:w="8220" w:type="dxa"/>
            <w:tcBorders>
              <w:top w:val="nil"/>
              <w:bottom w:val="nil"/>
            </w:tcBorders>
            <w:shd w:val="clear" w:color="auto" w:fill="auto"/>
          </w:tcPr>
          <w:p w:rsidR="00281CC3" w:rsidRPr="00A10274" w:rsidRDefault="00281CC3" w:rsidP="002F1481">
            <w:pPr>
              <w:spacing w:before="30" w:after="30"/>
              <w:jc w:val="left"/>
              <w:rPr>
                <w:sz w:val="20"/>
                <w:lang w:val="es-ES_tradnl"/>
              </w:rPr>
            </w:pPr>
            <w:r w:rsidRPr="00A10274">
              <w:rPr>
                <w:sz w:val="20"/>
                <w:lang w:val="es-ES_tradnl"/>
              </w:rPr>
              <w:t>Servicio fijo por satélite</w:t>
            </w:r>
          </w:p>
        </w:tc>
      </w:tr>
      <w:tr w:rsidR="00281CC3" w:rsidRPr="00A10274" w:rsidTr="002F1481">
        <w:tc>
          <w:tcPr>
            <w:tcW w:w="1140" w:type="dxa"/>
            <w:tcBorders>
              <w:top w:val="nil"/>
              <w:bottom w:val="nil"/>
            </w:tcBorders>
            <w:shd w:val="clear" w:color="auto" w:fill="auto"/>
          </w:tcPr>
          <w:p w:rsidR="00281CC3" w:rsidRPr="00A10274" w:rsidRDefault="00281CC3" w:rsidP="002F1481">
            <w:pPr>
              <w:spacing w:before="30" w:after="30"/>
              <w:ind w:left="57"/>
              <w:jc w:val="left"/>
              <w:rPr>
                <w:b/>
                <w:bCs/>
                <w:sz w:val="20"/>
                <w:lang w:val="es-ES_tradnl"/>
              </w:rPr>
            </w:pPr>
            <w:r w:rsidRPr="00A10274">
              <w:rPr>
                <w:b/>
                <w:bCs/>
                <w:sz w:val="20"/>
                <w:lang w:val="es-ES_tradnl"/>
              </w:rPr>
              <w:t>SA</w:t>
            </w:r>
          </w:p>
        </w:tc>
        <w:tc>
          <w:tcPr>
            <w:tcW w:w="8220" w:type="dxa"/>
            <w:tcBorders>
              <w:top w:val="nil"/>
              <w:bottom w:val="nil"/>
            </w:tcBorders>
            <w:shd w:val="clear" w:color="auto" w:fill="auto"/>
          </w:tcPr>
          <w:p w:rsidR="00281CC3" w:rsidRPr="00A10274" w:rsidRDefault="00281CC3" w:rsidP="002F1481">
            <w:pPr>
              <w:spacing w:before="30" w:after="30"/>
              <w:jc w:val="left"/>
              <w:rPr>
                <w:sz w:val="20"/>
                <w:lang w:val="es-ES_tradnl"/>
              </w:rPr>
            </w:pPr>
            <w:r w:rsidRPr="00A10274">
              <w:rPr>
                <w:sz w:val="20"/>
                <w:lang w:val="es-ES_tradnl"/>
              </w:rPr>
              <w:t>Aplicaciones espaciales y meteorología</w:t>
            </w:r>
          </w:p>
        </w:tc>
      </w:tr>
      <w:tr w:rsidR="00281CC3" w:rsidRPr="0096474A" w:rsidTr="002F1481">
        <w:tc>
          <w:tcPr>
            <w:tcW w:w="1140" w:type="dxa"/>
            <w:tcBorders>
              <w:top w:val="nil"/>
              <w:bottom w:val="nil"/>
            </w:tcBorders>
            <w:shd w:val="clear" w:color="auto" w:fill="F3F3F3"/>
          </w:tcPr>
          <w:p w:rsidR="00281CC3" w:rsidRPr="00A10274" w:rsidRDefault="00281CC3" w:rsidP="002F1481">
            <w:pPr>
              <w:spacing w:before="30" w:after="30"/>
              <w:ind w:left="57"/>
              <w:jc w:val="left"/>
              <w:rPr>
                <w:b/>
                <w:bCs/>
                <w:color w:val="000080"/>
                <w:sz w:val="20"/>
                <w:lang w:val="es-ES_tradnl"/>
              </w:rPr>
            </w:pPr>
            <w:r w:rsidRPr="00A10274">
              <w:rPr>
                <w:b/>
                <w:bCs/>
                <w:color w:val="000080"/>
                <w:sz w:val="20"/>
                <w:lang w:val="es-ES_tradnl"/>
              </w:rPr>
              <w:t>SF</w:t>
            </w:r>
          </w:p>
        </w:tc>
        <w:tc>
          <w:tcPr>
            <w:tcW w:w="8220" w:type="dxa"/>
            <w:tcBorders>
              <w:top w:val="nil"/>
              <w:bottom w:val="nil"/>
            </w:tcBorders>
            <w:shd w:val="clear" w:color="auto" w:fill="F3F3F3"/>
          </w:tcPr>
          <w:p w:rsidR="00281CC3" w:rsidRPr="00A10274" w:rsidRDefault="00281CC3" w:rsidP="002F1481">
            <w:pPr>
              <w:spacing w:before="30" w:after="30"/>
              <w:jc w:val="left"/>
              <w:rPr>
                <w:b/>
                <w:bCs/>
                <w:color w:val="000080"/>
                <w:sz w:val="20"/>
                <w:lang w:val="es-ES_tradnl"/>
              </w:rPr>
            </w:pPr>
            <w:r w:rsidRPr="00A10274">
              <w:rPr>
                <w:b/>
                <w:bCs/>
                <w:color w:val="000080"/>
                <w:sz w:val="20"/>
                <w:lang w:val="es-ES_tradnl"/>
              </w:rPr>
              <w:t>Compartición de frecuencias y coordinación entre los sistemas del servicio fijo por satélite y del servicio fijo</w:t>
            </w:r>
          </w:p>
        </w:tc>
      </w:tr>
      <w:tr w:rsidR="00281CC3" w:rsidRPr="00A10274" w:rsidTr="002F1481">
        <w:tc>
          <w:tcPr>
            <w:tcW w:w="1140" w:type="dxa"/>
            <w:tcBorders>
              <w:top w:val="nil"/>
            </w:tcBorders>
            <w:shd w:val="clear" w:color="auto" w:fill="auto"/>
          </w:tcPr>
          <w:p w:rsidR="00281CC3" w:rsidRPr="00A10274" w:rsidRDefault="00281CC3" w:rsidP="002F1481">
            <w:pPr>
              <w:spacing w:before="30" w:after="30"/>
              <w:ind w:left="57"/>
              <w:jc w:val="left"/>
              <w:rPr>
                <w:b/>
                <w:bCs/>
                <w:sz w:val="20"/>
                <w:lang w:val="es-ES_tradnl"/>
              </w:rPr>
            </w:pPr>
            <w:r w:rsidRPr="00A10274">
              <w:rPr>
                <w:b/>
                <w:bCs/>
                <w:sz w:val="20"/>
                <w:lang w:val="es-ES_tradnl"/>
              </w:rPr>
              <w:t>SM</w:t>
            </w:r>
          </w:p>
        </w:tc>
        <w:tc>
          <w:tcPr>
            <w:tcW w:w="8220" w:type="dxa"/>
            <w:tcBorders>
              <w:top w:val="nil"/>
            </w:tcBorders>
            <w:shd w:val="clear" w:color="auto" w:fill="auto"/>
          </w:tcPr>
          <w:p w:rsidR="00281CC3" w:rsidRPr="00A10274" w:rsidRDefault="00281CC3" w:rsidP="002F1481">
            <w:pPr>
              <w:spacing w:before="30" w:after="30"/>
              <w:jc w:val="left"/>
              <w:rPr>
                <w:sz w:val="20"/>
                <w:lang w:val="es-ES_tradnl"/>
              </w:rPr>
            </w:pPr>
            <w:r w:rsidRPr="00A10274">
              <w:rPr>
                <w:sz w:val="20"/>
                <w:lang w:val="es-ES_tradnl"/>
              </w:rPr>
              <w:t>Gestión del espectro</w:t>
            </w:r>
          </w:p>
        </w:tc>
      </w:tr>
      <w:tr w:rsidR="00281CC3" w:rsidRPr="00A10274" w:rsidTr="002F1481">
        <w:tc>
          <w:tcPr>
            <w:tcW w:w="1140" w:type="dxa"/>
          </w:tcPr>
          <w:p w:rsidR="00281CC3" w:rsidRPr="00A10274" w:rsidRDefault="00281CC3" w:rsidP="002F1481">
            <w:pPr>
              <w:spacing w:before="30" w:after="30"/>
              <w:ind w:left="57"/>
              <w:jc w:val="left"/>
              <w:rPr>
                <w:b/>
                <w:bCs/>
                <w:sz w:val="20"/>
                <w:lang w:val="es-ES_tradnl"/>
              </w:rPr>
            </w:pPr>
            <w:r w:rsidRPr="00A10274">
              <w:rPr>
                <w:b/>
                <w:bCs/>
                <w:sz w:val="20"/>
                <w:lang w:val="es-ES_tradnl"/>
              </w:rPr>
              <w:t>SNG</w:t>
            </w:r>
          </w:p>
        </w:tc>
        <w:tc>
          <w:tcPr>
            <w:tcW w:w="8220" w:type="dxa"/>
          </w:tcPr>
          <w:p w:rsidR="00281CC3" w:rsidRPr="00A10274" w:rsidRDefault="00281CC3" w:rsidP="002F1481">
            <w:pPr>
              <w:spacing w:before="30" w:after="30"/>
              <w:jc w:val="left"/>
              <w:rPr>
                <w:bCs/>
                <w:sz w:val="20"/>
                <w:lang w:val="es-ES_tradnl"/>
              </w:rPr>
            </w:pPr>
            <w:r w:rsidRPr="00A10274">
              <w:rPr>
                <w:bCs/>
                <w:sz w:val="20"/>
                <w:lang w:val="es-ES_tradnl"/>
              </w:rPr>
              <w:t>Periodismo electrónico por satélite</w:t>
            </w:r>
          </w:p>
        </w:tc>
      </w:tr>
      <w:tr w:rsidR="00281CC3" w:rsidRPr="0096474A" w:rsidTr="002F1481">
        <w:tc>
          <w:tcPr>
            <w:tcW w:w="1140" w:type="dxa"/>
          </w:tcPr>
          <w:p w:rsidR="00281CC3" w:rsidRPr="00A10274" w:rsidRDefault="00281CC3" w:rsidP="002F1481">
            <w:pPr>
              <w:spacing w:before="30" w:after="30"/>
              <w:ind w:left="57"/>
              <w:jc w:val="left"/>
              <w:rPr>
                <w:b/>
                <w:bCs/>
                <w:sz w:val="20"/>
                <w:lang w:val="es-ES_tradnl"/>
              </w:rPr>
            </w:pPr>
            <w:r w:rsidRPr="00A10274">
              <w:rPr>
                <w:b/>
                <w:bCs/>
                <w:sz w:val="20"/>
                <w:lang w:val="es-ES_tradnl"/>
              </w:rPr>
              <w:t>TF</w:t>
            </w:r>
          </w:p>
        </w:tc>
        <w:tc>
          <w:tcPr>
            <w:tcW w:w="8220" w:type="dxa"/>
          </w:tcPr>
          <w:p w:rsidR="00281CC3" w:rsidRPr="00A10274" w:rsidRDefault="00281CC3" w:rsidP="002F1481">
            <w:pPr>
              <w:spacing w:before="30" w:after="30"/>
              <w:jc w:val="left"/>
              <w:rPr>
                <w:bCs/>
                <w:sz w:val="20"/>
                <w:lang w:val="es-ES_tradnl"/>
              </w:rPr>
            </w:pPr>
            <w:r w:rsidRPr="00A10274">
              <w:rPr>
                <w:bCs/>
                <w:sz w:val="20"/>
                <w:lang w:val="es-ES_tradnl"/>
              </w:rPr>
              <w:t>Emisiones de frecuencias patrón y señales horarias</w:t>
            </w:r>
          </w:p>
        </w:tc>
      </w:tr>
      <w:tr w:rsidR="00281CC3" w:rsidRPr="00A10274" w:rsidTr="002F1481">
        <w:tc>
          <w:tcPr>
            <w:tcW w:w="1140" w:type="dxa"/>
          </w:tcPr>
          <w:p w:rsidR="00281CC3" w:rsidRPr="00A10274" w:rsidRDefault="00281CC3" w:rsidP="002F1481">
            <w:pPr>
              <w:spacing w:before="30" w:after="30"/>
              <w:ind w:left="57"/>
              <w:jc w:val="left"/>
              <w:rPr>
                <w:b/>
                <w:bCs/>
                <w:sz w:val="20"/>
                <w:lang w:val="es-ES_tradnl"/>
              </w:rPr>
            </w:pPr>
            <w:r w:rsidRPr="00A10274">
              <w:rPr>
                <w:b/>
                <w:bCs/>
                <w:sz w:val="20"/>
                <w:lang w:val="es-ES_tradnl"/>
              </w:rPr>
              <w:t>V</w:t>
            </w:r>
          </w:p>
        </w:tc>
        <w:tc>
          <w:tcPr>
            <w:tcW w:w="8220" w:type="dxa"/>
          </w:tcPr>
          <w:p w:rsidR="00281CC3" w:rsidRPr="00A10274" w:rsidRDefault="00281CC3" w:rsidP="002F1481">
            <w:pPr>
              <w:spacing w:before="30" w:after="140"/>
              <w:jc w:val="left"/>
              <w:rPr>
                <w:bCs/>
                <w:sz w:val="20"/>
                <w:lang w:val="es-ES_tradnl"/>
              </w:rPr>
            </w:pPr>
            <w:r w:rsidRPr="00A10274">
              <w:rPr>
                <w:bCs/>
                <w:sz w:val="20"/>
                <w:lang w:val="es-ES_tradnl"/>
              </w:rPr>
              <w:t>Vocabulario y cuestiones afines</w:t>
            </w:r>
          </w:p>
        </w:tc>
      </w:tr>
    </w:tbl>
    <w:p w:rsidR="00281CC3" w:rsidRPr="00A10274" w:rsidRDefault="00281CC3" w:rsidP="00281CC3">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281CC3" w:rsidRPr="00A10274" w:rsidTr="002F1481">
        <w:tc>
          <w:tcPr>
            <w:tcW w:w="720" w:type="dxa"/>
          </w:tcPr>
          <w:p w:rsidR="00281CC3" w:rsidRPr="00A10274" w:rsidRDefault="00281CC3" w:rsidP="002F1481">
            <w:pPr>
              <w:spacing w:before="0"/>
              <w:jc w:val="center"/>
              <w:rPr>
                <w:sz w:val="22"/>
                <w:lang w:val="es-ES_tradnl"/>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281CC3" w:rsidRPr="0096474A" w:rsidTr="002F1481">
        <w:tc>
          <w:tcPr>
            <w:tcW w:w="9360" w:type="dxa"/>
          </w:tcPr>
          <w:p w:rsidR="00281CC3" w:rsidRPr="00A10274" w:rsidRDefault="00281CC3" w:rsidP="002F1481">
            <w:pPr>
              <w:spacing w:before="92" w:after="92"/>
              <w:jc w:val="left"/>
              <w:rPr>
                <w:i/>
                <w:iCs/>
                <w:sz w:val="20"/>
                <w:lang w:val="es-ES_tradnl"/>
              </w:rPr>
            </w:pPr>
            <w:r w:rsidRPr="00A10274">
              <w:rPr>
                <w:b/>
                <w:bCs/>
                <w:i/>
                <w:iCs/>
                <w:sz w:val="20"/>
                <w:lang w:val="es-ES_tradnl"/>
              </w:rPr>
              <w:t>Nota</w:t>
            </w:r>
            <w:r w:rsidRPr="00A10274">
              <w:rPr>
                <w:i/>
                <w:iCs/>
                <w:sz w:val="20"/>
                <w:lang w:val="es-ES_tradnl"/>
              </w:rPr>
              <w:t xml:space="preserve">: Esta Recomendación UIT-R fue aprobada en inglés conforme al procedimiento detallado en la </w:t>
            </w:r>
            <w:r w:rsidRPr="00A10274">
              <w:rPr>
                <w:i/>
                <w:iCs/>
                <w:sz w:val="20"/>
                <w:lang w:val="es-ES_tradnl"/>
              </w:rPr>
              <w:br/>
              <w:t>Resolución UIT-R 1.</w:t>
            </w:r>
          </w:p>
        </w:tc>
      </w:tr>
    </w:tbl>
    <w:p w:rsidR="00281CC3" w:rsidRPr="00A10274" w:rsidRDefault="00281CC3" w:rsidP="00281CC3">
      <w:pPr>
        <w:spacing w:before="0"/>
        <w:jc w:val="center"/>
        <w:rPr>
          <w:sz w:val="22"/>
          <w:lang w:val="es-ES_tradnl"/>
        </w:rPr>
      </w:pPr>
    </w:p>
    <w:p w:rsidR="00281CC3" w:rsidRPr="00A10274" w:rsidRDefault="00281CC3" w:rsidP="00281CC3">
      <w:pPr>
        <w:spacing w:before="60"/>
        <w:jc w:val="right"/>
        <w:rPr>
          <w:i/>
          <w:iCs/>
          <w:sz w:val="20"/>
          <w:lang w:val="es-ES_tradnl"/>
        </w:rPr>
      </w:pPr>
      <w:r w:rsidRPr="00A10274">
        <w:rPr>
          <w:i/>
          <w:iCs/>
          <w:sz w:val="20"/>
          <w:lang w:val="es-ES_tradnl"/>
        </w:rPr>
        <w:t>Publicación electrónica</w:t>
      </w:r>
    </w:p>
    <w:p w:rsidR="00281CC3" w:rsidRPr="00A10274" w:rsidRDefault="00281CC3" w:rsidP="00281CC3">
      <w:pPr>
        <w:spacing w:before="0" w:after="40"/>
        <w:jc w:val="right"/>
        <w:rPr>
          <w:sz w:val="20"/>
          <w:lang w:val="es-ES_tradnl"/>
        </w:rPr>
      </w:pPr>
      <w:r w:rsidRPr="00A10274">
        <w:rPr>
          <w:sz w:val="20"/>
          <w:lang w:val="es-ES_tradnl"/>
        </w:rPr>
        <w:t>Ginebra, 2014</w:t>
      </w:r>
    </w:p>
    <w:p w:rsidR="00281CC3" w:rsidRPr="00A10274" w:rsidRDefault="00281CC3" w:rsidP="00281CC3">
      <w:pPr>
        <w:spacing w:before="0"/>
        <w:jc w:val="center"/>
        <w:rPr>
          <w:sz w:val="22"/>
          <w:lang w:val="es-ES_tradnl"/>
        </w:rPr>
      </w:pPr>
    </w:p>
    <w:p w:rsidR="00281CC3" w:rsidRPr="00A10274" w:rsidRDefault="00281CC3" w:rsidP="00281CC3">
      <w:pPr>
        <w:spacing w:before="0"/>
        <w:jc w:val="center"/>
        <w:rPr>
          <w:sz w:val="20"/>
          <w:lang w:val="es-ES_tradnl"/>
        </w:rPr>
      </w:pPr>
      <w:r w:rsidRPr="00A10274">
        <w:rPr>
          <w:sz w:val="20"/>
          <w:lang w:val="es-ES_tradnl"/>
        </w:rPr>
        <w:sym w:font="Symbol" w:char="F0E3"/>
      </w:r>
      <w:r w:rsidRPr="00A10274">
        <w:rPr>
          <w:sz w:val="20"/>
          <w:lang w:val="es-ES_tradnl"/>
        </w:rPr>
        <w:t xml:space="preserve"> UIT </w:t>
      </w:r>
      <w:bookmarkStart w:id="2" w:name="iiannee"/>
      <w:bookmarkEnd w:id="2"/>
      <w:r w:rsidRPr="00A10274">
        <w:rPr>
          <w:sz w:val="20"/>
          <w:lang w:val="es-ES_tradnl"/>
        </w:rPr>
        <w:t>2014</w:t>
      </w:r>
    </w:p>
    <w:p w:rsidR="00281CC3" w:rsidRPr="00A10274" w:rsidRDefault="00281CC3" w:rsidP="00281CC3">
      <w:pPr>
        <w:spacing w:before="80"/>
        <w:rPr>
          <w:sz w:val="18"/>
          <w:szCs w:val="18"/>
          <w:lang w:val="es-ES_tradnl"/>
        </w:rPr>
      </w:pPr>
      <w:r w:rsidRPr="00A10274">
        <w:rPr>
          <w:sz w:val="18"/>
          <w:szCs w:val="18"/>
          <w:lang w:val="es-ES_tradnl"/>
        </w:rPr>
        <w:t>Reservados todos los derechos. Ninguna parte de esta publicación puede reproducirse por ningún procedimiento sin previa autorización escrita por parte de la UIT.</w:t>
      </w:r>
    </w:p>
    <w:p w:rsidR="00281CC3" w:rsidRPr="00A10274" w:rsidRDefault="00281CC3" w:rsidP="00281CC3">
      <w:pPr>
        <w:spacing w:before="160"/>
        <w:rPr>
          <w:i/>
          <w:sz w:val="20"/>
          <w:highlight w:val="yellow"/>
          <w:lang w:val="es-ES_tradnl"/>
        </w:rPr>
        <w:sectPr w:rsidR="00281CC3" w:rsidRPr="00A10274"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281CC3" w:rsidRPr="00A10274" w:rsidRDefault="00281CC3" w:rsidP="0041461B">
      <w:pPr>
        <w:pStyle w:val="RecNo"/>
        <w:spacing w:before="0"/>
        <w:rPr>
          <w:lang w:val="es-ES_tradnl"/>
        </w:rPr>
      </w:pPr>
      <w:bookmarkStart w:id="3" w:name="irecnoe"/>
      <w:bookmarkEnd w:id="3"/>
      <w:r w:rsidRPr="00A10274">
        <w:rPr>
          <w:lang w:val="es-ES_tradnl"/>
        </w:rPr>
        <w:t xml:space="preserve">RECOMENDACIÓN  </w:t>
      </w:r>
      <w:r w:rsidRPr="00A10274">
        <w:rPr>
          <w:rStyle w:val="href"/>
          <w:lang w:val="es-ES_tradnl"/>
        </w:rPr>
        <w:t>UIT-R  SF.</w:t>
      </w:r>
      <w:r w:rsidR="0041461B" w:rsidRPr="00A10274">
        <w:rPr>
          <w:rStyle w:val="href"/>
          <w:lang w:val="es-ES_tradnl"/>
        </w:rPr>
        <w:t>674-3</w:t>
      </w:r>
    </w:p>
    <w:p w:rsidR="00281CC3" w:rsidRPr="00A10274" w:rsidRDefault="00281CC3" w:rsidP="00DE1A88">
      <w:pPr>
        <w:pStyle w:val="Rectitle"/>
        <w:rPr>
          <w:lang w:val="es-ES_tradnl"/>
        </w:rPr>
      </w:pPr>
      <w:r w:rsidRPr="00A10274">
        <w:rPr>
          <w:lang w:val="es-ES_tradnl"/>
        </w:rPr>
        <w:t>Determinación del efecto sobre el ser</w:t>
      </w:r>
      <w:r w:rsidR="00976AF6">
        <w:rPr>
          <w:lang w:val="es-ES_tradnl"/>
        </w:rPr>
        <w:t>vicio fijo que utiliza la banda</w:t>
      </w:r>
      <w:r w:rsidRPr="00A10274">
        <w:rPr>
          <w:lang w:val="es-ES_tradnl"/>
        </w:rPr>
        <w:br/>
        <w:t>11,7</w:t>
      </w:r>
      <w:r w:rsidRPr="00A10274">
        <w:rPr>
          <w:lang w:val="es-ES_tradnl"/>
        </w:rPr>
        <w:noBreakHyphen/>
        <w:t>12,2 GHz causado por las redes del servicio fijo por satélite</w:t>
      </w:r>
      <w:r w:rsidRPr="00A10274">
        <w:rPr>
          <w:lang w:val="es-ES_tradnl"/>
        </w:rPr>
        <w:br/>
        <w:t>geoestacionario de la Región 2 cuando éstas superan</w:t>
      </w:r>
      <w:r w:rsidR="00DE1A88" w:rsidRPr="00A10274">
        <w:rPr>
          <w:lang w:val="es-ES_tradnl"/>
        </w:rPr>
        <w:br/>
      </w:r>
      <w:r w:rsidRPr="00A10274">
        <w:rPr>
          <w:lang w:val="es-ES_tradnl"/>
        </w:rPr>
        <w:t>los umbrales de densidad de flujo de potencia</w:t>
      </w:r>
      <w:r w:rsidR="00DE1A88" w:rsidRPr="00A10274">
        <w:rPr>
          <w:lang w:val="es-ES_tradnl"/>
        </w:rPr>
        <w:br/>
      </w:r>
      <w:r w:rsidRPr="00A10274">
        <w:rPr>
          <w:lang w:val="es-ES_tradnl"/>
        </w:rPr>
        <w:t>para la coordinación</w:t>
      </w:r>
    </w:p>
    <w:p w:rsidR="00DE1A88" w:rsidRPr="00A10274" w:rsidRDefault="00DE1A88" w:rsidP="00DE1A88">
      <w:pPr>
        <w:pStyle w:val="Blanc"/>
        <w:rPr>
          <w:lang w:val="es-ES_tradnl"/>
        </w:rPr>
      </w:pPr>
    </w:p>
    <w:p w:rsidR="00281CC3" w:rsidRPr="00A10274" w:rsidRDefault="00281CC3" w:rsidP="00281CC3">
      <w:pPr>
        <w:pStyle w:val="Recdate"/>
        <w:rPr>
          <w:lang w:val="es-ES_tradnl"/>
        </w:rPr>
      </w:pPr>
      <w:r w:rsidRPr="00A10274">
        <w:rPr>
          <w:lang w:val="es-ES_tradnl"/>
        </w:rPr>
        <w:t>(1990-1997-2002-2013)</w:t>
      </w:r>
    </w:p>
    <w:p w:rsidR="00DE1A88" w:rsidRPr="00A10274" w:rsidRDefault="00DE1A88" w:rsidP="00DE1A88">
      <w:pPr>
        <w:pStyle w:val="Blanc"/>
        <w:rPr>
          <w:lang w:val="es-ES_tradnl"/>
        </w:rPr>
      </w:pPr>
    </w:p>
    <w:p w:rsidR="00281CC3" w:rsidRPr="00A10274" w:rsidRDefault="00976AF6" w:rsidP="00281CC3">
      <w:pPr>
        <w:pStyle w:val="HeadingSum"/>
      </w:pPr>
      <w:r>
        <w:t>Cometido</w:t>
      </w:r>
    </w:p>
    <w:p w:rsidR="00281CC3" w:rsidRPr="00A10274" w:rsidRDefault="00281CC3" w:rsidP="00281CC3">
      <w:pPr>
        <w:pStyle w:val="Summary"/>
      </w:pPr>
      <w:r w:rsidRPr="00A10274">
        <w:t>Esta Recomendación contiene la metodología que puede utilizarse para determinar los niveles de interferencia que podrían causar a los sistemas del servicio fijo, los sistemas del servicio fijo por satélite OSG que funcionan con niveles de densidad de flujo de potencia superiores a los niveles umbral para la coordinación especificados en el Reglamento de Radiocomunicaciones.</w:t>
      </w:r>
    </w:p>
    <w:p w:rsidR="00281CC3" w:rsidRPr="00A10274" w:rsidRDefault="00281CC3" w:rsidP="00281CC3">
      <w:pPr>
        <w:pStyle w:val="Normalaftertitle"/>
        <w:rPr>
          <w:lang w:val="es-ES_tradnl"/>
        </w:rPr>
      </w:pPr>
      <w:r w:rsidRPr="00A10274">
        <w:rPr>
          <w:lang w:val="es-ES_tradnl"/>
        </w:rPr>
        <w:t>La Asamblea de Radiocomunicaciones de la UIT,</w:t>
      </w:r>
    </w:p>
    <w:p w:rsidR="00281CC3" w:rsidRPr="00A10274" w:rsidRDefault="00281CC3" w:rsidP="00281CC3">
      <w:pPr>
        <w:pStyle w:val="Call"/>
        <w:rPr>
          <w:lang w:val="es-ES_tradnl"/>
        </w:rPr>
      </w:pPr>
      <w:r w:rsidRPr="00A10274">
        <w:rPr>
          <w:lang w:val="es-ES_tradnl"/>
        </w:rPr>
        <w:t>considerando</w:t>
      </w:r>
    </w:p>
    <w:p w:rsidR="00281CC3" w:rsidRPr="00A10274" w:rsidRDefault="00281CC3" w:rsidP="00DE1A88">
      <w:pPr>
        <w:rPr>
          <w:lang w:val="es-ES_tradnl"/>
        </w:rPr>
      </w:pPr>
      <w:r w:rsidRPr="00A10274">
        <w:rPr>
          <w:i/>
          <w:iCs/>
          <w:lang w:val="es-ES_tradnl"/>
        </w:rPr>
        <w:t>a)</w:t>
      </w:r>
      <w:r w:rsidRPr="00A10274">
        <w:rPr>
          <w:lang w:val="es-ES_tradnl"/>
        </w:rPr>
        <w:tab/>
        <w:t>que la banda 11,7</w:t>
      </w:r>
      <w:r w:rsidRPr="00A10274">
        <w:rPr>
          <w:lang w:val="es-ES_tradnl"/>
        </w:rPr>
        <w:noBreakHyphen/>
        <w:t>12,2 GHz está atribuida al servicio fijo a título mundial y al servicio fijo por satélite</w:t>
      </w:r>
      <w:r w:rsidR="00DE1A88" w:rsidRPr="00A10274">
        <w:rPr>
          <w:lang w:val="es-ES_tradnl"/>
        </w:rPr>
        <w:t xml:space="preserve"> </w:t>
      </w:r>
      <w:r w:rsidRPr="00A10274">
        <w:rPr>
          <w:lang w:val="es-ES_tradnl"/>
        </w:rPr>
        <w:t>(SFS) (espacio-Tierra) en la Región 2;</w:t>
      </w:r>
    </w:p>
    <w:p w:rsidR="00281CC3" w:rsidRPr="00A10274" w:rsidRDefault="00281CC3" w:rsidP="00281CC3">
      <w:pPr>
        <w:rPr>
          <w:lang w:val="es-ES_tradnl"/>
        </w:rPr>
      </w:pPr>
      <w:r w:rsidRPr="00A10274">
        <w:rPr>
          <w:i/>
          <w:iCs/>
          <w:lang w:val="es-ES_tradnl"/>
        </w:rPr>
        <w:t>b)</w:t>
      </w:r>
      <w:r w:rsidRPr="00A10274">
        <w:rPr>
          <w:lang w:val="es-ES_tradnl"/>
        </w:rPr>
        <w:tab/>
        <w:t>que el uso de esta banda por redes de satélites geoestacionarios del SFS en la Región 2 está supeditado a los umbrales de coordinación especificados en el Cuadro 5-1 del Apéndice 5 del Reglamento de Radiocomunicaciones;</w:t>
      </w:r>
    </w:p>
    <w:p w:rsidR="00281CC3" w:rsidRPr="00A10274" w:rsidRDefault="00281CC3" w:rsidP="00281CC3">
      <w:pPr>
        <w:rPr>
          <w:lang w:val="es-ES_tradnl"/>
        </w:rPr>
      </w:pPr>
      <w:r w:rsidRPr="00A10274">
        <w:rPr>
          <w:i/>
          <w:iCs/>
          <w:lang w:val="es-ES_tradnl"/>
        </w:rPr>
        <w:t>c)</w:t>
      </w:r>
      <w:r w:rsidRPr="00A10274">
        <w:rPr>
          <w:lang w:val="es-ES_tradnl"/>
        </w:rPr>
        <w:tab/>
        <w:t>que la compartición de frecuencias entre el SF y el SFS se facilitará gracias a una metodología para evaluar los niveles de interferencia causados por el SFS al SF cuando se superan los valores umbral de dfp para la coordinación,</w:t>
      </w:r>
    </w:p>
    <w:p w:rsidR="00281CC3" w:rsidRPr="00A10274" w:rsidRDefault="00281CC3" w:rsidP="00281CC3">
      <w:pPr>
        <w:pStyle w:val="Call"/>
        <w:rPr>
          <w:lang w:val="es-ES_tradnl"/>
        </w:rPr>
      </w:pPr>
      <w:r w:rsidRPr="00A10274">
        <w:rPr>
          <w:lang w:val="es-ES_tradnl"/>
        </w:rPr>
        <w:t>recomienda</w:t>
      </w:r>
    </w:p>
    <w:p w:rsidR="00281CC3" w:rsidRPr="00A10274" w:rsidRDefault="00281CC3" w:rsidP="00281CC3">
      <w:pPr>
        <w:pStyle w:val="Normalaftertitle"/>
        <w:rPr>
          <w:lang w:val="es-ES_tradnl"/>
        </w:rPr>
      </w:pPr>
      <w:r w:rsidRPr="00A10274">
        <w:rPr>
          <w:lang w:val="es-ES_tradnl"/>
        </w:rPr>
        <w:t xml:space="preserve">que la metodología presentada en el Anexo 1 se utilice como un medio para determinar los niveles de interferencia causados a los sistemas del servicio fijo por el SFS cuando se sobrepasan los niveles umbral de dfp indicados en el </w:t>
      </w:r>
      <w:r w:rsidRPr="00A10274">
        <w:rPr>
          <w:i/>
          <w:iCs/>
          <w:lang w:val="es-ES_tradnl"/>
        </w:rPr>
        <w:t>considerando</w:t>
      </w:r>
      <w:r w:rsidRPr="00A10274">
        <w:rPr>
          <w:lang w:val="es-ES_tradnl"/>
        </w:rPr>
        <w:t xml:space="preserve"> </w:t>
      </w:r>
      <w:r w:rsidRPr="00A10274">
        <w:rPr>
          <w:i/>
          <w:iCs/>
          <w:lang w:val="es-ES_tradnl"/>
        </w:rPr>
        <w:t xml:space="preserve">b) </w:t>
      </w:r>
      <w:r w:rsidRPr="00A10274">
        <w:rPr>
          <w:lang w:val="es-ES_tradnl"/>
        </w:rPr>
        <w:t>anterior.</w:t>
      </w:r>
    </w:p>
    <w:p w:rsidR="00281CC3" w:rsidRPr="00A10274" w:rsidRDefault="00281CC3" w:rsidP="00347E69">
      <w:pPr>
        <w:rPr>
          <w:lang w:val="es-ES_tradnl"/>
        </w:rPr>
      </w:pPr>
    </w:p>
    <w:p w:rsidR="00347E69" w:rsidRPr="00A10274" w:rsidRDefault="00347E69" w:rsidP="00347E69">
      <w:pPr>
        <w:rPr>
          <w:lang w:val="es-ES_tradnl"/>
        </w:rPr>
      </w:pPr>
    </w:p>
    <w:p w:rsidR="00281CC3" w:rsidRPr="00A10274" w:rsidRDefault="00811396" w:rsidP="00811396">
      <w:pPr>
        <w:pStyle w:val="AnnexNoTitle"/>
        <w:rPr>
          <w:lang w:val="es-ES_tradnl"/>
        </w:rPr>
      </w:pPr>
      <w:r w:rsidRPr="00A10274">
        <w:rPr>
          <w:lang w:val="es-ES_tradnl"/>
        </w:rPr>
        <w:t>Anexo 1</w:t>
      </w:r>
      <w:r w:rsidRPr="00A10274">
        <w:rPr>
          <w:lang w:val="es-ES_tradnl"/>
        </w:rPr>
        <w:br/>
      </w:r>
      <w:r w:rsidRPr="00A10274">
        <w:rPr>
          <w:lang w:val="es-ES_tradnl"/>
        </w:rPr>
        <w:br/>
      </w:r>
      <w:r w:rsidR="00281CC3" w:rsidRPr="00A10274">
        <w:rPr>
          <w:lang w:val="es-ES_tradnl"/>
        </w:rPr>
        <w:t>Determinación de la interferencia en los sistemas del servicio fij</w:t>
      </w:r>
      <w:r w:rsidR="00DE1A88" w:rsidRPr="00A10274">
        <w:rPr>
          <w:lang w:val="es-ES_tradnl"/>
        </w:rPr>
        <w:t>o</w:t>
      </w:r>
    </w:p>
    <w:p w:rsidR="00281CC3" w:rsidRPr="00A10274" w:rsidRDefault="00281CC3" w:rsidP="00811396">
      <w:pPr>
        <w:pStyle w:val="Headingb"/>
        <w:spacing w:before="240"/>
        <w:rPr>
          <w:lang w:val="es-ES_tradnl"/>
        </w:rPr>
      </w:pPr>
      <w:r w:rsidRPr="00A10274">
        <w:rPr>
          <w:lang w:val="es-ES_tradnl"/>
        </w:rPr>
        <w:t xml:space="preserve">Introducción </w:t>
      </w:r>
    </w:p>
    <w:p w:rsidR="00281CC3" w:rsidRPr="00A10274" w:rsidRDefault="00281CC3" w:rsidP="00BB2440">
      <w:pPr>
        <w:keepNext/>
        <w:keepLines/>
        <w:rPr>
          <w:lang w:val="es-ES_tradnl"/>
        </w:rPr>
      </w:pPr>
      <w:r w:rsidRPr="00A10274">
        <w:rPr>
          <w:lang w:val="es-ES_tradnl"/>
        </w:rPr>
        <w:t>En el presente Anexo se describe detalladamente la metodología que se utiliza en las Recomendaciones</w:t>
      </w:r>
      <w:r w:rsidR="00DE1A88" w:rsidRPr="00A10274">
        <w:rPr>
          <w:lang w:val="es-ES_tradnl"/>
        </w:rPr>
        <w:t xml:space="preserve"> </w:t>
      </w:r>
      <w:r w:rsidRPr="00A10274">
        <w:rPr>
          <w:lang w:val="es-ES_tradnl"/>
        </w:rPr>
        <w:t>UIT-R F.1107 y UIT-R F.1108 para los sistemas digitales del servicio fijo. En la Recomendación</w:t>
      </w:r>
      <w:r w:rsidR="00DE1A88" w:rsidRPr="00A10274">
        <w:rPr>
          <w:lang w:val="es-ES_tradnl"/>
        </w:rPr>
        <w:t xml:space="preserve"> </w:t>
      </w:r>
      <w:r w:rsidRPr="00A10274">
        <w:rPr>
          <w:lang w:val="es-ES_tradnl"/>
        </w:rPr>
        <w:t>UIT</w:t>
      </w:r>
      <w:r w:rsidRPr="00A10274">
        <w:rPr>
          <w:lang w:val="es-ES_tradnl"/>
        </w:rPr>
        <w:noBreakHyphen/>
        <w:t>R F.1108 se utiliza el concepto de degradación fraccionaria de la calidad de funcionamiento (DFC) para las estaciones digitales del servicio fijo. La DFC es el pequeño aumento del porcentaje de tiempo durante el cual no se satisface el criterio de calidad de funcionamiento del control debido a la presencia de interferencia. En la Recomendación UIT</w:t>
      </w:r>
      <w:r w:rsidRPr="00A10274">
        <w:rPr>
          <w:lang w:val="es-ES_tradnl"/>
        </w:rPr>
        <w:noBreakHyphen/>
        <w:t>R F.1108 se sugiere que para los estudios de compartición conviene emplear un valor de DFC del 10%. En consecuencia, las metodologías que aquí se describen determinarán el porcentaje de receptores del servicio fijo para los cuales la DFC rebasará el 10%. La DFC sólo debe sobrepasar el 10% en no más de un pequeño porcentaje acordado de estaciones terrenas. En el Adjunto 1 se presenta la metodología empleada en los análisis de la interferencia causada a los sistemas digitales del servicio fijo. Cabe señalar que la metodología aquí presentada no utiliza ninguna técnica de evitación de la órbita.</w:t>
      </w:r>
    </w:p>
    <w:p w:rsidR="00281CC3" w:rsidRPr="00A10274" w:rsidRDefault="00281CC3" w:rsidP="00BB2440">
      <w:pPr>
        <w:rPr>
          <w:lang w:val="es-ES_tradnl"/>
        </w:rPr>
      </w:pPr>
      <w:r w:rsidRPr="00A10274">
        <w:rPr>
          <w:lang w:val="es-ES_tradnl"/>
        </w:rPr>
        <w:t xml:space="preserve">El Adjunto 1 contiene información detallada sobre la metodología utilizada y algunos resultados. El análisis presentado en el Adjunto 1 muestra que la degradación en la calidad de funcionamiento aumentada en los sistemas digitales del servicio fijo, debido a los sistemas del SFS que sobrepasan los umbrales de dfp indicados en el </w:t>
      </w:r>
      <w:r w:rsidRPr="00A10274">
        <w:rPr>
          <w:i/>
          <w:iCs/>
          <w:lang w:val="es-ES_tradnl"/>
        </w:rPr>
        <w:t>considerando</w:t>
      </w:r>
      <w:r w:rsidRPr="00A10274">
        <w:rPr>
          <w:lang w:val="es-ES_tradnl"/>
        </w:rPr>
        <w:t xml:space="preserve"> </w:t>
      </w:r>
      <w:r w:rsidRPr="0096474A">
        <w:rPr>
          <w:i/>
          <w:iCs/>
          <w:lang w:val="es-ES_tradnl"/>
        </w:rPr>
        <w:t>b)</w:t>
      </w:r>
      <w:r w:rsidRPr="00A10274">
        <w:rPr>
          <w:lang w:val="es-ES_tradnl"/>
        </w:rPr>
        <w:t>, es función de los parámetros escogidos. Estos resultados corresponden a una temperatura de ruido de</w:t>
      </w:r>
      <w:r w:rsidR="00BB2440">
        <w:rPr>
          <w:lang w:val="es-ES_tradnl"/>
        </w:rPr>
        <w:t xml:space="preserve"> </w:t>
      </w:r>
      <w:r w:rsidRPr="00BB2440">
        <w:rPr>
          <w:lang w:val="es-ES_tradnl"/>
        </w:rPr>
        <w:t>1</w:t>
      </w:r>
      <w:r w:rsidR="00BB2440" w:rsidRPr="00BB2440">
        <w:rPr>
          <w:lang w:val="es-ES_tradnl"/>
        </w:rPr>
        <w:t> </w:t>
      </w:r>
      <w:r w:rsidRPr="00BB2440">
        <w:rPr>
          <w:lang w:val="es-ES_tradnl"/>
        </w:rPr>
        <w:t>100</w:t>
      </w:r>
      <w:r w:rsidRPr="00A10274">
        <w:rPr>
          <w:lang w:val="es-ES_tradnl"/>
        </w:rPr>
        <w:t xml:space="preserve"> K para las estaciones digitales del servicio fijo. El valor se ha tomado del Cuadro 7b del Anexo 7 al Apéndice 7 del RR.</w:t>
      </w:r>
    </w:p>
    <w:p w:rsidR="00281CC3" w:rsidRPr="00A10274" w:rsidRDefault="00281CC3" w:rsidP="00BB2440">
      <w:pPr>
        <w:rPr>
          <w:lang w:val="es-ES_tradnl"/>
        </w:rPr>
      </w:pPr>
      <w:r w:rsidRPr="00A10274">
        <w:rPr>
          <w:lang w:val="es-ES_tradnl"/>
        </w:rPr>
        <w:t>La metodología también tiene en cuenta los efectos de atenuación debida a los gases atmosféricos, utilizando para ello la metodología de la Recomendación UIT-R SF.1395.</w:t>
      </w:r>
    </w:p>
    <w:p w:rsidR="00281CC3" w:rsidRPr="00A10274" w:rsidRDefault="00281CC3" w:rsidP="00BB2440">
      <w:pPr>
        <w:rPr>
          <w:lang w:val="es-ES_tradnl"/>
        </w:rPr>
      </w:pPr>
      <w:r w:rsidRPr="00A10274">
        <w:rPr>
          <w:lang w:val="es-ES_tradnl"/>
        </w:rPr>
        <w:t>La metodología que se aplica en el presente Anexo no tiene en cuenta las pérdidas debidas al ensanchamiento del haz de la antena del satélite sobre el trayecto Tierra-espacio. De conformidad con la Fig. 1 de la Recomendación UIT-R P.834, las pérdidas medidas por ensanchamiento del haz a largo plazo podrían llegar a ser de 2,5 dB para un ángulo de elevación de 0,1</w:t>
      </w:r>
      <w:r w:rsidRPr="00A10274">
        <w:rPr>
          <w:rFonts w:ascii="Symbol" w:hAnsi="Symbol"/>
          <w:lang w:val="es-ES_tradnl"/>
        </w:rPr>
        <w:t></w:t>
      </w:r>
      <w:r w:rsidRPr="00A10274">
        <w:rPr>
          <w:lang w:val="es-ES_tradnl"/>
        </w:rPr>
        <w:t>, de 0,85 dB para un ángulo de elevación de 1</w:t>
      </w:r>
      <w:r w:rsidRPr="00A10274">
        <w:rPr>
          <w:rFonts w:ascii="Symbol" w:hAnsi="Symbol"/>
          <w:lang w:val="es-ES_tradnl"/>
        </w:rPr>
        <w:t></w:t>
      </w:r>
      <w:r w:rsidRPr="00A10274">
        <w:rPr>
          <w:lang w:val="es-ES_tradnl"/>
        </w:rPr>
        <w:t xml:space="preserve"> y de 0,45 dB para un ángulo de elevación de 2</w:t>
      </w:r>
      <w:r w:rsidRPr="00A10274">
        <w:rPr>
          <w:rFonts w:ascii="Symbol" w:hAnsi="Symbol"/>
          <w:lang w:val="es-ES_tradnl"/>
        </w:rPr>
        <w:t></w:t>
      </w:r>
      <w:r w:rsidRPr="00A10274">
        <w:rPr>
          <w:lang w:val="es-ES_tradnl"/>
        </w:rPr>
        <w:t>.</w:t>
      </w:r>
    </w:p>
    <w:p w:rsidR="00281CC3" w:rsidRPr="00A10274" w:rsidRDefault="00281CC3" w:rsidP="00BB2440">
      <w:pPr>
        <w:rPr>
          <w:lang w:val="es-ES_tradnl"/>
        </w:rPr>
      </w:pPr>
      <w:r w:rsidRPr="00A10274">
        <w:rPr>
          <w:lang w:val="es-ES_tradnl"/>
        </w:rPr>
        <w:t>Una técnica de reducción de la interferencia que puede aplicarse a las antenas receptoras del servi</w:t>
      </w:r>
      <w:r w:rsidRPr="00A10274">
        <w:rPr>
          <w:lang w:val="es-ES_tradnl"/>
        </w:rPr>
        <w:softHyphen/>
        <w:t>cio fijo existentes es aplicar una leve reorientación de la antena para reducir el acoplamiento del haz principal a las emisiones de satélite. Los análisis teóricos sugieren que la mejora es generalmente modesta, que es función del ángulo inicial del haz principal con el satélite y que aumenta con la relación interferencia/ruido (</w:t>
      </w:r>
      <w:r w:rsidRPr="00A10274">
        <w:rPr>
          <w:i/>
          <w:iCs/>
          <w:lang w:val="es-ES_tradnl"/>
        </w:rPr>
        <w:t>I</w:t>
      </w:r>
      <w:r w:rsidRPr="00A10274">
        <w:rPr>
          <w:lang w:val="es-ES_tradnl"/>
        </w:rPr>
        <w:t>/</w:t>
      </w:r>
      <w:r w:rsidRPr="00A10274">
        <w:rPr>
          <w:i/>
          <w:iCs/>
          <w:lang w:val="es-ES_tradnl"/>
        </w:rPr>
        <w:t>N</w:t>
      </w:r>
      <w:r w:rsidRPr="00A10274">
        <w:rPr>
          <w:lang w:val="es-ES_tradnl"/>
        </w:rPr>
        <w:t xml:space="preserve">). Para una relación </w:t>
      </w:r>
      <w:r w:rsidRPr="00A10274">
        <w:rPr>
          <w:i/>
          <w:iCs/>
          <w:lang w:val="es-ES_tradnl"/>
        </w:rPr>
        <w:t>I</w:t>
      </w:r>
      <w:r w:rsidRPr="00A10274">
        <w:rPr>
          <w:lang w:val="es-ES_tradnl"/>
        </w:rPr>
        <w:t>/</w:t>
      </w:r>
      <w:r w:rsidRPr="00A10274">
        <w:rPr>
          <w:i/>
          <w:iCs/>
          <w:lang w:val="es-ES_tradnl"/>
        </w:rPr>
        <w:t>N</w:t>
      </w:r>
      <w:r w:rsidRPr="00A10274">
        <w:rPr>
          <w:lang w:val="es-ES_tradnl"/>
        </w:rPr>
        <w:t> de +10 dB o superior, puede mejorarse en varios dB cuando el satélite está inicialmente fuera de la anchura de haz de 3 dB de la antena del servicio fijo. Las consideraciones prácticas para la aplicación de esta técnica de reducción de la interferencia todavía no se han examinado, y su eficacia todavía no se ha confirmado en pruebas prácticas.</w:t>
      </w:r>
    </w:p>
    <w:p w:rsidR="00300D83" w:rsidRPr="00A10274" w:rsidRDefault="00300D83" w:rsidP="00281CC3">
      <w:pPr>
        <w:spacing w:before="100"/>
        <w:rPr>
          <w:lang w:val="es-ES_tradnl"/>
        </w:rPr>
      </w:pPr>
    </w:p>
    <w:p w:rsidR="00281CC3" w:rsidRPr="00A10274" w:rsidRDefault="00811396" w:rsidP="0096474A">
      <w:pPr>
        <w:pStyle w:val="AnnexNoTitle"/>
        <w:rPr>
          <w:lang w:val="es-ES_tradnl"/>
        </w:rPr>
      </w:pPr>
      <w:r w:rsidRPr="00A10274">
        <w:rPr>
          <w:lang w:val="es-ES_tradnl"/>
        </w:rPr>
        <w:t>Adjunto</w:t>
      </w:r>
      <w:r w:rsidR="00281CC3" w:rsidRPr="00A10274">
        <w:rPr>
          <w:lang w:val="es-ES_tradnl"/>
        </w:rPr>
        <w:t xml:space="preserve"> 1</w:t>
      </w:r>
      <w:r w:rsidR="00281CC3" w:rsidRPr="00A10274">
        <w:rPr>
          <w:lang w:val="es-ES_tradnl"/>
        </w:rPr>
        <w:br/>
      </w:r>
      <w:r w:rsidR="00281CC3" w:rsidRPr="00A10274">
        <w:rPr>
          <w:lang w:val="es-ES_tradnl"/>
        </w:rPr>
        <w:br/>
      </w:r>
      <w:r w:rsidRPr="00A10274">
        <w:rPr>
          <w:lang w:val="es-ES_tradnl"/>
        </w:rPr>
        <w:t xml:space="preserve">al Anexo </w:t>
      </w:r>
      <w:r w:rsidR="00281CC3" w:rsidRPr="00A10274">
        <w:rPr>
          <w:lang w:val="es-ES_tradnl"/>
        </w:rPr>
        <w:t>1</w:t>
      </w:r>
      <w:r w:rsidRPr="00A10274">
        <w:rPr>
          <w:lang w:val="es-ES_tradnl"/>
        </w:rPr>
        <w:br/>
      </w:r>
      <w:r w:rsidRPr="00A10274">
        <w:rPr>
          <w:lang w:val="es-ES_tradnl"/>
        </w:rPr>
        <w:br/>
      </w:r>
      <w:r w:rsidR="00281CC3" w:rsidRPr="00A10274">
        <w:rPr>
          <w:lang w:val="es-ES_tradnl"/>
        </w:rPr>
        <w:t>Determinación de la interferencia causada</w:t>
      </w:r>
      <w:r w:rsidR="0096474A">
        <w:rPr>
          <w:lang w:val="es-ES_tradnl"/>
        </w:rPr>
        <w:br/>
      </w:r>
      <w:r w:rsidR="00281CC3" w:rsidRPr="00A10274">
        <w:rPr>
          <w:lang w:val="es-ES_tradnl"/>
        </w:rPr>
        <w:t>a los sistemas digitales del servicio fijo</w:t>
      </w:r>
    </w:p>
    <w:p w:rsidR="00281CC3" w:rsidRPr="00A10274" w:rsidRDefault="00281CC3" w:rsidP="00281CC3">
      <w:pPr>
        <w:pStyle w:val="Heading1"/>
        <w:rPr>
          <w:lang w:val="es-ES_tradnl"/>
        </w:rPr>
      </w:pPr>
      <w:r w:rsidRPr="00A10274">
        <w:rPr>
          <w:lang w:val="es-ES_tradnl"/>
        </w:rPr>
        <w:t>1</w:t>
      </w:r>
      <w:r w:rsidRPr="00A10274">
        <w:rPr>
          <w:lang w:val="es-ES_tradnl"/>
        </w:rPr>
        <w:tab/>
        <w:t>Metodología</w:t>
      </w:r>
    </w:p>
    <w:p w:rsidR="00281CC3" w:rsidRPr="00A10274" w:rsidRDefault="00281CC3" w:rsidP="00E07EAF">
      <w:pPr>
        <w:rPr>
          <w:lang w:val="es-ES_tradnl"/>
        </w:rPr>
      </w:pPr>
      <w:r w:rsidRPr="00A10274">
        <w:rPr>
          <w:lang w:val="es-ES_tradnl"/>
        </w:rPr>
        <w:t>A continuación se resume la metodología del análisis de la Recomendación UIT-R F.1107. Las redes del SFS están situadas en orden y a intervalos equidistantes a lo largo del arco geoestacionario (por ejemplo, 2</w:t>
      </w:r>
      <w:r w:rsidR="00DE1A88" w:rsidRPr="00A10274">
        <w:rPr>
          <w:rFonts w:ascii="Symbol" w:hAnsi="Symbol"/>
          <w:lang w:val="es-ES_tradnl"/>
        </w:rPr>
        <w:t></w:t>
      </w:r>
      <w:r w:rsidRPr="00A10274">
        <w:rPr>
          <w:lang w:val="es-ES_tradnl"/>
        </w:rPr>
        <w:t>). Los niveles de densidad de dfp que radian sobre la superficie de la Tierra se supone que son los siguientes:</w:t>
      </w:r>
    </w:p>
    <w:p w:rsidR="00281CC3" w:rsidRPr="00A10274" w:rsidRDefault="00281CC3" w:rsidP="00281CC3">
      <w:pPr>
        <w:tabs>
          <w:tab w:val="left" w:pos="5529"/>
        </w:tabs>
        <w:rPr>
          <w:lang w:val="es-ES_tradnl"/>
        </w:rPr>
      </w:pPr>
      <w:r w:rsidRPr="00A10274">
        <w:rPr>
          <w:lang w:val="es-ES_tradnl"/>
        </w:rPr>
        <w:tab/>
      </w:r>
      <w:r w:rsidRPr="00A10274">
        <w:rPr>
          <w:i/>
          <w:iCs/>
          <w:lang w:val="es-ES_tradnl"/>
        </w:rPr>
        <w:t>dfp</w:t>
      </w:r>
      <w:r w:rsidRPr="00A10274">
        <w:rPr>
          <w:i/>
          <w:iCs/>
          <w:position w:val="-4"/>
          <w:sz w:val="20"/>
          <w:lang w:val="es-ES_tradnl"/>
        </w:rPr>
        <w:t>baja</w:t>
      </w:r>
      <w:r w:rsidRPr="00A10274">
        <w:rPr>
          <w:lang w:val="es-ES_tradnl"/>
        </w:rPr>
        <w:tab/>
      </w:r>
      <w:r w:rsidRPr="00A10274">
        <w:rPr>
          <w:lang w:val="es-ES_tradnl"/>
        </w:rPr>
        <w:tab/>
      </w:r>
      <w:r w:rsidRPr="00A10274">
        <w:rPr>
          <w:lang w:val="es-ES_tradnl"/>
        </w:rPr>
        <w:tab/>
        <w:t xml:space="preserve">para   0º </w:t>
      </w:r>
      <w:r w:rsidRPr="00A10274">
        <w:rPr>
          <w:lang w:val="es-ES_tradnl"/>
        </w:rPr>
        <w:sym w:font="Symbol" w:char="F0A3"/>
      </w:r>
      <w:r w:rsidRPr="00A10274">
        <w:rPr>
          <w:lang w:val="es-ES_tradnl"/>
        </w:rPr>
        <w:t xml:space="preserve"> </w:t>
      </w:r>
      <w:r w:rsidRPr="00A10274">
        <w:rPr>
          <w:rFonts w:ascii="Symbol" w:hAnsi="Symbol"/>
          <w:lang w:val="es-ES_tradnl"/>
        </w:rPr>
        <w:t></w:t>
      </w:r>
      <w:r w:rsidRPr="00A10274">
        <w:rPr>
          <w:lang w:val="es-ES_tradnl"/>
        </w:rPr>
        <w:t xml:space="preserve"> </w:t>
      </w:r>
      <w:r w:rsidRPr="00A10274">
        <w:rPr>
          <w:lang w:val="es-ES_tradnl"/>
        </w:rPr>
        <w:sym w:font="Symbol" w:char="F0A3"/>
      </w:r>
      <w:r w:rsidRPr="00A10274">
        <w:rPr>
          <w:lang w:val="es-ES_tradnl"/>
        </w:rPr>
        <w:t xml:space="preserve"> 5º</w:t>
      </w:r>
    </w:p>
    <w:p w:rsidR="00281CC3" w:rsidRPr="00A10274" w:rsidRDefault="00281CC3" w:rsidP="00281CC3">
      <w:pPr>
        <w:tabs>
          <w:tab w:val="left" w:pos="5529"/>
        </w:tabs>
        <w:rPr>
          <w:lang w:val="es-ES_tradnl"/>
        </w:rPr>
      </w:pPr>
      <w:r w:rsidRPr="00A10274">
        <w:rPr>
          <w:lang w:val="es-ES_tradnl"/>
        </w:rPr>
        <w:tab/>
      </w:r>
      <w:r w:rsidRPr="00A10274">
        <w:rPr>
          <w:i/>
          <w:iCs/>
          <w:lang w:val="es-ES_tradnl"/>
        </w:rPr>
        <w:t>dfp</w:t>
      </w:r>
      <w:r w:rsidRPr="00A10274">
        <w:rPr>
          <w:i/>
          <w:iCs/>
          <w:position w:val="-4"/>
          <w:sz w:val="20"/>
          <w:lang w:val="es-ES_tradnl"/>
        </w:rPr>
        <w:t>baja</w:t>
      </w:r>
      <w:r w:rsidRPr="00A10274">
        <w:rPr>
          <w:lang w:val="es-ES_tradnl"/>
        </w:rPr>
        <w:t xml:space="preserve"> + 0,05(</w:t>
      </w:r>
      <w:r w:rsidRPr="00A10274">
        <w:rPr>
          <w:i/>
          <w:iCs/>
          <w:lang w:val="es-ES_tradnl"/>
        </w:rPr>
        <w:t>dfp</w:t>
      </w:r>
      <w:r w:rsidRPr="00A10274">
        <w:rPr>
          <w:i/>
          <w:iCs/>
          <w:position w:val="-4"/>
          <w:sz w:val="20"/>
          <w:lang w:val="es-ES_tradnl"/>
        </w:rPr>
        <w:t>alta</w:t>
      </w:r>
      <w:r w:rsidRPr="00A10274">
        <w:rPr>
          <w:vertAlign w:val="subscript"/>
          <w:lang w:val="es-ES_tradnl"/>
        </w:rPr>
        <w:t xml:space="preserve"> </w:t>
      </w:r>
      <w:r w:rsidRPr="00A10274">
        <w:rPr>
          <w:lang w:val="es-ES_tradnl"/>
        </w:rPr>
        <w:t xml:space="preserve">– </w:t>
      </w:r>
      <w:r w:rsidRPr="00A10274">
        <w:rPr>
          <w:i/>
          <w:iCs/>
          <w:lang w:val="es-ES_tradnl"/>
        </w:rPr>
        <w:t>dfp</w:t>
      </w:r>
      <w:r w:rsidRPr="00A10274">
        <w:rPr>
          <w:i/>
          <w:iCs/>
          <w:position w:val="-4"/>
          <w:sz w:val="20"/>
          <w:lang w:val="es-ES_tradnl"/>
        </w:rPr>
        <w:t>baja</w:t>
      </w:r>
      <w:r w:rsidRPr="00A10274">
        <w:rPr>
          <w:lang w:val="es-ES_tradnl"/>
        </w:rPr>
        <w:t>) (</w:t>
      </w:r>
      <w:r w:rsidRPr="00A10274">
        <w:rPr>
          <w:rFonts w:ascii="Symbol" w:hAnsi="Symbol"/>
          <w:lang w:val="es-ES_tradnl"/>
        </w:rPr>
        <w:t></w:t>
      </w:r>
      <w:r w:rsidRPr="00A10274">
        <w:rPr>
          <w:lang w:val="es-ES_tradnl"/>
        </w:rPr>
        <w:t xml:space="preserve"> – 5)</w:t>
      </w:r>
      <w:r w:rsidRPr="00A10274">
        <w:rPr>
          <w:lang w:val="es-ES_tradnl"/>
        </w:rPr>
        <w:tab/>
        <w:t xml:space="preserve">para   5º </w:t>
      </w:r>
      <w:r w:rsidRPr="00A10274">
        <w:rPr>
          <w:lang w:val="es-ES_tradnl"/>
        </w:rPr>
        <w:sym w:font="Symbol" w:char="F0A3"/>
      </w:r>
      <w:r w:rsidRPr="00A10274">
        <w:rPr>
          <w:lang w:val="es-ES_tradnl"/>
        </w:rPr>
        <w:t xml:space="preserve"> </w:t>
      </w:r>
      <w:r w:rsidRPr="00A10274">
        <w:rPr>
          <w:rFonts w:ascii="Symbol" w:hAnsi="Symbol"/>
          <w:lang w:val="es-ES_tradnl"/>
        </w:rPr>
        <w:t></w:t>
      </w:r>
      <w:r w:rsidRPr="00A10274">
        <w:rPr>
          <w:lang w:val="es-ES_tradnl"/>
        </w:rPr>
        <w:t xml:space="preserve"> &lt; 25º</w:t>
      </w:r>
    </w:p>
    <w:p w:rsidR="00281CC3" w:rsidRPr="00A10274" w:rsidRDefault="00281CC3" w:rsidP="00281CC3">
      <w:pPr>
        <w:tabs>
          <w:tab w:val="left" w:pos="5529"/>
        </w:tabs>
        <w:rPr>
          <w:lang w:val="es-ES_tradnl"/>
        </w:rPr>
      </w:pPr>
      <w:r w:rsidRPr="00A10274">
        <w:rPr>
          <w:lang w:val="es-ES_tradnl"/>
        </w:rPr>
        <w:tab/>
      </w:r>
      <w:r w:rsidRPr="00A10274">
        <w:rPr>
          <w:i/>
          <w:iCs/>
          <w:lang w:val="es-ES_tradnl"/>
        </w:rPr>
        <w:t>dfp</w:t>
      </w:r>
      <w:r w:rsidRPr="00A10274">
        <w:rPr>
          <w:i/>
          <w:iCs/>
          <w:position w:val="-4"/>
          <w:sz w:val="20"/>
          <w:lang w:val="es-ES_tradnl"/>
        </w:rPr>
        <w:t>alta</w:t>
      </w:r>
      <w:r w:rsidRPr="00A10274">
        <w:rPr>
          <w:lang w:val="es-ES_tradnl"/>
        </w:rPr>
        <w:tab/>
      </w:r>
      <w:r w:rsidRPr="00A10274">
        <w:rPr>
          <w:lang w:val="es-ES_tradnl"/>
        </w:rPr>
        <w:tab/>
      </w:r>
      <w:r w:rsidRPr="00A10274">
        <w:rPr>
          <w:lang w:val="es-ES_tradnl"/>
        </w:rPr>
        <w:tab/>
        <w:t xml:space="preserve">para 25º </w:t>
      </w:r>
      <w:r w:rsidRPr="00A10274">
        <w:rPr>
          <w:lang w:val="es-ES_tradnl"/>
        </w:rPr>
        <w:sym w:font="Symbol" w:char="F0A3"/>
      </w:r>
      <w:r w:rsidRPr="00A10274">
        <w:rPr>
          <w:lang w:val="es-ES_tradnl"/>
        </w:rPr>
        <w:t xml:space="preserve"> </w:t>
      </w:r>
      <w:r w:rsidRPr="00A10274">
        <w:rPr>
          <w:rFonts w:ascii="Symbol" w:hAnsi="Symbol"/>
          <w:lang w:val="es-ES_tradnl"/>
        </w:rPr>
        <w:t></w:t>
      </w:r>
      <w:r w:rsidRPr="00A10274">
        <w:rPr>
          <w:lang w:val="es-ES_tradnl"/>
        </w:rPr>
        <w:t xml:space="preserve"> </w:t>
      </w:r>
      <w:r w:rsidRPr="00A10274">
        <w:rPr>
          <w:lang w:val="es-ES_tradnl"/>
        </w:rPr>
        <w:sym w:font="Symbol" w:char="F0A3"/>
      </w:r>
      <w:r w:rsidRPr="00A10274">
        <w:rPr>
          <w:lang w:val="es-ES_tradnl"/>
        </w:rPr>
        <w:t xml:space="preserve"> 90º</w:t>
      </w:r>
    </w:p>
    <w:p w:rsidR="00281CC3" w:rsidRPr="00A10274" w:rsidRDefault="00281CC3" w:rsidP="00281CC3">
      <w:pPr>
        <w:rPr>
          <w:lang w:val="es-ES_tradnl"/>
        </w:rPr>
      </w:pPr>
      <w:r w:rsidRPr="00A10274">
        <w:rPr>
          <w:lang w:val="es-ES_tradnl"/>
        </w:rPr>
        <w:t xml:space="preserve">La metodología que se utiliza difiere de la que se utiliza en la Recomendación UIT-R F.1107 en un aspecto importante. A fin de medir el efecto de un satélite del SFS que sobrepase los umbrales de dfp, el análisis permite la especificación de satélites adicionales (situados en cualquier órbita) que sobrepasa los umbrales de dfp en un valor </w:t>
      </w:r>
      <w:r w:rsidRPr="00A10274">
        <w:rPr>
          <w:lang w:val="es-ES_tradnl"/>
        </w:rPr>
        <w:sym w:font="Symbol" w:char="F062"/>
      </w:r>
      <w:r w:rsidRPr="00A10274">
        <w:rPr>
          <w:lang w:val="es-ES_tradnl"/>
        </w:rPr>
        <w:t xml:space="preserve"> dB. Se supone que las dfp producidas por estos satélites tienen la siguiente distribución:</w:t>
      </w:r>
    </w:p>
    <w:p w:rsidR="00281CC3" w:rsidRPr="00A10274" w:rsidRDefault="00281CC3" w:rsidP="00BB2440">
      <w:pPr>
        <w:tabs>
          <w:tab w:val="left" w:pos="5954"/>
        </w:tabs>
        <w:rPr>
          <w:lang w:val="es-ES_tradnl"/>
        </w:rPr>
      </w:pPr>
      <w:r w:rsidRPr="00A10274">
        <w:rPr>
          <w:lang w:val="es-ES_tradnl"/>
        </w:rPr>
        <w:tab/>
      </w:r>
      <w:r w:rsidRPr="00A10274">
        <w:rPr>
          <w:i/>
          <w:iCs/>
          <w:lang w:val="es-ES_tradnl"/>
        </w:rPr>
        <w:t>dfp</w:t>
      </w:r>
      <w:r w:rsidRPr="00A10274">
        <w:rPr>
          <w:i/>
          <w:iCs/>
          <w:position w:val="-4"/>
          <w:sz w:val="20"/>
          <w:lang w:val="es-ES_tradnl"/>
        </w:rPr>
        <w:t>baja</w:t>
      </w:r>
      <w:r w:rsidRPr="00A10274">
        <w:rPr>
          <w:lang w:val="es-ES_tradnl"/>
        </w:rPr>
        <w:t xml:space="preserve"> + </w:t>
      </w:r>
      <w:r w:rsidRPr="00A10274">
        <w:rPr>
          <w:lang w:val="es-ES_tradnl"/>
        </w:rPr>
        <w:sym w:font="Symbol" w:char="F062"/>
      </w:r>
      <w:r w:rsidRPr="00A10274">
        <w:rPr>
          <w:lang w:val="es-ES_tradnl"/>
        </w:rPr>
        <w:tab/>
      </w:r>
      <w:r w:rsidRPr="00A10274">
        <w:rPr>
          <w:lang w:val="es-ES_tradnl"/>
        </w:rPr>
        <w:tab/>
        <w:t xml:space="preserve">para   0º </w:t>
      </w:r>
      <w:r w:rsidRPr="00A10274">
        <w:rPr>
          <w:lang w:val="es-ES_tradnl"/>
        </w:rPr>
        <w:sym w:font="Symbol" w:char="F0A3"/>
      </w:r>
      <w:r w:rsidRPr="00A10274">
        <w:rPr>
          <w:lang w:val="es-ES_tradnl"/>
        </w:rPr>
        <w:t xml:space="preserve"> </w:t>
      </w:r>
      <w:r w:rsidRPr="00A10274">
        <w:rPr>
          <w:rFonts w:ascii="Symbol" w:hAnsi="Symbol"/>
          <w:lang w:val="es-ES_tradnl"/>
        </w:rPr>
        <w:t></w:t>
      </w:r>
      <w:r w:rsidRPr="00A10274">
        <w:rPr>
          <w:lang w:val="es-ES_tradnl"/>
        </w:rPr>
        <w:t xml:space="preserve"> </w:t>
      </w:r>
      <w:r w:rsidRPr="00A10274">
        <w:rPr>
          <w:lang w:val="es-ES_tradnl"/>
        </w:rPr>
        <w:sym w:font="Symbol" w:char="F0A3"/>
      </w:r>
      <w:r w:rsidRPr="00A10274">
        <w:rPr>
          <w:lang w:val="es-ES_tradnl"/>
        </w:rPr>
        <w:t xml:space="preserve"> 5</w:t>
      </w:r>
      <w:r w:rsidR="00BB2440">
        <w:rPr>
          <w:lang w:val="es-ES_tradnl"/>
        </w:rPr>
        <w:t>°</w:t>
      </w:r>
    </w:p>
    <w:p w:rsidR="00281CC3" w:rsidRPr="00A10274" w:rsidRDefault="00281CC3" w:rsidP="00BB2440">
      <w:pPr>
        <w:tabs>
          <w:tab w:val="left" w:pos="5954"/>
        </w:tabs>
        <w:rPr>
          <w:lang w:val="es-ES_tradnl"/>
        </w:rPr>
      </w:pPr>
      <w:r w:rsidRPr="00A10274">
        <w:rPr>
          <w:lang w:val="es-ES_tradnl"/>
        </w:rPr>
        <w:tab/>
      </w:r>
      <w:r w:rsidRPr="00A10274">
        <w:rPr>
          <w:i/>
          <w:iCs/>
          <w:lang w:val="es-ES_tradnl"/>
        </w:rPr>
        <w:t>dfp</w:t>
      </w:r>
      <w:r w:rsidRPr="00A10274">
        <w:rPr>
          <w:i/>
          <w:iCs/>
          <w:position w:val="-4"/>
          <w:sz w:val="20"/>
          <w:lang w:val="es-ES_tradnl"/>
        </w:rPr>
        <w:t>baja</w:t>
      </w:r>
      <w:r w:rsidRPr="00A10274">
        <w:rPr>
          <w:lang w:val="es-ES_tradnl"/>
        </w:rPr>
        <w:t xml:space="preserve"> + 0,05 (</w:t>
      </w:r>
      <w:r w:rsidRPr="00A10274">
        <w:rPr>
          <w:i/>
          <w:iCs/>
          <w:lang w:val="es-ES_tradnl"/>
        </w:rPr>
        <w:t>dfp</w:t>
      </w:r>
      <w:r w:rsidRPr="00A10274">
        <w:rPr>
          <w:i/>
          <w:iCs/>
          <w:position w:val="-4"/>
          <w:sz w:val="20"/>
          <w:lang w:val="es-ES_tradnl"/>
        </w:rPr>
        <w:t>alta</w:t>
      </w:r>
      <w:r w:rsidRPr="00A10274">
        <w:rPr>
          <w:lang w:val="es-ES_tradnl"/>
        </w:rPr>
        <w:t xml:space="preserve"> – </w:t>
      </w:r>
      <w:r w:rsidRPr="00A10274">
        <w:rPr>
          <w:i/>
          <w:iCs/>
          <w:lang w:val="es-ES_tradnl"/>
        </w:rPr>
        <w:t>dfp</w:t>
      </w:r>
      <w:r w:rsidRPr="00A10274">
        <w:rPr>
          <w:i/>
          <w:iCs/>
          <w:position w:val="-4"/>
          <w:sz w:val="20"/>
          <w:lang w:val="es-ES_tradnl"/>
        </w:rPr>
        <w:t>baja</w:t>
      </w:r>
      <w:r w:rsidRPr="00A10274">
        <w:rPr>
          <w:lang w:val="es-ES_tradnl"/>
        </w:rPr>
        <w:t>) (</w:t>
      </w:r>
      <w:r w:rsidRPr="00A10274">
        <w:rPr>
          <w:rFonts w:ascii="Symbol" w:hAnsi="Symbol"/>
          <w:lang w:val="es-ES_tradnl"/>
        </w:rPr>
        <w:t></w:t>
      </w:r>
      <w:r w:rsidRPr="00A10274">
        <w:rPr>
          <w:lang w:val="es-ES_tradnl"/>
        </w:rPr>
        <w:t xml:space="preserve"> – 5) + </w:t>
      </w:r>
      <w:r w:rsidRPr="00A10274">
        <w:rPr>
          <w:lang w:val="es-ES_tradnl"/>
        </w:rPr>
        <w:sym w:font="Symbol" w:char="F062"/>
      </w:r>
      <w:r w:rsidRPr="00A10274">
        <w:rPr>
          <w:lang w:val="es-ES_tradnl"/>
        </w:rPr>
        <w:tab/>
        <w:t xml:space="preserve">para   5º </w:t>
      </w:r>
      <w:r w:rsidRPr="00A10274">
        <w:rPr>
          <w:lang w:val="es-ES_tradnl"/>
        </w:rPr>
        <w:sym w:font="Symbol" w:char="F0A3"/>
      </w:r>
      <w:r w:rsidRPr="00A10274">
        <w:rPr>
          <w:lang w:val="es-ES_tradnl"/>
        </w:rPr>
        <w:t xml:space="preserve"> </w:t>
      </w:r>
      <w:r w:rsidRPr="00A10274">
        <w:rPr>
          <w:rFonts w:ascii="Symbol" w:hAnsi="Symbol"/>
          <w:lang w:val="es-ES_tradnl"/>
        </w:rPr>
        <w:t></w:t>
      </w:r>
      <w:r w:rsidRPr="00A10274">
        <w:rPr>
          <w:lang w:val="es-ES_tradnl"/>
        </w:rPr>
        <w:t xml:space="preserve"> &lt; 25</w:t>
      </w:r>
      <w:r w:rsidR="00BB2440">
        <w:rPr>
          <w:lang w:val="es-ES_tradnl"/>
        </w:rPr>
        <w:t>°</w:t>
      </w:r>
    </w:p>
    <w:p w:rsidR="00281CC3" w:rsidRPr="00A10274" w:rsidRDefault="00281CC3" w:rsidP="00BB2440">
      <w:pPr>
        <w:tabs>
          <w:tab w:val="left" w:pos="5954"/>
        </w:tabs>
        <w:rPr>
          <w:lang w:val="es-ES_tradnl"/>
        </w:rPr>
      </w:pPr>
      <w:r w:rsidRPr="00A10274">
        <w:rPr>
          <w:lang w:val="es-ES_tradnl"/>
        </w:rPr>
        <w:tab/>
      </w:r>
      <w:r w:rsidRPr="00A10274">
        <w:rPr>
          <w:i/>
          <w:iCs/>
          <w:lang w:val="es-ES_tradnl"/>
        </w:rPr>
        <w:t>dfp</w:t>
      </w:r>
      <w:r w:rsidRPr="00A10274">
        <w:rPr>
          <w:i/>
          <w:iCs/>
          <w:position w:val="-4"/>
          <w:sz w:val="20"/>
          <w:lang w:val="es-ES_tradnl"/>
        </w:rPr>
        <w:t>alta</w:t>
      </w:r>
      <w:r w:rsidRPr="00A10274">
        <w:rPr>
          <w:lang w:val="es-ES_tradnl"/>
        </w:rPr>
        <w:t xml:space="preserve"> + </w:t>
      </w:r>
      <w:r w:rsidRPr="00A10274">
        <w:rPr>
          <w:lang w:val="es-ES_tradnl"/>
        </w:rPr>
        <w:sym w:font="Symbol" w:char="F062"/>
      </w:r>
      <w:r w:rsidRPr="00A10274">
        <w:rPr>
          <w:lang w:val="es-ES_tradnl"/>
        </w:rPr>
        <w:tab/>
      </w:r>
      <w:r w:rsidRPr="00A10274">
        <w:rPr>
          <w:lang w:val="es-ES_tradnl"/>
        </w:rPr>
        <w:tab/>
        <w:t xml:space="preserve">para 25º </w:t>
      </w:r>
      <w:r w:rsidRPr="00A10274">
        <w:rPr>
          <w:lang w:val="es-ES_tradnl"/>
        </w:rPr>
        <w:sym w:font="Symbol" w:char="F0A3"/>
      </w:r>
      <w:r w:rsidRPr="00A10274">
        <w:rPr>
          <w:lang w:val="es-ES_tradnl"/>
        </w:rPr>
        <w:t xml:space="preserve"> </w:t>
      </w:r>
      <w:r w:rsidRPr="00A10274">
        <w:rPr>
          <w:rFonts w:ascii="Symbol" w:hAnsi="Symbol"/>
          <w:lang w:val="es-ES_tradnl"/>
        </w:rPr>
        <w:t></w:t>
      </w:r>
      <w:r w:rsidRPr="00A10274">
        <w:rPr>
          <w:lang w:val="es-ES_tradnl"/>
        </w:rPr>
        <w:t xml:space="preserve"> </w:t>
      </w:r>
      <w:r w:rsidRPr="00A10274">
        <w:rPr>
          <w:lang w:val="es-ES_tradnl"/>
        </w:rPr>
        <w:sym w:font="Symbol" w:char="F0A3"/>
      </w:r>
      <w:r w:rsidRPr="00A10274">
        <w:rPr>
          <w:lang w:val="es-ES_tradnl"/>
        </w:rPr>
        <w:t xml:space="preserve"> 90</w:t>
      </w:r>
      <w:r w:rsidR="00BB2440">
        <w:rPr>
          <w:lang w:val="es-ES_tradnl"/>
        </w:rPr>
        <w:t>°</w:t>
      </w:r>
    </w:p>
    <w:p w:rsidR="00281CC3" w:rsidRPr="00A10274" w:rsidRDefault="00281CC3" w:rsidP="00DE1A88">
      <w:pPr>
        <w:spacing w:before="360"/>
        <w:rPr>
          <w:lang w:val="es-ES_tradnl"/>
        </w:rPr>
      </w:pPr>
      <w:r w:rsidRPr="00A10274">
        <w:rPr>
          <w:lang w:val="es-ES_tradnl"/>
        </w:rPr>
        <w:t>Cada estación digital se analiza independientemente de todas las demás. Con objeto de realizar el análisis de interferencia, se modeliza un conjunto de receptores de manera que cada estación tenga la misma latitud, pero una longitud cuyo valor se toma aleatoriamente en un intervalo de 60</w:t>
      </w:r>
      <w:r w:rsidR="00DE1A88" w:rsidRPr="00A10274">
        <w:rPr>
          <w:lang w:val="es-ES_tradnl"/>
        </w:rPr>
        <w:t>°</w:t>
      </w:r>
      <w:r w:rsidRPr="00A10274">
        <w:rPr>
          <w:lang w:val="es-ES_tradnl"/>
        </w:rPr>
        <w:t xml:space="preserve"> (esta última es una metodología similar a la que se utiliza en la Recomendación UIT</w:t>
      </w:r>
      <w:r w:rsidRPr="00A10274">
        <w:rPr>
          <w:lang w:val="es-ES_tradnl"/>
        </w:rPr>
        <w:noBreakHyphen/>
        <w:t>R F.1107). Cada antena del servicio fijo tiene un ángulo de elevación de 0</w:t>
      </w:r>
      <w:r w:rsidR="00DE1A88" w:rsidRPr="00A10274">
        <w:rPr>
          <w:lang w:val="es-ES_tradnl"/>
        </w:rPr>
        <w:t>°</w:t>
      </w:r>
      <w:r w:rsidRPr="00A10274">
        <w:rPr>
          <w:lang w:val="es-ES_tradnl"/>
        </w:rPr>
        <w:t xml:space="preserve"> y un ángulo de acimut escogido aleatoriamente y distribuido uniformemente entre 0</w:t>
      </w:r>
      <w:r w:rsidR="00DE1A88" w:rsidRPr="00A10274">
        <w:rPr>
          <w:lang w:val="es-ES_tradnl"/>
        </w:rPr>
        <w:t>°</w:t>
      </w:r>
      <w:r w:rsidRPr="00A10274">
        <w:rPr>
          <w:lang w:val="es-ES_tradnl"/>
        </w:rPr>
        <w:t xml:space="preserve"> y 360</w:t>
      </w:r>
      <w:r w:rsidR="00DE1A88" w:rsidRPr="00A10274">
        <w:rPr>
          <w:lang w:val="es-ES_tradnl"/>
        </w:rPr>
        <w:t>°</w:t>
      </w:r>
      <w:r w:rsidRPr="00A10274">
        <w:rPr>
          <w:lang w:val="es-ES_tradnl"/>
        </w:rPr>
        <w:t>. Para cada una de ellas, el valor de la interferencia se convierte a un valor DFC, de la forma especificada en la Recomendación UIT</w:t>
      </w:r>
      <w:r w:rsidRPr="00A10274">
        <w:rPr>
          <w:lang w:val="es-ES_tradnl"/>
        </w:rPr>
        <w:noBreakHyphen/>
        <w:t>R F.1108. Posteriormente se calcula una distribución acumulativa para la DFC.</w:t>
      </w:r>
    </w:p>
    <w:p w:rsidR="00281CC3" w:rsidRPr="00A10274" w:rsidRDefault="00281CC3" w:rsidP="00281CC3">
      <w:pPr>
        <w:pStyle w:val="Heading1"/>
        <w:spacing w:before="360"/>
        <w:rPr>
          <w:lang w:val="es-ES_tradnl"/>
        </w:rPr>
      </w:pPr>
      <w:r w:rsidRPr="00A10274">
        <w:rPr>
          <w:lang w:val="es-ES_tradnl"/>
        </w:rPr>
        <w:t>2</w:t>
      </w:r>
      <w:r w:rsidRPr="00A10274">
        <w:rPr>
          <w:lang w:val="es-ES_tradnl"/>
        </w:rPr>
        <w:tab/>
        <w:t>Resultados</w:t>
      </w:r>
    </w:p>
    <w:p w:rsidR="00281CC3" w:rsidRPr="00A10274" w:rsidRDefault="00281CC3" w:rsidP="006D297E">
      <w:pPr>
        <w:spacing w:line="280" w:lineRule="exact"/>
        <w:rPr>
          <w:lang w:val="es-ES_tradnl"/>
        </w:rPr>
      </w:pPr>
      <w:r w:rsidRPr="00A10274">
        <w:rPr>
          <w:lang w:val="es-ES_tradnl"/>
        </w:rPr>
        <w:t>Las Figs. 1,</w:t>
      </w:r>
      <w:r w:rsidR="00DE1A88" w:rsidRPr="00A10274">
        <w:rPr>
          <w:lang w:val="es-ES_tradnl"/>
        </w:rPr>
        <w:t xml:space="preserve"> </w:t>
      </w:r>
      <w:r w:rsidRPr="00A10274">
        <w:rPr>
          <w:lang w:val="es-ES_tradnl"/>
        </w:rPr>
        <w:t>2</w:t>
      </w:r>
      <w:r w:rsidR="00DE1A88" w:rsidRPr="00A10274">
        <w:rPr>
          <w:lang w:val="es-ES_tradnl"/>
        </w:rPr>
        <w:t xml:space="preserve"> </w:t>
      </w:r>
      <w:r w:rsidRPr="00A10274">
        <w:rPr>
          <w:lang w:val="es-ES_tradnl"/>
        </w:rPr>
        <w:t>y 3 representan los resultados de un análisis de interferencia de una red digital de satélites OSG del SFS espaciados 2</w:t>
      </w:r>
      <w:r w:rsidR="00BB2440">
        <w:rPr>
          <w:lang w:val="es-ES_tradnl"/>
        </w:rPr>
        <w:t>°</w:t>
      </w:r>
      <w:r w:rsidRPr="00A10274">
        <w:rPr>
          <w:lang w:val="es-ES_tradnl"/>
        </w:rPr>
        <w:t xml:space="preserve"> que causan interferencia en una red digital del servicio fijo. La línea de base del sistema SFS funciona con una </w:t>
      </w:r>
      <w:r w:rsidRPr="00A10274">
        <w:rPr>
          <w:i/>
          <w:iCs/>
          <w:lang w:val="es-ES_tradnl"/>
        </w:rPr>
        <w:t>dfp</w:t>
      </w:r>
      <w:r w:rsidRPr="00A10274">
        <w:rPr>
          <w:i/>
          <w:iCs/>
          <w:position w:val="-4"/>
          <w:sz w:val="20"/>
          <w:lang w:val="es-ES_tradnl"/>
        </w:rPr>
        <w:t>baja</w:t>
      </w:r>
      <w:r w:rsidRPr="00A10274">
        <w:rPr>
          <w:lang w:val="es-ES_tradnl"/>
        </w:rPr>
        <w:t> = –124 dB(W/(m</w:t>
      </w:r>
      <w:r w:rsidRPr="00A10274">
        <w:rPr>
          <w:position w:val="6"/>
          <w:sz w:val="20"/>
          <w:lang w:val="es-ES_tradnl"/>
        </w:rPr>
        <w:t>2</w:t>
      </w:r>
      <w:r w:rsidRPr="00A10274">
        <w:rPr>
          <w:lang w:val="es-ES_tradnl"/>
        </w:rPr>
        <w:t xml:space="preserve"> · MHz)) y una </w:t>
      </w:r>
      <w:r w:rsidRPr="00A10274">
        <w:rPr>
          <w:i/>
          <w:iCs/>
          <w:lang w:val="es-ES_tradnl"/>
        </w:rPr>
        <w:t>dfp</w:t>
      </w:r>
      <w:r w:rsidRPr="00A10274">
        <w:rPr>
          <w:i/>
          <w:iCs/>
          <w:position w:val="-4"/>
          <w:sz w:val="20"/>
          <w:lang w:val="es-ES_tradnl"/>
        </w:rPr>
        <w:t>alta</w:t>
      </w:r>
      <w:r w:rsidRPr="00A10274">
        <w:rPr>
          <w:lang w:val="es-ES_tradnl"/>
        </w:rPr>
        <w:t> = </w:t>
      </w:r>
      <w:r w:rsidRPr="00A10274">
        <w:rPr>
          <w:position w:val="12"/>
          <w:lang w:val="es-ES_tradnl"/>
        </w:rPr>
        <w:t>_</w:t>
      </w:r>
      <w:r w:rsidRPr="00A10274">
        <w:rPr>
          <w:lang w:val="es-ES_tradnl"/>
        </w:rPr>
        <w:t>114 dB(W/(m</w:t>
      </w:r>
      <w:r w:rsidRPr="00A10274">
        <w:rPr>
          <w:position w:val="6"/>
          <w:sz w:val="20"/>
          <w:lang w:val="es-ES_tradnl"/>
        </w:rPr>
        <w:t>2</w:t>
      </w:r>
      <w:r w:rsidRPr="00A10274">
        <w:rPr>
          <w:lang w:val="es-ES_tradnl"/>
        </w:rPr>
        <w:t> · MHz)), y transmite a una frecuencia de 11,95 GHz. La latitud del sistema del servicio fijo es</w:t>
      </w:r>
      <w:r w:rsidR="006D297E">
        <w:rPr>
          <w:lang w:val="es-ES_tradnl"/>
        </w:rPr>
        <w:t xml:space="preserve"> </w:t>
      </w:r>
      <w:r w:rsidRPr="00A10274">
        <w:rPr>
          <w:lang w:val="es-ES_tradnl"/>
        </w:rPr>
        <w:t>40</w:t>
      </w:r>
      <w:r w:rsidR="006D297E">
        <w:rPr>
          <w:lang w:val="es-ES_tradnl"/>
        </w:rPr>
        <w:t>°</w:t>
      </w:r>
      <w:r w:rsidRPr="00A10274">
        <w:rPr>
          <w:lang w:val="es-ES_tradnl"/>
        </w:rPr>
        <w:t>. En este ejemplo, se supone que la ganancia máxima de cada antena del servicio fijo es de 44 dB y que todos los receptores tienen una temperatura de ruido de</w:t>
      </w:r>
      <w:r w:rsidR="006D297E">
        <w:rPr>
          <w:lang w:val="es-ES_tradnl"/>
        </w:rPr>
        <w:t xml:space="preserve"> </w:t>
      </w:r>
      <w:r w:rsidRPr="00A10274">
        <w:rPr>
          <w:lang w:val="es-ES_tradnl"/>
        </w:rPr>
        <w:t>1</w:t>
      </w:r>
      <w:r w:rsidR="006D297E">
        <w:rPr>
          <w:lang w:val="es-ES_tradnl"/>
        </w:rPr>
        <w:t> </w:t>
      </w:r>
      <w:r w:rsidRPr="00A10274">
        <w:rPr>
          <w:lang w:val="es-ES_tradnl"/>
        </w:rPr>
        <w:t>100 K. Se utiliza una pérdida de la línea de alimentación de 3 dB y el diagrama de radiación de la antena corresponde al de la Recomendación UIT</w:t>
      </w:r>
      <w:r w:rsidRPr="00A10274">
        <w:rPr>
          <w:lang w:val="es-ES_tradnl"/>
        </w:rPr>
        <w:noBreakHyphen/>
        <w:t>R F.1245. En la leyenda, «Nsats» se refiere al número de satélites que sobrepasa la línea de base dfp por un factor </w:t>
      </w:r>
      <w:r w:rsidRPr="00A10274">
        <w:rPr>
          <w:lang w:val="es-ES_tradnl"/>
        </w:rPr>
        <w:sym w:font="Symbol" w:char="F062"/>
      </w:r>
      <w:r w:rsidRPr="00A10274">
        <w:rPr>
          <w:lang w:val="es-ES_tradnl"/>
        </w:rPr>
        <w:t xml:space="preserve"> = 10 dB; es decir, los satélites que tienen </w:t>
      </w:r>
      <w:r w:rsidRPr="00A10274">
        <w:rPr>
          <w:i/>
          <w:iCs/>
          <w:lang w:val="es-ES_tradnl"/>
        </w:rPr>
        <w:t>dfp</w:t>
      </w:r>
      <w:r w:rsidRPr="00A10274">
        <w:rPr>
          <w:i/>
          <w:iCs/>
          <w:position w:val="-4"/>
          <w:sz w:val="20"/>
          <w:lang w:val="es-ES_tradnl"/>
        </w:rPr>
        <w:t>baja</w:t>
      </w:r>
      <w:r w:rsidRPr="00A10274">
        <w:rPr>
          <w:lang w:val="es-ES_tradnl"/>
        </w:rPr>
        <w:t> + </w:t>
      </w:r>
      <w:r w:rsidRPr="00A10274">
        <w:rPr>
          <w:lang w:val="es-ES_tradnl"/>
        </w:rPr>
        <w:sym w:font="Symbol" w:char="F062"/>
      </w:r>
      <w:r w:rsidRPr="00A10274">
        <w:rPr>
          <w:lang w:val="es-ES_tradnl"/>
        </w:rPr>
        <w:t> =</w:t>
      </w:r>
      <w:r w:rsidR="006D297E">
        <w:rPr>
          <w:lang w:val="es-ES_tradnl"/>
        </w:rPr>
        <w:t xml:space="preserve"> </w:t>
      </w:r>
      <w:r w:rsidR="006D297E">
        <w:rPr>
          <w:lang w:val="es-ES_tradnl"/>
        </w:rPr>
        <w:fldChar w:fldCharType="begin"/>
      </w:r>
      <w:r w:rsidR="006D297E">
        <w:rPr>
          <w:lang w:val="es-ES_tradnl"/>
        </w:rPr>
        <w:instrText xml:space="preserve"> EQ  </w:instrText>
      </w:r>
      <w:r w:rsidR="006D297E" w:rsidRPr="00A10274">
        <w:rPr>
          <w:lang w:val="es-ES_tradnl"/>
        </w:rPr>
        <w:instrText> –114</w:instrText>
      </w:r>
      <w:r w:rsidR="006D297E">
        <w:rPr>
          <w:lang w:val="es-ES_tradnl"/>
        </w:rPr>
        <w:fldChar w:fldCharType="end"/>
      </w:r>
      <w:r w:rsidRPr="00A10274">
        <w:rPr>
          <w:lang w:val="es-ES_tradnl"/>
        </w:rPr>
        <w:t xml:space="preserve"> dB(W/(m</w:t>
      </w:r>
      <w:r w:rsidRPr="00A10274">
        <w:rPr>
          <w:position w:val="6"/>
          <w:sz w:val="20"/>
          <w:lang w:val="es-ES_tradnl"/>
        </w:rPr>
        <w:t>2</w:t>
      </w:r>
      <w:r w:rsidRPr="00A10274">
        <w:rPr>
          <w:lang w:val="es-ES_tradnl"/>
        </w:rPr>
        <w:t xml:space="preserve"> · MHz)) y </w:t>
      </w:r>
      <w:r w:rsidRPr="00A10274">
        <w:rPr>
          <w:i/>
          <w:iCs/>
          <w:lang w:val="es-ES_tradnl"/>
        </w:rPr>
        <w:t>dfp</w:t>
      </w:r>
      <w:r w:rsidRPr="00A10274">
        <w:rPr>
          <w:i/>
          <w:iCs/>
          <w:position w:val="-4"/>
          <w:sz w:val="20"/>
          <w:lang w:val="es-ES_tradnl"/>
        </w:rPr>
        <w:t>alta</w:t>
      </w:r>
      <w:r w:rsidRPr="00A10274">
        <w:rPr>
          <w:lang w:val="es-ES_tradnl"/>
        </w:rPr>
        <w:t xml:space="preserve"> + </w:t>
      </w:r>
      <w:r w:rsidRPr="00A10274">
        <w:rPr>
          <w:lang w:val="es-ES_tradnl"/>
        </w:rPr>
        <w:sym w:font="Symbol" w:char="F062"/>
      </w:r>
      <w:r w:rsidRPr="00A10274">
        <w:rPr>
          <w:lang w:val="es-ES_tradnl"/>
        </w:rPr>
        <w:t> = –104 dB(W/(m</w:t>
      </w:r>
      <w:r w:rsidRPr="00A10274">
        <w:rPr>
          <w:position w:val="6"/>
          <w:sz w:val="20"/>
          <w:lang w:val="es-ES_tradnl"/>
        </w:rPr>
        <w:t>2</w:t>
      </w:r>
      <w:r w:rsidRPr="00A10274">
        <w:rPr>
          <w:lang w:val="es-ES_tradnl"/>
        </w:rPr>
        <w:t> · MHz)). En la Fig. 1, los satélites que sobrepasan el umbral dfp eran los satélites más próximos al horizonte de la red del servicio fijo (los ángulos de elevación más pequeños). En la Fig. 2, los satélites que sobrepasan el umbral pfd eran los satélites Nsats más próximos al centro de la red del servicio fijo (ángulos de elevación más grandes). En la Fig. 3 se presentan otras situaciones. La línea de base de la curva es para los Nsats = 30, siendo estos satélites los más próximos al horizonte de la red del servicio fijo.</w:t>
      </w:r>
    </w:p>
    <w:p w:rsidR="00281CC3" w:rsidRPr="00A10274" w:rsidRDefault="00281CC3" w:rsidP="00281CC3">
      <w:pPr>
        <w:pStyle w:val="FigureNo"/>
        <w:rPr>
          <w:lang w:val="es-ES_tradnl" w:eastAsia="ja-JP"/>
        </w:rPr>
      </w:pPr>
      <w:r w:rsidRPr="00A10274">
        <w:rPr>
          <w:lang w:val="es-ES_tradnl" w:eastAsia="ja-JP"/>
        </w:rPr>
        <w:t>FIGURA 1</w:t>
      </w:r>
    </w:p>
    <w:p w:rsidR="00281CC3" w:rsidRDefault="00281CC3" w:rsidP="00281CC3">
      <w:pPr>
        <w:pStyle w:val="Figuretitle"/>
        <w:rPr>
          <w:bCs/>
          <w:color w:val="000000"/>
          <w:szCs w:val="18"/>
          <w:lang w:val="es-ES_tradnl"/>
        </w:rPr>
      </w:pPr>
      <w:r w:rsidRPr="00A10274">
        <w:rPr>
          <w:bCs/>
          <w:color w:val="000000"/>
          <w:szCs w:val="18"/>
          <w:lang w:val="es-ES_tradnl"/>
        </w:rPr>
        <w:t xml:space="preserve">Interferencia causada al servicio fijo digital por el SFS digital, </w:t>
      </w:r>
      <w:r w:rsidRPr="00A10274">
        <w:rPr>
          <w:bCs/>
          <w:color w:val="000000"/>
          <w:szCs w:val="18"/>
          <w:lang w:val="es-ES_tradnl"/>
        </w:rPr>
        <w:br/>
        <w:t>Nsats satélites más próximos al horizonte</w:t>
      </w:r>
    </w:p>
    <w:bookmarkStart w:id="4" w:name="_GoBack"/>
    <w:bookmarkEnd w:id="4"/>
    <w:p w:rsidR="00281CC3" w:rsidRPr="00A10274" w:rsidRDefault="00DE1A88" w:rsidP="00281CC3">
      <w:pPr>
        <w:pStyle w:val="Figure"/>
        <w:rPr>
          <w:lang w:val="es-ES_tradnl"/>
        </w:rPr>
      </w:pPr>
      <w:r w:rsidRPr="00A10274">
        <w:rPr>
          <w:lang w:val="es-ES_tradnl"/>
        </w:rPr>
        <w:object w:dxaOrig="4617" w:dyaOrig="3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9pt;height:250.9pt" o:ole="">
            <v:imagedata r:id="rId13" o:title=""/>
          </v:shape>
          <o:OLEObject Type="Embed" ProgID="CorelDRAW.Graphic.14" ShapeID="_x0000_i1025" DrawAspect="Content" ObjectID="_1474370122" r:id="rId14"/>
        </w:object>
      </w:r>
    </w:p>
    <w:p w:rsidR="00281CC3" w:rsidRPr="00A10274" w:rsidRDefault="00281CC3" w:rsidP="00281CC3">
      <w:pPr>
        <w:pStyle w:val="FigureNo"/>
        <w:rPr>
          <w:lang w:val="es-ES_tradnl" w:eastAsia="ja-JP"/>
        </w:rPr>
      </w:pPr>
      <w:r w:rsidRPr="00A10274">
        <w:rPr>
          <w:lang w:val="es-ES_tradnl" w:eastAsia="ja-JP"/>
        </w:rPr>
        <w:t>figurA 2</w:t>
      </w:r>
    </w:p>
    <w:p w:rsidR="00281CC3" w:rsidRPr="00A10274" w:rsidRDefault="00281CC3" w:rsidP="00281CC3">
      <w:pPr>
        <w:pStyle w:val="Figuretitle"/>
        <w:rPr>
          <w:lang w:val="es-ES_tradnl"/>
        </w:rPr>
      </w:pPr>
      <w:r w:rsidRPr="00A10274">
        <w:rPr>
          <w:bCs/>
          <w:color w:val="000000"/>
          <w:szCs w:val="18"/>
          <w:lang w:val="es-ES_tradnl"/>
        </w:rPr>
        <w:t xml:space="preserve">Interferencia causada al servicio fijo digital por el SFS digital, </w:t>
      </w:r>
      <w:r w:rsidRPr="00A10274">
        <w:rPr>
          <w:bCs/>
          <w:color w:val="000000"/>
          <w:szCs w:val="18"/>
          <w:lang w:val="es-ES_tradnl"/>
        </w:rPr>
        <w:br/>
        <w:t>Nsats satélites más próximos al centro de la red del servicio fijo</w:t>
      </w:r>
    </w:p>
    <w:p w:rsidR="00281CC3" w:rsidRPr="00A10274" w:rsidRDefault="00DE1A88" w:rsidP="00281CC3">
      <w:pPr>
        <w:pStyle w:val="Figure"/>
        <w:rPr>
          <w:lang w:val="es-ES_tradnl"/>
        </w:rPr>
      </w:pPr>
      <w:r w:rsidRPr="00A10274">
        <w:rPr>
          <w:lang w:val="es-ES_tradnl"/>
        </w:rPr>
        <w:object w:dxaOrig="4624" w:dyaOrig="3038">
          <v:shape id="_x0000_i1026" type="#_x0000_t75" style="width:385.5pt;height:253.5pt" o:ole="">
            <v:imagedata r:id="rId15" o:title=""/>
          </v:shape>
          <o:OLEObject Type="Embed" ProgID="CorelDRAW.Graphic.14" ShapeID="_x0000_i1026" DrawAspect="Content" ObjectID="_1474370123" r:id="rId16"/>
        </w:object>
      </w:r>
    </w:p>
    <w:p w:rsidR="00281CC3" w:rsidRPr="00A10274" w:rsidRDefault="00281CC3" w:rsidP="00281CC3">
      <w:pPr>
        <w:pStyle w:val="FigureNo"/>
        <w:rPr>
          <w:lang w:val="es-ES_tradnl" w:eastAsia="ja-JP"/>
        </w:rPr>
      </w:pPr>
      <w:r w:rsidRPr="00A10274">
        <w:rPr>
          <w:lang w:val="es-ES_tradnl" w:eastAsia="ja-JP"/>
        </w:rPr>
        <w:t>figurA 3</w:t>
      </w:r>
    </w:p>
    <w:p w:rsidR="00281CC3" w:rsidRPr="00A10274" w:rsidRDefault="00281CC3" w:rsidP="00281CC3">
      <w:pPr>
        <w:pStyle w:val="Figuretitle"/>
        <w:rPr>
          <w:bCs/>
          <w:color w:val="000000"/>
          <w:szCs w:val="18"/>
          <w:lang w:val="es-ES_tradnl"/>
        </w:rPr>
      </w:pPr>
      <w:r w:rsidRPr="00A10274">
        <w:rPr>
          <w:bCs/>
          <w:color w:val="000000"/>
          <w:szCs w:val="18"/>
          <w:lang w:val="es-ES_tradnl"/>
        </w:rPr>
        <w:t>Interferencia causada al servicio fijo digital por el SFS digital, otras situaciones</w:t>
      </w:r>
    </w:p>
    <w:p w:rsidR="00281CC3" w:rsidRPr="00A10274" w:rsidRDefault="00E07EAF" w:rsidP="00281CC3">
      <w:pPr>
        <w:pStyle w:val="Figure"/>
        <w:rPr>
          <w:lang w:val="es-ES_tradnl" w:eastAsia="ja-JP"/>
        </w:rPr>
      </w:pPr>
      <w:r w:rsidRPr="00A10274">
        <w:rPr>
          <w:lang w:val="es-ES_tradnl"/>
        </w:rPr>
        <w:object w:dxaOrig="7697" w:dyaOrig="5317">
          <v:shape id="_x0000_i1029" type="#_x0000_t75" style="width:382.5pt;height:264.4pt" o:ole="">
            <v:imagedata r:id="rId17" o:title=""/>
          </v:shape>
          <o:OLEObject Type="Embed" ProgID="CorelDRAW.Graphic.14" ShapeID="_x0000_i1029" DrawAspect="Content" ObjectID="_1474370124" r:id="rId18"/>
        </w:object>
      </w:r>
    </w:p>
    <w:p w:rsidR="00281CC3" w:rsidRPr="00A10274" w:rsidRDefault="00281CC3" w:rsidP="00DE1A88">
      <w:pPr>
        <w:spacing w:before="360"/>
        <w:rPr>
          <w:lang w:val="es-ES_tradnl"/>
        </w:rPr>
      </w:pPr>
      <w:r w:rsidRPr="00A10274">
        <w:rPr>
          <w:lang w:val="es-ES_tradnl"/>
        </w:rPr>
        <w:t xml:space="preserve">Los resultados de las Figs. 1 y 2 demuestran que en ambos casos habría un incremento despreciable en la interferencia cuando un solo satélite rebasara la línea de base de dfp en </w:t>
      </w:r>
      <w:r w:rsidRPr="00A10274">
        <w:rPr>
          <w:lang w:val="es-ES_tradnl"/>
        </w:rPr>
        <w:sym w:font="Symbol" w:char="F062"/>
      </w:r>
      <w:r w:rsidRPr="00A10274">
        <w:rPr>
          <w:lang w:val="es-ES_tradnl"/>
        </w:rPr>
        <w:t> = 10 dB, que algo menos del 10% de las estaciones del servicio fijo experimentarían una dfp que sobrepasaría el 10% cuando hubiera 10 satélites que rebasaran esta línea de base y que todas las estaciones del servicio fijo experimentarían una dfp que sobrepasaría el 10% cuando 30 satélites rebasaran esta línea de base. Sin embargo, hay una diferencia importante entre los dos casos. Para el caso de ángulos pequeños, es posible que haya un nivel de interferencia significativamente mayor cuando Nsats se hace muy grande en comparación con el caso Nsats = 0, aunque con poca probabilidad. La curva muestra que cuando la latitud del sistema del servicio fijo pasa a ser 60</w:t>
      </w:r>
      <w:r w:rsidR="00DE1A88" w:rsidRPr="00A10274">
        <w:rPr>
          <w:lang w:val="es-ES_tradnl"/>
        </w:rPr>
        <w:t>°</w:t>
      </w:r>
      <w:r w:rsidRPr="00A10274">
        <w:rPr>
          <w:lang w:val="es-ES_tradnl"/>
        </w:rPr>
        <w:t xml:space="preserve"> </w:t>
      </w:r>
      <w:r w:rsidR="00A10274" w:rsidRPr="00A10274">
        <w:rPr>
          <w:lang w:val="es-ES_tradnl"/>
        </w:rPr>
        <w:t>o</w:t>
      </w:r>
      <w:r w:rsidRPr="00A10274">
        <w:rPr>
          <w:lang w:val="es-ES_tradnl"/>
        </w:rPr>
        <w:t xml:space="preserve"> 0</w:t>
      </w:r>
      <w:r w:rsidR="00DE1A88" w:rsidRPr="00A10274">
        <w:rPr>
          <w:lang w:val="es-ES_tradnl"/>
        </w:rPr>
        <w:t>°</w:t>
      </w:r>
      <w:r w:rsidRPr="00A10274">
        <w:rPr>
          <w:lang w:val="es-ES_tradnl"/>
        </w:rPr>
        <w:t>, la interferencia varía sólo ligeramente, excepto en el caso de 60</w:t>
      </w:r>
      <w:r w:rsidR="00DE1A88" w:rsidRPr="00A10274">
        <w:rPr>
          <w:lang w:val="es-ES_tradnl"/>
        </w:rPr>
        <w:t>°</w:t>
      </w:r>
      <w:r w:rsidRPr="00A10274">
        <w:rPr>
          <w:lang w:val="es-ES_tradnl"/>
        </w:rPr>
        <w:t xml:space="preserve"> en el cual el valor de interferencia aumenta para valores de poca probabilidad. Cuando aumenta la máxima gananci</w:t>
      </w:r>
      <w:r w:rsidR="00DE1A88" w:rsidRPr="00A10274">
        <w:rPr>
          <w:lang w:val="es-ES_tradnl"/>
        </w:rPr>
        <w:t xml:space="preserve">a de antena del servicio fijo a </w:t>
      </w:r>
      <w:r w:rsidRPr="00A10274">
        <w:rPr>
          <w:lang w:val="es-ES_tradnl"/>
        </w:rPr>
        <w:t>50 dB la interferencia disminuye.</w:t>
      </w:r>
    </w:p>
    <w:p w:rsidR="00300D83" w:rsidRPr="00A10274" w:rsidRDefault="00300D83" w:rsidP="00DE1A88">
      <w:pPr>
        <w:rPr>
          <w:lang w:val="es-ES_tradnl"/>
        </w:rPr>
      </w:pPr>
    </w:p>
    <w:p w:rsidR="00300D83" w:rsidRPr="00A10274" w:rsidRDefault="00300D83" w:rsidP="00DE1A88">
      <w:pPr>
        <w:rPr>
          <w:lang w:val="es-ES_tradnl"/>
        </w:rPr>
      </w:pPr>
    </w:p>
    <w:p w:rsidR="00A6617B" w:rsidRDefault="00A6617B" w:rsidP="00300D83">
      <w:pPr>
        <w:pStyle w:val="Line"/>
        <w:rPr>
          <w:lang w:val="es-ES_tradnl"/>
        </w:rPr>
      </w:pPr>
    </w:p>
    <w:p w:rsidR="00E07EAF" w:rsidRPr="00E07EAF" w:rsidRDefault="00E07EAF" w:rsidP="00E07EAF">
      <w:pPr>
        <w:rPr>
          <w:lang w:val="es-ES_tradnl"/>
        </w:rPr>
      </w:pPr>
    </w:p>
    <w:sectPr w:rsidR="00E07EAF" w:rsidRPr="00E07EAF" w:rsidSect="00C40B40">
      <w:headerReference w:type="even" r:id="rId19"/>
      <w:head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1CC3" w:rsidRDefault="00281CC3">
      <w:r>
        <w:separator/>
      </w:r>
    </w:p>
  </w:endnote>
  <w:endnote w:type="continuationSeparator" w:id="0">
    <w:p w:rsidR="00281CC3" w:rsidRDefault="00281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1CC3" w:rsidRDefault="00281CC3">
      <w:r>
        <w:separator/>
      </w:r>
    </w:p>
  </w:footnote>
  <w:footnote w:type="continuationSeparator" w:id="0">
    <w:p w:rsidR="00281CC3" w:rsidRDefault="00281C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CC3" w:rsidRDefault="00281CC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CC3" w:rsidRDefault="00281CC3" w:rsidP="00D62884">
    <w:pPr>
      <w:pStyle w:val="Header"/>
      <w:ind w:right="360" w:firstLine="360"/>
    </w:pPr>
    <w:r>
      <w:rPr>
        <w:noProof/>
        <w:lang w:val="en-US" w:eastAsia="zh-CN"/>
      </w:rPr>
      <w:drawing>
        <wp:anchor distT="0" distB="0" distL="114300" distR="114300" simplePos="0" relativeHeight="251659264" behindDoc="1" locked="0" layoutInCell="1" allowOverlap="1" wp14:anchorId="29CB24B8" wp14:editId="714C7DE8">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CC3" w:rsidRDefault="00281CC3"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E07EAF">
      <w:rPr>
        <w:rStyle w:val="PageNumber"/>
        <w:b/>
        <w:bCs/>
        <w:noProof/>
      </w:rPr>
      <w:t>ii</w:t>
    </w:r>
    <w:r>
      <w:rPr>
        <w:rStyle w:val="PageNumber"/>
        <w:b/>
        <w:bCs/>
      </w:rPr>
      <w:fldChar w:fldCharType="end"/>
    </w:r>
    <w:r>
      <w:tab/>
    </w:r>
    <w:r w:rsidR="00E07EAF">
      <w:fldChar w:fldCharType="begin"/>
    </w:r>
    <w:r w:rsidR="00E07EAF">
      <w:instrText xml:space="preserve"> DOCPROPERTY "Header" \* MERGEFORMAT </w:instrText>
    </w:r>
    <w:r w:rsidR="00E07EAF">
      <w:fldChar w:fldCharType="separate"/>
    </w:r>
    <w:r w:rsidR="00E07EAF" w:rsidRPr="00E07EAF">
      <w:rPr>
        <w:b/>
        <w:bCs/>
        <w:lang w:val="en-US"/>
      </w:rPr>
      <w:t xml:space="preserve">Rec. </w:t>
    </w:r>
    <w:r w:rsidR="00E07EAF">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E07EAF">
      <w:rPr>
        <w:b/>
        <w:bCs/>
        <w:noProof/>
      </w:rPr>
      <w:t>UIT-R  SF.674-3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CC3" w:rsidRDefault="00281CC3">
    <w:pPr>
      <w:pStyle w:val="Header"/>
    </w:pPr>
    <w:r>
      <w:tab/>
    </w:r>
    <w:r w:rsidR="00E07EAF">
      <w:fldChar w:fldCharType="begin"/>
    </w:r>
    <w:r w:rsidR="00E07EAF">
      <w:instrText xml:space="preserve"> DOCPROPERTY "Header" \* MERGEFORMAT </w:instrText>
    </w:r>
    <w:r w:rsidR="00E07EAF">
      <w:fldChar w:fldCharType="separate"/>
    </w:r>
    <w:r w:rsidR="00E07EAF" w:rsidRPr="00E07EAF">
      <w:rPr>
        <w:lang w:val="en-US"/>
      </w:rPr>
      <w:t xml:space="preserve">Rec. </w:t>
    </w:r>
    <w:r w:rsidR="00E07EAF">
      <w:rPr>
        <w:lang w:val="en-US"/>
      </w:rPr>
      <w:fldChar w:fldCharType="end"/>
    </w:r>
    <w:r>
      <w:rPr>
        <w:b/>
        <w:bCs/>
      </w:rPr>
      <w:t xml:space="preserve">  </w:t>
    </w:r>
    <w:r>
      <w:rPr>
        <w:b/>
        <w:bCs/>
      </w:rPr>
      <w:fldChar w:fldCharType="begin"/>
    </w:r>
    <w:r>
      <w:rPr>
        <w:b/>
        <w:bCs/>
      </w:rPr>
      <w:instrText>styleref href</w:instrText>
    </w:r>
    <w:r>
      <w:rPr>
        <w:b/>
        <w:bCs/>
      </w:rPr>
      <w:fldChar w:fldCharType="separate"/>
    </w:r>
    <w:r w:rsidR="00E07EAF">
      <w:rPr>
        <w:b/>
        <w:bCs/>
        <w:noProof/>
      </w:rPr>
      <w:t>UIT-R  SF.674-3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D297E">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07EAF">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E07EAF" w:rsidRPr="00E07EAF">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07EAF">
      <w:rPr>
        <w:b/>
        <w:bCs/>
        <w:noProof/>
      </w:rPr>
      <w:t>UIT-R  SF.674-3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E07EAF">
      <w:fldChar w:fldCharType="begin"/>
    </w:r>
    <w:r w:rsidR="00E07EAF">
      <w:instrText xml:space="preserve"> DOCPROPERTY "Header" \* MERGEFORMAT </w:instrText>
    </w:r>
    <w:r w:rsidR="00E07EAF">
      <w:fldChar w:fldCharType="separate"/>
    </w:r>
    <w:r w:rsidR="00E07EAF" w:rsidRPr="00E07EAF">
      <w:rPr>
        <w:b/>
        <w:bCs/>
      </w:rPr>
      <w:t xml:space="preserve">Rec. </w:t>
    </w:r>
    <w:r w:rsidR="00E07EAF">
      <w:rPr>
        <w:b/>
        <w:bCs/>
      </w:rPr>
      <w:fldChar w:fldCharType="end"/>
    </w:r>
    <w:r>
      <w:rPr>
        <w:b/>
        <w:bCs/>
      </w:rPr>
      <w:t xml:space="preserve"> </w:t>
    </w:r>
    <w:r>
      <w:rPr>
        <w:b/>
        <w:bCs/>
      </w:rPr>
      <w:fldChar w:fldCharType="begin"/>
    </w:r>
    <w:r>
      <w:rPr>
        <w:b/>
        <w:bCs/>
      </w:rPr>
      <w:instrText>styleref href</w:instrText>
    </w:r>
    <w:r>
      <w:rPr>
        <w:b/>
        <w:bCs/>
      </w:rPr>
      <w:fldChar w:fldCharType="separate"/>
    </w:r>
    <w:r w:rsidR="00E07EAF">
      <w:rPr>
        <w:b/>
        <w:bCs/>
        <w:noProof/>
      </w:rPr>
      <w:t>UIT-R  SF.674-3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07EAF">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CC3"/>
    <w:rsid w:val="001C5271"/>
    <w:rsid w:val="001E43C4"/>
    <w:rsid w:val="00217EBF"/>
    <w:rsid w:val="00242AEE"/>
    <w:rsid w:val="00281CC3"/>
    <w:rsid w:val="002D76C4"/>
    <w:rsid w:val="002F33D4"/>
    <w:rsid w:val="00300D83"/>
    <w:rsid w:val="00347E69"/>
    <w:rsid w:val="0041461B"/>
    <w:rsid w:val="0052529D"/>
    <w:rsid w:val="00607D68"/>
    <w:rsid w:val="006D297E"/>
    <w:rsid w:val="007468DA"/>
    <w:rsid w:val="00811396"/>
    <w:rsid w:val="0096474A"/>
    <w:rsid w:val="00976AF6"/>
    <w:rsid w:val="009E00A8"/>
    <w:rsid w:val="00A10274"/>
    <w:rsid w:val="00A6617B"/>
    <w:rsid w:val="00A8037B"/>
    <w:rsid w:val="00AB0DC8"/>
    <w:rsid w:val="00B44E24"/>
    <w:rsid w:val="00BB2440"/>
    <w:rsid w:val="00C40B40"/>
    <w:rsid w:val="00C64222"/>
    <w:rsid w:val="00DC47B5"/>
    <w:rsid w:val="00DE1A88"/>
    <w:rsid w:val="00DF4176"/>
    <w:rsid w:val="00E07EAF"/>
    <w:rsid w:val="00EA544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5:docId w15:val="{8CBEFB5C-D817-46CA-BDFA-F4A2060BD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1A8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E1A88"/>
    <w:pPr>
      <w:keepNext/>
      <w:keepLines/>
      <w:spacing w:before="480"/>
      <w:ind w:left="794" w:hanging="794"/>
      <w:outlineLvl w:val="0"/>
    </w:pPr>
    <w:rPr>
      <w:b/>
    </w:rPr>
  </w:style>
  <w:style w:type="paragraph" w:styleId="Heading2">
    <w:name w:val="heading 2"/>
    <w:basedOn w:val="Heading1"/>
    <w:next w:val="Normal"/>
    <w:qFormat/>
    <w:rsid w:val="00DE1A88"/>
    <w:pPr>
      <w:spacing w:before="320"/>
      <w:outlineLvl w:val="1"/>
    </w:pPr>
  </w:style>
  <w:style w:type="paragraph" w:styleId="Heading3">
    <w:name w:val="heading 3"/>
    <w:basedOn w:val="Heading1"/>
    <w:next w:val="Normal"/>
    <w:qFormat/>
    <w:rsid w:val="00DE1A88"/>
    <w:pPr>
      <w:spacing w:before="200"/>
      <w:outlineLvl w:val="2"/>
    </w:pPr>
  </w:style>
  <w:style w:type="paragraph" w:styleId="Heading4">
    <w:name w:val="heading 4"/>
    <w:basedOn w:val="Heading3"/>
    <w:next w:val="Normal"/>
    <w:qFormat/>
    <w:rsid w:val="00DE1A88"/>
    <w:pPr>
      <w:tabs>
        <w:tab w:val="clear" w:pos="794"/>
        <w:tab w:val="left" w:pos="992"/>
      </w:tabs>
      <w:ind w:left="992" w:hanging="992"/>
      <w:outlineLvl w:val="3"/>
    </w:pPr>
  </w:style>
  <w:style w:type="paragraph" w:styleId="Heading5">
    <w:name w:val="heading 5"/>
    <w:basedOn w:val="Heading4"/>
    <w:next w:val="Normal"/>
    <w:qFormat/>
    <w:rsid w:val="00DE1A88"/>
    <w:pPr>
      <w:outlineLvl w:val="4"/>
    </w:pPr>
  </w:style>
  <w:style w:type="paragraph" w:styleId="Heading6">
    <w:name w:val="heading 6"/>
    <w:basedOn w:val="Heading4"/>
    <w:next w:val="Normal"/>
    <w:qFormat/>
    <w:rsid w:val="00DE1A88"/>
    <w:pPr>
      <w:tabs>
        <w:tab w:val="clear" w:pos="992"/>
        <w:tab w:val="clear" w:pos="1191"/>
      </w:tabs>
      <w:ind w:left="1588" w:hanging="1588"/>
      <w:outlineLvl w:val="5"/>
    </w:pPr>
  </w:style>
  <w:style w:type="paragraph" w:styleId="Heading7">
    <w:name w:val="heading 7"/>
    <w:basedOn w:val="Heading6"/>
    <w:next w:val="Normal"/>
    <w:qFormat/>
    <w:rsid w:val="00DE1A88"/>
    <w:pPr>
      <w:outlineLvl w:val="6"/>
    </w:pPr>
  </w:style>
  <w:style w:type="paragraph" w:styleId="Heading8">
    <w:name w:val="heading 8"/>
    <w:basedOn w:val="Heading6"/>
    <w:next w:val="Normal"/>
    <w:qFormat/>
    <w:rsid w:val="00DE1A88"/>
    <w:pPr>
      <w:outlineLvl w:val="7"/>
    </w:pPr>
  </w:style>
  <w:style w:type="paragraph" w:styleId="Heading9">
    <w:name w:val="heading 9"/>
    <w:basedOn w:val="Heading6"/>
    <w:next w:val="Normal"/>
    <w:qFormat/>
    <w:rsid w:val="00DE1A88"/>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E1A8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DE1A8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E1A88"/>
  </w:style>
  <w:style w:type="paragraph" w:customStyle="1" w:styleId="Headingb">
    <w:name w:val="Heading_b"/>
    <w:basedOn w:val="Heading3"/>
    <w:next w:val="Normal"/>
    <w:rsid w:val="00DE1A88"/>
    <w:pPr>
      <w:spacing w:before="160"/>
      <w:ind w:left="0" w:firstLine="0"/>
      <w:outlineLvl w:val="9"/>
    </w:pPr>
  </w:style>
  <w:style w:type="paragraph" w:customStyle="1" w:styleId="Headingi">
    <w:name w:val="Heading_i"/>
    <w:basedOn w:val="Heading3"/>
    <w:next w:val="Normal"/>
    <w:rsid w:val="00DE1A88"/>
    <w:pPr>
      <w:spacing w:before="160"/>
      <w:ind w:left="0" w:firstLine="0"/>
    </w:pPr>
    <w:rPr>
      <w:b w:val="0"/>
      <w:i/>
    </w:rPr>
  </w:style>
  <w:style w:type="character" w:customStyle="1" w:styleId="href">
    <w:name w:val="href"/>
    <w:basedOn w:val="DefaultParagraphFont"/>
    <w:rsid w:val="00DE1A88"/>
  </w:style>
  <w:style w:type="paragraph" w:customStyle="1" w:styleId="enumlev1">
    <w:name w:val="enumlev1"/>
    <w:basedOn w:val="Normal"/>
    <w:rsid w:val="00DE1A88"/>
    <w:pPr>
      <w:spacing w:before="80"/>
      <w:ind w:left="794" w:hanging="794"/>
    </w:pPr>
  </w:style>
  <w:style w:type="paragraph" w:customStyle="1" w:styleId="enumlev2">
    <w:name w:val="enumlev2"/>
    <w:basedOn w:val="enumlev1"/>
    <w:rsid w:val="00DE1A88"/>
    <w:pPr>
      <w:ind w:left="1191" w:hanging="397"/>
    </w:pPr>
  </w:style>
  <w:style w:type="paragraph" w:customStyle="1" w:styleId="enumlev3">
    <w:name w:val="enumlev3"/>
    <w:basedOn w:val="enumlev2"/>
    <w:rsid w:val="00DE1A88"/>
    <w:pPr>
      <w:ind w:left="1588"/>
    </w:pPr>
  </w:style>
  <w:style w:type="paragraph" w:customStyle="1" w:styleId="Normalaftertitle">
    <w:name w:val="Normal_after_title"/>
    <w:basedOn w:val="Normal"/>
    <w:next w:val="Normal"/>
    <w:rsid w:val="00DE1A88"/>
    <w:pPr>
      <w:spacing w:before="320"/>
    </w:pPr>
  </w:style>
  <w:style w:type="paragraph" w:customStyle="1" w:styleId="Note">
    <w:name w:val="Note"/>
    <w:basedOn w:val="Normal"/>
    <w:rsid w:val="00DE1A8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E1A8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E1A88"/>
    <w:pPr>
      <w:spacing w:before="240"/>
    </w:pPr>
    <w:rPr>
      <w:sz w:val="22"/>
      <w:lang w:val="es-ES_tradnl"/>
    </w:rPr>
  </w:style>
  <w:style w:type="paragraph" w:customStyle="1" w:styleId="Recref">
    <w:name w:val="Rec_ref"/>
    <w:basedOn w:val="Normal"/>
    <w:next w:val="Recdate"/>
    <w:rsid w:val="00DE1A88"/>
    <w:pPr>
      <w:jc w:val="center"/>
    </w:pPr>
  </w:style>
  <w:style w:type="paragraph" w:customStyle="1" w:styleId="Recdate">
    <w:name w:val="Rec_date"/>
    <w:basedOn w:val="Recref"/>
    <w:next w:val="Normalaftertitle"/>
    <w:rsid w:val="00DE1A88"/>
    <w:pPr>
      <w:jc w:val="right"/>
    </w:pPr>
  </w:style>
  <w:style w:type="paragraph" w:customStyle="1" w:styleId="AnnexNoTitle">
    <w:name w:val="Annex_NoTitle"/>
    <w:basedOn w:val="Normal"/>
    <w:next w:val="Normalaftertitle"/>
    <w:rsid w:val="00DE1A88"/>
    <w:pPr>
      <w:keepNext/>
      <w:keepLines/>
      <w:spacing w:before="480" w:after="80"/>
      <w:jc w:val="center"/>
    </w:pPr>
    <w:rPr>
      <w:b/>
      <w:sz w:val="28"/>
    </w:rPr>
  </w:style>
  <w:style w:type="paragraph" w:customStyle="1" w:styleId="AppendixNoTitle">
    <w:name w:val="Appendix_NoTitle"/>
    <w:basedOn w:val="AnnexNoTitle"/>
    <w:next w:val="Normal"/>
    <w:rsid w:val="00DE1A88"/>
  </w:style>
  <w:style w:type="paragraph" w:customStyle="1" w:styleId="Tablefin">
    <w:name w:val="Table_fin"/>
    <w:basedOn w:val="Normal"/>
    <w:next w:val="Normal"/>
    <w:rsid w:val="00DE1A88"/>
    <w:pPr>
      <w:spacing w:before="0"/>
    </w:pPr>
    <w:rPr>
      <w:sz w:val="20"/>
      <w:lang w:val="en-GB"/>
    </w:rPr>
  </w:style>
  <w:style w:type="paragraph" w:customStyle="1" w:styleId="Tablehead">
    <w:name w:val="Table_head"/>
    <w:basedOn w:val="Normal"/>
    <w:next w:val="Normal"/>
    <w:rsid w:val="00DE1A8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E1A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E1A88"/>
    <w:pPr>
      <w:keepNext/>
      <w:spacing w:before="360" w:after="120"/>
      <w:jc w:val="center"/>
    </w:pPr>
  </w:style>
  <w:style w:type="paragraph" w:customStyle="1" w:styleId="Tabletext">
    <w:name w:val="Table_text"/>
    <w:basedOn w:val="Normal"/>
    <w:rsid w:val="00DE1A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E1A88"/>
    <w:pPr>
      <w:tabs>
        <w:tab w:val="clear" w:pos="1191"/>
        <w:tab w:val="clear" w:pos="1588"/>
        <w:tab w:val="clear" w:pos="1985"/>
        <w:tab w:val="center" w:pos="4820"/>
        <w:tab w:val="right" w:pos="9639"/>
      </w:tabs>
    </w:pPr>
  </w:style>
  <w:style w:type="paragraph" w:customStyle="1" w:styleId="Equationlegend">
    <w:name w:val="Equation_legend"/>
    <w:basedOn w:val="NormalIndent"/>
    <w:rsid w:val="00DE1A8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E1A88"/>
    <w:pPr>
      <w:ind w:left="794"/>
    </w:pPr>
  </w:style>
  <w:style w:type="paragraph" w:customStyle="1" w:styleId="Figurelegend">
    <w:name w:val="Figure_legend"/>
    <w:basedOn w:val="Normal"/>
    <w:rsid w:val="00DE1A8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E1A88"/>
    <w:pPr>
      <w:keepNext/>
      <w:keepLines/>
      <w:spacing w:before="480" w:after="80"/>
      <w:jc w:val="center"/>
    </w:pPr>
    <w:rPr>
      <w:caps/>
      <w:sz w:val="18"/>
    </w:rPr>
  </w:style>
  <w:style w:type="paragraph" w:customStyle="1" w:styleId="tocpart">
    <w:name w:val="tocpart"/>
    <w:basedOn w:val="Normal"/>
    <w:rsid w:val="00DE1A8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E1A88"/>
    <w:pPr>
      <w:keepNext/>
      <w:keepLines/>
      <w:spacing w:before="480"/>
      <w:jc w:val="center"/>
    </w:pPr>
    <w:rPr>
      <w:sz w:val="28"/>
    </w:rPr>
  </w:style>
  <w:style w:type="paragraph" w:customStyle="1" w:styleId="Arttitle">
    <w:name w:val="Art_title"/>
    <w:basedOn w:val="Normal"/>
    <w:next w:val="Normalaftertitle"/>
    <w:rsid w:val="00DE1A88"/>
    <w:pPr>
      <w:keepNext/>
      <w:keepLines/>
      <w:spacing w:before="240"/>
      <w:jc w:val="center"/>
    </w:pPr>
    <w:rPr>
      <w:b/>
      <w:sz w:val="28"/>
    </w:rPr>
  </w:style>
  <w:style w:type="paragraph" w:customStyle="1" w:styleId="Blanc">
    <w:name w:val="Blanc"/>
    <w:basedOn w:val="Normal"/>
    <w:next w:val="Tabletext"/>
    <w:rsid w:val="00DE1A8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E1A8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E1A88"/>
    <w:pPr>
      <w:keepNext/>
      <w:keepLines/>
      <w:spacing w:before="160"/>
      <w:ind w:left="794"/>
    </w:pPr>
    <w:rPr>
      <w:i/>
    </w:rPr>
  </w:style>
  <w:style w:type="paragraph" w:customStyle="1" w:styleId="ChapNo">
    <w:name w:val="Chap_No"/>
    <w:basedOn w:val="ArtNo"/>
    <w:next w:val="Chaptitle"/>
    <w:rsid w:val="00DE1A88"/>
    <w:rPr>
      <w:b/>
    </w:rPr>
  </w:style>
  <w:style w:type="paragraph" w:customStyle="1" w:styleId="Chaptitle">
    <w:name w:val="Chap_title"/>
    <w:basedOn w:val="Arttitle"/>
    <w:next w:val="Normalaftertitle"/>
    <w:rsid w:val="00DE1A88"/>
  </w:style>
  <w:style w:type="character" w:styleId="FootnoteReference">
    <w:name w:val="footnote reference"/>
    <w:basedOn w:val="DefaultParagraphFont"/>
    <w:semiHidden/>
    <w:rsid w:val="00DE1A88"/>
    <w:rPr>
      <w:position w:val="6"/>
      <w:sz w:val="18"/>
    </w:rPr>
  </w:style>
  <w:style w:type="paragraph" w:styleId="FootnoteText">
    <w:name w:val="footnote text"/>
    <w:basedOn w:val="Normal"/>
    <w:semiHidden/>
    <w:rsid w:val="00DE1A88"/>
    <w:pPr>
      <w:keepLines/>
      <w:tabs>
        <w:tab w:val="left" w:pos="255"/>
      </w:tabs>
      <w:ind w:left="255" w:hanging="255"/>
    </w:pPr>
    <w:rPr>
      <w:sz w:val="22"/>
    </w:rPr>
  </w:style>
  <w:style w:type="paragraph" w:styleId="Index1">
    <w:name w:val="index 1"/>
    <w:basedOn w:val="Normal"/>
    <w:next w:val="Normal"/>
    <w:semiHidden/>
    <w:rsid w:val="00DE1A88"/>
  </w:style>
  <w:style w:type="paragraph" w:styleId="Index2">
    <w:name w:val="index 2"/>
    <w:basedOn w:val="Normal"/>
    <w:next w:val="Normal"/>
    <w:semiHidden/>
    <w:rsid w:val="00DE1A88"/>
    <w:pPr>
      <w:ind w:left="283"/>
    </w:pPr>
  </w:style>
  <w:style w:type="paragraph" w:styleId="Index3">
    <w:name w:val="index 3"/>
    <w:basedOn w:val="Normal"/>
    <w:next w:val="Normal"/>
    <w:semiHidden/>
    <w:rsid w:val="00DE1A88"/>
    <w:pPr>
      <w:ind w:left="566"/>
    </w:pPr>
  </w:style>
  <w:style w:type="paragraph" w:styleId="IndexHeading">
    <w:name w:val="index heading"/>
    <w:basedOn w:val="Normal"/>
    <w:next w:val="Index1"/>
    <w:semiHidden/>
    <w:rsid w:val="00DE1A88"/>
  </w:style>
  <w:style w:type="paragraph" w:customStyle="1" w:styleId="Line">
    <w:name w:val="Line"/>
    <w:basedOn w:val="Normal"/>
    <w:next w:val="Normal"/>
    <w:rsid w:val="00DE1A8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E1A8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E1A88"/>
  </w:style>
  <w:style w:type="paragraph" w:customStyle="1" w:styleId="Partref">
    <w:name w:val="Part_ref"/>
    <w:basedOn w:val="Normal"/>
    <w:next w:val="Normal"/>
    <w:rsid w:val="00DE1A88"/>
    <w:pPr>
      <w:keepNext/>
      <w:keepLines/>
      <w:spacing w:after="280"/>
      <w:jc w:val="center"/>
    </w:pPr>
  </w:style>
  <w:style w:type="paragraph" w:customStyle="1" w:styleId="Parttitle">
    <w:name w:val="Part_title"/>
    <w:basedOn w:val="Normal"/>
    <w:next w:val="Normalaftertitle"/>
    <w:rsid w:val="00DE1A8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E1A88"/>
  </w:style>
  <w:style w:type="paragraph" w:customStyle="1" w:styleId="QuestionNo">
    <w:name w:val="Question_No"/>
    <w:basedOn w:val="RecNo"/>
    <w:next w:val="Normal"/>
    <w:rsid w:val="00DE1A88"/>
  </w:style>
  <w:style w:type="paragraph" w:customStyle="1" w:styleId="Questionref">
    <w:name w:val="Question_ref"/>
    <w:basedOn w:val="Recref"/>
    <w:next w:val="Questiondate"/>
    <w:rsid w:val="00DE1A88"/>
  </w:style>
  <w:style w:type="paragraph" w:customStyle="1" w:styleId="Questiontitle">
    <w:name w:val="Question_title"/>
    <w:basedOn w:val="Normal"/>
    <w:next w:val="Questionref"/>
    <w:rsid w:val="00DE1A88"/>
  </w:style>
  <w:style w:type="paragraph" w:customStyle="1" w:styleId="Reftext">
    <w:name w:val="Ref_text"/>
    <w:basedOn w:val="Normal"/>
    <w:rsid w:val="00DE1A88"/>
    <w:pPr>
      <w:ind w:left="794" w:hanging="794"/>
    </w:pPr>
    <w:rPr>
      <w:sz w:val="22"/>
    </w:rPr>
  </w:style>
  <w:style w:type="paragraph" w:customStyle="1" w:styleId="Reftitle">
    <w:name w:val="Ref_title"/>
    <w:basedOn w:val="Normal"/>
    <w:next w:val="Reftext"/>
    <w:rsid w:val="00DE1A8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E1A88"/>
  </w:style>
  <w:style w:type="paragraph" w:customStyle="1" w:styleId="RepNo">
    <w:name w:val="Rep_No"/>
    <w:basedOn w:val="RecNo"/>
    <w:next w:val="Reptitle"/>
    <w:rsid w:val="00DE1A88"/>
  </w:style>
  <w:style w:type="paragraph" w:customStyle="1" w:styleId="Repref">
    <w:name w:val="Rep_ref"/>
    <w:basedOn w:val="Recref"/>
    <w:next w:val="Repdate"/>
    <w:rsid w:val="00DE1A88"/>
  </w:style>
  <w:style w:type="paragraph" w:customStyle="1" w:styleId="Reptitle">
    <w:name w:val="Rep_title"/>
    <w:basedOn w:val="Rectitle"/>
    <w:next w:val="Repref"/>
    <w:rsid w:val="00DE1A88"/>
  </w:style>
  <w:style w:type="paragraph" w:customStyle="1" w:styleId="Resdate">
    <w:name w:val="Res_date"/>
    <w:basedOn w:val="Recdate"/>
    <w:next w:val="Normalaftertitle"/>
    <w:rsid w:val="00DE1A88"/>
  </w:style>
  <w:style w:type="paragraph" w:customStyle="1" w:styleId="ResNo">
    <w:name w:val="Res_No"/>
    <w:basedOn w:val="RecNo"/>
    <w:next w:val="Restitle"/>
    <w:rsid w:val="00DE1A88"/>
  </w:style>
  <w:style w:type="paragraph" w:customStyle="1" w:styleId="Resref">
    <w:name w:val="Res_ref"/>
    <w:basedOn w:val="Recref"/>
    <w:next w:val="Resdate"/>
    <w:rsid w:val="00DE1A88"/>
  </w:style>
  <w:style w:type="paragraph" w:customStyle="1" w:styleId="Restitle">
    <w:name w:val="Res_title"/>
    <w:basedOn w:val="Normal"/>
    <w:next w:val="Resref"/>
    <w:rsid w:val="00DE1A88"/>
    <w:pPr>
      <w:spacing w:before="240"/>
      <w:jc w:val="center"/>
    </w:pPr>
    <w:rPr>
      <w:b/>
      <w:sz w:val="28"/>
    </w:rPr>
  </w:style>
  <w:style w:type="paragraph" w:customStyle="1" w:styleId="SectionNo">
    <w:name w:val="Section_No"/>
    <w:basedOn w:val="Normal"/>
    <w:next w:val="Normal"/>
    <w:rsid w:val="00DE1A88"/>
  </w:style>
  <w:style w:type="paragraph" w:customStyle="1" w:styleId="Sectiontitle">
    <w:name w:val="Section_title"/>
    <w:basedOn w:val="Normal"/>
    <w:next w:val="Normalaftertitle"/>
    <w:rsid w:val="00DE1A8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E1A88"/>
    <w:pPr>
      <w:tabs>
        <w:tab w:val="clear" w:pos="794"/>
        <w:tab w:val="clear" w:pos="1191"/>
        <w:tab w:val="clear" w:pos="1588"/>
        <w:tab w:val="clear" w:pos="1985"/>
        <w:tab w:val="right" w:pos="9611"/>
      </w:tabs>
    </w:pPr>
    <w:rPr>
      <w:i/>
    </w:rPr>
  </w:style>
  <w:style w:type="paragraph" w:styleId="TOC1">
    <w:name w:val="toc 1"/>
    <w:basedOn w:val="Normal"/>
    <w:semiHidden/>
    <w:rsid w:val="00DE1A8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E1A88"/>
    <w:pPr>
      <w:tabs>
        <w:tab w:val="clear" w:pos="567"/>
        <w:tab w:val="left" w:pos="1276"/>
      </w:tabs>
      <w:spacing w:before="160"/>
      <w:ind w:left="1276" w:hanging="709"/>
    </w:pPr>
  </w:style>
  <w:style w:type="paragraph" w:styleId="TOC3">
    <w:name w:val="toc 3"/>
    <w:basedOn w:val="TOC2"/>
    <w:semiHidden/>
    <w:rsid w:val="00DE1A88"/>
    <w:pPr>
      <w:tabs>
        <w:tab w:val="clear" w:pos="1276"/>
        <w:tab w:val="left" w:pos="2155"/>
      </w:tabs>
      <w:ind w:left="2155" w:hanging="879"/>
    </w:pPr>
  </w:style>
  <w:style w:type="paragraph" w:styleId="TOC4">
    <w:name w:val="toc 4"/>
    <w:basedOn w:val="TOC3"/>
    <w:semiHidden/>
    <w:rsid w:val="00DE1A88"/>
    <w:pPr>
      <w:tabs>
        <w:tab w:val="left" w:pos="3261"/>
      </w:tabs>
      <w:spacing w:before="80"/>
      <w:ind w:left="3261" w:hanging="993"/>
    </w:pPr>
  </w:style>
  <w:style w:type="paragraph" w:styleId="TOC5">
    <w:name w:val="toc 5"/>
    <w:basedOn w:val="TOC4"/>
    <w:semiHidden/>
    <w:rsid w:val="00DE1A88"/>
  </w:style>
  <w:style w:type="paragraph" w:styleId="TOC6">
    <w:name w:val="toc 6"/>
    <w:basedOn w:val="TOC4"/>
    <w:semiHidden/>
    <w:rsid w:val="00DE1A88"/>
  </w:style>
  <w:style w:type="paragraph" w:styleId="TOC7">
    <w:name w:val="toc 7"/>
    <w:basedOn w:val="TOC4"/>
    <w:semiHidden/>
    <w:rsid w:val="00DE1A88"/>
  </w:style>
  <w:style w:type="paragraph" w:styleId="TOC8">
    <w:name w:val="toc 8"/>
    <w:basedOn w:val="TOC4"/>
    <w:semiHidden/>
    <w:rsid w:val="00DE1A88"/>
  </w:style>
  <w:style w:type="paragraph" w:customStyle="1" w:styleId="Rectitle">
    <w:name w:val="Rec_title"/>
    <w:basedOn w:val="Normal"/>
    <w:next w:val="Recref"/>
    <w:rsid w:val="00DE1A88"/>
    <w:pPr>
      <w:keepNext/>
      <w:keepLines/>
      <w:spacing w:before="240"/>
      <w:jc w:val="center"/>
    </w:pPr>
    <w:rPr>
      <w:b/>
      <w:sz w:val="28"/>
    </w:rPr>
  </w:style>
  <w:style w:type="paragraph" w:customStyle="1" w:styleId="Annexref">
    <w:name w:val="Annex_ref"/>
    <w:basedOn w:val="Normal"/>
    <w:next w:val="Normalaftertitle"/>
    <w:rsid w:val="00DE1A88"/>
    <w:pPr>
      <w:keepNext/>
      <w:keepLines/>
      <w:spacing w:after="280"/>
      <w:jc w:val="center"/>
    </w:pPr>
  </w:style>
  <w:style w:type="paragraph" w:customStyle="1" w:styleId="Appendixref">
    <w:name w:val="Appendix_ref"/>
    <w:basedOn w:val="Annexref"/>
    <w:next w:val="Normalaftertitle"/>
    <w:rsid w:val="00DE1A88"/>
  </w:style>
  <w:style w:type="paragraph" w:customStyle="1" w:styleId="Figuretitle">
    <w:name w:val="Figure_title"/>
    <w:basedOn w:val="Normal"/>
    <w:next w:val="Figure"/>
    <w:rsid w:val="00DE1A88"/>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DE1A88"/>
    <w:pPr>
      <w:keepNext/>
      <w:spacing w:before="0" w:after="120"/>
      <w:jc w:val="center"/>
    </w:pPr>
    <w:rPr>
      <w:b/>
    </w:rPr>
  </w:style>
  <w:style w:type="paragraph" w:customStyle="1" w:styleId="Summary">
    <w:name w:val="Summary"/>
    <w:basedOn w:val="Normal"/>
    <w:next w:val="Normalaftertitle"/>
    <w:autoRedefine/>
    <w:rsid w:val="00DE1A88"/>
    <w:pPr>
      <w:spacing w:after="480"/>
    </w:pPr>
    <w:rPr>
      <w:sz w:val="22"/>
      <w:lang w:val="es-ES_tradnl"/>
    </w:rPr>
  </w:style>
  <w:style w:type="paragraph" w:customStyle="1" w:styleId="TableLegendNote">
    <w:name w:val="Table_Legend_Note"/>
    <w:basedOn w:val="Tablelegend"/>
    <w:next w:val="Tablelegend"/>
    <w:rsid w:val="00DE1A88"/>
    <w:pPr>
      <w:ind w:left="-85" w:firstLine="0"/>
    </w:pPr>
    <w:rPr>
      <w:lang w:val="en-US"/>
    </w:rPr>
  </w:style>
  <w:style w:type="paragraph" w:customStyle="1" w:styleId="Figure">
    <w:name w:val="Figure"/>
    <w:basedOn w:val="FigureNo"/>
    <w:next w:val="Normal"/>
    <w:rsid w:val="00DE1A88"/>
    <w:pPr>
      <w:keepNext w:val="0"/>
      <w:spacing w:before="0" w:after="240"/>
    </w:pPr>
  </w:style>
  <w:style w:type="character" w:styleId="Hyperlink">
    <w:name w:val="Hyperlink"/>
    <w:basedOn w:val="DefaultParagraphFont"/>
    <w:rsid w:val="00281CC3"/>
    <w:rPr>
      <w:color w:val="0000FF"/>
      <w:u w:val="single"/>
    </w:rPr>
  </w:style>
  <w:style w:type="table" w:styleId="TableGrid">
    <w:name w:val="Table Grid"/>
    <w:basedOn w:val="TableNormal"/>
    <w:rsid w:val="00281CC3"/>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No">
    <w:name w:val="Annex_No"/>
    <w:basedOn w:val="Normal"/>
    <w:next w:val="Annextitle"/>
    <w:rsid w:val="00281CC3"/>
    <w:pPr>
      <w:keepNext/>
      <w:keepLines/>
      <w:spacing w:before="480" w:after="80"/>
      <w:jc w:val="center"/>
    </w:pPr>
    <w:rPr>
      <w:sz w:val="28"/>
    </w:rPr>
  </w:style>
  <w:style w:type="paragraph" w:customStyle="1" w:styleId="Annextitle">
    <w:name w:val="Annex_title"/>
    <w:basedOn w:val="Arttitle"/>
    <w:next w:val="Normalaftertitle"/>
    <w:rsid w:val="00281CC3"/>
    <w:pPr>
      <w:tabs>
        <w:tab w:val="clear" w:pos="794"/>
        <w:tab w:val="clear" w:pos="1191"/>
        <w:tab w:val="clear" w:pos="1588"/>
        <w:tab w:val="clear" w:pos="1985"/>
      </w:tabs>
      <w:spacing w:before="280" w:after="40"/>
    </w:pPr>
  </w:style>
  <w:style w:type="paragraph" w:customStyle="1" w:styleId="Appendixtitle">
    <w:name w:val="Appendix_title"/>
    <w:basedOn w:val="Annextitle"/>
    <w:next w:val="Normalaftertitle"/>
    <w:rsid w:val="00281CC3"/>
  </w:style>
  <w:style w:type="paragraph" w:customStyle="1" w:styleId="AppendixNo">
    <w:name w:val="Appendix_No"/>
    <w:basedOn w:val="AnnexNo"/>
    <w:next w:val="Appendixtitle"/>
    <w:rsid w:val="00281C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hyperlink" Target="http://www.itu.int/publ/R-REC/es" TargetMode="Externa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1FD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E11269-DE10-46B3-A674-FC9639DFC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87</TotalTime>
  <Pages>7</Pages>
  <Words>2044</Words>
  <Characters>10797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Catalano Moreira, Rossana</dc:creator>
  <cp:keywords/>
  <dc:description/>
  <cp:lastModifiedBy>Martinez Romera, Angel</cp:lastModifiedBy>
  <cp:revision>18</cp:revision>
  <cp:lastPrinted>2005-02-10T15:54:00Z</cp:lastPrinted>
  <dcterms:created xsi:type="dcterms:W3CDTF">2014-09-24T12:46:00Z</dcterms:created>
  <dcterms:modified xsi:type="dcterms:W3CDTF">2014-10-09T12:27:00Z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