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0B3BE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w:t>
            </w:r>
            <w:r w:rsidR="005410D7">
              <w:rPr>
                <w:rFonts w:ascii="Tahoma" w:hAnsi="Tahoma" w:cs="Tahoma"/>
                <w:b/>
                <w:bCs/>
                <w:iCs/>
                <w:color w:val="243285"/>
                <w:sz w:val="36"/>
                <w:szCs w:val="36"/>
              </w:rPr>
              <w:t>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595D3D">
              <w:rPr>
                <w:rFonts w:ascii="Tahoma" w:hAnsi="Tahoma" w:cs="Tahoma"/>
                <w:b/>
                <w:bCs/>
                <w:iCs/>
                <w:color w:val="243285"/>
                <w:sz w:val="36"/>
                <w:szCs w:val="36"/>
              </w:rPr>
              <w:t>F</w:t>
            </w:r>
            <w:r w:rsidRPr="00A443C2">
              <w:rPr>
                <w:rFonts w:ascii="Tahoma" w:hAnsi="Tahoma" w:cs="Tahoma"/>
                <w:b/>
                <w:bCs/>
                <w:iCs/>
                <w:color w:val="243285"/>
                <w:sz w:val="36"/>
                <w:szCs w:val="36"/>
              </w:rPr>
              <w:t>.</w:t>
            </w:r>
            <w:r w:rsidR="00CC2D84">
              <w:rPr>
                <w:rFonts w:ascii="Tahoma" w:hAnsi="Tahoma" w:cs="Tahoma"/>
                <w:b/>
                <w:bCs/>
                <w:iCs/>
                <w:color w:val="243285"/>
                <w:sz w:val="36"/>
                <w:szCs w:val="36"/>
              </w:rPr>
              <w:t>674-3</w:t>
            </w:r>
          </w:p>
          <w:p w:rsidR="00FE79FE" w:rsidRPr="00A443C2" w:rsidRDefault="00FE79FE" w:rsidP="00175FB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175FB5">
              <w:rPr>
                <w:rFonts w:ascii="Tahoma" w:hAnsi="Tahoma" w:cs="Tahoma"/>
                <w:b/>
                <w:bCs/>
                <w:iCs/>
                <w:color w:val="243285"/>
                <w:szCs w:val="24"/>
              </w:rPr>
              <w:t>12</w:t>
            </w:r>
            <w:r w:rsidRPr="00A443C2">
              <w:rPr>
                <w:rFonts w:ascii="Tahoma" w:hAnsi="Tahoma" w:cs="Tahoma"/>
                <w:b/>
                <w:bCs/>
                <w:iCs/>
                <w:color w:val="243285"/>
                <w:szCs w:val="24"/>
              </w:rPr>
              <w:t>/</w:t>
            </w:r>
            <w:r w:rsidR="00175FB5">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Pr="00F54FBD" w:rsidRDefault="00175FB5" w:rsidP="00175FB5">
            <w:pPr>
              <w:spacing w:before="80" w:line="500" w:lineRule="exact"/>
              <w:jc w:val="right"/>
              <w:rPr>
                <w:rFonts w:ascii="Tahoma" w:hAnsi="Tahoma" w:cs="Tahoma"/>
                <w:b/>
                <w:bCs/>
                <w:iCs/>
                <w:color w:val="243285"/>
                <w:sz w:val="44"/>
                <w:szCs w:val="44"/>
              </w:rPr>
            </w:pPr>
            <w:r w:rsidRPr="00980CD6">
              <w:rPr>
                <w:rFonts w:ascii="Tahoma" w:hAnsi="Tahoma" w:cs="Tahoma"/>
                <w:b/>
                <w:bCs/>
                <w:iCs/>
                <w:color w:val="243285"/>
                <w:sz w:val="44"/>
                <w:szCs w:val="44"/>
              </w:rPr>
              <w:t>Détermination des conséquences sur le service fixe fonctionnant</w:t>
            </w:r>
            <w:r>
              <w:rPr>
                <w:rFonts w:ascii="Tahoma" w:hAnsi="Tahoma" w:cs="Tahoma"/>
                <w:b/>
                <w:bCs/>
                <w:iCs/>
                <w:color w:val="243285"/>
                <w:sz w:val="44"/>
                <w:szCs w:val="44"/>
              </w:rPr>
              <w:t xml:space="preserve"> </w:t>
            </w:r>
            <w:r w:rsidRPr="00980CD6">
              <w:rPr>
                <w:rFonts w:ascii="Tahoma" w:hAnsi="Tahoma" w:cs="Tahoma"/>
                <w:b/>
                <w:bCs/>
                <w:iCs/>
                <w:color w:val="243285"/>
                <w:sz w:val="44"/>
                <w:szCs w:val="44"/>
              </w:rPr>
              <w:t>dans</w:t>
            </w:r>
            <w:r>
              <w:rPr>
                <w:rFonts w:ascii="Tahoma" w:hAnsi="Tahoma" w:cs="Tahoma"/>
                <w:b/>
                <w:bCs/>
                <w:iCs/>
                <w:color w:val="243285"/>
                <w:sz w:val="44"/>
                <w:szCs w:val="44"/>
              </w:rPr>
              <w:t xml:space="preserve"> </w:t>
            </w:r>
            <w:r>
              <w:rPr>
                <w:rFonts w:ascii="Tahoma" w:hAnsi="Tahoma" w:cs="Tahoma"/>
                <w:b/>
                <w:bCs/>
                <w:iCs/>
                <w:color w:val="243285"/>
                <w:sz w:val="44"/>
                <w:szCs w:val="44"/>
              </w:rPr>
              <w:br/>
            </w:r>
            <w:r w:rsidRPr="00980CD6">
              <w:rPr>
                <w:rFonts w:ascii="Tahoma" w:hAnsi="Tahoma" w:cs="Tahoma"/>
                <w:b/>
                <w:bCs/>
                <w:iCs/>
                <w:color w:val="243285"/>
                <w:sz w:val="44"/>
                <w:szCs w:val="44"/>
              </w:rPr>
              <w:t xml:space="preserve">la bande 11,7-12,2 GHz du dépassement </w:t>
            </w:r>
            <w:r>
              <w:rPr>
                <w:rFonts w:ascii="Tahoma" w:hAnsi="Tahoma" w:cs="Tahoma"/>
                <w:b/>
                <w:bCs/>
                <w:iCs/>
                <w:color w:val="243285"/>
                <w:sz w:val="44"/>
                <w:szCs w:val="44"/>
              </w:rPr>
              <w:br/>
            </w:r>
            <w:r w:rsidRPr="00980CD6">
              <w:rPr>
                <w:rFonts w:ascii="Tahoma" w:hAnsi="Tahoma" w:cs="Tahoma"/>
                <w:b/>
                <w:bCs/>
                <w:iCs/>
                <w:color w:val="243285"/>
                <w:sz w:val="44"/>
                <w:szCs w:val="44"/>
              </w:rPr>
              <w:t>par les réseaux</w:t>
            </w:r>
            <w:r>
              <w:rPr>
                <w:rFonts w:ascii="Tahoma" w:hAnsi="Tahoma" w:cs="Tahoma"/>
                <w:b/>
                <w:bCs/>
                <w:iCs/>
                <w:color w:val="243285"/>
                <w:sz w:val="44"/>
                <w:szCs w:val="44"/>
              </w:rPr>
              <w:t xml:space="preserve"> </w:t>
            </w:r>
            <w:r w:rsidRPr="00980CD6">
              <w:rPr>
                <w:rFonts w:ascii="Tahoma" w:hAnsi="Tahoma" w:cs="Tahoma"/>
                <w:b/>
                <w:bCs/>
                <w:iCs/>
                <w:color w:val="243285"/>
                <w:sz w:val="44"/>
                <w:szCs w:val="44"/>
              </w:rPr>
              <w:t>du service fixe par satellite</w:t>
            </w:r>
            <w:r>
              <w:rPr>
                <w:rFonts w:ascii="Tahoma" w:hAnsi="Tahoma" w:cs="Tahoma"/>
                <w:b/>
                <w:bCs/>
                <w:iCs/>
                <w:color w:val="243285"/>
                <w:sz w:val="44"/>
                <w:szCs w:val="44"/>
              </w:rPr>
              <w:t xml:space="preserve"> </w:t>
            </w:r>
            <w:r w:rsidRPr="00980CD6">
              <w:rPr>
                <w:rFonts w:ascii="Tahoma" w:hAnsi="Tahoma" w:cs="Tahoma"/>
                <w:b/>
                <w:bCs/>
                <w:iCs/>
                <w:color w:val="243285"/>
                <w:sz w:val="44"/>
                <w:szCs w:val="44"/>
              </w:rPr>
              <w:t>géostationnaire de la Région 2</w:t>
            </w:r>
            <w:r>
              <w:rPr>
                <w:rFonts w:ascii="Tahoma" w:hAnsi="Tahoma" w:cs="Tahoma"/>
                <w:b/>
                <w:bCs/>
                <w:iCs/>
                <w:color w:val="243285"/>
                <w:sz w:val="44"/>
                <w:szCs w:val="44"/>
              </w:rPr>
              <w:t xml:space="preserve"> </w:t>
            </w:r>
            <w:r w:rsidRPr="00980CD6">
              <w:rPr>
                <w:rFonts w:ascii="Tahoma" w:hAnsi="Tahoma" w:cs="Tahoma"/>
                <w:b/>
                <w:bCs/>
                <w:iCs/>
                <w:color w:val="243285"/>
                <w:sz w:val="44"/>
                <w:szCs w:val="44"/>
              </w:rPr>
              <w:t xml:space="preserve">des seuils </w:t>
            </w:r>
            <w:r>
              <w:rPr>
                <w:rFonts w:ascii="Tahoma" w:hAnsi="Tahoma" w:cs="Tahoma"/>
                <w:b/>
                <w:bCs/>
                <w:iCs/>
                <w:color w:val="243285"/>
                <w:sz w:val="44"/>
                <w:szCs w:val="44"/>
              </w:rPr>
              <w:br/>
            </w:r>
            <w:r w:rsidRPr="00980CD6">
              <w:rPr>
                <w:rFonts w:ascii="Tahoma" w:hAnsi="Tahoma" w:cs="Tahoma"/>
                <w:b/>
                <w:bCs/>
                <w:iCs/>
                <w:color w:val="243285"/>
                <w:sz w:val="44"/>
                <w:szCs w:val="44"/>
              </w:rPr>
              <w:t>de</w:t>
            </w:r>
            <w:r>
              <w:rPr>
                <w:rFonts w:ascii="Tahoma" w:hAnsi="Tahoma" w:cs="Tahoma"/>
                <w:b/>
                <w:bCs/>
                <w:iCs/>
                <w:color w:val="243285"/>
                <w:sz w:val="44"/>
                <w:szCs w:val="44"/>
              </w:rPr>
              <w:t xml:space="preserve"> </w:t>
            </w:r>
            <w:r w:rsidRPr="00980CD6">
              <w:rPr>
                <w:rFonts w:ascii="Tahoma" w:hAnsi="Tahoma" w:cs="Tahoma"/>
                <w:b/>
                <w:bCs/>
                <w:iCs/>
                <w:color w:val="243285"/>
                <w:sz w:val="44"/>
                <w:szCs w:val="44"/>
              </w:rPr>
              <w:t>puissance surfacique</w:t>
            </w:r>
            <w:r>
              <w:rPr>
                <w:rFonts w:ascii="Tahoma" w:hAnsi="Tahoma" w:cs="Tahoma"/>
                <w:b/>
                <w:bCs/>
                <w:iCs/>
                <w:color w:val="243285"/>
                <w:sz w:val="44"/>
                <w:szCs w:val="44"/>
              </w:rPr>
              <w:t xml:space="preserve"> déclenchant </w:t>
            </w:r>
            <w:r>
              <w:rPr>
                <w:rFonts w:ascii="Tahoma" w:hAnsi="Tahoma" w:cs="Tahoma"/>
                <w:b/>
                <w:bCs/>
                <w:iCs/>
                <w:color w:val="243285"/>
                <w:sz w:val="44"/>
                <w:szCs w:val="44"/>
              </w:rPr>
              <w:br/>
              <w:t>la coordination</w:t>
            </w: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5D3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595D3D">
              <w:rPr>
                <w:rFonts w:ascii="Tahoma" w:hAnsi="Tahoma" w:cs="Tahoma"/>
                <w:b/>
                <w:bCs/>
                <w:iCs/>
                <w:color w:val="243285"/>
                <w:sz w:val="36"/>
                <w:szCs w:val="36"/>
              </w:rPr>
              <w:t>F</w:t>
            </w:r>
          </w:p>
          <w:p w:rsidR="00FE79FE" w:rsidRPr="00F54FBD" w:rsidRDefault="00595D3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Partage des fréquences et coordination entre</w:t>
            </w:r>
            <w:r>
              <w:rPr>
                <w:rFonts w:ascii="Tahoma" w:hAnsi="Tahoma" w:cs="Tahoma"/>
                <w:b/>
                <w:bCs/>
                <w:iCs/>
                <w:color w:val="243285"/>
                <w:sz w:val="36"/>
                <w:szCs w:val="36"/>
              </w:rPr>
              <w:br/>
              <w:t>les systèmes du service fixe par satellite</w:t>
            </w:r>
            <w:r>
              <w:rPr>
                <w:rFonts w:ascii="Tahoma" w:hAnsi="Tahoma" w:cs="Tahoma"/>
                <w:b/>
                <w:bCs/>
                <w:iCs/>
                <w:color w:val="243285"/>
                <w:sz w:val="36"/>
                <w:szCs w:val="36"/>
              </w:rPr>
              <w:br/>
              <w:t xml:space="preserve">et du service fixe </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7F23A6"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595D3D">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595D3D" w:rsidTr="00595D3D">
        <w:tc>
          <w:tcPr>
            <w:tcW w:w="1140" w:type="dxa"/>
            <w:tcBorders>
              <w:top w:val="nil"/>
              <w:bottom w:val="nil"/>
            </w:tcBorders>
            <w:shd w:val="clear" w:color="auto" w:fill="F3F3F3"/>
          </w:tcPr>
          <w:p w:rsidR="00F54FBD" w:rsidRPr="00595D3D" w:rsidRDefault="00F54FBD" w:rsidP="00F336CC">
            <w:pPr>
              <w:spacing w:before="30" w:after="30"/>
              <w:ind w:left="57"/>
              <w:jc w:val="left"/>
              <w:rPr>
                <w:b/>
                <w:bCs/>
                <w:color w:val="000080"/>
                <w:sz w:val="20"/>
                <w:lang w:val="en-US"/>
              </w:rPr>
            </w:pPr>
            <w:r w:rsidRPr="00595D3D">
              <w:rPr>
                <w:b/>
                <w:bCs/>
                <w:color w:val="000080"/>
                <w:sz w:val="20"/>
                <w:lang w:val="en-US"/>
              </w:rPr>
              <w:t>SF</w:t>
            </w:r>
          </w:p>
        </w:tc>
        <w:tc>
          <w:tcPr>
            <w:tcW w:w="8220" w:type="dxa"/>
            <w:tcBorders>
              <w:top w:val="nil"/>
              <w:bottom w:val="nil"/>
            </w:tcBorders>
            <w:shd w:val="clear" w:color="auto" w:fill="F3F3F3"/>
          </w:tcPr>
          <w:p w:rsidR="00F54FBD" w:rsidRPr="00595D3D" w:rsidRDefault="00614CC6" w:rsidP="00F336CC">
            <w:pPr>
              <w:spacing w:before="30" w:after="30"/>
              <w:jc w:val="left"/>
              <w:rPr>
                <w:b/>
                <w:bCs/>
                <w:color w:val="000080"/>
                <w:sz w:val="20"/>
              </w:rPr>
            </w:pPr>
            <w:r w:rsidRPr="00595D3D">
              <w:rPr>
                <w:b/>
                <w:bCs/>
                <w:color w:val="000080"/>
                <w:sz w:val="20"/>
              </w:rPr>
              <w:t>Partage des fréquences et coordination entre les systèmes du service fixe par satellite et du service fixe</w:t>
            </w:r>
          </w:p>
        </w:tc>
      </w:tr>
      <w:tr w:rsidR="00F54FBD" w:rsidRPr="00036EE3" w:rsidTr="00595D3D">
        <w:tc>
          <w:tcPr>
            <w:tcW w:w="1140" w:type="dxa"/>
            <w:tcBorders>
              <w:top w:val="nil"/>
            </w:tcBorders>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tcBorders>
              <w:top w:val="nil"/>
            </w:tcBorders>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73050C">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EA1CFC">
      <w:pPr>
        <w:spacing w:before="0"/>
        <w:jc w:val="right"/>
        <w:rPr>
          <w:sz w:val="20"/>
        </w:rPr>
      </w:pPr>
      <w:r w:rsidRPr="00614CC6">
        <w:rPr>
          <w:sz w:val="20"/>
        </w:rPr>
        <w:t>G</w:t>
      </w:r>
      <w:r w:rsidR="00614CC6" w:rsidRPr="00614CC6">
        <w:rPr>
          <w:sz w:val="20"/>
        </w:rPr>
        <w:t>enève</w:t>
      </w:r>
      <w:r w:rsidRPr="00614CC6">
        <w:rPr>
          <w:sz w:val="20"/>
        </w:rPr>
        <w:t>, 20</w:t>
      </w:r>
      <w:r w:rsidR="001A7CBE">
        <w:rPr>
          <w:sz w:val="20"/>
        </w:rPr>
        <w:t>1</w:t>
      </w:r>
      <w:r w:rsidR="00616B2F">
        <w:rPr>
          <w:sz w:val="20"/>
        </w:rPr>
        <w:t>4</w:t>
      </w:r>
    </w:p>
    <w:p w:rsidR="00F54FBD" w:rsidRPr="00614CC6" w:rsidRDefault="00F54FBD" w:rsidP="00616B2F">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1A7CBE">
        <w:rPr>
          <w:sz w:val="20"/>
        </w:rPr>
        <w:t>1</w:t>
      </w:r>
      <w:r w:rsidR="00616B2F">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175FB5" w:rsidRDefault="00756B4D" w:rsidP="00A45031">
      <w:pPr>
        <w:pStyle w:val="RecNo"/>
        <w:spacing w:before="0"/>
      </w:pPr>
      <w:bookmarkStart w:id="2" w:name="irecnoe"/>
      <w:bookmarkEnd w:id="2"/>
      <w:r w:rsidRPr="00756B4D">
        <w:lastRenderedPageBreak/>
        <w:t>RECOMMA</w:t>
      </w:r>
      <w:r w:rsidR="00934ED7" w:rsidRPr="00756B4D">
        <w:t xml:space="preserve">NDATION  </w:t>
      </w:r>
      <w:r w:rsidR="00A45031">
        <w:rPr>
          <w:rStyle w:val="href"/>
        </w:rPr>
        <w:t>UIT</w:t>
      </w:r>
      <w:r w:rsidR="00934ED7" w:rsidRPr="00756B4D">
        <w:rPr>
          <w:rStyle w:val="href"/>
        </w:rPr>
        <w:t xml:space="preserve">-R  </w:t>
      </w:r>
      <w:r w:rsidR="004822EF">
        <w:rPr>
          <w:rStyle w:val="href"/>
        </w:rPr>
        <w:t>S</w:t>
      </w:r>
      <w:r w:rsidR="00595D3D">
        <w:rPr>
          <w:rStyle w:val="href"/>
        </w:rPr>
        <w:t>F</w:t>
      </w:r>
      <w:r w:rsidR="00934ED7" w:rsidRPr="00756B4D">
        <w:rPr>
          <w:rStyle w:val="href"/>
        </w:rPr>
        <w:t>.</w:t>
      </w:r>
      <w:r w:rsidR="00175FB5">
        <w:rPr>
          <w:rStyle w:val="href"/>
        </w:rPr>
        <w:t>674-3</w:t>
      </w:r>
    </w:p>
    <w:p w:rsidR="00175FB5" w:rsidRDefault="00175FB5" w:rsidP="00175FB5">
      <w:pPr>
        <w:pStyle w:val="Rectitle"/>
      </w:pPr>
      <w:bookmarkStart w:id="3" w:name="Pre_title"/>
      <w:r>
        <w:t xml:space="preserve">Détermination des conséquences sur le service fixe fonctionnant dans la </w:t>
      </w:r>
      <w:r>
        <w:br/>
        <w:t xml:space="preserve">bande 11,7-12,2 GHz du dépassement par les réseaux du service fixe </w:t>
      </w:r>
      <w:r>
        <w:br/>
        <w:t xml:space="preserve">par satellite géostationnaire de la Région 2 des seuils de puissance </w:t>
      </w:r>
      <w:r>
        <w:br/>
        <w:t xml:space="preserve">surfacique </w:t>
      </w:r>
      <w:bookmarkEnd w:id="3"/>
      <w:r>
        <w:t>déclenchant la coordination</w:t>
      </w:r>
    </w:p>
    <w:p w:rsidR="00175FB5" w:rsidRDefault="00175FB5" w:rsidP="00175FB5">
      <w:pPr>
        <w:pStyle w:val="Repdate"/>
      </w:pPr>
      <w:bookmarkStart w:id="4" w:name="Revision_history"/>
      <w:r>
        <w:t>(1990-1997-2002-2013)</w:t>
      </w:r>
      <w:bookmarkEnd w:id="4"/>
    </w:p>
    <w:p w:rsidR="00175FB5" w:rsidRPr="00676756" w:rsidRDefault="00993F10" w:rsidP="00175FB5">
      <w:pPr>
        <w:pStyle w:val="Headingb"/>
      </w:pPr>
      <w:r>
        <w:t>Domaine</w:t>
      </w:r>
      <w:r w:rsidR="00175FB5" w:rsidRPr="00676756">
        <w:t xml:space="preserve"> d</w:t>
      </w:r>
      <w:r w:rsidR="00175FB5">
        <w:t>'</w:t>
      </w:r>
      <w:r w:rsidR="00175FB5" w:rsidRPr="00676756">
        <w:t>application</w:t>
      </w:r>
    </w:p>
    <w:p w:rsidR="00175FB5" w:rsidRDefault="00175FB5" w:rsidP="00175FB5">
      <w:pPr>
        <w:pStyle w:val="Normalaftertitle"/>
        <w:spacing w:before="240"/>
      </w:pPr>
      <w:r>
        <w:t>La présente Recommandation décrit une méthode permettant de déterminer les niveaux des brouillages qui seraient causés aux systèmes du service fixe par les systèmes OSG du service fixe par satellite fonctionnant à des niveaux de puissance surfacique supérieurs au seuil déclenchant la coordination spécifié dans le Règlement des radiocommunications.</w:t>
      </w:r>
    </w:p>
    <w:p w:rsidR="00175FB5" w:rsidRDefault="00175FB5" w:rsidP="00175FB5">
      <w:pPr>
        <w:pStyle w:val="Normalaftertitle"/>
        <w:spacing w:before="240"/>
      </w:pPr>
      <w:r>
        <w:t>L'Assemblée des radiocommunications de l'UIT,</w:t>
      </w:r>
    </w:p>
    <w:p w:rsidR="00175FB5" w:rsidRDefault="00175FB5" w:rsidP="00175FB5">
      <w:pPr>
        <w:pStyle w:val="Call"/>
      </w:pPr>
      <w:r>
        <w:t>considérant</w:t>
      </w:r>
    </w:p>
    <w:p w:rsidR="00175FB5" w:rsidRDefault="00175FB5" w:rsidP="00175FB5">
      <w:r w:rsidRPr="00B812F5">
        <w:rPr>
          <w:i/>
          <w:iCs/>
        </w:rPr>
        <w:t>a)</w:t>
      </w:r>
      <w:r>
        <w:tab/>
        <w:t>que la bande 11,7-12,2 GHz est attribuée au service fixe (SF) à l'échelle mondiale et au service fixe par satellite (SFS) (espace vers Terre) dans la Région 2;</w:t>
      </w:r>
    </w:p>
    <w:p w:rsidR="00175FB5" w:rsidRDefault="00175FB5" w:rsidP="00175FB5">
      <w:r w:rsidRPr="00B812F5">
        <w:rPr>
          <w:i/>
          <w:iCs/>
        </w:rPr>
        <w:t>b)</w:t>
      </w:r>
      <w:r>
        <w:tab/>
        <w:t>que l'utilisation de cette bande par les réseaux à satellite géostationnaire du SFS dans la Région 2 est assujettie à des niveaux de seuil déclenchant la coordination spécifiés dans le Tableau 5</w:t>
      </w:r>
      <w:r>
        <w:noBreakHyphen/>
        <w:t xml:space="preserve">1 de l'Appendice </w:t>
      </w:r>
      <w:r w:rsidRPr="00C745D5">
        <w:rPr>
          <w:b/>
          <w:bCs/>
        </w:rPr>
        <w:t xml:space="preserve">5 </w:t>
      </w:r>
      <w:r>
        <w:t>du Règlement des radiocommunications;</w:t>
      </w:r>
    </w:p>
    <w:p w:rsidR="00175FB5" w:rsidRDefault="00175FB5" w:rsidP="00175FB5">
      <w:r w:rsidRPr="00B812F5">
        <w:rPr>
          <w:i/>
          <w:iCs/>
        </w:rPr>
        <w:t>c)</w:t>
      </w:r>
      <w:r>
        <w:tab/>
        <w:t>que le partage des fréquences entre le SF et le SFS serait facilité par la mise en place d'une méthode d'évaluation des niveaux des brouillages causés par le SFS au SF lorsque les valeurs de puissance surfacique dépassent le seuil déclenchant la coordination,</w:t>
      </w:r>
    </w:p>
    <w:p w:rsidR="00175FB5" w:rsidRDefault="00175FB5" w:rsidP="00175FB5">
      <w:pPr>
        <w:pStyle w:val="Call"/>
        <w:keepLines w:val="0"/>
      </w:pPr>
      <w:r>
        <w:t>recommande</w:t>
      </w:r>
    </w:p>
    <w:p w:rsidR="00175FB5" w:rsidRDefault="00175FB5" w:rsidP="00175FB5">
      <w:r>
        <w:t xml:space="preserve">d'appliquer la méthode présentée dans l'Annexe 1 pour déterminer les niveaux des brouillages causés aux systèmes du SF par le SFS lorsque les niveaux de puissance surfacique dépassent le seuil mentionné dans le point </w:t>
      </w:r>
      <w:r w:rsidRPr="005D4B33">
        <w:rPr>
          <w:i/>
          <w:iCs/>
        </w:rPr>
        <w:t>b)</w:t>
      </w:r>
      <w:r>
        <w:t xml:space="preserve"> du </w:t>
      </w:r>
      <w:r w:rsidRPr="00B926E5">
        <w:rPr>
          <w:i/>
          <w:iCs/>
        </w:rPr>
        <w:t>considérant</w:t>
      </w:r>
      <w:r>
        <w:t xml:space="preserve"> ci-dessus.</w:t>
      </w:r>
    </w:p>
    <w:p w:rsidR="00175FB5" w:rsidRDefault="00175FB5" w:rsidP="00175FB5"/>
    <w:p w:rsidR="00B812F5" w:rsidRDefault="00B812F5" w:rsidP="00175FB5"/>
    <w:p w:rsidR="00175FB5" w:rsidRDefault="00175FB5" w:rsidP="00175FB5">
      <w:pPr>
        <w:pStyle w:val="AnnexNoTitle"/>
      </w:pPr>
      <w:r w:rsidRPr="005D4B33">
        <w:t>Annexe 1</w:t>
      </w:r>
      <w:r>
        <w:br/>
      </w:r>
      <w:r>
        <w:br/>
        <w:t>Détermination des brouillages causés aux systèmes du SF</w:t>
      </w:r>
    </w:p>
    <w:p w:rsidR="00175FB5" w:rsidRDefault="00175FB5" w:rsidP="00175FB5">
      <w:pPr>
        <w:pStyle w:val="Headingb"/>
      </w:pPr>
      <w:r>
        <w:t>Introduction</w:t>
      </w:r>
    </w:p>
    <w:p w:rsidR="00175FB5" w:rsidRDefault="00175FB5" w:rsidP="00175FB5">
      <w:r>
        <w:t>La présente Annexe complète la méthode utilisée dans les Recommandations UIT-R F.1107 et UIT</w:t>
      </w:r>
      <w:r>
        <w:noBreakHyphen/>
        <w:t>R F.1108 pour les systèmes numériques du SF. La Recommandation UIT-R F.1108 utilise le concept de dégradation relative de la qualité de fonctionnement pour les stations numériques du SF. La dégradation relative de la qualité de fonctionnement est l'augmentation relative en pourcentage de temps au cours duquel le critère de qualité de fonctionnement ne sera pas respecté à cause de la présence du brouillage. Dans la Recommandation UIT</w:t>
      </w:r>
      <w:r>
        <w:noBreakHyphen/>
        <w:t>R F.1108, on propose d'utiliser pour les études de partage une valeur de dégradation relative de la qualité de fonctionnement de 10</w:t>
      </w:r>
      <w:r>
        <w:rPr>
          <w:lang w:val="fr-CH"/>
        </w:rPr>
        <w:t>%</w:t>
      </w:r>
      <w:r>
        <w:t>. De même, la méthode décrite ici permettra de déterminer la proportion des récepteurs du SF pour lesquels la dégradation relative de la qualité de fonctionnement dépassera 10</w:t>
      </w:r>
      <w:r>
        <w:rPr>
          <w:lang w:val="fr-CH"/>
        </w:rPr>
        <w:t>%</w:t>
      </w:r>
      <w:r>
        <w:t xml:space="preserve">. La dégradation relative de la </w:t>
      </w:r>
      <w:r>
        <w:lastRenderedPageBreak/>
        <w:t>qualité de fonctionnement ne devra dépasser 10</w:t>
      </w:r>
      <w:r>
        <w:rPr>
          <w:lang w:val="fr-CH"/>
        </w:rPr>
        <w:t>%</w:t>
      </w:r>
      <w:r>
        <w:t xml:space="preserve"> que pour un petit pourcentage convenu de stations de Terre. La Pièce jointe 1 contient une discussion de la méthode utilisée pour analyser les brouillages causés aux systèmes numériques. Il convient de noter que la méthode présentée ici n'utilise pas l'évitement d'orbite. </w:t>
      </w:r>
    </w:p>
    <w:p w:rsidR="00175FB5" w:rsidRDefault="00175FB5" w:rsidP="00175FB5">
      <w:r>
        <w:t xml:space="preserve">La Pièce jointe 1 contient des détails sur la méthode utilisée et certains résultats. L'analyse présentée dans la Pièce jointe 1 montre que l'augmentation de la dégradation de la qualité de fonctionnement des systèmes numériques du SF due aux systèmes du SFS ne respectant pas les seuils de puissance surfacique mentionnés dans le point b) du </w:t>
      </w:r>
      <w:r w:rsidRPr="00F2560B">
        <w:rPr>
          <w:i/>
          <w:iCs/>
        </w:rPr>
        <w:t>considérant</w:t>
      </w:r>
      <w:r>
        <w:t>, dépend des paramètres choisis. Des températures de bruit de 1</w:t>
      </w:r>
      <w:r>
        <w:rPr>
          <w:sz w:val="12"/>
        </w:rPr>
        <w:t> </w:t>
      </w:r>
      <w:r>
        <w:t>100 K pour les stations numériques du SF ont été utilisées dans les calculs. Cette valeur est reprise du Tableau 7b de l'Annexe 7 de l'Appendice 7 du RR.</w:t>
      </w:r>
    </w:p>
    <w:p w:rsidR="00175FB5" w:rsidRDefault="00175FB5" w:rsidP="00175FB5">
      <w:r>
        <w:t>La méthode tient également compte des effets de l'affaiblissement dû aux gaz de l'atmosphère, en utilisant la méthode décrite dans la Recommandation UIT-R SF.1395.</w:t>
      </w:r>
    </w:p>
    <w:p w:rsidR="00175FB5" w:rsidRDefault="00175FB5" w:rsidP="00175FB5">
      <w:r>
        <w:t>La méthode appliquée dans la présente Annexe ne tient pas compte de l'affaiblissement géométrique du faisceau d'antenne du satellite sur le trajet Terre vers espace. D'après la Fig. 1 de la Recommandation UIT</w:t>
      </w:r>
      <w:r>
        <w:noBreakHyphen/>
        <w:t>R P.834, l'affaiblissement géométrique moyen à long terme du faisceau pourrait atteindre 2,5 dB pour un angle d'élévation de 0,1°, 0,85 dB pour un angle d'élévation de 1° et 0,45 dB pour un angle d'élévation de 2°.</w:t>
      </w:r>
    </w:p>
    <w:p w:rsidR="00175FB5" w:rsidRDefault="00175FB5" w:rsidP="00175FB5">
      <w:r>
        <w:t xml:space="preserve">Une technique de réduction des brouillages qui pourrait être appliquée au SF existant consisterait à réorienter légèrement l'antenne de réception de ces stations afin de réduire le couplage par le faisceau principal avec les émissions provenant du satellite. Des analyses théoriques montrent que les améliorations sont en général modestes, qu'elles dépendent de l'angle hors axe du faisceau principal initial en direction du satellite et qu'elles augmentent avec le rapport brouillage/bruit, </w:t>
      </w:r>
      <w:r>
        <w:rPr>
          <w:i/>
          <w:iCs/>
        </w:rPr>
        <w:t>I</w:t>
      </w:r>
      <w:r>
        <w:t>/</w:t>
      </w:r>
      <w:r>
        <w:rPr>
          <w:i/>
          <w:iCs/>
        </w:rPr>
        <w:t>N</w:t>
      </w:r>
      <w:r>
        <w:t xml:space="preserve">. Pour une valeur du rapport </w:t>
      </w:r>
      <w:r>
        <w:rPr>
          <w:i/>
          <w:iCs/>
        </w:rPr>
        <w:t>I</w:t>
      </w:r>
      <w:r>
        <w:t>/</w:t>
      </w:r>
      <w:r>
        <w:rPr>
          <w:i/>
          <w:iCs/>
        </w:rPr>
        <w:t>N</w:t>
      </w:r>
      <w:r>
        <w:t xml:space="preserve"> égale à +10 dB ou plus, des améliorations de plusieurs dB sont possibles lorsque le satellite se trouve initialement en dehors de l'ouverture du faisceau à 3 dB de l'antenne de la station du SF. Des considérations pratiques de mise en oeuvre de cette technique de réduction des brouillages n'ont pas été examinées, et son efficacité n'a pas encore été confirmée par des essais réels.</w:t>
      </w:r>
    </w:p>
    <w:p w:rsidR="00175FB5" w:rsidRDefault="00175FB5" w:rsidP="00175FB5"/>
    <w:p w:rsidR="00175FB5" w:rsidRDefault="00175FB5" w:rsidP="00175FB5"/>
    <w:p w:rsidR="00175FB5" w:rsidRDefault="00175FB5" w:rsidP="00175FB5">
      <w:pPr>
        <w:pStyle w:val="AnnexNoTitle"/>
        <w:rPr>
          <w:lang w:val="fr-CH"/>
        </w:rPr>
      </w:pPr>
      <w:r>
        <w:t>Pièce jointe 1</w:t>
      </w:r>
      <w:r>
        <w:br/>
      </w:r>
      <w:r>
        <w:br/>
      </w:r>
      <w:r>
        <w:rPr>
          <w:lang w:val="fr-CH"/>
        </w:rPr>
        <w:t>à l'Annexe 1</w:t>
      </w:r>
    </w:p>
    <w:p w:rsidR="00175FB5" w:rsidRDefault="00175FB5" w:rsidP="00175FB5">
      <w:pPr>
        <w:pStyle w:val="Annextitle"/>
        <w:rPr>
          <w:lang w:val="fr-CH"/>
        </w:rPr>
      </w:pPr>
      <w:r>
        <w:rPr>
          <w:lang w:val="fr-CH"/>
        </w:rPr>
        <w:t>Détermination des brouillages causés aux systèmes numériques du SF</w:t>
      </w:r>
    </w:p>
    <w:p w:rsidR="00175FB5" w:rsidRDefault="000373AC" w:rsidP="000373AC">
      <w:pPr>
        <w:pStyle w:val="Heading1"/>
        <w:rPr>
          <w:lang w:val="fr-CH"/>
        </w:rPr>
      </w:pPr>
      <w:r>
        <w:rPr>
          <w:lang w:val="fr-CH"/>
        </w:rPr>
        <w:t>1</w:t>
      </w:r>
      <w:r>
        <w:rPr>
          <w:lang w:val="fr-CH"/>
        </w:rPr>
        <w:tab/>
      </w:r>
      <w:bookmarkStart w:id="5" w:name="_GoBack"/>
      <w:bookmarkEnd w:id="5"/>
      <w:r w:rsidR="00175FB5">
        <w:rPr>
          <w:lang w:val="fr-CH"/>
        </w:rPr>
        <w:t>Méthode</w:t>
      </w:r>
    </w:p>
    <w:p w:rsidR="00175FB5" w:rsidRPr="00AE5D2F" w:rsidRDefault="00175FB5" w:rsidP="00175FB5">
      <w:pPr>
        <w:keepNext/>
        <w:keepLines/>
      </w:pPr>
      <w:r w:rsidRPr="00AE5D2F">
        <w:t xml:space="preserve">La </w:t>
      </w:r>
      <w:r>
        <w:t>méthode</w:t>
      </w:r>
      <w:r w:rsidRPr="00AE5D2F">
        <w:t xml:space="preserve"> </w:t>
      </w:r>
      <w:r>
        <w:t xml:space="preserve">d'analyse </w:t>
      </w:r>
      <w:r w:rsidRPr="00AE5D2F">
        <w:t>de la Recommandation UIT-R F.1107 est résumée ci-après. Les réseaux du SFS sont placés dans l'ordre avec un espacement régulier le long de l</w:t>
      </w:r>
      <w:r>
        <w:t>'</w:t>
      </w:r>
      <w:r w:rsidRPr="00AE5D2F">
        <w:t>arc géostationnaire, 2° par exemple. On suppose que les niveaux de puissance surfacique (pfd) rayonnée par ces systèmes à la surface de la Terre sont les suivants:</w:t>
      </w:r>
    </w:p>
    <w:p w:rsidR="00175FB5" w:rsidRDefault="00175FB5" w:rsidP="00B812F5">
      <w:pPr>
        <w:tabs>
          <w:tab w:val="left" w:pos="851"/>
        </w:tabs>
        <w:rPr>
          <w:lang w:val="fr-CH"/>
        </w:rPr>
      </w:pPr>
      <w:r>
        <w:rPr>
          <w:i/>
          <w:iCs/>
          <w:lang w:val="fr-CH"/>
        </w:rPr>
        <w:tab/>
        <w:t>pfd</w:t>
      </w:r>
      <w:r w:rsidR="00B812F5" w:rsidRPr="00B812F5">
        <w:rPr>
          <w:i/>
          <w:iCs/>
          <w:vertAlign w:val="subscript"/>
          <w:lang w:val="fr-CH"/>
        </w:rPr>
        <w:t>bas</w:t>
      </w:r>
      <w:r>
        <w:rPr>
          <w:position w:val="-4"/>
          <w:sz w:val="20"/>
          <w:lang w:val="fr-CH"/>
        </w:rPr>
        <w:tab/>
      </w:r>
      <w:r>
        <w:rPr>
          <w:position w:val="-4"/>
          <w:sz w:val="20"/>
          <w:lang w:val="fr-CH"/>
        </w:rPr>
        <w:tab/>
      </w:r>
      <w:r>
        <w:rPr>
          <w:position w:val="-4"/>
          <w:sz w:val="20"/>
          <w:lang w:val="fr-CH"/>
        </w:rPr>
        <w:tab/>
      </w:r>
      <w:r>
        <w:rPr>
          <w:position w:val="-4"/>
          <w:sz w:val="20"/>
          <w:lang w:val="fr-CH"/>
        </w:rPr>
        <w:tab/>
      </w:r>
      <w:r>
        <w:rPr>
          <w:position w:val="-4"/>
          <w:sz w:val="20"/>
          <w:lang w:val="fr-CH"/>
        </w:rPr>
        <w:tab/>
      </w:r>
      <w:r>
        <w:rPr>
          <w:position w:val="-4"/>
          <w:sz w:val="20"/>
          <w:lang w:val="fr-CH"/>
        </w:rPr>
        <w:tab/>
      </w:r>
      <w:r>
        <w:rPr>
          <w:position w:val="-4"/>
          <w:sz w:val="20"/>
          <w:lang w:val="fr-CH"/>
        </w:rPr>
        <w:tab/>
      </w:r>
      <w:r w:rsidR="00746E15">
        <w:rPr>
          <w:position w:val="-4"/>
          <w:sz w:val="20"/>
          <w:lang w:val="fr-CH"/>
        </w:rPr>
        <w:tab/>
      </w:r>
      <w:r>
        <w:rPr>
          <w:lang w:val="fr-CH"/>
        </w:rPr>
        <w:t xml:space="preserve">pour   0º </w:t>
      </w:r>
      <w:r>
        <w:sym w:font="Symbol" w:char="F0A3"/>
      </w:r>
      <w:r>
        <w:rPr>
          <w:lang w:val="fr-CH"/>
        </w:rPr>
        <w:t xml:space="preserve"> </w:t>
      </w:r>
      <w:r w:rsidR="00B812F5">
        <w:rPr>
          <w:lang w:val="fr-CH"/>
        </w:rPr>
        <w:sym w:font="Symbol" w:char="F071"/>
      </w:r>
      <w:r>
        <w:rPr>
          <w:lang w:val="fr-CH"/>
        </w:rPr>
        <w:t xml:space="preserve"> </w:t>
      </w:r>
      <w:r>
        <w:sym w:font="Symbol" w:char="F0A3"/>
      </w:r>
      <w:r>
        <w:rPr>
          <w:lang w:val="fr-CH"/>
        </w:rPr>
        <w:t xml:space="preserve"> 5º</w:t>
      </w:r>
    </w:p>
    <w:p w:rsidR="00175FB5" w:rsidRPr="00AE5D2F" w:rsidRDefault="00175FB5" w:rsidP="00B812F5">
      <w:pPr>
        <w:tabs>
          <w:tab w:val="left" w:pos="851"/>
          <w:tab w:val="left" w:pos="5670"/>
        </w:tabs>
        <w:rPr>
          <w:i/>
          <w:iCs/>
          <w:lang w:val="fr-CH"/>
        </w:rPr>
      </w:pPr>
      <w:r>
        <w:rPr>
          <w:i/>
          <w:iCs/>
          <w:lang w:val="fr-CH"/>
        </w:rPr>
        <w:tab/>
        <w:t>pfd</w:t>
      </w:r>
      <w:r w:rsidRPr="00B812F5">
        <w:rPr>
          <w:i/>
          <w:iCs/>
          <w:vertAlign w:val="subscript"/>
          <w:lang w:val="fr-CH"/>
        </w:rPr>
        <w:t>bas</w:t>
      </w:r>
      <w:r w:rsidRPr="00AE5D2F">
        <w:rPr>
          <w:i/>
          <w:iCs/>
          <w:lang w:val="fr-CH"/>
        </w:rPr>
        <w:t xml:space="preserve"> + </w:t>
      </w:r>
      <w:r w:rsidRPr="00AE5D2F">
        <w:rPr>
          <w:lang w:val="fr-CH"/>
        </w:rPr>
        <w:t>0,05</w:t>
      </w:r>
      <w:r>
        <w:rPr>
          <w:i/>
          <w:iCs/>
          <w:lang w:val="fr-CH"/>
        </w:rPr>
        <w:t xml:space="preserve"> </w:t>
      </w:r>
      <w:r w:rsidRPr="00AE5D2F">
        <w:rPr>
          <w:lang w:val="fr-CH"/>
        </w:rPr>
        <w:t>(</w:t>
      </w:r>
      <w:r>
        <w:rPr>
          <w:i/>
          <w:iCs/>
          <w:lang w:val="fr-CH"/>
        </w:rPr>
        <w:t>pfd</w:t>
      </w:r>
      <w:r w:rsidRPr="00B812F5">
        <w:rPr>
          <w:i/>
          <w:iCs/>
          <w:vertAlign w:val="subscript"/>
        </w:rPr>
        <w:t>haut</w:t>
      </w:r>
      <w:r>
        <w:rPr>
          <w:lang w:val="fr-CH"/>
        </w:rPr>
        <w:t xml:space="preserve"> – </w:t>
      </w:r>
      <w:r>
        <w:rPr>
          <w:i/>
          <w:iCs/>
          <w:lang w:val="fr-CH"/>
        </w:rPr>
        <w:t>pfd</w:t>
      </w:r>
      <w:r w:rsidR="00B812F5" w:rsidRPr="00B812F5">
        <w:rPr>
          <w:i/>
          <w:iCs/>
          <w:vertAlign w:val="subscript"/>
          <w:lang w:val="fr-CH"/>
        </w:rPr>
        <w:t>bas</w:t>
      </w:r>
      <w:r w:rsidRPr="00AE5D2F">
        <w:rPr>
          <w:lang w:val="fr-CH"/>
        </w:rPr>
        <w:t>)</w:t>
      </w:r>
      <w:r w:rsidRPr="00AE5D2F">
        <w:rPr>
          <w:i/>
          <w:iCs/>
          <w:lang w:val="fr-CH"/>
        </w:rPr>
        <w:t xml:space="preserve"> </w:t>
      </w:r>
      <w:r w:rsidRPr="00AE5D2F">
        <w:rPr>
          <w:lang w:val="fr-CH"/>
        </w:rPr>
        <w:t>(</w:t>
      </w:r>
      <w:r w:rsidR="00B812F5">
        <w:rPr>
          <w:lang w:val="fr-CH"/>
        </w:rPr>
        <w:sym w:font="Symbol" w:char="F071"/>
      </w:r>
      <w:r w:rsidR="00B812F5">
        <w:rPr>
          <w:lang w:val="fr-CH"/>
        </w:rPr>
        <w:t xml:space="preserve"> </w:t>
      </w:r>
      <w:r w:rsidRPr="00AE5D2F">
        <w:rPr>
          <w:lang w:val="fr-CH"/>
        </w:rPr>
        <w:t>– 5)</w:t>
      </w:r>
      <w:r w:rsidR="00746E15">
        <w:rPr>
          <w:i/>
          <w:iCs/>
          <w:lang w:val="fr-CH"/>
        </w:rPr>
        <w:tab/>
      </w:r>
      <w:r w:rsidR="00746E15">
        <w:rPr>
          <w:i/>
          <w:iCs/>
          <w:lang w:val="fr-CH"/>
        </w:rPr>
        <w:tab/>
      </w:r>
      <w:r w:rsidRPr="00AE5D2F">
        <w:rPr>
          <w:lang w:val="fr-CH"/>
        </w:rPr>
        <w:t>pour</w:t>
      </w:r>
      <w:r w:rsidRPr="00AE5D2F">
        <w:rPr>
          <w:i/>
          <w:iCs/>
          <w:lang w:val="fr-CH"/>
        </w:rPr>
        <w:t xml:space="preserve">  </w:t>
      </w:r>
      <w:r w:rsidRPr="00AE5D2F">
        <w:rPr>
          <w:lang w:val="fr-CH"/>
        </w:rPr>
        <w:t> 5º</w:t>
      </w:r>
      <w:r w:rsidRPr="00AE5D2F">
        <w:rPr>
          <w:i/>
          <w:iCs/>
          <w:lang w:val="fr-CH"/>
        </w:rPr>
        <w:t xml:space="preserve"> </w:t>
      </w:r>
      <w:r w:rsidRPr="00B812F5">
        <w:rPr>
          <w:lang w:val="fr-CH"/>
        </w:rPr>
        <w:sym w:font="Symbol" w:char="F0A3"/>
      </w:r>
      <w:r w:rsidRPr="00AE5D2F">
        <w:rPr>
          <w:i/>
          <w:iCs/>
          <w:lang w:val="fr-CH"/>
        </w:rPr>
        <w:t xml:space="preserve"> </w:t>
      </w:r>
      <w:r w:rsidR="00B812F5">
        <w:rPr>
          <w:lang w:val="fr-CH"/>
        </w:rPr>
        <w:sym w:font="Symbol" w:char="F071"/>
      </w:r>
      <w:r w:rsidRPr="00AE5D2F">
        <w:rPr>
          <w:i/>
          <w:iCs/>
          <w:lang w:val="fr-CH"/>
        </w:rPr>
        <w:t xml:space="preserve"> &lt; </w:t>
      </w:r>
      <w:r w:rsidRPr="00AE5D2F">
        <w:rPr>
          <w:lang w:val="fr-CH"/>
        </w:rPr>
        <w:t>25º</w:t>
      </w:r>
    </w:p>
    <w:p w:rsidR="00175FB5" w:rsidRDefault="00175FB5" w:rsidP="00B812F5">
      <w:pPr>
        <w:tabs>
          <w:tab w:val="left" w:pos="851"/>
          <w:tab w:val="left" w:pos="5670"/>
        </w:tabs>
        <w:rPr>
          <w:lang w:val="fr-CH"/>
        </w:rPr>
      </w:pPr>
      <w:r>
        <w:rPr>
          <w:i/>
          <w:iCs/>
          <w:lang w:val="fr-CH"/>
        </w:rPr>
        <w:tab/>
        <w:t>pfd</w:t>
      </w:r>
      <w:r w:rsidRPr="00B812F5">
        <w:rPr>
          <w:i/>
          <w:iCs/>
          <w:vertAlign w:val="subscript"/>
        </w:rPr>
        <w:t>haut</w:t>
      </w:r>
      <w:r>
        <w:rPr>
          <w:lang w:val="fr-CH"/>
        </w:rPr>
        <w:t xml:space="preserve"> </w:t>
      </w:r>
      <w:r>
        <w:rPr>
          <w:lang w:val="fr-CH"/>
        </w:rPr>
        <w:tab/>
      </w:r>
      <w:r>
        <w:rPr>
          <w:lang w:val="fr-CH"/>
        </w:rPr>
        <w:tab/>
      </w:r>
      <w:r w:rsidR="00746E15">
        <w:rPr>
          <w:lang w:val="fr-CH"/>
        </w:rPr>
        <w:tab/>
      </w:r>
      <w:r w:rsidR="00746E15">
        <w:rPr>
          <w:lang w:val="fr-CH"/>
        </w:rPr>
        <w:tab/>
      </w:r>
      <w:r>
        <w:rPr>
          <w:lang w:val="fr-CH"/>
        </w:rPr>
        <w:t xml:space="preserve">pour  25º </w:t>
      </w:r>
      <w:r>
        <w:sym w:font="Symbol" w:char="F0A3"/>
      </w:r>
      <w:r>
        <w:rPr>
          <w:lang w:val="fr-CH"/>
        </w:rPr>
        <w:t xml:space="preserve"> </w:t>
      </w:r>
      <w:r w:rsidR="00B812F5">
        <w:rPr>
          <w:lang w:val="fr-CH"/>
        </w:rPr>
        <w:sym w:font="Symbol" w:char="F071"/>
      </w:r>
      <w:r>
        <w:rPr>
          <w:lang w:val="fr-CH"/>
        </w:rPr>
        <w:t xml:space="preserve"> </w:t>
      </w:r>
      <w:r>
        <w:sym w:font="Symbol" w:char="F0A3"/>
      </w:r>
      <w:r>
        <w:rPr>
          <w:lang w:val="fr-CH"/>
        </w:rPr>
        <w:t xml:space="preserve"> 90º</w:t>
      </w:r>
    </w:p>
    <w:p w:rsidR="00175FB5" w:rsidRDefault="00175FB5" w:rsidP="00B812F5">
      <w:pPr>
        <w:keepNext/>
        <w:keepLines/>
        <w:rPr>
          <w:lang w:val="fr-CH"/>
        </w:rPr>
      </w:pPr>
      <w:r>
        <w:rPr>
          <w:lang w:val="fr-CH"/>
        </w:rPr>
        <w:lastRenderedPageBreak/>
        <w:t>La méthode utilisée ici diffère de celle décrite dans la Recommandation UIT-R F.1107 sur un point important. Afin de mesurer l'effet d'un satellite du SFS qui ne respecte pas les seuils de puissance surfacique, on peut spécifier pour l'analyse des satellites additionnels (placés sur les positions orbitales quelconques) afin d'obtenir un dépassement des seuils de puissance surfacique de </w:t>
      </w:r>
      <w:r>
        <w:sym w:font="Symbol" w:char="F062"/>
      </w:r>
      <w:r>
        <w:rPr>
          <w:lang w:val="fr-CH"/>
        </w:rPr>
        <w:t xml:space="preserve"> dB. Les puissances surfaciques produites par ces satellites sont supposées être données par les formules suivantes:</w:t>
      </w:r>
    </w:p>
    <w:p w:rsidR="00175FB5" w:rsidRDefault="00175FB5" w:rsidP="00B812F5">
      <w:pPr>
        <w:pStyle w:val="enumlev1"/>
        <w:tabs>
          <w:tab w:val="left" w:pos="5954"/>
        </w:tabs>
        <w:rPr>
          <w:lang w:val="fr-CH"/>
        </w:rPr>
      </w:pPr>
      <w:r>
        <w:rPr>
          <w:lang w:val="fr-CH"/>
        </w:rPr>
        <w:tab/>
      </w:r>
      <w:r>
        <w:rPr>
          <w:i/>
          <w:iCs/>
          <w:lang w:val="fr-CH"/>
        </w:rPr>
        <w:t>pfd</w:t>
      </w:r>
      <w:r w:rsidR="00B812F5" w:rsidRPr="00B812F5">
        <w:rPr>
          <w:i/>
          <w:iCs/>
          <w:vertAlign w:val="subscript"/>
          <w:lang w:val="fr-CH"/>
        </w:rPr>
        <w:t>bas</w:t>
      </w:r>
      <w:r>
        <w:rPr>
          <w:lang w:val="fr-CH"/>
        </w:rPr>
        <w:t xml:space="preserve"> + </w:t>
      </w:r>
      <w:r>
        <w:sym w:font="Symbol" w:char="F062"/>
      </w:r>
      <w:r>
        <w:rPr>
          <w:lang w:val="fr-CH"/>
        </w:rPr>
        <w:tab/>
      </w:r>
      <w:r w:rsidR="00746E15">
        <w:rPr>
          <w:lang w:val="fr-CH"/>
        </w:rPr>
        <w:tab/>
      </w:r>
      <w:r>
        <w:rPr>
          <w:lang w:val="fr-CH"/>
        </w:rPr>
        <w:t xml:space="preserve">pour   0º </w:t>
      </w:r>
      <w:r>
        <w:sym w:font="Symbol" w:char="F0A3"/>
      </w:r>
      <w:r>
        <w:rPr>
          <w:lang w:val="fr-CH"/>
        </w:rPr>
        <w:t xml:space="preserve"> </w:t>
      </w:r>
      <w:r w:rsidR="00B812F5">
        <w:rPr>
          <w:lang w:val="fr-CH"/>
        </w:rPr>
        <w:sym w:font="Symbol" w:char="F071"/>
      </w:r>
      <w:r>
        <w:rPr>
          <w:lang w:val="fr-CH"/>
        </w:rPr>
        <w:t xml:space="preserve"> </w:t>
      </w:r>
      <w:r>
        <w:sym w:font="Symbol" w:char="F0A3"/>
      </w:r>
      <w:r>
        <w:rPr>
          <w:lang w:val="fr-CH"/>
        </w:rPr>
        <w:t xml:space="preserve"> 5º</w:t>
      </w:r>
    </w:p>
    <w:p w:rsidR="00175FB5" w:rsidRDefault="00175FB5" w:rsidP="00B812F5">
      <w:pPr>
        <w:pStyle w:val="enumlev1"/>
        <w:tabs>
          <w:tab w:val="left" w:pos="5954"/>
        </w:tabs>
        <w:rPr>
          <w:lang w:val="fr-CH"/>
        </w:rPr>
      </w:pPr>
      <w:r>
        <w:rPr>
          <w:lang w:val="fr-CH"/>
        </w:rPr>
        <w:tab/>
      </w:r>
      <w:r>
        <w:rPr>
          <w:i/>
          <w:iCs/>
          <w:lang w:val="fr-CH"/>
        </w:rPr>
        <w:t>pfd</w:t>
      </w:r>
      <w:r w:rsidR="00B812F5" w:rsidRPr="00B812F5">
        <w:rPr>
          <w:i/>
          <w:iCs/>
          <w:vertAlign w:val="subscript"/>
          <w:lang w:val="fr-CH"/>
        </w:rPr>
        <w:t>bas</w:t>
      </w:r>
      <w:r>
        <w:rPr>
          <w:lang w:val="fr-CH"/>
        </w:rPr>
        <w:t xml:space="preserve"> + 0,05 (</w:t>
      </w:r>
      <w:r>
        <w:rPr>
          <w:i/>
          <w:iCs/>
          <w:lang w:val="fr-CH"/>
        </w:rPr>
        <w:t>pfd</w:t>
      </w:r>
      <w:r w:rsidR="00B812F5" w:rsidRPr="00B812F5">
        <w:rPr>
          <w:i/>
          <w:iCs/>
          <w:vertAlign w:val="subscript"/>
        </w:rPr>
        <w:t>haut</w:t>
      </w:r>
      <w:r>
        <w:rPr>
          <w:lang w:val="fr-CH"/>
        </w:rPr>
        <w:t xml:space="preserve"> – </w:t>
      </w:r>
      <w:r>
        <w:rPr>
          <w:i/>
          <w:iCs/>
          <w:lang w:val="fr-CH"/>
        </w:rPr>
        <w:t>pfd</w:t>
      </w:r>
      <w:r w:rsidR="00B812F5" w:rsidRPr="00B812F5">
        <w:rPr>
          <w:i/>
          <w:iCs/>
          <w:vertAlign w:val="subscript"/>
          <w:lang w:val="fr-CH"/>
        </w:rPr>
        <w:t>bas</w:t>
      </w:r>
      <w:r>
        <w:rPr>
          <w:lang w:val="fr-CH"/>
        </w:rPr>
        <w:t>) (</w:t>
      </w:r>
      <w:r w:rsidR="00B812F5">
        <w:rPr>
          <w:lang w:val="fr-CH"/>
        </w:rPr>
        <w:sym w:font="Symbol" w:char="F071"/>
      </w:r>
      <w:r w:rsidR="00B812F5">
        <w:rPr>
          <w:lang w:val="fr-CH"/>
        </w:rPr>
        <w:t xml:space="preserve"> </w:t>
      </w:r>
      <w:r>
        <w:rPr>
          <w:lang w:val="fr-CH"/>
        </w:rPr>
        <w:t xml:space="preserve">– 5) + </w:t>
      </w:r>
      <w:r>
        <w:sym w:font="Symbol" w:char="F062"/>
      </w:r>
      <w:r>
        <w:rPr>
          <w:lang w:val="fr-CH"/>
        </w:rPr>
        <w:tab/>
        <w:t xml:space="preserve">pour   5º </w:t>
      </w:r>
      <w:r>
        <w:sym w:font="Symbol" w:char="F0A3"/>
      </w:r>
      <w:r>
        <w:rPr>
          <w:lang w:val="fr-CH"/>
        </w:rPr>
        <w:t xml:space="preserve"> </w:t>
      </w:r>
      <w:r w:rsidR="00B812F5">
        <w:rPr>
          <w:lang w:val="fr-CH"/>
        </w:rPr>
        <w:sym w:font="Symbol" w:char="F071"/>
      </w:r>
      <w:r>
        <w:rPr>
          <w:lang w:val="fr-CH"/>
        </w:rPr>
        <w:t xml:space="preserve"> &lt; 25º</w:t>
      </w:r>
    </w:p>
    <w:p w:rsidR="00175FB5" w:rsidRDefault="00175FB5" w:rsidP="00B812F5">
      <w:pPr>
        <w:pStyle w:val="enumlev1"/>
        <w:tabs>
          <w:tab w:val="left" w:pos="5954"/>
        </w:tabs>
        <w:rPr>
          <w:lang w:val="fr-CH"/>
        </w:rPr>
      </w:pPr>
      <w:r>
        <w:rPr>
          <w:lang w:val="fr-CH"/>
        </w:rPr>
        <w:tab/>
      </w:r>
      <w:r>
        <w:rPr>
          <w:i/>
          <w:iCs/>
          <w:lang w:val="fr-CH"/>
        </w:rPr>
        <w:t>pfd</w:t>
      </w:r>
      <w:r w:rsidRPr="00B812F5">
        <w:rPr>
          <w:i/>
          <w:iCs/>
          <w:vertAlign w:val="subscript"/>
        </w:rPr>
        <w:t>haut</w:t>
      </w:r>
      <w:r>
        <w:t xml:space="preserve"> </w:t>
      </w:r>
      <w:r>
        <w:rPr>
          <w:lang w:val="fr-CH"/>
        </w:rPr>
        <w:t xml:space="preserve">+ </w:t>
      </w:r>
      <w:r>
        <w:sym w:font="Symbol" w:char="F062"/>
      </w:r>
      <w:r>
        <w:rPr>
          <w:lang w:val="fr-CH"/>
        </w:rPr>
        <w:tab/>
      </w:r>
      <w:r w:rsidR="00746E15">
        <w:rPr>
          <w:lang w:val="fr-CH"/>
        </w:rPr>
        <w:tab/>
      </w:r>
      <w:r>
        <w:rPr>
          <w:lang w:val="fr-CH"/>
        </w:rPr>
        <w:t xml:space="preserve">pour  25º </w:t>
      </w:r>
      <w:r>
        <w:sym w:font="Symbol" w:char="F0A3"/>
      </w:r>
      <w:r>
        <w:rPr>
          <w:lang w:val="fr-CH"/>
        </w:rPr>
        <w:t xml:space="preserve"> </w:t>
      </w:r>
      <w:r w:rsidR="00B812F5">
        <w:rPr>
          <w:lang w:val="fr-CH"/>
        </w:rPr>
        <w:sym w:font="Symbol" w:char="F071"/>
      </w:r>
      <w:r>
        <w:rPr>
          <w:lang w:val="fr-CH"/>
        </w:rPr>
        <w:t xml:space="preserve"> </w:t>
      </w:r>
      <w:r>
        <w:sym w:font="Symbol" w:char="F0A3"/>
      </w:r>
      <w:r>
        <w:rPr>
          <w:lang w:val="fr-CH"/>
        </w:rPr>
        <w:t xml:space="preserve"> 90º</w:t>
      </w:r>
    </w:p>
    <w:p w:rsidR="00175FB5" w:rsidRDefault="00175FB5" w:rsidP="00175FB5">
      <w:pPr>
        <w:rPr>
          <w:lang w:val="fr-CH"/>
        </w:rPr>
      </w:pPr>
      <w:r>
        <w:rPr>
          <w:lang w:val="fr-CH"/>
        </w:rPr>
        <w:t>Chaque station numérique est analysée indépendamment des autres. Pour l'analyse des brouillages, un ensemble de récepteurs est modélisé de sorte que chaque station se trouve à la même latitude, mais avec une longitude dont la valeur est choisie de manière aléatoire sur une fourchette de 60</w:t>
      </w:r>
      <w:r>
        <w:sym w:font="Symbol" w:char="F0B0"/>
      </w:r>
      <w:r>
        <w:t xml:space="preserve">, tout comme dans la méthode utilisée dans la </w:t>
      </w:r>
      <w:r>
        <w:rPr>
          <w:lang w:val="fr-CH"/>
        </w:rPr>
        <w:t xml:space="preserve">Recommandation UIT-R F.1107. Chaque antenne du </w:t>
      </w:r>
      <w:r>
        <w:rPr>
          <w:szCs w:val="18"/>
          <w:lang w:val="fr-CH"/>
        </w:rPr>
        <w:t>SF</w:t>
      </w:r>
      <w:r>
        <w:rPr>
          <w:lang w:val="fr-CH"/>
        </w:rPr>
        <w:t xml:space="preserve"> a un angle d'élévation de 0</w:t>
      </w:r>
      <w:r>
        <w:sym w:font="Symbol" w:char="F0B0"/>
      </w:r>
      <w:r>
        <w:t>, son azimut est simulé par une valeur aléatoire</w:t>
      </w:r>
      <w:r>
        <w:rPr>
          <w:lang w:val="fr-CH"/>
        </w:rPr>
        <w:t xml:space="preserve"> avec une distribution uniforme entre 0°</w:t>
      </w:r>
      <w:r>
        <w:t xml:space="preserve"> et</w:t>
      </w:r>
      <w:r>
        <w:rPr>
          <w:lang w:val="fr-CH"/>
        </w:rPr>
        <w:t> 360</w:t>
      </w:r>
      <w:r>
        <w:sym w:font="Symbol" w:char="F0B0"/>
      </w:r>
      <w:r>
        <w:rPr>
          <w:lang w:val="fr-CH"/>
        </w:rPr>
        <w:t>. Le brouillage est converti en une valeur de dégradation relative de la qualité de fonctionnement pour chacune des stations, comme dans la Recommandation UIT</w:t>
      </w:r>
      <w:r>
        <w:rPr>
          <w:lang w:val="fr-CH"/>
        </w:rPr>
        <w:noBreakHyphen/>
        <w:t>R F.1108. Une distribution cumulative est alors calculée pour la dégradation relative de la qualité de fonctionnement.</w:t>
      </w:r>
    </w:p>
    <w:p w:rsidR="00175FB5" w:rsidRDefault="00175FB5" w:rsidP="0069064E">
      <w:pPr>
        <w:pStyle w:val="Heading1"/>
        <w:rPr>
          <w:lang w:val="fr-CH"/>
        </w:rPr>
      </w:pPr>
      <w:r>
        <w:rPr>
          <w:lang w:val="fr-CH"/>
        </w:rPr>
        <w:t>2</w:t>
      </w:r>
      <w:r>
        <w:rPr>
          <w:lang w:val="fr-CH"/>
        </w:rPr>
        <w:tab/>
      </w:r>
      <w:r w:rsidR="008A7B31">
        <w:rPr>
          <w:lang w:val="fr-CH"/>
        </w:rPr>
        <w:t>R</w:t>
      </w:r>
      <w:r>
        <w:rPr>
          <w:lang w:val="fr-CH"/>
        </w:rPr>
        <w:t>ésultats</w:t>
      </w:r>
    </w:p>
    <w:p w:rsidR="00175FB5" w:rsidRDefault="00175FB5" w:rsidP="00B812F5">
      <w:pPr>
        <w:rPr>
          <w:lang w:val="fr-CH"/>
        </w:rPr>
      </w:pPr>
      <w:r>
        <w:rPr>
          <w:lang w:val="fr-CH"/>
        </w:rPr>
        <w:t xml:space="preserve">Les Figures 1, 2 et 3 présentent les résultats d'une analyse de brouillage pour un réseau constitué de satellites OSG du SFS numérique espacés de 2º et venant brouiller un réseau numérique du </w:t>
      </w:r>
      <w:r>
        <w:rPr>
          <w:szCs w:val="18"/>
          <w:lang w:val="fr-CH"/>
        </w:rPr>
        <w:t>SF</w:t>
      </w:r>
      <w:r>
        <w:rPr>
          <w:lang w:val="fr-CH"/>
        </w:rPr>
        <w:t xml:space="preserve">. Le tracé de la courbe de seuil pour le système du SFS est effectué pour des valeurs de </w:t>
      </w:r>
      <w:r>
        <w:rPr>
          <w:i/>
          <w:iCs/>
          <w:lang w:val="fr-CH"/>
        </w:rPr>
        <w:t>pfd</w:t>
      </w:r>
      <w:r w:rsidRPr="00B812F5">
        <w:rPr>
          <w:i/>
          <w:iCs/>
          <w:vertAlign w:val="subscript"/>
        </w:rPr>
        <w:t>bas</w:t>
      </w:r>
      <w:r>
        <w:rPr>
          <w:lang w:val="fr-CH"/>
        </w:rPr>
        <w:t> = </w:t>
      </w:r>
      <w:r>
        <w:rPr>
          <w:lang w:val="fr-CH"/>
        </w:rPr>
        <w:sym w:font="Symbol" w:char="F02D"/>
      </w:r>
      <w:r>
        <w:rPr>
          <w:lang w:val="fr-CH"/>
        </w:rPr>
        <w:t xml:space="preserve">124 et de </w:t>
      </w:r>
      <w:r>
        <w:rPr>
          <w:i/>
          <w:iCs/>
          <w:lang w:val="fr-CH"/>
        </w:rPr>
        <w:t>pfd</w:t>
      </w:r>
      <w:r w:rsidRPr="00B812F5">
        <w:rPr>
          <w:i/>
          <w:iCs/>
          <w:vertAlign w:val="subscript"/>
        </w:rPr>
        <w:t>haut</w:t>
      </w:r>
      <w:r>
        <w:rPr>
          <w:lang w:val="fr-CH"/>
        </w:rPr>
        <w:t> = </w:t>
      </w:r>
      <w:r>
        <w:rPr>
          <w:lang w:val="fr-CH"/>
        </w:rPr>
        <w:sym w:font="Symbol" w:char="F02D"/>
      </w:r>
      <w:r>
        <w:rPr>
          <w:lang w:val="fr-CH"/>
        </w:rPr>
        <w:t>114 dB(W/(m</w:t>
      </w:r>
      <w:r>
        <w:rPr>
          <w:position w:val="6"/>
          <w:sz w:val="20"/>
          <w:lang w:val="fr-CH"/>
        </w:rPr>
        <w:t>2</w:t>
      </w:r>
      <w:r>
        <w:rPr>
          <w:lang w:val="fr-CH"/>
        </w:rPr>
        <w:t> · MHz)). Ce système émet à la fréquence de 11,95 GHz. La latitude du système du SF est de 40º. Dans cet exemple, chaque antenne sur le site du SF est supposée présenter un gain maximum de 44 dB et chaque récepteur du SF une température de bruit de 1 100 K. On utilise un affaiblissement d'alimentation de 3 dB et le diagramme de rayonnement des antennes est conforme à la Recommandation UIT</w:t>
      </w:r>
      <w:r>
        <w:rPr>
          <w:lang w:val="fr-CH"/>
        </w:rPr>
        <w:noBreakHyphen/>
        <w:t xml:space="preserve">R F.1245. Dans la légende, le terme «Nsats» désigne le nombre de satellites dont la puissance surfacique dépasse la courbe de seuil de </w:t>
      </w:r>
      <w:r>
        <w:sym w:font="Symbol" w:char="F062"/>
      </w:r>
      <w:r>
        <w:rPr>
          <w:lang w:val="fr-CH"/>
        </w:rPr>
        <w:t> = 10 dB: c'est</w:t>
      </w:r>
      <w:r>
        <w:rPr>
          <w:lang w:val="fr-CH"/>
        </w:rPr>
        <w:noBreakHyphen/>
        <w:t>à</w:t>
      </w:r>
      <w:r>
        <w:rPr>
          <w:lang w:val="fr-CH"/>
        </w:rPr>
        <w:noBreakHyphen/>
        <w:t xml:space="preserve">dire les satellites dont </w:t>
      </w:r>
      <w:r>
        <w:rPr>
          <w:i/>
          <w:iCs/>
          <w:lang w:val="fr-CH"/>
        </w:rPr>
        <w:t>pfd</w:t>
      </w:r>
      <w:r w:rsidR="00B812F5" w:rsidRPr="00B812F5">
        <w:rPr>
          <w:i/>
          <w:iCs/>
          <w:vertAlign w:val="subscript"/>
        </w:rPr>
        <w:t>bas</w:t>
      </w:r>
      <w:r>
        <w:rPr>
          <w:lang w:val="fr-CH"/>
        </w:rPr>
        <w:t xml:space="preserve"> </w:t>
      </w:r>
      <w:r>
        <w:t>+ β = </w:t>
      </w:r>
      <w:r>
        <w:rPr>
          <w:lang w:val="fr-CH"/>
        </w:rPr>
        <w:t xml:space="preserve">–114 et </w:t>
      </w:r>
      <w:r>
        <w:rPr>
          <w:i/>
          <w:iCs/>
          <w:lang w:val="fr-CH"/>
        </w:rPr>
        <w:t>pfd</w:t>
      </w:r>
      <w:r w:rsidR="00B812F5" w:rsidRPr="00B812F5">
        <w:rPr>
          <w:i/>
          <w:iCs/>
          <w:vertAlign w:val="subscript"/>
        </w:rPr>
        <w:t>haut</w:t>
      </w:r>
      <w:r>
        <w:t> = </w:t>
      </w:r>
      <w:r>
        <w:rPr>
          <w:lang w:val="fr-CH"/>
        </w:rPr>
        <w:t>–104 dB(W/(m</w:t>
      </w:r>
      <w:r>
        <w:rPr>
          <w:position w:val="6"/>
          <w:sz w:val="20"/>
          <w:lang w:val="fr-CH"/>
        </w:rPr>
        <w:t>2</w:t>
      </w:r>
      <w:r>
        <w:rPr>
          <w:lang w:val="fr-CH"/>
        </w:rPr>
        <w:t xml:space="preserve"> · MHz)). Dans la Fig. 1, les satellites dont la puissance surfacique dépasse le seuil étaient les Nsats satellites proches de l'horizon du réseau du SF (angles d'élévation l</w:t>
      </w:r>
      <w:r w:rsidR="00862F75">
        <w:rPr>
          <w:lang w:val="fr-CH"/>
        </w:rPr>
        <w:t>es plus faibles). Dans la Fig.</w:t>
      </w:r>
      <w:r>
        <w:rPr>
          <w:lang w:val="fr-CH"/>
        </w:rPr>
        <w:t xml:space="preserve"> 2, les satellites dont la puissance surfacique dépassaient le seuil étaient les Nsats satellites proches du centre du réseau du SF (angles d'élévation </w:t>
      </w:r>
      <w:r w:rsidR="00694275">
        <w:rPr>
          <w:lang w:val="fr-CH"/>
        </w:rPr>
        <w:t>les plus élevés). Dans la Fig.</w:t>
      </w:r>
      <w:r>
        <w:rPr>
          <w:lang w:val="fr-CH"/>
        </w:rPr>
        <w:t xml:space="preserve"> 3, divers autres scénarios sont présentés. La courbe de seuil correspond ici à Nsats = 30, ces satellites étant les plus proches de l'horizon du réseau du SF.</w:t>
      </w:r>
    </w:p>
    <w:p w:rsidR="00175FB5" w:rsidRDefault="00175FB5" w:rsidP="00175FB5">
      <w:pPr>
        <w:rPr>
          <w:caps/>
          <w:noProof/>
          <w:sz w:val="18"/>
          <w:lang w:val="fr-CH" w:eastAsia="zh-CN"/>
        </w:rPr>
      </w:pPr>
      <w:r>
        <w:rPr>
          <w:noProof/>
          <w:lang w:val="fr-CH" w:eastAsia="zh-CN"/>
        </w:rPr>
        <w:br w:type="page"/>
      </w:r>
    </w:p>
    <w:p w:rsidR="00175FB5" w:rsidRPr="000347BB" w:rsidRDefault="00175FB5" w:rsidP="00175FB5">
      <w:pPr>
        <w:pStyle w:val="FigureNo"/>
        <w:keepNext w:val="0"/>
        <w:keepLines w:val="0"/>
        <w:rPr>
          <w:noProof/>
          <w:lang w:val="fr-CH" w:eastAsia="zh-CN"/>
        </w:rPr>
      </w:pPr>
      <w:r w:rsidRPr="000347BB">
        <w:rPr>
          <w:noProof/>
          <w:lang w:val="fr-CH" w:eastAsia="zh-CN"/>
        </w:rPr>
        <w:lastRenderedPageBreak/>
        <w:t>FIGURE 1</w:t>
      </w:r>
    </w:p>
    <w:p w:rsidR="00175FB5" w:rsidRPr="000347BB" w:rsidRDefault="00175FB5" w:rsidP="000848F5">
      <w:pPr>
        <w:pStyle w:val="Figuretitle"/>
        <w:rPr>
          <w:lang w:val="fr-CH" w:eastAsia="zh-CN"/>
        </w:rPr>
      </w:pPr>
      <w:r w:rsidRPr="000347BB">
        <w:t xml:space="preserve">Brouillages causés par le SFS </w:t>
      </w:r>
      <w:r w:rsidRPr="000848F5">
        <w:t>numérique</w:t>
      </w:r>
      <w:r w:rsidRPr="000347BB">
        <w:t xml:space="preserve"> au SF numérique lorsque</w:t>
      </w:r>
      <w:r>
        <w:br/>
      </w:r>
      <w:r w:rsidRPr="000347BB">
        <w:t>Nsats satellites sont proches de l</w:t>
      </w:r>
      <w:r>
        <w:t>'</w:t>
      </w:r>
      <w:r w:rsidRPr="000347BB">
        <w:t>horizon</w:t>
      </w:r>
    </w:p>
    <w:p w:rsidR="00175FB5" w:rsidRPr="000347BB" w:rsidRDefault="000848F5" w:rsidP="00175FB5">
      <w:pPr>
        <w:pStyle w:val="Figure"/>
        <w:rPr>
          <w:lang w:val="en-US" w:eastAsia="zh-CN"/>
        </w:rPr>
      </w:pPr>
      <w:r>
        <w:rPr>
          <w:lang w:val="en-US" w:eastAsia="zh-CN"/>
        </w:rPr>
        <w:object w:dxaOrig="4619" w:dyaOrig="3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25pt;height:208.6pt" o:ole="">
            <v:imagedata r:id="rId13" o:title=""/>
          </v:shape>
          <o:OLEObject Type="Embed" ProgID="CorelDRAW.Graphic.14" ShapeID="_x0000_i1025" DrawAspect="Content" ObjectID="_1473074295" r:id="rId14"/>
        </w:object>
      </w:r>
    </w:p>
    <w:p w:rsidR="00175FB5" w:rsidRPr="00685DF3" w:rsidRDefault="00175FB5" w:rsidP="00175FB5">
      <w:pPr>
        <w:pStyle w:val="FigureNo"/>
        <w:keepNext w:val="0"/>
        <w:keepLines w:val="0"/>
        <w:rPr>
          <w:noProof/>
          <w:lang w:val="fr-CH" w:eastAsia="zh-CN"/>
        </w:rPr>
      </w:pPr>
      <w:r w:rsidRPr="00685DF3">
        <w:rPr>
          <w:noProof/>
          <w:lang w:val="fr-CH" w:eastAsia="zh-CN"/>
        </w:rPr>
        <w:t>Figure 2</w:t>
      </w:r>
    </w:p>
    <w:p w:rsidR="00175FB5" w:rsidRPr="00685DF3" w:rsidRDefault="00175FB5" w:rsidP="000848F5">
      <w:pPr>
        <w:pStyle w:val="Figuretitle"/>
        <w:rPr>
          <w:lang w:val="fr-CH" w:eastAsia="zh-CN"/>
        </w:rPr>
      </w:pPr>
      <w:r w:rsidRPr="00685DF3">
        <w:t xml:space="preserve">Brouillages causés par le SFS </w:t>
      </w:r>
      <w:r w:rsidRPr="000848F5">
        <w:t>numérique</w:t>
      </w:r>
      <w:r w:rsidRPr="00685DF3">
        <w:t xml:space="preserve"> au SF numérique lorsque </w:t>
      </w:r>
      <w:r>
        <w:br/>
      </w:r>
      <w:r w:rsidRPr="00685DF3">
        <w:t>Nsats satellites sont proches du centre du réseau du SF</w:t>
      </w:r>
    </w:p>
    <w:p w:rsidR="00175FB5" w:rsidRPr="00685DF3" w:rsidRDefault="000848F5" w:rsidP="00175FB5">
      <w:pPr>
        <w:pStyle w:val="Figure"/>
        <w:rPr>
          <w:lang w:val="en-US" w:eastAsia="zh-CN"/>
        </w:rPr>
      </w:pPr>
      <w:r>
        <w:rPr>
          <w:lang w:val="en-US" w:eastAsia="zh-CN"/>
        </w:rPr>
        <w:object w:dxaOrig="4625" w:dyaOrig="3040">
          <v:shape id="_x0000_i1026" type="#_x0000_t75" style="width:316.6pt;height:208.15pt;mso-position-horizontal:absolute" o:ole="">
            <v:imagedata r:id="rId15" o:title=""/>
          </v:shape>
          <o:OLEObject Type="Embed" ProgID="CorelDRAW.Graphic.14" ShapeID="_x0000_i1026" DrawAspect="Content" ObjectID="_1473074296" r:id="rId16"/>
        </w:object>
      </w:r>
    </w:p>
    <w:p w:rsidR="00175FB5" w:rsidRDefault="00175FB5" w:rsidP="00175FB5">
      <w:pPr>
        <w:pStyle w:val="FigureNo"/>
        <w:keepNext w:val="0"/>
        <w:keepLines w:val="0"/>
        <w:rPr>
          <w:noProof/>
          <w:lang w:val="en-US" w:eastAsia="zh-CN"/>
        </w:rPr>
      </w:pPr>
      <w:r>
        <w:br w:type="page"/>
      </w:r>
    </w:p>
    <w:p w:rsidR="00175FB5" w:rsidRPr="00875A95" w:rsidRDefault="00175FB5" w:rsidP="00175FB5">
      <w:pPr>
        <w:pStyle w:val="FigureNo"/>
        <w:rPr>
          <w:lang w:val="fr-CH" w:eastAsia="zh-CN"/>
        </w:rPr>
      </w:pPr>
      <w:r w:rsidRPr="00875A95">
        <w:rPr>
          <w:lang w:val="fr-CH" w:eastAsia="zh-CN"/>
        </w:rPr>
        <w:lastRenderedPageBreak/>
        <w:t>figure 3</w:t>
      </w:r>
    </w:p>
    <w:p w:rsidR="00175FB5" w:rsidRPr="00875A95" w:rsidRDefault="00175FB5" w:rsidP="000848F5">
      <w:pPr>
        <w:pStyle w:val="Figuretitle"/>
      </w:pPr>
      <w:r w:rsidRPr="00875A95">
        <w:t xml:space="preserve">Brouillages causés par le SFS numérique au SF </w:t>
      </w:r>
      <w:r w:rsidRPr="000848F5">
        <w:t>numérique</w:t>
      </w:r>
      <w:r w:rsidRPr="00875A95">
        <w:t xml:space="preserve"> (autres scénarios)</w:t>
      </w:r>
    </w:p>
    <w:p w:rsidR="00175FB5" w:rsidRPr="00875A95" w:rsidRDefault="000848F5" w:rsidP="00175FB5">
      <w:pPr>
        <w:pStyle w:val="Figure"/>
        <w:rPr>
          <w:lang w:val="en-US" w:eastAsia="zh-CN"/>
        </w:rPr>
      </w:pPr>
      <w:r>
        <w:rPr>
          <w:lang w:val="en-US" w:eastAsia="zh-CN"/>
        </w:rPr>
        <w:object w:dxaOrig="4642" w:dyaOrig="3377">
          <v:shape id="_x0000_i1027" type="#_x0000_t75" style="width:316.6pt;height:230.3pt;mso-position-horizontal:absolute" o:ole="">
            <v:imagedata r:id="rId17" o:title=""/>
          </v:shape>
          <o:OLEObject Type="Embed" ProgID="CorelDRAW.Graphic.14" ShapeID="_x0000_i1027" DrawAspect="Content" ObjectID="_1473074297" r:id="rId18"/>
        </w:object>
      </w:r>
    </w:p>
    <w:p w:rsidR="00175FB5" w:rsidRDefault="00175FB5" w:rsidP="00175FB5">
      <w:pPr>
        <w:pStyle w:val="Normalaftertitle"/>
        <w:rPr>
          <w:lang w:val="fr-CH"/>
        </w:rPr>
      </w:pPr>
      <w:r>
        <w:rPr>
          <w:lang w:val="fr-CH"/>
        </w:rPr>
        <w:t>Les Figures 1 et 2 montrent que dans les deux cas, il y aurait une augmentation négligeable du brouillage lorsqu'un seul satellite dépasserait la courbe de seuil de puissance surfacique de β = 10 dB, qu'environ moins de 10% des stations d</w:t>
      </w:r>
      <w:r w:rsidR="004B4FDA">
        <w:rPr>
          <w:lang w:val="fr-CH"/>
        </w:rPr>
        <w:t>u SF subiraient une dégradation</w:t>
      </w:r>
      <w:r>
        <w:rPr>
          <w:lang w:val="fr-CH"/>
        </w:rPr>
        <w:t xml:space="preserve"> relative de fonctionnement supérieure à 10% lorsque dix satellites dépasseraient cette courbe de seuil, et que toutes les stations du SF subiraient une dégradation relative de fonctionnement dépassant 10% lorsque 30 satellites dépasseraient ce seuil. Il y a toutefois une différence importante entre les deux cas. Pour le cas des angles faibles, il est possible d'avoir des niveaux de brouillage nettement plus élevés lorsque Nsats devient grand en comparaison du cas où Nsats = 0, bien qu'avec une faible probabilité. Ce graphique montre que lorsque la latitude du système du SF passe à 60°</w:t>
      </w:r>
      <w:r w:rsidR="000848F5">
        <w:rPr>
          <w:lang w:val="fr-CH"/>
        </w:rPr>
        <w:t xml:space="preserve"> </w:t>
      </w:r>
      <w:r>
        <w:rPr>
          <w:lang w:val="fr-CH"/>
        </w:rPr>
        <w:t>ou à 0º, le brouillage n'est modifié que très légèrement, sauf pour 60º, cas où le brouillage augmente pour des valeurs de probabilité faibles. Lorsque le gain maximal d'antenne est porté à 50 dB, le brouillage décroît.</w:t>
      </w:r>
    </w:p>
    <w:p w:rsidR="00175FB5" w:rsidRPr="005D4B33" w:rsidRDefault="00175FB5" w:rsidP="00175FB5">
      <w:pPr>
        <w:rPr>
          <w:lang w:val="fr-CH"/>
        </w:rPr>
      </w:pPr>
    </w:p>
    <w:p w:rsidR="00175FB5" w:rsidRPr="005D4B33" w:rsidRDefault="00175FB5" w:rsidP="00175FB5">
      <w:pPr>
        <w:rPr>
          <w:lang w:val="fr-CH"/>
        </w:rPr>
      </w:pPr>
    </w:p>
    <w:p w:rsidR="00175FB5" w:rsidRPr="00381448" w:rsidRDefault="00175FB5" w:rsidP="00175FB5">
      <w:pPr>
        <w:rPr>
          <w:lang w:val="fr-CH"/>
        </w:rPr>
      </w:pPr>
    </w:p>
    <w:p w:rsidR="00175FB5" w:rsidRDefault="00175FB5" w:rsidP="00175FB5">
      <w:pPr>
        <w:jc w:val="center"/>
      </w:pPr>
      <w:r>
        <w:t>______________</w:t>
      </w:r>
    </w:p>
    <w:p w:rsidR="00934ED7" w:rsidRPr="00175FB5" w:rsidRDefault="00934ED7" w:rsidP="00175FB5"/>
    <w:sectPr w:rsidR="00934ED7" w:rsidRPr="00175FB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4BC" w:rsidRDefault="007624BC">
      <w:r>
        <w:separator/>
      </w:r>
    </w:p>
  </w:endnote>
  <w:endnote w:type="continuationSeparator" w:id="0">
    <w:p w:rsidR="007624BC" w:rsidRDefault="0076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4BC" w:rsidRDefault="007624BC">
      <w:r>
        <w:separator/>
      </w:r>
    </w:p>
  </w:footnote>
  <w:footnote w:type="continuationSeparator" w:id="0">
    <w:p w:rsidR="007624BC" w:rsidRDefault="00762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E54A7B"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373AC">
      <w:rPr>
        <w:rStyle w:val="PageNumber"/>
        <w:b/>
        <w:bCs/>
        <w:noProof/>
      </w:rPr>
      <w:t>4</w:t>
    </w:r>
    <w:r>
      <w:rPr>
        <w:rStyle w:val="PageNumber"/>
        <w:b/>
        <w:bCs/>
      </w:rPr>
      <w:fldChar w:fldCharType="end"/>
    </w:r>
    <w:r w:rsidRPr="00837CB5">
      <w:tab/>
    </w:r>
    <w:fldSimple w:instr=" DOCPROPERTY &quot;Header&quot; \* MERGEFORMAT ">
      <w:r w:rsidR="000373AC" w:rsidRPr="000373A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373AC">
      <w:rPr>
        <w:b/>
        <w:bCs/>
        <w:noProof/>
      </w:rPr>
      <w:t>UIT-R  SF.674-3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0373AC" w:rsidRPr="000373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73AC">
      <w:rPr>
        <w:b/>
        <w:bCs/>
        <w:noProof/>
      </w:rPr>
      <w:t>UIT-R  SF.674-3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73A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E9B5576"/>
    <w:multiLevelType w:val="hybridMultilevel"/>
    <w:tmpl w:val="5B40FB66"/>
    <w:lvl w:ilvl="0" w:tplc="00EC9CF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373AC"/>
    <w:rsid w:val="00072484"/>
    <w:rsid w:val="00076BD8"/>
    <w:rsid w:val="000848F5"/>
    <w:rsid w:val="00086C50"/>
    <w:rsid w:val="00096612"/>
    <w:rsid w:val="000A0A78"/>
    <w:rsid w:val="000B3BEA"/>
    <w:rsid w:val="000B7683"/>
    <w:rsid w:val="00102934"/>
    <w:rsid w:val="00123FD5"/>
    <w:rsid w:val="00125B6D"/>
    <w:rsid w:val="00126AF2"/>
    <w:rsid w:val="00147110"/>
    <w:rsid w:val="00175FB5"/>
    <w:rsid w:val="001A27FE"/>
    <w:rsid w:val="001A7CBE"/>
    <w:rsid w:val="00202D10"/>
    <w:rsid w:val="002058CE"/>
    <w:rsid w:val="002165F1"/>
    <w:rsid w:val="00227626"/>
    <w:rsid w:val="00276D21"/>
    <w:rsid w:val="00296D7F"/>
    <w:rsid w:val="002B3CF6"/>
    <w:rsid w:val="002C768A"/>
    <w:rsid w:val="002D76C4"/>
    <w:rsid w:val="00326525"/>
    <w:rsid w:val="00354F85"/>
    <w:rsid w:val="00363367"/>
    <w:rsid w:val="003E6469"/>
    <w:rsid w:val="00420DFD"/>
    <w:rsid w:val="00470E28"/>
    <w:rsid w:val="004822EF"/>
    <w:rsid w:val="004934C5"/>
    <w:rsid w:val="004A4D65"/>
    <w:rsid w:val="004B4FDA"/>
    <w:rsid w:val="004B5511"/>
    <w:rsid w:val="005410D7"/>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16B2F"/>
    <w:rsid w:val="00647E80"/>
    <w:rsid w:val="00653E64"/>
    <w:rsid w:val="00680D2B"/>
    <w:rsid w:val="00681B32"/>
    <w:rsid w:val="0069064E"/>
    <w:rsid w:val="00694275"/>
    <w:rsid w:val="006C7827"/>
    <w:rsid w:val="006E2037"/>
    <w:rsid w:val="006F154D"/>
    <w:rsid w:val="006F6E5D"/>
    <w:rsid w:val="00712870"/>
    <w:rsid w:val="0073050C"/>
    <w:rsid w:val="00731BD8"/>
    <w:rsid w:val="0073784D"/>
    <w:rsid w:val="00743D85"/>
    <w:rsid w:val="00746E15"/>
    <w:rsid w:val="00753CF4"/>
    <w:rsid w:val="007565CC"/>
    <w:rsid w:val="00756B4D"/>
    <w:rsid w:val="007624BC"/>
    <w:rsid w:val="00763B9A"/>
    <w:rsid w:val="00776E56"/>
    <w:rsid w:val="007A308E"/>
    <w:rsid w:val="007A6AA8"/>
    <w:rsid w:val="007F23A6"/>
    <w:rsid w:val="00803758"/>
    <w:rsid w:val="008310C9"/>
    <w:rsid w:val="00837CB5"/>
    <w:rsid w:val="00862F75"/>
    <w:rsid w:val="00872472"/>
    <w:rsid w:val="008A7B31"/>
    <w:rsid w:val="008C7848"/>
    <w:rsid w:val="00917AF2"/>
    <w:rsid w:val="0092418A"/>
    <w:rsid w:val="0092708E"/>
    <w:rsid w:val="00934ED7"/>
    <w:rsid w:val="009454F8"/>
    <w:rsid w:val="009543C3"/>
    <w:rsid w:val="00966E1B"/>
    <w:rsid w:val="00993F10"/>
    <w:rsid w:val="009B5551"/>
    <w:rsid w:val="009F2D2C"/>
    <w:rsid w:val="00A443C2"/>
    <w:rsid w:val="00A45031"/>
    <w:rsid w:val="00A52DB0"/>
    <w:rsid w:val="00A6617B"/>
    <w:rsid w:val="00A71FE5"/>
    <w:rsid w:val="00A950B8"/>
    <w:rsid w:val="00AA3AD8"/>
    <w:rsid w:val="00AB0DC8"/>
    <w:rsid w:val="00AB52D1"/>
    <w:rsid w:val="00AD267B"/>
    <w:rsid w:val="00B033C8"/>
    <w:rsid w:val="00B21066"/>
    <w:rsid w:val="00B33425"/>
    <w:rsid w:val="00B44E24"/>
    <w:rsid w:val="00B54ECC"/>
    <w:rsid w:val="00B714F3"/>
    <w:rsid w:val="00B812F5"/>
    <w:rsid w:val="00B81801"/>
    <w:rsid w:val="00BC0651"/>
    <w:rsid w:val="00BC5D77"/>
    <w:rsid w:val="00BF487A"/>
    <w:rsid w:val="00C268B9"/>
    <w:rsid w:val="00C362C3"/>
    <w:rsid w:val="00C40D3E"/>
    <w:rsid w:val="00C46BD9"/>
    <w:rsid w:val="00C55258"/>
    <w:rsid w:val="00C668C8"/>
    <w:rsid w:val="00C73560"/>
    <w:rsid w:val="00CB0F14"/>
    <w:rsid w:val="00CC2D84"/>
    <w:rsid w:val="00CD659B"/>
    <w:rsid w:val="00CD7DC8"/>
    <w:rsid w:val="00D017C0"/>
    <w:rsid w:val="00D31EB8"/>
    <w:rsid w:val="00D70C4E"/>
    <w:rsid w:val="00DE5EA2"/>
    <w:rsid w:val="00DF4176"/>
    <w:rsid w:val="00DF693C"/>
    <w:rsid w:val="00E02402"/>
    <w:rsid w:val="00E17240"/>
    <w:rsid w:val="00E44C45"/>
    <w:rsid w:val="00E44CBB"/>
    <w:rsid w:val="00E53C78"/>
    <w:rsid w:val="00E54A7B"/>
    <w:rsid w:val="00E73AFE"/>
    <w:rsid w:val="00E80F1D"/>
    <w:rsid w:val="00EA1CFC"/>
    <w:rsid w:val="00EA6E8E"/>
    <w:rsid w:val="00EC361D"/>
    <w:rsid w:val="00EE57AA"/>
    <w:rsid w:val="00F126F7"/>
    <w:rsid w:val="00F30C9B"/>
    <w:rsid w:val="00F316C4"/>
    <w:rsid w:val="00F336CC"/>
    <w:rsid w:val="00F3475D"/>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E917CFEA-DB61-4BD1-835D-90C3D65F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A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54A7B"/>
    <w:pPr>
      <w:keepNext/>
      <w:keepLines/>
      <w:spacing w:before="480"/>
      <w:ind w:left="794" w:hanging="794"/>
      <w:outlineLvl w:val="0"/>
    </w:pPr>
    <w:rPr>
      <w:b/>
    </w:rPr>
  </w:style>
  <w:style w:type="paragraph" w:styleId="Heading2">
    <w:name w:val="heading 2"/>
    <w:basedOn w:val="Heading1"/>
    <w:next w:val="Normal"/>
    <w:qFormat/>
    <w:rsid w:val="00E54A7B"/>
    <w:pPr>
      <w:spacing w:before="320"/>
      <w:outlineLvl w:val="1"/>
    </w:pPr>
  </w:style>
  <w:style w:type="paragraph" w:styleId="Heading3">
    <w:name w:val="heading 3"/>
    <w:basedOn w:val="Heading1"/>
    <w:next w:val="Normal"/>
    <w:qFormat/>
    <w:rsid w:val="00E54A7B"/>
    <w:pPr>
      <w:spacing w:before="200"/>
      <w:outlineLvl w:val="2"/>
    </w:pPr>
  </w:style>
  <w:style w:type="paragraph" w:styleId="Heading4">
    <w:name w:val="heading 4"/>
    <w:basedOn w:val="Heading3"/>
    <w:next w:val="Normal"/>
    <w:qFormat/>
    <w:rsid w:val="00E54A7B"/>
    <w:pPr>
      <w:tabs>
        <w:tab w:val="clear" w:pos="794"/>
        <w:tab w:val="left" w:pos="992"/>
      </w:tabs>
      <w:ind w:left="992" w:hanging="992"/>
      <w:outlineLvl w:val="3"/>
    </w:pPr>
  </w:style>
  <w:style w:type="paragraph" w:styleId="Heading5">
    <w:name w:val="heading 5"/>
    <w:basedOn w:val="Heading4"/>
    <w:next w:val="Normal"/>
    <w:qFormat/>
    <w:rsid w:val="00E54A7B"/>
    <w:pPr>
      <w:outlineLvl w:val="4"/>
    </w:pPr>
  </w:style>
  <w:style w:type="paragraph" w:styleId="Heading6">
    <w:name w:val="heading 6"/>
    <w:basedOn w:val="Heading4"/>
    <w:next w:val="Normal"/>
    <w:qFormat/>
    <w:rsid w:val="00E54A7B"/>
    <w:pPr>
      <w:tabs>
        <w:tab w:val="clear" w:pos="992"/>
        <w:tab w:val="clear" w:pos="1191"/>
      </w:tabs>
      <w:ind w:left="1588" w:hanging="1588"/>
      <w:outlineLvl w:val="5"/>
    </w:pPr>
  </w:style>
  <w:style w:type="paragraph" w:styleId="Heading7">
    <w:name w:val="heading 7"/>
    <w:basedOn w:val="Heading6"/>
    <w:next w:val="Normal"/>
    <w:qFormat/>
    <w:rsid w:val="00E54A7B"/>
    <w:pPr>
      <w:outlineLvl w:val="6"/>
    </w:pPr>
  </w:style>
  <w:style w:type="paragraph" w:styleId="Heading8">
    <w:name w:val="heading 8"/>
    <w:basedOn w:val="Heading6"/>
    <w:next w:val="Normal"/>
    <w:qFormat/>
    <w:rsid w:val="00E54A7B"/>
    <w:pPr>
      <w:outlineLvl w:val="7"/>
    </w:pPr>
  </w:style>
  <w:style w:type="paragraph" w:styleId="Heading9">
    <w:name w:val="heading 9"/>
    <w:basedOn w:val="Heading6"/>
    <w:next w:val="Normal"/>
    <w:qFormat/>
    <w:rsid w:val="00E54A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54A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54A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4A7B"/>
  </w:style>
  <w:style w:type="paragraph" w:customStyle="1" w:styleId="Headingb">
    <w:name w:val="Heading_b"/>
    <w:basedOn w:val="Heading3"/>
    <w:next w:val="Normal"/>
    <w:rsid w:val="00E54A7B"/>
    <w:pPr>
      <w:spacing w:before="160"/>
      <w:ind w:left="0" w:firstLine="0"/>
      <w:outlineLvl w:val="9"/>
    </w:pPr>
  </w:style>
  <w:style w:type="paragraph" w:customStyle="1" w:styleId="Headingi">
    <w:name w:val="Heading_i"/>
    <w:basedOn w:val="Heading3"/>
    <w:next w:val="Normal"/>
    <w:rsid w:val="00E54A7B"/>
    <w:pPr>
      <w:spacing w:before="160"/>
      <w:ind w:left="0" w:firstLine="0"/>
    </w:pPr>
    <w:rPr>
      <w:b w:val="0"/>
      <w:i/>
    </w:rPr>
  </w:style>
  <w:style w:type="character" w:customStyle="1" w:styleId="href">
    <w:name w:val="href"/>
    <w:basedOn w:val="DefaultParagraphFont"/>
    <w:rsid w:val="00E54A7B"/>
  </w:style>
  <w:style w:type="paragraph" w:customStyle="1" w:styleId="AnnexNoTitle">
    <w:name w:val="Annex_NoTitle"/>
    <w:basedOn w:val="Normal"/>
    <w:next w:val="Normalaftertitle"/>
    <w:rsid w:val="00E54A7B"/>
    <w:pPr>
      <w:keepNext/>
      <w:keepLines/>
      <w:spacing w:before="480" w:after="80"/>
      <w:jc w:val="center"/>
    </w:pPr>
    <w:rPr>
      <w:b/>
      <w:sz w:val="28"/>
    </w:rPr>
  </w:style>
  <w:style w:type="paragraph" w:customStyle="1" w:styleId="Normalaftertitle">
    <w:name w:val="Normal_after_title"/>
    <w:basedOn w:val="Normal"/>
    <w:next w:val="Normal"/>
    <w:rsid w:val="00E54A7B"/>
    <w:pPr>
      <w:spacing w:before="320"/>
    </w:pPr>
  </w:style>
  <w:style w:type="paragraph" w:customStyle="1" w:styleId="enumlev2">
    <w:name w:val="enumlev2"/>
    <w:basedOn w:val="enumlev1"/>
    <w:rsid w:val="00E54A7B"/>
    <w:pPr>
      <w:ind w:left="1191" w:hanging="397"/>
    </w:pPr>
  </w:style>
  <w:style w:type="paragraph" w:customStyle="1" w:styleId="enumlev1">
    <w:name w:val="enumlev1"/>
    <w:basedOn w:val="Normal"/>
    <w:rsid w:val="00E54A7B"/>
    <w:pPr>
      <w:spacing w:before="80"/>
      <w:ind w:left="794" w:hanging="794"/>
    </w:pPr>
  </w:style>
  <w:style w:type="paragraph" w:customStyle="1" w:styleId="enumlev3">
    <w:name w:val="enumlev3"/>
    <w:basedOn w:val="enumlev2"/>
    <w:rsid w:val="00E54A7B"/>
    <w:pPr>
      <w:ind w:left="1588"/>
    </w:pPr>
  </w:style>
  <w:style w:type="paragraph" w:customStyle="1" w:styleId="Note">
    <w:name w:val="Note"/>
    <w:basedOn w:val="Normal"/>
    <w:rsid w:val="00E54A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4A7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54A7B"/>
    <w:pPr>
      <w:keepNext/>
      <w:keepLines/>
      <w:spacing w:before="240"/>
      <w:jc w:val="center"/>
    </w:pPr>
    <w:rPr>
      <w:b/>
      <w:sz w:val="28"/>
    </w:rPr>
  </w:style>
  <w:style w:type="paragraph" w:customStyle="1" w:styleId="Recref">
    <w:name w:val="Rec_ref"/>
    <w:basedOn w:val="Normal"/>
    <w:next w:val="Recdate"/>
    <w:rsid w:val="00E54A7B"/>
    <w:pPr>
      <w:jc w:val="center"/>
    </w:pPr>
  </w:style>
  <w:style w:type="paragraph" w:customStyle="1" w:styleId="Recdate">
    <w:name w:val="Rec_date"/>
    <w:basedOn w:val="Recref"/>
    <w:next w:val="Normalaftertitle"/>
    <w:rsid w:val="00E54A7B"/>
    <w:pPr>
      <w:jc w:val="right"/>
    </w:pPr>
  </w:style>
  <w:style w:type="paragraph" w:customStyle="1" w:styleId="HeadingSum">
    <w:name w:val="Heading_Sum"/>
    <w:basedOn w:val="Headingb"/>
    <w:next w:val="Normal"/>
    <w:rsid w:val="00E54A7B"/>
    <w:pPr>
      <w:spacing w:before="240"/>
    </w:pPr>
    <w:rPr>
      <w:sz w:val="22"/>
      <w:lang w:val="es-ES_tradnl"/>
    </w:rPr>
  </w:style>
  <w:style w:type="paragraph" w:customStyle="1" w:styleId="AppendixNoTitle">
    <w:name w:val="Appendix_NoTitle"/>
    <w:basedOn w:val="AnnexNoTitle"/>
    <w:next w:val="Normal"/>
    <w:rsid w:val="00E54A7B"/>
  </w:style>
  <w:style w:type="paragraph" w:customStyle="1" w:styleId="Tablefin">
    <w:name w:val="Table_fin"/>
    <w:basedOn w:val="Normal"/>
    <w:next w:val="Normal"/>
    <w:rsid w:val="00E54A7B"/>
    <w:pPr>
      <w:spacing w:before="0"/>
    </w:pPr>
    <w:rPr>
      <w:sz w:val="20"/>
      <w:lang w:val="en-GB"/>
    </w:rPr>
  </w:style>
  <w:style w:type="paragraph" w:customStyle="1" w:styleId="Tablehead">
    <w:name w:val="Table_head"/>
    <w:basedOn w:val="Normal"/>
    <w:next w:val="Normal"/>
    <w:rsid w:val="00E54A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4A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4A7B"/>
    <w:pPr>
      <w:keepNext/>
      <w:spacing w:before="360" w:after="120"/>
      <w:jc w:val="center"/>
    </w:pPr>
  </w:style>
  <w:style w:type="paragraph" w:customStyle="1" w:styleId="Tabletext">
    <w:name w:val="Table_text"/>
    <w:basedOn w:val="Normal"/>
    <w:rsid w:val="00E54A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4A7B"/>
    <w:pPr>
      <w:tabs>
        <w:tab w:val="clear" w:pos="1191"/>
        <w:tab w:val="clear" w:pos="1588"/>
        <w:tab w:val="clear" w:pos="1985"/>
        <w:tab w:val="center" w:pos="4820"/>
        <w:tab w:val="right" w:pos="9639"/>
      </w:tabs>
    </w:pPr>
  </w:style>
  <w:style w:type="paragraph" w:customStyle="1" w:styleId="Equationlegend">
    <w:name w:val="Equation_legend"/>
    <w:basedOn w:val="NormalIndent"/>
    <w:rsid w:val="00E54A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4A7B"/>
    <w:pPr>
      <w:ind w:left="794"/>
    </w:pPr>
  </w:style>
  <w:style w:type="paragraph" w:customStyle="1" w:styleId="Figurelegend">
    <w:name w:val="Figure_legend"/>
    <w:basedOn w:val="Normal"/>
    <w:rsid w:val="00E54A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54A7B"/>
    <w:pPr>
      <w:keepNext/>
      <w:keepLines/>
      <w:spacing w:before="480" w:after="80"/>
      <w:jc w:val="center"/>
    </w:pPr>
    <w:rPr>
      <w:caps/>
      <w:sz w:val="18"/>
    </w:rPr>
  </w:style>
  <w:style w:type="paragraph" w:customStyle="1" w:styleId="Figuretitle">
    <w:name w:val="Figure_title"/>
    <w:basedOn w:val="Normal"/>
    <w:next w:val="Figure"/>
    <w:rsid w:val="00E54A7B"/>
    <w:pPr>
      <w:keepNext/>
      <w:spacing w:before="0" w:after="120"/>
      <w:jc w:val="center"/>
    </w:pPr>
    <w:rPr>
      <w:rFonts w:ascii="Times New Roman Bold" w:hAnsi="Times New Roman Bold"/>
      <w:b/>
      <w:sz w:val="18"/>
    </w:rPr>
  </w:style>
  <w:style w:type="paragraph" w:customStyle="1" w:styleId="Figure">
    <w:name w:val="Figure"/>
    <w:basedOn w:val="FigureNo"/>
    <w:next w:val="Normal"/>
    <w:rsid w:val="00E54A7B"/>
    <w:pPr>
      <w:keepNext w:val="0"/>
      <w:spacing w:before="0" w:after="240"/>
    </w:pPr>
  </w:style>
  <w:style w:type="paragraph" w:customStyle="1" w:styleId="tocpart">
    <w:name w:val="tocpart"/>
    <w:basedOn w:val="Normal"/>
    <w:rsid w:val="00E54A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4A7B"/>
    <w:pPr>
      <w:keepNext/>
      <w:keepLines/>
      <w:spacing w:before="480"/>
      <w:jc w:val="center"/>
    </w:pPr>
    <w:rPr>
      <w:sz w:val="28"/>
    </w:rPr>
  </w:style>
  <w:style w:type="paragraph" w:customStyle="1" w:styleId="Arttitle">
    <w:name w:val="Art_title"/>
    <w:basedOn w:val="Normal"/>
    <w:next w:val="Normalaftertitle"/>
    <w:rsid w:val="00E54A7B"/>
    <w:pPr>
      <w:keepNext/>
      <w:keepLines/>
      <w:spacing w:before="240"/>
      <w:jc w:val="center"/>
    </w:pPr>
    <w:rPr>
      <w:b/>
      <w:sz w:val="28"/>
    </w:rPr>
  </w:style>
  <w:style w:type="paragraph" w:customStyle="1" w:styleId="Blanc">
    <w:name w:val="Blanc"/>
    <w:basedOn w:val="Normal"/>
    <w:next w:val="Tabletext"/>
    <w:rsid w:val="00E54A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4A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4A7B"/>
    <w:pPr>
      <w:keepNext/>
      <w:keepLines/>
      <w:spacing w:before="160"/>
      <w:ind w:left="794"/>
    </w:pPr>
    <w:rPr>
      <w:i/>
    </w:rPr>
  </w:style>
  <w:style w:type="paragraph" w:customStyle="1" w:styleId="ChapNo">
    <w:name w:val="Chap_No"/>
    <w:basedOn w:val="ArtNo"/>
    <w:next w:val="Chaptitle"/>
    <w:rsid w:val="00E54A7B"/>
    <w:rPr>
      <w:b/>
    </w:rPr>
  </w:style>
  <w:style w:type="paragraph" w:customStyle="1" w:styleId="Chaptitle">
    <w:name w:val="Chap_title"/>
    <w:basedOn w:val="Arttitle"/>
    <w:next w:val="Normalaftertitle"/>
    <w:rsid w:val="00E54A7B"/>
  </w:style>
  <w:style w:type="character" w:styleId="FootnoteReference">
    <w:name w:val="footnote reference"/>
    <w:basedOn w:val="DefaultParagraphFont"/>
    <w:semiHidden/>
    <w:rsid w:val="00E54A7B"/>
    <w:rPr>
      <w:position w:val="6"/>
      <w:sz w:val="18"/>
    </w:rPr>
  </w:style>
  <w:style w:type="paragraph" w:styleId="FootnoteText">
    <w:name w:val="footnote text"/>
    <w:basedOn w:val="Normal"/>
    <w:semiHidden/>
    <w:rsid w:val="00E54A7B"/>
    <w:pPr>
      <w:keepLines/>
      <w:tabs>
        <w:tab w:val="left" w:pos="255"/>
      </w:tabs>
      <w:ind w:left="255" w:hanging="255"/>
    </w:pPr>
    <w:rPr>
      <w:sz w:val="22"/>
    </w:rPr>
  </w:style>
  <w:style w:type="paragraph" w:styleId="Index1">
    <w:name w:val="index 1"/>
    <w:basedOn w:val="Normal"/>
    <w:next w:val="Normal"/>
    <w:semiHidden/>
    <w:rsid w:val="00E54A7B"/>
  </w:style>
  <w:style w:type="paragraph" w:styleId="Index2">
    <w:name w:val="index 2"/>
    <w:basedOn w:val="Normal"/>
    <w:next w:val="Normal"/>
    <w:semiHidden/>
    <w:rsid w:val="00E54A7B"/>
    <w:pPr>
      <w:ind w:left="283"/>
    </w:pPr>
  </w:style>
  <w:style w:type="paragraph" w:styleId="Index3">
    <w:name w:val="index 3"/>
    <w:basedOn w:val="Normal"/>
    <w:next w:val="Normal"/>
    <w:semiHidden/>
    <w:rsid w:val="00E54A7B"/>
    <w:pPr>
      <w:ind w:left="566"/>
    </w:pPr>
  </w:style>
  <w:style w:type="paragraph" w:styleId="IndexHeading">
    <w:name w:val="index heading"/>
    <w:basedOn w:val="Normal"/>
    <w:next w:val="Index1"/>
    <w:semiHidden/>
    <w:rsid w:val="00E54A7B"/>
  </w:style>
  <w:style w:type="paragraph" w:customStyle="1" w:styleId="Line">
    <w:name w:val="Line"/>
    <w:basedOn w:val="Normal"/>
    <w:next w:val="Normal"/>
    <w:rsid w:val="00E54A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4A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4A7B"/>
  </w:style>
  <w:style w:type="paragraph" w:customStyle="1" w:styleId="Partref">
    <w:name w:val="Part_ref"/>
    <w:basedOn w:val="Normal"/>
    <w:next w:val="Normal"/>
    <w:rsid w:val="00E54A7B"/>
    <w:pPr>
      <w:keepNext/>
      <w:keepLines/>
      <w:spacing w:after="280"/>
      <w:jc w:val="center"/>
    </w:pPr>
  </w:style>
  <w:style w:type="paragraph" w:customStyle="1" w:styleId="Parttitle">
    <w:name w:val="Part_title"/>
    <w:basedOn w:val="Normal"/>
    <w:next w:val="Normalaftertitle"/>
    <w:rsid w:val="00E54A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4A7B"/>
  </w:style>
  <w:style w:type="paragraph" w:customStyle="1" w:styleId="QuestionNo">
    <w:name w:val="Question_No"/>
    <w:basedOn w:val="RecNo"/>
    <w:next w:val="Normal"/>
    <w:rsid w:val="00E54A7B"/>
  </w:style>
  <w:style w:type="paragraph" w:customStyle="1" w:styleId="Questionref">
    <w:name w:val="Question_ref"/>
    <w:basedOn w:val="Recref"/>
    <w:next w:val="Questiondate"/>
    <w:rsid w:val="00E54A7B"/>
  </w:style>
  <w:style w:type="paragraph" w:customStyle="1" w:styleId="Questiontitle">
    <w:name w:val="Question_title"/>
    <w:basedOn w:val="Normal"/>
    <w:next w:val="Questionref"/>
    <w:rsid w:val="00E54A7B"/>
  </w:style>
  <w:style w:type="paragraph" w:customStyle="1" w:styleId="Reftext">
    <w:name w:val="Ref_text"/>
    <w:basedOn w:val="Normal"/>
    <w:rsid w:val="00E54A7B"/>
    <w:pPr>
      <w:ind w:left="794" w:hanging="794"/>
    </w:pPr>
    <w:rPr>
      <w:sz w:val="22"/>
    </w:rPr>
  </w:style>
  <w:style w:type="paragraph" w:customStyle="1" w:styleId="Reftitle">
    <w:name w:val="Ref_title"/>
    <w:basedOn w:val="Normal"/>
    <w:next w:val="Reftext"/>
    <w:rsid w:val="00E54A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4A7B"/>
  </w:style>
  <w:style w:type="paragraph" w:customStyle="1" w:styleId="RepNo">
    <w:name w:val="Rep_No"/>
    <w:basedOn w:val="RecNo"/>
    <w:next w:val="Reptitle"/>
    <w:rsid w:val="00E54A7B"/>
  </w:style>
  <w:style w:type="paragraph" w:customStyle="1" w:styleId="Reptitle">
    <w:name w:val="Rep_title"/>
    <w:basedOn w:val="Rectitle"/>
    <w:next w:val="Repref"/>
    <w:rsid w:val="00E54A7B"/>
  </w:style>
  <w:style w:type="paragraph" w:customStyle="1" w:styleId="Repref">
    <w:name w:val="Rep_ref"/>
    <w:basedOn w:val="Recref"/>
    <w:next w:val="Repdate"/>
    <w:rsid w:val="00E54A7B"/>
  </w:style>
  <w:style w:type="paragraph" w:customStyle="1" w:styleId="Resdate">
    <w:name w:val="Res_date"/>
    <w:basedOn w:val="Recdate"/>
    <w:next w:val="Normalaftertitle"/>
    <w:rsid w:val="00E54A7B"/>
  </w:style>
  <w:style w:type="paragraph" w:customStyle="1" w:styleId="ResNo">
    <w:name w:val="Res_No"/>
    <w:basedOn w:val="RecNo"/>
    <w:next w:val="Restitle"/>
    <w:rsid w:val="00E54A7B"/>
  </w:style>
  <w:style w:type="paragraph" w:customStyle="1" w:styleId="Restitle">
    <w:name w:val="Res_title"/>
    <w:basedOn w:val="Normal"/>
    <w:next w:val="Resref"/>
    <w:rsid w:val="00E54A7B"/>
    <w:pPr>
      <w:spacing w:before="240"/>
      <w:jc w:val="center"/>
    </w:pPr>
    <w:rPr>
      <w:b/>
      <w:sz w:val="28"/>
    </w:rPr>
  </w:style>
  <w:style w:type="paragraph" w:customStyle="1" w:styleId="Resref">
    <w:name w:val="Res_ref"/>
    <w:basedOn w:val="Recref"/>
    <w:next w:val="Resdate"/>
    <w:rsid w:val="00E54A7B"/>
  </w:style>
  <w:style w:type="paragraph" w:customStyle="1" w:styleId="SectionNo">
    <w:name w:val="Section_No"/>
    <w:basedOn w:val="Normal"/>
    <w:next w:val="Normal"/>
    <w:rsid w:val="00E54A7B"/>
  </w:style>
  <w:style w:type="paragraph" w:customStyle="1" w:styleId="Sectiontitle">
    <w:name w:val="Section_title"/>
    <w:basedOn w:val="Normal"/>
    <w:next w:val="Normalaftertitle"/>
    <w:rsid w:val="00E54A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4A7B"/>
    <w:pPr>
      <w:tabs>
        <w:tab w:val="clear" w:pos="794"/>
        <w:tab w:val="clear" w:pos="1191"/>
        <w:tab w:val="clear" w:pos="1588"/>
        <w:tab w:val="clear" w:pos="1985"/>
        <w:tab w:val="right" w:pos="9611"/>
      </w:tabs>
    </w:pPr>
    <w:rPr>
      <w:i/>
    </w:rPr>
  </w:style>
  <w:style w:type="paragraph" w:styleId="TOC1">
    <w:name w:val="toc 1"/>
    <w:basedOn w:val="Normal"/>
    <w:semiHidden/>
    <w:rsid w:val="00E54A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4A7B"/>
    <w:pPr>
      <w:tabs>
        <w:tab w:val="clear" w:pos="567"/>
        <w:tab w:val="left" w:pos="1276"/>
      </w:tabs>
      <w:spacing w:before="160"/>
      <w:ind w:left="1276" w:hanging="709"/>
    </w:pPr>
  </w:style>
  <w:style w:type="paragraph" w:styleId="TOC3">
    <w:name w:val="toc 3"/>
    <w:basedOn w:val="TOC2"/>
    <w:semiHidden/>
    <w:rsid w:val="00E54A7B"/>
    <w:pPr>
      <w:tabs>
        <w:tab w:val="clear" w:pos="1276"/>
        <w:tab w:val="left" w:pos="2155"/>
      </w:tabs>
      <w:ind w:left="2155" w:hanging="879"/>
    </w:pPr>
  </w:style>
  <w:style w:type="paragraph" w:styleId="TOC4">
    <w:name w:val="toc 4"/>
    <w:basedOn w:val="TOC3"/>
    <w:semiHidden/>
    <w:rsid w:val="00E54A7B"/>
    <w:pPr>
      <w:tabs>
        <w:tab w:val="left" w:pos="3261"/>
      </w:tabs>
      <w:spacing w:before="80"/>
      <w:ind w:left="3261" w:hanging="993"/>
    </w:pPr>
  </w:style>
  <w:style w:type="paragraph" w:styleId="TOC5">
    <w:name w:val="toc 5"/>
    <w:basedOn w:val="TOC4"/>
    <w:semiHidden/>
    <w:rsid w:val="00E54A7B"/>
  </w:style>
  <w:style w:type="paragraph" w:styleId="TOC6">
    <w:name w:val="toc 6"/>
    <w:basedOn w:val="TOC4"/>
    <w:semiHidden/>
    <w:rsid w:val="00E54A7B"/>
  </w:style>
  <w:style w:type="paragraph" w:styleId="TOC7">
    <w:name w:val="toc 7"/>
    <w:basedOn w:val="TOC4"/>
    <w:semiHidden/>
    <w:rsid w:val="00E54A7B"/>
  </w:style>
  <w:style w:type="paragraph" w:styleId="TOC8">
    <w:name w:val="toc 8"/>
    <w:basedOn w:val="TOC4"/>
    <w:semiHidden/>
    <w:rsid w:val="00E54A7B"/>
  </w:style>
  <w:style w:type="paragraph" w:customStyle="1" w:styleId="Annexref">
    <w:name w:val="Annex_ref"/>
    <w:basedOn w:val="Normal"/>
    <w:next w:val="Normalaftertitle"/>
    <w:rsid w:val="00E54A7B"/>
    <w:pPr>
      <w:keepNext/>
      <w:keepLines/>
      <w:spacing w:after="280"/>
      <w:jc w:val="center"/>
    </w:pPr>
  </w:style>
  <w:style w:type="paragraph" w:customStyle="1" w:styleId="Appendixref">
    <w:name w:val="Appendix_ref"/>
    <w:basedOn w:val="Annexref"/>
    <w:next w:val="Normalaftertitle"/>
    <w:rsid w:val="00E54A7B"/>
  </w:style>
  <w:style w:type="paragraph" w:customStyle="1" w:styleId="Tabletitle">
    <w:name w:val="Table_title"/>
    <w:basedOn w:val="Normal"/>
    <w:next w:val="Tablehead"/>
    <w:rsid w:val="00E54A7B"/>
    <w:pPr>
      <w:keepNext/>
      <w:spacing w:before="0" w:after="120"/>
      <w:jc w:val="center"/>
    </w:pPr>
    <w:rPr>
      <w:b/>
    </w:rPr>
  </w:style>
  <w:style w:type="paragraph" w:customStyle="1" w:styleId="Summary">
    <w:name w:val="Summary"/>
    <w:basedOn w:val="Normal"/>
    <w:next w:val="Normalaftertitle"/>
    <w:rsid w:val="00E54A7B"/>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E54A7B"/>
    <w:pPr>
      <w:ind w:left="-85" w:firstLine="0"/>
    </w:pPr>
    <w:rPr>
      <w:lang w:val="en-US"/>
    </w:rPr>
  </w:style>
  <w:style w:type="paragraph" w:customStyle="1" w:styleId="Annextitle">
    <w:name w:val="Annex_title"/>
    <w:basedOn w:val="Arttitle"/>
    <w:next w:val="Normalaftertitle"/>
    <w:rsid w:val="00175FB5"/>
    <w:pPr>
      <w:tabs>
        <w:tab w:val="clear" w:pos="794"/>
        <w:tab w:val="clear" w:pos="1191"/>
        <w:tab w:val="clear" w:pos="1588"/>
        <w:tab w:val="clear" w:pos="1985"/>
      </w:tabs>
      <w:overflowPunct/>
      <w:autoSpaceDE/>
      <w:autoSpaceDN/>
      <w:adjustRightInd/>
      <w:spacing w:before="280" w:after="40"/>
      <w:textAlignment w:val="auto"/>
    </w:pPr>
  </w:style>
  <w:style w:type="paragraph" w:styleId="BalloonText">
    <w:name w:val="Balloon Text"/>
    <w:basedOn w:val="Normal"/>
    <w:link w:val="BalloonTextChar"/>
    <w:semiHidden/>
    <w:unhideWhenUsed/>
    <w:rsid w:val="00862F7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62F75"/>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360</TotalTime>
  <Pages>7</Pages>
  <Words>2018</Words>
  <Characters>11095</Characters>
  <Application>Microsoft Office Word</Application>
  <DocSecurity>0</DocSecurity>
  <Lines>462</Lines>
  <Paragraphs>120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12993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Edition                       1.11.07      SP_x000d_
corr. editeur: 14.2.08/KJ_x000d_
REV - 18-02-08 - HB</dc:description>
  <cp:lastModifiedBy>Gachet, Christelle</cp:lastModifiedBy>
  <cp:revision>24</cp:revision>
  <cp:lastPrinted>2014-09-24T12:16:00Z</cp:lastPrinted>
  <dcterms:created xsi:type="dcterms:W3CDTF">2014-09-22T10:35:00Z</dcterms:created>
  <dcterms:modified xsi:type="dcterms:W3CDTF">2014-09-24T12:17:00Z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