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p w:rsidR="000C4484" w:rsidRDefault="000C4484" w:rsidP="004309F7"/>
    <w:tbl>
      <w:tblPr>
        <w:tblW w:w="10089" w:type="dxa"/>
        <w:tblLook w:val="01E0" w:firstRow="1" w:lastRow="1" w:firstColumn="1" w:lastColumn="1" w:noHBand="0" w:noVBand="0"/>
      </w:tblPr>
      <w:tblGrid>
        <w:gridCol w:w="10089"/>
      </w:tblGrid>
      <w:tr w:rsidR="000C4484" w:rsidTr="000C4484">
        <w:tc>
          <w:tcPr>
            <w:tcW w:w="10089" w:type="dxa"/>
          </w:tcPr>
          <w:p w:rsidR="000C4484" w:rsidRPr="001511A6" w:rsidRDefault="000C4484" w:rsidP="000C4484">
            <w:pPr>
              <w:spacing w:before="380" w:line="280" w:lineRule="exact"/>
              <w:jc w:val="right"/>
              <w:rPr>
                <w:rFonts w:ascii="Tahoma" w:hAnsi="Tahoma" w:cs="Tahoma"/>
                <w:b/>
                <w:bCs/>
                <w:iCs/>
                <w:color w:val="243285"/>
                <w:sz w:val="32"/>
                <w:szCs w:val="32"/>
                <w:lang w:val="en-US"/>
              </w:rPr>
            </w:pPr>
          </w:p>
          <w:p w:rsidR="000C4484" w:rsidRPr="000C4484" w:rsidRDefault="000C4484" w:rsidP="000C4484">
            <w:pPr>
              <w:spacing w:before="380" w:line="280" w:lineRule="exact"/>
              <w:jc w:val="right"/>
              <w:rPr>
                <w:rFonts w:ascii="Tahoma" w:hAnsi="Tahoma" w:cs="Tahoma"/>
                <w:b/>
                <w:bCs/>
                <w:iCs/>
                <w:color w:val="243285"/>
                <w:sz w:val="36"/>
                <w:szCs w:val="36"/>
                <w:lang w:val="fr-CH"/>
              </w:rPr>
            </w:pPr>
            <w:proofErr w:type="spellStart"/>
            <w:r w:rsidRPr="000C4484">
              <w:rPr>
                <w:rFonts w:ascii="Tahoma" w:hAnsi="Tahoma" w:cs="Tahoma"/>
                <w:b/>
                <w:bCs/>
                <w:iCs/>
                <w:color w:val="243285"/>
                <w:sz w:val="36"/>
                <w:szCs w:val="36"/>
                <w:lang w:val="fr-CH"/>
              </w:rPr>
              <w:t>Recommendation</w:t>
            </w:r>
            <w:proofErr w:type="spellEnd"/>
            <w:r w:rsidRPr="000C4484">
              <w:rPr>
                <w:rFonts w:ascii="Tahoma" w:hAnsi="Tahoma" w:cs="Tahoma"/>
                <w:b/>
                <w:bCs/>
                <w:iCs/>
                <w:color w:val="243285"/>
                <w:sz w:val="36"/>
                <w:szCs w:val="36"/>
                <w:lang w:val="fr-CH"/>
              </w:rPr>
              <w:t xml:space="preserve">  ITU-R  SF.</w:t>
            </w:r>
            <w:r>
              <w:rPr>
                <w:rFonts w:ascii="Tahoma" w:hAnsi="Tahoma" w:cs="Tahoma"/>
                <w:b/>
                <w:bCs/>
                <w:iCs/>
                <w:color w:val="243285"/>
                <w:sz w:val="36"/>
                <w:szCs w:val="36"/>
                <w:lang w:val="fr-CH"/>
              </w:rPr>
              <w:t>1602</w:t>
            </w:r>
          </w:p>
          <w:p w:rsidR="000C4484" w:rsidRPr="000C4484" w:rsidRDefault="000C4484" w:rsidP="00822103">
            <w:pPr>
              <w:spacing w:before="80" w:line="280" w:lineRule="exact"/>
              <w:jc w:val="right"/>
              <w:rPr>
                <w:rFonts w:ascii="Tahoma" w:hAnsi="Tahoma" w:cs="Tahoma"/>
                <w:b/>
                <w:bCs/>
                <w:iCs/>
                <w:color w:val="243285"/>
                <w:szCs w:val="24"/>
                <w:lang w:val="fr-CH"/>
              </w:rPr>
            </w:pPr>
            <w:r w:rsidRPr="000C4484">
              <w:rPr>
                <w:rFonts w:ascii="Tahoma" w:hAnsi="Tahoma" w:cs="Tahoma"/>
                <w:b/>
                <w:bCs/>
                <w:iCs/>
                <w:color w:val="243285"/>
                <w:szCs w:val="24"/>
                <w:lang w:val="fr-CH"/>
              </w:rPr>
              <w:t>(</w:t>
            </w:r>
            <w:r w:rsidR="00822103">
              <w:rPr>
                <w:rFonts w:ascii="Tahoma" w:hAnsi="Tahoma" w:cs="Tahoma"/>
                <w:b/>
                <w:bCs/>
                <w:iCs/>
                <w:color w:val="243285"/>
                <w:szCs w:val="24"/>
                <w:lang w:val="fr-CH"/>
              </w:rPr>
              <w:t>02</w:t>
            </w:r>
            <w:r w:rsidRPr="000C4484">
              <w:rPr>
                <w:rFonts w:ascii="Tahoma" w:hAnsi="Tahoma" w:cs="Tahoma"/>
                <w:b/>
                <w:bCs/>
                <w:iCs/>
                <w:color w:val="243285"/>
                <w:szCs w:val="24"/>
                <w:lang w:val="fr-CH"/>
              </w:rPr>
              <w:t>/20</w:t>
            </w:r>
            <w:r w:rsidR="00822103">
              <w:rPr>
                <w:rFonts w:ascii="Tahoma" w:hAnsi="Tahoma" w:cs="Tahoma"/>
                <w:b/>
                <w:bCs/>
                <w:iCs/>
                <w:color w:val="243285"/>
                <w:szCs w:val="24"/>
                <w:lang w:val="fr-CH"/>
              </w:rPr>
              <w:t>03</w:t>
            </w:r>
            <w:r w:rsidRPr="000C4484">
              <w:rPr>
                <w:rFonts w:ascii="Tahoma" w:hAnsi="Tahoma" w:cs="Tahoma"/>
                <w:b/>
                <w:bCs/>
                <w:iCs/>
                <w:color w:val="243285"/>
                <w:szCs w:val="24"/>
                <w:lang w:val="fr-CH"/>
              </w:rPr>
              <w:t>)</w:t>
            </w:r>
          </w:p>
        </w:tc>
      </w:tr>
      <w:tr w:rsidR="000C4484" w:rsidRPr="008157E4" w:rsidTr="000C4484">
        <w:tc>
          <w:tcPr>
            <w:tcW w:w="10089" w:type="dxa"/>
          </w:tcPr>
          <w:p w:rsidR="000C4484" w:rsidRPr="00822103" w:rsidRDefault="000C4484" w:rsidP="000C4484">
            <w:pPr>
              <w:spacing w:before="80" w:line="500" w:lineRule="exact"/>
              <w:jc w:val="right"/>
              <w:rPr>
                <w:rFonts w:ascii="Tahoma" w:hAnsi="Tahoma" w:cs="Tahoma"/>
                <w:b/>
                <w:bCs/>
                <w:iCs/>
                <w:color w:val="243285"/>
                <w:sz w:val="44"/>
                <w:szCs w:val="44"/>
                <w:lang w:val="en-US"/>
              </w:rPr>
            </w:pPr>
          </w:p>
          <w:p w:rsidR="000C4484" w:rsidRPr="001511A6" w:rsidRDefault="00822103" w:rsidP="00822103">
            <w:pPr>
              <w:spacing w:before="80" w:line="500" w:lineRule="exact"/>
              <w:jc w:val="right"/>
              <w:rPr>
                <w:rFonts w:ascii="Tahoma" w:hAnsi="Tahoma" w:cs="Tahoma"/>
                <w:b/>
                <w:bCs/>
                <w:iCs/>
                <w:color w:val="243285"/>
                <w:sz w:val="44"/>
                <w:szCs w:val="44"/>
                <w:lang w:val="en-US"/>
              </w:rPr>
            </w:pPr>
            <w:r w:rsidRPr="00822103">
              <w:rPr>
                <w:rFonts w:ascii="Tahoma" w:hAnsi="Tahoma" w:cs="Tahoma"/>
                <w:b/>
                <w:bCs/>
                <w:iCs/>
                <w:color w:val="243285"/>
                <w:sz w:val="44"/>
                <w:szCs w:val="44"/>
                <w:lang w:val="en-US"/>
              </w:rPr>
              <w:t>Methodology for determining power flux-density statistics for use</w:t>
            </w:r>
            <w:r w:rsidR="00543948">
              <w:rPr>
                <w:rFonts w:ascii="Tahoma" w:hAnsi="Tahoma" w:cs="Tahoma"/>
                <w:b/>
                <w:bCs/>
                <w:iCs/>
                <w:color w:val="243285"/>
                <w:sz w:val="44"/>
                <w:szCs w:val="44"/>
                <w:lang w:val="en-US"/>
              </w:rPr>
              <w:t xml:space="preserve"> </w:t>
            </w:r>
            <w:r w:rsidRPr="00822103">
              <w:rPr>
                <w:rFonts w:ascii="Tahoma" w:hAnsi="Tahoma" w:cs="Tahoma"/>
                <w:b/>
                <w:bCs/>
                <w:iCs/>
                <w:color w:val="243285"/>
                <w:sz w:val="44"/>
                <w:szCs w:val="44"/>
                <w:lang w:val="en-US"/>
              </w:rPr>
              <w:t>in sharing</w:t>
            </w:r>
            <w:r>
              <w:rPr>
                <w:rFonts w:ascii="Tahoma" w:hAnsi="Tahoma" w:cs="Tahoma"/>
                <w:b/>
                <w:bCs/>
                <w:iCs/>
                <w:color w:val="243285"/>
                <w:sz w:val="44"/>
                <w:szCs w:val="44"/>
                <w:lang w:val="en-US"/>
              </w:rPr>
              <w:t xml:space="preserve"> </w:t>
            </w:r>
            <w:r w:rsidRPr="00822103">
              <w:rPr>
                <w:rFonts w:ascii="Tahoma" w:hAnsi="Tahoma" w:cs="Tahoma"/>
                <w:b/>
                <w:bCs/>
                <w:iCs/>
                <w:color w:val="243285"/>
                <w:sz w:val="44"/>
                <w:szCs w:val="44"/>
                <w:lang w:val="en-US"/>
              </w:rPr>
              <w:t>studies</w:t>
            </w:r>
            <w:r>
              <w:rPr>
                <w:rFonts w:ascii="Tahoma" w:hAnsi="Tahoma" w:cs="Tahoma"/>
                <w:b/>
                <w:bCs/>
                <w:iCs/>
                <w:color w:val="243285"/>
                <w:sz w:val="44"/>
                <w:szCs w:val="44"/>
                <w:lang w:val="en-US"/>
              </w:rPr>
              <w:t xml:space="preserve"> </w:t>
            </w:r>
            <w:r w:rsidRPr="00822103">
              <w:rPr>
                <w:rFonts w:ascii="Tahoma" w:hAnsi="Tahoma" w:cs="Tahoma"/>
                <w:b/>
                <w:bCs/>
                <w:iCs/>
                <w:color w:val="243285"/>
                <w:sz w:val="44"/>
                <w:szCs w:val="44"/>
                <w:lang w:val="en-US"/>
              </w:rPr>
              <w:t>between fixed wireless systems</w:t>
            </w:r>
            <w:r>
              <w:rPr>
                <w:rFonts w:ascii="Tahoma" w:hAnsi="Tahoma" w:cs="Tahoma"/>
                <w:b/>
                <w:bCs/>
                <w:iCs/>
                <w:color w:val="243285"/>
                <w:sz w:val="44"/>
                <w:szCs w:val="44"/>
                <w:lang w:val="en-US"/>
              </w:rPr>
              <w:t xml:space="preserve"> </w:t>
            </w:r>
            <w:r w:rsidRPr="00822103">
              <w:rPr>
                <w:rFonts w:ascii="Tahoma" w:hAnsi="Tahoma" w:cs="Tahoma"/>
                <w:b/>
                <w:bCs/>
                <w:iCs/>
                <w:color w:val="243285"/>
                <w:sz w:val="44"/>
                <w:szCs w:val="44"/>
                <w:lang w:val="en-US"/>
              </w:rPr>
              <w:t>and multiple fixed-satellite service satellites</w:t>
            </w:r>
          </w:p>
          <w:p w:rsidR="000C4484" w:rsidRPr="001511A6" w:rsidRDefault="000C4484" w:rsidP="000C4484">
            <w:pPr>
              <w:spacing w:before="80" w:line="500" w:lineRule="exact"/>
              <w:jc w:val="right"/>
              <w:rPr>
                <w:rFonts w:ascii="Tahoma" w:hAnsi="Tahoma" w:cs="Tahoma"/>
                <w:b/>
                <w:bCs/>
                <w:iCs/>
                <w:color w:val="243285"/>
                <w:sz w:val="40"/>
                <w:szCs w:val="40"/>
                <w:lang w:val="en-US"/>
              </w:rPr>
            </w:pPr>
          </w:p>
        </w:tc>
      </w:tr>
      <w:tr w:rsidR="000C4484" w:rsidRPr="008157E4" w:rsidTr="000C4484">
        <w:tc>
          <w:tcPr>
            <w:tcW w:w="10089" w:type="dxa"/>
          </w:tcPr>
          <w:p w:rsidR="000C4484" w:rsidRPr="000C4484" w:rsidRDefault="000C4484" w:rsidP="000C4484">
            <w:pPr>
              <w:spacing w:before="80" w:line="280" w:lineRule="exact"/>
              <w:ind w:right="640"/>
              <w:rPr>
                <w:rFonts w:ascii="Tahoma" w:hAnsi="Tahoma" w:cs="Tahoma"/>
                <w:b/>
                <w:bCs/>
                <w:iCs/>
                <w:color w:val="243285"/>
                <w:sz w:val="32"/>
                <w:szCs w:val="32"/>
                <w:lang w:val="en-US"/>
              </w:rPr>
            </w:pPr>
          </w:p>
          <w:p w:rsidR="000C4484" w:rsidRPr="000C4484" w:rsidRDefault="000C4484" w:rsidP="000C4484">
            <w:pPr>
              <w:spacing w:before="80" w:line="280" w:lineRule="exact"/>
              <w:ind w:right="640"/>
              <w:rPr>
                <w:rFonts w:ascii="Tahoma" w:hAnsi="Tahoma" w:cs="Tahoma"/>
                <w:b/>
                <w:bCs/>
                <w:iCs/>
                <w:color w:val="243285"/>
                <w:sz w:val="32"/>
                <w:szCs w:val="32"/>
                <w:lang w:val="en-US"/>
              </w:rPr>
            </w:pPr>
          </w:p>
          <w:p w:rsidR="000C4484" w:rsidRPr="000C4484" w:rsidRDefault="000C4484" w:rsidP="000C4484">
            <w:pPr>
              <w:spacing w:before="80" w:after="180" w:line="360" w:lineRule="exact"/>
              <w:ind w:right="720"/>
              <w:rPr>
                <w:rFonts w:ascii="Tahoma" w:hAnsi="Tahoma" w:cs="Tahoma"/>
                <w:b/>
                <w:bCs/>
                <w:iCs/>
                <w:color w:val="243285"/>
                <w:sz w:val="36"/>
                <w:szCs w:val="36"/>
                <w:lang w:val="en-US"/>
              </w:rPr>
            </w:pPr>
          </w:p>
          <w:p w:rsidR="000C4484" w:rsidRPr="001511A6" w:rsidRDefault="000C4484" w:rsidP="000C448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SF</w:t>
            </w:r>
            <w:r w:rsidRPr="001511A6">
              <w:rPr>
                <w:rFonts w:ascii="Tahoma" w:hAnsi="Tahoma" w:cs="Tahoma"/>
                <w:b/>
                <w:bCs/>
                <w:iCs/>
                <w:color w:val="243285"/>
                <w:sz w:val="36"/>
                <w:szCs w:val="36"/>
                <w:lang w:val="en-US"/>
              </w:rPr>
              <w:t xml:space="preserve"> Series</w:t>
            </w:r>
          </w:p>
          <w:p w:rsidR="000C4484" w:rsidRDefault="000C4484" w:rsidP="000C4484">
            <w:pPr>
              <w:spacing w:before="80" w:line="360" w:lineRule="exact"/>
              <w:jc w:val="right"/>
              <w:rPr>
                <w:rFonts w:ascii="Tahoma" w:hAnsi="Tahoma" w:cs="Tahoma"/>
                <w:b/>
                <w:bCs/>
                <w:iCs/>
                <w:color w:val="243285"/>
                <w:sz w:val="36"/>
                <w:szCs w:val="36"/>
                <w:lang w:val="en-US"/>
              </w:rPr>
            </w:pPr>
            <w:r w:rsidRPr="00A84B4E">
              <w:rPr>
                <w:rFonts w:ascii="Tahoma" w:hAnsi="Tahoma" w:cs="Tahoma"/>
                <w:b/>
                <w:bCs/>
                <w:iCs/>
                <w:color w:val="243285"/>
                <w:sz w:val="36"/>
                <w:szCs w:val="36"/>
                <w:lang w:val="en-US"/>
              </w:rPr>
              <w:t>Frequency sharing and coordination between</w:t>
            </w:r>
          </w:p>
          <w:p w:rsidR="000C4484" w:rsidRPr="001511A6" w:rsidRDefault="000C4484" w:rsidP="000C4484">
            <w:pPr>
              <w:spacing w:before="80" w:line="360" w:lineRule="exact"/>
              <w:jc w:val="right"/>
              <w:rPr>
                <w:rFonts w:ascii="Tahoma" w:hAnsi="Tahoma" w:cs="Tahoma"/>
                <w:b/>
                <w:bCs/>
                <w:iCs/>
                <w:color w:val="243285"/>
                <w:sz w:val="32"/>
                <w:szCs w:val="32"/>
                <w:lang w:val="en-US"/>
              </w:rPr>
            </w:pPr>
            <w:r w:rsidRPr="00A84B4E">
              <w:rPr>
                <w:rFonts w:ascii="Tahoma" w:hAnsi="Tahoma" w:cs="Tahoma"/>
                <w:b/>
                <w:bCs/>
                <w:iCs/>
                <w:color w:val="243285"/>
                <w:sz w:val="36"/>
                <w:szCs w:val="36"/>
                <w:lang w:val="en-US"/>
              </w:rPr>
              <w:t>fixed-satellite and fixed service systems</w:t>
            </w:r>
          </w:p>
        </w:tc>
      </w:tr>
    </w:tbl>
    <w:p w:rsidR="000C4484" w:rsidRDefault="000C4484" w:rsidP="000C4484">
      <w:pPr>
        <w:spacing w:before="80"/>
        <w:rPr>
          <w:i/>
          <w:sz w:val="22"/>
          <w:lang w:val="en-US"/>
        </w:rPr>
      </w:pPr>
    </w:p>
    <w:p w:rsidR="000C4484" w:rsidRDefault="000C4484" w:rsidP="000C4484">
      <w:pPr>
        <w:spacing w:before="80"/>
        <w:rPr>
          <w:i/>
          <w:sz w:val="22"/>
          <w:lang w:val="en-US"/>
        </w:rPr>
      </w:pPr>
    </w:p>
    <w:p w:rsidR="000C4484" w:rsidRDefault="000C4484" w:rsidP="000C4484">
      <w:pPr>
        <w:spacing w:before="80"/>
        <w:rPr>
          <w:i/>
          <w:sz w:val="22"/>
          <w:lang w:val="en-US"/>
        </w:rPr>
      </w:pPr>
    </w:p>
    <w:p w:rsidR="000C4484" w:rsidRDefault="000C4484" w:rsidP="000C4484">
      <w:pPr>
        <w:spacing w:before="80"/>
        <w:rPr>
          <w:i/>
          <w:sz w:val="22"/>
          <w:lang w:val="en-US"/>
        </w:rPr>
      </w:pPr>
    </w:p>
    <w:p w:rsidR="000C4484" w:rsidRDefault="000C4484" w:rsidP="000C4484">
      <w:pPr>
        <w:spacing w:before="80"/>
        <w:rPr>
          <w:i/>
          <w:sz w:val="22"/>
          <w:lang w:val="en-US"/>
        </w:rPr>
      </w:pPr>
    </w:p>
    <w:p w:rsidR="000C4484" w:rsidRDefault="000C4484" w:rsidP="000C4484">
      <w:pPr>
        <w:spacing w:before="80"/>
        <w:rPr>
          <w:i/>
          <w:sz w:val="22"/>
          <w:lang w:val="en-US"/>
        </w:rPr>
      </w:pPr>
    </w:p>
    <w:p w:rsidR="000C4484" w:rsidRDefault="000C4484" w:rsidP="000C4484">
      <w:pPr>
        <w:pStyle w:val="Equation"/>
        <w:tabs>
          <w:tab w:val="clear" w:pos="4820"/>
          <w:tab w:val="clear" w:pos="9639"/>
          <w:tab w:val="left" w:pos="1191"/>
          <w:tab w:val="left" w:pos="1588"/>
          <w:tab w:val="left" w:pos="1985"/>
        </w:tabs>
        <w:rPr>
          <w:rFonts w:ascii="Palatino Linotype" w:hAnsi="Palatino Linotype"/>
          <w:lang w:val="en-US"/>
        </w:rPr>
        <w:sectPr w:rsidR="000C4484" w:rsidSect="000C4484">
          <w:headerReference w:type="even" r:id="rId8"/>
          <w:headerReference w:type="default" r:id="rId9"/>
          <w:type w:val="continuous"/>
          <w:pgSz w:w="11907" w:h="16840" w:code="9"/>
          <w:pgMar w:top="1089" w:right="1089" w:bottom="284" w:left="1089" w:header="567" w:footer="284" w:gutter="0"/>
          <w:pgNumType w:start="1"/>
          <w:cols w:space="720"/>
        </w:sectPr>
      </w:pPr>
    </w:p>
    <w:p w:rsidR="000C4484" w:rsidRPr="00586EF8"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C4484" w:rsidRDefault="000C4484" w:rsidP="000C448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0C4484" w:rsidRDefault="000C4484" w:rsidP="000C448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0C4484" w:rsidRPr="00B714F3" w:rsidRDefault="000C4484" w:rsidP="000C4484">
      <w:pPr>
        <w:pStyle w:val="Heading1"/>
        <w:spacing w:before="680"/>
        <w:jc w:val="center"/>
        <w:rPr>
          <w:szCs w:val="24"/>
          <w:lang w:val="en-US"/>
        </w:rPr>
      </w:pPr>
      <w:r w:rsidRPr="00B714F3">
        <w:rPr>
          <w:szCs w:val="24"/>
          <w:lang w:val="en-US"/>
        </w:rPr>
        <w:t>Policy on Intellectual Property Right (IPR)</w:t>
      </w:r>
    </w:p>
    <w:p w:rsidR="000C4484" w:rsidRPr="00B714F3" w:rsidRDefault="000C4484" w:rsidP="000C448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C4484" w:rsidRDefault="000C4484" w:rsidP="000C4484">
      <w:pPr>
        <w:jc w:val="center"/>
        <w:rPr>
          <w:sz w:val="22"/>
          <w:lang w:val="en-US"/>
        </w:rPr>
      </w:pPr>
    </w:p>
    <w:p w:rsidR="000C4484" w:rsidRDefault="000C4484" w:rsidP="000C448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C4484" w:rsidRPr="008157E4" w:rsidTr="000C4484">
        <w:tc>
          <w:tcPr>
            <w:tcW w:w="9360" w:type="dxa"/>
            <w:gridSpan w:val="2"/>
          </w:tcPr>
          <w:p w:rsidR="000C4484" w:rsidRPr="00036EE3" w:rsidRDefault="000C4484" w:rsidP="000C44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C4484" w:rsidRPr="00036EE3"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sz w:val="18"/>
                  <w:szCs w:val="18"/>
                  <w:lang w:val="en-US"/>
                </w:rPr>
                <w:t>http://www.itu.int/publ/R-REC/en</w:t>
              </w:r>
            </w:hyperlink>
            <w:r w:rsidRPr="00CE0A43">
              <w:rPr>
                <w:b w:val="0"/>
                <w:sz w:val="18"/>
                <w:szCs w:val="18"/>
                <w:lang w:val="en-US"/>
              </w:rPr>
              <w:t>)</w:t>
            </w:r>
          </w:p>
        </w:tc>
      </w:tr>
      <w:tr w:rsidR="000C4484" w:rsidRPr="00036EE3" w:rsidTr="000C4484">
        <w:tc>
          <w:tcPr>
            <w:tcW w:w="1140" w:type="dxa"/>
            <w:tcBorders>
              <w:bottom w:val="nil"/>
            </w:tcBorders>
          </w:tcPr>
          <w:p w:rsidR="000C4484" w:rsidRPr="00036EE3" w:rsidRDefault="000C4484" w:rsidP="000C4484">
            <w:pPr>
              <w:spacing w:before="200" w:after="100"/>
              <w:ind w:left="57"/>
              <w:rPr>
                <w:b/>
                <w:bCs/>
                <w:sz w:val="20"/>
                <w:lang w:val="en-US"/>
              </w:rPr>
            </w:pPr>
            <w:r w:rsidRPr="00036EE3">
              <w:rPr>
                <w:b/>
                <w:bCs/>
                <w:sz w:val="20"/>
                <w:lang w:val="en-US"/>
              </w:rPr>
              <w:t>Series</w:t>
            </w:r>
          </w:p>
        </w:tc>
        <w:tc>
          <w:tcPr>
            <w:tcW w:w="8220" w:type="dxa"/>
            <w:tcBorders>
              <w:bottom w:val="nil"/>
            </w:tcBorders>
          </w:tcPr>
          <w:p w:rsidR="000C4484" w:rsidRPr="00036EE3"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C4484" w:rsidRPr="00A4173A" w:rsidTr="000C4484">
        <w:tc>
          <w:tcPr>
            <w:tcW w:w="1140" w:type="dxa"/>
            <w:tcBorders>
              <w:top w:val="nil"/>
              <w:bottom w:val="nil"/>
            </w:tcBorders>
            <w:shd w:val="clear" w:color="auto" w:fill="auto"/>
          </w:tcPr>
          <w:p w:rsidR="000C4484" w:rsidRPr="00A4173A" w:rsidRDefault="000C4484" w:rsidP="000C4484">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0C4484" w:rsidRPr="00A4173A"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0C4484" w:rsidRPr="008157E4" w:rsidTr="000C4484">
        <w:tc>
          <w:tcPr>
            <w:tcW w:w="1140" w:type="dxa"/>
            <w:tcBorders>
              <w:top w:val="nil"/>
            </w:tcBorders>
          </w:tcPr>
          <w:p w:rsidR="000C4484" w:rsidRPr="00036EE3" w:rsidRDefault="000C4484" w:rsidP="000C4484">
            <w:pPr>
              <w:spacing w:before="30" w:after="30"/>
              <w:ind w:left="57"/>
              <w:jc w:val="left"/>
              <w:rPr>
                <w:b/>
                <w:bCs/>
                <w:sz w:val="20"/>
                <w:lang w:val="en-US"/>
              </w:rPr>
            </w:pPr>
            <w:r w:rsidRPr="00036EE3">
              <w:rPr>
                <w:b/>
                <w:bCs/>
                <w:sz w:val="20"/>
                <w:lang w:val="en-US"/>
              </w:rPr>
              <w:t>BR</w:t>
            </w:r>
          </w:p>
        </w:tc>
        <w:tc>
          <w:tcPr>
            <w:tcW w:w="8220" w:type="dxa"/>
            <w:tcBorders>
              <w:top w:val="nil"/>
            </w:tcBorders>
          </w:tcPr>
          <w:p w:rsidR="000C4484" w:rsidRPr="00036EE3"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C4484" w:rsidRPr="00036EE3" w:rsidTr="000C4484">
        <w:tc>
          <w:tcPr>
            <w:tcW w:w="1140" w:type="dxa"/>
          </w:tcPr>
          <w:p w:rsidR="000C4484" w:rsidRPr="00036EE3" w:rsidRDefault="000C4484" w:rsidP="000C4484">
            <w:pPr>
              <w:spacing w:before="30" w:after="30"/>
              <w:ind w:left="57"/>
              <w:jc w:val="left"/>
              <w:rPr>
                <w:b/>
                <w:bCs/>
                <w:sz w:val="20"/>
                <w:lang w:val="en-US"/>
              </w:rPr>
            </w:pPr>
            <w:r w:rsidRPr="00036EE3">
              <w:rPr>
                <w:b/>
                <w:bCs/>
                <w:sz w:val="20"/>
                <w:lang w:val="en-US"/>
              </w:rPr>
              <w:t>BS</w:t>
            </w:r>
          </w:p>
        </w:tc>
        <w:tc>
          <w:tcPr>
            <w:tcW w:w="8220" w:type="dxa"/>
          </w:tcPr>
          <w:p w:rsidR="000C4484" w:rsidRPr="00036EE3"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C4484" w:rsidRPr="00ED2695" w:rsidTr="000C4484">
        <w:tc>
          <w:tcPr>
            <w:tcW w:w="1140" w:type="dxa"/>
            <w:shd w:val="clear" w:color="auto" w:fill="auto"/>
          </w:tcPr>
          <w:p w:rsidR="000C4484" w:rsidRPr="00ED2695" w:rsidRDefault="000C4484" w:rsidP="000C4484">
            <w:pPr>
              <w:spacing w:before="30" w:after="30"/>
              <w:ind w:left="57"/>
              <w:jc w:val="left"/>
              <w:rPr>
                <w:b/>
                <w:bCs/>
                <w:sz w:val="20"/>
                <w:lang w:val="en-US"/>
              </w:rPr>
            </w:pPr>
            <w:r w:rsidRPr="00ED2695">
              <w:rPr>
                <w:b/>
                <w:bCs/>
                <w:sz w:val="20"/>
                <w:lang w:val="en-US"/>
              </w:rPr>
              <w:t>BT</w:t>
            </w:r>
          </w:p>
        </w:tc>
        <w:tc>
          <w:tcPr>
            <w:tcW w:w="8220" w:type="dxa"/>
            <w:shd w:val="clear" w:color="auto" w:fill="auto"/>
          </w:tcPr>
          <w:p w:rsidR="000C4484" w:rsidRPr="00ED2695"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C4484" w:rsidRPr="00036EE3" w:rsidTr="000C4484">
        <w:tc>
          <w:tcPr>
            <w:tcW w:w="1140" w:type="dxa"/>
            <w:shd w:val="clear" w:color="auto" w:fill="auto"/>
          </w:tcPr>
          <w:p w:rsidR="000C4484" w:rsidRPr="00036EE3" w:rsidRDefault="000C4484" w:rsidP="000C4484">
            <w:pPr>
              <w:spacing w:before="30" w:after="30"/>
              <w:ind w:left="57"/>
              <w:jc w:val="left"/>
              <w:rPr>
                <w:b/>
                <w:bCs/>
                <w:sz w:val="20"/>
                <w:lang w:val="fr-CH"/>
              </w:rPr>
            </w:pPr>
            <w:r w:rsidRPr="00036EE3">
              <w:rPr>
                <w:b/>
                <w:bCs/>
                <w:sz w:val="20"/>
                <w:lang w:val="fr-CH"/>
              </w:rPr>
              <w:t>F</w:t>
            </w:r>
          </w:p>
        </w:tc>
        <w:tc>
          <w:tcPr>
            <w:tcW w:w="8220" w:type="dxa"/>
            <w:shd w:val="clear" w:color="auto" w:fill="auto"/>
          </w:tcPr>
          <w:p w:rsidR="000C4484" w:rsidRPr="00036EE3" w:rsidRDefault="000C4484" w:rsidP="000C44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0C4484" w:rsidRPr="00036EE3" w:rsidTr="000C4484">
        <w:tc>
          <w:tcPr>
            <w:tcW w:w="1140" w:type="dxa"/>
            <w:shd w:val="clear" w:color="auto" w:fill="auto"/>
          </w:tcPr>
          <w:p w:rsidR="000C4484" w:rsidRPr="00906589" w:rsidRDefault="000C4484" w:rsidP="000C4484">
            <w:pPr>
              <w:spacing w:before="30" w:after="30"/>
              <w:ind w:left="57"/>
              <w:jc w:val="left"/>
              <w:rPr>
                <w:b/>
                <w:bCs/>
                <w:sz w:val="20"/>
                <w:lang w:val="en-US"/>
              </w:rPr>
            </w:pPr>
            <w:r w:rsidRPr="00906589">
              <w:rPr>
                <w:b/>
                <w:bCs/>
                <w:sz w:val="20"/>
                <w:lang w:val="en-US"/>
              </w:rPr>
              <w:t>M</w:t>
            </w:r>
          </w:p>
        </w:tc>
        <w:tc>
          <w:tcPr>
            <w:tcW w:w="8220" w:type="dxa"/>
            <w:shd w:val="clear" w:color="auto" w:fill="auto"/>
          </w:tcPr>
          <w:p w:rsidR="000C4484" w:rsidRPr="00906589" w:rsidRDefault="000C4484" w:rsidP="000C44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0C4484" w:rsidRPr="00036EE3" w:rsidTr="000C4484">
        <w:tc>
          <w:tcPr>
            <w:tcW w:w="1140" w:type="dxa"/>
          </w:tcPr>
          <w:p w:rsidR="000C4484" w:rsidRPr="00036EE3" w:rsidRDefault="000C4484" w:rsidP="000C4484">
            <w:pPr>
              <w:spacing w:before="30" w:after="30"/>
              <w:ind w:left="57"/>
              <w:jc w:val="left"/>
              <w:rPr>
                <w:b/>
                <w:bCs/>
                <w:sz w:val="20"/>
                <w:lang w:val="fr-CH"/>
              </w:rPr>
            </w:pPr>
            <w:r w:rsidRPr="00036EE3">
              <w:rPr>
                <w:b/>
                <w:bCs/>
                <w:sz w:val="20"/>
                <w:lang w:val="fr-CH"/>
              </w:rPr>
              <w:t>P</w:t>
            </w:r>
          </w:p>
        </w:tc>
        <w:tc>
          <w:tcPr>
            <w:tcW w:w="8220" w:type="dxa"/>
          </w:tcPr>
          <w:p w:rsidR="000C4484" w:rsidRPr="00036EE3" w:rsidRDefault="000C4484" w:rsidP="000C4484">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0C4484" w:rsidRPr="00036EE3" w:rsidTr="000C4484">
        <w:tc>
          <w:tcPr>
            <w:tcW w:w="1140" w:type="dxa"/>
          </w:tcPr>
          <w:p w:rsidR="000C4484" w:rsidRPr="00036EE3" w:rsidRDefault="000C4484" w:rsidP="000C4484">
            <w:pPr>
              <w:spacing w:before="30" w:after="30"/>
              <w:ind w:left="57"/>
              <w:jc w:val="left"/>
              <w:rPr>
                <w:b/>
                <w:bCs/>
                <w:sz w:val="20"/>
                <w:lang w:val="en-US"/>
              </w:rPr>
            </w:pPr>
            <w:r w:rsidRPr="00036EE3">
              <w:rPr>
                <w:b/>
                <w:bCs/>
                <w:sz w:val="20"/>
                <w:lang w:val="en-US"/>
              </w:rPr>
              <w:t>RA</w:t>
            </w:r>
          </w:p>
        </w:tc>
        <w:tc>
          <w:tcPr>
            <w:tcW w:w="8220" w:type="dxa"/>
          </w:tcPr>
          <w:p w:rsidR="000C4484" w:rsidRPr="00036EE3" w:rsidRDefault="000C4484" w:rsidP="000C44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C4484" w:rsidRPr="00036EE3" w:rsidTr="000C4484">
        <w:tc>
          <w:tcPr>
            <w:tcW w:w="1140" w:type="dxa"/>
          </w:tcPr>
          <w:p w:rsidR="000C4484" w:rsidRPr="00036EE3" w:rsidRDefault="000C4484" w:rsidP="000C4484">
            <w:pPr>
              <w:spacing w:before="30" w:after="30"/>
              <w:ind w:left="57"/>
              <w:jc w:val="left"/>
              <w:rPr>
                <w:b/>
                <w:bCs/>
                <w:sz w:val="20"/>
                <w:lang w:val="en-US"/>
              </w:rPr>
            </w:pPr>
            <w:r w:rsidRPr="00036EE3">
              <w:rPr>
                <w:b/>
                <w:bCs/>
                <w:sz w:val="20"/>
                <w:lang w:val="en-US"/>
              </w:rPr>
              <w:t>RS</w:t>
            </w:r>
          </w:p>
        </w:tc>
        <w:tc>
          <w:tcPr>
            <w:tcW w:w="8220" w:type="dxa"/>
          </w:tcPr>
          <w:p w:rsidR="000C4484" w:rsidRPr="00036EE3" w:rsidRDefault="000C4484" w:rsidP="000C44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C4484" w:rsidRPr="00036EE3" w:rsidTr="000C4484">
        <w:tc>
          <w:tcPr>
            <w:tcW w:w="1140" w:type="dxa"/>
            <w:tcBorders>
              <w:bottom w:val="nil"/>
            </w:tcBorders>
          </w:tcPr>
          <w:p w:rsidR="000C4484" w:rsidRPr="00036EE3" w:rsidRDefault="000C4484" w:rsidP="000C4484">
            <w:pPr>
              <w:spacing w:before="30" w:after="30"/>
              <w:ind w:left="57"/>
              <w:jc w:val="left"/>
              <w:rPr>
                <w:b/>
                <w:bCs/>
                <w:sz w:val="20"/>
                <w:lang w:val="en-US"/>
              </w:rPr>
            </w:pPr>
            <w:r w:rsidRPr="00036EE3">
              <w:rPr>
                <w:b/>
                <w:bCs/>
                <w:sz w:val="20"/>
                <w:lang w:val="en-US"/>
              </w:rPr>
              <w:t>S</w:t>
            </w:r>
          </w:p>
        </w:tc>
        <w:tc>
          <w:tcPr>
            <w:tcW w:w="8220" w:type="dxa"/>
            <w:tcBorders>
              <w:bottom w:val="nil"/>
            </w:tcBorders>
          </w:tcPr>
          <w:p w:rsidR="000C4484" w:rsidRPr="00036EE3" w:rsidRDefault="000C4484" w:rsidP="000C4484">
            <w:pPr>
              <w:spacing w:before="30" w:after="30"/>
              <w:jc w:val="left"/>
              <w:rPr>
                <w:sz w:val="20"/>
                <w:lang w:val="en-US"/>
              </w:rPr>
            </w:pPr>
            <w:r w:rsidRPr="00036EE3">
              <w:rPr>
                <w:sz w:val="20"/>
                <w:lang w:val="en-US"/>
              </w:rPr>
              <w:t>Fixed-satellite service</w:t>
            </w:r>
          </w:p>
        </w:tc>
      </w:tr>
      <w:tr w:rsidR="000C4484" w:rsidRPr="00A84B4E" w:rsidTr="000C4484">
        <w:tc>
          <w:tcPr>
            <w:tcW w:w="1140" w:type="dxa"/>
            <w:tcBorders>
              <w:top w:val="nil"/>
              <w:bottom w:val="nil"/>
            </w:tcBorders>
            <w:shd w:val="clear" w:color="auto" w:fill="auto"/>
          </w:tcPr>
          <w:p w:rsidR="000C4484" w:rsidRPr="00A84B4E" w:rsidRDefault="000C4484" w:rsidP="000C4484">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0C4484" w:rsidRPr="00A84B4E" w:rsidRDefault="000C4484" w:rsidP="000C4484">
            <w:pPr>
              <w:spacing w:before="30" w:after="30"/>
              <w:jc w:val="left"/>
              <w:rPr>
                <w:sz w:val="20"/>
                <w:lang w:val="en-US"/>
              </w:rPr>
            </w:pPr>
            <w:r w:rsidRPr="00A84B4E">
              <w:rPr>
                <w:sz w:val="20"/>
                <w:lang w:val="en-US"/>
              </w:rPr>
              <w:t>Space applications and meteorology</w:t>
            </w:r>
          </w:p>
        </w:tc>
      </w:tr>
      <w:tr w:rsidR="000C4484" w:rsidRPr="008157E4" w:rsidTr="000C4484">
        <w:tc>
          <w:tcPr>
            <w:tcW w:w="1140" w:type="dxa"/>
            <w:tcBorders>
              <w:top w:val="nil"/>
              <w:bottom w:val="nil"/>
            </w:tcBorders>
            <w:shd w:val="clear" w:color="auto" w:fill="F3F3F3"/>
          </w:tcPr>
          <w:p w:rsidR="000C4484" w:rsidRPr="00A84B4E" w:rsidRDefault="000C4484" w:rsidP="000C4484">
            <w:pPr>
              <w:spacing w:before="30" w:after="30"/>
              <w:ind w:left="57"/>
              <w:jc w:val="left"/>
              <w:rPr>
                <w:b/>
                <w:bCs/>
                <w:color w:val="000080"/>
                <w:sz w:val="20"/>
                <w:lang w:val="en-US"/>
              </w:rPr>
            </w:pPr>
            <w:r w:rsidRPr="00A84B4E">
              <w:rPr>
                <w:b/>
                <w:bCs/>
                <w:color w:val="000080"/>
                <w:sz w:val="20"/>
                <w:lang w:val="en-US"/>
              </w:rPr>
              <w:t>SF</w:t>
            </w:r>
          </w:p>
        </w:tc>
        <w:tc>
          <w:tcPr>
            <w:tcW w:w="8220" w:type="dxa"/>
            <w:tcBorders>
              <w:top w:val="nil"/>
              <w:bottom w:val="nil"/>
            </w:tcBorders>
            <w:shd w:val="clear" w:color="auto" w:fill="F3F3F3"/>
          </w:tcPr>
          <w:p w:rsidR="000C4484" w:rsidRPr="00A84B4E" w:rsidRDefault="000C4484" w:rsidP="000C4484">
            <w:pPr>
              <w:spacing w:before="30" w:after="30"/>
              <w:jc w:val="left"/>
              <w:rPr>
                <w:b/>
                <w:bCs/>
                <w:color w:val="000080"/>
                <w:sz w:val="20"/>
                <w:lang w:val="en-US"/>
              </w:rPr>
            </w:pPr>
            <w:r w:rsidRPr="00A84B4E">
              <w:rPr>
                <w:b/>
                <w:bCs/>
                <w:color w:val="000080"/>
                <w:sz w:val="20"/>
                <w:lang w:val="en-US"/>
              </w:rPr>
              <w:t>Frequency sharing and coordination between fixed-satellite and fixed service systems</w:t>
            </w:r>
          </w:p>
        </w:tc>
      </w:tr>
      <w:tr w:rsidR="000C4484" w:rsidRPr="00036EE3" w:rsidTr="000C4484">
        <w:tc>
          <w:tcPr>
            <w:tcW w:w="1140" w:type="dxa"/>
            <w:tcBorders>
              <w:top w:val="nil"/>
              <w:bottom w:val="nil"/>
            </w:tcBorders>
            <w:shd w:val="clear" w:color="auto" w:fill="auto"/>
          </w:tcPr>
          <w:p w:rsidR="000C4484" w:rsidRPr="001B164E" w:rsidRDefault="000C4484" w:rsidP="000C4484">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0C4484" w:rsidRPr="001B164E" w:rsidRDefault="000C4484" w:rsidP="000C4484">
            <w:pPr>
              <w:spacing w:before="30" w:after="30"/>
              <w:jc w:val="left"/>
              <w:rPr>
                <w:rFonts w:hAnsi="Times New Roman Bold"/>
                <w:sz w:val="20"/>
                <w:lang w:val="en-US"/>
              </w:rPr>
            </w:pPr>
            <w:r w:rsidRPr="001B164E">
              <w:rPr>
                <w:rFonts w:hAnsi="Times New Roman Bold"/>
                <w:sz w:val="20"/>
                <w:lang w:val="en-US"/>
              </w:rPr>
              <w:t>Spectrum management</w:t>
            </w:r>
          </w:p>
        </w:tc>
      </w:tr>
      <w:tr w:rsidR="000C4484" w:rsidRPr="00036EE3" w:rsidTr="000C4484">
        <w:tc>
          <w:tcPr>
            <w:tcW w:w="1140" w:type="dxa"/>
            <w:tcBorders>
              <w:top w:val="nil"/>
            </w:tcBorders>
          </w:tcPr>
          <w:p w:rsidR="000C4484" w:rsidRPr="00036EE3" w:rsidRDefault="000C4484" w:rsidP="000C4484">
            <w:pPr>
              <w:spacing w:before="30" w:after="30"/>
              <w:ind w:left="57"/>
              <w:jc w:val="left"/>
              <w:rPr>
                <w:b/>
                <w:bCs/>
                <w:sz w:val="20"/>
                <w:lang w:val="en-US"/>
              </w:rPr>
            </w:pPr>
            <w:r w:rsidRPr="00036EE3">
              <w:rPr>
                <w:b/>
                <w:bCs/>
                <w:sz w:val="20"/>
                <w:lang w:val="en-US"/>
              </w:rPr>
              <w:t>SNG</w:t>
            </w:r>
          </w:p>
        </w:tc>
        <w:tc>
          <w:tcPr>
            <w:tcW w:w="8220" w:type="dxa"/>
            <w:tcBorders>
              <w:top w:val="nil"/>
            </w:tcBorders>
          </w:tcPr>
          <w:p w:rsidR="000C4484" w:rsidRPr="00036EE3" w:rsidRDefault="000C4484" w:rsidP="000C4484">
            <w:pPr>
              <w:spacing w:before="30" w:after="30"/>
              <w:jc w:val="left"/>
              <w:rPr>
                <w:sz w:val="20"/>
                <w:lang w:val="en-US"/>
              </w:rPr>
            </w:pPr>
            <w:r w:rsidRPr="00036EE3">
              <w:rPr>
                <w:sz w:val="20"/>
                <w:lang w:val="en-US"/>
              </w:rPr>
              <w:t>Satellite news gathering</w:t>
            </w:r>
          </w:p>
        </w:tc>
      </w:tr>
      <w:tr w:rsidR="000C4484" w:rsidRPr="008157E4" w:rsidTr="000C4484">
        <w:tc>
          <w:tcPr>
            <w:tcW w:w="1140" w:type="dxa"/>
          </w:tcPr>
          <w:p w:rsidR="000C4484" w:rsidRPr="00036EE3" w:rsidRDefault="000C4484" w:rsidP="000C4484">
            <w:pPr>
              <w:spacing w:before="30" w:after="30"/>
              <w:ind w:left="57"/>
              <w:jc w:val="left"/>
              <w:rPr>
                <w:b/>
                <w:bCs/>
                <w:sz w:val="20"/>
                <w:lang w:val="en-US"/>
              </w:rPr>
            </w:pPr>
            <w:r w:rsidRPr="00036EE3">
              <w:rPr>
                <w:b/>
                <w:bCs/>
                <w:sz w:val="20"/>
                <w:lang w:val="en-US"/>
              </w:rPr>
              <w:t>TF</w:t>
            </w:r>
          </w:p>
        </w:tc>
        <w:tc>
          <w:tcPr>
            <w:tcW w:w="8220" w:type="dxa"/>
          </w:tcPr>
          <w:p w:rsidR="000C4484" w:rsidRPr="00036EE3" w:rsidRDefault="000C4484" w:rsidP="000C4484">
            <w:pPr>
              <w:spacing w:before="30" w:after="30"/>
              <w:jc w:val="left"/>
              <w:rPr>
                <w:sz w:val="20"/>
                <w:lang w:val="en-US"/>
              </w:rPr>
            </w:pPr>
            <w:r w:rsidRPr="00036EE3">
              <w:rPr>
                <w:sz w:val="20"/>
                <w:lang w:val="en-US"/>
              </w:rPr>
              <w:t>Time signals and frequency standards emissions</w:t>
            </w:r>
          </w:p>
        </w:tc>
      </w:tr>
      <w:tr w:rsidR="000C4484" w:rsidRPr="00036EE3" w:rsidTr="000C4484">
        <w:tc>
          <w:tcPr>
            <w:tcW w:w="1140" w:type="dxa"/>
          </w:tcPr>
          <w:p w:rsidR="000C4484" w:rsidRPr="00036EE3" w:rsidRDefault="000C4484" w:rsidP="000C4484">
            <w:pPr>
              <w:spacing w:before="30" w:after="30"/>
              <w:ind w:left="57"/>
              <w:jc w:val="left"/>
              <w:rPr>
                <w:b/>
                <w:bCs/>
                <w:sz w:val="20"/>
                <w:lang w:val="en-US"/>
              </w:rPr>
            </w:pPr>
            <w:r w:rsidRPr="00036EE3">
              <w:rPr>
                <w:b/>
                <w:bCs/>
                <w:sz w:val="20"/>
                <w:lang w:val="en-US"/>
              </w:rPr>
              <w:t>V</w:t>
            </w:r>
          </w:p>
        </w:tc>
        <w:tc>
          <w:tcPr>
            <w:tcW w:w="8220" w:type="dxa"/>
          </w:tcPr>
          <w:p w:rsidR="000C4484" w:rsidRPr="00036EE3" w:rsidRDefault="000C4484" w:rsidP="000C4484">
            <w:pPr>
              <w:spacing w:before="30" w:after="180"/>
              <w:jc w:val="left"/>
              <w:rPr>
                <w:sz w:val="20"/>
                <w:lang w:val="en-US"/>
              </w:rPr>
            </w:pPr>
            <w:r w:rsidRPr="00036EE3">
              <w:rPr>
                <w:sz w:val="20"/>
                <w:lang w:val="en-US"/>
              </w:rPr>
              <w:t>Vocabulary and related subjects</w:t>
            </w:r>
          </w:p>
        </w:tc>
      </w:tr>
    </w:tbl>
    <w:p w:rsidR="000C4484" w:rsidRPr="00036EE3" w:rsidRDefault="000C4484" w:rsidP="000C448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C4484" w:rsidTr="000C4484">
        <w:tc>
          <w:tcPr>
            <w:tcW w:w="720" w:type="dxa"/>
          </w:tcPr>
          <w:p w:rsidR="000C4484" w:rsidRDefault="000C4484" w:rsidP="000C4484">
            <w:pPr>
              <w:jc w:val="center"/>
              <w:rPr>
                <w:sz w:val="22"/>
                <w:lang w:val="en-US"/>
              </w:rPr>
            </w:pPr>
          </w:p>
        </w:tc>
      </w:tr>
    </w:tbl>
    <w:p w:rsidR="000C4484" w:rsidRPr="00036EE3" w:rsidRDefault="000C4484" w:rsidP="000C448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C4484" w:rsidRPr="008157E4" w:rsidTr="000C4484">
        <w:tc>
          <w:tcPr>
            <w:tcW w:w="9360" w:type="dxa"/>
          </w:tcPr>
          <w:p w:rsidR="000C4484" w:rsidRPr="002F5199" w:rsidRDefault="000C4484" w:rsidP="000C448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C4484" w:rsidRDefault="000C4484" w:rsidP="000C4484">
      <w:pPr>
        <w:spacing w:before="0"/>
        <w:jc w:val="center"/>
        <w:rPr>
          <w:sz w:val="22"/>
          <w:lang w:val="en-US"/>
        </w:rPr>
      </w:pPr>
    </w:p>
    <w:p w:rsidR="000C4484" w:rsidRDefault="000C4484" w:rsidP="000C4484">
      <w:pPr>
        <w:spacing w:before="0"/>
        <w:jc w:val="center"/>
        <w:rPr>
          <w:sz w:val="22"/>
          <w:lang w:val="en-US"/>
        </w:rPr>
      </w:pPr>
    </w:p>
    <w:p w:rsidR="000C4484" w:rsidRPr="002F5199" w:rsidRDefault="000C4484" w:rsidP="000C4484">
      <w:pPr>
        <w:spacing w:before="0"/>
        <w:jc w:val="right"/>
        <w:rPr>
          <w:i/>
          <w:iCs/>
          <w:sz w:val="20"/>
          <w:lang w:val="en-US"/>
        </w:rPr>
      </w:pPr>
      <w:r w:rsidRPr="002F5199">
        <w:rPr>
          <w:i/>
          <w:iCs/>
          <w:sz w:val="20"/>
          <w:lang w:val="en-US"/>
        </w:rPr>
        <w:t>Electronic Publication</w:t>
      </w:r>
    </w:p>
    <w:p w:rsidR="000C4484" w:rsidRPr="002F5199" w:rsidRDefault="000C4484" w:rsidP="000C4484">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0C4484" w:rsidRDefault="000C4484" w:rsidP="000C4484">
      <w:pPr>
        <w:jc w:val="center"/>
        <w:rPr>
          <w:sz w:val="22"/>
          <w:lang w:val="en-US"/>
        </w:rPr>
      </w:pPr>
    </w:p>
    <w:p w:rsidR="000C4484" w:rsidRPr="00470E28" w:rsidRDefault="000C4484" w:rsidP="000C448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0C4484" w:rsidRPr="00470E28" w:rsidRDefault="000C4484" w:rsidP="000C448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C4484" w:rsidRDefault="000C4484" w:rsidP="000C4484">
      <w:pPr>
        <w:spacing w:before="160"/>
        <w:rPr>
          <w:i/>
          <w:sz w:val="20"/>
          <w:lang w:val="en-US"/>
        </w:rPr>
        <w:sectPr w:rsidR="000C4484" w:rsidSect="000C448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B6B63" w:rsidRPr="008157E4" w:rsidRDefault="001B6B63">
      <w:pPr>
        <w:pStyle w:val="RecNo"/>
        <w:spacing w:before="0"/>
        <w:rPr>
          <w:lang w:val="en-US"/>
        </w:rPr>
      </w:pPr>
      <w:bookmarkStart w:id="2" w:name="irecnoe"/>
      <w:bookmarkEnd w:id="2"/>
      <w:r w:rsidRPr="008157E4">
        <w:rPr>
          <w:lang w:val="en-US"/>
        </w:rPr>
        <w:lastRenderedPageBreak/>
        <w:t xml:space="preserve">RECOMMENDATION  </w:t>
      </w:r>
      <w:r w:rsidRPr="008157E4">
        <w:rPr>
          <w:rStyle w:val="href"/>
          <w:lang w:val="en-US"/>
        </w:rPr>
        <w:t>ITU-R  SF.1602</w:t>
      </w:r>
      <w:r w:rsidR="00FC5013" w:rsidRPr="00FC5013">
        <w:rPr>
          <w:rStyle w:val="FootnoteReference"/>
        </w:rPr>
        <w:footnoteReference w:customMarkFollows="1" w:id="1"/>
        <w:sym w:font="Symbol" w:char="F02A"/>
      </w:r>
    </w:p>
    <w:p w:rsidR="001B6B63" w:rsidRDefault="001B6B63">
      <w:pPr>
        <w:pStyle w:val="Rectitle"/>
        <w:rPr>
          <w:lang w:val="en-US"/>
        </w:rPr>
      </w:pPr>
      <w:r>
        <w:rPr>
          <w:lang w:val="en-US"/>
        </w:rPr>
        <w:t>Methodology for determining power flux-density statistics for use</w:t>
      </w:r>
      <w:r>
        <w:rPr>
          <w:lang w:val="en-US"/>
        </w:rPr>
        <w:br/>
        <w:t xml:space="preserve">in sharing studies between fixed wireless systems </w:t>
      </w:r>
      <w:r>
        <w:rPr>
          <w:lang w:val="en-US"/>
        </w:rPr>
        <w:br/>
        <w:t>and multiple fixed-satellite service satellites</w:t>
      </w:r>
    </w:p>
    <w:p w:rsidR="001B6B63" w:rsidRPr="00822103" w:rsidRDefault="001B6B63" w:rsidP="00822103">
      <w:pPr>
        <w:pStyle w:val="Recdate"/>
        <w:rPr>
          <w:lang w:val="en-US"/>
        </w:rPr>
      </w:pPr>
      <w:r w:rsidRPr="00822103">
        <w:rPr>
          <w:lang w:val="en-US"/>
        </w:rPr>
        <w:t>(200</w:t>
      </w:r>
      <w:r w:rsidR="00822103">
        <w:rPr>
          <w:lang w:val="en-US"/>
        </w:rPr>
        <w:t>3</w:t>
      </w:r>
      <w:r w:rsidRPr="00822103">
        <w:rPr>
          <w:lang w:val="en-US"/>
        </w:rPr>
        <w:t>)</w:t>
      </w:r>
    </w:p>
    <w:p w:rsidR="002E1076" w:rsidRPr="00822103" w:rsidRDefault="002E1076" w:rsidP="002E1076">
      <w:pPr>
        <w:pStyle w:val="Headingb"/>
        <w:rPr>
          <w:lang w:val="en-US" w:eastAsia="ja-JP"/>
        </w:rPr>
      </w:pPr>
      <w:r w:rsidRPr="00822103">
        <w:rPr>
          <w:rFonts w:ascii="Times" w:hAnsi="Times"/>
          <w:lang w:val="en-US"/>
        </w:rPr>
        <w:t>Scope</w:t>
      </w:r>
    </w:p>
    <w:p w:rsidR="002E1076" w:rsidRPr="00822103" w:rsidRDefault="002E1076" w:rsidP="002E1076">
      <w:pPr>
        <w:rPr>
          <w:sz w:val="22"/>
          <w:szCs w:val="22"/>
          <w:lang w:val="en-US"/>
        </w:rPr>
      </w:pPr>
      <w:r w:rsidRPr="00822103">
        <w:rPr>
          <w:sz w:val="22"/>
          <w:szCs w:val="22"/>
          <w:lang w:val="en-GB"/>
        </w:rPr>
        <w:t xml:space="preserve">At some elevation angles on the surface of the </w:t>
      </w:r>
      <w:r w:rsidRPr="00822103">
        <w:rPr>
          <w:sz w:val="22"/>
          <w:szCs w:val="22"/>
          <w:lang w:val="en-US"/>
        </w:rPr>
        <w:t>E</w:t>
      </w:r>
      <w:proofErr w:type="spellStart"/>
      <w:r w:rsidRPr="00822103">
        <w:rPr>
          <w:sz w:val="22"/>
          <w:szCs w:val="22"/>
          <w:lang w:val="en-GB"/>
        </w:rPr>
        <w:t>arth</w:t>
      </w:r>
      <w:proofErr w:type="spellEnd"/>
      <w:r w:rsidRPr="00822103">
        <w:rPr>
          <w:sz w:val="22"/>
          <w:szCs w:val="22"/>
          <w:lang w:val="en-GB"/>
        </w:rPr>
        <w:t xml:space="preserve">, the power flux-density produced by a satellite may be smaller than the limiting values required by conformance to a given </w:t>
      </w:r>
      <w:proofErr w:type="spellStart"/>
      <w:r w:rsidRPr="00822103">
        <w:rPr>
          <w:sz w:val="22"/>
          <w:szCs w:val="22"/>
          <w:lang w:val="en-GB"/>
        </w:rPr>
        <w:t>pfd</w:t>
      </w:r>
      <w:proofErr w:type="spellEnd"/>
      <w:r w:rsidRPr="00822103">
        <w:rPr>
          <w:sz w:val="22"/>
          <w:szCs w:val="22"/>
          <w:lang w:val="en-GB"/>
        </w:rPr>
        <w:t xml:space="preserve"> mask because of the limitations of real antenna gain patterns and the need to avoid </w:t>
      </w:r>
      <w:proofErr w:type="spellStart"/>
      <w:r w:rsidRPr="00822103">
        <w:rPr>
          <w:sz w:val="22"/>
          <w:szCs w:val="22"/>
          <w:lang w:val="en-GB"/>
        </w:rPr>
        <w:t>self interference</w:t>
      </w:r>
      <w:proofErr w:type="spellEnd"/>
      <w:r w:rsidRPr="00822103">
        <w:rPr>
          <w:sz w:val="22"/>
          <w:szCs w:val="22"/>
          <w:lang w:val="en-GB"/>
        </w:rPr>
        <w:t xml:space="preserve">. This Recommendation provides a methodology for determining the statistics of the power flux-density produced at the surface of the </w:t>
      </w:r>
      <w:r w:rsidRPr="00822103">
        <w:rPr>
          <w:sz w:val="22"/>
          <w:szCs w:val="22"/>
          <w:lang w:val="en-US"/>
        </w:rPr>
        <w:t>E</w:t>
      </w:r>
      <w:proofErr w:type="spellStart"/>
      <w:r w:rsidRPr="00822103">
        <w:rPr>
          <w:sz w:val="22"/>
          <w:szCs w:val="22"/>
          <w:lang w:val="en-GB"/>
        </w:rPr>
        <w:t>arth</w:t>
      </w:r>
      <w:proofErr w:type="spellEnd"/>
      <w:r w:rsidRPr="00822103">
        <w:rPr>
          <w:sz w:val="22"/>
          <w:szCs w:val="22"/>
          <w:lang w:val="en-GB"/>
        </w:rPr>
        <w:t xml:space="preserve"> by satellites in GSO or non-GSO orbits.</w:t>
      </w:r>
    </w:p>
    <w:p w:rsidR="001B6B63" w:rsidRPr="00822103" w:rsidRDefault="001B6B63">
      <w:pPr>
        <w:pStyle w:val="Normalaftertitle"/>
        <w:rPr>
          <w:lang w:val="en-US"/>
        </w:rPr>
      </w:pPr>
    </w:p>
    <w:p w:rsidR="001B6B63" w:rsidRPr="0038062D" w:rsidRDefault="001B6B63">
      <w:pPr>
        <w:pStyle w:val="Normalaftertitle"/>
        <w:rPr>
          <w:lang w:val="en-US"/>
        </w:rPr>
      </w:pPr>
      <w:r w:rsidRPr="0038062D">
        <w:rPr>
          <w:lang w:val="en-US"/>
        </w:rPr>
        <w:t xml:space="preserve">The ITU </w:t>
      </w:r>
      <w:proofErr w:type="spellStart"/>
      <w:r w:rsidRPr="0038062D">
        <w:rPr>
          <w:lang w:val="en-US"/>
        </w:rPr>
        <w:t>Radiocommunication</w:t>
      </w:r>
      <w:proofErr w:type="spellEnd"/>
      <w:r w:rsidRPr="0038062D">
        <w:rPr>
          <w:lang w:val="en-US"/>
        </w:rPr>
        <w:t xml:space="preserve"> Assembly,</w:t>
      </w:r>
    </w:p>
    <w:p w:rsidR="001B6B63" w:rsidRPr="0038062D" w:rsidRDefault="001B6B63">
      <w:pPr>
        <w:pStyle w:val="Call"/>
        <w:rPr>
          <w:lang w:val="en-US"/>
        </w:rPr>
      </w:pPr>
      <w:r w:rsidRPr="0038062D">
        <w:rPr>
          <w:lang w:val="en-US"/>
        </w:rPr>
        <w:t>considering</w:t>
      </w:r>
    </w:p>
    <w:p w:rsidR="001B6B63" w:rsidRDefault="001B6B63">
      <w:pPr>
        <w:spacing w:before="100"/>
        <w:rPr>
          <w:lang w:val="en-US"/>
        </w:rPr>
      </w:pPr>
      <w:r>
        <w:rPr>
          <w:lang w:val="en-US"/>
        </w:rPr>
        <w:t>a)</w:t>
      </w:r>
      <w:r>
        <w:rPr>
          <w:lang w:val="en-US"/>
        </w:rPr>
        <w:tab/>
        <w:t>that it is necessary to ensure that emissions from satellites do not exceed permissible interference to fixed wireless systems (FWS) in the bands shared between FS and FSS;</w:t>
      </w:r>
    </w:p>
    <w:p w:rsidR="001B6B63" w:rsidRDefault="001B6B63">
      <w:pPr>
        <w:spacing w:before="100"/>
        <w:rPr>
          <w:lang w:val="en-US"/>
        </w:rPr>
      </w:pPr>
      <w:r>
        <w:rPr>
          <w:lang w:val="en-US"/>
        </w:rPr>
        <w:t>b)</w:t>
      </w:r>
      <w:r>
        <w:rPr>
          <w:lang w:val="en-US"/>
        </w:rPr>
        <w:tab/>
        <w:t>that FWS can be adequately protected from the aggregate emissions from multiple satellites (non-GSO constellations or fully populated GSO arc) by placing suitable limits on the power flux-density (</w:t>
      </w:r>
      <w:proofErr w:type="spellStart"/>
      <w:r>
        <w:rPr>
          <w:lang w:val="en-US"/>
        </w:rPr>
        <w:t>pfd</w:t>
      </w:r>
      <w:proofErr w:type="spellEnd"/>
      <w:r>
        <w:rPr>
          <w:lang w:val="en-US"/>
        </w:rPr>
        <w:t>) in a reference bandwidth produced by individual satellites at the surface of the Earth;</w:t>
      </w:r>
    </w:p>
    <w:p w:rsidR="001B6B63" w:rsidRDefault="001B6B63">
      <w:pPr>
        <w:spacing w:before="100"/>
        <w:rPr>
          <w:lang w:val="en-US"/>
        </w:rPr>
      </w:pPr>
      <w:r>
        <w:rPr>
          <w:lang w:val="en-US"/>
        </w:rPr>
        <w:t>c)</w:t>
      </w:r>
      <w:r>
        <w:rPr>
          <w:lang w:val="en-US"/>
        </w:rPr>
        <w:tab/>
        <w:t xml:space="preserve">that any limitations of the </w:t>
      </w:r>
      <w:proofErr w:type="spellStart"/>
      <w:r>
        <w:rPr>
          <w:lang w:val="en-US"/>
        </w:rPr>
        <w:t>pfd</w:t>
      </w:r>
      <w:proofErr w:type="spellEnd"/>
      <w:r>
        <w:rPr>
          <w:lang w:val="en-US"/>
        </w:rPr>
        <w:t xml:space="preserve"> produced at the surface of the Earth should not place undue restrictions on the design of GSO and non-GSO FSS;</w:t>
      </w:r>
    </w:p>
    <w:p w:rsidR="001B6B63" w:rsidRDefault="001B6B63">
      <w:pPr>
        <w:spacing w:before="100"/>
        <w:rPr>
          <w:lang w:val="en-US"/>
        </w:rPr>
      </w:pPr>
      <w:r>
        <w:rPr>
          <w:lang w:val="en-US"/>
        </w:rPr>
        <w:t>d)</w:t>
      </w:r>
      <w:r>
        <w:rPr>
          <w:lang w:val="en-US"/>
        </w:rPr>
        <w:tab/>
        <w:t xml:space="preserve">that Recommendations ITU-R SF.1482 and ITU-R SF.1483 provide maximum allowable values of </w:t>
      </w:r>
      <w:proofErr w:type="spellStart"/>
      <w:r>
        <w:rPr>
          <w:lang w:val="en-US"/>
        </w:rPr>
        <w:t>pfd</w:t>
      </w:r>
      <w:proofErr w:type="spellEnd"/>
      <w:r>
        <w:rPr>
          <w:lang w:val="en-US"/>
        </w:rPr>
        <w:t xml:space="preserve"> at the surface of the Earth produced by non-GSO satellites in the FSS to protect the FS in, respectively, the 10.7-12.75 GHz and the 17.7-19.3 GHz bands;</w:t>
      </w:r>
    </w:p>
    <w:p w:rsidR="001B6B63" w:rsidRDefault="001B6B63">
      <w:pPr>
        <w:spacing w:before="100"/>
        <w:rPr>
          <w:lang w:val="en-US"/>
        </w:rPr>
      </w:pPr>
      <w:r>
        <w:rPr>
          <w:lang w:val="en-US"/>
        </w:rPr>
        <w:t>e)</w:t>
      </w:r>
      <w:r>
        <w:rPr>
          <w:lang w:val="en-US"/>
        </w:rPr>
        <w:tab/>
        <w:t xml:space="preserve">that the </w:t>
      </w:r>
      <w:proofErr w:type="spellStart"/>
      <w:r>
        <w:rPr>
          <w:lang w:val="en-US"/>
        </w:rPr>
        <w:t>pfd</w:t>
      </w:r>
      <w:proofErr w:type="spellEnd"/>
      <w:r>
        <w:rPr>
          <w:lang w:val="en-US"/>
        </w:rPr>
        <w:t xml:space="preserve"> levels specified in the Recommendations mentioned in </w:t>
      </w:r>
      <w:r>
        <w:rPr>
          <w:i/>
          <w:iCs/>
          <w:lang w:val="en-US"/>
        </w:rPr>
        <w:t>considering</w:t>
      </w:r>
      <w:r>
        <w:rPr>
          <w:lang w:val="en-US"/>
        </w:rPr>
        <w:t xml:space="preserve"> d) were developed from a </w:t>
      </w:r>
      <w:proofErr w:type="spellStart"/>
      <w:r>
        <w:rPr>
          <w:lang w:val="en-US"/>
        </w:rPr>
        <w:t>pfd</w:t>
      </w:r>
      <w:proofErr w:type="spellEnd"/>
      <w:r>
        <w:rPr>
          <w:lang w:val="en-US"/>
        </w:rPr>
        <w:t xml:space="preserve"> mask analysis used to calculate the statistics of aggregate power levels received at an FS station by applying </w:t>
      </w:r>
      <w:proofErr w:type="spellStart"/>
      <w:r>
        <w:rPr>
          <w:lang w:val="en-US"/>
        </w:rPr>
        <w:t>pfd</w:t>
      </w:r>
      <w:proofErr w:type="spellEnd"/>
      <w:r>
        <w:rPr>
          <w:lang w:val="en-US"/>
        </w:rPr>
        <w:t xml:space="preserve"> levels under consideration to each visible satellite of the non-GSO FSS constellation;</w:t>
      </w:r>
    </w:p>
    <w:p w:rsidR="001B6B63" w:rsidRDefault="001B6B63">
      <w:pPr>
        <w:spacing w:before="100"/>
        <w:rPr>
          <w:lang w:val="en-US"/>
        </w:rPr>
      </w:pPr>
      <w:r>
        <w:rPr>
          <w:lang w:val="en-US"/>
        </w:rPr>
        <w:t>f)</w:t>
      </w:r>
      <w:r>
        <w:rPr>
          <w:lang w:val="en-US"/>
        </w:rPr>
        <w:tab/>
        <w:t xml:space="preserve">that, when considering a multi-satellite environment, such as non-GSO constellation or fully populated GSO arc, all the visible satellites may not simultaneously radiate the maximum </w:t>
      </w:r>
      <w:proofErr w:type="spellStart"/>
      <w:r>
        <w:rPr>
          <w:lang w:val="en-US"/>
        </w:rPr>
        <w:t>pfd</w:t>
      </w:r>
      <w:proofErr w:type="spellEnd"/>
      <w:r>
        <w:rPr>
          <w:lang w:val="en-US"/>
        </w:rPr>
        <w:t xml:space="preserve"> limit in the direction of the FS system under consideration,</w:t>
      </w:r>
    </w:p>
    <w:p w:rsidR="001B6B63" w:rsidRDefault="001B6B63">
      <w:pPr>
        <w:rPr>
          <w:lang w:val="en-US"/>
        </w:rPr>
      </w:pPr>
    </w:p>
    <w:p w:rsidR="001B6B63" w:rsidRDefault="001B6B63">
      <w:pPr>
        <w:pStyle w:val="Call"/>
        <w:rPr>
          <w:lang w:val="en-US"/>
        </w:rPr>
      </w:pPr>
      <w:r>
        <w:rPr>
          <w:lang w:val="en-US"/>
        </w:rPr>
        <w:t>recommends</w:t>
      </w:r>
    </w:p>
    <w:p w:rsidR="001B6B63" w:rsidRDefault="001B6B63">
      <w:pPr>
        <w:rPr>
          <w:lang w:val="en-US" w:eastAsia="fr-FR"/>
        </w:rPr>
      </w:pPr>
      <w:r>
        <w:rPr>
          <w:b/>
          <w:bCs/>
          <w:lang w:val="en-US" w:eastAsia="fr-FR"/>
        </w:rPr>
        <w:t>1</w:t>
      </w:r>
      <w:r>
        <w:rPr>
          <w:lang w:val="en-US" w:eastAsia="fr-FR"/>
        </w:rPr>
        <w:tab/>
        <w:t>that the m</w:t>
      </w:r>
      <w:r>
        <w:rPr>
          <w:lang w:val="en-US"/>
        </w:rPr>
        <w:t xml:space="preserve">ethodology described in Annex 1 may be used for determining </w:t>
      </w:r>
      <w:proofErr w:type="spellStart"/>
      <w:r>
        <w:rPr>
          <w:lang w:val="en-US"/>
        </w:rPr>
        <w:t>pfd</w:t>
      </w:r>
      <w:proofErr w:type="spellEnd"/>
      <w:r>
        <w:rPr>
          <w:lang w:val="en-US"/>
        </w:rPr>
        <w:t xml:space="preserve"> statistics for use in sharing studies between FWS and multiple FSS satellites, </w:t>
      </w:r>
      <w:r>
        <w:rPr>
          <w:lang w:val="en-US" w:eastAsia="fr-FR"/>
        </w:rPr>
        <w:t>taking into account satellite systems characteristics.</w:t>
      </w:r>
    </w:p>
    <w:p w:rsidR="001B6B63" w:rsidRPr="005F3AFC" w:rsidRDefault="005F3AFC" w:rsidP="005F3AFC">
      <w:pPr>
        <w:pStyle w:val="AnnexNoTitle"/>
        <w:rPr>
          <w:lang w:val="en-US"/>
        </w:rPr>
      </w:pPr>
      <w:r>
        <w:rPr>
          <w:lang w:val="en-US" w:eastAsia="fr-FR"/>
        </w:rPr>
        <w:br w:type="page"/>
      </w:r>
      <w:r w:rsidR="001B6B63" w:rsidRPr="005F3AFC">
        <w:rPr>
          <w:lang w:val="en-US"/>
        </w:rPr>
        <w:lastRenderedPageBreak/>
        <w:t>Annex  1</w:t>
      </w:r>
    </w:p>
    <w:p w:rsidR="005F3AFC" w:rsidRDefault="00AB3174" w:rsidP="005F3AFC">
      <w:pPr>
        <w:pStyle w:val="AnnexNoTitle"/>
        <w:rPr>
          <w:lang w:val="en-US"/>
        </w:rPr>
      </w:pPr>
      <w:r w:rsidRPr="00822103">
        <w:rPr>
          <w:lang w:val="en-US" w:eastAsia="ja-JP"/>
        </w:rPr>
        <w:t>M</w:t>
      </w:r>
      <w:r w:rsidRPr="00822103">
        <w:rPr>
          <w:lang w:val="en-US"/>
        </w:rPr>
        <w:t xml:space="preserve">ethodology for determining </w:t>
      </w:r>
      <w:proofErr w:type="spellStart"/>
      <w:r w:rsidRPr="00822103">
        <w:rPr>
          <w:lang w:val="en-US"/>
        </w:rPr>
        <w:t>pfd</w:t>
      </w:r>
      <w:proofErr w:type="spellEnd"/>
      <w:r w:rsidRPr="00822103">
        <w:rPr>
          <w:lang w:val="en-US"/>
        </w:rPr>
        <w:t xml:space="preserve"> statistics for use in sharing studies between </w:t>
      </w:r>
      <w:r w:rsidRPr="00822103">
        <w:rPr>
          <w:lang w:val="en-US" w:eastAsia="ja-JP"/>
        </w:rPr>
        <w:t>fixed wireless systems</w:t>
      </w:r>
      <w:r w:rsidRPr="00822103">
        <w:rPr>
          <w:lang w:val="en-US"/>
        </w:rPr>
        <w:t xml:space="preserve"> and multiple FSS satellites</w:t>
      </w:r>
    </w:p>
    <w:p w:rsidR="001B6B63" w:rsidRDefault="001B6B63" w:rsidP="005F3AFC">
      <w:pPr>
        <w:pStyle w:val="Heading1"/>
        <w:rPr>
          <w:lang w:val="en-US"/>
        </w:rPr>
      </w:pPr>
      <w:r>
        <w:rPr>
          <w:lang w:val="en-US"/>
        </w:rPr>
        <w:t>1</w:t>
      </w:r>
      <w:r>
        <w:rPr>
          <w:lang w:val="en-US"/>
        </w:rPr>
        <w:tab/>
        <w:t>Introduction</w:t>
      </w:r>
    </w:p>
    <w:p w:rsidR="001B6B63" w:rsidRDefault="001B6B63">
      <w:pPr>
        <w:rPr>
          <w:lang w:val="en-US"/>
        </w:rPr>
      </w:pPr>
      <w:r>
        <w:rPr>
          <w:lang w:val="en-US"/>
        </w:rPr>
        <w:t>This Annex presents statistical methodology concerning the impact of non-GSO and GSO satellites on FWS. It takes into account realistic satellite characteristics and is intended for use as guidance in sharing analysis between FS and satellite services.</w:t>
      </w:r>
    </w:p>
    <w:p w:rsidR="001B6B63" w:rsidRDefault="001B6B63">
      <w:pPr>
        <w:rPr>
          <w:lang w:val="en-US"/>
        </w:rPr>
      </w:pPr>
      <w:r>
        <w:rPr>
          <w:lang w:val="en-US"/>
        </w:rPr>
        <w:t xml:space="preserve">It should also be noted that Recommendations ITU-R SF.1482 and ITU-R SF.1483 dealing with maximum allowable values of </w:t>
      </w:r>
      <w:proofErr w:type="spellStart"/>
      <w:r>
        <w:rPr>
          <w:lang w:val="en-US"/>
        </w:rPr>
        <w:t>pfd</w:t>
      </w:r>
      <w:proofErr w:type="spellEnd"/>
      <w:r>
        <w:rPr>
          <w:lang w:val="en-US"/>
        </w:rPr>
        <w:t xml:space="preserve"> at the surface of the Earth produced by non-GSO satellites in the FSS to protect the FS provides general background to this methodology.</w:t>
      </w:r>
    </w:p>
    <w:p w:rsidR="001B6B63" w:rsidRDefault="001B6B63">
      <w:pPr>
        <w:pStyle w:val="Heading1"/>
        <w:spacing w:before="260"/>
        <w:rPr>
          <w:lang w:val="en-US"/>
        </w:rPr>
      </w:pPr>
      <w:r>
        <w:rPr>
          <w:lang w:val="en-US"/>
        </w:rPr>
        <w:t>2</w:t>
      </w:r>
      <w:r>
        <w:rPr>
          <w:lang w:val="en-US"/>
        </w:rPr>
        <w:tab/>
        <w:t xml:space="preserve">Description of the </w:t>
      </w:r>
      <w:proofErr w:type="spellStart"/>
      <w:r>
        <w:rPr>
          <w:lang w:val="en-US"/>
        </w:rPr>
        <w:t>pfd</w:t>
      </w:r>
      <w:proofErr w:type="spellEnd"/>
      <w:r>
        <w:rPr>
          <w:lang w:val="en-US"/>
        </w:rPr>
        <w:t xml:space="preserve"> mask analysis</w:t>
      </w:r>
    </w:p>
    <w:p w:rsidR="001B6B63" w:rsidRDefault="001B6B63">
      <w:pPr>
        <w:rPr>
          <w:lang w:val="en-US"/>
        </w:rPr>
      </w:pPr>
      <w:r>
        <w:rPr>
          <w:lang w:val="en-US"/>
        </w:rPr>
        <w:t xml:space="preserve">The existing methodology for evaluating the </w:t>
      </w:r>
      <w:proofErr w:type="spellStart"/>
      <w:r>
        <w:rPr>
          <w:lang w:val="en-US"/>
        </w:rPr>
        <w:t>pfd</w:t>
      </w:r>
      <w:proofErr w:type="spellEnd"/>
      <w:r>
        <w:rPr>
          <w:lang w:val="en-US"/>
        </w:rPr>
        <w:t xml:space="preserve"> mask used either for GSO or non-GSO satellite systems, such as in the above-mentioned Recommendations ITU-R SF.1482 and ITU-R SF.1483, aggregates the interference from all visible satellites to the FS using a regulatory </w:t>
      </w:r>
      <w:proofErr w:type="spellStart"/>
      <w:r>
        <w:rPr>
          <w:lang w:val="en-US"/>
        </w:rPr>
        <w:t>pfd</w:t>
      </w:r>
      <w:proofErr w:type="spellEnd"/>
      <w:r>
        <w:rPr>
          <w:lang w:val="en-US"/>
        </w:rPr>
        <w:t xml:space="preserve"> mask such as defined in Article 21 of the Radio Regulations.</w:t>
      </w:r>
    </w:p>
    <w:p w:rsidR="001B6B63" w:rsidRDefault="001B6B63">
      <w:pPr>
        <w:rPr>
          <w:lang w:val="en-US"/>
        </w:rPr>
      </w:pPr>
      <w:r>
        <w:rPr>
          <w:lang w:val="en-US"/>
        </w:rPr>
        <w:t>In a typical application of this methodology for the case of GSO satellites, the geostationary arc is filled with a given number of satellites (e.g. 1 every 4°) which produces permanent interference. Representative results produced by the application of this methodology are shown on Fig. 1 for all the FS azimuths.</w:t>
      </w:r>
    </w:p>
    <w:p w:rsidR="001B6B63" w:rsidRDefault="00FB4263">
      <w:pPr>
        <w:pStyle w:val="FigureNo"/>
      </w:pPr>
      <w:r>
        <w:rPr>
          <w:noProof/>
          <w:lang w:val="en-US" w:eastAsia="zh-CN"/>
        </w:rPr>
        <w:drawing>
          <wp:inline distT="0" distB="0" distL="0" distR="0">
            <wp:extent cx="4330700" cy="2838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0" cy="2838450"/>
                    </a:xfrm>
                    <a:prstGeom prst="rect">
                      <a:avLst/>
                    </a:prstGeom>
                    <a:noFill/>
                    <a:ln>
                      <a:noFill/>
                    </a:ln>
                  </pic:spPr>
                </pic:pic>
              </a:graphicData>
            </a:graphic>
          </wp:inline>
        </w:drawing>
      </w:r>
    </w:p>
    <w:p w:rsidR="008459BF" w:rsidRDefault="008459BF">
      <w:pPr>
        <w:rPr>
          <w:lang w:val="en-US"/>
        </w:rPr>
      </w:pPr>
      <w:r>
        <w:rPr>
          <w:lang w:val="en-US"/>
        </w:rPr>
        <w:br w:type="page"/>
      </w:r>
    </w:p>
    <w:p w:rsidR="001B6B63" w:rsidRDefault="001B6B63" w:rsidP="008459BF">
      <w:pPr>
        <w:rPr>
          <w:lang w:val="en-US"/>
        </w:rPr>
      </w:pPr>
      <w:r>
        <w:rPr>
          <w:lang w:val="en-US"/>
        </w:rPr>
        <w:lastRenderedPageBreak/>
        <w:t xml:space="preserve">For the case of non-GSO systems, and on the basis of the characteristics of each single constellation (number of satellites, number of planes, inclination(s), altitude, ...), the statistics of the theoretical aggregate power levels received at an FS station are calculated by applying </w:t>
      </w:r>
      <w:proofErr w:type="spellStart"/>
      <w:r>
        <w:rPr>
          <w:lang w:val="en-US"/>
        </w:rPr>
        <w:t>pfd</w:t>
      </w:r>
      <w:proofErr w:type="spellEnd"/>
      <w:r>
        <w:rPr>
          <w:lang w:val="en-US"/>
        </w:rPr>
        <w:t xml:space="preserve"> limits under consideration to each visible satellite of the non</w:t>
      </w:r>
      <w:r>
        <w:rPr>
          <w:lang w:val="en-US"/>
        </w:rPr>
        <w:noBreakHyphen/>
        <w:t>GSO FSS constellation (see Recommendation ITU</w:t>
      </w:r>
      <w:r>
        <w:rPr>
          <w:lang w:val="en-US"/>
        </w:rPr>
        <w:noBreakHyphen/>
        <w:t>R F.1108). In a typical application of this methodology, the interference distribution is calculated for the FS azimuth (and for a single elevation angle) that represents the constellation worst-case, which results in distribution of interference level versus percentage of time such as given in Fig. 2.</w:t>
      </w:r>
    </w:p>
    <w:p w:rsidR="001B6B63" w:rsidRDefault="00FB4263">
      <w:pPr>
        <w:pStyle w:val="FigureNo"/>
      </w:pPr>
      <w:r>
        <w:rPr>
          <w:noProof/>
          <w:lang w:val="en-US" w:eastAsia="zh-CN"/>
        </w:rPr>
        <w:drawing>
          <wp:inline distT="0" distB="0" distL="0" distR="0">
            <wp:extent cx="60007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2647950"/>
                    </a:xfrm>
                    <a:prstGeom prst="rect">
                      <a:avLst/>
                    </a:prstGeom>
                    <a:noFill/>
                    <a:ln>
                      <a:noFill/>
                    </a:ln>
                  </pic:spPr>
                </pic:pic>
              </a:graphicData>
            </a:graphic>
          </wp:inline>
        </w:drawing>
      </w:r>
    </w:p>
    <w:p w:rsidR="001B6B63" w:rsidRDefault="001B6B63">
      <w:pPr>
        <w:rPr>
          <w:lang w:val="en-US"/>
        </w:rPr>
      </w:pPr>
      <w:r>
        <w:rPr>
          <w:lang w:val="en-US"/>
        </w:rPr>
        <w:t>This methodology has typically been used as a basis in inter-service sharing studies. This has the advantage of being a simple calculation but also represents an overestimation of the real interference that could be suffered by FS stations.</w:t>
      </w:r>
    </w:p>
    <w:p w:rsidR="001B6B63" w:rsidRDefault="001B6B63">
      <w:pPr>
        <w:rPr>
          <w:lang w:val="en-US"/>
        </w:rPr>
      </w:pPr>
      <w:r>
        <w:rPr>
          <w:lang w:val="en-US"/>
        </w:rPr>
        <w:t xml:space="preserve">With regard to the FSS characteristics, the analysis assumes that all the visible satellites radiate simultaneously at the maximum </w:t>
      </w:r>
      <w:proofErr w:type="spellStart"/>
      <w:r>
        <w:rPr>
          <w:lang w:val="en-US"/>
        </w:rPr>
        <w:t>pfd</w:t>
      </w:r>
      <w:proofErr w:type="spellEnd"/>
      <w:r>
        <w:rPr>
          <w:lang w:val="en-US"/>
        </w:rPr>
        <w:t xml:space="preserve"> limits, in the direction of the FS system under consideration. Such an assumption does not take into account the patterns of the real satellite antenna, the power limitations of each satellite or the restrictions that self-interference (as a result of frequency reuse) would impose on an FSS system as well as the fundamental operational constraints of FSS systems.</w:t>
      </w:r>
    </w:p>
    <w:p w:rsidR="001B6B63" w:rsidRDefault="001B6B63">
      <w:pPr>
        <w:rPr>
          <w:lang w:val="en-US"/>
        </w:rPr>
      </w:pPr>
      <w:r>
        <w:rPr>
          <w:lang w:val="en-US"/>
        </w:rPr>
        <w:t>The methodology described in § 3 provides a statistical approach toward accommodating the FSS operational characteristics.</w:t>
      </w:r>
    </w:p>
    <w:p w:rsidR="001B6B63" w:rsidRDefault="001B6B63">
      <w:pPr>
        <w:pStyle w:val="Heading1"/>
        <w:rPr>
          <w:lang w:val="en-US"/>
        </w:rPr>
      </w:pPr>
      <w:r>
        <w:rPr>
          <w:lang w:val="en-US"/>
        </w:rPr>
        <w:t>3</w:t>
      </w:r>
      <w:r>
        <w:rPr>
          <w:lang w:val="en-US"/>
        </w:rPr>
        <w:tab/>
      </w:r>
      <w:proofErr w:type="spellStart"/>
      <w:r>
        <w:rPr>
          <w:lang w:val="en-US"/>
        </w:rPr>
        <w:t>pfd</w:t>
      </w:r>
      <w:proofErr w:type="spellEnd"/>
      <w:r>
        <w:rPr>
          <w:lang w:val="en-US"/>
        </w:rPr>
        <w:t xml:space="preserve"> analysis and satellite models</w:t>
      </w:r>
    </w:p>
    <w:p w:rsidR="001B6B63" w:rsidRDefault="001B6B63">
      <w:pPr>
        <w:rPr>
          <w:lang w:val="en-US"/>
        </w:rPr>
      </w:pPr>
      <w:r>
        <w:rPr>
          <w:lang w:val="en-US"/>
        </w:rPr>
        <w:t>This methodology takes into account realistic satellite antenna patterns, the power limitations of each satellite and the restrictions that self-interference would impose on a non-GSO FSS system, as well as the fundamental operational constraints of non-GSO FSS systems.</w:t>
      </w:r>
    </w:p>
    <w:p w:rsidR="001B6B63" w:rsidRDefault="001B6B63">
      <w:pPr>
        <w:rPr>
          <w:lang w:val="en-US"/>
        </w:rPr>
      </w:pPr>
      <w:r>
        <w:rPr>
          <w:lang w:val="en-US"/>
        </w:rPr>
        <w:t xml:space="preserve">This methodology assumes that, in a multi-satellite environment, all the satellites visible from a given point on the Earth do not simultaneously produce the maximum </w:t>
      </w:r>
      <w:proofErr w:type="spellStart"/>
      <w:r>
        <w:rPr>
          <w:lang w:val="en-US"/>
        </w:rPr>
        <w:t>pfd</w:t>
      </w:r>
      <w:proofErr w:type="spellEnd"/>
      <w:r>
        <w:rPr>
          <w:lang w:val="en-US"/>
        </w:rPr>
        <w:t xml:space="preserve"> allowed by a mask.</w:t>
      </w:r>
    </w:p>
    <w:p w:rsidR="001B6B63" w:rsidRDefault="001B6B63">
      <w:pPr>
        <w:rPr>
          <w:lang w:val="en-US"/>
        </w:rPr>
      </w:pPr>
      <w:r>
        <w:rPr>
          <w:lang w:val="en-US"/>
        </w:rPr>
        <w:t xml:space="preserve">The parameters necessary to accurately model the </w:t>
      </w:r>
      <w:proofErr w:type="spellStart"/>
      <w:r>
        <w:rPr>
          <w:lang w:val="en-US"/>
        </w:rPr>
        <w:t>pfd</w:t>
      </w:r>
      <w:proofErr w:type="spellEnd"/>
      <w:r>
        <w:rPr>
          <w:lang w:val="en-US"/>
        </w:rPr>
        <w:t xml:space="preserve"> produced by a given satellite (maximum power, number of beams, antenna gain and antenna pattern) can generally be found in ITU-R documentation. The following is an analytical model of some of the possible parameters of a GSO FSS and a non-GSO FSS system.</w:t>
      </w:r>
    </w:p>
    <w:p w:rsidR="001B6B63" w:rsidRDefault="001B6B63">
      <w:pPr>
        <w:rPr>
          <w:lang w:val="en-US"/>
        </w:rPr>
      </w:pPr>
      <w:r>
        <w:rPr>
          <w:lang w:val="en-US"/>
        </w:rPr>
        <w:lastRenderedPageBreak/>
        <w:t>The values of such parameters depend on the considered frequency band and the type of satellite (GSO or non-GSO). It is possible to derive a general equation linking them together.</w:t>
      </w:r>
    </w:p>
    <w:p w:rsidR="001B6B63" w:rsidRDefault="001B6B63">
      <w:pPr>
        <w:rPr>
          <w:lang w:val="en-US"/>
        </w:rPr>
      </w:pPr>
      <w:r>
        <w:rPr>
          <w:lang w:val="en-US"/>
        </w:rPr>
        <w:t xml:space="preserve">In the main beam, for single beam coverage satellites, which could be implemented in certain frequency bands, the radiated power of the satellite necessary to produce the maximum </w:t>
      </w:r>
      <w:proofErr w:type="spellStart"/>
      <w:r>
        <w:rPr>
          <w:lang w:val="en-US"/>
        </w:rPr>
        <w:t>pfd</w:t>
      </w:r>
      <w:proofErr w:type="spellEnd"/>
      <w:r>
        <w:rPr>
          <w:lang w:val="en-US"/>
        </w:rPr>
        <w:t xml:space="preserve"> in the main beam is:</w:t>
      </w:r>
    </w:p>
    <w:p w:rsidR="001B6B63" w:rsidRDefault="001B6B63">
      <w:pPr>
        <w:pStyle w:val="Equation"/>
        <w:spacing w:before="240"/>
        <w:rPr>
          <w:lang w:val="en-US"/>
        </w:rPr>
      </w:pPr>
      <w:r>
        <w:rPr>
          <w:lang w:val="en-US"/>
        </w:rPr>
        <w:tab/>
      </w:r>
      <w:r>
        <w:rPr>
          <w:lang w:val="en-US"/>
        </w:rPr>
        <w:tab/>
      </w:r>
      <w:r>
        <w:rPr>
          <w:position w:val="-12"/>
        </w:rPr>
        <w:object w:dxaOrig="30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2pt" o:ole="" fillcolor="window">
            <v:imagedata r:id="rId16" o:title=""/>
          </v:shape>
          <o:OLEObject Type="Embed" ProgID="Equation.3" ShapeID="_x0000_i1025" DrawAspect="Content" ObjectID="_1385565012" r:id="rId17"/>
        </w:object>
      </w:r>
      <w:r>
        <w:rPr>
          <w:lang w:val="en-US"/>
        </w:rPr>
        <w:tab/>
        <w:t>(1)</w:t>
      </w:r>
    </w:p>
    <w:p w:rsidR="001B6B63" w:rsidRDefault="001B6B63">
      <w:pPr>
        <w:rPr>
          <w:lang w:val="en-US"/>
        </w:rPr>
      </w:pPr>
      <w:r>
        <w:rPr>
          <w:lang w:val="en-US"/>
        </w:rPr>
        <w:t>where:</w:t>
      </w:r>
    </w:p>
    <w:p w:rsidR="001B6B63" w:rsidRDefault="001B6B63">
      <w:pPr>
        <w:pStyle w:val="Equationlegend"/>
      </w:pPr>
      <w:r>
        <w:tab/>
      </w:r>
      <w:r>
        <w:rPr>
          <w:i/>
          <w:iCs/>
        </w:rPr>
        <w:t>P</w:t>
      </w:r>
      <w:r>
        <w:rPr>
          <w:i/>
          <w:iCs/>
          <w:vertAlign w:val="subscript"/>
        </w:rPr>
        <w:t>s</w:t>
      </w:r>
      <w:r>
        <w:rPr>
          <w:rFonts w:ascii="Tms Rmn" w:hAnsi="Tms Rmn"/>
          <w:sz w:val="12"/>
        </w:rPr>
        <w:t> </w:t>
      </w:r>
      <w:r>
        <w:t>:</w:t>
      </w:r>
      <w:r>
        <w:tab/>
        <w:t>power density of the satellite (dB(W/MHz))</w:t>
      </w:r>
    </w:p>
    <w:p w:rsidR="001B6B63" w:rsidRDefault="001B6B63">
      <w:pPr>
        <w:pStyle w:val="Equationlegend"/>
        <w:ind w:left="2160"/>
      </w:pPr>
      <w:r>
        <w:tab/>
      </w:r>
      <w:proofErr w:type="spellStart"/>
      <w:r>
        <w:rPr>
          <w:i/>
          <w:iCs/>
        </w:rPr>
        <w:t>pfd</w:t>
      </w:r>
      <w:r>
        <w:rPr>
          <w:i/>
          <w:iCs/>
          <w:vertAlign w:val="subscript"/>
        </w:rPr>
        <w:t>m</w:t>
      </w:r>
      <w:proofErr w:type="spellEnd"/>
      <w:r>
        <w:rPr>
          <w:rFonts w:ascii="Tms Rmn" w:hAnsi="Tms Rmn"/>
          <w:sz w:val="12"/>
        </w:rPr>
        <w:t> </w:t>
      </w:r>
      <w:r>
        <w:t>:</w:t>
      </w:r>
      <w:r>
        <w:tab/>
        <w:t xml:space="preserve">the maximum value of the </w:t>
      </w:r>
      <w:proofErr w:type="spellStart"/>
      <w:r>
        <w:t>pfd</w:t>
      </w:r>
      <w:proofErr w:type="spellEnd"/>
      <w:r>
        <w:t xml:space="preserve"> mask </w:t>
      </w:r>
    </w:p>
    <w:p w:rsidR="001B6B63" w:rsidRDefault="001B6B63">
      <w:pPr>
        <w:pStyle w:val="Equationlegend"/>
      </w:pPr>
      <w:r>
        <w:tab/>
      </w:r>
      <w:proofErr w:type="spellStart"/>
      <w:r>
        <w:rPr>
          <w:i/>
          <w:iCs/>
        </w:rPr>
        <w:t>G</w:t>
      </w:r>
      <w:r>
        <w:rPr>
          <w:i/>
          <w:iCs/>
          <w:vertAlign w:val="subscript"/>
        </w:rPr>
        <w:t>s</w:t>
      </w:r>
      <w:proofErr w:type="spellEnd"/>
      <w:r>
        <w:rPr>
          <w:rFonts w:ascii="Tms Rmn" w:hAnsi="Tms Rmn"/>
          <w:sz w:val="12"/>
        </w:rPr>
        <w:t> </w:t>
      </w:r>
      <w:r>
        <w:t>:</w:t>
      </w:r>
      <w:r>
        <w:tab/>
        <w:t>antenna gain of the satellite (</w:t>
      </w:r>
      <w:proofErr w:type="spellStart"/>
      <w:r>
        <w:t>dBi</w:t>
      </w:r>
      <w:proofErr w:type="spellEnd"/>
      <w:r>
        <w:t>)</w:t>
      </w:r>
    </w:p>
    <w:p w:rsidR="001B6B63" w:rsidRDefault="001B6B63">
      <w:pPr>
        <w:pStyle w:val="Equationlegend"/>
      </w:pPr>
      <w:r>
        <w:tab/>
      </w:r>
      <w:r>
        <w:rPr>
          <w:i/>
          <w:iCs/>
        </w:rPr>
        <w:t>d</w:t>
      </w:r>
      <w:r>
        <w:rPr>
          <w:rFonts w:ascii="Tms Rmn" w:hAnsi="Tms Rmn"/>
          <w:sz w:val="12"/>
        </w:rPr>
        <w:t> </w:t>
      </w:r>
      <w:r>
        <w:t>:</w:t>
      </w:r>
      <w:r>
        <w:tab/>
        <w:t>range from the satellite to its sub-satellite point (m).</w:t>
      </w:r>
    </w:p>
    <w:p w:rsidR="001B6B63" w:rsidRDefault="001B6B63">
      <w:pPr>
        <w:rPr>
          <w:lang w:val="en-US"/>
        </w:rPr>
      </w:pPr>
      <w:r>
        <w:rPr>
          <w:lang w:val="en-US"/>
        </w:rPr>
        <w:t>However, in high frequency bands such as the 20/30 GHz or 40/50 GHz bands, most satellites will more likely deploy multiple beams with higher antenna gain, transmitting on several channels. In this case, the power density of each individual beam can be calculated as:</w:t>
      </w:r>
    </w:p>
    <w:p w:rsidR="001B6B63" w:rsidRDefault="001B6B63">
      <w:pPr>
        <w:pStyle w:val="Equation"/>
        <w:spacing w:before="240"/>
        <w:rPr>
          <w:lang w:val="en-US"/>
        </w:rPr>
      </w:pPr>
      <w:r>
        <w:rPr>
          <w:lang w:val="en-US"/>
        </w:rPr>
        <w:tab/>
      </w:r>
      <w:r>
        <w:rPr>
          <w:lang w:val="en-US"/>
        </w:rPr>
        <w:tab/>
      </w:r>
      <w:r>
        <w:rPr>
          <w:position w:val="-62"/>
        </w:rPr>
        <w:object w:dxaOrig="5860" w:dyaOrig="1359">
          <v:shape id="_x0000_i1026" type="#_x0000_t75" style="width:293pt;height:68pt" o:ole="" fillcolor="window">
            <v:imagedata r:id="rId18" o:title=""/>
          </v:shape>
          <o:OLEObject Type="Embed" ProgID="Equation.3" ShapeID="_x0000_i1026" DrawAspect="Content" ObjectID="_1385565013" r:id="rId19"/>
        </w:object>
      </w:r>
      <w:r>
        <w:rPr>
          <w:lang w:val="en-US"/>
        </w:rPr>
        <w:tab/>
        <w:t>(2)</w:t>
      </w:r>
    </w:p>
    <w:p w:rsidR="001B6B63" w:rsidRDefault="001B6B63">
      <w:pPr>
        <w:rPr>
          <w:lang w:val="en-US"/>
        </w:rPr>
      </w:pPr>
      <w:r>
        <w:rPr>
          <w:lang w:val="en-US"/>
        </w:rPr>
        <w:t>where:</w:t>
      </w:r>
    </w:p>
    <w:p w:rsidR="001B6B63" w:rsidRDefault="001B6B63">
      <w:pPr>
        <w:pStyle w:val="Equationlegend"/>
      </w:pPr>
      <w:r>
        <w:tab/>
      </w:r>
      <w:proofErr w:type="spellStart"/>
      <w:r>
        <w:rPr>
          <w:i/>
          <w:iCs/>
        </w:rPr>
        <w:t>P</w:t>
      </w:r>
      <w:r>
        <w:rPr>
          <w:i/>
          <w:iCs/>
          <w:vertAlign w:val="subscript"/>
        </w:rPr>
        <w:t>ds</w:t>
      </w:r>
      <w:proofErr w:type="spellEnd"/>
      <w:r>
        <w:rPr>
          <w:rFonts w:ascii="Tms Rmn" w:hAnsi="Tms Rmn"/>
          <w:sz w:val="12"/>
        </w:rPr>
        <w:t> </w:t>
      </w:r>
      <w:r>
        <w:t>:</w:t>
      </w:r>
      <w:r>
        <w:tab/>
        <w:t>satellite power density per beam (dB(W/MHz))</w:t>
      </w:r>
    </w:p>
    <w:p w:rsidR="001B6B63" w:rsidRDefault="001B6B63">
      <w:pPr>
        <w:pStyle w:val="Equationlegend"/>
      </w:pPr>
      <w:r>
        <w:tab/>
      </w:r>
      <w:r>
        <w:rPr>
          <w:i/>
          <w:iCs/>
        </w:rPr>
        <w:t>P</w:t>
      </w:r>
      <w:r>
        <w:rPr>
          <w:i/>
          <w:iCs/>
          <w:vertAlign w:val="subscript"/>
        </w:rPr>
        <w:t>f</w:t>
      </w:r>
      <w:r>
        <w:rPr>
          <w:rFonts w:ascii="Tms Rmn" w:hAnsi="Tms Rmn"/>
          <w:sz w:val="12"/>
        </w:rPr>
        <w:t> </w:t>
      </w:r>
      <w:r>
        <w:t>:</w:t>
      </w:r>
      <w:r>
        <w:tab/>
        <w:t>power per beam (W)</w:t>
      </w:r>
    </w:p>
    <w:p w:rsidR="001B6B63" w:rsidRDefault="001B6B63">
      <w:pPr>
        <w:pStyle w:val="Equationlegend"/>
        <w:rPr>
          <w:lang w:val="de-DE"/>
        </w:rPr>
      </w:pPr>
      <w:r>
        <w:tab/>
      </w:r>
      <w:r>
        <w:rPr>
          <w:i/>
          <w:iCs/>
          <w:lang w:val="de-DE"/>
        </w:rPr>
        <w:t>BW</w:t>
      </w:r>
      <w:r>
        <w:rPr>
          <w:i/>
          <w:iCs/>
          <w:vertAlign w:val="subscript"/>
        </w:rPr>
        <w:t>f</w:t>
      </w:r>
      <w:r>
        <w:rPr>
          <w:rFonts w:ascii="Tms Rmn" w:hAnsi="Tms Rmn"/>
          <w:sz w:val="12"/>
        </w:rPr>
        <w:t> </w:t>
      </w:r>
      <w:r>
        <w:rPr>
          <w:lang w:val="de-DE"/>
        </w:rPr>
        <w:t>:</w:t>
      </w:r>
      <w:r>
        <w:rPr>
          <w:lang w:val="de-DE"/>
        </w:rPr>
        <w:tab/>
        <w:t>beam bandwidth (MHz)</w:t>
      </w:r>
    </w:p>
    <w:p w:rsidR="001B6B63" w:rsidRDefault="001B6B63">
      <w:pPr>
        <w:pStyle w:val="Equationlegend"/>
      </w:pPr>
      <w:r>
        <w:rPr>
          <w:lang w:val="de-DE"/>
        </w:rPr>
        <w:tab/>
      </w:r>
      <w:proofErr w:type="spellStart"/>
      <w:r>
        <w:rPr>
          <w:i/>
          <w:iCs/>
        </w:rPr>
        <w:t>P</w:t>
      </w:r>
      <w:r>
        <w:rPr>
          <w:i/>
          <w:iCs/>
          <w:vertAlign w:val="subscript"/>
        </w:rPr>
        <w:t>tot</w:t>
      </w:r>
      <w:proofErr w:type="spellEnd"/>
      <w:r>
        <w:rPr>
          <w:rFonts w:ascii="Tms Rmn" w:hAnsi="Tms Rmn"/>
          <w:sz w:val="12"/>
        </w:rPr>
        <w:t> </w:t>
      </w:r>
      <w:r>
        <w:t>:</w:t>
      </w:r>
      <w:r>
        <w:tab/>
        <w:t>total radiated power available on the satellite (W)</w:t>
      </w:r>
    </w:p>
    <w:p w:rsidR="001B6B63" w:rsidRDefault="001B6B63">
      <w:pPr>
        <w:pStyle w:val="Equationlegend"/>
      </w:pPr>
      <w:r>
        <w:tab/>
      </w:r>
      <w:proofErr w:type="spellStart"/>
      <w:r>
        <w:rPr>
          <w:i/>
          <w:iCs/>
        </w:rPr>
        <w:t>BW</w:t>
      </w:r>
      <w:r>
        <w:rPr>
          <w:i/>
          <w:iCs/>
          <w:vertAlign w:val="subscript"/>
        </w:rPr>
        <w:t>tot</w:t>
      </w:r>
      <w:proofErr w:type="spellEnd"/>
      <w:r>
        <w:rPr>
          <w:rFonts w:ascii="Tms Rmn" w:hAnsi="Tms Rmn"/>
          <w:sz w:val="12"/>
        </w:rPr>
        <w:t> </w:t>
      </w:r>
      <w:r>
        <w:t>:</w:t>
      </w:r>
      <w:r>
        <w:tab/>
        <w:t>total bandwidth of the satellite (MHz)</w:t>
      </w:r>
    </w:p>
    <w:p w:rsidR="001B6B63" w:rsidRDefault="001B6B63">
      <w:pPr>
        <w:pStyle w:val="Equationlegend"/>
      </w:pPr>
      <w:r>
        <w:tab/>
      </w:r>
      <w:r>
        <w:rPr>
          <w:i/>
          <w:iCs/>
          <w:position w:val="-6"/>
        </w:rPr>
        <w:object w:dxaOrig="320" w:dyaOrig="279">
          <v:shape id="_x0000_i1027" type="#_x0000_t75" style="width:16pt;height:14pt" o:ole="">
            <v:imagedata r:id="rId20" o:title=""/>
          </v:shape>
          <o:OLEObject Type="Embed" ProgID="Equation.3" ShapeID="_x0000_i1027" DrawAspect="Content" ObjectID="_1385565014" r:id="rId21"/>
        </w:object>
      </w:r>
      <w:r>
        <w:t>:</w:t>
      </w:r>
      <w:r>
        <w:tab/>
        <w:t xml:space="preserve">number of frequency channels in </w:t>
      </w:r>
      <w:proofErr w:type="spellStart"/>
      <w:r>
        <w:rPr>
          <w:i/>
          <w:iCs/>
        </w:rPr>
        <w:t>BW</w:t>
      </w:r>
      <w:r>
        <w:rPr>
          <w:i/>
          <w:iCs/>
          <w:vertAlign w:val="subscript"/>
        </w:rPr>
        <w:t>tot</w:t>
      </w:r>
      <w:proofErr w:type="spellEnd"/>
    </w:p>
    <w:p w:rsidR="001B6B63" w:rsidRDefault="001B6B63">
      <w:pPr>
        <w:pStyle w:val="Equationlegend"/>
      </w:pPr>
      <w:r>
        <w:tab/>
      </w:r>
      <w:r>
        <w:rPr>
          <w:i/>
          <w:iCs/>
        </w:rPr>
        <w:t>N</w:t>
      </w:r>
      <w:r>
        <w:rPr>
          <w:rFonts w:ascii="Tms Rmn" w:hAnsi="Tms Rmn"/>
          <w:sz w:val="12"/>
        </w:rPr>
        <w:t> </w:t>
      </w:r>
      <w:r>
        <w:t>:</w:t>
      </w:r>
      <w:r>
        <w:tab/>
        <w:t>number of co-frequency beams.</w:t>
      </w:r>
    </w:p>
    <w:p w:rsidR="001B6B63" w:rsidRDefault="001B6B63">
      <w:pPr>
        <w:rPr>
          <w:lang w:val="en-US"/>
        </w:rPr>
      </w:pPr>
      <w:r>
        <w:rPr>
          <w:lang w:val="en-US"/>
        </w:rPr>
        <w:t>On this basis, equations (1) and (2) allow to derive the following general equation:</w:t>
      </w:r>
    </w:p>
    <w:p w:rsidR="001B6B63" w:rsidRDefault="001B6B63">
      <w:pPr>
        <w:pStyle w:val="Equation"/>
        <w:spacing w:before="240"/>
      </w:pPr>
      <w:r>
        <w:rPr>
          <w:lang w:val="en-US"/>
        </w:rPr>
        <w:tab/>
      </w:r>
      <w:r>
        <w:rPr>
          <w:lang w:val="en-US"/>
        </w:rPr>
        <w:tab/>
      </w:r>
      <w:r>
        <w:rPr>
          <w:position w:val="-32"/>
        </w:rPr>
        <w:object w:dxaOrig="4620" w:dyaOrig="760">
          <v:shape id="_x0000_i1028" type="#_x0000_t75" style="width:231pt;height:38pt" o:ole="" fillcolor="window">
            <v:imagedata r:id="rId22" o:title=""/>
          </v:shape>
          <o:OLEObject Type="Embed" ProgID="Equation.3" ShapeID="_x0000_i1028" DrawAspect="Content" ObjectID="_1385565015" r:id="rId23"/>
        </w:object>
      </w:r>
    </w:p>
    <w:p w:rsidR="001B6B63" w:rsidRDefault="001B6B63">
      <w:pPr>
        <w:rPr>
          <w:lang w:val="en-US"/>
        </w:rPr>
      </w:pPr>
      <w:r>
        <w:rPr>
          <w:lang w:val="en-US"/>
        </w:rPr>
        <w:t>which gives:</w:t>
      </w:r>
    </w:p>
    <w:p w:rsidR="001B6B63" w:rsidRDefault="001B6B63">
      <w:pPr>
        <w:pStyle w:val="Equation"/>
        <w:spacing w:before="240"/>
        <w:jc w:val="center"/>
        <w:rPr>
          <w:lang w:val="en-US"/>
        </w:rPr>
      </w:pPr>
      <w:r>
        <w:rPr>
          <w:lang w:val="en-US"/>
        </w:rPr>
        <w:tab/>
      </w:r>
      <w:r>
        <w:rPr>
          <w:lang w:val="en-US"/>
        </w:rPr>
        <w:tab/>
      </w:r>
      <w:r>
        <w:rPr>
          <w:position w:val="-12"/>
        </w:rPr>
        <w:object w:dxaOrig="6500" w:dyaOrig="440">
          <v:shape id="_x0000_i1029" type="#_x0000_t75" style="width:325pt;height:22pt" o:ole="" fillcolor="window">
            <v:imagedata r:id="rId24" o:title=""/>
          </v:shape>
          <o:OLEObject Type="Embed" ProgID="Equation.3" ShapeID="_x0000_i1029" DrawAspect="Content" ObjectID="_1385565016" r:id="rId25"/>
        </w:object>
      </w:r>
      <w:r>
        <w:rPr>
          <w:lang w:val="en-US"/>
        </w:rPr>
        <w:tab/>
        <w:t>(3)</w:t>
      </w:r>
    </w:p>
    <w:p w:rsidR="001B6B63" w:rsidRDefault="001B6B63">
      <w:pPr>
        <w:rPr>
          <w:lang w:val="en-US"/>
        </w:rPr>
      </w:pPr>
      <w:r>
        <w:rPr>
          <w:lang w:val="en-US"/>
        </w:rPr>
        <w:t>where:</w:t>
      </w:r>
    </w:p>
    <w:p w:rsidR="001B6B63" w:rsidRDefault="001B6B63">
      <w:pPr>
        <w:pStyle w:val="Equationlegend"/>
      </w:pPr>
      <w:r>
        <w:tab/>
      </w:r>
      <w:r>
        <w:rPr>
          <w:i/>
          <w:iCs/>
        </w:rPr>
        <w:t>G</w:t>
      </w:r>
      <w:r>
        <w:rPr>
          <w:i/>
          <w:iCs/>
          <w:vertAlign w:val="subscript"/>
        </w:rPr>
        <w:t>b</w:t>
      </w:r>
      <w:r>
        <w:rPr>
          <w:rFonts w:ascii="Tms Rmn" w:hAnsi="Tms Rmn"/>
          <w:sz w:val="12"/>
        </w:rPr>
        <w:t> </w:t>
      </w:r>
      <w:r>
        <w:t>:</w:t>
      </w:r>
      <w:r>
        <w:tab/>
        <w:t>beam antenna gain (</w:t>
      </w:r>
      <w:proofErr w:type="spellStart"/>
      <w:r>
        <w:t>dBi</w:t>
      </w:r>
      <w:proofErr w:type="spellEnd"/>
      <w:r>
        <w:t>)</w:t>
      </w:r>
    </w:p>
    <w:p w:rsidR="001B6B63" w:rsidRDefault="001B6B63">
      <w:pPr>
        <w:pStyle w:val="Equationlegend"/>
        <w:ind w:left="2160" w:hanging="2160"/>
      </w:pPr>
      <w:r>
        <w:tab/>
      </w:r>
      <w:proofErr w:type="spellStart"/>
      <w:r>
        <w:rPr>
          <w:i/>
          <w:iCs/>
        </w:rPr>
        <w:t>pfd</w:t>
      </w:r>
      <w:r>
        <w:rPr>
          <w:i/>
          <w:iCs/>
          <w:vertAlign w:val="subscript"/>
        </w:rPr>
        <w:t>m</w:t>
      </w:r>
      <w:proofErr w:type="spellEnd"/>
      <w:r>
        <w:rPr>
          <w:rFonts w:ascii="Tms Rmn" w:hAnsi="Tms Rmn"/>
          <w:sz w:val="12"/>
        </w:rPr>
        <w:t> </w:t>
      </w:r>
      <w:r>
        <w:t>:</w:t>
      </w:r>
      <w:r>
        <w:tab/>
        <w:t xml:space="preserve">the maximum value of the </w:t>
      </w:r>
      <w:proofErr w:type="spellStart"/>
      <w:r>
        <w:t>pfd</w:t>
      </w:r>
      <w:proofErr w:type="spellEnd"/>
      <w:r>
        <w:t xml:space="preserve"> mask (dB(W/(m</w:t>
      </w:r>
      <w:r>
        <w:rPr>
          <w:vertAlign w:val="superscript"/>
        </w:rPr>
        <w:t>2</w:t>
      </w:r>
      <w:r>
        <w:t> · MHz)))</w:t>
      </w:r>
    </w:p>
    <w:p w:rsidR="001B6B63" w:rsidRDefault="001B6B63">
      <w:pPr>
        <w:pStyle w:val="Equationlegend"/>
      </w:pPr>
      <w:r>
        <w:tab/>
      </w:r>
      <w:proofErr w:type="spellStart"/>
      <w:r>
        <w:rPr>
          <w:i/>
          <w:iCs/>
        </w:rPr>
        <w:t>P</w:t>
      </w:r>
      <w:r>
        <w:rPr>
          <w:i/>
          <w:iCs/>
          <w:vertAlign w:val="subscript"/>
        </w:rPr>
        <w:t>tot</w:t>
      </w:r>
      <w:proofErr w:type="spellEnd"/>
      <w:r>
        <w:rPr>
          <w:rFonts w:ascii="Tms Rmn" w:hAnsi="Tms Rmn"/>
          <w:sz w:val="12"/>
        </w:rPr>
        <w:t> </w:t>
      </w:r>
      <w:r>
        <w:t>:</w:t>
      </w:r>
      <w:r>
        <w:tab/>
        <w:t>total radiated power available on the satellite (W)</w:t>
      </w:r>
    </w:p>
    <w:p w:rsidR="001B6B63" w:rsidRDefault="001B6B63">
      <w:pPr>
        <w:pStyle w:val="Equationlegend"/>
      </w:pPr>
      <w:r>
        <w:tab/>
      </w:r>
      <w:r>
        <w:rPr>
          <w:i/>
          <w:iCs/>
        </w:rPr>
        <w:t>N</w:t>
      </w:r>
      <w:r>
        <w:rPr>
          <w:rFonts w:ascii="Tms Rmn" w:hAnsi="Tms Rmn"/>
          <w:sz w:val="12"/>
        </w:rPr>
        <w:t> </w:t>
      </w:r>
      <w:r>
        <w:t>:</w:t>
      </w:r>
      <w:r>
        <w:tab/>
        <w:t>number of co-frequency beams</w:t>
      </w:r>
    </w:p>
    <w:p w:rsidR="001B6B63" w:rsidRDefault="001B6B63" w:rsidP="008459BF">
      <w:pPr>
        <w:pStyle w:val="Equationlegend"/>
        <w:keepNext/>
        <w:keepLines/>
      </w:pPr>
      <w:r>
        <w:lastRenderedPageBreak/>
        <w:tab/>
      </w:r>
      <w:proofErr w:type="spellStart"/>
      <w:r>
        <w:rPr>
          <w:i/>
          <w:iCs/>
        </w:rPr>
        <w:t>BW</w:t>
      </w:r>
      <w:r>
        <w:rPr>
          <w:i/>
          <w:iCs/>
          <w:vertAlign w:val="subscript"/>
        </w:rPr>
        <w:t>tot</w:t>
      </w:r>
      <w:proofErr w:type="spellEnd"/>
      <w:r>
        <w:rPr>
          <w:rFonts w:ascii="Tms Rmn" w:hAnsi="Tms Rmn"/>
          <w:sz w:val="12"/>
        </w:rPr>
        <w:t> </w:t>
      </w:r>
      <w:r>
        <w:t>:</w:t>
      </w:r>
      <w:r>
        <w:tab/>
        <w:t>total bandwidth of the satellite (MHz)</w:t>
      </w:r>
    </w:p>
    <w:p w:rsidR="001B6B63" w:rsidRDefault="001B6B63" w:rsidP="008459BF">
      <w:pPr>
        <w:pStyle w:val="Equationlegend"/>
        <w:keepNext/>
        <w:keepLines/>
      </w:pPr>
      <w:r>
        <w:tab/>
      </w:r>
      <w:r>
        <w:rPr>
          <w:i/>
          <w:iCs/>
        </w:rPr>
        <w:t>d</w:t>
      </w:r>
      <w:r>
        <w:rPr>
          <w:rFonts w:ascii="Tms Rmn" w:hAnsi="Tms Rmn"/>
          <w:sz w:val="12"/>
        </w:rPr>
        <w:t> </w:t>
      </w:r>
      <w:r>
        <w:t>:</w:t>
      </w:r>
      <w:r>
        <w:tab/>
        <w:t xml:space="preserve">distance from the satellite to the </w:t>
      </w:r>
      <w:proofErr w:type="spellStart"/>
      <w:r>
        <w:t>centre</w:t>
      </w:r>
      <w:proofErr w:type="spellEnd"/>
      <w:r>
        <w:t xml:space="preserve"> of its pointing zone (m).</w:t>
      </w:r>
    </w:p>
    <w:p w:rsidR="001B6B63" w:rsidRDefault="001B6B63">
      <w:pPr>
        <w:rPr>
          <w:lang w:val="en-US"/>
        </w:rPr>
      </w:pPr>
      <w:r>
        <w:rPr>
          <w:lang w:val="en-US"/>
        </w:rPr>
        <w:t>Therefore, based on this equation (3) and using existing typical values that can generally be found in ITU-R texts, it is possible to define simple satellite models which could be used in sharing studies between FSS and terrestrial services.</w:t>
      </w:r>
    </w:p>
    <w:p w:rsidR="001B6B63" w:rsidRDefault="001B6B63">
      <w:pPr>
        <w:rPr>
          <w:lang w:val="en-US"/>
        </w:rPr>
      </w:pPr>
      <w:r>
        <w:rPr>
          <w:lang w:val="en-US"/>
        </w:rPr>
        <w:t>As an example, and in order to facilitate the understanding of and support the statistical methodology presented in this Annex, example satellite models below, assumed to be consistent with equation (3) (with a –105 dB(W/(m</w:t>
      </w:r>
      <w:r>
        <w:rPr>
          <w:vertAlign w:val="superscript"/>
          <w:lang w:val="en-US"/>
        </w:rPr>
        <w:t>2</w:t>
      </w:r>
      <w:r>
        <w:rPr>
          <w:lang w:val="en-US"/>
        </w:rPr>
        <w:t xml:space="preserve"> · MHz)) high elevation angle </w:t>
      </w:r>
      <w:proofErr w:type="spellStart"/>
      <w:r>
        <w:rPr>
          <w:lang w:val="en-US"/>
        </w:rPr>
        <w:t>pfd</w:t>
      </w:r>
      <w:proofErr w:type="spellEnd"/>
      <w:r>
        <w:rPr>
          <w:lang w:val="en-US"/>
        </w:rPr>
        <w:t xml:space="preserve"> level), have been considered:</w:t>
      </w:r>
    </w:p>
    <w:p w:rsidR="001B6B63" w:rsidRDefault="001B6B63">
      <w:pPr>
        <w:pStyle w:val="Headingb"/>
        <w:rPr>
          <w:lang w:val="en-US"/>
        </w:rPr>
      </w:pPr>
      <w:r>
        <w:rPr>
          <w:lang w:val="en-US"/>
        </w:rPr>
        <w:t>GSO satellites:</w:t>
      </w:r>
    </w:p>
    <w:p w:rsidR="001B6B63" w:rsidRDefault="001B6B63">
      <w:pPr>
        <w:rPr>
          <w:lang w:val="en-US"/>
        </w:rPr>
      </w:pPr>
      <w:r>
        <w:rPr>
          <w:i/>
          <w:iCs/>
          <w:lang w:val="en-US"/>
        </w:rPr>
        <w:t>Model GEO1</w:t>
      </w:r>
      <w:r>
        <w:rPr>
          <w:lang w:val="en-US"/>
        </w:rPr>
        <w:t>:</w:t>
      </w:r>
    </w:p>
    <w:p w:rsidR="001B6B63" w:rsidRDefault="001B6B63">
      <w:pPr>
        <w:pStyle w:val="enumlev1"/>
        <w:rPr>
          <w:lang w:val="en-US"/>
        </w:rPr>
      </w:pPr>
      <w:r>
        <w:sym w:font="Symbol" w:char="F02D"/>
      </w:r>
      <w:r>
        <w:rPr>
          <w:lang w:val="en-US"/>
        </w:rPr>
        <w:tab/>
        <w:t xml:space="preserve">beam antenna gain: 60 </w:t>
      </w:r>
      <w:proofErr w:type="spellStart"/>
      <w:r>
        <w:rPr>
          <w:lang w:val="en-US"/>
        </w:rPr>
        <w:t>dBi</w:t>
      </w:r>
      <w:proofErr w:type="spellEnd"/>
    </w:p>
    <w:p w:rsidR="001B6B63" w:rsidRDefault="001B6B63">
      <w:pPr>
        <w:pStyle w:val="enumlev1"/>
        <w:rPr>
          <w:lang w:val="en-US"/>
        </w:rPr>
      </w:pPr>
      <w:r>
        <w:sym w:font="Symbol" w:char="F02D"/>
      </w:r>
      <w:r>
        <w:rPr>
          <w:lang w:val="en-US"/>
        </w:rPr>
        <w:tab/>
        <w:t>number of co-frequency beams: 6</w:t>
      </w:r>
    </w:p>
    <w:p w:rsidR="001B6B63" w:rsidRDefault="001B6B63">
      <w:pPr>
        <w:pStyle w:val="enumlev1"/>
        <w:rPr>
          <w:lang w:val="en-US"/>
        </w:rPr>
      </w:pPr>
      <w:r>
        <w:sym w:font="Symbol" w:char="F02D"/>
      </w:r>
      <w:r>
        <w:rPr>
          <w:lang w:val="en-US"/>
        </w:rPr>
        <w:tab/>
        <w:t>total transmit power (for all beams): 3.5 kW</w:t>
      </w:r>
    </w:p>
    <w:p w:rsidR="001B6B63" w:rsidRDefault="001B6B63">
      <w:pPr>
        <w:pStyle w:val="enumlev1"/>
        <w:rPr>
          <w:lang w:val="en-US"/>
        </w:rPr>
      </w:pPr>
      <w:r>
        <w:sym w:font="Symbol" w:char="F02D"/>
      </w:r>
      <w:r>
        <w:rPr>
          <w:lang w:val="en-US"/>
        </w:rPr>
        <w:tab/>
        <w:t>total bandwidth: about 1</w:t>
      </w:r>
      <w:r>
        <w:rPr>
          <w:rFonts w:ascii="Tms Rmn" w:hAnsi="Tms Rmn"/>
          <w:sz w:val="12"/>
          <w:lang w:val="en-US"/>
        </w:rPr>
        <w:t> </w:t>
      </w:r>
      <w:r>
        <w:rPr>
          <w:lang w:val="en-US"/>
        </w:rPr>
        <w:t>000 MHz</w:t>
      </w:r>
    </w:p>
    <w:p w:rsidR="001B6B63" w:rsidRDefault="001B6B63">
      <w:pPr>
        <w:rPr>
          <w:lang w:val="en-US"/>
        </w:rPr>
      </w:pPr>
      <w:r>
        <w:rPr>
          <w:i/>
          <w:iCs/>
          <w:lang w:val="en-US"/>
        </w:rPr>
        <w:t>Model GEO2</w:t>
      </w:r>
      <w:r>
        <w:rPr>
          <w:lang w:val="en-US"/>
        </w:rPr>
        <w:t>:</w:t>
      </w:r>
    </w:p>
    <w:p w:rsidR="001B6B63" w:rsidRDefault="001B6B63">
      <w:pPr>
        <w:pStyle w:val="enumlev1"/>
        <w:rPr>
          <w:lang w:val="en-US"/>
        </w:rPr>
      </w:pPr>
      <w:r>
        <w:sym w:font="Symbol" w:char="F02D"/>
      </w:r>
      <w:r>
        <w:rPr>
          <w:lang w:val="en-US"/>
        </w:rPr>
        <w:tab/>
        <w:t xml:space="preserve">beam antenna gain: 55 </w:t>
      </w:r>
      <w:proofErr w:type="spellStart"/>
      <w:r>
        <w:rPr>
          <w:lang w:val="en-US"/>
        </w:rPr>
        <w:t>dBi</w:t>
      </w:r>
      <w:proofErr w:type="spellEnd"/>
    </w:p>
    <w:p w:rsidR="001B6B63" w:rsidRDefault="001B6B63">
      <w:pPr>
        <w:pStyle w:val="enumlev1"/>
        <w:rPr>
          <w:lang w:val="en-US"/>
        </w:rPr>
      </w:pPr>
      <w:r>
        <w:sym w:font="Symbol" w:char="F02D"/>
      </w:r>
      <w:r>
        <w:rPr>
          <w:lang w:val="en-US"/>
        </w:rPr>
        <w:tab/>
        <w:t>number of co-frequency beams: 4</w:t>
      </w:r>
    </w:p>
    <w:p w:rsidR="001B6B63" w:rsidRDefault="001B6B63">
      <w:pPr>
        <w:pStyle w:val="enumlev1"/>
        <w:rPr>
          <w:lang w:val="en-US"/>
        </w:rPr>
      </w:pPr>
      <w:r>
        <w:sym w:font="Symbol" w:char="F02D"/>
      </w:r>
      <w:r>
        <w:rPr>
          <w:lang w:val="en-US"/>
        </w:rPr>
        <w:tab/>
        <w:t>total transmit power (for all beams): 3.5 kW</w:t>
      </w:r>
    </w:p>
    <w:p w:rsidR="001B6B63" w:rsidRDefault="001B6B63">
      <w:pPr>
        <w:pStyle w:val="enumlev1"/>
        <w:rPr>
          <w:lang w:val="en-US"/>
        </w:rPr>
      </w:pPr>
      <w:r>
        <w:sym w:font="Symbol" w:char="F02D"/>
      </w:r>
      <w:r>
        <w:rPr>
          <w:lang w:val="en-US"/>
        </w:rPr>
        <w:tab/>
        <w:t>total bandwidth: about 500 MHz</w:t>
      </w:r>
    </w:p>
    <w:p w:rsidR="001B6B63" w:rsidRDefault="001B6B63">
      <w:pPr>
        <w:pStyle w:val="Headingb"/>
        <w:rPr>
          <w:lang w:val="en-US"/>
        </w:rPr>
      </w:pPr>
      <w:r>
        <w:rPr>
          <w:lang w:val="en-US"/>
        </w:rPr>
        <w:t>Non-GSO satellites (10</w:t>
      </w:r>
      <w:r>
        <w:rPr>
          <w:rFonts w:ascii="Tms Rmn" w:hAnsi="Tms Rmn"/>
          <w:sz w:val="12"/>
          <w:lang w:val="en-US"/>
        </w:rPr>
        <w:t> </w:t>
      </w:r>
      <w:r>
        <w:rPr>
          <w:lang w:val="en-US"/>
        </w:rPr>
        <w:t>000 km altitude assumed):</w:t>
      </w:r>
    </w:p>
    <w:p w:rsidR="001B6B63" w:rsidRDefault="001B6B63">
      <w:pPr>
        <w:rPr>
          <w:lang w:val="en-US"/>
        </w:rPr>
      </w:pPr>
      <w:r>
        <w:rPr>
          <w:i/>
          <w:iCs/>
          <w:lang w:val="en-US"/>
        </w:rPr>
        <w:t>Model MEO1</w:t>
      </w:r>
      <w:r>
        <w:rPr>
          <w:lang w:val="en-US"/>
        </w:rPr>
        <w:t>:</w:t>
      </w:r>
    </w:p>
    <w:p w:rsidR="001B6B63" w:rsidRPr="008157E4" w:rsidRDefault="001B6B63" w:rsidP="008459BF">
      <w:pPr>
        <w:pStyle w:val="enumlev1"/>
        <w:rPr>
          <w:lang w:val="en-US"/>
        </w:rPr>
      </w:pPr>
      <w:r w:rsidRPr="008459BF">
        <w:sym w:font="Symbol" w:char="F02D"/>
      </w:r>
      <w:r w:rsidRPr="008157E4">
        <w:rPr>
          <w:lang w:val="en-US"/>
        </w:rPr>
        <w:tab/>
        <w:t>beam antenna gain: 50 dBi</w:t>
      </w:r>
    </w:p>
    <w:p w:rsidR="001B6B63" w:rsidRPr="008157E4" w:rsidRDefault="001B6B63" w:rsidP="008459BF">
      <w:pPr>
        <w:pStyle w:val="enumlev1"/>
        <w:rPr>
          <w:lang w:val="en-US"/>
        </w:rPr>
      </w:pPr>
      <w:r w:rsidRPr="008459BF">
        <w:sym w:font="Symbol" w:char="F02D"/>
      </w:r>
      <w:r w:rsidRPr="008157E4">
        <w:rPr>
          <w:lang w:val="en-US"/>
        </w:rPr>
        <w:tab/>
        <w:t>number of co-frequency beams: 4</w:t>
      </w:r>
    </w:p>
    <w:p w:rsidR="001B6B63" w:rsidRPr="008157E4" w:rsidRDefault="001B6B63" w:rsidP="008459BF">
      <w:pPr>
        <w:pStyle w:val="enumlev1"/>
        <w:rPr>
          <w:lang w:val="en-US"/>
        </w:rPr>
      </w:pPr>
      <w:r w:rsidRPr="008459BF">
        <w:sym w:font="Symbol" w:char="F02D"/>
      </w:r>
      <w:r w:rsidRPr="008157E4">
        <w:rPr>
          <w:lang w:val="en-US"/>
        </w:rPr>
        <w:tab/>
        <w:t>total transmit power (for all beams): 1.1 kW</w:t>
      </w:r>
    </w:p>
    <w:p w:rsidR="001B6B63" w:rsidRPr="008157E4" w:rsidRDefault="001B6B63" w:rsidP="008459BF">
      <w:pPr>
        <w:pStyle w:val="enumlev1"/>
        <w:rPr>
          <w:lang w:val="en-US"/>
        </w:rPr>
      </w:pPr>
      <w:r w:rsidRPr="008459BF">
        <w:sym w:font="Symbol" w:char="F02D"/>
      </w:r>
      <w:r w:rsidRPr="008157E4">
        <w:rPr>
          <w:lang w:val="en-US"/>
        </w:rPr>
        <w:tab/>
        <w:t>total bandwidth: about 700 MHz</w:t>
      </w:r>
    </w:p>
    <w:p w:rsidR="001B6B63" w:rsidRDefault="001B6B63">
      <w:pPr>
        <w:rPr>
          <w:lang w:val="en-US"/>
        </w:rPr>
      </w:pPr>
      <w:r>
        <w:rPr>
          <w:i/>
          <w:iCs/>
          <w:lang w:val="en-US"/>
        </w:rPr>
        <w:t>Model MEO2</w:t>
      </w:r>
      <w:r>
        <w:rPr>
          <w:lang w:val="en-US"/>
        </w:rPr>
        <w:t>:</w:t>
      </w:r>
    </w:p>
    <w:p w:rsidR="001B6B63" w:rsidRDefault="001B6B63">
      <w:pPr>
        <w:pStyle w:val="enumlev1"/>
        <w:rPr>
          <w:lang w:val="en-US"/>
        </w:rPr>
      </w:pPr>
      <w:r>
        <w:sym w:font="Symbol" w:char="F02D"/>
      </w:r>
      <w:r>
        <w:rPr>
          <w:lang w:val="en-US"/>
        </w:rPr>
        <w:tab/>
        <w:t xml:space="preserve">beam antenna gain: 45 </w:t>
      </w:r>
      <w:proofErr w:type="spellStart"/>
      <w:r>
        <w:rPr>
          <w:lang w:val="en-US"/>
        </w:rPr>
        <w:t>dBi</w:t>
      </w:r>
      <w:proofErr w:type="spellEnd"/>
    </w:p>
    <w:p w:rsidR="001B6B63" w:rsidRDefault="001B6B63">
      <w:pPr>
        <w:pStyle w:val="enumlev1"/>
        <w:rPr>
          <w:lang w:val="en-US"/>
        </w:rPr>
      </w:pPr>
      <w:r>
        <w:sym w:font="Symbol" w:char="F02D"/>
      </w:r>
      <w:r>
        <w:rPr>
          <w:lang w:val="en-US"/>
        </w:rPr>
        <w:tab/>
        <w:t>number of co-frequency beams: 3</w:t>
      </w:r>
    </w:p>
    <w:p w:rsidR="001B6B63" w:rsidRDefault="001B6B63">
      <w:pPr>
        <w:pStyle w:val="enumlev1"/>
        <w:rPr>
          <w:lang w:val="en-US"/>
        </w:rPr>
      </w:pPr>
      <w:r>
        <w:sym w:font="Symbol" w:char="F02D"/>
      </w:r>
      <w:r>
        <w:rPr>
          <w:lang w:val="en-US"/>
        </w:rPr>
        <w:tab/>
        <w:t>total transmit power (for all beams): 1.1 kW</w:t>
      </w:r>
    </w:p>
    <w:p w:rsidR="001B6B63" w:rsidRDefault="001B6B63">
      <w:pPr>
        <w:pStyle w:val="enumlev1"/>
        <w:rPr>
          <w:lang w:val="en-US"/>
        </w:rPr>
      </w:pPr>
      <w:r>
        <w:sym w:font="Symbol" w:char="F02D"/>
      </w:r>
      <w:r>
        <w:rPr>
          <w:lang w:val="en-US"/>
        </w:rPr>
        <w:tab/>
        <w:t>total bandwidth: about 300 MHz</w:t>
      </w:r>
    </w:p>
    <w:p w:rsidR="001B6B63" w:rsidRDefault="001B6B63">
      <w:pPr>
        <w:pStyle w:val="Heading1"/>
        <w:spacing w:before="0"/>
        <w:rPr>
          <w:lang w:val="en-US"/>
        </w:rPr>
      </w:pPr>
      <w:r>
        <w:rPr>
          <w:lang w:val="en-US"/>
        </w:rPr>
        <w:t>4</w:t>
      </w:r>
      <w:r>
        <w:rPr>
          <w:lang w:val="en-US"/>
        </w:rPr>
        <w:tab/>
      </w:r>
      <w:proofErr w:type="spellStart"/>
      <w:r>
        <w:rPr>
          <w:lang w:val="en-US"/>
        </w:rPr>
        <w:t>pfd</w:t>
      </w:r>
      <w:proofErr w:type="spellEnd"/>
      <w:r>
        <w:rPr>
          <w:lang w:val="en-US"/>
        </w:rPr>
        <w:t xml:space="preserve"> distribution</w:t>
      </w:r>
    </w:p>
    <w:p w:rsidR="001B6B63" w:rsidRDefault="001B6B63">
      <w:pPr>
        <w:pStyle w:val="Heading2"/>
        <w:rPr>
          <w:lang w:val="en-US"/>
        </w:rPr>
      </w:pPr>
      <w:r>
        <w:rPr>
          <w:lang w:val="en-US"/>
        </w:rPr>
        <w:t>4.1</w:t>
      </w:r>
      <w:r>
        <w:rPr>
          <w:lang w:val="en-US"/>
        </w:rPr>
        <w:tab/>
        <w:t>Principles</w:t>
      </w:r>
    </w:p>
    <w:p w:rsidR="001B6B63" w:rsidRDefault="001B6B63">
      <w:pPr>
        <w:rPr>
          <w:lang w:val="en-US"/>
        </w:rPr>
      </w:pPr>
      <w:r>
        <w:rPr>
          <w:lang w:val="en-US"/>
        </w:rPr>
        <w:t xml:space="preserve">As already stated above, the </w:t>
      </w:r>
      <w:proofErr w:type="spellStart"/>
      <w:r>
        <w:rPr>
          <w:lang w:val="en-US"/>
        </w:rPr>
        <w:t>pfd</w:t>
      </w:r>
      <w:proofErr w:type="spellEnd"/>
      <w:r>
        <w:rPr>
          <w:lang w:val="en-US"/>
        </w:rPr>
        <w:t xml:space="preserve"> produced by a given satellite, at any point on the surface of the Earth, depends on its transmitted power, antenna gain and antenna pattern.</w:t>
      </w:r>
    </w:p>
    <w:p w:rsidR="001B6B63" w:rsidRDefault="001B6B63">
      <w:pPr>
        <w:rPr>
          <w:lang w:val="en-US"/>
        </w:rPr>
      </w:pPr>
      <w:r>
        <w:rPr>
          <w:lang w:val="en-US"/>
        </w:rPr>
        <w:t xml:space="preserve">Furthermore, as shown in Fig. 3, the maximum </w:t>
      </w:r>
      <w:proofErr w:type="spellStart"/>
      <w:r>
        <w:rPr>
          <w:lang w:val="en-US"/>
        </w:rPr>
        <w:t>pfd</w:t>
      </w:r>
      <w:proofErr w:type="spellEnd"/>
      <w:r>
        <w:rPr>
          <w:lang w:val="en-US"/>
        </w:rPr>
        <w:t xml:space="preserve"> available in the main beam is mainly controlled by the regulatory </w:t>
      </w:r>
      <w:proofErr w:type="spellStart"/>
      <w:r>
        <w:rPr>
          <w:lang w:val="en-US"/>
        </w:rPr>
        <w:t>pfd</w:t>
      </w:r>
      <w:proofErr w:type="spellEnd"/>
      <w:r>
        <w:rPr>
          <w:lang w:val="en-US"/>
        </w:rPr>
        <w:t xml:space="preserve"> limit and the antenna pattern. In many cases, depending on the pointing elevation of the satellite, the </w:t>
      </w:r>
      <w:proofErr w:type="spellStart"/>
      <w:r>
        <w:rPr>
          <w:lang w:val="en-US"/>
        </w:rPr>
        <w:t>pfd</w:t>
      </w:r>
      <w:proofErr w:type="spellEnd"/>
      <w:r>
        <w:rPr>
          <w:lang w:val="en-US"/>
        </w:rPr>
        <w:t xml:space="preserve"> in the main beam is lower than the one given by the </w:t>
      </w:r>
      <w:proofErr w:type="spellStart"/>
      <w:r>
        <w:rPr>
          <w:lang w:val="en-US"/>
        </w:rPr>
        <w:t>pfd</w:t>
      </w:r>
      <w:proofErr w:type="spellEnd"/>
      <w:r>
        <w:rPr>
          <w:lang w:val="en-US"/>
        </w:rPr>
        <w:t xml:space="preserve"> mask in order to stay within the mask for lower elevation (such as for Elevations </w:t>
      </w:r>
      <w:r>
        <w:rPr>
          <w:i/>
          <w:iCs/>
          <w:lang w:val="en-US"/>
        </w:rPr>
        <w:t>a</w:t>
      </w:r>
      <w:r>
        <w:rPr>
          <w:lang w:val="en-US"/>
        </w:rPr>
        <w:t xml:space="preserve"> and </w:t>
      </w:r>
      <w:r>
        <w:rPr>
          <w:i/>
          <w:iCs/>
          <w:lang w:val="en-US"/>
        </w:rPr>
        <w:t>c</w:t>
      </w:r>
      <w:r>
        <w:rPr>
          <w:lang w:val="en-US"/>
        </w:rPr>
        <w:t xml:space="preserve"> in Fig. 3).</w:t>
      </w:r>
    </w:p>
    <w:p w:rsidR="001B6B63" w:rsidRDefault="00FB4263">
      <w:pPr>
        <w:pStyle w:val="FigureNo"/>
      </w:pPr>
      <w:r>
        <w:rPr>
          <w:noProof/>
          <w:lang w:val="en-US" w:eastAsia="zh-CN"/>
        </w:rPr>
        <w:lastRenderedPageBreak/>
        <w:drawing>
          <wp:inline distT="0" distB="0" distL="0" distR="0">
            <wp:extent cx="3136900" cy="2667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900" cy="2667000"/>
                    </a:xfrm>
                    <a:prstGeom prst="rect">
                      <a:avLst/>
                    </a:prstGeom>
                    <a:noFill/>
                    <a:ln>
                      <a:noFill/>
                    </a:ln>
                  </pic:spPr>
                </pic:pic>
              </a:graphicData>
            </a:graphic>
          </wp:inline>
        </w:drawing>
      </w:r>
    </w:p>
    <w:p w:rsidR="001B6B63" w:rsidRDefault="001B6B63">
      <w:pPr>
        <w:rPr>
          <w:lang w:val="en-US"/>
        </w:rPr>
      </w:pPr>
      <w:r>
        <w:rPr>
          <w:lang w:val="en-US"/>
        </w:rPr>
        <w:t xml:space="preserve">Furthermore, as described in Figs. 4 and 5, a satellite seen from a given point A on the Earth with an Elevation </w:t>
      </w:r>
      <w:r>
        <w:rPr>
          <w:i/>
          <w:iCs/>
          <w:lang w:val="en-US"/>
        </w:rPr>
        <w:t>x</w:t>
      </w:r>
      <w:r>
        <w:rPr>
          <w:lang w:val="en-US"/>
        </w:rPr>
        <w:t xml:space="preserve">, does not generally produce a constant </w:t>
      </w:r>
      <w:proofErr w:type="spellStart"/>
      <w:r>
        <w:rPr>
          <w:lang w:val="en-US"/>
        </w:rPr>
        <w:t>pfd</w:t>
      </w:r>
      <w:proofErr w:type="spellEnd"/>
      <w:r>
        <w:rPr>
          <w:lang w:val="en-US"/>
        </w:rPr>
        <w:t xml:space="preserve"> at A. The received </w:t>
      </w:r>
      <w:proofErr w:type="spellStart"/>
      <w:r>
        <w:rPr>
          <w:lang w:val="en-US"/>
        </w:rPr>
        <w:t>pfd</w:t>
      </w:r>
      <w:proofErr w:type="spellEnd"/>
      <w:r>
        <w:rPr>
          <w:lang w:val="en-US"/>
        </w:rPr>
        <w:t xml:space="preserve"> level at A varies based on the satellite downlink beam pointing direction and may also vary based upon traffic load. However, this latter characteristic is not taken into account in this methodology. </w:t>
      </w:r>
    </w:p>
    <w:p w:rsidR="001B6B63" w:rsidRDefault="00FB4263" w:rsidP="008459BF">
      <w:pPr>
        <w:pStyle w:val="FigureNo"/>
        <w:keepNext w:val="0"/>
        <w:keepLines w:val="0"/>
        <w:spacing w:before="240"/>
      </w:pPr>
      <w:r>
        <w:rPr>
          <w:noProof/>
          <w:lang w:val="en-US" w:eastAsia="zh-CN"/>
        </w:rPr>
        <w:drawing>
          <wp:inline distT="0" distB="0" distL="0" distR="0">
            <wp:extent cx="3524250" cy="230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p w:rsidR="001B6B63" w:rsidRDefault="00FB4263" w:rsidP="008459BF">
      <w:pPr>
        <w:pStyle w:val="FigureNo"/>
        <w:keepNext w:val="0"/>
        <w:keepLines w:val="0"/>
      </w:pPr>
      <w:r>
        <w:rPr>
          <w:noProof/>
          <w:lang w:val="en-US" w:eastAsia="zh-CN"/>
        </w:rPr>
        <w:lastRenderedPageBreak/>
        <w:drawing>
          <wp:inline distT="0" distB="0" distL="0" distR="0">
            <wp:extent cx="3524250" cy="291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914650"/>
                    </a:xfrm>
                    <a:prstGeom prst="rect">
                      <a:avLst/>
                    </a:prstGeom>
                    <a:noFill/>
                    <a:ln>
                      <a:noFill/>
                    </a:ln>
                  </pic:spPr>
                </pic:pic>
              </a:graphicData>
            </a:graphic>
          </wp:inline>
        </w:drawing>
      </w:r>
    </w:p>
    <w:p w:rsidR="001B6B63" w:rsidRDefault="001B6B63">
      <w:pPr>
        <w:spacing w:line="280" w:lineRule="exact"/>
        <w:rPr>
          <w:lang w:val="en-US"/>
        </w:rPr>
      </w:pPr>
      <w:r>
        <w:rPr>
          <w:lang w:val="en-US"/>
        </w:rPr>
        <w:t xml:space="preserve">In Fig. 4, it can be seen that the pointing direction of the satellite beam is close to point A and that the antenna discrimination angle, </w:t>
      </w:r>
      <w:r>
        <w:rPr>
          <w:rFonts w:ascii="Symbol" w:hAnsi="Symbol"/>
        </w:rPr>
        <w:t></w:t>
      </w:r>
      <w:r>
        <w:rPr>
          <w:lang w:val="en-US"/>
        </w:rPr>
        <w:t xml:space="preserve">, is relatively small. On the other hand, in Fig. 5, the pointing direction of the satellite beam is different and the antenna discrimination angle, </w:t>
      </w:r>
      <w:r>
        <w:rPr>
          <w:i/>
          <w:iCs/>
          <w:position w:val="-10"/>
        </w:rPr>
        <w:object w:dxaOrig="340" w:dyaOrig="320">
          <v:shape id="_x0000_i1030" type="#_x0000_t75" style="width:17pt;height:16pt" o:ole="">
            <v:imagedata r:id="rId29" o:title=""/>
          </v:shape>
          <o:OLEObject Type="Embed" ProgID="Equation.3" ShapeID="_x0000_i1030" DrawAspect="Content" ObjectID="_1385565017" r:id="rId30"/>
        </w:object>
      </w:r>
      <w:r>
        <w:rPr>
          <w:lang w:val="en-US"/>
        </w:rPr>
        <w:t xml:space="preserve"> is bigger than </w:t>
      </w:r>
      <w:r>
        <w:rPr>
          <w:rFonts w:ascii="Symbol" w:hAnsi="Symbol"/>
        </w:rPr>
        <w:t></w:t>
      </w:r>
      <w:r>
        <w:rPr>
          <w:lang w:val="en-US"/>
        </w:rPr>
        <w:t xml:space="preserve">. Furthermore, and as explained above, the </w:t>
      </w:r>
      <w:proofErr w:type="spellStart"/>
      <w:r>
        <w:rPr>
          <w:lang w:val="en-US"/>
        </w:rPr>
        <w:t>pfd</w:t>
      </w:r>
      <w:proofErr w:type="spellEnd"/>
      <w:r>
        <w:rPr>
          <w:lang w:val="en-US"/>
        </w:rPr>
        <w:t xml:space="preserve"> in the main beam for these two examples can be different.</w:t>
      </w:r>
    </w:p>
    <w:p w:rsidR="001B6B63" w:rsidRDefault="001B6B63">
      <w:pPr>
        <w:rPr>
          <w:lang w:val="en-US"/>
        </w:rPr>
      </w:pPr>
      <w:r>
        <w:rPr>
          <w:lang w:val="en-US"/>
        </w:rPr>
        <w:t xml:space="preserve">Therefore, the </w:t>
      </w:r>
      <w:proofErr w:type="spellStart"/>
      <w:r>
        <w:rPr>
          <w:lang w:val="en-US"/>
        </w:rPr>
        <w:t>pfd</w:t>
      </w:r>
      <w:proofErr w:type="spellEnd"/>
      <w:r>
        <w:rPr>
          <w:lang w:val="en-US"/>
        </w:rPr>
        <w:t xml:space="preserve"> produced at point A can be different even though the satellite is at exactly the same position. </w:t>
      </w:r>
    </w:p>
    <w:p w:rsidR="001B6B63" w:rsidRDefault="001B6B63">
      <w:pPr>
        <w:rPr>
          <w:lang w:val="en-US"/>
        </w:rPr>
      </w:pPr>
      <w:r>
        <w:rPr>
          <w:lang w:val="en-US"/>
        </w:rPr>
        <w:t xml:space="preserve">The </w:t>
      </w:r>
      <w:proofErr w:type="spellStart"/>
      <w:r>
        <w:rPr>
          <w:lang w:val="en-US"/>
        </w:rPr>
        <w:t>pfd</w:t>
      </w:r>
      <w:proofErr w:type="spellEnd"/>
      <w:r>
        <w:rPr>
          <w:lang w:val="en-US"/>
        </w:rPr>
        <w:t xml:space="preserve"> radiated in A can be easily calculated as follows:</w:t>
      </w:r>
    </w:p>
    <w:p w:rsidR="001B6B63" w:rsidRDefault="001B6B63">
      <w:pPr>
        <w:pStyle w:val="Equation"/>
        <w:spacing w:before="240"/>
        <w:rPr>
          <w:lang w:val="en-US"/>
        </w:rPr>
      </w:pPr>
      <w:r>
        <w:rPr>
          <w:lang w:val="en-US"/>
        </w:rPr>
        <w:tab/>
      </w:r>
      <w:r>
        <w:rPr>
          <w:lang w:val="en-US"/>
        </w:rPr>
        <w:tab/>
      </w:r>
      <w:r>
        <w:rPr>
          <w:position w:val="-12"/>
        </w:rPr>
        <w:object w:dxaOrig="4140" w:dyaOrig="360">
          <v:shape id="_x0000_i1031" type="#_x0000_t75" style="width:207pt;height:18pt" o:ole="" fillcolor="window">
            <v:imagedata r:id="rId31" o:title=""/>
          </v:shape>
          <o:OLEObject Type="Embed" ProgID="Equation.3" ShapeID="_x0000_i1031" DrawAspect="Content" ObjectID="_1385565018" r:id="rId32"/>
        </w:object>
      </w:r>
      <w:r>
        <w:rPr>
          <w:lang w:val="en-US"/>
        </w:rPr>
        <w:tab/>
        <w:t>(4)</w:t>
      </w:r>
    </w:p>
    <w:p w:rsidR="001B6B63" w:rsidRDefault="001B6B63">
      <w:pPr>
        <w:rPr>
          <w:lang w:val="en-US"/>
        </w:rPr>
      </w:pPr>
      <w:r>
        <w:rPr>
          <w:lang w:val="en-US"/>
        </w:rPr>
        <w:t>where:</w:t>
      </w:r>
    </w:p>
    <w:p w:rsidR="001B6B63" w:rsidRDefault="001B6B63">
      <w:pPr>
        <w:pStyle w:val="Equationlegend"/>
      </w:pPr>
      <w:r>
        <w:tab/>
      </w:r>
      <w:proofErr w:type="spellStart"/>
      <w:r>
        <w:rPr>
          <w:i/>
          <w:iCs/>
        </w:rPr>
        <w:t>pfd</w:t>
      </w:r>
      <w:r>
        <w:rPr>
          <w:i/>
          <w:iCs/>
          <w:vertAlign w:val="subscript"/>
        </w:rPr>
        <w:t>A</w:t>
      </w:r>
      <w:proofErr w:type="spellEnd"/>
      <w:r>
        <w:rPr>
          <w:rFonts w:ascii="Tms Rmn" w:hAnsi="Tms Rmn"/>
          <w:sz w:val="12"/>
        </w:rPr>
        <w:t> </w:t>
      </w:r>
      <w:r>
        <w:t>:</w:t>
      </w:r>
      <w:r>
        <w:tab/>
      </w:r>
      <w:proofErr w:type="spellStart"/>
      <w:r>
        <w:t>pfd</w:t>
      </w:r>
      <w:proofErr w:type="spellEnd"/>
      <w:r>
        <w:t xml:space="preserve"> radiated in A (dB(W/MHz))</w:t>
      </w:r>
    </w:p>
    <w:p w:rsidR="001B6B63" w:rsidRDefault="001B6B63">
      <w:pPr>
        <w:pStyle w:val="Equationlegend"/>
      </w:pPr>
      <w:r>
        <w:tab/>
      </w:r>
      <w:proofErr w:type="spellStart"/>
      <w:r>
        <w:rPr>
          <w:i/>
          <w:iCs/>
        </w:rPr>
        <w:t>pfd</w:t>
      </w:r>
      <w:r>
        <w:rPr>
          <w:i/>
          <w:iCs/>
          <w:vertAlign w:val="subscript"/>
        </w:rPr>
        <w:t>mb</w:t>
      </w:r>
      <w:proofErr w:type="spellEnd"/>
      <w:r>
        <w:rPr>
          <w:rFonts w:ascii="Tms Rmn" w:hAnsi="Tms Rmn"/>
          <w:sz w:val="12"/>
        </w:rPr>
        <w:t> </w:t>
      </w:r>
      <w:r>
        <w:t>:</w:t>
      </w:r>
      <w:r>
        <w:tab/>
      </w:r>
      <w:proofErr w:type="spellStart"/>
      <w:r>
        <w:t>pfd</w:t>
      </w:r>
      <w:proofErr w:type="spellEnd"/>
      <w:r>
        <w:t xml:space="preserve"> radiated in the main beam (dB(W/MHz))</w:t>
      </w:r>
    </w:p>
    <w:p w:rsidR="001B6B63" w:rsidRDefault="001B6B63">
      <w:pPr>
        <w:pStyle w:val="Equationlegend"/>
        <w:ind w:left="1980" w:hanging="1980"/>
      </w:pPr>
      <w:r>
        <w:tab/>
      </w:r>
      <w:proofErr w:type="spellStart"/>
      <w:r>
        <w:rPr>
          <w:i/>
          <w:iCs/>
        </w:rPr>
        <w:t>L</w:t>
      </w:r>
      <w:r>
        <w:rPr>
          <w:i/>
          <w:iCs/>
          <w:vertAlign w:val="subscript"/>
        </w:rPr>
        <w:t>mb</w:t>
      </w:r>
      <w:proofErr w:type="spellEnd"/>
      <w:r>
        <w:rPr>
          <w:rFonts w:ascii="Tms Rmn" w:hAnsi="Tms Rmn"/>
          <w:sz w:val="12"/>
        </w:rPr>
        <w:t> </w:t>
      </w:r>
      <w:r>
        <w:t>:</w:t>
      </w:r>
      <w:r>
        <w:tab/>
        <w:t xml:space="preserve">free space losses between the satellite and the </w:t>
      </w:r>
      <w:proofErr w:type="spellStart"/>
      <w:r>
        <w:t>centre</w:t>
      </w:r>
      <w:proofErr w:type="spellEnd"/>
      <w:r>
        <w:t xml:space="preserve"> of its beam at the Earth's surface (dB)</w:t>
      </w:r>
    </w:p>
    <w:p w:rsidR="001B6B63" w:rsidRDefault="001B6B63">
      <w:pPr>
        <w:pStyle w:val="Equationlegend"/>
      </w:pPr>
      <w:r>
        <w:tab/>
      </w:r>
      <w:proofErr w:type="spellStart"/>
      <w:r>
        <w:rPr>
          <w:i/>
          <w:iCs/>
        </w:rPr>
        <w:t>G</w:t>
      </w:r>
      <w:r>
        <w:rPr>
          <w:i/>
          <w:iCs/>
          <w:vertAlign w:val="subscript"/>
        </w:rPr>
        <w:t>max</w:t>
      </w:r>
      <w:proofErr w:type="spellEnd"/>
      <w:r>
        <w:rPr>
          <w:rFonts w:ascii="Tms Rmn" w:hAnsi="Tms Rmn"/>
          <w:sz w:val="12"/>
        </w:rPr>
        <w:t> </w:t>
      </w:r>
      <w:r>
        <w:t>:</w:t>
      </w:r>
      <w:r>
        <w:tab/>
        <w:t>maximum satellite antenna gain (</w:t>
      </w:r>
      <w:proofErr w:type="spellStart"/>
      <w:r>
        <w:t>dBi</w:t>
      </w:r>
      <w:proofErr w:type="spellEnd"/>
      <w:r>
        <w:t>)</w:t>
      </w:r>
    </w:p>
    <w:p w:rsidR="001B6B63" w:rsidRDefault="001B6B63">
      <w:pPr>
        <w:pStyle w:val="Equationlegend"/>
      </w:pPr>
      <w:r>
        <w:tab/>
      </w:r>
      <w:proofErr w:type="spellStart"/>
      <w:r>
        <w:rPr>
          <w:i/>
          <w:iCs/>
        </w:rPr>
        <w:t>G</w:t>
      </w:r>
      <w:r>
        <w:rPr>
          <w:i/>
          <w:iCs/>
          <w:vertAlign w:val="subscript"/>
        </w:rPr>
        <w:t>discri</w:t>
      </w:r>
      <w:proofErr w:type="spellEnd"/>
      <w:r>
        <w:rPr>
          <w:rFonts w:ascii="Tms Rmn" w:hAnsi="Tms Rmn"/>
          <w:sz w:val="12"/>
        </w:rPr>
        <w:t> </w:t>
      </w:r>
      <w:r>
        <w:t>:</w:t>
      </w:r>
      <w:r>
        <w:tab/>
        <w:t>relative antenna gain in the direction of point A (</w:t>
      </w:r>
      <w:proofErr w:type="spellStart"/>
      <w:r>
        <w:t>dBi</w:t>
      </w:r>
      <w:proofErr w:type="spellEnd"/>
      <w:r>
        <w:t>)</w:t>
      </w:r>
    </w:p>
    <w:p w:rsidR="001B6B63" w:rsidRDefault="001B6B63">
      <w:pPr>
        <w:pStyle w:val="Equationlegend"/>
      </w:pPr>
      <w:r>
        <w:tab/>
      </w:r>
      <w:r>
        <w:rPr>
          <w:i/>
          <w:iCs/>
        </w:rPr>
        <w:t>L</w:t>
      </w:r>
      <w:r>
        <w:rPr>
          <w:i/>
          <w:iCs/>
          <w:vertAlign w:val="subscript"/>
        </w:rPr>
        <w:t>A</w:t>
      </w:r>
      <w:r>
        <w:rPr>
          <w:rFonts w:ascii="Tms Rmn" w:hAnsi="Tms Rmn"/>
          <w:sz w:val="12"/>
        </w:rPr>
        <w:t> </w:t>
      </w:r>
      <w:r>
        <w:t>:</w:t>
      </w:r>
      <w:r>
        <w:rPr>
          <w:vertAlign w:val="subscript"/>
        </w:rPr>
        <w:tab/>
      </w:r>
      <w:r>
        <w:t>free space losses between the satellite and A (dB).</w:t>
      </w:r>
    </w:p>
    <w:p w:rsidR="001B6B63" w:rsidRDefault="001B6B63">
      <w:pPr>
        <w:rPr>
          <w:lang w:val="en-US"/>
        </w:rPr>
      </w:pPr>
      <w:r>
        <w:rPr>
          <w:lang w:val="en-US"/>
        </w:rPr>
        <w:t xml:space="preserve">On this basis, and by varying the pointing direction of the satellite in all possible directions from its position, it is possible to determine the distribution of the </w:t>
      </w:r>
      <w:proofErr w:type="spellStart"/>
      <w:r>
        <w:rPr>
          <w:lang w:val="en-US"/>
        </w:rPr>
        <w:t>pfd</w:t>
      </w:r>
      <w:proofErr w:type="spellEnd"/>
      <w:r>
        <w:rPr>
          <w:lang w:val="en-US"/>
        </w:rPr>
        <w:t xml:space="preserve"> values that a satellite can produce for a given elevation as described in Fig. 6.</w:t>
      </w:r>
    </w:p>
    <w:p w:rsidR="001B6B63" w:rsidRDefault="00FB4263">
      <w:pPr>
        <w:pStyle w:val="FigureNo"/>
      </w:pPr>
      <w:r>
        <w:rPr>
          <w:noProof/>
          <w:lang w:val="en-US" w:eastAsia="zh-CN"/>
        </w:rPr>
        <w:lastRenderedPageBreak/>
        <w:drawing>
          <wp:inline distT="0" distB="0" distL="0" distR="0">
            <wp:extent cx="4546600" cy="2647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6600" cy="2647950"/>
                    </a:xfrm>
                    <a:prstGeom prst="rect">
                      <a:avLst/>
                    </a:prstGeom>
                    <a:noFill/>
                    <a:ln>
                      <a:noFill/>
                    </a:ln>
                  </pic:spPr>
                </pic:pic>
              </a:graphicData>
            </a:graphic>
          </wp:inline>
        </w:drawing>
      </w:r>
    </w:p>
    <w:p w:rsidR="001B6B63" w:rsidRDefault="001B6B63">
      <w:pPr>
        <w:rPr>
          <w:lang w:val="en-US"/>
        </w:rPr>
      </w:pPr>
      <w:r>
        <w:rPr>
          <w:lang w:val="en-US"/>
        </w:rPr>
        <w:t xml:space="preserve">In addition, considering all the elevation angles for a given case (see calculation in Appendix 1), it is possible to draw the worst-case </w:t>
      </w:r>
      <w:proofErr w:type="spellStart"/>
      <w:r>
        <w:rPr>
          <w:lang w:val="en-US"/>
        </w:rPr>
        <w:t>pfd</w:t>
      </w:r>
      <w:proofErr w:type="spellEnd"/>
      <w:r>
        <w:rPr>
          <w:lang w:val="en-US"/>
        </w:rPr>
        <w:t xml:space="preserve"> mask by combining the maximum from each distribution and to compare it, such as on Fig. 7, with the regulatory </w:t>
      </w:r>
      <w:proofErr w:type="spellStart"/>
      <w:r>
        <w:rPr>
          <w:lang w:val="en-US"/>
        </w:rPr>
        <w:t>pfd</w:t>
      </w:r>
      <w:proofErr w:type="spellEnd"/>
      <w:r>
        <w:rPr>
          <w:lang w:val="en-US"/>
        </w:rPr>
        <w:t xml:space="preserve"> mask. </w:t>
      </w:r>
    </w:p>
    <w:p w:rsidR="001B6B63" w:rsidRDefault="001B6B63">
      <w:pPr>
        <w:rPr>
          <w:lang w:val="en-US"/>
        </w:rPr>
      </w:pPr>
      <w:r>
        <w:rPr>
          <w:lang w:val="en-US"/>
        </w:rPr>
        <w:t xml:space="preserve">It is also possible, such as on Fig. 7, to plot a similar combined </w:t>
      </w:r>
      <w:proofErr w:type="spellStart"/>
      <w:r>
        <w:rPr>
          <w:lang w:val="en-US"/>
        </w:rPr>
        <w:t>pfd</w:t>
      </w:r>
      <w:proofErr w:type="spellEnd"/>
      <w:r>
        <w:rPr>
          <w:lang w:val="en-US"/>
        </w:rPr>
        <w:t xml:space="preserve"> mask representing a given percentage (e.g. 99.9% and 99.5% of the cases).</w:t>
      </w:r>
    </w:p>
    <w:p w:rsidR="001B6B63" w:rsidRDefault="00FB4263" w:rsidP="008459BF">
      <w:pPr>
        <w:pStyle w:val="FigureNo"/>
        <w:keepNext w:val="0"/>
        <w:keepLines w:val="0"/>
      </w:pPr>
      <w:r>
        <w:rPr>
          <w:noProof/>
          <w:lang w:val="en-US" w:eastAsia="zh-CN"/>
        </w:rPr>
        <w:drawing>
          <wp:inline distT="0" distB="0" distL="0" distR="0">
            <wp:extent cx="5480050" cy="3924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0050" cy="3924300"/>
                    </a:xfrm>
                    <a:prstGeom prst="rect">
                      <a:avLst/>
                    </a:prstGeom>
                    <a:noFill/>
                    <a:ln>
                      <a:noFill/>
                    </a:ln>
                  </pic:spPr>
                </pic:pic>
              </a:graphicData>
            </a:graphic>
          </wp:inline>
        </w:drawing>
      </w:r>
    </w:p>
    <w:p w:rsidR="001B6B63" w:rsidRDefault="001B6B63">
      <w:pPr>
        <w:pStyle w:val="Heading2"/>
        <w:rPr>
          <w:lang w:val="en-US"/>
        </w:rPr>
      </w:pPr>
      <w:r>
        <w:rPr>
          <w:lang w:val="en-US"/>
        </w:rPr>
        <w:lastRenderedPageBreak/>
        <w:t>4.2</w:t>
      </w:r>
      <w:r>
        <w:rPr>
          <w:lang w:val="en-US"/>
        </w:rPr>
        <w:tab/>
        <w:t>Antenna models</w:t>
      </w:r>
    </w:p>
    <w:p w:rsidR="001B6B63" w:rsidRDefault="001B6B63">
      <w:pPr>
        <w:pStyle w:val="Heading3"/>
        <w:rPr>
          <w:lang w:val="en-US"/>
        </w:rPr>
      </w:pPr>
      <w:r>
        <w:rPr>
          <w:lang w:val="en-US"/>
        </w:rPr>
        <w:t>4.2.1</w:t>
      </w:r>
      <w:r>
        <w:rPr>
          <w:lang w:val="en-US"/>
        </w:rPr>
        <w:tab/>
        <w:t>Single beam satellite models</w:t>
      </w:r>
    </w:p>
    <w:p w:rsidR="001B6B63" w:rsidRDefault="001B6B63">
      <w:pPr>
        <w:keepNext/>
        <w:keepLines/>
        <w:rPr>
          <w:lang w:val="en-US"/>
        </w:rPr>
      </w:pPr>
      <w:r>
        <w:rPr>
          <w:lang w:val="en-US"/>
        </w:rPr>
        <w:t xml:space="preserve">For a single beam satellite, Figs. 4 and 5 give an adequate representation of the situation, but the resulting </w:t>
      </w:r>
      <w:proofErr w:type="spellStart"/>
      <w:r>
        <w:rPr>
          <w:lang w:val="en-US"/>
        </w:rPr>
        <w:t>pfd</w:t>
      </w:r>
      <w:proofErr w:type="spellEnd"/>
      <w:r>
        <w:rPr>
          <w:lang w:val="en-US"/>
        </w:rPr>
        <w:t xml:space="preserve"> depends on the assumed antenna pattern. </w:t>
      </w:r>
    </w:p>
    <w:p w:rsidR="001B6B63" w:rsidRDefault="001B6B63">
      <w:pPr>
        <w:keepNext/>
        <w:keepLines/>
        <w:rPr>
          <w:lang w:val="en-US"/>
        </w:rPr>
      </w:pPr>
      <w:r>
        <w:rPr>
          <w:lang w:val="en-US"/>
        </w:rPr>
        <w:t>Recommendation ITU-R S.672 provides satellite antenna radiation pattern for use as a design objective in the fixed-satellite service employing geostationary satellites. For non-GSO satellites, there is no such general Recommendation, but Recommendation ITU-R S.1528 provides patterns for non-GSO satellites below 30 GHz and guidance for the bands above 30 GHz.</w:t>
      </w:r>
    </w:p>
    <w:p w:rsidR="001B6B63" w:rsidRDefault="001B6B63">
      <w:pPr>
        <w:rPr>
          <w:lang w:val="en-US"/>
        </w:rPr>
      </w:pPr>
      <w:r>
        <w:rPr>
          <w:lang w:val="en-US"/>
        </w:rPr>
        <w:t>It has to be noted that the single beam satellite model may not be appropriate for use in all frequency bands.</w:t>
      </w:r>
    </w:p>
    <w:p w:rsidR="001B6B63" w:rsidRDefault="001B6B63">
      <w:pPr>
        <w:pStyle w:val="Heading3"/>
        <w:rPr>
          <w:lang w:val="en-US"/>
        </w:rPr>
      </w:pPr>
      <w:r>
        <w:rPr>
          <w:lang w:val="en-US"/>
        </w:rPr>
        <w:t>4.2.2</w:t>
      </w:r>
      <w:r>
        <w:rPr>
          <w:lang w:val="en-US"/>
        </w:rPr>
        <w:tab/>
      </w:r>
      <w:proofErr w:type="spellStart"/>
      <w:r>
        <w:rPr>
          <w:lang w:val="en-US"/>
        </w:rPr>
        <w:t>Multibeam</w:t>
      </w:r>
      <w:proofErr w:type="spellEnd"/>
      <w:r>
        <w:rPr>
          <w:lang w:val="en-US"/>
        </w:rPr>
        <w:t xml:space="preserve"> satellite models</w:t>
      </w:r>
    </w:p>
    <w:p w:rsidR="001B6B63" w:rsidRDefault="001B6B63">
      <w:pPr>
        <w:rPr>
          <w:lang w:val="en-US"/>
        </w:rPr>
      </w:pPr>
      <w:r>
        <w:rPr>
          <w:lang w:val="en-US"/>
        </w:rPr>
        <w:t xml:space="preserve">For </w:t>
      </w:r>
      <w:proofErr w:type="spellStart"/>
      <w:r>
        <w:rPr>
          <w:lang w:val="en-US"/>
        </w:rPr>
        <w:t>multibeam</w:t>
      </w:r>
      <w:proofErr w:type="spellEnd"/>
      <w:r>
        <w:rPr>
          <w:lang w:val="en-US"/>
        </w:rPr>
        <w:t xml:space="preserve"> satellite models such as the GEO or MEO models described in § 3, the representation of the situation is different since in this case the aggregate impact of all the antennas has to be taken into account, as shown on Fig. 8.</w:t>
      </w:r>
    </w:p>
    <w:p w:rsidR="001B6B63" w:rsidRDefault="00FB4263">
      <w:pPr>
        <w:pStyle w:val="FigureNo"/>
      </w:pPr>
      <w:r>
        <w:rPr>
          <w:noProof/>
          <w:lang w:val="en-US" w:eastAsia="zh-CN"/>
        </w:rPr>
        <w:drawing>
          <wp:inline distT="0" distB="0" distL="0" distR="0">
            <wp:extent cx="3714750" cy="291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914650"/>
                    </a:xfrm>
                    <a:prstGeom prst="rect">
                      <a:avLst/>
                    </a:prstGeom>
                    <a:noFill/>
                    <a:ln>
                      <a:noFill/>
                    </a:ln>
                  </pic:spPr>
                </pic:pic>
              </a:graphicData>
            </a:graphic>
          </wp:inline>
        </w:drawing>
      </w:r>
    </w:p>
    <w:p w:rsidR="001B6B63" w:rsidRDefault="001B6B63">
      <w:pPr>
        <w:rPr>
          <w:lang w:val="en-GB"/>
        </w:rPr>
      </w:pPr>
      <w:r>
        <w:rPr>
          <w:lang w:val="en-GB"/>
        </w:rPr>
        <w:t xml:space="preserve">The </w:t>
      </w:r>
      <w:proofErr w:type="spellStart"/>
      <w:r>
        <w:rPr>
          <w:lang w:val="en-GB"/>
        </w:rPr>
        <w:t>pfd</w:t>
      </w:r>
      <w:proofErr w:type="spellEnd"/>
      <w:r>
        <w:rPr>
          <w:lang w:val="en-GB"/>
        </w:rPr>
        <w:t xml:space="preserve"> value at point A is the aggregation of the </w:t>
      </w:r>
      <w:proofErr w:type="spellStart"/>
      <w:r>
        <w:rPr>
          <w:lang w:val="en-GB"/>
        </w:rPr>
        <w:t>pfd</w:t>
      </w:r>
      <w:proofErr w:type="spellEnd"/>
      <w:r>
        <w:rPr>
          <w:lang w:val="en-GB"/>
        </w:rPr>
        <w:t xml:space="preserve"> produced by each single beam antenna in the direction</w:t>
      </w:r>
      <w:r>
        <w:rPr>
          <w:sz w:val="20"/>
          <w:lang w:val="en-GB"/>
        </w:rPr>
        <w:t xml:space="preserve"> </w:t>
      </w:r>
      <w:r>
        <w:rPr>
          <w:lang w:val="en-GB"/>
        </w:rPr>
        <w:t>of</w:t>
      </w:r>
      <w:r>
        <w:rPr>
          <w:sz w:val="20"/>
          <w:lang w:val="en-GB"/>
        </w:rPr>
        <w:t xml:space="preserve"> </w:t>
      </w:r>
      <w:r>
        <w:rPr>
          <w:lang w:val="en-GB"/>
        </w:rPr>
        <w:t>point</w:t>
      </w:r>
      <w:r>
        <w:rPr>
          <w:sz w:val="20"/>
          <w:lang w:val="en-GB"/>
        </w:rPr>
        <w:t xml:space="preserve"> </w:t>
      </w:r>
      <w:r>
        <w:rPr>
          <w:lang w:val="en-GB"/>
        </w:rPr>
        <w:t>A,</w:t>
      </w:r>
      <w:r>
        <w:rPr>
          <w:sz w:val="20"/>
          <w:lang w:val="en-GB"/>
        </w:rPr>
        <w:t xml:space="preserve"> </w:t>
      </w:r>
      <w:r>
        <w:rPr>
          <w:lang w:val="en-GB"/>
        </w:rPr>
        <w:t>each</w:t>
      </w:r>
      <w:r>
        <w:rPr>
          <w:sz w:val="20"/>
          <w:lang w:val="en-GB"/>
        </w:rPr>
        <w:t xml:space="preserve"> </w:t>
      </w:r>
      <w:r>
        <w:rPr>
          <w:lang w:val="en-GB"/>
        </w:rPr>
        <w:t>with a specific antenna discrimination (</w:t>
      </w:r>
      <w:r>
        <w:rPr>
          <w:rFonts w:ascii="Symbol" w:hAnsi="Symbol"/>
        </w:rPr>
        <w:t></w:t>
      </w:r>
      <w:r>
        <w:rPr>
          <w:lang w:val="en-GB"/>
        </w:rPr>
        <w:t>,</w:t>
      </w:r>
      <w:r>
        <w:rPr>
          <w:i/>
          <w:iCs/>
          <w:position w:val="-6"/>
        </w:rPr>
        <w:object w:dxaOrig="279" w:dyaOrig="279">
          <v:shape id="_x0000_i1032" type="#_x0000_t75" style="width:14pt;height:14pt" o:ole="">
            <v:imagedata r:id="rId36" o:title=""/>
          </v:shape>
          <o:OLEObject Type="Embed" ProgID="Equation.3" ShapeID="_x0000_i1032" DrawAspect="Content" ObjectID="_1385565019" r:id="rId37"/>
        </w:object>
      </w:r>
      <w:r>
        <w:rPr>
          <w:lang w:val="en-GB"/>
        </w:rPr>
        <w:t xml:space="preserve">or </w:t>
      </w:r>
      <w:r>
        <w:rPr>
          <w:i/>
          <w:iCs/>
          <w:position w:val="-6"/>
        </w:rPr>
        <w:object w:dxaOrig="340" w:dyaOrig="279">
          <v:shape id="_x0000_i1033" type="#_x0000_t75" style="width:17pt;height:14pt" o:ole="">
            <v:imagedata r:id="rId38" o:title=""/>
          </v:shape>
          <o:OLEObject Type="Embed" ProgID="Equation.3" ShapeID="_x0000_i1033" DrawAspect="Content" ObjectID="_1385565020" r:id="rId39"/>
        </w:object>
      </w:r>
      <w:r>
        <w:rPr>
          <w:lang w:val="en-GB"/>
        </w:rPr>
        <w:t xml:space="preserve"> in the above example).</w:t>
      </w:r>
    </w:p>
    <w:p w:rsidR="001B6B63" w:rsidRDefault="001B6B63">
      <w:pPr>
        <w:rPr>
          <w:lang w:val="en-GB"/>
        </w:rPr>
      </w:pPr>
      <w:r>
        <w:rPr>
          <w:lang w:val="en-GB"/>
        </w:rPr>
        <w:t xml:space="preserve">Based on the regulatory </w:t>
      </w:r>
      <w:proofErr w:type="spellStart"/>
      <w:r>
        <w:rPr>
          <w:lang w:val="en-GB"/>
        </w:rPr>
        <w:t>pfd</w:t>
      </w:r>
      <w:proofErr w:type="spellEnd"/>
      <w:r>
        <w:rPr>
          <w:lang w:val="en-GB"/>
        </w:rPr>
        <w:t xml:space="preserve"> mask, this </w:t>
      </w:r>
      <w:proofErr w:type="spellStart"/>
      <w:r>
        <w:rPr>
          <w:lang w:val="en-GB"/>
        </w:rPr>
        <w:t>pfd</w:t>
      </w:r>
      <w:proofErr w:type="spellEnd"/>
      <w:r>
        <w:rPr>
          <w:lang w:val="en-GB"/>
        </w:rPr>
        <w:t xml:space="preserve"> radiated to A can be calculated as follows:</w:t>
      </w:r>
    </w:p>
    <w:p w:rsidR="001B6B63" w:rsidRDefault="001B6B63">
      <w:pPr>
        <w:pStyle w:val="Equation"/>
        <w:spacing w:before="240"/>
        <w:rPr>
          <w:lang w:val="en-GB"/>
        </w:rPr>
      </w:pPr>
      <w:r>
        <w:rPr>
          <w:lang w:val="en-GB"/>
        </w:rPr>
        <w:tab/>
      </w:r>
      <w:r>
        <w:rPr>
          <w:lang w:val="en-GB"/>
        </w:rPr>
        <w:tab/>
      </w:r>
      <w:r>
        <w:rPr>
          <w:position w:val="-38"/>
        </w:rPr>
        <w:object w:dxaOrig="5140" w:dyaOrig="840">
          <v:shape id="_x0000_i1034" type="#_x0000_t75" style="width:257pt;height:42pt" o:ole="" fillcolor="window">
            <v:imagedata r:id="rId40" o:title=""/>
          </v:shape>
          <o:OLEObject Type="Embed" ProgID="Equation.3" ShapeID="_x0000_i1034" DrawAspect="Content" ObjectID="_1385565021" r:id="rId41"/>
        </w:object>
      </w:r>
      <w:r>
        <w:rPr>
          <w:lang w:val="en-GB"/>
        </w:rPr>
        <w:tab/>
        <w:t>(5)</w:t>
      </w:r>
    </w:p>
    <w:p w:rsidR="001B6B63" w:rsidRDefault="001B6B63">
      <w:pPr>
        <w:rPr>
          <w:lang w:val="en-GB"/>
        </w:rPr>
      </w:pPr>
      <w:r>
        <w:rPr>
          <w:lang w:val="en-GB"/>
        </w:rPr>
        <w:br w:type="page"/>
      </w:r>
      <w:r>
        <w:rPr>
          <w:lang w:val="en-GB"/>
        </w:rPr>
        <w:lastRenderedPageBreak/>
        <w:t>where:</w:t>
      </w:r>
    </w:p>
    <w:p w:rsidR="001B6B63" w:rsidRDefault="001B6B63">
      <w:pPr>
        <w:pStyle w:val="Equationlegend"/>
      </w:pPr>
      <w:r>
        <w:tab/>
      </w:r>
      <w:proofErr w:type="spellStart"/>
      <w:r>
        <w:rPr>
          <w:i/>
          <w:iCs/>
        </w:rPr>
        <w:t>pfd</w:t>
      </w:r>
      <w:r>
        <w:rPr>
          <w:i/>
          <w:iCs/>
          <w:vertAlign w:val="subscript"/>
        </w:rPr>
        <w:t>A</w:t>
      </w:r>
      <w:proofErr w:type="spellEnd"/>
      <w:r>
        <w:rPr>
          <w:rFonts w:ascii="Tms Rmn" w:hAnsi="Tms Rmn"/>
          <w:sz w:val="12"/>
          <w:lang w:val="en-GB"/>
        </w:rPr>
        <w:t> </w:t>
      </w:r>
      <w:r>
        <w:t>:</w:t>
      </w:r>
      <w:r>
        <w:tab/>
      </w:r>
      <w:proofErr w:type="spellStart"/>
      <w:r>
        <w:t>pfd</w:t>
      </w:r>
      <w:proofErr w:type="spellEnd"/>
      <w:r>
        <w:t xml:space="preserve"> radiated to A (dB(W/(m</w:t>
      </w:r>
      <w:r>
        <w:rPr>
          <w:vertAlign w:val="superscript"/>
        </w:rPr>
        <w:t>2</w:t>
      </w:r>
      <w:r>
        <w:t> · MHz)))</w:t>
      </w:r>
    </w:p>
    <w:p w:rsidR="001B6B63" w:rsidRDefault="001B6B63">
      <w:pPr>
        <w:pStyle w:val="Equationlegend"/>
      </w:pPr>
      <w:r>
        <w:tab/>
      </w:r>
      <w:r>
        <w:rPr>
          <w:i/>
          <w:iCs/>
        </w:rPr>
        <w:t>N</w:t>
      </w:r>
      <w:r>
        <w:rPr>
          <w:rFonts w:ascii="Tms Rmn" w:hAnsi="Tms Rmn"/>
          <w:sz w:val="12"/>
          <w:lang w:val="en-GB"/>
        </w:rPr>
        <w:t> </w:t>
      </w:r>
      <w:r>
        <w:t>:</w:t>
      </w:r>
      <w:r>
        <w:rPr>
          <w:vertAlign w:val="subscript"/>
        </w:rPr>
        <w:tab/>
      </w:r>
      <w:r>
        <w:t>number of co-frequency beams per satellite</w:t>
      </w:r>
    </w:p>
    <w:p w:rsidR="001B6B63" w:rsidRDefault="001B6B63">
      <w:pPr>
        <w:pStyle w:val="Equationlegend"/>
      </w:pPr>
      <w:r>
        <w:tab/>
      </w:r>
      <w:proofErr w:type="spellStart"/>
      <w:r>
        <w:rPr>
          <w:i/>
          <w:iCs/>
        </w:rPr>
        <w:t>pfd</w:t>
      </w:r>
      <w:r>
        <w:rPr>
          <w:i/>
          <w:iCs/>
          <w:vertAlign w:val="subscript"/>
        </w:rPr>
        <w:t>mbj</w:t>
      </w:r>
      <w:proofErr w:type="spellEnd"/>
      <w:r>
        <w:rPr>
          <w:rFonts w:ascii="Tms Rmn" w:hAnsi="Tms Rmn"/>
          <w:sz w:val="12"/>
          <w:lang w:val="en-GB"/>
        </w:rPr>
        <w:t> </w:t>
      </w:r>
      <w:r>
        <w:t>:</w:t>
      </w:r>
      <w:r>
        <w:tab/>
      </w:r>
      <w:proofErr w:type="spellStart"/>
      <w:r>
        <w:t>pfd</w:t>
      </w:r>
      <w:proofErr w:type="spellEnd"/>
      <w:r>
        <w:t xml:space="preserve"> radiated in the main beam </w:t>
      </w:r>
      <w:r>
        <w:rPr>
          <w:i/>
          <w:iCs/>
        </w:rPr>
        <w:t>j</w:t>
      </w:r>
      <w:r>
        <w:t xml:space="preserve"> (dB(W/(m</w:t>
      </w:r>
      <w:r>
        <w:rPr>
          <w:vertAlign w:val="superscript"/>
        </w:rPr>
        <w:t>2</w:t>
      </w:r>
      <w:r>
        <w:t> · MHz)))</w:t>
      </w:r>
    </w:p>
    <w:p w:rsidR="001B6B63" w:rsidRDefault="001B6B63">
      <w:pPr>
        <w:pStyle w:val="Equationlegend"/>
      </w:pPr>
      <w:r>
        <w:tab/>
      </w:r>
      <w:proofErr w:type="spellStart"/>
      <w:r>
        <w:rPr>
          <w:i/>
          <w:iCs/>
        </w:rPr>
        <w:t>L</w:t>
      </w:r>
      <w:r>
        <w:rPr>
          <w:i/>
          <w:iCs/>
          <w:vertAlign w:val="subscript"/>
        </w:rPr>
        <w:t>mbj</w:t>
      </w:r>
      <w:proofErr w:type="spellEnd"/>
      <w:r>
        <w:rPr>
          <w:rFonts w:ascii="Tms Rmn" w:hAnsi="Tms Rmn"/>
          <w:sz w:val="12"/>
          <w:lang w:val="en-GB"/>
        </w:rPr>
        <w:t> </w:t>
      </w:r>
      <w:r>
        <w:t>:</w:t>
      </w:r>
      <w:r>
        <w:tab/>
        <w:t xml:space="preserve">free space losses between the satellite and the </w:t>
      </w:r>
      <w:proofErr w:type="spellStart"/>
      <w:r>
        <w:t>centre</w:t>
      </w:r>
      <w:proofErr w:type="spellEnd"/>
      <w:r>
        <w:t xml:space="preserve"> of the spot beam </w:t>
      </w:r>
      <w:r>
        <w:rPr>
          <w:i/>
          <w:iCs/>
        </w:rPr>
        <w:t>j</w:t>
      </w:r>
      <w:r>
        <w:t xml:space="preserve"> at the Earth’s surface (dB)</w:t>
      </w:r>
    </w:p>
    <w:p w:rsidR="001B6B63" w:rsidRDefault="001B6B63">
      <w:pPr>
        <w:pStyle w:val="Equationlegend"/>
      </w:pPr>
      <w:r>
        <w:tab/>
      </w:r>
      <w:proofErr w:type="spellStart"/>
      <w:r>
        <w:rPr>
          <w:i/>
          <w:iCs/>
        </w:rPr>
        <w:t>G</w:t>
      </w:r>
      <w:r>
        <w:rPr>
          <w:i/>
          <w:iCs/>
          <w:vertAlign w:val="subscript"/>
        </w:rPr>
        <w:t>max</w:t>
      </w:r>
      <w:proofErr w:type="spellEnd"/>
      <w:r>
        <w:rPr>
          <w:rFonts w:ascii="Tms Rmn" w:hAnsi="Tms Rmn"/>
          <w:sz w:val="12"/>
          <w:lang w:val="en-GB"/>
        </w:rPr>
        <w:t> </w:t>
      </w:r>
      <w:r>
        <w:t>:</w:t>
      </w:r>
      <w:r>
        <w:tab/>
        <w:t>maximum satellite antenna gain (</w:t>
      </w:r>
      <w:proofErr w:type="spellStart"/>
      <w:r>
        <w:t>dBi</w:t>
      </w:r>
      <w:proofErr w:type="spellEnd"/>
      <w:r>
        <w:t>)</w:t>
      </w:r>
    </w:p>
    <w:p w:rsidR="001B6B63" w:rsidRDefault="001B6B63">
      <w:pPr>
        <w:pStyle w:val="Equationlegend"/>
      </w:pPr>
      <w:r>
        <w:tab/>
      </w:r>
      <w:proofErr w:type="spellStart"/>
      <w:r>
        <w:rPr>
          <w:i/>
          <w:iCs/>
        </w:rPr>
        <w:t>G</w:t>
      </w:r>
      <w:r>
        <w:rPr>
          <w:i/>
          <w:iCs/>
          <w:vertAlign w:val="subscript"/>
        </w:rPr>
        <w:t>discrij</w:t>
      </w:r>
      <w:proofErr w:type="spellEnd"/>
      <w:r>
        <w:rPr>
          <w:rFonts w:ascii="Tms Rmn" w:hAnsi="Tms Rmn"/>
          <w:sz w:val="12"/>
          <w:lang w:val="en-GB"/>
        </w:rPr>
        <w:t> </w:t>
      </w:r>
      <w:r>
        <w:t>:</w:t>
      </w:r>
      <w:r>
        <w:tab/>
        <w:t xml:space="preserve">relative antenna gain in the direction of point A for the beam </w:t>
      </w:r>
      <w:r>
        <w:rPr>
          <w:i/>
          <w:iCs/>
        </w:rPr>
        <w:t>j</w:t>
      </w:r>
      <w:r>
        <w:t xml:space="preserve"> (</w:t>
      </w:r>
      <w:proofErr w:type="spellStart"/>
      <w:r>
        <w:t>dBi</w:t>
      </w:r>
      <w:proofErr w:type="spellEnd"/>
      <w:r>
        <w:t>)</w:t>
      </w:r>
    </w:p>
    <w:p w:rsidR="001B6B63" w:rsidRDefault="001B6B63">
      <w:pPr>
        <w:pStyle w:val="Equationlegend"/>
      </w:pPr>
      <w:r>
        <w:tab/>
      </w:r>
      <w:r>
        <w:rPr>
          <w:i/>
          <w:iCs/>
        </w:rPr>
        <w:t>L</w:t>
      </w:r>
      <w:r>
        <w:rPr>
          <w:i/>
          <w:iCs/>
          <w:vertAlign w:val="subscript"/>
        </w:rPr>
        <w:t>A</w:t>
      </w:r>
      <w:r>
        <w:rPr>
          <w:rFonts w:ascii="Tms Rmn" w:hAnsi="Tms Rmn"/>
          <w:sz w:val="12"/>
          <w:lang w:val="en-GB"/>
        </w:rPr>
        <w:t> </w:t>
      </w:r>
      <w:r>
        <w:t>:</w:t>
      </w:r>
      <w:r>
        <w:rPr>
          <w:vertAlign w:val="subscript"/>
        </w:rPr>
        <w:tab/>
      </w:r>
      <w:r>
        <w:t>free space losses between the satellite and A (dB).</w:t>
      </w:r>
    </w:p>
    <w:p w:rsidR="001B6B63" w:rsidRDefault="001B6B63">
      <w:pPr>
        <w:rPr>
          <w:lang w:val="en-GB"/>
        </w:rPr>
      </w:pPr>
      <w:r>
        <w:rPr>
          <w:lang w:val="en-GB"/>
        </w:rPr>
        <w:t>Since these beams are assumed to be co-frequency and due to self-interference issues, their main beams will not cover the same zone at the same time.</w:t>
      </w:r>
    </w:p>
    <w:p w:rsidR="001B6B63" w:rsidRDefault="001B6B63">
      <w:pPr>
        <w:rPr>
          <w:lang w:val="en-GB"/>
        </w:rPr>
      </w:pPr>
      <w:r>
        <w:rPr>
          <w:lang w:val="en-GB"/>
        </w:rPr>
        <w:t xml:space="preserve">Therefore, except in some cases where (for which none of the main beams covers point A) for which the aggregate </w:t>
      </w:r>
      <w:proofErr w:type="spellStart"/>
      <w:r>
        <w:rPr>
          <w:lang w:val="en-GB"/>
        </w:rPr>
        <w:t>pfd</w:t>
      </w:r>
      <w:proofErr w:type="spellEnd"/>
      <w:r>
        <w:rPr>
          <w:lang w:val="en-GB"/>
        </w:rPr>
        <w:t xml:space="preserve"> is only produced by far side lobes of all the beams, this aggregate </w:t>
      </w:r>
      <w:proofErr w:type="spellStart"/>
      <w:r>
        <w:rPr>
          <w:lang w:val="en-GB"/>
        </w:rPr>
        <w:t>pfd</w:t>
      </w:r>
      <w:proofErr w:type="spellEnd"/>
      <w:r>
        <w:rPr>
          <w:lang w:val="en-GB"/>
        </w:rPr>
        <w:t xml:space="preserve"> will be dominated by one beam at each time.</w:t>
      </w:r>
    </w:p>
    <w:p w:rsidR="001B6B63" w:rsidRDefault="001B6B63">
      <w:pPr>
        <w:rPr>
          <w:lang w:val="en-GB"/>
        </w:rPr>
      </w:pPr>
      <w:r>
        <w:rPr>
          <w:lang w:val="en-GB"/>
        </w:rPr>
        <w:t xml:space="preserve">Instead of running complicated calculations involving </w:t>
      </w:r>
      <w:proofErr w:type="spellStart"/>
      <w:r>
        <w:rPr>
          <w:lang w:val="en-GB"/>
        </w:rPr>
        <w:t>multibeams</w:t>
      </w:r>
      <w:proofErr w:type="spellEnd"/>
      <w:r>
        <w:rPr>
          <w:lang w:val="en-GB"/>
        </w:rPr>
        <w:t xml:space="preserve"> scenarios, the </w:t>
      </w:r>
      <w:proofErr w:type="spellStart"/>
      <w:r>
        <w:rPr>
          <w:lang w:val="en-GB"/>
        </w:rPr>
        <w:t>pfd</w:t>
      </w:r>
      <w:proofErr w:type="spellEnd"/>
      <w:r>
        <w:rPr>
          <w:lang w:val="en-GB"/>
        </w:rPr>
        <w:t xml:space="preserve"> at A can hence be approximated considering one single beam as follows:</w:t>
      </w:r>
    </w:p>
    <w:p w:rsidR="001B6B63" w:rsidRDefault="001B6B63">
      <w:pPr>
        <w:pStyle w:val="Equation"/>
        <w:spacing w:before="240"/>
        <w:rPr>
          <w:lang w:val="en-GB"/>
        </w:rPr>
      </w:pPr>
      <w:r>
        <w:rPr>
          <w:lang w:val="en-GB"/>
        </w:rPr>
        <w:tab/>
      </w:r>
      <w:r>
        <w:rPr>
          <w:lang w:val="en-GB"/>
        </w:rPr>
        <w:tab/>
      </w:r>
      <w:r>
        <w:rPr>
          <w:position w:val="-16"/>
        </w:rPr>
        <w:object w:dxaOrig="4160" w:dyaOrig="400">
          <v:shape id="_x0000_i1035" type="#_x0000_t75" style="width:208pt;height:20pt" o:ole="" fillcolor="window">
            <v:imagedata r:id="rId42" o:title=""/>
          </v:shape>
          <o:OLEObject Type="Embed" ProgID="Equation.3" ShapeID="_x0000_i1035" DrawAspect="Content" ObjectID="_1385565022" r:id="rId43"/>
        </w:object>
      </w:r>
      <w:r>
        <w:rPr>
          <w:lang w:val="en-GB"/>
        </w:rPr>
        <w:tab/>
        <w:t>(6)</w:t>
      </w:r>
    </w:p>
    <w:p w:rsidR="001B6B63" w:rsidRDefault="001B6B63">
      <w:pPr>
        <w:keepNext/>
        <w:keepLines/>
        <w:rPr>
          <w:lang w:val="en-GB"/>
        </w:rPr>
      </w:pPr>
      <w:r>
        <w:rPr>
          <w:lang w:val="en-GB"/>
        </w:rPr>
        <w:t>where:</w:t>
      </w:r>
    </w:p>
    <w:p w:rsidR="001B6B63" w:rsidRDefault="001B6B63">
      <w:pPr>
        <w:pStyle w:val="Equationlegend"/>
        <w:keepNext/>
        <w:keepLines/>
      </w:pPr>
      <w:r>
        <w:tab/>
      </w:r>
      <w:proofErr w:type="spellStart"/>
      <w:r>
        <w:rPr>
          <w:i/>
          <w:iCs/>
        </w:rPr>
        <w:t>pfd</w:t>
      </w:r>
      <w:r>
        <w:rPr>
          <w:i/>
          <w:iCs/>
          <w:vertAlign w:val="subscript"/>
        </w:rPr>
        <w:t>A</w:t>
      </w:r>
      <w:proofErr w:type="spellEnd"/>
      <w:r>
        <w:rPr>
          <w:rFonts w:ascii="Tms Rmn" w:hAnsi="Tms Rmn"/>
          <w:sz w:val="12"/>
          <w:lang w:val="en-GB"/>
        </w:rPr>
        <w:t> </w:t>
      </w:r>
      <w:r>
        <w:t>:</w:t>
      </w:r>
      <w:r>
        <w:tab/>
      </w:r>
      <w:proofErr w:type="spellStart"/>
      <w:r>
        <w:t>pfd</w:t>
      </w:r>
      <w:proofErr w:type="spellEnd"/>
      <w:r>
        <w:t xml:space="preserve"> radiated in A (dB(W/(m</w:t>
      </w:r>
      <w:r>
        <w:rPr>
          <w:vertAlign w:val="superscript"/>
        </w:rPr>
        <w:t>2</w:t>
      </w:r>
      <w:r>
        <w:t> · MHz)))</w:t>
      </w:r>
    </w:p>
    <w:p w:rsidR="001B6B63" w:rsidRDefault="001B6B63">
      <w:pPr>
        <w:pStyle w:val="Equationlegend"/>
        <w:keepNext/>
        <w:keepLines/>
      </w:pPr>
      <w:r>
        <w:tab/>
      </w:r>
      <w:proofErr w:type="spellStart"/>
      <w:r>
        <w:rPr>
          <w:i/>
          <w:iCs/>
        </w:rPr>
        <w:t>pfd</w:t>
      </w:r>
      <w:r>
        <w:rPr>
          <w:i/>
          <w:iCs/>
          <w:vertAlign w:val="subscript"/>
        </w:rPr>
        <w:t>mb</w:t>
      </w:r>
      <w:proofErr w:type="spellEnd"/>
      <w:r>
        <w:rPr>
          <w:rFonts w:ascii="Tms Rmn" w:hAnsi="Tms Rmn"/>
          <w:sz w:val="12"/>
          <w:lang w:val="en-GB"/>
        </w:rPr>
        <w:t> </w:t>
      </w:r>
      <w:r>
        <w:t>:</w:t>
      </w:r>
      <w:r>
        <w:tab/>
      </w:r>
      <w:proofErr w:type="spellStart"/>
      <w:r>
        <w:t>pfd</w:t>
      </w:r>
      <w:proofErr w:type="spellEnd"/>
      <w:r>
        <w:t xml:space="preserve"> radiated in the main beam (dB(W/(m</w:t>
      </w:r>
      <w:r>
        <w:rPr>
          <w:vertAlign w:val="superscript"/>
        </w:rPr>
        <w:t>2</w:t>
      </w:r>
      <w:r>
        <w:t> · MHz)))</w:t>
      </w:r>
    </w:p>
    <w:p w:rsidR="001B6B63" w:rsidRDefault="001B6B63">
      <w:pPr>
        <w:pStyle w:val="Equationlegend"/>
        <w:keepNext/>
        <w:keepLines/>
      </w:pPr>
      <w:r>
        <w:tab/>
      </w:r>
      <w:proofErr w:type="spellStart"/>
      <w:r>
        <w:rPr>
          <w:i/>
          <w:iCs/>
        </w:rPr>
        <w:t>L</w:t>
      </w:r>
      <w:r>
        <w:rPr>
          <w:i/>
          <w:iCs/>
          <w:vertAlign w:val="subscript"/>
        </w:rPr>
        <w:t>mb</w:t>
      </w:r>
      <w:proofErr w:type="spellEnd"/>
      <w:r>
        <w:rPr>
          <w:rFonts w:ascii="Tms Rmn" w:hAnsi="Tms Rmn"/>
          <w:sz w:val="12"/>
          <w:lang w:val="en-GB"/>
        </w:rPr>
        <w:t> </w:t>
      </w:r>
      <w:r>
        <w:t>:</w:t>
      </w:r>
      <w:r>
        <w:tab/>
        <w:t xml:space="preserve">free space losses between the satellite and the </w:t>
      </w:r>
      <w:proofErr w:type="spellStart"/>
      <w:r>
        <w:t>centre</w:t>
      </w:r>
      <w:proofErr w:type="spellEnd"/>
      <w:r>
        <w:t xml:space="preserve"> of the spot beam </w:t>
      </w:r>
      <w:r>
        <w:rPr>
          <w:i/>
          <w:iCs/>
        </w:rPr>
        <w:t>j</w:t>
      </w:r>
      <w:r>
        <w:t xml:space="preserve"> at the Earth’s surface (dB)</w:t>
      </w:r>
    </w:p>
    <w:p w:rsidR="001B6B63" w:rsidRDefault="001B6B63">
      <w:pPr>
        <w:pStyle w:val="Equationlegend"/>
        <w:keepNext/>
        <w:keepLines/>
      </w:pPr>
      <w:r>
        <w:tab/>
      </w:r>
      <w:r>
        <w:rPr>
          <w:position w:val="-12"/>
        </w:rPr>
        <w:object w:dxaOrig="520" w:dyaOrig="360">
          <v:shape id="_x0000_i1036" type="#_x0000_t75" style="width:26pt;height:18pt" o:ole="">
            <v:imagedata r:id="rId44" o:title=""/>
          </v:shape>
          <o:OLEObject Type="Embed" ProgID="Equation.3" ShapeID="_x0000_i1036" DrawAspect="Content" ObjectID="_1385565023" r:id="rId45"/>
        </w:object>
      </w:r>
      <w:r>
        <w:rPr>
          <w:rFonts w:ascii="Tms Rmn" w:hAnsi="Tms Rmn"/>
          <w:sz w:val="12"/>
          <w:lang w:val="en-GB"/>
        </w:rPr>
        <w:t> </w:t>
      </w:r>
      <w:r>
        <w:t>:</w:t>
      </w:r>
      <w:r>
        <w:tab/>
        <w:t>maximum satellite aggregate antenna gain (</w:t>
      </w:r>
      <w:proofErr w:type="spellStart"/>
      <w:r>
        <w:t>dBi</w:t>
      </w:r>
      <w:proofErr w:type="spellEnd"/>
      <w:r>
        <w:t>)</w:t>
      </w:r>
    </w:p>
    <w:p w:rsidR="001B6B63" w:rsidRDefault="001B6B63">
      <w:pPr>
        <w:pStyle w:val="Equationlegend"/>
      </w:pPr>
      <w:r>
        <w:tab/>
      </w:r>
      <w:r>
        <w:rPr>
          <w:position w:val="-14"/>
        </w:rPr>
        <w:object w:dxaOrig="660" w:dyaOrig="380">
          <v:shape id="_x0000_i1037" type="#_x0000_t75" style="width:33pt;height:19pt" o:ole="">
            <v:imagedata r:id="rId46" o:title=""/>
          </v:shape>
          <o:OLEObject Type="Embed" ProgID="Equation.3" ShapeID="_x0000_i1037" DrawAspect="Content" ObjectID="_1385565024" r:id="rId47"/>
        </w:object>
      </w:r>
      <w:r>
        <w:t>:</w:t>
      </w:r>
      <w:r>
        <w:tab/>
        <w:t xml:space="preserve">relative aggregate antenna gain in the direction of point A for the beam </w:t>
      </w:r>
      <w:r>
        <w:rPr>
          <w:i/>
          <w:iCs/>
        </w:rPr>
        <w:t>j</w:t>
      </w:r>
      <w:r>
        <w:t xml:space="preserve"> (</w:t>
      </w:r>
      <w:proofErr w:type="spellStart"/>
      <w:r>
        <w:t>dBi</w:t>
      </w:r>
      <w:proofErr w:type="spellEnd"/>
      <w:r>
        <w:t>)</w:t>
      </w:r>
    </w:p>
    <w:p w:rsidR="001B6B63" w:rsidRDefault="001B6B63">
      <w:pPr>
        <w:pStyle w:val="Equationlegend"/>
      </w:pPr>
      <w:r>
        <w:tab/>
      </w:r>
      <w:r>
        <w:rPr>
          <w:i/>
          <w:iCs/>
        </w:rPr>
        <w:t>L</w:t>
      </w:r>
      <w:r>
        <w:rPr>
          <w:i/>
          <w:iCs/>
          <w:vertAlign w:val="subscript"/>
        </w:rPr>
        <w:t>A</w:t>
      </w:r>
      <w:r>
        <w:rPr>
          <w:rFonts w:ascii="Tms Rmn" w:hAnsi="Tms Rmn"/>
          <w:sz w:val="12"/>
        </w:rPr>
        <w:t> </w:t>
      </w:r>
      <w:r>
        <w:t>:</w:t>
      </w:r>
      <w:r>
        <w:tab/>
        <w:t>free space losses between the satellite and A (dB)</w:t>
      </w:r>
    </w:p>
    <w:p w:rsidR="001B6B63" w:rsidRDefault="001B6B63">
      <w:pPr>
        <w:spacing w:line="280" w:lineRule="exact"/>
        <w:rPr>
          <w:lang w:val="en-US"/>
        </w:rPr>
      </w:pPr>
      <w:r>
        <w:rPr>
          <w:lang w:val="en-US"/>
        </w:rPr>
        <w:t xml:space="preserve">and where the aggregate antenna pattern </w:t>
      </w:r>
      <w:r>
        <w:rPr>
          <w:i/>
          <w:iCs/>
          <w:position w:val="-6"/>
        </w:rPr>
        <w:object w:dxaOrig="300" w:dyaOrig="279">
          <v:shape id="_x0000_i1038" type="#_x0000_t75" style="width:15pt;height:14pt" o:ole="">
            <v:imagedata r:id="rId48" o:title=""/>
          </v:shape>
          <o:OLEObject Type="Embed" ProgID="Equation.3" ShapeID="_x0000_i1038" DrawAspect="Content" ObjectID="_1385565025" r:id="rId49"/>
        </w:object>
      </w:r>
      <w:r>
        <w:rPr>
          <w:lang w:val="en-US"/>
        </w:rPr>
        <w:t xml:space="preserve"> represents the pattern of one single antenna, </w:t>
      </w:r>
      <w:r>
        <w:rPr>
          <w:i/>
          <w:iCs/>
          <w:lang w:val="en-US"/>
        </w:rPr>
        <w:t>G,</w:t>
      </w:r>
      <w:r>
        <w:rPr>
          <w:lang w:val="en-US"/>
        </w:rPr>
        <w:t xml:space="preserve"> plus the effect of the off-axis gain, </w:t>
      </w:r>
      <w:proofErr w:type="spellStart"/>
      <w:r>
        <w:rPr>
          <w:i/>
          <w:iCs/>
          <w:lang w:val="en-US"/>
        </w:rPr>
        <w:t>G</w:t>
      </w:r>
      <w:r>
        <w:rPr>
          <w:i/>
          <w:iCs/>
          <w:vertAlign w:val="subscript"/>
          <w:lang w:val="en-US"/>
        </w:rPr>
        <w:t>offaxis</w:t>
      </w:r>
      <w:proofErr w:type="spellEnd"/>
      <w:r>
        <w:rPr>
          <w:lang w:val="en-US"/>
        </w:rPr>
        <w:t xml:space="preserve">, of the </w:t>
      </w:r>
      <w:r>
        <w:rPr>
          <w:i/>
          <w:iCs/>
          <w:lang w:val="en-US"/>
        </w:rPr>
        <w:t>N</w:t>
      </w:r>
      <w:r>
        <w:rPr>
          <w:lang w:val="en-US"/>
        </w:rPr>
        <w:t xml:space="preserve"> other satellite antennas. It is defined as follows:</w:t>
      </w:r>
    </w:p>
    <w:p w:rsidR="001B6B63" w:rsidRDefault="001B6B63">
      <w:pPr>
        <w:pStyle w:val="Equation"/>
        <w:spacing w:before="240"/>
        <w:rPr>
          <w:lang w:val="en-US"/>
        </w:rPr>
      </w:pPr>
      <w:r>
        <w:rPr>
          <w:lang w:val="en-US"/>
        </w:rPr>
        <w:tab/>
      </w:r>
      <w:r>
        <w:rPr>
          <w:lang w:val="en-US"/>
        </w:rPr>
        <w:tab/>
      </w:r>
      <w:r>
        <w:rPr>
          <w:position w:val="-48"/>
        </w:rPr>
        <w:object w:dxaOrig="3300" w:dyaOrig="1080">
          <v:shape id="_x0000_i1039" type="#_x0000_t75" style="width:165pt;height:54pt" o:ole="" fillcolor="window">
            <v:imagedata r:id="rId50" o:title=""/>
          </v:shape>
          <o:OLEObject Type="Embed" ProgID="Equation.3" ShapeID="_x0000_i1039" DrawAspect="Content" ObjectID="_1385565026" r:id="rId51"/>
        </w:object>
      </w:r>
      <w:r>
        <w:rPr>
          <w:lang w:val="en-US"/>
        </w:rPr>
        <w:tab/>
        <w:t>(7)</w:t>
      </w:r>
    </w:p>
    <w:p w:rsidR="001B6B63" w:rsidRDefault="001B6B63">
      <w:pPr>
        <w:spacing w:before="240"/>
        <w:rPr>
          <w:lang w:val="en-US"/>
        </w:rPr>
      </w:pPr>
      <w:r>
        <w:rPr>
          <w:lang w:val="en-US"/>
        </w:rPr>
        <w:t xml:space="preserve">As an example, and assuming a 0 </w:t>
      </w:r>
      <w:proofErr w:type="spellStart"/>
      <w:r>
        <w:rPr>
          <w:lang w:val="en-US"/>
        </w:rPr>
        <w:t>dBi</w:t>
      </w:r>
      <w:proofErr w:type="spellEnd"/>
      <w:r>
        <w:rPr>
          <w:lang w:val="en-US"/>
        </w:rPr>
        <w:t xml:space="preserve"> off-axis antenna gain, the resulting antenna pattern used for the </w:t>
      </w:r>
      <w:proofErr w:type="spellStart"/>
      <w:r>
        <w:rPr>
          <w:lang w:val="en-US"/>
        </w:rPr>
        <w:t>multibeam</w:t>
      </w:r>
      <w:proofErr w:type="spellEnd"/>
      <w:r>
        <w:rPr>
          <w:lang w:val="en-US"/>
        </w:rPr>
        <w:t xml:space="preserve"> models GEO1 (antenna gain 60 </w:t>
      </w:r>
      <w:proofErr w:type="spellStart"/>
      <w:r>
        <w:rPr>
          <w:lang w:val="en-US"/>
        </w:rPr>
        <w:t>dBi</w:t>
      </w:r>
      <w:proofErr w:type="spellEnd"/>
      <w:r>
        <w:rPr>
          <w:lang w:val="en-US"/>
        </w:rPr>
        <w:t xml:space="preserve">) or MEO2 (antenna gain 45 </w:t>
      </w:r>
      <w:proofErr w:type="spellStart"/>
      <w:r>
        <w:rPr>
          <w:lang w:val="en-US"/>
        </w:rPr>
        <w:t>dBi</w:t>
      </w:r>
      <w:proofErr w:type="spellEnd"/>
      <w:r>
        <w:rPr>
          <w:lang w:val="en-US"/>
        </w:rPr>
        <w:t>) satellites are described in Figs. 9a and 9b.</w:t>
      </w:r>
    </w:p>
    <w:p w:rsidR="001B6B63" w:rsidRDefault="001B6B63">
      <w:pPr>
        <w:pStyle w:val="FigureNo"/>
        <w:spacing w:before="120" w:after="120"/>
      </w:pPr>
      <w:r>
        <w:rPr>
          <w:lang w:val="en-US"/>
        </w:rPr>
        <w:br w:type="page"/>
      </w:r>
      <w:r w:rsidR="00FB4263">
        <w:rPr>
          <w:noProof/>
          <w:lang w:val="en-US" w:eastAsia="zh-CN"/>
        </w:rPr>
        <w:lastRenderedPageBreak/>
        <w:drawing>
          <wp:inline distT="0" distB="0" distL="0" distR="0">
            <wp:extent cx="4787900" cy="316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7900" cy="3162300"/>
                    </a:xfrm>
                    <a:prstGeom prst="rect">
                      <a:avLst/>
                    </a:prstGeom>
                    <a:noFill/>
                    <a:ln>
                      <a:noFill/>
                    </a:ln>
                  </pic:spPr>
                </pic:pic>
              </a:graphicData>
            </a:graphic>
          </wp:inline>
        </w:drawing>
      </w:r>
    </w:p>
    <w:p w:rsidR="001B6B63" w:rsidRDefault="00FB4263">
      <w:pPr>
        <w:pStyle w:val="FigureNo"/>
      </w:pPr>
      <w:r>
        <w:rPr>
          <w:noProof/>
          <w:lang w:val="en-US" w:eastAsia="zh-CN"/>
        </w:rPr>
        <w:drawing>
          <wp:inline distT="0" distB="0" distL="0" distR="0">
            <wp:extent cx="4787900" cy="3162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7900" cy="3162300"/>
                    </a:xfrm>
                    <a:prstGeom prst="rect">
                      <a:avLst/>
                    </a:prstGeom>
                    <a:noFill/>
                    <a:ln>
                      <a:noFill/>
                    </a:ln>
                  </pic:spPr>
                </pic:pic>
              </a:graphicData>
            </a:graphic>
          </wp:inline>
        </w:drawing>
      </w:r>
    </w:p>
    <w:p w:rsidR="001B6B63" w:rsidRDefault="001B6B63">
      <w:pPr>
        <w:rPr>
          <w:lang w:val="en-US"/>
        </w:rPr>
      </w:pPr>
      <w:r>
        <w:rPr>
          <w:lang w:val="en-US"/>
        </w:rPr>
        <w:t xml:space="preserve">Finally, once the </w:t>
      </w:r>
      <w:proofErr w:type="spellStart"/>
      <w:r>
        <w:rPr>
          <w:lang w:val="en-US"/>
        </w:rPr>
        <w:t>pfd</w:t>
      </w:r>
      <w:proofErr w:type="spellEnd"/>
      <w:r>
        <w:rPr>
          <w:lang w:val="en-US"/>
        </w:rPr>
        <w:t xml:space="preserve"> distribution such as the one given in Fig. 6 is calculated for one beam on the basis of the aggregate antenna pattern, the </w:t>
      </w:r>
      <w:proofErr w:type="spellStart"/>
      <w:r>
        <w:rPr>
          <w:lang w:val="en-US"/>
        </w:rPr>
        <w:t>pfd</w:t>
      </w:r>
      <w:proofErr w:type="spellEnd"/>
      <w:r>
        <w:rPr>
          <w:lang w:val="en-US"/>
        </w:rPr>
        <w:t xml:space="preserve"> distribution for the </w:t>
      </w:r>
      <w:r>
        <w:rPr>
          <w:i/>
          <w:iCs/>
          <w:lang w:val="en-US"/>
        </w:rPr>
        <w:t>N</w:t>
      </w:r>
      <w:r>
        <w:rPr>
          <w:lang w:val="en-US"/>
        </w:rPr>
        <w:t xml:space="preserve"> beams of the satellite can be derived as follows:</w:t>
      </w:r>
    </w:p>
    <w:p w:rsidR="001B6B63" w:rsidRDefault="001B6B63">
      <w:pPr>
        <w:pStyle w:val="Equation"/>
        <w:rPr>
          <w:lang w:val="en-US"/>
        </w:rPr>
      </w:pPr>
      <w:r>
        <w:rPr>
          <w:lang w:val="en-US"/>
        </w:rPr>
        <w:tab/>
      </w:r>
      <w:r>
        <w:rPr>
          <w:lang w:val="en-US"/>
        </w:rPr>
        <w:tab/>
      </w:r>
      <w:r>
        <w:rPr>
          <w:position w:val="-10"/>
        </w:rPr>
        <w:object w:dxaOrig="1760" w:dyaOrig="420">
          <v:shape id="_x0000_i1040" type="#_x0000_t75" style="width:88pt;height:21pt" o:ole="" fillcolor="window">
            <v:imagedata r:id="rId54" o:title=""/>
          </v:shape>
          <o:OLEObject Type="Embed" ProgID="Equation.3" ShapeID="_x0000_i1040" DrawAspect="Content" ObjectID="_1385565027" r:id="rId55"/>
        </w:object>
      </w:r>
      <w:r>
        <w:rPr>
          <w:lang w:val="en-US"/>
        </w:rPr>
        <w:tab/>
        <w:t>(8)</w:t>
      </w:r>
    </w:p>
    <w:p w:rsidR="001B6B63" w:rsidRDefault="001B6B63">
      <w:pPr>
        <w:rPr>
          <w:lang w:val="en-US"/>
        </w:rPr>
      </w:pPr>
      <w:r>
        <w:rPr>
          <w:lang w:val="en-US"/>
        </w:rPr>
        <w:t>where:</w:t>
      </w:r>
    </w:p>
    <w:p w:rsidR="001B6B63" w:rsidRDefault="001B6B63">
      <w:pPr>
        <w:pStyle w:val="Equationlegend"/>
      </w:pPr>
      <w:r>
        <w:tab/>
      </w:r>
      <w:r>
        <w:rPr>
          <w:i/>
          <w:iCs/>
        </w:rPr>
        <w:t>p</w:t>
      </w:r>
      <w:r>
        <w:rPr>
          <w:vertAlign w:val="subscript"/>
        </w:rPr>
        <w:t xml:space="preserve"> </w:t>
      </w:r>
      <w:r>
        <w:rPr>
          <w:rFonts w:ascii="Tms Rmn" w:hAnsi="Tms Rmn"/>
          <w:sz w:val="12"/>
        </w:rPr>
        <w:t> </w:t>
      </w:r>
      <w:r>
        <w:t>:</w:t>
      </w:r>
      <w:r>
        <w:tab/>
        <w:t xml:space="preserve">probability of a </w:t>
      </w:r>
      <w:proofErr w:type="spellStart"/>
      <w:r>
        <w:t>pfd</w:t>
      </w:r>
      <w:proofErr w:type="spellEnd"/>
      <w:r>
        <w:t xml:space="preserve"> level radiated in A for one beam</w:t>
      </w:r>
    </w:p>
    <w:p w:rsidR="001B6B63" w:rsidRDefault="001B6B63">
      <w:pPr>
        <w:pStyle w:val="Equationlegend"/>
        <w:spacing w:line="280" w:lineRule="exact"/>
      </w:pPr>
      <w:r>
        <w:tab/>
      </w:r>
      <w:r>
        <w:rPr>
          <w:i/>
          <w:iCs/>
          <w:position w:val="-10"/>
        </w:rPr>
        <w:object w:dxaOrig="279" w:dyaOrig="320">
          <v:shape id="_x0000_i1041" type="#_x0000_t75" style="width:14pt;height:16pt" o:ole="">
            <v:imagedata r:id="rId56" o:title=""/>
          </v:shape>
          <o:OLEObject Type="Embed" ProgID="Equation.3" ShapeID="_x0000_i1041" DrawAspect="Content" ObjectID="_1385565028" r:id="rId57"/>
        </w:object>
      </w:r>
      <w:r>
        <w:t>:</w:t>
      </w:r>
      <w:r>
        <w:tab/>
        <w:t xml:space="preserve">probability of a </w:t>
      </w:r>
      <w:proofErr w:type="spellStart"/>
      <w:r>
        <w:t>pfd</w:t>
      </w:r>
      <w:proofErr w:type="spellEnd"/>
      <w:r>
        <w:t xml:space="preserve"> level radiated in A for all the beams</w:t>
      </w:r>
    </w:p>
    <w:p w:rsidR="001B6B63" w:rsidRDefault="001B6B63">
      <w:pPr>
        <w:pStyle w:val="Equationlegend"/>
      </w:pPr>
      <w:r>
        <w:tab/>
      </w:r>
      <w:r>
        <w:rPr>
          <w:i/>
          <w:iCs/>
        </w:rPr>
        <w:t>N</w:t>
      </w:r>
      <w:r>
        <w:rPr>
          <w:rFonts w:ascii="Tms Rmn" w:hAnsi="Tms Rmn"/>
          <w:sz w:val="12"/>
        </w:rPr>
        <w:t> </w:t>
      </w:r>
      <w:r>
        <w:t>:</w:t>
      </w:r>
      <w:r>
        <w:tab/>
        <w:t>number of co-frequency beams per satellite.</w:t>
      </w:r>
    </w:p>
    <w:p w:rsidR="001B6B63" w:rsidRDefault="001B6B63">
      <w:pPr>
        <w:pStyle w:val="Note"/>
        <w:rPr>
          <w:lang w:val="en-US"/>
        </w:rPr>
      </w:pPr>
      <w:r>
        <w:rPr>
          <w:lang w:val="en-US"/>
        </w:rPr>
        <w:br w:type="page"/>
      </w:r>
      <w:r>
        <w:rPr>
          <w:lang w:val="en-US"/>
        </w:rPr>
        <w:lastRenderedPageBreak/>
        <w:t xml:space="preserve">NOTE 1 – Equation (8) is generally used for independent events which, however, is not the case for the </w:t>
      </w:r>
      <w:r>
        <w:rPr>
          <w:i/>
          <w:iCs/>
          <w:lang w:val="en-US"/>
        </w:rPr>
        <w:t>N</w:t>
      </w:r>
      <w:r>
        <w:rPr>
          <w:lang w:val="en-US"/>
        </w:rPr>
        <w:t> aggregate antenna patterns. In this example, the dependency of these beams is taken into account by the use of an aggregate antenna pattern as expressed in equations (6) and (7). Other dependency models may be applied to this methodology.</w:t>
      </w:r>
    </w:p>
    <w:p w:rsidR="001B6B63" w:rsidRDefault="001B6B63">
      <w:pPr>
        <w:rPr>
          <w:lang w:val="en-US"/>
        </w:rPr>
      </w:pPr>
      <w:r>
        <w:rPr>
          <w:lang w:val="en-US"/>
        </w:rPr>
        <w:t xml:space="preserve">On this basis, Fig. 10 describes the </w:t>
      </w:r>
      <w:proofErr w:type="spellStart"/>
      <w:r>
        <w:rPr>
          <w:lang w:val="en-US"/>
        </w:rPr>
        <w:t>pfd</w:t>
      </w:r>
      <w:proofErr w:type="spellEnd"/>
      <w:r>
        <w:rPr>
          <w:lang w:val="en-US"/>
        </w:rPr>
        <w:t xml:space="preserve"> distribution calculated for a single beam (using aggregate antenna pattern) and one calculated for </w:t>
      </w:r>
      <w:proofErr w:type="spellStart"/>
      <w:r>
        <w:rPr>
          <w:lang w:val="en-US"/>
        </w:rPr>
        <w:t>multibeams</w:t>
      </w:r>
      <w:proofErr w:type="spellEnd"/>
      <w:r>
        <w:rPr>
          <w:lang w:val="en-US"/>
        </w:rPr>
        <w:t xml:space="preserve"> using equation (8), achieved by varying the pointing direction of the satellite beams in all possible directions.</w:t>
      </w:r>
    </w:p>
    <w:p w:rsidR="001B6B63" w:rsidRDefault="00FB4263">
      <w:pPr>
        <w:pStyle w:val="FigureNo"/>
      </w:pPr>
      <w:r>
        <w:rPr>
          <w:noProof/>
          <w:lang w:val="en-US" w:eastAsia="zh-CN"/>
        </w:rPr>
        <w:drawing>
          <wp:inline distT="0" distB="0" distL="0" distR="0">
            <wp:extent cx="4546600" cy="31432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6600" cy="3143250"/>
                    </a:xfrm>
                    <a:prstGeom prst="rect">
                      <a:avLst/>
                    </a:prstGeom>
                    <a:noFill/>
                    <a:ln>
                      <a:noFill/>
                    </a:ln>
                  </pic:spPr>
                </pic:pic>
              </a:graphicData>
            </a:graphic>
          </wp:inline>
        </w:drawing>
      </w:r>
    </w:p>
    <w:p w:rsidR="001B6B63" w:rsidRDefault="001B6B63">
      <w:pPr>
        <w:pStyle w:val="Heading2"/>
        <w:rPr>
          <w:lang w:val="en-US"/>
        </w:rPr>
      </w:pPr>
      <w:r>
        <w:rPr>
          <w:lang w:val="en-US"/>
        </w:rPr>
        <w:t>4.3</w:t>
      </w:r>
      <w:r>
        <w:rPr>
          <w:lang w:val="en-US"/>
        </w:rPr>
        <w:tab/>
        <w:t>Minimum pointing elevation angle</w:t>
      </w:r>
    </w:p>
    <w:p w:rsidR="001B6B63" w:rsidRDefault="001B6B63">
      <w:pPr>
        <w:rPr>
          <w:lang w:val="en-US"/>
        </w:rPr>
      </w:pPr>
      <w:r>
        <w:rPr>
          <w:lang w:val="en-US"/>
        </w:rPr>
        <w:t>Depending on the considered frequency band, the attenuation due to rain or other technical constraints can have an impact on satellite design which may lead to systems not designed for low elevation angles.</w:t>
      </w:r>
    </w:p>
    <w:p w:rsidR="001B6B63" w:rsidRDefault="001B6B63">
      <w:pPr>
        <w:rPr>
          <w:lang w:val="en-US"/>
        </w:rPr>
      </w:pPr>
      <w:r>
        <w:rPr>
          <w:lang w:val="en-US"/>
        </w:rPr>
        <w:t>The minimum elevation angle has a significant impact on the sharing conditions between FSS and FS since all FS stations pointing to a satellite with an elevation lower than the satellite minimum operational elevation will not suffer main beam to main beam interference.</w:t>
      </w:r>
    </w:p>
    <w:p w:rsidR="001B6B63" w:rsidRDefault="001B6B63">
      <w:pPr>
        <w:rPr>
          <w:lang w:val="en-US"/>
        </w:rPr>
      </w:pPr>
      <w:r>
        <w:rPr>
          <w:lang w:val="en-US"/>
        </w:rPr>
        <w:t xml:space="preserve">As an example, Fig. 11 provides a comparison of two </w:t>
      </w:r>
      <w:proofErr w:type="spellStart"/>
      <w:r>
        <w:rPr>
          <w:lang w:val="en-US"/>
        </w:rPr>
        <w:t>pfd</w:t>
      </w:r>
      <w:proofErr w:type="spellEnd"/>
      <w:r>
        <w:rPr>
          <w:lang w:val="en-US"/>
        </w:rPr>
        <w:t xml:space="preserve"> distributions, one taking into account a 15° operational elevation limitation for the GSO FSS satellite and the second without elevation limitation. This Figure shows a difference of more than 15 dB on the maximum </w:t>
      </w:r>
      <w:proofErr w:type="spellStart"/>
      <w:r>
        <w:rPr>
          <w:lang w:val="en-US"/>
        </w:rPr>
        <w:t>pfd</w:t>
      </w:r>
      <w:proofErr w:type="spellEnd"/>
      <w:r>
        <w:rPr>
          <w:lang w:val="en-US"/>
        </w:rPr>
        <w:t xml:space="preserve"> value that confirms the impact of the minimum operational elevation angle.</w:t>
      </w:r>
    </w:p>
    <w:p w:rsidR="001B6B63" w:rsidRDefault="001B6B63">
      <w:pPr>
        <w:pStyle w:val="Heading2"/>
        <w:rPr>
          <w:lang w:val="en-US"/>
        </w:rPr>
      </w:pPr>
      <w:r>
        <w:rPr>
          <w:lang w:val="en-US"/>
        </w:rPr>
        <w:t>4.4</w:t>
      </w:r>
      <w:r>
        <w:rPr>
          <w:lang w:val="en-US"/>
        </w:rPr>
        <w:tab/>
        <w:t>Further considerations</w:t>
      </w:r>
    </w:p>
    <w:p w:rsidR="001B6B63" w:rsidRDefault="001B6B63">
      <w:pPr>
        <w:rPr>
          <w:lang w:val="en-US"/>
        </w:rPr>
      </w:pPr>
      <w:r>
        <w:rPr>
          <w:lang w:val="en-US"/>
        </w:rPr>
        <w:t xml:space="preserve">The analysis in the previous sections assumes a uniform distribution of the satellite beam orientation. In practice and depending on the frequency band and applications, the satellites would tend to orient their beams toward landmasses and in particular population </w:t>
      </w:r>
      <w:proofErr w:type="spellStart"/>
      <w:r>
        <w:rPr>
          <w:lang w:val="en-US"/>
        </w:rPr>
        <w:t>centres</w:t>
      </w:r>
      <w:proofErr w:type="spellEnd"/>
      <w:r>
        <w:rPr>
          <w:lang w:val="en-US"/>
        </w:rPr>
        <w:t xml:space="preserve">. Similarly, depending on the frequency band and applications, FS networks, and in particular high density FS networks, are also likely to be deployed in the same population </w:t>
      </w:r>
      <w:proofErr w:type="spellStart"/>
      <w:r>
        <w:rPr>
          <w:lang w:val="en-US"/>
        </w:rPr>
        <w:t>centres</w:t>
      </w:r>
      <w:proofErr w:type="spellEnd"/>
      <w:r>
        <w:rPr>
          <w:lang w:val="en-US"/>
        </w:rPr>
        <w:t xml:space="preserve">. </w:t>
      </w:r>
    </w:p>
    <w:p w:rsidR="001B6B63" w:rsidRDefault="001B6B63">
      <w:pPr>
        <w:pStyle w:val="FigureNo"/>
        <w:spacing w:before="360"/>
      </w:pPr>
      <w:r>
        <w:rPr>
          <w:lang w:val="en-US"/>
        </w:rPr>
        <w:br w:type="page"/>
      </w:r>
      <w:r w:rsidR="00FB4263">
        <w:rPr>
          <w:noProof/>
          <w:lang w:val="en-US" w:eastAsia="zh-CN"/>
        </w:rPr>
        <w:lastRenderedPageBreak/>
        <w:drawing>
          <wp:inline distT="0" distB="0" distL="0" distR="0">
            <wp:extent cx="4546600" cy="31432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6600" cy="3143250"/>
                    </a:xfrm>
                    <a:prstGeom prst="rect">
                      <a:avLst/>
                    </a:prstGeom>
                    <a:noFill/>
                    <a:ln>
                      <a:noFill/>
                    </a:ln>
                  </pic:spPr>
                </pic:pic>
              </a:graphicData>
            </a:graphic>
          </wp:inline>
        </w:drawing>
      </w:r>
    </w:p>
    <w:p w:rsidR="001B6B63" w:rsidRDefault="001B6B63">
      <w:pPr>
        <w:rPr>
          <w:lang w:val="en-US"/>
        </w:rPr>
      </w:pPr>
      <w:r>
        <w:rPr>
          <w:lang w:val="en-US"/>
        </w:rPr>
        <w:t>Correlation distribution of the two services may need to be taken into account when applying the methodology.</w:t>
      </w:r>
    </w:p>
    <w:p w:rsidR="001B6B63" w:rsidRDefault="001B6B63">
      <w:pPr>
        <w:pStyle w:val="Heading1"/>
        <w:rPr>
          <w:lang w:val="en-US"/>
        </w:rPr>
      </w:pPr>
      <w:r>
        <w:rPr>
          <w:lang w:val="en-US"/>
        </w:rPr>
        <w:t>5</w:t>
      </w:r>
      <w:r>
        <w:rPr>
          <w:lang w:val="en-US"/>
        </w:rPr>
        <w:tab/>
        <w:t>Conclusion</w:t>
      </w:r>
    </w:p>
    <w:p w:rsidR="001B6B63" w:rsidRDefault="001B6B63">
      <w:pPr>
        <w:rPr>
          <w:lang w:val="en-US"/>
        </w:rPr>
      </w:pPr>
      <w:r>
        <w:rPr>
          <w:lang w:val="en-US"/>
        </w:rPr>
        <w:t xml:space="preserve">This Annex proposes a statistical methodology for computing interference from satellites into FS receivers. The methodology takes into account realistic satellite characteristics (such as maximum power, number of beams, antenna gain and pattern and minimum pointing elevation angle). It permits a detailed analysis of the impact of satellites on FS systems and could be used in </w:t>
      </w:r>
      <w:r>
        <w:rPr>
          <w:lang w:val="en-US" w:eastAsia="fr-FR"/>
        </w:rPr>
        <w:t xml:space="preserve">sharing studies pertaining to the assessment of </w:t>
      </w:r>
      <w:proofErr w:type="spellStart"/>
      <w:r>
        <w:rPr>
          <w:lang w:val="en-US" w:eastAsia="fr-FR"/>
        </w:rPr>
        <w:t>pfd</w:t>
      </w:r>
      <w:proofErr w:type="spellEnd"/>
      <w:r>
        <w:rPr>
          <w:lang w:val="en-US" w:eastAsia="fr-FR"/>
        </w:rPr>
        <w:t xml:space="preserve"> limits to be applied to satellite services to protect the FS in a multi-satellite environment. </w:t>
      </w:r>
      <w:r>
        <w:rPr>
          <w:lang w:val="en-US"/>
        </w:rPr>
        <w:t>On this basis, examples of calculations using this methodology are given in Appendices 1-6 for the satellite models described in § 3:</w:t>
      </w:r>
    </w:p>
    <w:p w:rsidR="001B6B63" w:rsidRDefault="001B6B63">
      <w:pPr>
        <w:pStyle w:val="enumlev1"/>
        <w:rPr>
          <w:lang w:val="en-US"/>
        </w:rPr>
      </w:pPr>
      <w:r>
        <w:rPr>
          <w:lang w:val="en-US"/>
        </w:rPr>
        <w:t>–</w:t>
      </w:r>
      <w:r>
        <w:rPr>
          <w:lang w:val="en-US"/>
        </w:rPr>
        <w:tab/>
        <w:t>For GSO satellites (without operational elevation limit):</w:t>
      </w:r>
    </w:p>
    <w:p w:rsidR="001B6B63" w:rsidRDefault="001B6B63">
      <w:pPr>
        <w:pStyle w:val="enumlev2"/>
        <w:rPr>
          <w:lang w:val="en-US"/>
        </w:rPr>
      </w:pPr>
      <w:r>
        <w:rPr>
          <w:lang w:val="en-US"/>
        </w:rPr>
        <w:t>–</w:t>
      </w:r>
      <w:r>
        <w:rPr>
          <w:lang w:val="en-US"/>
        </w:rPr>
        <w:tab/>
        <w:t xml:space="preserve">model GEO1 (6 co-frequency beams with 60 </w:t>
      </w:r>
      <w:proofErr w:type="spellStart"/>
      <w:r>
        <w:rPr>
          <w:lang w:val="en-US"/>
        </w:rPr>
        <w:t>dBi</w:t>
      </w:r>
      <w:proofErr w:type="spellEnd"/>
      <w:r>
        <w:rPr>
          <w:lang w:val="en-US"/>
        </w:rPr>
        <w:t xml:space="preserve"> antenna gain), Appendix 1.</w:t>
      </w:r>
    </w:p>
    <w:p w:rsidR="001B6B63" w:rsidRDefault="001B6B63">
      <w:pPr>
        <w:pStyle w:val="enumlev1"/>
        <w:rPr>
          <w:lang w:val="en-US"/>
        </w:rPr>
      </w:pPr>
      <w:r>
        <w:rPr>
          <w:lang w:val="en-US"/>
        </w:rPr>
        <w:t>–</w:t>
      </w:r>
      <w:r>
        <w:rPr>
          <w:lang w:val="en-US"/>
        </w:rPr>
        <w:tab/>
        <w:t>For GSO satellites (with 15° operational elevation limit):</w:t>
      </w:r>
    </w:p>
    <w:p w:rsidR="001B6B63" w:rsidRDefault="001B6B63">
      <w:pPr>
        <w:pStyle w:val="enumlev2"/>
        <w:rPr>
          <w:lang w:val="en-US"/>
        </w:rPr>
      </w:pPr>
      <w:r>
        <w:rPr>
          <w:lang w:val="en-US"/>
        </w:rPr>
        <w:t>–</w:t>
      </w:r>
      <w:r>
        <w:rPr>
          <w:lang w:val="en-US"/>
        </w:rPr>
        <w:tab/>
        <w:t xml:space="preserve">model GEO1 (6 co-frequency beams with 60 </w:t>
      </w:r>
      <w:proofErr w:type="spellStart"/>
      <w:r>
        <w:rPr>
          <w:lang w:val="en-US"/>
        </w:rPr>
        <w:t>dBi</w:t>
      </w:r>
      <w:proofErr w:type="spellEnd"/>
      <w:r>
        <w:rPr>
          <w:lang w:val="en-US"/>
        </w:rPr>
        <w:t xml:space="preserve"> antenna gain), Appendix 2;</w:t>
      </w:r>
    </w:p>
    <w:p w:rsidR="001B6B63" w:rsidRDefault="001B6B63">
      <w:pPr>
        <w:pStyle w:val="enumlev2"/>
        <w:rPr>
          <w:lang w:val="en-US"/>
        </w:rPr>
      </w:pPr>
      <w:r>
        <w:rPr>
          <w:lang w:val="en-US"/>
        </w:rPr>
        <w:t>–</w:t>
      </w:r>
      <w:r>
        <w:rPr>
          <w:lang w:val="en-US"/>
        </w:rPr>
        <w:tab/>
        <w:t xml:space="preserve">model GEO2 (4 co-frequency beams with 55 </w:t>
      </w:r>
      <w:proofErr w:type="spellStart"/>
      <w:r>
        <w:rPr>
          <w:lang w:val="en-US"/>
        </w:rPr>
        <w:t>dBi</w:t>
      </w:r>
      <w:proofErr w:type="spellEnd"/>
      <w:r>
        <w:rPr>
          <w:lang w:val="en-US"/>
        </w:rPr>
        <w:t xml:space="preserve"> antenna gain), Appendix 3.</w:t>
      </w:r>
    </w:p>
    <w:p w:rsidR="001B6B63" w:rsidRDefault="001B6B63">
      <w:pPr>
        <w:pStyle w:val="enumlev1"/>
        <w:rPr>
          <w:lang w:val="en-US"/>
        </w:rPr>
      </w:pPr>
      <w:r>
        <w:rPr>
          <w:lang w:val="en-US"/>
        </w:rPr>
        <w:t>–</w:t>
      </w:r>
      <w:r>
        <w:rPr>
          <w:lang w:val="en-US"/>
        </w:rPr>
        <w:tab/>
        <w:t>For non-GSO satellites (with 20° operational elevation limit):</w:t>
      </w:r>
    </w:p>
    <w:p w:rsidR="001B6B63" w:rsidRDefault="001B6B63">
      <w:pPr>
        <w:pStyle w:val="enumlev2"/>
        <w:rPr>
          <w:lang w:val="en-US"/>
        </w:rPr>
      </w:pPr>
      <w:r>
        <w:rPr>
          <w:lang w:val="en-US"/>
        </w:rPr>
        <w:t>–</w:t>
      </w:r>
      <w:r>
        <w:rPr>
          <w:lang w:val="en-US"/>
        </w:rPr>
        <w:tab/>
        <w:t xml:space="preserve">model MEO1 (4 co-frequency beams with 50 </w:t>
      </w:r>
      <w:proofErr w:type="spellStart"/>
      <w:r>
        <w:rPr>
          <w:lang w:val="en-US"/>
        </w:rPr>
        <w:t>dBi</w:t>
      </w:r>
      <w:proofErr w:type="spellEnd"/>
      <w:r>
        <w:rPr>
          <w:lang w:val="en-US"/>
        </w:rPr>
        <w:t xml:space="preserve"> antenna gain), Appendix 4;</w:t>
      </w:r>
    </w:p>
    <w:p w:rsidR="001B6B63" w:rsidRDefault="001B6B63">
      <w:pPr>
        <w:pStyle w:val="enumlev2"/>
        <w:rPr>
          <w:lang w:val="en-US"/>
        </w:rPr>
      </w:pPr>
      <w:r>
        <w:rPr>
          <w:lang w:val="en-US"/>
        </w:rPr>
        <w:t>–</w:t>
      </w:r>
      <w:r>
        <w:rPr>
          <w:lang w:val="en-US"/>
        </w:rPr>
        <w:tab/>
        <w:t xml:space="preserve">model MEO2 (3 co-frequency beams with 45 </w:t>
      </w:r>
      <w:proofErr w:type="spellStart"/>
      <w:r>
        <w:rPr>
          <w:lang w:val="en-US"/>
        </w:rPr>
        <w:t>dBi</w:t>
      </w:r>
      <w:proofErr w:type="spellEnd"/>
      <w:r>
        <w:rPr>
          <w:lang w:val="en-US"/>
        </w:rPr>
        <w:t xml:space="preserve"> antenna gain), Appendix 5.</w:t>
      </w:r>
    </w:p>
    <w:p w:rsidR="001B6B63" w:rsidRDefault="001B6B63">
      <w:pPr>
        <w:rPr>
          <w:lang w:val="en-US"/>
        </w:rPr>
      </w:pPr>
      <w:r>
        <w:rPr>
          <w:lang w:val="en-US"/>
        </w:rPr>
        <w:t xml:space="preserve">Finally, Appendix 6 provides an example of implementation of the statistical </w:t>
      </w:r>
      <w:proofErr w:type="spellStart"/>
      <w:r>
        <w:rPr>
          <w:lang w:val="en-US"/>
        </w:rPr>
        <w:t>pfd</w:t>
      </w:r>
      <w:proofErr w:type="spellEnd"/>
      <w:r>
        <w:rPr>
          <w:lang w:val="en-US"/>
        </w:rPr>
        <w:t xml:space="preserve"> levels obtained with this methodology based on the case of non-GSO satellites.</w:t>
      </w:r>
    </w:p>
    <w:p w:rsidR="001B6B63" w:rsidRDefault="001B6B63">
      <w:pPr>
        <w:pStyle w:val="AppendixNoTitle"/>
        <w:rPr>
          <w:lang w:val="en-US"/>
        </w:rPr>
      </w:pPr>
      <w:r>
        <w:rPr>
          <w:lang w:val="en-US"/>
        </w:rPr>
        <w:br w:type="page"/>
      </w:r>
      <w:r>
        <w:rPr>
          <w:lang w:val="en-US"/>
        </w:rPr>
        <w:lastRenderedPageBreak/>
        <w:t>Appendix 1</w:t>
      </w:r>
      <w:r>
        <w:rPr>
          <w:lang w:val="en-US"/>
        </w:rPr>
        <w:br/>
        <w:t>to Annex 1</w:t>
      </w:r>
    </w:p>
    <w:p w:rsidR="001B6B63" w:rsidRDefault="00FB4263">
      <w:pPr>
        <w:pStyle w:val="FigureNo"/>
        <w:rPr>
          <w:lang w:val="en-US"/>
        </w:rPr>
      </w:pPr>
      <w:r>
        <w:rPr>
          <w:noProof/>
          <w:lang w:val="en-US" w:eastAsia="zh-CN"/>
        </w:rPr>
        <w:drawing>
          <wp:inline distT="0" distB="0" distL="0" distR="0">
            <wp:extent cx="4546600" cy="29019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6600" cy="2901950"/>
                    </a:xfrm>
                    <a:prstGeom prst="rect">
                      <a:avLst/>
                    </a:prstGeom>
                    <a:noFill/>
                    <a:ln>
                      <a:noFill/>
                    </a:ln>
                  </pic:spPr>
                </pic:pic>
              </a:graphicData>
            </a:graphic>
          </wp:inline>
        </w:drawing>
      </w:r>
    </w:p>
    <w:p w:rsidR="001B6B63" w:rsidRDefault="001B6B63">
      <w:pPr>
        <w:jc w:val="center"/>
        <w:rPr>
          <w:lang w:val="en-US"/>
        </w:rPr>
      </w:pPr>
    </w:p>
    <w:p w:rsidR="001B6B63" w:rsidRDefault="00FB4263">
      <w:pPr>
        <w:pStyle w:val="FigureNo"/>
        <w:rPr>
          <w:lang w:val="en-US"/>
        </w:rPr>
      </w:pPr>
      <w:r>
        <w:rPr>
          <w:noProof/>
          <w:lang w:val="en-US" w:eastAsia="zh-CN"/>
        </w:rPr>
        <w:drawing>
          <wp:inline distT="0" distB="0" distL="0" distR="0">
            <wp:extent cx="5480050" cy="39243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0050" cy="3924300"/>
                    </a:xfrm>
                    <a:prstGeom prst="rect">
                      <a:avLst/>
                    </a:prstGeom>
                    <a:noFill/>
                    <a:ln>
                      <a:noFill/>
                    </a:ln>
                  </pic:spPr>
                </pic:pic>
              </a:graphicData>
            </a:graphic>
          </wp:inline>
        </w:drawing>
      </w:r>
    </w:p>
    <w:p w:rsidR="001B6B63" w:rsidRDefault="001B6B63">
      <w:pPr>
        <w:jc w:val="center"/>
        <w:rPr>
          <w:lang w:val="en-US"/>
        </w:rPr>
      </w:pPr>
    </w:p>
    <w:p w:rsidR="001B6B63" w:rsidRDefault="001B6B63">
      <w:pPr>
        <w:pStyle w:val="AppendixNoTitle"/>
        <w:rPr>
          <w:lang w:val="en-US"/>
        </w:rPr>
      </w:pPr>
      <w:r>
        <w:rPr>
          <w:lang w:val="en-US"/>
        </w:rPr>
        <w:br w:type="page"/>
      </w:r>
      <w:r>
        <w:rPr>
          <w:lang w:val="en-US"/>
        </w:rPr>
        <w:lastRenderedPageBreak/>
        <w:t>Appendix 2</w:t>
      </w:r>
      <w:r>
        <w:rPr>
          <w:lang w:val="en-US"/>
        </w:rPr>
        <w:br/>
        <w:t>to Annex 1</w:t>
      </w:r>
    </w:p>
    <w:p w:rsidR="001B6B63" w:rsidRDefault="00FB4263">
      <w:pPr>
        <w:pStyle w:val="FigureNo"/>
        <w:rPr>
          <w:lang w:val="en-US"/>
        </w:rPr>
      </w:pPr>
      <w:r>
        <w:rPr>
          <w:noProof/>
          <w:lang w:val="en-US" w:eastAsia="zh-CN"/>
        </w:rPr>
        <w:drawing>
          <wp:inline distT="0" distB="0" distL="0" distR="0">
            <wp:extent cx="4546600" cy="29019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6600" cy="2901950"/>
                    </a:xfrm>
                    <a:prstGeom prst="rect">
                      <a:avLst/>
                    </a:prstGeom>
                    <a:noFill/>
                    <a:ln>
                      <a:noFill/>
                    </a:ln>
                  </pic:spPr>
                </pic:pic>
              </a:graphicData>
            </a:graphic>
          </wp:inline>
        </w:drawing>
      </w:r>
    </w:p>
    <w:p w:rsidR="001B6B63" w:rsidRDefault="001B6B63">
      <w:pPr>
        <w:jc w:val="center"/>
        <w:rPr>
          <w:lang w:val="en-US"/>
        </w:rPr>
      </w:pPr>
    </w:p>
    <w:p w:rsidR="001B6B63" w:rsidRDefault="00FB4263">
      <w:pPr>
        <w:pStyle w:val="FigureNo"/>
      </w:pPr>
      <w:r>
        <w:rPr>
          <w:noProof/>
          <w:lang w:val="en-US" w:eastAsia="zh-CN"/>
        </w:rPr>
        <w:drawing>
          <wp:inline distT="0" distB="0" distL="0" distR="0">
            <wp:extent cx="5480050" cy="39243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0050" cy="3924300"/>
                    </a:xfrm>
                    <a:prstGeom prst="rect">
                      <a:avLst/>
                    </a:prstGeom>
                    <a:noFill/>
                    <a:ln>
                      <a:noFill/>
                    </a:ln>
                  </pic:spPr>
                </pic:pic>
              </a:graphicData>
            </a:graphic>
          </wp:inline>
        </w:drawing>
      </w:r>
    </w:p>
    <w:p w:rsidR="001B6B63" w:rsidRDefault="001B6B63">
      <w:pPr>
        <w:jc w:val="center"/>
      </w:pPr>
    </w:p>
    <w:p w:rsidR="001B6B63" w:rsidRDefault="001B6B63">
      <w:pPr>
        <w:pStyle w:val="AppendixNoTitle"/>
        <w:rPr>
          <w:lang w:val="en-US"/>
        </w:rPr>
      </w:pPr>
      <w:r>
        <w:rPr>
          <w:lang w:val="en-US"/>
        </w:rPr>
        <w:br w:type="page"/>
      </w:r>
      <w:r>
        <w:rPr>
          <w:lang w:val="en-US"/>
        </w:rPr>
        <w:lastRenderedPageBreak/>
        <w:t>Appendix 3</w:t>
      </w:r>
      <w:r>
        <w:rPr>
          <w:lang w:val="en-US"/>
        </w:rPr>
        <w:br/>
        <w:t>to Annex 1</w:t>
      </w:r>
    </w:p>
    <w:p w:rsidR="001B6B63" w:rsidRDefault="00FB4263">
      <w:pPr>
        <w:pStyle w:val="FigureNo"/>
      </w:pPr>
      <w:r>
        <w:rPr>
          <w:noProof/>
          <w:lang w:val="en-US" w:eastAsia="zh-CN"/>
        </w:rPr>
        <w:drawing>
          <wp:inline distT="0" distB="0" distL="0" distR="0">
            <wp:extent cx="4546600" cy="29019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6600" cy="2901950"/>
                    </a:xfrm>
                    <a:prstGeom prst="rect">
                      <a:avLst/>
                    </a:prstGeom>
                    <a:noFill/>
                    <a:ln>
                      <a:noFill/>
                    </a:ln>
                  </pic:spPr>
                </pic:pic>
              </a:graphicData>
            </a:graphic>
          </wp:inline>
        </w:drawing>
      </w:r>
    </w:p>
    <w:p w:rsidR="001B6B63" w:rsidRDefault="001B6B63">
      <w:pPr>
        <w:jc w:val="center"/>
      </w:pPr>
    </w:p>
    <w:p w:rsidR="001B6B63" w:rsidRDefault="00FB4263">
      <w:pPr>
        <w:pStyle w:val="FigureNo"/>
      </w:pPr>
      <w:r>
        <w:rPr>
          <w:noProof/>
          <w:lang w:val="en-US" w:eastAsia="zh-CN"/>
        </w:rPr>
        <w:drawing>
          <wp:inline distT="0" distB="0" distL="0" distR="0">
            <wp:extent cx="5480050" cy="37274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0050" cy="3727450"/>
                    </a:xfrm>
                    <a:prstGeom prst="rect">
                      <a:avLst/>
                    </a:prstGeom>
                    <a:noFill/>
                    <a:ln>
                      <a:noFill/>
                    </a:ln>
                  </pic:spPr>
                </pic:pic>
              </a:graphicData>
            </a:graphic>
          </wp:inline>
        </w:drawing>
      </w:r>
    </w:p>
    <w:p w:rsidR="001B6B63" w:rsidRDefault="001B6B63">
      <w:pPr>
        <w:jc w:val="center"/>
      </w:pPr>
    </w:p>
    <w:p w:rsidR="001B6B63" w:rsidRDefault="001B6B63">
      <w:pPr>
        <w:pStyle w:val="AppendixNoTitle"/>
        <w:rPr>
          <w:lang w:val="en-US"/>
        </w:rPr>
      </w:pPr>
      <w:r>
        <w:rPr>
          <w:lang w:val="en-US"/>
        </w:rPr>
        <w:br w:type="page"/>
      </w:r>
      <w:r>
        <w:rPr>
          <w:lang w:val="en-US"/>
        </w:rPr>
        <w:lastRenderedPageBreak/>
        <w:t>Appendix 4</w:t>
      </w:r>
      <w:r>
        <w:rPr>
          <w:lang w:val="en-US"/>
        </w:rPr>
        <w:br/>
        <w:t>to Annex 1</w:t>
      </w:r>
    </w:p>
    <w:p w:rsidR="001B6B63" w:rsidRDefault="00FB4263">
      <w:pPr>
        <w:pStyle w:val="FigureNo"/>
      </w:pPr>
      <w:r>
        <w:rPr>
          <w:noProof/>
          <w:lang w:val="en-US" w:eastAsia="zh-CN"/>
        </w:rPr>
        <w:drawing>
          <wp:inline distT="0" distB="0" distL="0" distR="0">
            <wp:extent cx="4546600" cy="29019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6600" cy="2901950"/>
                    </a:xfrm>
                    <a:prstGeom prst="rect">
                      <a:avLst/>
                    </a:prstGeom>
                    <a:noFill/>
                    <a:ln>
                      <a:noFill/>
                    </a:ln>
                  </pic:spPr>
                </pic:pic>
              </a:graphicData>
            </a:graphic>
          </wp:inline>
        </w:drawing>
      </w:r>
    </w:p>
    <w:p w:rsidR="001B6B63" w:rsidRDefault="001B6B63">
      <w:pPr>
        <w:keepNext/>
        <w:keepLines/>
      </w:pPr>
    </w:p>
    <w:p w:rsidR="001B6B63" w:rsidRDefault="00FB4263">
      <w:pPr>
        <w:pStyle w:val="FigureNo"/>
      </w:pPr>
      <w:r>
        <w:rPr>
          <w:noProof/>
          <w:lang w:val="en-US" w:eastAsia="zh-CN"/>
        </w:rPr>
        <w:drawing>
          <wp:inline distT="0" distB="0" distL="0" distR="0">
            <wp:extent cx="5480050" cy="39243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0050" cy="3924300"/>
                    </a:xfrm>
                    <a:prstGeom prst="rect">
                      <a:avLst/>
                    </a:prstGeom>
                    <a:noFill/>
                    <a:ln>
                      <a:noFill/>
                    </a:ln>
                  </pic:spPr>
                </pic:pic>
              </a:graphicData>
            </a:graphic>
          </wp:inline>
        </w:drawing>
      </w:r>
    </w:p>
    <w:p w:rsidR="001B6B63" w:rsidRDefault="001B6B63">
      <w:pPr>
        <w:rPr>
          <w:lang w:val="en-US"/>
        </w:rPr>
      </w:pPr>
    </w:p>
    <w:p w:rsidR="001B6B63" w:rsidRDefault="001B6B63">
      <w:pPr>
        <w:pStyle w:val="AppendixNoTitle"/>
        <w:rPr>
          <w:lang w:val="en-US"/>
        </w:rPr>
      </w:pPr>
      <w:r>
        <w:rPr>
          <w:lang w:val="en-US"/>
        </w:rPr>
        <w:br w:type="page"/>
      </w:r>
      <w:r>
        <w:rPr>
          <w:lang w:val="en-US"/>
        </w:rPr>
        <w:lastRenderedPageBreak/>
        <w:t>Appendix 5</w:t>
      </w:r>
      <w:r>
        <w:rPr>
          <w:lang w:val="en-US"/>
        </w:rPr>
        <w:br/>
        <w:t>to Annex 1</w:t>
      </w:r>
    </w:p>
    <w:p w:rsidR="001B6B63" w:rsidRDefault="00FB4263">
      <w:pPr>
        <w:pStyle w:val="FigureNo"/>
      </w:pPr>
      <w:r>
        <w:rPr>
          <w:noProof/>
          <w:lang w:val="en-US" w:eastAsia="zh-CN"/>
        </w:rPr>
        <w:drawing>
          <wp:inline distT="0" distB="0" distL="0" distR="0">
            <wp:extent cx="4546600" cy="29019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6600" cy="2901950"/>
                    </a:xfrm>
                    <a:prstGeom prst="rect">
                      <a:avLst/>
                    </a:prstGeom>
                    <a:noFill/>
                    <a:ln>
                      <a:noFill/>
                    </a:ln>
                  </pic:spPr>
                </pic:pic>
              </a:graphicData>
            </a:graphic>
          </wp:inline>
        </w:drawing>
      </w:r>
    </w:p>
    <w:p w:rsidR="001B6B63" w:rsidRDefault="001B6B63">
      <w:pPr>
        <w:spacing w:before="0"/>
        <w:jc w:val="center"/>
      </w:pPr>
    </w:p>
    <w:p w:rsidR="001B6B63" w:rsidRDefault="00FB4263">
      <w:pPr>
        <w:pStyle w:val="FigureNo"/>
      </w:pPr>
      <w:r>
        <w:rPr>
          <w:noProof/>
          <w:lang w:val="en-US" w:eastAsia="zh-CN"/>
        </w:rPr>
        <w:drawing>
          <wp:inline distT="0" distB="0" distL="0" distR="0">
            <wp:extent cx="5480050" cy="37274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0050" cy="3727450"/>
                    </a:xfrm>
                    <a:prstGeom prst="rect">
                      <a:avLst/>
                    </a:prstGeom>
                    <a:noFill/>
                    <a:ln>
                      <a:noFill/>
                    </a:ln>
                  </pic:spPr>
                </pic:pic>
              </a:graphicData>
            </a:graphic>
          </wp:inline>
        </w:drawing>
      </w:r>
    </w:p>
    <w:p w:rsidR="001B6B63" w:rsidRDefault="001B6B63">
      <w:pPr>
        <w:spacing w:before="0"/>
        <w:jc w:val="center"/>
      </w:pPr>
    </w:p>
    <w:p w:rsidR="001B6B63" w:rsidRDefault="001B6B63">
      <w:pPr>
        <w:pStyle w:val="AppendixNoTitle"/>
        <w:rPr>
          <w:lang w:val="en-US"/>
        </w:rPr>
      </w:pPr>
      <w:r>
        <w:rPr>
          <w:lang w:val="en-US"/>
        </w:rPr>
        <w:br w:type="page"/>
      </w:r>
      <w:r>
        <w:rPr>
          <w:lang w:val="en-US"/>
        </w:rPr>
        <w:lastRenderedPageBreak/>
        <w:t>Appendix 6</w:t>
      </w:r>
      <w:r>
        <w:rPr>
          <w:lang w:val="en-US"/>
        </w:rPr>
        <w:br/>
        <w:t>to Annex 1</w:t>
      </w:r>
    </w:p>
    <w:p w:rsidR="001B6B63" w:rsidRPr="0038062D" w:rsidRDefault="001B6B63">
      <w:pPr>
        <w:pStyle w:val="AppendixNoTitle"/>
        <w:rPr>
          <w:lang w:val="en-US"/>
        </w:rPr>
      </w:pPr>
      <w:r w:rsidRPr="0038062D">
        <w:rPr>
          <w:lang w:val="en-US"/>
        </w:rPr>
        <w:t>Example implementation of the methodology for non</w:t>
      </w:r>
      <w:r w:rsidRPr="0038062D">
        <w:rPr>
          <w:lang w:val="en-US"/>
        </w:rPr>
        <w:noBreakHyphen/>
        <w:t>GSO case</w:t>
      </w:r>
    </w:p>
    <w:p w:rsidR="001B6B63" w:rsidRDefault="001B6B63">
      <w:pPr>
        <w:pStyle w:val="Normalaftertitle"/>
        <w:rPr>
          <w:lang w:val="en-US"/>
        </w:rPr>
      </w:pPr>
      <w:r>
        <w:rPr>
          <w:lang w:val="en-US"/>
        </w:rPr>
        <w:t xml:space="preserve">As described in § 2 of Annex 1, the calculations of interference from a non-GSO FSS system to an FS station are typically presented as an </w:t>
      </w:r>
      <w:r>
        <w:rPr>
          <w:i/>
          <w:iCs/>
          <w:lang w:val="en-US"/>
        </w:rPr>
        <w:t>I</w:t>
      </w:r>
      <w:r>
        <w:rPr>
          <w:lang w:val="en-US"/>
        </w:rPr>
        <w:t>/</w:t>
      </w:r>
      <w:r>
        <w:rPr>
          <w:i/>
          <w:iCs/>
          <w:lang w:val="en-US"/>
        </w:rPr>
        <w:t>N</w:t>
      </w:r>
      <w:r>
        <w:rPr>
          <w:lang w:val="en-US"/>
        </w:rPr>
        <w:t xml:space="preserve"> distribution, as the curves in Fig. 2.</w:t>
      </w:r>
    </w:p>
    <w:p w:rsidR="001B6B63" w:rsidRDefault="001B6B63">
      <w:pPr>
        <w:rPr>
          <w:lang w:val="en-US"/>
        </w:rPr>
      </w:pPr>
      <w:r>
        <w:rPr>
          <w:lang w:val="en-US"/>
        </w:rPr>
        <w:t xml:space="preserve">The maximum short-term </w:t>
      </w:r>
      <w:r>
        <w:rPr>
          <w:i/>
          <w:iCs/>
          <w:lang w:val="en-US"/>
        </w:rPr>
        <w:t>I</w:t>
      </w:r>
      <w:r>
        <w:rPr>
          <w:lang w:val="en-US"/>
        </w:rPr>
        <w:t>/</w:t>
      </w:r>
      <w:r>
        <w:rPr>
          <w:i/>
          <w:iCs/>
          <w:lang w:val="en-US"/>
        </w:rPr>
        <w:t>N</w:t>
      </w:r>
      <w:r>
        <w:rPr>
          <w:lang w:val="en-US"/>
        </w:rPr>
        <w:t xml:space="preserve"> scenarios represent the interference caused by a satellite passing through the main beam of the considered FS station, under the assumption that this satellite produces the maximum </w:t>
      </w:r>
      <w:proofErr w:type="spellStart"/>
      <w:r>
        <w:rPr>
          <w:lang w:val="en-US"/>
        </w:rPr>
        <w:t>pfd</w:t>
      </w:r>
      <w:proofErr w:type="spellEnd"/>
      <w:r>
        <w:rPr>
          <w:lang w:val="en-US"/>
        </w:rPr>
        <w:t xml:space="preserve"> level with regard to the </w:t>
      </w:r>
      <w:proofErr w:type="spellStart"/>
      <w:r>
        <w:rPr>
          <w:lang w:val="en-US"/>
        </w:rPr>
        <w:t>pfd</w:t>
      </w:r>
      <w:proofErr w:type="spellEnd"/>
      <w:r>
        <w:rPr>
          <w:lang w:val="en-US"/>
        </w:rPr>
        <w:t xml:space="preserve"> mask under consideration.</w:t>
      </w:r>
    </w:p>
    <w:p w:rsidR="001B6B63" w:rsidRDefault="001B6B63">
      <w:pPr>
        <w:rPr>
          <w:lang w:val="en-US"/>
        </w:rPr>
      </w:pPr>
      <w:r>
        <w:rPr>
          <w:lang w:val="en-US"/>
        </w:rPr>
        <w:t xml:space="preserve">The examples in the Figures in Appendices 4 and 5 show, for all elevation angles, that the occurrence of the maximum </w:t>
      </w:r>
      <w:proofErr w:type="spellStart"/>
      <w:r>
        <w:rPr>
          <w:lang w:val="en-US"/>
        </w:rPr>
        <w:t>pfd</w:t>
      </w:r>
      <w:proofErr w:type="spellEnd"/>
      <w:r>
        <w:rPr>
          <w:lang w:val="en-US"/>
        </w:rPr>
        <w:t xml:space="preserve"> scenario is small and that, in a large majority of the cases, the </w:t>
      </w:r>
      <w:proofErr w:type="spellStart"/>
      <w:r>
        <w:rPr>
          <w:lang w:val="en-US"/>
        </w:rPr>
        <w:t>pfd</w:t>
      </w:r>
      <w:proofErr w:type="spellEnd"/>
      <w:r>
        <w:rPr>
          <w:lang w:val="en-US"/>
        </w:rPr>
        <w:t xml:space="preserve"> produced by the non-GSO satellite is below the </w:t>
      </w:r>
      <w:proofErr w:type="spellStart"/>
      <w:r>
        <w:rPr>
          <w:lang w:val="en-US"/>
        </w:rPr>
        <w:t>pfd</w:t>
      </w:r>
      <w:proofErr w:type="spellEnd"/>
      <w:r>
        <w:rPr>
          <w:lang w:val="en-US"/>
        </w:rPr>
        <w:t xml:space="preserve"> mask under consideration.</w:t>
      </w:r>
    </w:p>
    <w:p w:rsidR="001B6B63" w:rsidRDefault="001B6B63">
      <w:pPr>
        <w:rPr>
          <w:lang w:val="en-US"/>
        </w:rPr>
      </w:pPr>
      <w:r>
        <w:rPr>
          <w:lang w:val="en-US"/>
        </w:rPr>
        <w:t xml:space="preserve">The combined effect of the low occurrence of the maximum </w:t>
      </w:r>
      <w:proofErr w:type="spellStart"/>
      <w:r>
        <w:rPr>
          <w:lang w:val="en-US"/>
        </w:rPr>
        <w:t>pfd</w:t>
      </w:r>
      <w:proofErr w:type="spellEnd"/>
      <w:r>
        <w:rPr>
          <w:lang w:val="en-US"/>
        </w:rPr>
        <w:t xml:space="preserve"> scenario and the lower </w:t>
      </w:r>
      <w:proofErr w:type="spellStart"/>
      <w:r>
        <w:rPr>
          <w:lang w:val="en-US"/>
        </w:rPr>
        <w:t>pfd</w:t>
      </w:r>
      <w:proofErr w:type="spellEnd"/>
      <w:r>
        <w:rPr>
          <w:lang w:val="en-US"/>
        </w:rPr>
        <w:t xml:space="preserve"> levels in the large majority of the cases will tend to decrease the percentage related to the maximum </w:t>
      </w:r>
      <w:r>
        <w:rPr>
          <w:i/>
          <w:iCs/>
          <w:lang w:val="en-US"/>
        </w:rPr>
        <w:t>I</w:t>
      </w:r>
      <w:r>
        <w:rPr>
          <w:lang w:val="en-US"/>
        </w:rPr>
        <w:t>/</w:t>
      </w:r>
      <w:r>
        <w:rPr>
          <w:i/>
          <w:iCs/>
          <w:lang w:val="en-US"/>
        </w:rPr>
        <w:t>N</w:t>
      </w:r>
      <w:r>
        <w:rPr>
          <w:lang w:val="en-US"/>
        </w:rPr>
        <w:t xml:space="preserve"> distribution.</w:t>
      </w:r>
    </w:p>
    <w:p w:rsidR="001B6B63" w:rsidRDefault="001B6B63">
      <w:pPr>
        <w:rPr>
          <w:lang w:val="en-US"/>
        </w:rPr>
      </w:pPr>
      <w:r>
        <w:rPr>
          <w:lang w:val="en-US"/>
        </w:rPr>
        <w:t xml:space="preserve">Acknowledging that the short-term part of the distribution is produced in the main beam of the FS and hence is related to the same elevation with regard to the </w:t>
      </w:r>
      <w:proofErr w:type="spellStart"/>
      <w:r>
        <w:rPr>
          <w:lang w:val="en-US"/>
        </w:rPr>
        <w:t>pfd</w:t>
      </w:r>
      <w:proofErr w:type="spellEnd"/>
      <w:r>
        <w:rPr>
          <w:lang w:val="en-US"/>
        </w:rPr>
        <w:t xml:space="preserve"> value, the combined effect on the tail of the distribution can be obtained by convolving the </w:t>
      </w:r>
      <w:r>
        <w:rPr>
          <w:i/>
          <w:iCs/>
          <w:lang w:val="en-US"/>
        </w:rPr>
        <w:t>I</w:t>
      </w:r>
      <w:r>
        <w:rPr>
          <w:lang w:val="en-US"/>
        </w:rPr>
        <w:t>/</w:t>
      </w:r>
      <w:r>
        <w:rPr>
          <w:i/>
          <w:iCs/>
          <w:lang w:val="en-US"/>
        </w:rPr>
        <w:t>N</w:t>
      </w:r>
      <w:r>
        <w:rPr>
          <w:lang w:val="en-US"/>
        </w:rPr>
        <w:t xml:space="preserve"> distribution (for the low percentages) with the corresponding </w:t>
      </w:r>
      <w:proofErr w:type="spellStart"/>
      <w:r>
        <w:rPr>
          <w:lang w:val="en-US"/>
        </w:rPr>
        <w:t>pfd</w:t>
      </w:r>
      <w:proofErr w:type="spellEnd"/>
      <w:r>
        <w:rPr>
          <w:lang w:val="en-US"/>
        </w:rPr>
        <w:t xml:space="preserve"> distribution for the considered FS elevation such as given on Fig. 22 (using the methodology described in this Recommendation).</w:t>
      </w:r>
    </w:p>
    <w:p w:rsidR="001B6B63" w:rsidRDefault="001B6B63">
      <w:pPr>
        <w:rPr>
          <w:lang w:val="en-US"/>
        </w:rPr>
      </w:pPr>
    </w:p>
    <w:p w:rsidR="001B6B63" w:rsidRDefault="00FB4263">
      <w:pPr>
        <w:pStyle w:val="FigureNo"/>
        <w:rPr>
          <w:lang w:val="en-US"/>
        </w:rPr>
      </w:pPr>
      <w:r>
        <w:rPr>
          <w:noProof/>
          <w:lang w:val="en-US" w:eastAsia="zh-CN"/>
        </w:rPr>
        <w:drawing>
          <wp:inline distT="0" distB="0" distL="0" distR="0">
            <wp:extent cx="4546600" cy="26352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6600" cy="2635250"/>
                    </a:xfrm>
                    <a:prstGeom prst="rect">
                      <a:avLst/>
                    </a:prstGeom>
                    <a:noFill/>
                    <a:ln>
                      <a:noFill/>
                    </a:ln>
                  </pic:spPr>
                </pic:pic>
              </a:graphicData>
            </a:graphic>
          </wp:inline>
        </w:drawing>
      </w:r>
    </w:p>
    <w:p w:rsidR="001B6B63" w:rsidRDefault="001B6B63">
      <w:pPr>
        <w:rPr>
          <w:lang w:val="en-US"/>
        </w:rPr>
      </w:pPr>
    </w:p>
    <w:p w:rsidR="001B6B63" w:rsidRDefault="001B6B63">
      <w:pPr>
        <w:rPr>
          <w:lang w:val="en-US"/>
        </w:rPr>
      </w:pPr>
      <w:r>
        <w:rPr>
          <w:lang w:val="en-US"/>
        </w:rPr>
        <w:br w:type="page"/>
      </w:r>
      <w:r>
        <w:rPr>
          <w:lang w:val="en-US"/>
        </w:rPr>
        <w:lastRenderedPageBreak/>
        <w:t xml:space="preserve">On this basis, Fig. 23 provides the convolved </w:t>
      </w:r>
      <w:r>
        <w:rPr>
          <w:i/>
          <w:iCs/>
          <w:lang w:val="en-US"/>
        </w:rPr>
        <w:t>I</w:t>
      </w:r>
      <w:r>
        <w:rPr>
          <w:lang w:val="en-US"/>
        </w:rPr>
        <w:t>/</w:t>
      </w:r>
      <w:r>
        <w:rPr>
          <w:i/>
          <w:iCs/>
          <w:lang w:val="en-US"/>
        </w:rPr>
        <w:t>N</w:t>
      </w:r>
      <w:r>
        <w:rPr>
          <w:lang w:val="en-US"/>
        </w:rPr>
        <w:t xml:space="preserve"> result of this example compared with the </w:t>
      </w:r>
      <w:r>
        <w:rPr>
          <w:i/>
          <w:iCs/>
          <w:lang w:val="en-US"/>
        </w:rPr>
        <w:t>I</w:t>
      </w:r>
      <w:r>
        <w:rPr>
          <w:lang w:val="en-US"/>
        </w:rPr>
        <w:t>/</w:t>
      </w:r>
      <w:r>
        <w:rPr>
          <w:i/>
          <w:iCs/>
          <w:lang w:val="en-US"/>
        </w:rPr>
        <w:t>N</w:t>
      </w:r>
      <w:r>
        <w:rPr>
          <w:lang w:val="en-US"/>
        </w:rPr>
        <w:t xml:space="preserve"> derived from the </w:t>
      </w:r>
      <w:proofErr w:type="spellStart"/>
      <w:r>
        <w:rPr>
          <w:lang w:val="en-US"/>
        </w:rPr>
        <w:t>pfd</w:t>
      </w:r>
      <w:proofErr w:type="spellEnd"/>
      <w:r>
        <w:rPr>
          <w:lang w:val="en-US"/>
        </w:rPr>
        <w:t xml:space="preserve"> mask under consideration.</w:t>
      </w:r>
    </w:p>
    <w:p w:rsidR="001B6B63" w:rsidRDefault="001B6B63">
      <w:pPr>
        <w:rPr>
          <w:lang w:val="en-US"/>
        </w:rPr>
      </w:pPr>
    </w:p>
    <w:p w:rsidR="001B6B63" w:rsidRDefault="00FB4263">
      <w:pPr>
        <w:pStyle w:val="FigureNo"/>
        <w:rPr>
          <w:lang w:val="en-US"/>
        </w:rPr>
      </w:pPr>
      <w:r>
        <w:rPr>
          <w:noProof/>
          <w:lang w:val="en-US" w:eastAsia="zh-CN"/>
        </w:rPr>
        <w:drawing>
          <wp:inline distT="0" distB="0" distL="0" distR="0">
            <wp:extent cx="4857750" cy="392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3924300"/>
                    </a:xfrm>
                    <a:prstGeom prst="rect">
                      <a:avLst/>
                    </a:prstGeom>
                    <a:noFill/>
                    <a:ln>
                      <a:noFill/>
                    </a:ln>
                  </pic:spPr>
                </pic:pic>
              </a:graphicData>
            </a:graphic>
          </wp:inline>
        </w:drawing>
      </w:r>
    </w:p>
    <w:p w:rsidR="001B6B63" w:rsidRDefault="001B6B63">
      <w:pPr>
        <w:rPr>
          <w:lang w:val="en-US"/>
        </w:rPr>
      </w:pPr>
    </w:p>
    <w:p w:rsidR="001B6B63" w:rsidRDefault="001B6B63">
      <w:pPr>
        <w:pStyle w:val="Line"/>
      </w:pPr>
    </w:p>
    <w:sectPr w:rsidR="001B6B63" w:rsidSect="0038062D">
      <w:headerReference w:type="even" r:id="rId72"/>
      <w:headerReference w:type="default" r:id="rId7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261" w:rsidRDefault="00DC7261">
      <w:pPr>
        <w:spacing w:before="0"/>
      </w:pPr>
      <w:r>
        <w:separator/>
      </w:r>
    </w:p>
  </w:endnote>
  <w:endnote w:type="continuationSeparator" w:id="0">
    <w:p w:rsidR="00DC7261" w:rsidRDefault="00DC726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261" w:rsidRDefault="00DC7261">
      <w:pPr>
        <w:spacing w:before="0"/>
      </w:pPr>
      <w:r>
        <w:separator/>
      </w:r>
    </w:p>
  </w:footnote>
  <w:footnote w:type="continuationSeparator" w:id="0">
    <w:p w:rsidR="00DC7261" w:rsidRDefault="00DC7261">
      <w:pPr>
        <w:spacing w:before="0"/>
      </w:pPr>
      <w:r>
        <w:continuationSeparator/>
      </w:r>
    </w:p>
  </w:footnote>
  <w:footnote w:id="1">
    <w:p w:rsidR="001A57F3" w:rsidRPr="005F3AFC" w:rsidRDefault="001A57F3" w:rsidP="00205A2D">
      <w:pPr>
        <w:pStyle w:val="FootnoteText"/>
        <w:rPr>
          <w:lang w:val="en-US"/>
        </w:rPr>
      </w:pPr>
      <w:r w:rsidRPr="00FC5013">
        <w:rPr>
          <w:rStyle w:val="FootnoteReference"/>
        </w:rPr>
        <w:sym w:font="Symbol" w:char="F02A"/>
      </w:r>
      <w:r>
        <w:rPr>
          <w:lang w:val="en-US"/>
        </w:rPr>
        <w:tab/>
      </w:r>
      <w:proofErr w:type="spellStart"/>
      <w:r w:rsidRPr="000C4484">
        <w:rPr>
          <w:lang w:val="en-US"/>
        </w:rPr>
        <w:t>Radiocommunication</w:t>
      </w:r>
      <w:proofErr w:type="spellEnd"/>
      <w:r w:rsidRPr="000C4484">
        <w:rPr>
          <w:lang w:val="en-US"/>
        </w:rPr>
        <w:t xml:space="preserve"> Study Group</w:t>
      </w:r>
      <w:r>
        <w:rPr>
          <w:lang w:val="en-US"/>
        </w:rPr>
        <w:t>s</w:t>
      </w:r>
      <w:r w:rsidRPr="000C4484">
        <w:rPr>
          <w:lang w:val="en-US"/>
        </w:rPr>
        <w:t xml:space="preserve"> </w:t>
      </w:r>
      <w:r>
        <w:rPr>
          <w:lang w:val="en-US"/>
        </w:rPr>
        <w:t>5</w:t>
      </w:r>
      <w:r w:rsidRPr="000C4484">
        <w:rPr>
          <w:lang w:val="en-US"/>
        </w:rPr>
        <w:t xml:space="preserve"> and </w:t>
      </w:r>
      <w:r>
        <w:rPr>
          <w:lang w:val="en-US"/>
        </w:rPr>
        <w:t>4</w:t>
      </w:r>
      <w:r w:rsidRPr="000C4484">
        <w:rPr>
          <w:lang w:val="en-US"/>
        </w:rPr>
        <w:t xml:space="preserve"> made editorial amendments to this Recommendation in </w:t>
      </w:r>
      <w:r>
        <w:rPr>
          <w:lang w:val="en-US"/>
        </w:rPr>
        <w:t xml:space="preserve">November 2010 and September </w:t>
      </w:r>
      <w:r w:rsidRPr="000C4484">
        <w:rPr>
          <w:lang w:val="en-US"/>
        </w:rPr>
        <w:t>2011</w:t>
      </w:r>
      <w:r>
        <w:rPr>
          <w:lang w:val="en-US"/>
        </w:rPr>
        <w:t xml:space="preserve">, respectively, </w:t>
      </w:r>
      <w:r w:rsidRPr="000C4484">
        <w:rPr>
          <w:lang w:val="en-US"/>
        </w:rPr>
        <w:t>in accordance with Resolution ITU-R 1.</w:t>
      </w:r>
      <w:bookmarkStart w:id="3" w:name="_GoBack"/>
      <w:bookmarkEnd w:id="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Default="001A57F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Default="001A57F3" w:rsidP="000C44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Description: 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Pr="000C4484" w:rsidRDefault="001A57F3">
    <w:pPr>
      <w:pStyle w:val="Header"/>
      <w:jc w:val="left"/>
      <w:rPr>
        <w:lang w:val="fr-CH"/>
      </w:rPr>
    </w:pPr>
    <w:r>
      <w:rPr>
        <w:rStyle w:val="PageNumber"/>
        <w:b/>
        <w:bCs/>
      </w:rPr>
      <w:fldChar w:fldCharType="begin"/>
    </w:r>
    <w:r w:rsidRPr="000C4484">
      <w:rPr>
        <w:rStyle w:val="PageNumber"/>
        <w:b/>
        <w:bCs/>
        <w:lang w:val="fr-CH"/>
      </w:rPr>
      <w:instrText xml:space="preserve"> PAGE </w:instrText>
    </w:r>
    <w:r>
      <w:rPr>
        <w:rStyle w:val="PageNumber"/>
        <w:b/>
        <w:bCs/>
      </w:rPr>
      <w:fldChar w:fldCharType="separate"/>
    </w:r>
    <w:r w:rsidR="00205A2D">
      <w:rPr>
        <w:rStyle w:val="PageNumber"/>
        <w:b/>
        <w:bCs/>
        <w:noProof/>
        <w:lang w:val="fr-CH"/>
      </w:rPr>
      <w:t>ii</w:t>
    </w:r>
    <w:r>
      <w:rPr>
        <w:rStyle w:val="PageNumber"/>
        <w:b/>
        <w:bCs/>
      </w:rPr>
      <w:fldChar w:fldCharType="end"/>
    </w:r>
    <w:r w:rsidRPr="000C4484">
      <w:rPr>
        <w:lang w:val="fr-CH"/>
      </w:rPr>
      <w:tab/>
    </w:r>
    <w:fldSimple w:instr=" DOCPROPERTY &quot;Header&quot; \* MERGEFORMAT ">
      <w:r w:rsidRPr="008459BF">
        <w:rPr>
          <w:b/>
          <w:bCs/>
          <w:lang w:val="fr-CH"/>
        </w:rPr>
        <w:t xml:space="preserve">Rec. </w:t>
      </w:r>
    </w:fldSimple>
    <w:r>
      <w:rPr>
        <w:b/>
        <w:bCs/>
      </w:rPr>
      <w:t xml:space="preserve"> </w:t>
    </w:r>
    <w:r>
      <w:rPr>
        <w:b/>
        <w:bCs/>
      </w:rPr>
      <w:fldChar w:fldCharType="begin"/>
    </w:r>
    <w:r w:rsidRPr="000C4484">
      <w:rPr>
        <w:b/>
        <w:bCs/>
        <w:lang w:val="fr-CH"/>
      </w:rPr>
      <w:instrText>styleref href</w:instrText>
    </w:r>
    <w:r>
      <w:rPr>
        <w:b/>
        <w:bCs/>
      </w:rPr>
      <w:fldChar w:fldCharType="separate"/>
    </w:r>
    <w:r w:rsidR="00205A2D">
      <w:rPr>
        <w:b/>
        <w:bCs/>
        <w:noProof/>
      </w:rPr>
      <w:t>ITU-R  SF.1602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Default="001A57F3">
    <w:pPr>
      <w:pStyle w:val="Header"/>
    </w:pPr>
    <w:r>
      <w:tab/>
    </w:r>
    <w:fldSimple w:instr=" DOCPROPERTY &quot;Header&quot; \* MERGEFORMAT ">
      <w:r w:rsidRPr="008459B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SF.1602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Default="001A57F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05A2D">
      <w:rPr>
        <w:rStyle w:val="PageNumber"/>
        <w:b/>
        <w:bCs/>
        <w:noProof/>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05A2D">
      <w:rPr>
        <w:b/>
        <w:bCs/>
        <w:noProof/>
      </w:rPr>
      <w:t>ITU-R  SF.1602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F3" w:rsidRDefault="001A57F3" w:rsidP="0082210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ITUR  SF.1602</w:t>
    </w:r>
    <w:r>
      <w:tab/>
    </w:r>
    <w:r>
      <w:rPr>
        <w:rStyle w:val="PageNumber"/>
        <w:b/>
        <w:bCs/>
      </w:rPr>
      <w:fldChar w:fldCharType="begin"/>
    </w:r>
    <w:r>
      <w:rPr>
        <w:rStyle w:val="PageNumber"/>
        <w:b/>
        <w:bCs/>
      </w:rPr>
      <w:instrText xml:space="preserve"> PAGE </w:instrText>
    </w:r>
    <w:r>
      <w:rPr>
        <w:rStyle w:val="PageNumber"/>
        <w:b/>
        <w:bCs/>
      </w:rPr>
      <w:fldChar w:fldCharType="separate"/>
    </w:r>
    <w:r w:rsidR="00205A2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attachedTemplate r:id="rId1"/>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076"/>
    <w:rsid w:val="000C4484"/>
    <w:rsid w:val="000F563A"/>
    <w:rsid w:val="001A57F3"/>
    <w:rsid w:val="001B6B63"/>
    <w:rsid w:val="001E2E51"/>
    <w:rsid w:val="00205A2D"/>
    <w:rsid w:val="002A0D5C"/>
    <w:rsid w:val="002E1076"/>
    <w:rsid w:val="0038062D"/>
    <w:rsid w:val="003F1E3B"/>
    <w:rsid w:val="004309F7"/>
    <w:rsid w:val="0044541A"/>
    <w:rsid w:val="00543948"/>
    <w:rsid w:val="005F3AFC"/>
    <w:rsid w:val="006E0B71"/>
    <w:rsid w:val="008157E4"/>
    <w:rsid w:val="00822103"/>
    <w:rsid w:val="008459BF"/>
    <w:rsid w:val="00A2115A"/>
    <w:rsid w:val="00AB3174"/>
    <w:rsid w:val="00B43BE7"/>
    <w:rsid w:val="00B921E4"/>
    <w:rsid w:val="00C207FA"/>
    <w:rsid w:val="00C65A0B"/>
    <w:rsid w:val="00DC7261"/>
    <w:rsid w:val="00E143C3"/>
    <w:rsid w:val="00EB300A"/>
    <w:rsid w:val="00F53079"/>
    <w:rsid w:val="00FB4263"/>
    <w:rsid w:val="00FC50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Next/>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character" w:customStyle="1" w:styleId="HeadingbChar">
    <w:name w:val="Heading_b Char"/>
    <w:link w:val="Headingb"/>
    <w:locked/>
    <w:rsid w:val="002E1076"/>
    <w:rPr>
      <w:b/>
      <w:sz w:val="24"/>
      <w:lang w:val="fr-FR" w:eastAsia="en-US"/>
    </w:rPr>
  </w:style>
  <w:style w:type="paragraph" w:styleId="BalloonText">
    <w:name w:val="Balloon Text"/>
    <w:basedOn w:val="Normal"/>
    <w:link w:val="BalloonTextChar"/>
    <w:uiPriority w:val="99"/>
    <w:semiHidden/>
    <w:unhideWhenUsed/>
    <w:rsid w:val="002E1076"/>
    <w:pPr>
      <w:spacing w:before="0"/>
    </w:pPr>
    <w:rPr>
      <w:rFonts w:ascii="Tahoma" w:hAnsi="Tahoma" w:cs="Tahoma"/>
      <w:sz w:val="16"/>
      <w:szCs w:val="16"/>
    </w:rPr>
  </w:style>
  <w:style w:type="character" w:customStyle="1" w:styleId="BalloonTextChar">
    <w:name w:val="Balloon Text Char"/>
    <w:link w:val="BalloonText"/>
    <w:uiPriority w:val="99"/>
    <w:semiHidden/>
    <w:rsid w:val="002E1076"/>
    <w:rPr>
      <w:rFonts w:ascii="Tahoma" w:hAnsi="Tahoma" w:cs="Tahoma"/>
      <w:sz w:val="16"/>
      <w:szCs w:val="16"/>
      <w:lang w:val="fr-FR" w:eastAsia="en-US"/>
    </w:rPr>
  </w:style>
  <w:style w:type="character" w:customStyle="1" w:styleId="AnnexNoTitleChar">
    <w:name w:val="Annex_NoTitle Char"/>
    <w:link w:val="AnnexNoTitle"/>
    <w:rsid w:val="00AB3174"/>
    <w:rPr>
      <w:b/>
      <w:sz w:val="28"/>
      <w:lang w:val="fr-FR" w:eastAsia="en-US"/>
    </w:rPr>
  </w:style>
  <w:style w:type="character" w:styleId="Hyperlink">
    <w:name w:val="Hyperlink"/>
    <w:rsid w:val="000C4484"/>
    <w:rPr>
      <w:color w:val="0000FF"/>
      <w:u w:val="single"/>
    </w:rPr>
  </w:style>
  <w:style w:type="character" w:customStyle="1" w:styleId="HeaderChar">
    <w:name w:val="Header Char"/>
    <w:link w:val="Header"/>
    <w:rsid w:val="000C4484"/>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Next/>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character" w:customStyle="1" w:styleId="HeadingbChar">
    <w:name w:val="Heading_b Char"/>
    <w:link w:val="Headingb"/>
    <w:locked/>
    <w:rsid w:val="002E1076"/>
    <w:rPr>
      <w:b/>
      <w:sz w:val="24"/>
      <w:lang w:val="fr-FR" w:eastAsia="en-US"/>
    </w:rPr>
  </w:style>
  <w:style w:type="paragraph" w:styleId="BalloonText">
    <w:name w:val="Balloon Text"/>
    <w:basedOn w:val="Normal"/>
    <w:link w:val="BalloonTextChar"/>
    <w:uiPriority w:val="99"/>
    <w:semiHidden/>
    <w:unhideWhenUsed/>
    <w:rsid w:val="002E1076"/>
    <w:pPr>
      <w:spacing w:before="0"/>
    </w:pPr>
    <w:rPr>
      <w:rFonts w:ascii="Tahoma" w:hAnsi="Tahoma" w:cs="Tahoma"/>
      <w:sz w:val="16"/>
      <w:szCs w:val="16"/>
    </w:rPr>
  </w:style>
  <w:style w:type="character" w:customStyle="1" w:styleId="BalloonTextChar">
    <w:name w:val="Balloon Text Char"/>
    <w:link w:val="BalloonText"/>
    <w:uiPriority w:val="99"/>
    <w:semiHidden/>
    <w:rsid w:val="002E1076"/>
    <w:rPr>
      <w:rFonts w:ascii="Tahoma" w:hAnsi="Tahoma" w:cs="Tahoma"/>
      <w:sz w:val="16"/>
      <w:szCs w:val="16"/>
      <w:lang w:val="fr-FR" w:eastAsia="en-US"/>
    </w:rPr>
  </w:style>
  <w:style w:type="character" w:customStyle="1" w:styleId="AnnexNoTitleChar">
    <w:name w:val="Annex_NoTitle Char"/>
    <w:link w:val="AnnexNoTitle"/>
    <w:rsid w:val="00AB3174"/>
    <w:rPr>
      <w:b/>
      <w:sz w:val="28"/>
      <w:lang w:val="fr-FR" w:eastAsia="en-US"/>
    </w:rPr>
  </w:style>
  <w:style w:type="character" w:styleId="Hyperlink">
    <w:name w:val="Hyperlink"/>
    <w:rsid w:val="000C4484"/>
    <w:rPr>
      <w:color w:val="0000FF"/>
      <w:u w:val="single"/>
    </w:rPr>
  </w:style>
  <w:style w:type="character" w:customStyle="1" w:styleId="HeaderChar">
    <w:name w:val="Header Char"/>
    <w:link w:val="Header"/>
    <w:rsid w:val="000C448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9.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image" Target="media/image20.wmf"/><Relationship Id="rId47"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wmf"/><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oleObject" Target="embeddings/oleObject7.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image" Target="media/image29.wmf"/><Relationship Id="rId66" Type="http://schemas.openxmlformats.org/officeDocument/2006/relationships/image" Target="media/image37.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oleObject" Target="embeddings/oleObject17.bin"/><Relationship Id="rId61" Type="http://schemas.openxmlformats.org/officeDocument/2006/relationships/image" Target="media/image32.wmf"/><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6.wmf"/><Relationship Id="rId43" Type="http://schemas.openxmlformats.org/officeDocument/2006/relationships/oleObject" Target="embeddings/oleObject11.bin"/><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image" Target="media/image35.wmf"/><Relationship Id="rId69" Type="http://schemas.openxmlformats.org/officeDocument/2006/relationships/image" Target="media/image40.wmf"/><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image" Target="media/image38.wmf"/><Relationship Id="rId20" Type="http://schemas.openxmlformats.org/officeDocument/2006/relationships/image" Target="media/image6.wmf"/><Relationship Id="rId41" Type="http://schemas.openxmlformats.org/officeDocument/2006/relationships/oleObject" Target="embeddings/oleObject10.bin"/><Relationship Id="rId54" Type="http://schemas.openxmlformats.org/officeDocument/2006/relationships/image" Target="media/image27.wmf"/><Relationship Id="rId62"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7B27F-3E42-4A55-8DE2-F3F1C45A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22</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RECOMMENDATION  ITU-R  SF.1602 - Methodology for determining power flux-density statistics for use in sharing studies between fixed wireless systems fixed-satellite service and multiple fixed-satellite service satellites</vt:lpstr>
    </vt:vector>
  </TitlesOfParts>
  <Manager>PF__1673</Manager>
  <Company>ITU</Company>
  <LinksUpToDate>false</LinksUpToDate>
  <CharactersWithSpaces>23013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SF.1602 - Methodology for determining power flux-density statistics for use in sharing studies between fixed wireless systems fixed-satellite service and multiple fixed-satellite service satellites</dc:title>
  <dc:subject>SF Series = Frequency sharing between the fixed-satellite service and the fixed service</dc:subject>
  <dc:creator>ITU Radiocommunication Bureau (BR)</dc:creator>
  <cp:keywords>SF,1602</cp:keywords>
  <dc:description>Saisie + MEP: 10.12.2002/PF;_x000d_
BAT: 15.01.2003/PF;_x000d_
ULT:  27.03.03/DD </dc:description>
  <cp:lastModifiedBy>fernande</cp:lastModifiedBy>
  <cp:revision>5</cp:revision>
  <cp:lastPrinted>2011-11-08T13:49:00Z</cp:lastPrinted>
  <dcterms:created xsi:type="dcterms:W3CDTF">2011-12-16T16:32:00Z</dcterms:created>
  <dcterms:modified xsi:type="dcterms:W3CDTF">2011-12-16T17:24:00Z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