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BE2" w:rsidRDefault="00BA4BE2"/>
    <w:p w:rsidR="00BA4BE2" w:rsidRDefault="00BA4BE2"/>
    <w:p w:rsidR="00BA4BE2" w:rsidRDefault="00BA4BE2"/>
    <w:p w:rsidR="00BA4BE2" w:rsidRDefault="00BA4BE2"/>
    <w:p w:rsidR="00BA4BE2" w:rsidRDefault="00BA4BE2"/>
    <w:p w:rsidR="00BA4BE2" w:rsidRDefault="00BA4BE2"/>
    <w:p w:rsidR="00BA4BE2" w:rsidRDefault="00BA4BE2"/>
    <w:p w:rsidR="00BA4BE2" w:rsidRDefault="00BA4BE2"/>
    <w:p w:rsidR="00BA4BE2" w:rsidRDefault="00BA4BE2"/>
    <w:p w:rsidR="00BA4BE2" w:rsidRDefault="00BA4BE2"/>
    <w:p w:rsidR="00BA4BE2" w:rsidRDefault="00BA4BE2"/>
    <w:p w:rsidR="00BA4BE2" w:rsidRDefault="00BA4BE2"/>
    <w:tbl>
      <w:tblPr>
        <w:tblW w:w="10089" w:type="dxa"/>
        <w:tblLook w:val="01E0" w:firstRow="1" w:lastRow="1" w:firstColumn="1" w:lastColumn="1" w:noHBand="0" w:noVBand="0"/>
      </w:tblPr>
      <w:tblGrid>
        <w:gridCol w:w="10089"/>
      </w:tblGrid>
      <w:tr w:rsidR="00BA4BE2" w:rsidRPr="00A443C2">
        <w:tc>
          <w:tcPr>
            <w:tcW w:w="10089" w:type="dxa"/>
          </w:tcPr>
          <w:p w:rsidR="00BA4BE2" w:rsidRPr="00B033C8" w:rsidRDefault="00BA4BE2" w:rsidP="00184187">
            <w:pPr>
              <w:spacing w:before="380" w:line="280" w:lineRule="exact"/>
              <w:jc w:val="right"/>
              <w:rPr>
                <w:rFonts w:ascii="Tahoma" w:hAnsi="Tahoma" w:cs="Tahoma"/>
                <w:b/>
                <w:bCs/>
                <w:iCs/>
                <w:color w:val="243285"/>
                <w:sz w:val="32"/>
                <w:szCs w:val="32"/>
                <w:lang w:val="en-US"/>
              </w:rPr>
            </w:pPr>
          </w:p>
          <w:p w:rsidR="00BA4BE2" w:rsidRPr="00A443C2" w:rsidRDefault="00BA4BE2" w:rsidP="00B8044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00456D96">
              <w:rPr>
                <w:rFonts w:ascii="Tahoma" w:hAnsi="Tahoma" w:cs="Tahoma"/>
                <w:b/>
                <w:bCs/>
                <w:iCs/>
                <w:color w:val="243285"/>
                <w:sz w:val="36"/>
                <w:szCs w:val="36"/>
              </w:rPr>
              <w:t>F</w:t>
            </w:r>
            <w:r w:rsidRPr="00A443C2">
              <w:rPr>
                <w:rFonts w:ascii="Tahoma" w:hAnsi="Tahoma" w:cs="Tahoma"/>
                <w:b/>
                <w:bCs/>
                <w:iCs/>
                <w:color w:val="243285"/>
                <w:sz w:val="36"/>
                <w:szCs w:val="36"/>
              </w:rPr>
              <w:t>.</w:t>
            </w:r>
            <w:r w:rsidR="00B80440">
              <w:rPr>
                <w:rFonts w:ascii="Tahoma" w:hAnsi="Tahoma" w:cs="Tahoma"/>
                <w:b/>
                <w:bCs/>
                <w:iCs/>
                <w:color w:val="243285"/>
                <w:sz w:val="36"/>
                <w:szCs w:val="36"/>
              </w:rPr>
              <w:t>1486</w:t>
            </w:r>
          </w:p>
          <w:p w:rsidR="00BA4BE2" w:rsidRPr="00A443C2" w:rsidRDefault="00BA4BE2" w:rsidP="00B8044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80440">
              <w:rPr>
                <w:rFonts w:ascii="Tahoma" w:hAnsi="Tahoma" w:cs="Tahoma"/>
                <w:b/>
                <w:bCs/>
                <w:iCs/>
                <w:color w:val="243285"/>
                <w:szCs w:val="24"/>
              </w:rPr>
              <w:t>5</w:t>
            </w:r>
            <w:r w:rsidRPr="00A443C2">
              <w:rPr>
                <w:rFonts w:ascii="Tahoma" w:hAnsi="Tahoma" w:cs="Tahoma"/>
                <w:b/>
                <w:bCs/>
                <w:iCs/>
                <w:color w:val="243285"/>
                <w:szCs w:val="24"/>
              </w:rPr>
              <w:t>/</w:t>
            </w:r>
            <w:r w:rsidR="00B80440">
              <w:rPr>
                <w:rFonts w:ascii="Tahoma" w:hAnsi="Tahoma" w:cs="Tahoma"/>
                <w:b/>
                <w:bCs/>
                <w:iCs/>
                <w:color w:val="243285"/>
                <w:szCs w:val="24"/>
              </w:rPr>
              <w:t>2000</w:t>
            </w:r>
            <w:r w:rsidRPr="00A443C2">
              <w:rPr>
                <w:rFonts w:ascii="Tahoma" w:hAnsi="Tahoma" w:cs="Tahoma"/>
                <w:b/>
                <w:bCs/>
                <w:iCs/>
                <w:color w:val="243285"/>
                <w:szCs w:val="24"/>
              </w:rPr>
              <w:t>)</w:t>
            </w:r>
          </w:p>
        </w:tc>
      </w:tr>
      <w:tr w:rsidR="00BA4BE2" w:rsidRPr="00F54FBD">
        <w:tc>
          <w:tcPr>
            <w:tcW w:w="10089" w:type="dxa"/>
          </w:tcPr>
          <w:p w:rsidR="00BA4BE2" w:rsidRDefault="00BA4BE2" w:rsidP="00184187">
            <w:pPr>
              <w:spacing w:before="80" w:line="500" w:lineRule="exact"/>
              <w:jc w:val="right"/>
              <w:rPr>
                <w:rFonts w:ascii="Tahoma" w:hAnsi="Tahoma" w:cs="Tahoma"/>
                <w:b/>
                <w:bCs/>
                <w:iCs/>
                <w:color w:val="243285"/>
                <w:sz w:val="44"/>
                <w:szCs w:val="44"/>
              </w:rPr>
            </w:pPr>
          </w:p>
          <w:p w:rsidR="00BA4BE2" w:rsidRPr="00B80440" w:rsidRDefault="00B80440" w:rsidP="00B80440">
            <w:pPr>
              <w:spacing w:before="80" w:line="500" w:lineRule="exact"/>
              <w:jc w:val="right"/>
              <w:rPr>
                <w:rFonts w:ascii="Tahoma" w:hAnsi="Tahoma" w:cs="Tahoma"/>
                <w:b/>
                <w:bCs/>
                <w:iCs/>
                <w:color w:val="243285"/>
                <w:sz w:val="44"/>
                <w:szCs w:val="44"/>
              </w:rPr>
            </w:pPr>
            <w:r w:rsidRPr="00B80440">
              <w:rPr>
                <w:rFonts w:ascii="Tahoma" w:hAnsi="Tahoma" w:cs="Tahoma"/>
                <w:b/>
                <w:bCs/>
                <w:color w:val="243285"/>
                <w:sz w:val="44"/>
                <w:szCs w:val="44"/>
              </w:rPr>
              <w:t>Méthodologie de partage entre systèmes</w:t>
            </w:r>
            <w:r>
              <w:rPr>
                <w:rFonts w:ascii="Tahoma" w:hAnsi="Tahoma" w:cs="Tahoma"/>
                <w:b/>
                <w:bCs/>
                <w:color w:val="243285"/>
                <w:sz w:val="44"/>
                <w:szCs w:val="44"/>
              </w:rPr>
              <w:t xml:space="preserve"> </w:t>
            </w:r>
            <w:r w:rsidRPr="00B80440">
              <w:rPr>
                <w:rFonts w:ascii="Tahoma" w:hAnsi="Tahoma" w:cs="Tahoma"/>
                <w:b/>
                <w:bCs/>
                <w:color w:val="243285"/>
                <w:sz w:val="44"/>
                <w:szCs w:val="44"/>
              </w:rPr>
              <w:t>d'accès hertzien fixe</w:t>
            </w:r>
            <w:r>
              <w:rPr>
                <w:rFonts w:ascii="Tahoma" w:hAnsi="Tahoma" w:cs="Tahoma"/>
                <w:b/>
                <w:bCs/>
                <w:color w:val="243285"/>
                <w:sz w:val="44"/>
                <w:szCs w:val="44"/>
              </w:rPr>
              <w:t xml:space="preserve"> </w:t>
            </w:r>
            <w:r w:rsidRPr="00B80440">
              <w:rPr>
                <w:rFonts w:ascii="Tahoma" w:hAnsi="Tahoma" w:cs="Tahoma"/>
                <w:b/>
                <w:bCs/>
                <w:color w:val="243285"/>
                <w:sz w:val="44"/>
                <w:szCs w:val="44"/>
              </w:rPr>
              <w:t>du service fixe et</w:t>
            </w:r>
            <w:r>
              <w:rPr>
                <w:rFonts w:ascii="Tahoma" w:hAnsi="Tahoma" w:cs="Tahoma"/>
                <w:b/>
                <w:bCs/>
                <w:color w:val="243285"/>
                <w:sz w:val="44"/>
                <w:szCs w:val="44"/>
              </w:rPr>
              <w:t xml:space="preserve"> </w:t>
            </w:r>
            <w:r w:rsidRPr="00B80440">
              <w:rPr>
                <w:rFonts w:ascii="Tahoma" w:hAnsi="Tahoma" w:cs="Tahoma"/>
                <w:b/>
                <w:bCs/>
                <w:color w:val="243285"/>
                <w:sz w:val="44"/>
                <w:szCs w:val="44"/>
              </w:rPr>
              <w:t>microstations VSAT du service fixe</w:t>
            </w:r>
            <w:r>
              <w:rPr>
                <w:rFonts w:ascii="Tahoma" w:hAnsi="Tahoma" w:cs="Tahoma"/>
                <w:b/>
                <w:bCs/>
                <w:color w:val="243285"/>
                <w:sz w:val="44"/>
                <w:szCs w:val="44"/>
              </w:rPr>
              <w:t xml:space="preserve"> </w:t>
            </w:r>
            <w:r w:rsidRPr="00B80440">
              <w:rPr>
                <w:rFonts w:ascii="Tahoma" w:hAnsi="Tahoma" w:cs="Tahoma"/>
                <w:b/>
                <w:bCs/>
                <w:color w:val="243285"/>
                <w:sz w:val="44"/>
                <w:szCs w:val="44"/>
              </w:rPr>
              <w:t>par satellite dans la bande 3 400-3 700 MHz</w:t>
            </w:r>
          </w:p>
          <w:p w:rsidR="00BA4BE2" w:rsidRPr="00F54FBD" w:rsidRDefault="00BA4BE2" w:rsidP="00184187">
            <w:pPr>
              <w:spacing w:before="80" w:line="500" w:lineRule="exact"/>
              <w:jc w:val="right"/>
              <w:rPr>
                <w:rFonts w:ascii="Tahoma" w:hAnsi="Tahoma" w:cs="Tahoma"/>
                <w:b/>
                <w:bCs/>
                <w:iCs/>
                <w:color w:val="243285"/>
                <w:sz w:val="44"/>
                <w:szCs w:val="44"/>
              </w:rPr>
            </w:pPr>
          </w:p>
        </w:tc>
      </w:tr>
      <w:tr w:rsidR="00BA4BE2" w:rsidRPr="00F54FBD">
        <w:tc>
          <w:tcPr>
            <w:tcW w:w="10089" w:type="dxa"/>
          </w:tcPr>
          <w:p w:rsidR="00BA4BE2" w:rsidRPr="00F54FBD" w:rsidRDefault="00BA4BE2" w:rsidP="00184187">
            <w:pPr>
              <w:spacing w:before="80" w:line="280" w:lineRule="exact"/>
              <w:ind w:right="640"/>
              <w:rPr>
                <w:rFonts w:ascii="Tahoma" w:hAnsi="Tahoma" w:cs="Tahoma"/>
                <w:b/>
                <w:bCs/>
                <w:iCs/>
                <w:color w:val="243285"/>
                <w:sz w:val="32"/>
                <w:szCs w:val="32"/>
              </w:rPr>
            </w:pPr>
          </w:p>
          <w:p w:rsidR="00BA4BE2" w:rsidRPr="00F54FBD" w:rsidRDefault="00BA4BE2" w:rsidP="00184187">
            <w:pPr>
              <w:spacing w:before="80" w:line="280" w:lineRule="exact"/>
              <w:ind w:right="640"/>
              <w:rPr>
                <w:rFonts w:ascii="Tahoma" w:hAnsi="Tahoma" w:cs="Tahoma"/>
                <w:b/>
                <w:bCs/>
                <w:iCs/>
                <w:color w:val="243285"/>
                <w:sz w:val="32"/>
                <w:szCs w:val="32"/>
              </w:rPr>
            </w:pPr>
          </w:p>
          <w:p w:rsidR="00BA4BE2" w:rsidRPr="00F54FBD" w:rsidRDefault="00BA4BE2" w:rsidP="00184187">
            <w:pPr>
              <w:spacing w:before="80" w:after="180" w:line="360" w:lineRule="exact"/>
              <w:ind w:right="720"/>
              <w:rPr>
                <w:rFonts w:ascii="Tahoma" w:hAnsi="Tahoma" w:cs="Tahoma"/>
                <w:b/>
                <w:bCs/>
                <w:iCs/>
                <w:color w:val="243285"/>
                <w:sz w:val="36"/>
                <w:szCs w:val="36"/>
              </w:rPr>
            </w:pPr>
          </w:p>
          <w:p w:rsidR="00BA4BE2" w:rsidRPr="00F54FBD" w:rsidRDefault="00BA4BE2" w:rsidP="0018418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r w:rsidR="00456D96">
              <w:rPr>
                <w:rFonts w:ascii="Tahoma" w:hAnsi="Tahoma" w:cs="Tahoma"/>
                <w:b/>
                <w:bCs/>
                <w:iCs/>
                <w:color w:val="243285"/>
                <w:sz w:val="36"/>
                <w:szCs w:val="36"/>
              </w:rPr>
              <w:t>F</w:t>
            </w:r>
          </w:p>
          <w:p w:rsidR="00BA4BE2" w:rsidRPr="00F54FBD" w:rsidRDefault="00BA4BE2" w:rsidP="0018418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BA4BE2" w:rsidRPr="00F54FBD" w:rsidRDefault="00BA4BE2" w:rsidP="00184187">
      <w:pPr>
        <w:spacing w:before="80"/>
        <w:rPr>
          <w:i/>
          <w:sz w:val="22"/>
        </w:rPr>
      </w:pPr>
    </w:p>
    <w:p w:rsidR="00BA4BE2" w:rsidRPr="00F54FBD" w:rsidRDefault="00BA4BE2" w:rsidP="00184187">
      <w:pPr>
        <w:spacing w:before="80"/>
        <w:rPr>
          <w:i/>
          <w:sz w:val="22"/>
        </w:rPr>
      </w:pPr>
    </w:p>
    <w:p w:rsidR="00BA4BE2" w:rsidRPr="00F54FBD" w:rsidRDefault="00BA4BE2" w:rsidP="00184187">
      <w:pPr>
        <w:spacing w:before="80"/>
        <w:rPr>
          <w:i/>
          <w:sz w:val="22"/>
        </w:rPr>
      </w:pPr>
    </w:p>
    <w:p w:rsidR="00BA4BE2" w:rsidRPr="00F54FBD" w:rsidRDefault="00BA4BE2" w:rsidP="00184187">
      <w:pPr>
        <w:spacing w:before="80"/>
        <w:rPr>
          <w:i/>
          <w:sz w:val="22"/>
        </w:rPr>
      </w:pPr>
    </w:p>
    <w:p w:rsidR="00BA4BE2" w:rsidRPr="00F54FBD" w:rsidRDefault="00BA4BE2" w:rsidP="00184187">
      <w:pPr>
        <w:spacing w:before="80"/>
        <w:rPr>
          <w:i/>
          <w:sz w:val="22"/>
        </w:rPr>
      </w:pPr>
    </w:p>
    <w:p w:rsidR="00BA4BE2" w:rsidRPr="00F54FBD" w:rsidRDefault="00BA4BE2" w:rsidP="00184187">
      <w:pPr>
        <w:spacing w:before="80"/>
        <w:rPr>
          <w:i/>
          <w:sz w:val="22"/>
        </w:rPr>
      </w:pPr>
    </w:p>
    <w:p w:rsidR="00BA4BE2" w:rsidRPr="00F54FBD" w:rsidRDefault="00BA4BE2" w:rsidP="00184187">
      <w:pPr>
        <w:pStyle w:val="Equation"/>
        <w:tabs>
          <w:tab w:val="clear" w:pos="4820"/>
          <w:tab w:val="clear" w:pos="9639"/>
          <w:tab w:val="left" w:pos="1191"/>
          <w:tab w:val="left" w:pos="1588"/>
          <w:tab w:val="left" w:pos="1985"/>
        </w:tabs>
        <w:rPr>
          <w:rFonts w:ascii="Palatino Linotype" w:hAnsi="Palatino Linotype"/>
        </w:rPr>
        <w:sectPr w:rsidR="00BA4BE2" w:rsidRPr="00F54FBD" w:rsidSect="00184187">
          <w:headerReference w:type="even" r:id="rId7"/>
          <w:headerReference w:type="default" r:id="rId8"/>
          <w:pgSz w:w="11907" w:h="16834" w:code="9"/>
          <w:pgMar w:top="1418" w:right="1134" w:bottom="1134" w:left="1134" w:header="720" w:footer="482" w:gutter="0"/>
          <w:paperSrc w:first="15" w:other="15"/>
          <w:cols w:space="720"/>
        </w:sectPr>
      </w:pPr>
    </w:p>
    <w:p w:rsidR="00BA4BE2" w:rsidRPr="00F54FBD"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bookmarkStart w:id="1" w:name="_GoBack"/>
      <w:bookmarkEnd w:id="1"/>
    </w:p>
    <w:p w:rsidR="00BA4BE2" w:rsidRPr="00F54FBD" w:rsidRDefault="00BA4BE2" w:rsidP="0018418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A4BE2" w:rsidRPr="00F54FBD" w:rsidRDefault="00BA4BE2" w:rsidP="0018418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A4BE2" w:rsidRPr="00E44CBB" w:rsidRDefault="00BA4BE2" w:rsidP="0018418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A4BE2" w:rsidRPr="00E44CBB" w:rsidRDefault="00BA4BE2" w:rsidP="0018418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A4BE2" w:rsidRPr="00BA4BE2" w:rsidRDefault="00BA4BE2" w:rsidP="0018418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A4BE2" w:rsidRPr="009454F8">
        <w:tc>
          <w:tcPr>
            <w:tcW w:w="9360" w:type="dxa"/>
            <w:gridSpan w:val="2"/>
          </w:tcPr>
          <w:p w:rsidR="00BA4BE2" w:rsidRPr="009454F8" w:rsidRDefault="00BA4BE2" w:rsidP="00184187">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BA4BE2" w:rsidRPr="009454F8"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BA4BE2" w:rsidRPr="00036EE3" w:rsidTr="00184187">
        <w:tc>
          <w:tcPr>
            <w:tcW w:w="1140" w:type="dxa"/>
            <w:tcBorders>
              <w:bottom w:val="nil"/>
            </w:tcBorders>
          </w:tcPr>
          <w:p w:rsidR="00BA4BE2" w:rsidRPr="00614CC6" w:rsidRDefault="00BA4BE2" w:rsidP="00184187">
            <w:pPr>
              <w:spacing w:before="90" w:after="100"/>
              <w:ind w:left="57"/>
              <w:rPr>
                <w:b/>
                <w:bCs/>
                <w:sz w:val="20"/>
                <w:lang w:val="en-US"/>
              </w:rPr>
            </w:pPr>
            <w:r w:rsidRPr="00614CC6">
              <w:rPr>
                <w:b/>
                <w:bCs/>
                <w:sz w:val="20"/>
                <w:lang w:val="en-US"/>
              </w:rPr>
              <w:t>Séries</w:t>
            </w:r>
          </w:p>
        </w:tc>
        <w:tc>
          <w:tcPr>
            <w:tcW w:w="8220" w:type="dxa"/>
            <w:tcBorders>
              <w:bottom w:val="nil"/>
            </w:tcBorders>
          </w:tcPr>
          <w:p w:rsidR="00BA4BE2" w:rsidRPr="00614CC6"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A4BE2" w:rsidRPr="005E427C" w:rsidTr="00184187">
        <w:tc>
          <w:tcPr>
            <w:tcW w:w="1140" w:type="dxa"/>
            <w:tcBorders>
              <w:top w:val="nil"/>
              <w:bottom w:val="nil"/>
            </w:tcBorders>
            <w:shd w:val="clear" w:color="auto" w:fill="auto"/>
          </w:tcPr>
          <w:p w:rsidR="00BA4BE2" w:rsidRPr="005E427C" w:rsidRDefault="00BA4BE2" w:rsidP="0018418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A4BE2" w:rsidRPr="005E427C"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A4BE2" w:rsidRPr="009454F8" w:rsidTr="00184187">
        <w:tc>
          <w:tcPr>
            <w:tcW w:w="1140" w:type="dxa"/>
            <w:tcBorders>
              <w:top w:val="nil"/>
              <w:bottom w:val="nil"/>
            </w:tcBorders>
          </w:tcPr>
          <w:p w:rsidR="00BA4BE2" w:rsidRPr="00614CC6" w:rsidRDefault="00BA4BE2" w:rsidP="0018418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A4BE2" w:rsidRPr="00614CC6"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A4BE2" w:rsidRPr="00E80F1D" w:rsidTr="00184187">
        <w:tc>
          <w:tcPr>
            <w:tcW w:w="1140" w:type="dxa"/>
            <w:tcBorders>
              <w:top w:val="nil"/>
              <w:bottom w:val="nil"/>
            </w:tcBorders>
            <w:shd w:val="clear" w:color="auto" w:fill="auto"/>
          </w:tcPr>
          <w:p w:rsidR="00BA4BE2" w:rsidRPr="00E80F1D" w:rsidRDefault="00BA4BE2" w:rsidP="0018418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A4BE2" w:rsidRPr="00E80F1D"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A4BE2" w:rsidRPr="00ED2695" w:rsidTr="00184187">
        <w:tc>
          <w:tcPr>
            <w:tcW w:w="1140" w:type="dxa"/>
            <w:tcBorders>
              <w:top w:val="nil"/>
              <w:bottom w:val="nil"/>
            </w:tcBorders>
            <w:shd w:val="clear" w:color="auto" w:fill="auto"/>
          </w:tcPr>
          <w:p w:rsidR="00BA4BE2" w:rsidRPr="00614CC6" w:rsidRDefault="00BA4BE2" w:rsidP="0018418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A4BE2" w:rsidRPr="00614CC6"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A4BE2" w:rsidRPr="00DE5EA2" w:rsidTr="00184187">
        <w:tc>
          <w:tcPr>
            <w:tcW w:w="1140" w:type="dxa"/>
            <w:tcBorders>
              <w:top w:val="nil"/>
              <w:bottom w:val="nil"/>
            </w:tcBorders>
            <w:shd w:val="clear" w:color="auto" w:fill="auto"/>
          </w:tcPr>
          <w:p w:rsidR="00BA4BE2" w:rsidRPr="00DE5EA2" w:rsidRDefault="00BA4BE2" w:rsidP="00184187">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BA4BE2" w:rsidRPr="00DE5EA2" w:rsidRDefault="00BA4BE2" w:rsidP="001841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BA4BE2" w:rsidRPr="00B21066" w:rsidTr="00184187">
        <w:tc>
          <w:tcPr>
            <w:tcW w:w="1140" w:type="dxa"/>
            <w:tcBorders>
              <w:top w:val="nil"/>
              <w:bottom w:val="nil"/>
            </w:tcBorders>
            <w:shd w:val="clear" w:color="auto" w:fill="auto"/>
          </w:tcPr>
          <w:p w:rsidR="00BA4BE2" w:rsidRPr="00B21066" w:rsidRDefault="00BA4BE2" w:rsidP="0018418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A4BE2" w:rsidRPr="00B21066" w:rsidRDefault="00BA4BE2" w:rsidP="001841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A4BE2" w:rsidRPr="00EC361D" w:rsidTr="00184187">
        <w:tc>
          <w:tcPr>
            <w:tcW w:w="1140" w:type="dxa"/>
            <w:tcBorders>
              <w:top w:val="nil"/>
              <w:bottom w:val="nil"/>
            </w:tcBorders>
            <w:shd w:val="clear" w:color="auto" w:fill="auto"/>
          </w:tcPr>
          <w:p w:rsidR="00BA4BE2" w:rsidRPr="00EC361D" w:rsidRDefault="00BA4BE2" w:rsidP="00184187">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BA4BE2" w:rsidRPr="00EC361D" w:rsidRDefault="00BA4BE2" w:rsidP="00184187">
            <w:pPr>
              <w:spacing w:before="30" w:after="30"/>
              <w:jc w:val="left"/>
              <w:rPr>
                <w:sz w:val="20"/>
                <w:lang w:val="fr-CH"/>
              </w:rPr>
            </w:pPr>
            <w:r w:rsidRPr="00EC361D">
              <w:rPr>
                <w:sz w:val="20"/>
              </w:rPr>
              <w:t>Propagation des ondes radioélectriques</w:t>
            </w:r>
          </w:p>
        </w:tc>
      </w:tr>
      <w:tr w:rsidR="00BA4BE2" w:rsidRPr="004822EF" w:rsidTr="00184187">
        <w:tc>
          <w:tcPr>
            <w:tcW w:w="1140" w:type="dxa"/>
            <w:tcBorders>
              <w:top w:val="nil"/>
              <w:bottom w:val="nil"/>
            </w:tcBorders>
            <w:shd w:val="clear" w:color="auto" w:fill="auto"/>
          </w:tcPr>
          <w:p w:rsidR="00BA4BE2" w:rsidRPr="004822EF" w:rsidRDefault="00BA4BE2" w:rsidP="00184187">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BA4BE2" w:rsidRPr="004822EF" w:rsidRDefault="00BA4BE2" w:rsidP="001841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BA4BE2" w:rsidRPr="00326525" w:rsidTr="00184187">
        <w:tc>
          <w:tcPr>
            <w:tcW w:w="1140" w:type="dxa"/>
            <w:tcBorders>
              <w:top w:val="nil"/>
              <w:bottom w:val="nil"/>
            </w:tcBorders>
            <w:shd w:val="clear" w:color="auto" w:fill="auto"/>
          </w:tcPr>
          <w:p w:rsidR="00BA4BE2" w:rsidRPr="00326525" w:rsidRDefault="00BA4BE2" w:rsidP="00184187">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BA4BE2" w:rsidRPr="00326525" w:rsidRDefault="00BA4BE2" w:rsidP="001841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BA4BE2" w:rsidRPr="00326525" w:rsidTr="00184187">
        <w:tc>
          <w:tcPr>
            <w:tcW w:w="1140" w:type="dxa"/>
            <w:tcBorders>
              <w:top w:val="nil"/>
              <w:bottom w:val="nil"/>
            </w:tcBorders>
            <w:shd w:val="clear" w:color="auto" w:fill="F3F3F3"/>
          </w:tcPr>
          <w:p w:rsidR="00BA4BE2" w:rsidRPr="00326525" w:rsidRDefault="00BA4BE2" w:rsidP="00184187">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BA4BE2" w:rsidRPr="00326525" w:rsidRDefault="00BA4BE2" w:rsidP="00184187">
            <w:pPr>
              <w:spacing w:before="30" w:after="30"/>
              <w:jc w:val="left"/>
              <w:rPr>
                <w:b/>
                <w:bCs/>
                <w:color w:val="000080"/>
                <w:sz w:val="20"/>
                <w:lang w:val="en-US"/>
              </w:rPr>
            </w:pPr>
            <w:r w:rsidRPr="00326525">
              <w:rPr>
                <w:b/>
                <w:bCs/>
                <w:color w:val="000080"/>
                <w:sz w:val="20"/>
              </w:rPr>
              <w:t>Service fixe par satellite</w:t>
            </w:r>
          </w:p>
        </w:tc>
      </w:tr>
      <w:tr w:rsidR="00BA4BE2" w:rsidRPr="00036EE3" w:rsidTr="00184187">
        <w:tc>
          <w:tcPr>
            <w:tcW w:w="1140" w:type="dxa"/>
            <w:tcBorders>
              <w:top w:val="nil"/>
            </w:tcBorders>
          </w:tcPr>
          <w:p w:rsidR="00BA4BE2" w:rsidRPr="00614CC6" w:rsidRDefault="00BA4BE2" w:rsidP="00184187">
            <w:pPr>
              <w:spacing w:before="30" w:after="30"/>
              <w:ind w:left="57"/>
              <w:jc w:val="left"/>
              <w:rPr>
                <w:b/>
                <w:bCs/>
                <w:sz w:val="20"/>
                <w:lang w:val="en-US"/>
              </w:rPr>
            </w:pPr>
            <w:r w:rsidRPr="00614CC6">
              <w:rPr>
                <w:b/>
                <w:bCs/>
                <w:sz w:val="20"/>
                <w:lang w:val="en-US"/>
              </w:rPr>
              <w:t>SA</w:t>
            </w:r>
          </w:p>
        </w:tc>
        <w:tc>
          <w:tcPr>
            <w:tcW w:w="8220" w:type="dxa"/>
            <w:tcBorders>
              <w:top w:val="nil"/>
            </w:tcBorders>
          </w:tcPr>
          <w:p w:rsidR="00BA4BE2" w:rsidRPr="00614CC6" w:rsidRDefault="00BA4BE2" w:rsidP="00184187">
            <w:pPr>
              <w:spacing w:before="30" w:after="30"/>
              <w:jc w:val="left"/>
              <w:rPr>
                <w:sz w:val="20"/>
                <w:lang w:val="en-US"/>
              </w:rPr>
            </w:pPr>
            <w:r w:rsidRPr="00614CC6">
              <w:rPr>
                <w:sz w:val="20"/>
              </w:rPr>
              <w:t>Applications spatiales et météorologie</w:t>
            </w:r>
          </w:p>
        </w:tc>
      </w:tr>
      <w:tr w:rsidR="00BA4BE2" w:rsidRPr="00614CC6">
        <w:tc>
          <w:tcPr>
            <w:tcW w:w="1140" w:type="dxa"/>
          </w:tcPr>
          <w:p w:rsidR="00BA4BE2" w:rsidRPr="00614CC6" w:rsidRDefault="00BA4BE2" w:rsidP="00184187">
            <w:pPr>
              <w:spacing w:before="30" w:after="30"/>
              <w:ind w:left="57"/>
              <w:jc w:val="left"/>
              <w:rPr>
                <w:b/>
                <w:bCs/>
                <w:sz w:val="20"/>
                <w:lang w:val="en-US"/>
              </w:rPr>
            </w:pPr>
            <w:r w:rsidRPr="00614CC6">
              <w:rPr>
                <w:b/>
                <w:bCs/>
                <w:sz w:val="20"/>
                <w:lang w:val="en-US"/>
              </w:rPr>
              <w:t>SF</w:t>
            </w:r>
          </w:p>
        </w:tc>
        <w:tc>
          <w:tcPr>
            <w:tcW w:w="8220" w:type="dxa"/>
          </w:tcPr>
          <w:p w:rsidR="00BA4BE2" w:rsidRPr="00614CC6" w:rsidRDefault="00BA4BE2" w:rsidP="00184187">
            <w:pPr>
              <w:spacing w:before="30" w:after="30"/>
              <w:jc w:val="left"/>
              <w:rPr>
                <w:sz w:val="20"/>
              </w:rPr>
            </w:pPr>
            <w:r w:rsidRPr="00614CC6">
              <w:rPr>
                <w:sz w:val="20"/>
              </w:rPr>
              <w:t>Partage des fréquences et coordination entre les systèmes du service fixe par satellite et du service fixe</w:t>
            </w:r>
          </w:p>
        </w:tc>
      </w:tr>
      <w:tr w:rsidR="00BA4BE2" w:rsidRPr="00036EE3">
        <w:tc>
          <w:tcPr>
            <w:tcW w:w="1140" w:type="dxa"/>
            <w:shd w:val="clear" w:color="auto" w:fill="auto"/>
          </w:tcPr>
          <w:p w:rsidR="00BA4BE2" w:rsidRPr="00592F9F" w:rsidRDefault="00BA4BE2" w:rsidP="00184187">
            <w:pPr>
              <w:spacing w:before="30" w:after="30"/>
              <w:ind w:left="57"/>
              <w:jc w:val="left"/>
              <w:rPr>
                <w:b/>
                <w:bCs/>
                <w:sz w:val="20"/>
                <w:lang w:val="en-US"/>
              </w:rPr>
            </w:pPr>
            <w:r w:rsidRPr="00592F9F">
              <w:rPr>
                <w:b/>
                <w:bCs/>
                <w:sz w:val="20"/>
                <w:lang w:val="en-US"/>
              </w:rPr>
              <w:t>SM</w:t>
            </w:r>
          </w:p>
        </w:tc>
        <w:tc>
          <w:tcPr>
            <w:tcW w:w="8220" w:type="dxa"/>
            <w:shd w:val="clear" w:color="auto" w:fill="auto"/>
          </w:tcPr>
          <w:p w:rsidR="00BA4BE2" w:rsidRPr="00592F9F" w:rsidRDefault="00BA4BE2" w:rsidP="00184187">
            <w:pPr>
              <w:spacing w:before="30" w:after="30"/>
              <w:jc w:val="left"/>
              <w:rPr>
                <w:sz w:val="20"/>
                <w:lang w:val="en-US"/>
              </w:rPr>
            </w:pPr>
            <w:r w:rsidRPr="00592F9F">
              <w:rPr>
                <w:sz w:val="20"/>
              </w:rPr>
              <w:t>Gestion du spectre</w:t>
            </w:r>
          </w:p>
        </w:tc>
      </w:tr>
      <w:tr w:rsidR="00BA4BE2" w:rsidRPr="00036EE3">
        <w:tc>
          <w:tcPr>
            <w:tcW w:w="1140" w:type="dxa"/>
          </w:tcPr>
          <w:p w:rsidR="00BA4BE2" w:rsidRPr="00614CC6" w:rsidRDefault="00BA4BE2" w:rsidP="00184187">
            <w:pPr>
              <w:spacing w:before="30" w:after="30"/>
              <w:ind w:left="57"/>
              <w:jc w:val="left"/>
              <w:rPr>
                <w:b/>
                <w:bCs/>
                <w:sz w:val="20"/>
                <w:lang w:val="en-US"/>
              </w:rPr>
            </w:pPr>
            <w:r w:rsidRPr="00614CC6">
              <w:rPr>
                <w:b/>
                <w:bCs/>
                <w:sz w:val="20"/>
                <w:lang w:val="en-US"/>
              </w:rPr>
              <w:t>SNG</w:t>
            </w:r>
          </w:p>
        </w:tc>
        <w:tc>
          <w:tcPr>
            <w:tcW w:w="8220" w:type="dxa"/>
          </w:tcPr>
          <w:p w:rsidR="00BA4BE2" w:rsidRPr="00614CC6" w:rsidRDefault="00BA4BE2" w:rsidP="00184187">
            <w:pPr>
              <w:spacing w:before="30" w:after="30"/>
              <w:jc w:val="left"/>
              <w:rPr>
                <w:sz w:val="20"/>
                <w:lang w:val="en-US"/>
              </w:rPr>
            </w:pPr>
            <w:r w:rsidRPr="00614CC6">
              <w:rPr>
                <w:sz w:val="20"/>
              </w:rPr>
              <w:t>Reportage d'actualités par satellite</w:t>
            </w:r>
          </w:p>
        </w:tc>
      </w:tr>
      <w:tr w:rsidR="00BA4BE2" w:rsidRPr="00614CC6">
        <w:tc>
          <w:tcPr>
            <w:tcW w:w="1140" w:type="dxa"/>
          </w:tcPr>
          <w:p w:rsidR="00BA4BE2" w:rsidRPr="00614CC6" w:rsidRDefault="00BA4BE2" w:rsidP="00184187">
            <w:pPr>
              <w:spacing w:before="30" w:after="30"/>
              <w:ind w:left="57"/>
              <w:jc w:val="left"/>
              <w:rPr>
                <w:b/>
                <w:bCs/>
                <w:sz w:val="20"/>
                <w:lang w:val="en-US"/>
              </w:rPr>
            </w:pPr>
            <w:r w:rsidRPr="00614CC6">
              <w:rPr>
                <w:b/>
                <w:bCs/>
                <w:sz w:val="20"/>
                <w:lang w:val="en-US"/>
              </w:rPr>
              <w:t>TF</w:t>
            </w:r>
          </w:p>
        </w:tc>
        <w:tc>
          <w:tcPr>
            <w:tcW w:w="8220" w:type="dxa"/>
          </w:tcPr>
          <w:p w:rsidR="00BA4BE2" w:rsidRPr="00614CC6" w:rsidRDefault="00BA4BE2" w:rsidP="00184187">
            <w:pPr>
              <w:spacing w:before="30" w:after="30"/>
              <w:jc w:val="left"/>
              <w:rPr>
                <w:sz w:val="20"/>
              </w:rPr>
            </w:pPr>
            <w:r w:rsidRPr="00614CC6">
              <w:rPr>
                <w:sz w:val="20"/>
              </w:rPr>
              <w:t>Emissions de fréquences étalon et de signaux horaires</w:t>
            </w:r>
          </w:p>
        </w:tc>
      </w:tr>
      <w:tr w:rsidR="00BA4BE2" w:rsidRPr="00036EE3">
        <w:tc>
          <w:tcPr>
            <w:tcW w:w="1140" w:type="dxa"/>
          </w:tcPr>
          <w:p w:rsidR="00BA4BE2" w:rsidRPr="00614CC6" w:rsidRDefault="00BA4BE2" w:rsidP="00184187">
            <w:pPr>
              <w:spacing w:before="30" w:after="30"/>
              <w:ind w:left="57"/>
              <w:jc w:val="left"/>
              <w:rPr>
                <w:b/>
                <w:bCs/>
                <w:sz w:val="20"/>
                <w:lang w:val="en-US"/>
              </w:rPr>
            </w:pPr>
            <w:r w:rsidRPr="00614CC6">
              <w:rPr>
                <w:b/>
                <w:bCs/>
                <w:sz w:val="20"/>
                <w:lang w:val="en-US"/>
              </w:rPr>
              <w:t>V</w:t>
            </w:r>
          </w:p>
        </w:tc>
        <w:tc>
          <w:tcPr>
            <w:tcW w:w="8220" w:type="dxa"/>
          </w:tcPr>
          <w:p w:rsidR="00BA4BE2" w:rsidRPr="00614CC6" w:rsidRDefault="00BA4BE2" w:rsidP="00184187">
            <w:pPr>
              <w:spacing w:before="30" w:after="140"/>
              <w:jc w:val="left"/>
              <w:rPr>
                <w:sz w:val="20"/>
                <w:lang w:val="en-US"/>
              </w:rPr>
            </w:pPr>
            <w:r w:rsidRPr="00614CC6">
              <w:rPr>
                <w:sz w:val="20"/>
              </w:rPr>
              <w:t>Vocabulaire et sujets associés</w:t>
            </w:r>
          </w:p>
        </w:tc>
      </w:tr>
    </w:tbl>
    <w:p w:rsidR="00BA4BE2" w:rsidRPr="00036EE3" w:rsidRDefault="00BA4BE2" w:rsidP="00184187">
      <w:pPr>
        <w:spacing w:before="0"/>
        <w:jc w:val="center"/>
        <w:rPr>
          <w:sz w:val="20"/>
          <w:lang w:val="en-US"/>
        </w:rPr>
      </w:pPr>
    </w:p>
    <w:p w:rsidR="00BA4BE2" w:rsidRPr="00036EE3" w:rsidRDefault="00BA4BE2" w:rsidP="0018418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A4BE2" w:rsidRPr="00756B4D">
        <w:tc>
          <w:tcPr>
            <w:tcW w:w="9360" w:type="dxa"/>
          </w:tcPr>
          <w:p w:rsidR="00BA4BE2" w:rsidRPr="00756B4D" w:rsidRDefault="00BA4BE2" w:rsidP="00184187">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A4BE2" w:rsidRPr="00756B4D" w:rsidRDefault="00BA4BE2" w:rsidP="00184187">
      <w:pPr>
        <w:spacing w:before="0"/>
        <w:jc w:val="center"/>
        <w:rPr>
          <w:sz w:val="22"/>
        </w:rPr>
      </w:pPr>
    </w:p>
    <w:p w:rsidR="00BA4BE2" w:rsidRPr="00614CC6" w:rsidRDefault="00BA4BE2" w:rsidP="00184187">
      <w:pPr>
        <w:spacing w:before="100"/>
        <w:jc w:val="right"/>
        <w:rPr>
          <w:i/>
          <w:iCs/>
          <w:sz w:val="20"/>
        </w:rPr>
      </w:pPr>
      <w:r w:rsidRPr="00614CC6">
        <w:rPr>
          <w:i/>
          <w:iCs/>
          <w:sz w:val="20"/>
        </w:rPr>
        <w:t>Publication électronique</w:t>
      </w:r>
    </w:p>
    <w:p w:rsidR="00BA4BE2" w:rsidRPr="00614CC6" w:rsidRDefault="00BA4BE2" w:rsidP="00B80440">
      <w:pPr>
        <w:spacing w:before="0"/>
        <w:jc w:val="right"/>
        <w:rPr>
          <w:sz w:val="20"/>
        </w:rPr>
      </w:pPr>
      <w:r w:rsidRPr="00614CC6">
        <w:rPr>
          <w:sz w:val="20"/>
        </w:rPr>
        <w:t>Genève, 20</w:t>
      </w:r>
      <w:r>
        <w:rPr>
          <w:sz w:val="20"/>
        </w:rPr>
        <w:t>1</w:t>
      </w:r>
      <w:r w:rsidR="00B80440">
        <w:rPr>
          <w:sz w:val="20"/>
        </w:rPr>
        <w:t>1</w:t>
      </w:r>
    </w:p>
    <w:p w:rsidR="00BA4BE2" w:rsidRPr="00614CC6" w:rsidRDefault="00BA4BE2" w:rsidP="00B80440">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B80440">
        <w:rPr>
          <w:sz w:val="20"/>
        </w:rPr>
        <w:t>1</w:t>
      </w:r>
    </w:p>
    <w:p w:rsidR="00BA4BE2" w:rsidRPr="00614CC6" w:rsidRDefault="00BA4BE2" w:rsidP="0018418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A4BE2" w:rsidRPr="00614CC6" w:rsidRDefault="00BA4BE2" w:rsidP="00184187">
      <w:pPr>
        <w:spacing w:before="160"/>
        <w:rPr>
          <w:i/>
          <w:sz w:val="20"/>
          <w:highlight w:val="yellow"/>
        </w:rPr>
        <w:sectPr w:rsidR="00BA4BE2" w:rsidRPr="00614CC6" w:rsidSect="00184187">
          <w:headerReference w:type="even" r:id="rId11"/>
          <w:headerReference w:type="default" r:id="rId12"/>
          <w:pgSz w:w="11907" w:h="16834" w:code="9"/>
          <w:pgMar w:top="1418" w:right="1134" w:bottom="1134" w:left="1134" w:header="720" w:footer="482" w:gutter="0"/>
          <w:pgNumType w:fmt="lowerRoman" w:start="2"/>
          <w:cols w:space="720"/>
        </w:sectPr>
      </w:pPr>
    </w:p>
    <w:p w:rsidR="00BA4BE2" w:rsidRPr="00756B4D" w:rsidRDefault="00BA4BE2" w:rsidP="00BA4BE2">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w:t>
      </w:r>
      <w:r w:rsidR="00456D96">
        <w:rPr>
          <w:rStyle w:val="href"/>
        </w:rPr>
        <w:t>F</w:t>
      </w:r>
      <w:r w:rsidRPr="00756B4D">
        <w:rPr>
          <w:rStyle w:val="href"/>
        </w:rPr>
        <w:t>.</w:t>
      </w:r>
      <w:r>
        <w:rPr>
          <w:rStyle w:val="href"/>
        </w:rPr>
        <w:t>1486</w:t>
      </w:r>
      <w:r w:rsidR="00DD1934">
        <w:rPr>
          <w:rStyle w:val="FootnoteReference"/>
        </w:rPr>
        <w:footnoteReference w:customMarkFollows="1" w:id="1"/>
        <w:t>*</w:t>
      </w:r>
      <w:r w:rsidR="00DD1934" w:rsidRPr="00292ABC">
        <w:rPr>
          <w:vertAlign w:val="superscript"/>
          <w:lang w:val="fr-CH"/>
        </w:rPr>
        <w:t>,</w:t>
      </w:r>
      <w:r w:rsidR="00D86A50">
        <w:rPr>
          <w:vertAlign w:val="superscript"/>
          <w:lang w:val="fr-CH"/>
        </w:rPr>
        <w:t xml:space="preserve"> </w:t>
      </w:r>
      <w:r w:rsidR="00DD1934">
        <w:rPr>
          <w:rStyle w:val="FootnoteReference"/>
        </w:rPr>
        <w:footnoteReference w:customMarkFollows="1" w:id="2"/>
        <w:t>**</w:t>
      </w:r>
    </w:p>
    <w:p w:rsidR="00BA4BE2" w:rsidRDefault="00BA4BE2" w:rsidP="00BA4BE2">
      <w:pPr>
        <w:pStyle w:val="RecTitle0"/>
      </w:pPr>
      <w:r>
        <w:t>MÉTHODOLOGIE  DE  PARTAGE  ENTRE  SYSTÈMES  D'ACCÈS  HERTZIEN  FIXE</w:t>
      </w:r>
      <w:r>
        <w:br/>
        <w:t>DU  SERVICE  FIXE  ET  MICROSTATIONS  VSAT  DU  SERVICE  FIXE</w:t>
      </w:r>
      <w:r>
        <w:br/>
        <w:t>PAR  SATELLITE  DANS  LA  BANDE  3</w:t>
      </w:r>
      <w:r>
        <w:rPr>
          <w:rFonts w:ascii="Tms Rmn" w:hAnsi="Tms Rmn"/>
          <w:sz w:val="12"/>
        </w:rPr>
        <w:t> </w:t>
      </w:r>
      <w:r>
        <w:t>400-3</w:t>
      </w:r>
      <w:r>
        <w:rPr>
          <w:rFonts w:ascii="Tms Rmn" w:hAnsi="Tms Rmn"/>
          <w:sz w:val="12"/>
        </w:rPr>
        <w:t> </w:t>
      </w:r>
      <w:r>
        <w:t>700  MHz</w:t>
      </w:r>
    </w:p>
    <w:p w:rsidR="00BA4BE2" w:rsidRPr="00B74E93" w:rsidRDefault="00BA4BE2" w:rsidP="00BA4BE2">
      <w:pPr>
        <w:pStyle w:val="RecTitleDate"/>
      </w:pPr>
      <w:r w:rsidRPr="00B74E93">
        <w:t>(2000)</w:t>
      </w:r>
    </w:p>
    <w:p w:rsidR="00BA4BE2" w:rsidRDefault="00BA4BE2" w:rsidP="00BA4BE2">
      <w:pPr>
        <w:pStyle w:val="headfoot"/>
      </w:pPr>
    </w:p>
    <w:p w:rsidR="00BA4BE2" w:rsidRPr="00D86A50" w:rsidRDefault="00BA4BE2" w:rsidP="00B80440">
      <w:pPr>
        <w:pStyle w:val="HeadingSum"/>
        <w:rPr>
          <w:lang w:val="fr-CH"/>
        </w:rPr>
      </w:pPr>
      <w:r w:rsidRPr="00D86A50">
        <w:rPr>
          <w:lang w:val="fr-CH"/>
        </w:rPr>
        <w:t>Domaine d'application</w:t>
      </w:r>
    </w:p>
    <w:p w:rsidR="00BA4BE2" w:rsidRPr="00EB4CEE" w:rsidRDefault="00B80440" w:rsidP="00B80440">
      <w:pPr>
        <w:pStyle w:val="Summary"/>
        <w:rPr>
          <w:lang w:val="fr-CH"/>
        </w:rPr>
      </w:pPr>
      <w:r w:rsidRPr="00B80440">
        <w:rPr>
          <w:lang w:val="fr-CH"/>
        </w:rPr>
        <w:t xml:space="preserve">La </w:t>
      </w:r>
      <w:r w:rsidR="00BA4BE2" w:rsidRPr="00B80440">
        <w:rPr>
          <w:lang w:val="fr-CH"/>
        </w:rPr>
        <w:t xml:space="preserve">présente Recommandation expose une méthode visant à faciliter le partage entre les systèmes d'accès hertzien fixe (AHF) du </w:t>
      </w:r>
      <w:r w:rsidR="00BA4BE2" w:rsidRPr="00B80440">
        <w:rPr>
          <w:szCs w:val="24"/>
          <w:lang w:val="fr-CH"/>
        </w:rPr>
        <w:t>service</w:t>
      </w:r>
      <w:r w:rsidR="00BA4BE2" w:rsidRPr="00B80440">
        <w:rPr>
          <w:lang w:val="fr-CH"/>
        </w:rPr>
        <w:t xml:space="preserve"> fixe (SF) et les microstations (VSAT) du </w:t>
      </w:r>
      <w:r w:rsidR="00BA4BE2" w:rsidRPr="00B80440">
        <w:rPr>
          <w:szCs w:val="24"/>
          <w:lang w:val="fr-CH"/>
        </w:rPr>
        <w:t>service</w:t>
      </w:r>
      <w:r w:rsidR="00BA4BE2" w:rsidRPr="00B80440">
        <w:rPr>
          <w:lang w:val="fr-CH"/>
        </w:rPr>
        <w:t xml:space="preserve"> fixe par </w:t>
      </w:r>
      <w:r w:rsidR="00BA4BE2" w:rsidRPr="00B80440">
        <w:rPr>
          <w:rFonts w:cs="Arial"/>
          <w:lang w:val="fr-CH"/>
        </w:rPr>
        <w:t>satellite</w:t>
      </w:r>
      <w:r w:rsidR="00BA4BE2" w:rsidRPr="00B80440">
        <w:rPr>
          <w:lang w:val="fr-CH"/>
        </w:rPr>
        <w:t xml:space="preserve"> (SFS) dans la bande 3 400</w:t>
      </w:r>
      <w:r w:rsidR="00BA4BE2" w:rsidRPr="00B80440">
        <w:rPr>
          <w:lang w:val="fr-CH"/>
        </w:rPr>
        <w:noBreakHyphen/>
        <w:t xml:space="preserve">3 700 GHz. </w:t>
      </w:r>
      <w:r w:rsidR="00BA4BE2" w:rsidRPr="00EB4CEE">
        <w:rPr>
          <w:lang w:val="fr-CH"/>
        </w:rPr>
        <w:t>En particulier, l'Annexe 1 contient une méthode de calcul des distances de séparation entre systèmes VSAT du SFS et systèmes AHF point à multipoint, et l'Annexe 2 fournit des méthodes de limitation des brouillages pour l'installation coordonnée de systèmes VSAT du SFS et de systèmes de Terre AHF.</w:t>
      </w:r>
      <w:r w:rsidR="00EB4CEE" w:rsidRPr="00EB4CEE">
        <w:rPr>
          <w:lang w:val="fr-CH"/>
        </w:rPr>
        <w:t xml:space="preserve"> </w:t>
      </w:r>
    </w:p>
    <w:p w:rsidR="00BA4BE2" w:rsidRDefault="00BA4BE2" w:rsidP="00BA4BE2">
      <w:pPr>
        <w:pStyle w:val="Normalaftertitle0"/>
      </w:pPr>
      <w:r>
        <w:t>L'Assemblée des radiocommunications de l'UIT,</w:t>
      </w:r>
    </w:p>
    <w:p w:rsidR="00BA4BE2" w:rsidRDefault="00BA4BE2" w:rsidP="00BA4BE2">
      <w:pPr>
        <w:pStyle w:val="call0"/>
      </w:pPr>
      <w:proofErr w:type="gramStart"/>
      <w:r>
        <w:t>considérant</w:t>
      </w:r>
      <w:proofErr w:type="gramEnd"/>
    </w:p>
    <w:p w:rsidR="00BA4BE2" w:rsidRDefault="00BA4BE2" w:rsidP="00184187">
      <w:r>
        <w:t>a)</w:t>
      </w:r>
      <w:r>
        <w:tab/>
        <w:t>que la bande de fréquences 3</w:t>
      </w:r>
      <w:r>
        <w:rPr>
          <w:rFonts w:ascii="Tms Rmn" w:hAnsi="Tms Rmn"/>
          <w:sz w:val="12"/>
        </w:rPr>
        <w:t> </w:t>
      </w:r>
      <w:r>
        <w:t>400-3</w:t>
      </w:r>
      <w:r>
        <w:rPr>
          <w:rFonts w:ascii="Tms Rmn" w:hAnsi="Tms Rmn"/>
          <w:sz w:val="12"/>
        </w:rPr>
        <w:t> </w:t>
      </w:r>
      <w:r>
        <w:t>700 MHz a été attribuée à l'échelle mondiale à titre primaire au service fixe et au service fixe par satellite</w:t>
      </w:r>
      <w:r w:rsidR="00184187">
        <w:t xml:space="preserve"> </w:t>
      </w:r>
      <w:r>
        <w:t>(SFS);</w:t>
      </w:r>
    </w:p>
    <w:p w:rsidR="00BA4BE2" w:rsidRDefault="00BA4BE2" w:rsidP="00BA4BE2">
      <w:r>
        <w:t>b)</w:t>
      </w:r>
      <w:r>
        <w:tab/>
        <w:t>que cette bande de fréquences est aussi utilisée par le SFS et en particulier par des systèmes utilisant des microstations (VSAT) et que cette utilisation continue de s'accroître;</w:t>
      </w:r>
    </w:p>
    <w:p w:rsidR="00BA4BE2" w:rsidRDefault="00BA4BE2" w:rsidP="00BA4BE2">
      <w:r>
        <w:t>c)</w:t>
      </w:r>
      <w:r>
        <w:tab/>
        <w:t>que cette bande de fréquences est utilisée par des systèmes de Terre d'accès hertzien fixe (AHF) point à multipoint opérant dans le service fixe et que cette utilisation se développe rapidement dans de nombreux pays;</w:t>
      </w:r>
    </w:p>
    <w:p w:rsidR="00BA4BE2" w:rsidRDefault="00BA4BE2" w:rsidP="00BA4BE2">
      <w:r>
        <w:t>d)</w:t>
      </w:r>
      <w:r>
        <w:tab/>
        <w:t xml:space="preserve">qu'il est nécessaire de protéger les services bénéficiant d'attributions à titre primaire avec égalité des droits, </w:t>
      </w:r>
      <w:r>
        <w:rPr>
          <w:lang w:val="fr-CH"/>
        </w:rPr>
        <w:t>c'est</w:t>
      </w:r>
      <w:r>
        <w:rPr>
          <w:lang w:val="fr-CH"/>
        </w:rPr>
        <w:noBreakHyphen/>
        <w:t>à</w:t>
      </w:r>
      <w:r>
        <w:rPr>
          <w:lang w:val="fr-CH"/>
        </w:rPr>
        <w:noBreakHyphen/>
        <w:t>dire</w:t>
      </w:r>
      <w:r>
        <w:t xml:space="preserve"> le </w:t>
      </w:r>
      <w:r w:rsidRPr="007F33C7">
        <w:rPr>
          <w:szCs w:val="24"/>
          <w:lang w:val="fr-CH"/>
        </w:rPr>
        <w:t>service</w:t>
      </w:r>
      <w:r>
        <w:t xml:space="preserve"> de radiolocalisation des Régions 2 et 3, et d'étudier plus avant les conditions de partage entre systèmes AHF et ces services,</w:t>
      </w:r>
    </w:p>
    <w:p w:rsidR="00BA4BE2" w:rsidRDefault="00BA4BE2" w:rsidP="00BA4BE2">
      <w:pPr>
        <w:pStyle w:val="call0"/>
      </w:pPr>
      <w:proofErr w:type="gramStart"/>
      <w:r>
        <w:t>notant</w:t>
      </w:r>
      <w:proofErr w:type="gramEnd"/>
    </w:p>
    <w:p w:rsidR="00BA4BE2" w:rsidRDefault="00BA4BE2" w:rsidP="00BA4BE2">
      <w:r>
        <w:t>a)</w:t>
      </w:r>
      <w:r>
        <w:tab/>
        <w:t>qu'une utilisation harmonieuse des systèmes AHF dans cette bande ne peut que présenter des avantages;</w:t>
      </w:r>
    </w:p>
    <w:p w:rsidR="00BA4BE2" w:rsidRDefault="00BA4BE2" w:rsidP="00BA4BE2">
      <w:r>
        <w:t>b)</w:t>
      </w:r>
      <w:r>
        <w:tab/>
        <w:t>que le partage de la même bande de fréquences entre systèmes VSAT et systèmes point à multipoint peut s'avérer difficile pour des stations VSAT opérant avec des angles d'élévation faibles;</w:t>
      </w:r>
    </w:p>
    <w:p w:rsidR="00BA4BE2" w:rsidRDefault="00BA4BE2" w:rsidP="00BA4BE2">
      <w:r>
        <w:t>c)</w:t>
      </w:r>
      <w:r>
        <w:tab/>
        <w:t>que certains systèmes AHF peuvent fonctionner sur différentes fréquences mais qu'il se peut que, dans certaines administrations, seule une partie de la bande 3</w:t>
      </w:r>
      <w:r>
        <w:rPr>
          <w:rFonts w:ascii="Tms Rmn" w:hAnsi="Tms Rmn"/>
          <w:sz w:val="12"/>
        </w:rPr>
        <w:t> </w:t>
      </w:r>
      <w:r>
        <w:t>400-3</w:t>
      </w:r>
      <w:r>
        <w:rPr>
          <w:rFonts w:ascii="Tms Rmn" w:hAnsi="Tms Rmn"/>
          <w:sz w:val="12"/>
        </w:rPr>
        <w:t> </w:t>
      </w:r>
      <w:r>
        <w:t>700 MHz soit disponible;</w:t>
      </w:r>
    </w:p>
    <w:p w:rsidR="00BA4BE2" w:rsidRDefault="00BA4BE2" w:rsidP="00B74E93">
      <w:r>
        <w:t>d)</w:t>
      </w:r>
      <w:r>
        <w:tab/>
        <w:t xml:space="preserve">que les dispositions de blocs de </w:t>
      </w:r>
      <w:r w:rsidRPr="007B5C22">
        <w:rPr>
          <w:lang w:val="fr-CH"/>
        </w:rPr>
        <w:t>fréquence</w:t>
      </w:r>
      <w:r>
        <w:t>s sont recommandées dans la Recommandation</w:t>
      </w:r>
      <w:r w:rsidR="00B74E93">
        <w:t> </w:t>
      </w:r>
      <w:r>
        <w:t xml:space="preserve">UIT-R F.1488 pour les systèmes AHF dans la gamme </w:t>
      </w:r>
      <w:r w:rsidRPr="0081177A">
        <w:t>3</w:t>
      </w:r>
      <w:r w:rsidRPr="0081177A">
        <w:rPr>
          <w:sz w:val="12"/>
        </w:rPr>
        <w:t> </w:t>
      </w:r>
      <w:r w:rsidRPr="0081177A">
        <w:t>400-3</w:t>
      </w:r>
      <w:r w:rsidRPr="0081177A">
        <w:rPr>
          <w:sz w:val="12"/>
        </w:rPr>
        <w:t> </w:t>
      </w:r>
      <w:r w:rsidRPr="0081177A">
        <w:t>800 MHz</w:t>
      </w:r>
      <w:r>
        <w:rPr>
          <w:rFonts w:ascii="Tms Rmn" w:hAnsi="Tms Rmn"/>
        </w:rPr>
        <w:t>,</w:t>
      </w:r>
    </w:p>
    <w:p w:rsidR="00BA4BE2" w:rsidRDefault="00BA4BE2" w:rsidP="00BA4BE2">
      <w:pPr>
        <w:pStyle w:val="call0"/>
      </w:pPr>
      <w:proofErr w:type="gramStart"/>
      <w:r>
        <w:lastRenderedPageBreak/>
        <w:t>recommande</w:t>
      </w:r>
      <w:proofErr w:type="gramEnd"/>
    </w:p>
    <w:p w:rsidR="00BA4BE2" w:rsidRDefault="00BA4BE2" w:rsidP="00BA4BE2">
      <w:r>
        <w:rPr>
          <w:b/>
          <w:bCs/>
        </w:rPr>
        <w:t>1</w:t>
      </w:r>
      <w:r>
        <w:tab/>
        <w:t xml:space="preserve">d'utiliser la méthodologie décrite à l'Annexe 1 pour améliorer le partage de fréquences entre </w:t>
      </w:r>
      <w:r>
        <w:rPr>
          <w:color w:val="000000"/>
        </w:rPr>
        <w:t>stations terriennes</w:t>
      </w:r>
      <w:r>
        <w:t xml:space="preserve"> VSAT du SFS et stations AHF du service fixe dans la bande 3</w:t>
      </w:r>
      <w:r>
        <w:rPr>
          <w:rFonts w:ascii="Tms Rmn" w:hAnsi="Tms Rmn"/>
          <w:sz w:val="12"/>
        </w:rPr>
        <w:t> </w:t>
      </w:r>
      <w:r>
        <w:t>400-3</w:t>
      </w:r>
      <w:r>
        <w:rPr>
          <w:rFonts w:ascii="Tms Rmn" w:hAnsi="Tms Rmn"/>
          <w:sz w:val="12"/>
        </w:rPr>
        <w:t> </w:t>
      </w:r>
      <w:r>
        <w:t>700 MHz;</w:t>
      </w:r>
    </w:p>
    <w:p w:rsidR="00BA4BE2" w:rsidRDefault="00BA4BE2" w:rsidP="00BA4BE2">
      <w:r>
        <w:rPr>
          <w:b/>
          <w:bCs/>
        </w:rPr>
        <w:t>2</w:t>
      </w:r>
      <w:r>
        <w:tab/>
        <w:t>d'encourager les administrations, afin d'améliorer effectivement le partage de fréquences à l'intérieur de la distance de coordination, à prendre les précautions nécessaires au moment de la planification et du déploiement de tels systèmes en prenant en compte les méthodes de limitation des brouillages présentées à l'Annexe 2, et notamment celles concernant l'installation de stations centrales et d'extrémité VSAT et point à multipoint; en particulier le lieu d'implantation des antennes devra être judicieusement choisi afin de tirer parti des éléments naturels ou artificiels; on pourra également utiliser des écrans de diffraction placés à proximité des antennes VSAT (voir la Note 1).</w:t>
      </w:r>
    </w:p>
    <w:p w:rsidR="00BA4BE2" w:rsidRDefault="00BA4BE2" w:rsidP="00BA4BE2">
      <w:pPr>
        <w:pStyle w:val="Note"/>
      </w:pPr>
      <w:r>
        <w:t>NOTE 1 – Le partage de la même fréquence entre de tels systèmes dépend fortement de l'utilisation qui est faite de cette bande par ces deux services, et notamment de la densité des installations, de facteurs géographiques et autres.</w:t>
      </w:r>
    </w:p>
    <w:p w:rsidR="00BA4BE2" w:rsidRDefault="00BA4BE2" w:rsidP="00BA4BE2"/>
    <w:p w:rsidR="00B80440" w:rsidRDefault="00B80440" w:rsidP="00BA4BE2"/>
    <w:p w:rsidR="00B80440" w:rsidRDefault="00B80440" w:rsidP="00BA4BE2"/>
    <w:p w:rsidR="00BA4BE2" w:rsidRDefault="00BA4BE2" w:rsidP="00BA4BE2">
      <w:pPr>
        <w:pStyle w:val="Annex"/>
        <w:spacing w:before="0"/>
      </w:pPr>
      <w:r>
        <w:t>ANNEXE  1</w:t>
      </w:r>
    </w:p>
    <w:p w:rsidR="00BA4BE2" w:rsidRDefault="00BA4BE2" w:rsidP="00BA4BE2">
      <w:pPr>
        <w:pStyle w:val="AnnexTitle"/>
      </w:pPr>
      <w:r>
        <w:t xml:space="preserve">Méthode de calcul des distances de séparation pour le partage de fréquences </w:t>
      </w:r>
      <w:r w:rsidR="00184187">
        <w:br/>
      </w:r>
      <w:r>
        <w:t>dans la bande 3</w:t>
      </w:r>
      <w:r>
        <w:rPr>
          <w:rFonts w:ascii="Tms Rmn" w:hAnsi="Tms Rmn"/>
          <w:sz w:val="12"/>
        </w:rPr>
        <w:t> </w:t>
      </w:r>
      <w:r>
        <w:t>400-3</w:t>
      </w:r>
      <w:r>
        <w:rPr>
          <w:rFonts w:ascii="Tms Rmn" w:hAnsi="Tms Rmn"/>
          <w:sz w:val="12"/>
        </w:rPr>
        <w:t> </w:t>
      </w:r>
      <w:r>
        <w:t xml:space="preserve">700 MHz entre systèmes VSAT du SFS </w:t>
      </w:r>
      <w:r w:rsidR="00184187">
        <w:br/>
      </w:r>
      <w:r>
        <w:t>et systèmes AHF point à multipoint</w:t>
      </w:r>
    </w:p>
    <w:p w:rsidR="00BA4BE2" w:rsidRDefault="00BA4BE2" w:rsidP="00B80440">
      <w:pPr>
        <w:pStyle w:val="Heading1"/>
      </w:pPr>
      <w:r>
        <w:t>1</w:t>
      </w:r>
      <w:r>
        <w:tab/>
        <w:t>Introduction</w:t>
      </w:r>
    </w:p>
    <w:p w:rsidR="00BA4BE2" w:rsidRDefault="00BA4BE2" w:rsidP="00184187">
      <w:r>
        <w:t>Il est généralement admis que la bande de 3,5 GHz est adaptée aux systèmes AHF point à multipoint. Pour les systèmes du SFS, la bande 3</w:t>
      </w:r>
      <w:r>
        <w:rPr>
          <w:rFonts w:ascii="Tms Rmn" w:hAnsi="Tms Rmn"/>
          <w:sz w:val="12"/>
        </w:rPr>
        <w:t> </w:t>
      </w:r>
      <w:r>
        <w:t>400-3</w:t>
      </w:r>
      <w:r>
        <w:rPr>
          <w:rFonts w:ascii="Tms Rmn" w:hAnsi="Tms Rmn"/>
          <w:sz w:val="12"/>
        </w:rPr>
        <w:t> </w:t>
      </w:r>
      <w:r>
        <w:t>700 MHz est généralement appelée «bande</w:t>
      </w:r>
      <w:r w:rsidR="00184187">
        <w:t> </w:t>
      </w:r>
      <w:r>
        <w:t>C élargie». Les caractéristiques types des systèmes VSAT et AHF point à multipoint (fondés sur l'AMRT) sont présentées aux Tableaux 1 et 2.</w:t>
      </w:r>
    </w:p>
    <w:p w:rsidR="00BA4BE2" w:rsidRDefault="00BA4BE2" w:rsidP="00B80440">
      <w:r>
        <w:t>Les deux types de brouillage susceptibles de poser problème sont:</w:t>
      </w:r>
    </w:p>
    <w:p w:rsidR="00BA4BE2" w:rsidRDefault="00BA4BE2" w:rsidP="00B80440">
      <w:pPr>
        <w:pStyle w:val="enumlev1"/>
      </w:pPr>
      <w:r>
        <w:t>a)</w:t>
      </w:r>
      <w:r>
        <w:tab/>
        <w:t xml:space="preserve">brouillage de la station centrale point à multipoint et/ou de la station d'extrémité causé au récepteur de la </w:t>
      </w:r>
      <w:r>
        <w:rPr>
          <w:color w:val="000000"/>
        </w:rPr>
        <w:t>station terrienne</w:t>
      </w:r>
      <w:r>
        <w:t xml:space="preserve"> du SFS (VSAT);</w:t>
      </w:r>
    </w:p>
    <w:p w:rsidR="00BA4BE2" w:rsidRDefault="00BA4BE2" w:rsidP="00B80440">
      <w:pPr>
        <w:pStyle w:val="enumlev1"/>
      </w:pPr>
      <w:r>
        <w:t>b)</w:t>
      </w:r>
      <w:r>
        <w:tab/>
        <w:t>brouillage de l'engin spatial du SFS causé aux récepteurs de la station centrale et/ou de la station d'extrémité point à multipoint.</w:t>
      </w:r>
    </w:p>
    <w:p w:rsidR="00BA4BE2" w:rsidRDefault="00BA4BE2" w:rsidP="00B80440">
      <w:r>
        <w:t>La méthodologie décrite dans la présente Annexe est applicable au brouillage de type a) et repose sur des hypothèses générales concernant les caractéristiques des systèmes et les conditions de propagation. D'autres méthodologies fondées sur des paramètres de systèmes réels et des affaiblissements de trajet propres au cas considéré peuvent permettre de déterminer les distances de séparation de manière plus précise.</w:t>
      </w:r>
    </w:p>
    <w:p w:rsidR="00BA4BE2" w:rsidRDefault="00BA4BE2" w:rsidP="00B80440">
      <w:r>
        <w:t>Le brouillage de type b), actuellement traité dans le cadre des prescriptions relatives à la puissance surfacique des dispositions pertinentes du RR, peut devoir faire l'objet d'un examen plus approfondi.</w:t>
      </w:r>
    </w:p>
    <w:p w:rsidR="00BA4BE2" w:rsidRDefault="00BA4BE2" w:rsidP="00BA4BE2">
      <w:pPr>
        <w:pStyle w:val="Heading2"/>
      </w:pPr>
      <w:r>
        <w:t>1.1</w:t>
      </w:r>
      <w:r>
        <w:tab/>
        <w:t>Critères de brouillage</w:t>
      </w:r>
    </w:p>
    <w:p w:rsidR="00BA4BE2" w:rsidRDefault="00BA4BE2" w:rsidP="00B80440">
      <w:r>
        <w:t>On considère que le brouillage causé à la station du SFS est important lorsque le récepteur brouillé (VSAT) est soumis à un niveau de brouillage équivalant à une dégradation du bruit de fond thermique de 0,4 dB, ce qui correspond à un niveau de brouillage inférieur de 10 dB au bruit de fond thermique du récepteur pendant plus de 20% du temps d'un mois quelconque.</w:t>
      </w:r>
    </w:p>
    <w:p w:rsidR="00BA4BE2" w:rsidRDefault="00BA4BE2" w:rsidP="00B80440">
      <w:pPr>
        <w:pStyle w:val="Heading1"/>
      </w:pPr>
      <w:r>
        <w:lastRenderedPageBreak/>
        <w:t>2</w:t>
      </w:r>
      <w:r>
        <w:tab/>
        <w:t>Méthodologie de partage</w:t>
      </w:r>
    </w:p>
    <w:p w:rsidR="00BA4BE2" w:rsidRDefault="00BA4BE2" w:rsidP="00BA4BE2">
      <w:pPr>
        <w:pStyle w:val="Heading2"/>
      </w:pPr>
      <w:r>
        <w:t>2.1</w:t>
      </w:r>
      <w:r>
        <w:tab/>
        <w:t>Caractéristiques des systèmes</w:t>
      </w:r>
    </w:p>
    <w:p w:rsidR="00BA4BE2" w:rsidRDefault="00BA4BE2" w:rsidP="00B80440">
      <w:r>
        <w:t>Les caractéristiques des systèmes AHF point à multipoint utilisés pour les calculs sont données au Tableau 1. Le système AHF décrit ici fonctionne en AMRT, mais en règle générale, on peut considérer que les calculs pour d'autres technologies AHF sont similaires dans ce contexte.</w:t>
      </w:r>
    </w:p>
    <w:p w:rsidR="00BA4BE2" w:rsidRDefault="00BA4BE2" w:rsidP="00B80440">
      <w:r>
        <w:t>Cette technologie est conçue pour un accès hertzien destiné à la fourniture des services téléphoniques et de transmission de données à des utilisateurs professionnels ou résidentiels.</w:t>
      </w:r>
    </w:p>
    <w:p w:rsidR="00BA4BE2" w:rsidRDefault="00BA4BE2" w:rsidP="0043655C">
      <w:r>
        <w:t>Les caractéristiques types de systèmes VSAT fonctionnant dans cette bande sont énumérées au Tableau 2.</w:t>
      </w:r>
    </w:p>
    <w:p w:rsidR="00BA4BE2" w:rsidRDefault="00BA4BE2" w:rsidP="00B80440">
      <w:r>
        <w:t>Dans la bande 3</w:t>
      </w:r>
      <w:r>
        <w:rPr>
          <w:rFonts w:ascii="Tms Rmn" w:hAnsi="Tms Rmn"/>
          <w:sz w:val="12"/>
        </w:rPr>
        <w:t> </w:t>
      </w:r>
      <w:r>
        <w:t>400-3</w:t>
      </w:r>
      <w:r>
        <w:rPr>
          <w:rFonts w:ascii="Tms Rmn" w:hAnsi="Tms Rmn"/>
          <w:sz w:val="12"/>
        </w:rPr>
        <w:t> </w:t>
      </w:r>
      <w:r>
        <w:t>700 MHz, les dimensions des antennes utilisées par les VSAT et celles utilisées par les stations centrales et d'extrémité AHF ne sont pas suffisamment grandes pour permettre un affaiblissement important en dehors du lobe principal; les niveaux de discrimination des lobes latéraux sont faibles compte tenu des ouvertures concernées. Néanmoins, les antennes VSAT généralement utilisées dans cette bande sont du type à réflecteur parabolique avec alimentation performante à cornet décalé. Toutefois, dans la pratique, les antennes des stations centrales et d'extrémité AHF sont pour la plupart de type plan et présentent une efficacité et des caractéristiques de lobes latéraux moins bonnes. Les systèmes AHF point à multipoint de Terre sont en principe équipés d'un système de concentration du trafic à l'émission qui, du point de vue des radiofréquences, peuvent être considérés comme étant implantés d'une manière similaire à celle des systèmes cellulaires mobiles de Terre, c'est-à-dire selon une configuration cellulaire contiguë avec réutilisation des fréquences.</w:t>
      </w:r>
    </w:p>
    <w:p w:rsidR="00BA4BE2" w:rsidRDefault="00BA4BE2" w:rsidP="00BA4BE2">
      <w:pPr>
        <w:pStyle w:val="Heading2"/>
      </w:pPr>
      <w:r>
        <w:t>2.2</w:t>
      </w:r>
      <w:r>
        <w:tab/>
        <w:t>Brouillage causé par une station d'extrémité AHF à une station VSAT</w:t>
      </w:r>
    </w:p>
    <w:p w:rsidR="00BA4BE2" w:rsidRDefault="00BA4BE2" w:rsidP="00D86A50">
      <w:r>
        <w:t>Le système AHF point à multipoint considéré ici occupe la bande 3</w:t>
      </w:r>
      <w:r>
        <w:rPr>
          <w:rFonts w:ascii="Tms Rmn" w:hAnsi="Tms Rmn"/>
          <w:sz w:val="12"/>
        </w:rPr>
        <w:t> </w:t>
      </w:r>
      <w:r>
        <w:t>475-3</w:t>
      </w:r>
      <w:r>
        <w:rPr>
          <w:rFonts w:ascii="Tms Rmn" w:hAnsi="Tms Rmn"/>
          <w:sz w:val="12"/>
        </w:rPr>
        <w:t> </w:t>
      </w:r>
      <w:r>
        <w:t>492 MHz (sens station centrale vers station d'extrémité) et 3</w:t>
      </w:r>
      <w:r>
        <w:rPr>
          <w:rFonts w:ascii="Tms Rmn" w:hAnsi="Tms Rmn"/>
          <w:sz w:val="12"/>
        </w:rPr>
        <w:t> </w:t>
      </w:r>
      <w:r>
        <w:t>425-3</w:t>
      </w:r>
      <w:r>
        <w:rPr>
          <w:rFonts w:ascii="Tms Rmn" w:hAnsi="Tms Rmn"/>
          <w:sz w:val="12"/>
        </w:rPr>
        <w:t> </w:t>
      </w:r>
      <w:r>
        <w:t>442 MHz (sens station d'extrémité vers station centrale). Etant donné que, par rapport aux stations centrales, les stations d'extrémité ont une p.i.r.e. supérieure, sont plus nombreuses et sont plus largement disséminées et que, dès lors, la probabilité pour que la station d'extrémité soit orientée vers la station VSAT (bande descendante) est plus élevée, il y a lieu de prendre en considération dans les calculs uniquement les brouillages causés par la station d'extrémité. D'après le Tableau 1, la p.i.r.e. de la station d'extrémité AHF est égale à</w:t>
      </w:r>
      <w:r w:rsidR="00D86A50">
        <w:t> </w:t>
      </w:r>
      <w:r>
        <w:t>27 </w:t>
      </w:r>
      <w:r w:rsidR="00CA2FD1" w:rsidRPr="00CA2FD1">
        <w:t>+</w:t>
      </w:r>
      <w:r>
        <w:t> 18 – 30 </w:t>
      </w:r>
      <w:r w:rsidR="00CA2FD1" w:rsidRPr="00CA2FD1">
        <w:t>=</w:t>
      </w:r>
      <w:r>
        <w:t> 15 dBW. L'antenne directive de la station d'extrémité a une ouverture nominale type de faisceau de</w:t>
      </w:r>
      <w:r w:rsidR="00CA2FD1">
        <w:t xml:space="preserve"> </w:t>
      </w:r>
      <w:r>
        <w:t>20</w:t>
      </w:r>
      <w:r w:rsidR="00CA2FD1" w:rsidRPr="00CA2FD1">
        <w:t>°</w:t>
      </w:r>
      <w:r>
        <w:t xml:space="preserve"> (</w:t>
      </w:r>
      <w:proofErr w:type="gramStart"/>
      <w:r>
        <w:t>à</w:t>
      </w:r>
      <w:proofErr w:type="gramEnd"/>
      <w:r>
        <w:t xml:space="preserve"> –3 dB).</w:t>
      </w:r>
    </w:p>
    <w:p w:rsidR="00BA4BE2" w:rsidRDefault="00BA4BE2" w:rsidP="00BA4BE2">
      <w:pPr>
        <w:pStyle w:val="Table"/>
      </w:pPr>
      <w:r>
        <w:lastRenderedPageBreak/>
        <w:t>TABLEAU  1</w:t>
      </w:r>
    </w:p>
    <w:p w:rsidR="00BA4BE2" w:rsidRDefault="00BA4BE2" w:rsidP="00BA4BE2">
      <w:pPr>
        <w:pStyle w:val="TableTitle0"/>
      </w:pPr>
      <w:r>
        <w:t>Caractéristiques des systèmes AHF point à multipoint</w:t>
      </w:r>
    </w:p>
    <w:p w:rsidR="00BA4BE2" w:rsidRPr="00BA4BE2" w:rsidRDefault="00BA4BE2" w:rsidP="00BA4BE2">
      <w:pPr>
        <w:pStyle w:val="Blanc"/>
        <w:rPr>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20"/>
        <w:gridCol w:w="3686"/>
      </w:tblGrid>
      <w:tr w:rsidR="00BA4BE2" w:rsidTr="00184187">
        <w:tc>
          <w:tcPr>
            <w:tcW w:w="4820" w:type="dxa"/>
          </w:tcPr>
          <w:p w:rsidR="00BA4BE2" w:rsidRDefault="00BA4BE2" w:rsidP="00184187">
            <w:pPr>
              <w:pStyle w:val="TableText0"/>
              <w:framePr w:hSpace="181" w:wrap="notBeside" w:vAnchor="text" w:hAnchor="text" w:xAlign="center" w:y="1"/>
              <w:spacing w:before="60" w:after="60"/>
            </w:pPr>
            <w:r>
              <w:t>Bande de fréquences d'émission (TS vers CS) (MHz)</w:t>
            </w:r>
          </w:p>
        </w:tc>
        <w:tc>
          <w:tcPr>
            <w:tcW w:w="3686" w:type="dxa"/>
          </w:tcPr>
          <w:p w:rsidR="00BA4BE2" w:rsidRDefault="00BA4BE2" w:rsidP="00184187">
            <w:pPr>
              <w:pStyle w:val="TableText0"/>
              <w:framePr w:hSpace="181" w:wrap="notBeside" w:vAnchor="text" w:hAnchor="text" w:xAlign="center" w:y="1"/>
              <w:spacing w:before="60" w:after="60"/>
              <w:jc w:val="center"/>
            </w:pPr>
            <w:r>
              <w:t>3</w:t>
            </w:r>
            <w:r>
              <w:rPr>
                <w:rFonts w:ascii="Tms Rmn" w:hAnsi="Tms Rmn"/>
                <w:sz w:val="12"/>
              </w:rPr>
              <w:t> </w:t>
            </w:r>
            <w:r>
              <w:t>425-3</w:t>
            </w:r>
            <w:r>
              <w:rPr>
                <w:rFonts w:ascii="Tms Rmn" w:hAnsi="Tms Rmn"/>
                <w:sz w:val="12"/>
              </w:rPr>
              <w:t> </w:t>
            </w:r>
            <w:r>
              <w:t>442</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Bande de fréquences de réception (CS vers TS) (MHz)</w:t>
            </w:r>
          </w:p>
        </w:tc>
        <w:tc>
          <w:tcPr>
            <w:tcW w:w="3686" w:type="dxa"/>
          </w:tcPr>
          <w:p w:rsidR="00BA4BE2" w:rsidRDefault="00BA4BE2" w:rsidP="00184187">
            <w:pPr>
              <w:pStyle w:val="TableText0"/>
              <w:framePr w:hSpace="181" w:wrap="notBeside" w:vAnchor="text" w:hAnchor="text" w:xAlign="center" w:y="1"/>
              <w:spacing w:before="60" w:after="60"/>
              <w:jc w:val="center"/>
            </w:pPr>
            <w:r>
              <w:t>3</w:t>
            </w:r>
            <w:r>
              <w:rPr>
                <w:rFonts w:ascii="Tms Rmn" w:hAnsi="Tms Rmn"/>
                <w:sz w:val="12"/>
              </w:rPr>
              <w:t> </w:t>
            </w:r>
            <w:r>
              <w:t>475-3</w:t>
            </w:r>
            <w:r>
              <w:rPr>
                <w:rFonts w:ascii="Tms Rmn" w:hAnsi="Tms Rmn"/>
                <w:sz w:val="12"/>
              </w:rPr>
              <w:t> </w:t>
            </w:r>
            <w:r>
              <w:t>492</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Espacement des canaux (kHz)</w:t>
            </w:r>
          </w:p>
        </w:tc>
        <w:tc>
          <w:tcPr>
            <w:tcW w:w="3686" w:type="dxa"/>
          </w:tcPr>
          <w:p w:rsidR="00BA4BE2" w:rsidRDefault="00BA4BE2" w:rsidP="00184187">
            <w:pPr>
              <w:pStyle w:val="TableText0"/>
              <w:framePr w:hSpace="181" w:wrap="notBeside" w:vAnchor="text" w:hAnchor="text" w:xAlign="center" w:y="1"/>
              <w:spacing w:before="60" w:after="60"/>
              <w:jc w:val="center"/>
            </w:pPr>
            <w:r>
              <w:t>307,2</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Technique d'accès</w:t>
            </w:r>
          </w:p>
        </w:tc>
        <w:tc>
          <w:tcPr>
            <w:tcW w:w="3686" w:type="dxa"/>
          </w:tcPr>
          <w:p w:rsidR="00BA4BE2" w:rsidRDefault="00BA4BE2" w:rsidP="00184187">
            <w:pPr>
              <w:pStyle w:val="TableText0"/>
              <w:framePr w:hSpace="181" w:wrap="notBeside" w:vAnchor="text" w:hAnchor="text" w:xAlign="center" w:y="1"/>
              <w:spacing w:before="60" w:after="60"/>
              <w:jc w:val="center"/>
            </w:pPr>
            <w:r>
              <w:t>AMRT</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Espacement duplex (MHz)</w:t>
            </w:r>
          </w:p>
        </w:tc>
        <w:tc>
          <w:tcPr>
            <w:tcW w:w="3686" w:type="dxa"/>
          </w:tcPr>
          <w:p w:rsidR="00BA4BE2" w:rsidRDefault="00BA4BE2" w:rsidP="00184187">
            <w:pPr>
              <w:pStyle w:val="TableText0"/>
              <w:framePr w:hSpace="181" w:wrap="notBeside" w:vAnchor="text" w:hAnchor="text" w:xAlign="center" w:y="1"/>
              <w:spacing w:before="60" w:after="60"/>
              <w:jc w:val="center"/>
            </w:pPr>
            <w:r>
              <w:t>50 ou 100</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Nombre de canaux de fréquence</w:t>
            </w:r>
          </w:p>
        </w:tc>
        <w:tc>
          <w:tcPr>
            <w:tcW w:w="3686" w:type="dxa"/>
          </w:tcPr>
          <w:p w:rsidR="00BA4BE2" w:rsidRDefault="00BA4BE2" w:rsidP="00184187">
            <w:pPr>
              <w:pStyle w:val="TableText0"/>
              <w:framePr w:hSpace="181" w:wrap="notBeside" w:vAnchor="text" w:hAnchor="text" w:xAlign="center" w:y="1"/>
              <w:spacing w:before="60" w:after="60"/>
              <w:jc w:val="center"/>
            </w:pPr>
            <w:r>
              <w:t>48</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Modulation</w:t>
            </w:r>
          </w:p>
        </w:tc>
        <w:tc>
          <w:tcPr>
            <w:tcW w:w="3686" w:type="dxa"/>
          </w:tcPr>
          <w:p w:rsidR="00BA4BE2" w:rsidRDefault="00BA4BE2" w:rsidP="00184187">
            <w:pPr>
              <w:pStyle w:val="TableText0"/>
              <w:framePr w:hSpace="181" w:wrap="notBeside" w:vAnchor="text" w:hAnchor="text" w:xAlign="center" w:y="1"/>
              <w:spacing w:before="60" w:after="60"/>
              <w:jc w:val="center"/>
            </w:pPr>
            <w:r>
              <w:t xml:space="preserve">MDP-4 différentielle </w:t>
            </w:r>
            <w:r>
              <w:sym w:font="Symbol" w:char="F070"/>
            </w:r>
            <w:r>
              <w:t>/4</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Débit du canal de trafic par intervalle de temps (kbit/s)</w:t>
            </w:r>
          </w:p>
        </w:tc>
        <w:tc>
          <w:tcPr>
            <w:tcW w:w="3686" w:type="dxa"/>
          </w:tcPr>
          <w:p w:rsidR="00BA4BE2" w:rsidRDefault="00BA4BE2" w:rsidP="00184187">
            <w:pPr>
              <w:pStyle w:val="TableText0"/>
              <w:framePr w:hSpace="181" w:wrap="notBeside" w:vAnchor="text" w:hAnchor="text" w:xAlign="center" w:y="1"/>
              <w:spacing w:before="60" w:after="60"/>
              <w:jc w:val="center"/>
            </w:pPr>
            <w:r>
              <w:t>32</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Puissance d'émission de la station centrale</w:t>
            </w:r>
            <w:r>
              <w:rPr>
                <w:position w:val="6"/>
                <w:sz w:val="14"/>
              </w:rPr>
              <w:t>(1)</w:t>
            </w:r>
            <w:r>
              <w:t xml:space="preserve"> (dBm)</w:t>
            </w:r>
          </w:p>
        </w:tc>
        <w:tc>
          <w:tcPr>
            <w:tcW w:w="3686" w:type="dxa"/>
          </w:tcPr>
          <w:p w:rsidR="00BA4BE2" w:rsidRDefault="00BA4BE2" w:rsidP="00184187">
            <w:pPr>
              <w:pStyle w:val="TableText0"/>
              <w:framePr w:hSpace="181" w:wrap="notBeside" w:vAnchor="text" w:hAnchor="text" w:xAlign="center" w:y="1"/>
              <w:spacing w:before="60" w:after="60"/>
              <w:jc w:val="center"/>
            </w:pPr>
            <w:r>
              <w:t>29</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Gain d'antenne de la station centrale (dBi)</w:t>
            </w:r>
          </w:p>
        </w:tc>
        <w:tc>
          <w:tcPr>
            <w:tcW w:w="3686" w:type="dxa"/>
          </w:tcPr>
          <w:p w:rsidR="00BA4BE2" w:rsidRDefault="00BA4BE2" w:rsidP="00184187">
            <w:pPr>
              <w:pStyle w:val="TableText0"/>
              <w:framePr w:hSpace="181" w:wrap="notBeside" w:vAnchor="text" w:hAnchor="text" w:xAlign="center" w:y="1"/>
              <w:spacing w:before="60" w:after="60"/>
              <w:jc w:val="center"/>
            </w:pPr>
            <w:r>
              <w:t>10 (omnidirective), 12 (trisectorielle)</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Sensibilité du récepteur (dBm)</w:t>
            </w:r>
          </w:p>
        </w:tc>
        <w:tc>
          <w:tcPr>
            <w:tcW w:w="3686" w:type="dxa"/>
          </w:tcPr>
          <w:p w:rsidR="00BA4BE2" w:rsidRDefault="00BA4BE2" w:rsidP="00184187">
            <w:pPr>
              <w:pStyle w:val="TableText0"/>
              <w:framePr w:hSpace="181" w:wrap="notBeside" w:vAnchor="text" w:hAnchor="text" w:xAlign="center" w:y="1"/>
              <w:spacing w:before="60" w:after="60"/>
              <w:jc w:val="center"/>
            </w:pPr>
            <w:r>
              <w:t>–102</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Puissance maximale d'émission de la station d'extrémité</w:t>
            </w:r>
            <w:r>
              <w:rPr>
                <w:position w:val="6"/>
                <w:sz w:val="14"/>
              </w:rPr>
              <w:t>(2)</w:t>
            </w:r>
            <w:r>
              <w:t>, (dBm)</w:t>
            </w:r>
          </w:p>
        </w:tc>
        <w:tc>
          <w:tcPr>
            <w:tcW w:w="3686" w:type="dxa"/>
          </w:tcPr>
          <w:p w:rsidR="00BA4BE2" w:rsidRDefault="00BA4BE2" w:rsidP="00184187">
            <w:pPr>
              <w:pStyle w:val="TableText0"/>
              <w:framePr w:hSpace="181" w:wrap="notBeside" w:vAnchor="text" w:hAnchor="text" w:xAlign="center" w:y="1"/>
              <w:spacing w:before="60" w:after="60"/>
              <w:jc w:val="center"/>
            </w:pPr>
            <w:r>
              <w:t>27</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Gain d'antenne de la station d'extrémité (dBi)</w:t>
            </w:r>
          </w:p>
        </w:tc>
        <w:tc>
          <w:tcPr>
            <w:tcW w:w="3686" w:type="dxa"/>
          </w:tcPr>
          <w:p w:rsidR="00BA4BE2" w:rsidRDefault="00BA4BE2" w:rsidP="00184187">
            <w:pPr>
              <w:pStyle w:val="TableText0"/>
              <w:framePr w:hSpace="181" w:wrap="notBeside" w:vAnchor="text" w:hAnchor="text" w:xAlign="center" w:y="1"/>
              <w:spacing w:before="60" w:after="60"/>
              <w:jc w:val="center"/>
            </w:pPr>
            <w:r>
              <w:t>18</w:t>
            </w:r>
          </w:p>
        </w:tc>
      </w:tr>
      <w:tr w:rsidR="00BA4BE2" w:rsidTr="00184187">
        <w:tc>
          <w:tcPr>
            <w:tcW w:w="4820" w:type="dxa"/>
          </w:tcPr>
          <w:p w:rsidR="00BA4BE2" w:rsidRDefault="00BA4BE2" w:rsidP="00184187">
            <w:pPr>
              <w:pStyle w:val="TableText0"/>
              <w:framePr w:hSpace="181" w:wrap="notBeside" w:vAnchor="text" w:hAnchor="text" w:xAlign="center" w:y="1"/>
              <w:spacing w:before="60" w:after="60"/>
            </w:pPr>
            <w:r>
              <w:t>Affaiblissement dans la ligne d'alimentation de la station d'extrémité (dB)</w:t>
            </w:r>
          </w:p>
        </w:tc>
        <w:tc>
          <w:tcPr>
            <w:tcW w:w="3686" w:type="dxa"/>
          </w:tcPr>
          <w:p w:rsidR="00BA4BE2" w:rsidRDefault="00BA4BE2" w:rsidP="00184187">
            <w:pPr>
              <w:pStyle w:val="TableText0"/>
              <w:framePr w:hSpace="181" w:wrap="notBeside" w:vAnchor="text" w:hAnchor="text" w:xAlign="center" w:y="1"/>
              <w:spacing w:before="60" w:after="60"/>
              <w:jc w:val="center"/>
            </w:pPr>
            <w:r>
              <w:t>0</w:t>
            </w:r>
          </w:p>
        </w:tc>
      </w:tr>
      <w:tr w:rsidR="00BA4BE2" w:rsidTr="00184187">
        <w:tc>
          <w:tcPr>
            <w:tcW w:w="4820" w:type="dxa"/>
            <w:tcBorders>
              <w:bottom w:val="single" w:sz="6" w:space="0" w:color="auto"/>
            </w:tcBorders>
          </w:tcPr>
          <w:p w:rsidR="00BA4BE2" w:rsidRDefault="00BA4BE2" w:rsidP="00184187">
            <w:pPr>
              <w:pStyle w:val="TableText0"/>
              <w:framePr w:hSpace="181" w:wrap="notBeside" w:vAnchor="text" w:hAnchor="text" w:xAlign="center" w:y="1"/>
              <w:spacing w:before="60" w:after="60"/>
            </w:pPr>
            <w:r>
              <w:t>Hauteur de la station d'extrémité (m)</w:t>
            </w:r>
          </w:p>
        </w:tc>
        <w:tc>
          <w:tcPr>
            <w:tcW w:w="3686" w:type="dxa"/>
            <w:tcBorders>
              <w:bottom w:val="single" w:sz="6" w:space="0" w:color="auto"/>
            </w:tcBorders>
          </w:tcPr>
          <w:p w:rsidR="00BA4BE2" w:rsidRDefault="00BA4BE2" w:rsidP="00184187">
            <w:pPr>
              <w:pStyle w:val="TableText0"/>
              <w:framePr w:hSpace="181" w:wrap="notBeside" w:vAnchor="text" w:hAnchor="text" w:xAlign="center" w:y="1"/>
              <w:spacing w:before="60" w:after="60"/>
              <w:jc w:val="center"/>
            </w:pPr>
            <w:r>
              <w:t>10</w:t>
            </w:r>
          </w:p>
        </w:tc>
      </w:tr>
      <w:tr w:rsidR="00BA4BE2" w:rsidTr="00184187">
        <w:trPr>
          <w:cantSplit/>
        </w:trPr>
        <w:tc>
          <w:tcPr>
            <w:tcW w:w="8505" w:type="dxa"/>
            <w:gridSpan w:val="2"/>
            <w:tcBorders>
              <w:left w:val="nil"/>
              <w:bottom w:val="nil"/>
              <w:right w:val="nil"/>
            </w:tcBorders>
          </w:tcPr>
          <w:p w:rsidR="00BA4BE2" w:rsidRDefault="00BA4BE2" w:rsidP="00184187">
            <w:pPr>
              <w:pStyle w:val="TableLegend0"/>
              <w:framePr w:hSpace="181" w:wrap="notBeside" w:vAnchor="text" w:hAnchor="text" w:xAlign="center" w:y="1"/>
              <w:tabs>
                <w:tab w:val="clear" w:pos="794"/>
                <w:tab w:val="clear" w:pos="1191"/>
                <w:tab w:val="clear" w:pos="1588"/>
                <w:tab w:val="clear" w:pos="1985"/>
                <w:tab w:val="left" w:pos="284"/>
              </w:tabs>
            </w:pPr>
            <w:r>
              <w:rPr>
                <w:position w:val="6"/>
                <w:sz w:val="14"/>
              </w:rPr>
              <w:t>(1)</w:t>
            </w:r>
            <w:r>
              <w:tab/>
              <w:t>Station centrale</w:t>
            </w:r>
            <w:proofErr w:type="gramStart"/>
            <w:r>
              <w:t>:  station</w:t>
            </w:r>
            <w:proofErr w:type="gramEnd"/>
            <w:r>
              <w:t xml:space="preserve"> centrale de base AHF point à multipoint.</w:t>
            </w:r>
          </w:p>
          <w:p w:rsidR="00BA4BE2" w:rsidRDefault="00BA4BE2" w:rsidP="00184187">
            <w:pPr>
              <w:pStyle w:val="TableLegend0"/>
              <w:framePr w:hSpace="181" w:wrap="notBeside" w:vAnchor="text" w:hAnchor="text" w:xAlign="center" w:y="1"/>
              <w:tabs>
                <w:tab w:val="clear" w:pos="794"/>
                <w:tab w:val="clear" w:pos="1191"/>
                <w:tab w:val="clear" w:pos="1588"/>
                <w:tab w:val="clear" w:pos="1985"/>
                <w:tab w:val="left" w:pos="284"/>
              </w:tabs>
            </w:pPr>
            <w:r>
              <w:rPr>
                <w:position w:val="6"/>
                <w:sz w:val="14"/>
              </w:rPr>
              <w:t>(2)</w:t>
            </w:r>
            <w:r>
              <w:tab/>
              <w:t>Station d'extrémité</w:t>
            </w:r>
            <w:proofErr w:type="gramStart"/>
            <w:r>
              <w:t>:  station</w:t>
            </w:r>
            <w:proofErr w:type="gramEnd"/>
            <w:r>
              <w:t xml:space="preserve"> d'extrémité d'abonné ou distante.</w:t>
            </w:r>
          </w:p>
        </w:tc>
      </w:tr>
    </w:tbl>
    <w:p w:rsidR="00BA4BE2" w:rsidRDefault="00BA4BE2" w:rsidP="00BA4BE2">
      <w:pPr>
        <w:pStyle w:val="Table"/>
      </w:pPr>
      <w:r>
        <w:t>TABLEAU  2</w:t>
      </w:r>
    </w:p>
    <w:p w:rsidR="00BA4BE2" w:rsidRDefault="00BA4BE2" w:rsidP="00BA4BE2">
      <w:pPr>
        <w:pStyle w:val="TableTitle0"/>
      </w:pPr>
      <w:r>
        <w:t>Caractéristiques types des systèmes VSAT</w:t>
      </w:r>
    </w:p>
    <w:p w:rsidR="00BA4BE2" w:rsidRPr="00BA4BE2" w:rsidRDefault="00BA4BE2" w:rsidP="00BA4BE2">
      <w:pPr>
        <w:pStyle w:val="Blanc"/>
        <w:rPr>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835"/>
      </w:tblGrid>
      <w:tr w:rsidR="00BA4BE2" w:rsidTr="00184187">
        <w:tc>
          <w:tcPr>
            <w:tcW w:w="3402" w:type="dxa"/>
          </w:tcPr>
          <w:p w:rsidR="00BA4BE2" w:rsidRDefault="00BA4BE2" w:rsidP="00184187">
            <w:pPr>
              <w:pStyle w:val="TableText0"/>
              <w:framePr w:hSpace="181" w:wrap="notBeside" w:vAnchor="text" w:hAnchor="text" w:xAlign="center" w:y="1"/>
              <w:spacing w:before="60" w:after="60"/>
            </w:pPr>
            <w:r>
              <w:t>Bande de fréquences (GHz)</w:t>
            </w:r>
          </w:p>
        </w:tc>
        <w:tc>
          <w:tcPr>
            <w:tcW w:w="2835" w:type="dxa"/>
          </w:tcPr>
          <w:p w:rsidR="00BA4BE2" w:rsidRDefault="00BA4BE2" w:rsidP="00184187">
            <w:pPr>
              <w:pStyle w:val="TableText0"/>
              <w:framePr w:hSpace="181" w:wrap="notBeside" w:vAnchor="text" w:hAnchor="text" w:xAlign="center" w:y="1"/>
              <w:spacing w:before="60" w:after="60"/>
              <w:jc w:val="center"/>
              <w:rPr>
                <w:lang w:val="en-US"/>
              </w:rPr>
            </w:pPr>
            <w:r>
              <w:rPr>
                <w:lang w:val="en-US"/>
              </w:rPr>
              <w:t>3,4-3,7</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rPr>
                <w:lang w:val="en-US"/>
              </w:rPr>
            </w:pPr>
            <w:r>
              <w:rPr>
                <w:lang w:val="en-US"/>
              </w:rPr>
              <w:t>Débit (kbit/s)</w:t>
            </w:r>
          </w:p>
        </w:tc>
        <w:tc>
          <w:tcPr>
            <w:tcW w:w="2835" w:type="dxa"/>
          </w:tcPr>
          <w:p w:rsidR="00BA4BE2" w:rsidRDefault="00BA4BE2" w:rsidP="00184187">
            <w:pPr>
              <w:pStyle w:val="TableText0"/>
              <w:framePr w:hSpace="181" w:wrap="notBeside" w:vAnchor="text" w:hAnchor="text" w:xAlign="center" w:y="1"/>
              <w:spacing w:before="60" w:after="60"/>
              <w:jc w:val="center"/>
            </w:pPr>
            <w:r>
              <w:t>64</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 xml:space="preserve">Modulation </w:t>
            </w:r>
          </w:p>
        </w:tc>
        <w:tc>
          <w:tcPr>
            <w:tcW w:w="2835" w:type="dxa"/>
          </w:tcPr>
          <w:p w:rsidR="00BA4BE2" w:rsidRDefault="00BA4BE2" w:rsidP="00184187">
            <w:pPr>
              <w:pStyle w:val="TableText0"/>
              <w:framePr w:hSpace="181" w:wrap="notBeside" w:vAnchor="text" w:hAnchor="text" w:xAlign="center" w:y="1"/>
              <w:spacing w:before="60" w:after="60"/>
              <w:jc w:val="center"/>
            </w:pPr>
            <w:r>
              <w:t>MDP-2</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Débit CED</w:t>
            </w:r>
          </w:p>
        </w:tc>
        <w:tc>
          <w:tcPr>
            <w:tcW w:w="2835" w:type="dxa"/>
          </w:tcPr>
          <w:p w:rsidR="00BA4BE2" w:rsidRDefault="00BA4BE2" w:rsidP="00184187">
            <w:pPr>
              <w:pStyle w:val="TableText0"/>
              <w:framePr w:hSpace="181" w:wrap="notBeside" w:vAnchor="text" w:hAnchor="text" w:xAlign="center" w:y="1"/>
              <w:spacing w:before="60" w:after="60"/>
              <w:jc w:val="center"/>
            </w:pPr>
            <w:r>
              <w:t>1/2</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Largeur de bande du canal (kHz)</w:t>
            </w:r>
          </w:p>
        </w:tc>
        <w:tc>
          <w:tcPr>
            <w:tcW w:w="2835" w:type="dxa"/>
          </w:tcPr>
          <w:p w:rsidR="00BA4BE2" w:rsidRDefault="00BA4BE2" w:rsidP="00184187">
            <w:pPr>
              <w:pStyle w:val="TableText0"/>
              <w:framePr w:hSpace="181" w:wrap="notBeside" w:vAnchor="text" w:hAnchor="text" w:xAlign="center" w:y="1"/>
              <w:spacing w:before="60" w:after="60"/>
              <w:jc w:val="center"/>
            </w:pPr>
            <w:r>
              <w:t>153,6</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Diamètre d'antenne (m)</w:t>
            </w:r>
          </w:p>
        </w:tc>
        <w:tc>
          <w:tcPr>
            <w:tcW w:w="2835" w:type="dxa"/>
          </w:tcPr>
          <w:p w:rsidR="00BA4BE2" w:rsidRDefault="00BA4BE2" w:rsidP="00184187">
            <w:pPr>
              <w:pStyle w:val="TableText0"/>
              <w:framePr w:hSpace="181" w:wrap="notBeside" w:vAnchor="text" w:hAnchor="text" w:xAlign="center" w:y="1"/>
              <w:spacing w:before="60" w:after="60"/>
              <w:jc w:val="center"/>
            </w:pPr>
            <w:r>
              <w:t>1,8/2,4</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Gain d'antenne (dBi)</w:t>
            </w:r>
          </w:p>
        </w:tc>
        <w:tc>
          <w:tcPr>
            <w:tcW w:w="2835" w:type="dxa"/>
          </w:tcPr>
          <w:p w:rsidR="00BA4BE2" w:rsidRDefault="00BA4BE2" w:rsidP="00184187">
            <w:pPr>
              <w:pStyle w:val="TableText0"/>
              <w:framePr w:hSpace="181" w:wrap="notBeside" w:vAnchor="text" w:hAnchor="text" w:xAlign="center" w:y="1"/>
              <w:spacing w:before="60" w:after="60"/>
              <w:jc w:val="center"/>
            </w:pPr>
            <w:r>
              <w:t>35,7/38,2</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Température de bruit (K)</w:t>
            </w:r>
          </w:p>
        </w:tc>
        <w:tc>
          <w:tcPr>
            <w:tcW w:w="2835" w:type="dxa"/>
          </w:tcPr>
          <w:p w:rsidR="00BA4BE2" w:rsidRDefault="00BA4BE2" w:rsidP="00184187">
            <w:pPr>
              <w:pStyle w:val="TableText0"/>
              <w:framePr w:hSpace="181" w:wrap="notBeside" w:vAnchor="text" w:hAnchor="text" w:xAlign="center" w:y="1"/>
              <w:spacing w:before="60" w:after="60"/>
              <w:jc w:val="center"/>
            </w:pPr>
            <w:r>
              <w:t>114,8</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p.i.r.e. d'émission (max.) (dBW)</w:t>
            </w:r>
          </w:p>
        </w:tc>
        <w:tc>
          <w:tcPr>
            <w:tcW w:w="2835" w:type="dxa"/>
          </w:tcPr>
          <w:p w:rsidR="00BA4BE2" w:rsidRDefault="00BA4BE2" w:rsidP="00184187">
            <w:pPr>
              <w:pStyle w:val="TableText0"/>
              <w:framePr w:hSpace="181" w:wrap="notBeside" w:vAnchor="text" w:hAnchor="text" w:xAlign="center" w:y="1"/>
              <w:spacing w:before="60" w:after="60"/>
              <w:jc w:val="center"/>
            </w:pPr>
            <w:r>
              <w:t>38</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Sensibilité du récepteur (dBm)</w:t>
            </w:r>
          </w:p>
        </w:tc>
        <w:tc>
          <w:tcPr>
            <w:tcW w:w="2835" w:type="dxa"/>
          </w:tcPr>
          <w:p w:rsidR="00BA4BE2" w:rsidRDefault="00BA4BE2" w:rsidP="00184187">
            <w:pPr>
              <w:pStyle w:val="TableText0"/>
              <w:framePr w:hSpace="181" w:wrap="notBeside" w:vAnchor="text" w:hAnchor="text" w:xAlign="center" w:y="1"/>
              <w:spacing w:before="60" w:after="60"/>
              <w:jc w:val="center"/>
            </w:pPr>
            <w:r>
              <w:t>–126,1</w:t>
            </w:r>
          </w:p>
        </w:tc>
      </w:tr>
      <w:tr w:rsidR="00BA4BE2" w:rsidTr="00184187">
        <w:tc>
          <w:tcPr>
            <w:tcW w:w="3402" w:type="dxa"/>
          </w:tcPr>
          <w:p w:rsidR="00BA4BE2" w:rsidRDefault="00BA4BE2" w:rsidP="00184187">
            <w:pPr>
              <w:pStyle w:val="TableText0"/>
              <w:framePr w:hSpace="181" w:wrap="notBeside" w:vAnchor="text" w:hAnchor="text" w:xAlign="center" w:y="1"/>
              <w:spacing w:before="60" w:after="60"/>
            </w:pPr>
            <w:r>
              <w:t>Hauteur de la station VSAT (m)</w:t>
            </w:r>
          </w:p>
        </w:tc>
        <w:tc>
          <w:tcPr>
            <w:tcW w:w="2835" w:type="dxa"/>
          </w:tcPr>
          <w:p w:rsidR="00BA4BE2" w:rsidRDefault="00BA4BE2" w:rsidP="00184187">
            <w:pPr>
              <w:pStyle w:val="TableText0"/>
              <w:framePr w:hSpace="181" w:wrap="notBeside" w:vAnchor="text" w:hAnchor="text" w:xAlign="center" w:y="1"/>
              <w:spacing w:before="60" w:after="60"/>
              <w:jc w:val="center"/>
            </w:pPr>
            <w:r>
              <w:t>10</w:t>
            </w:r>
          </w:p>
        </w:tc>
      </w:tr>
    </w:tbl>
    <w:p w:rsidR="00BA4BE2" w:rsidRDefault="00BA4BE2" w:rsidP="00CA2FD1">
      <w:pPr>
        <w:pStyle w:val="Normalaftertitle"/>
      </w:pPr>
      <w:r>
        <w:t xml:space="preserve">Le niveau de brouillage dépend de la puissance d'émission de la station d'extrémité AHF, du gain d'antenne, de la hauteur de l'antenne et de la direction de son faisceau principal. Le brouillage de la station d'extrémité AHF peut être déterminé au moyen d'une fonction de la distance de séparation, </w:t>
      </w:r>
      <w:r>
        <w:rPr>
          <w:i/>
          <w:iCs/>
        </w:rPr>
        <w:t>d</w:t>
      </w:r>
      <w:r>
        <w:t>, et des angles hors axe de la station VSAT (</w:t>
      </w:r>
      <w:r w:rsidR="00CA2FD1" w:rsidRPr="00CA2FD1">
        <w:sym w:font="Symbol" w:char="F06A"/>
      </w:r>
      <w:r>
        <w:t>) et de la station d'extrémité AHF (</w:t>
      </w:r>
      <w:r w:rsidR="00CA2FD1" w:rsidRPr="00CA2FD1">
        <w:sym w:font="Symbol" w:char="F061"/>
      </w:r>
      <w:r>
        <w:t>) pour différentes hypothèses relatives aux techniques de modulation numérique utilisées dans les systèmes VSAT et AHF, à l'enveloppe des lobes latéraux, au niveau de puissance de la porteuse de la station d'extrémité AHF, à la différence entre fréquences centrales des porteuses, au rapport de protection requis et à l'effet d'écran exploité lors de l'installation des stations VSAT.</w:t>
      </w:r>
    </w:p>
    <w:p w:rsidR="00BA4BE2" w:rsidRDefault="00BA4BE2" w:rsidP="00BA4BE2">
      <w:r>
        <w:lastRenderedPageBreak/>
        <w:t xml:space="preserve">La puissance de brouillage totale, </w:t>
      </w:r>
      <w:r>
        <w:rPr>
          <w:i/>
          <w:iCs/>
        </w:rPr>
        <w:t>I</w:t>
      </w:r>
      <w:r>
        <w:t>, produite par la station d'extrémité AHF au niveau de l'antenne VSAT, est donnée par la formule:</w:t>
      </w:r>
    </w:p>
    <w:p w:rsidR="00BA4BE2" w:rsidRPr="00CA2FD1" w:rsidRDefault="00BA4BE2" w:rsidP="00CA2FD1">
      <w:pPr>
        <w:pStyle w:val="Equation"/>
        <w:rPr>
          <w:lang w:val="en-US"/>
        </w:rPr>
      </w:pPr>
      <w:r>
        <w:tab/>
      </w:r>
      <w:r>
        <w:tab/>
      </w:r>
      <w:r w:rsidRPr="00CA2FD1">
        <w:rPr>
          <w:i/>
          <w:iCs/>
          <w:lang w:val="en-US"/>
        </w:rPr>
        <w:t>I</w:t>
      </w:r>
      <w:r w:rsidRPr="00CA2FD1">
        <w:rPr>
          <w:lang w:val="en-US"/>
        </w:rPr>
        <w:t xml:space="preserve">  </w:t>
      </w:r>
      <w:r w:rsidR="00CA2FD1" w:rsidRPr="00CA2FD1">
        <w:rPr>
          <w:lang w:val="en-US"/>
        </w:rPr>
        <w:t>=</w:t>
      </w:r>
      <w:r w:rsidRPr="00CA2FD1">
        <w:rPr>
          <w:lang w:val="en-US"/>
        </w:rPr>
        <w:t xml:space="preserve">  </w:t>
      </w:r>
      <w:r w:rsidRPr="00CA2FD1">
        <w:rPr>
          <w:i/>
          <w:iCs/>
          <w:lang w:val="en-US"/>
        </w:rPr>
        <w:t>p.i.r.e</w:t>
      </w:r>
      <w:r w:rsidRPr="00CA2FD1">
        <w:rPr>
          <w:lang w:val="en-US"/>
        </w:rPr>
        <w:t>.</w:t>
      </w:r>
      <w:r w:rsidRPr="00CA2FD1">
        <w:rPr>
          <w:i/>
          <w:iCs/>
          <w:position w:val="-4"/>
          <w:sz w:val="18"/>
          <w:lang w:val="en-US"/>
        </w:rPr>
        <w:t>AHF</w:t>
      </w:r>
      <w:r w:rsidRPr="00CA2FD1">
        <w:rPr>
          <w:lang w:val="en-US"/>
        </w:rPr>
        <w:t>(</w:t>
      </w:r>
      <w:r w:rsidR="00CA2FD1" w:rsidRPr="00CA2FD1">
        <w:sym w:font="Symbol" w:char="F061"/>
      </w:r>
      <w:r w:rsidRPr="00CA2FD1">
        <w:rPr>
          <w:lang w:val="en-US"/>
        </w:rPr>
        <w:t xml:space="preserve">)  –  </w:t>
      </w:r>
      <w:r w:rsidRPr="00CA2FD1">
        <w:rPr>
          <w:i/>
          <w:iCs/>
          <w:lang w:val="en-US"/>
        </w:rPr>
        <w:t>L</w:t>
      </w:r>
      <w:r w:rsidRPr="00CA2FD1">
        <w:rPr>
          <w:i/>
          <w:iCs/>
          <w:position w:val="-4"/>
          <w:sz w:val="18"/>
          <w:lang w:val="en-US"/>
        </w:rPr>
        <w:t>AHF</w:t>
      </w:r>
      <w:r w:rsidRPr="00CA2FD1">
        <w:rPr>
          <w:lang w:val="en-US"/>
        </w:rPr>
        <w:t>(</w:t>
      </w:r>
      <w:r w:rsidRPr="00CA2FD1">
        <w:rPr>
          <w:i/>
          <w:iCs/>
          <w:lang w:val="en-US"/>
        </w:rPr>
        <w:t>d</w:t>
      </w:r>
      <w:r w:rsidRPr="00CA2FD1">
        <w:rPr>
          <w:rFonts w:ascii="Tms Rmn" w:hAnsi="Tms Rmn"/>
          <w:sz w:val="10"/>
          <w:lang w:val="en-US"/>
        </w:rPr>
        <w:t> </w:t>
      </w:r>
      <w:r w:rsidRPr="00CA2FD1">
        <w:rPr>
          <w:lang w:val="en-US"/>
        </w:rPr>
        <w:t xml:space="preserve">)  </w:t>
      </w:r>
      <w:r w:rsidR="00CA2FD1" w:rsidRPr="00CA2FD1">
        <w:rPr>
          <w:lang w:val="en-US"/>
        </w:rPr>
        <w:t>+</w:t>
      </w:r>
      <w:r w:rsidRPr="00CA2FD1">
        <w:rPr>
          <w:lang w:val="en-US"/>
        </w:rPr>
        <w:t xml:space="preserve">  </w:t>
      </w:r>
      <w:r w:rsidRPr="00CA2FD1">
        <w:rPr>
          <w:i/>
          <w:iCs/>
          <w:lang w:val="en-US"/>
        </w:rPr>
        <w:t>G</w:t>
      </w:r>
      <w:r w:rsidRPr="00CA2FD1">
        <w:rPr>
          <w:i/>
          <w:iCs/>
          <w:position w:val="-4"/>
          <w:sz w:val="18"/>
          <w:lang w:val="en-US"/>
        </w:rPr>
        <w:t>VS</w:t>
      </w:r>
      <w:r w:rsidRPr="00CA2FD1">
        <w:rPr>
          <w:lang w:val="en-US"/>
        </w:rPr>
        <w:t>(</w:t>
      </w:r>
      <w:r w:rsidR="00CA2FD1" w:rsidRPr="00CA2FD1">
        <w:sym w:font="Symbol" w:char="F06A"/>
      </w:r>
      <w:r w:rsidRPr="00CA2FD1">
        <w:rPr>
          <w:lang w:val="en-US"/>
        </w:rPr>
        <w:t xml:space="preserve">)  –  </w:t>
      </w:r>
      <w:r w:rsidRPr="00CA2FD1">
        <w:rPr>
          <w:i/>
          <w:iCs/>
          <w:lang w:val="en-US"/>
        </w:rPr>
        <w:t>R</w:t>
      </w:r>
      <w:r w:rsidRPr="00CA2FD1">
        <w:rPr>
          <w:lang w:val="en-US"/>
        </w:rPr>
        <w:t xml:space="preserve">  –  </w:t>
      </w:r>
      <w:r w:rsidRPr="00CA2FD1">
        <w:rPr>
          <w:i/>
          <w:iCs/>
          <w:lang w:val="en-US"/>
        </w:rPr>
        <w:t>F</w:t>
      </w:r>
      <w:r w:rsidRPr="00CA2FD1">
        <w:rPr>
          <w:lang w:val="en-US"/>
        </w:rPr>
        <w:tab/>
        <w:t>(1)</w:t>
      </w:r>
    </w:p>
    <w:p w:rsidR="00BA4BE2" w:rsidRDefault="00BA4BE2" w:rsidP="0043655C">
      <w:proofErr w:type="gramStart"/>
      <w:r>
        <w:t>où</w:t>
      </w:r>
      <w:proofErr w:type="gramEnd"/>
      <w:r>
        <w:t>:</w:t>
      </w:r>
    </w:p>
    <w:p w:rsidR="00BA4BE2" w:rsidRPr="00BA4BE2" w:rsidRDefault="00BA4BE2" w:rsidP="00CA2FD1">
      <w:pPr>
        <w:pStyle w:val="enumlev1"/>
        <w:rPr>
          <w:lang w:val="fr-CH"/>
        </w:rPr>
      </w:pPr>
      <w:r w:rsidRPr="00BA4BE2">
        <w:rPr>
          <w:lang w:val="fr-CH"/>
        </w:rPr>
        <w:t>a)</w:t>
      </w:r>
      <w:r w:rsidRPr="00BA4BE2">
        <w:rPr>
          <w:lang w:val="fr-CH"/>
        </w:rPr>
        <w:tab/>
      </w:r>
      <w:proofErr w:type="gramStart"/>
      <w:r w:rsidRPr="00BA4BE2">
        <w:rPr>
          <w:i/>
          <w:iCs/>
          <w:lang w:val="fr-CH"/>
        </w:rPr>
        <w:t>p.i.r.e.</w:t>
      </w:r>
      <w:r w:rsidRPr="00BA4BE2">
        <w:rPr>
          <w:i/>
          <w:iCs/>
          <w:position w:val="-4"/>
          <w:sz w:val="16"/>
          <w:lang w:val="fr-CH"/>
        </w:rPr>
        <w:t>AHF</w:t>
      </w:r>
      <w:r w:rsidRPr="00BA4BE2">
        <w:rPr>
          <w:lang w:val="fr-CH"/>
        </w:rPr>
        <w:t>(</w:t>
      </w:r>
      <w:proofErr w:type="gramEnd"/>
      <w:r w:rsidR="00CA2FD1" w:rsidRPr="00CA2FD1">
        <w:sym w:font="Symbol" w:char="F061"/>
      </w:r>
      <w:r w:rsidRPr="00BA4BE2">
        <w:rPr>
          <w:lang w:val="fr-CH"/>
        </w:rPr>
        <w:t>):</w:t>
      </w:r>
      <w:r w:rsidRPr="00BA4BE2">
        <w:rPr>
          <w:lang w:val="fr-CH"/>
        </w:rPr>
        <w:tab/>
      </w:r>
      <w:r>
        <w:t>p.i.r.e. hors axe de l'émetteur de la station d'extrémité AHF (dBW)</w:t>
      </w:r>
    </w:p>
    <w:p w:rsidR="00BA4BE2" w:rsidRDefault="00BA4BE2" w:rsidP="00CA2FD1">
      <w:pPr>
        <w:pStyle w:val="enumlev2"/>
        <w:tabs>
          <w:tab w:val="left" w:pos="1503"/>
          <w:tab w:val="left" w:pos="1701"/>
          <w:tab w:val="left" w:pos="5670"/>
          <w:tab w:val="left" w:pos="7088"/>
          <w:tab w:val="left" w:pos="7371"/>
          <w:tab w:val="left" w:pos="7655"/>
        </w:tabs>
        <w:ind w:left="1701" w:hanging="1304"/>
      </w:pPr>
      <w:r>
        <w:tab/>
      </w:r>
      <w:r>
        <w:tab/>
      </w:r>
      <w:r w:rsidR="00CA2FD1" w:rsidRPr="00CA2FD1">
        <w:t>=</w:t>
      </w:r>
      <w:r>
        <w:tab/>
      </w:r>
      <w:r>
        <w:rPr>
          <w:i/>
          <w:iCs/>
        </w:rPr>
        <w:t>P</w:t>
      </w:r>
      <w:r>
        <w:t xml:space="preserve"> </w:t>
      </w:r>
      <w:r w:rsidR="00CA2FD1" w:rsidRPr="00CA2FD1">
        <w:t>+</w:t>
      </w:r>
      <w:r>
        <w:t xml:space="preserve"> </w:t>
      </w:r>
      <w:r>
        <w:rPr>
          <w:i/>
          <w:iCs/>
        </w:rPr>
        <w:t>G</w:t>
      </w:r>
      <w:r>
        <w:rPr>
          <w:i/>
          <w:iCs/>
          <w:position w:val="-4"/>
          <w:sz w:val="16"/>
        </w:rPr>
        <w:t>max</w:t>
      </w:r>
      <w:r>
        <w:t xml:space="preserve"> – 2.5 </w:t>
      </w:r>
      <w:r w:rsidR="00CA2FD1" w:rsidRPr="00CA2FD1">
        <w:sym w:font="Symbol" w:char="F0B4"/>
      </w:r>
      <w:r>
        <w:t xml:space="preserve"> 10</w:t>
      </w:r>
      <w:r>
        <w:rPr>
          <w:position w:val="6"/>
          <w:sz w:val="16"/>
        </w:rPr>
        <w:t>–3</w:t>
      </w:r>
      <w:r>
        <w:t xml:space="preserve"> (</w:t>
      </w:r>
      <w:r>
        <w:rPr>
          <w:i/>
          <w:iCs/>
        </w:rPr>
        <w:t>D</w:t>
      </w:r>
      <w:r>
        <w:t xml:space="preserve"> </w:t>
      </w:r>
      <w:r w:rsidR="00CA2FD1" w:rsidRPr="00CA2FD1">
        <w:sym w:font="Symbol" w:char="F061"/>
      </w:r>
      <w:r>
        <w:t>/</w:t>
      </w:r>
      <w:r w:rsidR="00CA2FD1" w:rsidRPr="00CA2FD1">
        <w:sym w:font="Symbol" w:char="F06C"/>
      </w:r>
      <w:proofErr w:type="gramStart"/>
      <w:r>
        <w:t>)</w:t>
      </w:r>
      <w:r>
        <w:rPr>
          <w:position w:val="6"/>
          <w:sz w:val="16"/>
        </w:rPr>
        <w:t>2</w:t>
      </w:r>
      <w:proofErr w:type="gramEnd"/>
      <w:r>
        <w:tab/>
        <w:t>pour  0</w:t>
      </w:r>
      <w:r w:rsidR="00CA2FD1" w:rsidRPr="00CA2FD1">
        <w:t>°</w:t>
      </w:r>
      <w:r w:rsidRPr="00CA2FD1">
        <w:tab/>
      </w:r>
      <w:r w:rsidR="00CA2FD1" w:rsidRPr="00CA2FD1">
        <w:t>&lt;</w:t>
      </w:r>
      <w:r>
        <w:tab/>
      </w:r>
      <w:r w:rsidR="00CA2FD1" w:rsidRPr="00CA2FD1">
        <w:sym w:font="Symbol" w:char="F061"/>
      </w:r>
      <w:r>
        <w:tab/>
        <w:t>&lt;  </w:t>
      </w:r>
      <w:r w:rsidR="00CA2FD1" w:rsidRPr="00CA2FD1">
        <w:sym w:font="Symbol" w:char="F061"/>
      </w:r>
      <w:r>
        <w:rPr>
          <w:i/>
          <w:iCs/>
          <w:position w:val="-4"/>
          <w:sz w:val="16"/>
        </w:rPr>
        <w:t>m</w:t>
      </w:r>
    </w:p>
    <w:p w:rsidR="00BA4BE2" w:rsidRDefault="00BA4BE2" w:rsidP="00CA2FD1">
      <w:pPr>
        <w:pStyle w:val="enumlev2"/>
        <w:tabs>
          <w:tab w:val="left" w:pos="1503"/>
          <w:tab w:val="left" w:pos="1701"/>
          <w:tab w:val="left" w:pos="5670"/>
          <w:tab w:val="left" w:pos="7088"/>
          <w:tab w:val="left" w:pos="7371"/>
          <w:tab w:val="left" w:pos="7655"/>
        </w:tabs>
        <w:ind w:left="1701" w:hanging="1304"/>
      </w:pPr>
      <w:r>
        <w:tab/>
      </w:r>
      <w:r>
        <w:tab/>
      </w:r>
      <w:r w:rsidR="00CA2FD1" w:rsidRPr="00CA2FD1">
        <w:t>=</w:t>
      </w:r>
      <w:r>
        <w:tab/>
      </w:r>
      <w:r>
        <w:rPr>
          <w:i/>
          <w:iCs/>
        </w:rPr>
        <w:t>P</w:t>
      </w:r>
      <w:r>
        <w:t xml:space="preserve"> </w:t>
      </w:r>
      <w:r w:rsidR="00CA2FD1" w:rsidRPr="00CA2FD1">
        <w:t>+</w:t>
      </w:r>
      <w:r>
        <w:t xml:space="preserve"> </w:t>
      </w:r>
      <w:r>
        <w:rPr>
          <w:i/>
          <w:iCs/>
        </w:rPr>
        <w:t>G</w:t>
      </w:r>
      <w:r>
        <w:rPr>
          <w:position w:val="-4"/>
          <w:sz w:val="16"/>
        </w:rPr>
        <w:t>1</w:t>
      </w:r>
      <w:r>
        <w:tab/>
        <w:t xml:space="preserve">pour  </w:t>
      </w:r>
      <w:r w:rsidR="00CA2FD1" w:rsidRPr="00CA2FD1">
        <w:sym w:font="Symbol" w:char="F061"/>
      </w:r>
      <w:r>
        <w:rPr>
          <w:i/>
          <w:iCs/>
          <w:position w:val="-4"/>
          <w:sz w:val="16"/>
        </w:rPr>
        <w:t>m</w:t>
      </w:r>
      <w:r>
        <w:tab/>
      </w:r>
      <w:r w:rsidR="00CA2FD1" w:rsidRPr="00CA2FD1">
        <w:sym w:font="Symbol" w:char="F0A3"/>
      </w:r>
      <w:r>
        <w:tab/>
      </w:r>
      <w:r w:rsidR="00CA2FD1" w:rsidRPr="00CA2FD1">
        <w:sym w:font="Symbol" w:char="F061"/>
      </w:r>
      <w:r>
        <w:tab/>
        <w:t xml:space="preserve">&lt;  100 </w:t>
      </w:r>
      <w:r>
        <w:sym w:font="Symbol" w:char="006C"/>
      </w:r>
      <w:r>
        <w:t>/</w:t>
      </w:r>
      <w:r>
        <w:rPr>
          <w:i/>
          <w:iCs/>
        </w:rPr>
        <w:t>D</w:t>
      </w:r>
    </w:p>
    <w:p w:rsidR="00BA4BE2" w:rsidRDefault="00BA4BE2" w:rsidP="00CA2FD1">
      <w:pPr>
        <w:pStyle w:val="enumlev2"/>
        <w:tabs>
          <w:tab w:val="left" w:pos="1503"/>
          <w:tab w:val="left" w:pos="1701"/>
          <w:tab w:val="left" w:pos="5670"/>
          <w:tab w:val="left" w:pos="7088"/>
          <w:tab w:val="left" w:pos="7371"/>
          <w:tab w:val="left" w:pos="7655"/>
        </w:tabs>
        <w:ind w:left="1701" w:hanging="1304"/>
      </w:pPr>
      <w:r>
        <w:tab/>
      </w:r>
      <w:r>
        <w:tab/>
      </w:r>
      <w:r w:rsidR="00CA2FD1" w:rsidRPr="00CA2FD1">
        <w:t>=</w:t>
      </w:r>
      <w:r>
        <w:tab/>
      </w:r>
      <w:r>
        <w:rPr>
          <w:i/>
          <w:iCs/>
        </w:rPr>
        <w:t>P</w:t>
      </w:r>
      <w:r>
        <w:t xml:space="preserve"> </w:t>
      </w:r>
      <w:r w:rsidR="00CA2FD1" w:rsidRPr="00CA2FD1">
        <w:t>+</w:t>
      </w:r>
      <w:r>
        <w:t xml:space="preserve"> 52 – 10 log (</w:t>
      </w:r>
      <w:r>
        <w:rPr>
          <w:i/>
          <w:iCs/>
        </w:rPr>
        <w:t>D</w:t>
      </w:r>
      <w:r>
        <w:t>/</w:t>
      </w:r>
      <w:r w:rsidR="00CA2FD1" w:rsidRPr="00CA2FD1">
        <w:sym w:font="Symbol" w:char="F06C"/>
      </w:r>
      <w:r>
        <w:t xml:space="preserve">) – 25 log </w:t>
      </w:r>
      <w:r w:rsidR="00CA2FD1" w:rsidRPr="00CA2FD1">
        <w:sym w:font="Symbol" w:char="F061"/>
      </w:r>
      <w:r>
        <w:tab/>
        <w:t xml:space="preserve">pour  100 </w:t>
      </w:r>
      <w:r w:rsidR="00CA2FD1" w:rsidRPr="00CA2FD1">
        <w:sym w:font="Symbol" w:char="F06C"/>
      </w:r>
      <w:r>
        <w:t>/</w:t>
      </w:r>
      <w:r>
        <w:rPr>
          <w:i/>
          <w:iCs/>
        </w:rPr>
        <w:t>D</w:t>
      </w:r>
      <w:r>
        <w:tab/>
      </w:r>
      <w:r w:rsidR="00CA2FD1" w:rsidRPr="00CA2FD1">
        <w:sym w:font="Symbol" w:char="F0A3"/>
      </w:r>
      <w:r>
        <w:tab/>
      </w:r>
      <w:r w:rsidR="00CA2FD1" w:rsidRPr="00CA2FD1">
        <w:sym w:font="Symbol" w:char="F061"/>
      </w:r>
      <w:r>
        <w:tab/>
      </w:r>
      <w:r w:rsidR="00CA2FD1" w:rsidRPr="00CA2FD1">
        <w:t>&lt;</w:t>
      </w:r>
      <w:r>
        <w:t>  48</w:t>
      </w:r>
      <w:r>
        <w:sym w:font="Symbol" w:char="00B0"/>
      </w:r>
    </w:p>
    <w:p w:rsidR="00BA4BE2" w:rsidRDefault="00BA4BE2" w:rsidP="00CA2FD1">
      <w:pPr>
        <w:pStyle w:val="enumlev2"/>
        <w:tabs>
          <w:tab w:val="left" w:pos="1503"/>
          <w:tab w:val="left" w:pos="1701"/>
          <w:tab w:val="left" w:pos="5670"/>
          <w:tab w:val="left" w:pos="7088"/>
          <w:tab w:val="left" w:pos="7371"/>
          <w:tab w:val="left" w:pos="7655"/>
        </w:tabs>
        <w:ind w:left="1701" w:hanging="1304"/>
      </w:pPr>
      <w:r>
        <w:tab/>
      </w:r>
      <w:r>
        <w:tab/>
      </w:r>
      <w:r w:rsidR="00CA2FD1" w:rsidRPr="00CA2FD1">
        <w:t>=</w:t>
      </w:r>
      <w:r>
        <w:tab/>
      </w:r>
      <w:r>
        <w:rPr>
          <w:i/>
          <w:iCs/>
        </w:rPr>
        <w:t>P</w:t>
      </w:r>
      <w:r>
        <w:t xml:space="preserve"> </w:t>
      </w:r>
      <w:r w:rsidR="00CA2FD1" w:rsidRPr="00CA2FD1">
        <w:t>+</w:t>
      </w:r>
      <w:r>
        <w:t xml:space="preserve"> 10 – 10 log (</w:t>
      </w:r>
      <w:r>
        <w:rPr>
          <w:i/>
          <w:iCs/>
        </w:rPr>
        <w:t>D</w:t>
      </w:r>
      <w:r>
        <w:t>/</w:t>
      </w:r>
      <w:r w:rsidR="00CA2FD1" w:rsidRPr="00CA2FD1">
        <w:sym w:font="Symbol" w:char="F06C"/>
      </w:r>
      <w:r>
        <w:t>)</w:t>
      </w:r>
      <w:r>
        <w:tab/>
        <w:t>pour  48</w:t>
      </w:r>
      <w:r>
        <w:sym w:font="Symbol" w:char="00B0"/>
      </w:r>
      <w:r>
        <w:tab/>
      </w:r>
      <w:r w:rsidR="00CA2FD1" w:rsidRPr="00CA2FD1">
        <w:sym w:font="Symbol" w:char="F0A3"/>
      </w:r>
      <w:r>
        <w:tab/>
      </w:r>
      <w:r w:rsidR="00CA2FD1" w:rsidRPr="00CA2FD1">
        <w:sym w:font="Symbol" w:char="F061"/>
      </w:r>
      <w:r>
        <w:tab/>
      </w:r>
      <w:r w:rsidR="00CA2FD1" w:rsidRPr="00CA2FD1">
        <w:sym w:font="Symbol" w:char="F0A3"/>
      </w:r>
      <w:r>
        <w:t>  180</w:t>
      </w:r>
      <w:r>
        <w:sym w:font="Symbol" w:char="00B0"/>
      </w:r>
    </w:p>
    <w:p w:rsidR="00BA4BE2" w:rsidRDefault="00BA4BE2" w:rsidP="0043655C">
      <w:pPr>
        <w:pStyle w:val="enumlev1"/>
      </w:pPr>
      <w:r>
        <w:tab/>
      </w:r>
      <w:proofErr w:type="gramStart"/>
      <w:r>
        <w:t>où</w:t>
      </w:r>
      <w:proofErr w:type="gramEnd"/>
      <w:r>
        <w:t xml:space="preserve"> (voir la Recommandation UIT-R F.699):</w:t>
      </w:r>
    </w:p>
    <w:p w:rsidR="00BA4BE2" w:rsidRDefault="00BA4BE2" w:rsidP="00CA2FD1">
      <w:pPr>
        <w:pStyle w:val="enumlev2"/>
        <w:tabs>
          <w:tab w:val="left" w:pos="1134"/>
          <w:tab w:val="left" w:pos="1304"/>
        </w:tabs>
      </w:pPr>
      <w:r>
        <w:tab/>
      </w:r>
      <w:r w:rsidR="00CA2FD1" w:rsidRPr="00CA2FD1">
        <w:sym w:font="Symbol" w:char="F061"/>
      </w:r>
      <w:r>
        <w:rPr>
          <w:i/>
          <w:iCs/>
          <w:position w:val="-4"/>
          <w:sz w:val="16"/>
        </w:rPr>
        <w:t>m</w:t>
      </w:r>
      <w:r>
        <w:rPr>
          <w:vertAlign w:val="subscript"/>
        </w:rPr>
        <w:tab/>
      </w:r>
      <w:r w:rsidR="00CA2FD1" w:rsidRPr="00CA2FD1">
        <w:t>=</w:t>
      </w:r>
      <w:r>
        <w:tab/>
        <w:t>20(</w:t>
      </w:r>
      <w:r w:rsidR="00CA2FD1" w:rsidRPr="00CA2FD1">
        <w:sym w:font="Symbol" w:char="F06C"/>
      </w:r>
      <w:r>
        <w:t>/</w:t>
      </w:r>
      <w:r>
        <w:rPr>
          <w:i/>
          <w:iCs/>
        </w:rPr>
        <w:t>D</w:t>
      </w:r>
      <w:r>
        <w:t>) (</w:t>
      </w:r>
      <w:r>
        <w:rPr>
          <w:i/>
          <w:iCs/>
        </w:rPr>
        <w:t>G</w:t>
      </w:r>
      <w:r>
        <w:rPr>
          <w:i/>
          <w:iCs/>
          <w:position w:val="-4"/>
          <w:sz w:val="16"/>
        </w:rPr>
        <w:t>max</w:t>
      </w:r>
      <w:r>
        <w:t xml:space="preserve"> – </w:t>
      </w:r>
      <w:r>
        <w:rPr>
          <w:i/>
          <w:iCs/>
        </w:rPr>
        <w:t>G</w:t>
      </w:r>
      <w:r>
        <w:rPr>
          <w:position w:val="-4"/>
          <w:sz w:val="16"/>
        </w:rPr>
        <w:t>1</w:t>
      </w:r>
      <w:r>
        <w:t>)</w:t>
      </w:r>
      <w:r>
        <w:rPr>
          <w:position w:val="6"/>
          <w:sz w:val="16"/>
        </w:rPr>
        <w:t>1/2</w:t>
      </w:r>
    </w:p>
    <w:p w:rsidR="00BA4BE2" w:rsidRDefault="00BA4BE2" w:rsidP="00CA2FD1">
      <w:pPr>
        <w:pStyle w:val="enumlev2"/>
        <w:tabs>
          <w:tab w:val="left" w:pos="1134"/>
          <w:tab w:val="left" w:pos="1304"/>
        </w:tabs>
      </w:pPr>
      <w:r>
        <w:tab/>
      </w:r>
      <w:r>
        <w:rPr>
          <w:i/>
          <w:iCs/>
        </w:rPr>
        <w:t>G</w:t>
      </w:r>
      <w:r>
        <w:rPr>
          <w:position w:val="-4"/>
          <w:sz w:val="16"/>
        </w:rPr>
        <w:t>1</w:t>
      </w:r>
      <w:r>
        <w:tab/>
      </w:r>
      <w:r w:rsidR="00CA2FD1" w:rsidRPr="00CA2FD1">
        <w:t>=</w:t>
      </w:r>
      <w:r>
        <w:tab/>
        <w:t xml:space="preserve">2 </w:t>
      </w:r>
      <w:r w:rsidR="00CA2FD1" w:rsidRPr="00CA2FD1">
        <w:t>+</w:t>
      </w:r>
      <w:r>
        <w:t xml:space="preserve"> 15 log (</w:t>
      </w:r>
      <w:r>
        <w:rPr>
          <w:i/>
          <w:iCs/>
        </w:rPr>
        <w:t>D</w:t>
      </w:r>
      <w:r>
        <w:t>/</w:t>
      </w:r>
      <w:r w:rsidR="00CA2FD1" w:rsidRPr="00CA2FD1">
        <w:sym w:font="Symbol" w:char="F06C"/>
      </w:r>
      <w:r>
        <w:t>)</w:t>
      </w:r>
    </w:p>
    <w:p w:rsidR="00BA4BE2" w:rsidRDefault="00BA4BE2" w:rsidP="00BA4BE2">
      <w:pPr>
        <w:pStyle w:val="enumlev2"/>
        <w:tabs>
          <w:tab w:val="left" w:pos="1134"/>
        </w:tabs>
        <w:ind w:left="1588" w:hanging="1191"/>
      </w:pPr>
      <w:r>
        <w:rPr>
          <w:i/>
          <w:iCs/>
        </w:rPr>
        <w:tab/>
      </w:r>
      <w:r>
        <w:rPr>
          <w:i/>
          <w:iCs/>
        </w:rPr>
        <w:tab/>
        <w:t>P</w:t>
      </w:r>
      <w:r>
        <w:t>:</w:t>
      </w:r>
      <w:r>
        <w:tab/>
        <w:t xml:space="preserve">niveau de la porteuse de l'émetteur de la station d'extrémité AHF à l'entrée de l'antenne. Dans ce cas, </w:t>
      </w:r>
      <w:r>
        <w:rPr>
          <w:i/>
          <w:iCs/>
        </w:rPr>
        <w:t>D</w:t>
      </w:r>
      <w:r>
        <w:t>/</w:t>
      </w:r>
      <w:r>
        <w:sym w:font="Symbol" w:char="F06C"/>
      </w:r>
      <w:r>
        <w:t xml:space="preserve"> est très inférieur à 100 (voir la Recommandation UIT</w:t>
      </w:r>
      <w:r>
        <w:noBreakHyphen/>
        <w:t>R F.699)</w:t>
      </w:r>
    </w:p>
    <w:p w:rsidR="00BA4BE2" w:rsidRDefault="00BA4BE2" w:rsidP="00CA2FD1">
      <w:pPr>
        <w:pStyle w:val="enumlev1"/>
        <w:tabs>
          <w:tab w:val="left" w:pos="1786"/>
          <w:tab w:val="left" w:pos="2127"/>
          <w:tab w:val="left" w:pos="5670"/>
          <w:tab w:val="left" w:pos="6691"/>
          <w:tab w:val="left" w:pos="6917"/>
          <w:tab w:val="left" w:pos="7144"/>
          <w:tab w:val="left" w:pos="7655"/>
          <w:tab w:val="right" w:pos="9696"/>
        </w:tabs>
        <w:spacing w:before="60"/>
      </w:pPr>
      <w:r>
        <w:tab/>
      </w:r>
      <w:proofErr w:type="gramStart"/>
      <w:r w:rsidRPr="007E7FEB">
        <w:rPr>
          <w:i/>
          <w:iCs/>
        </w:rPr>
        <w:t>p.i.r.e.</w:t>
      </w:r>
      <w:r>
        <w:rPr>
          <w:i/>
          <w:iCs/>
          <w:position w:val="-4"/>
          <w:sz w:val="16"/>
        </w:rPr>
        <w:t>AHF</w:t>
      </w:r>
      <w:r>
        <w:t>(</w:t>
      </w:r>
      <w:proofErr w:type="gramEnd"/>
      <w:r>
        <w:sym w:font="Symbol" w:char="0061"/>
      </w:r>
      <w:r>
        <w:t xml:space="preserve">) </w:t>
      </w:r>
      <w:r>
        <w:tab/>
        <w:t xml:space="preserve">= </w:t>
      </w:r>
      <w:r>
        <w:rPr>
          <w:i/>
          <w:iCs/>
        </w:rPr>
        <w:t>P</w:t>
      </w:r>
      <w:r>
        <w:t xml:space="preserve"> </w:t>
      </w:r>
      <w:r w:rsidR="00CA2FD1" w:rsidRPr="00CA2FD1">
        <w:t>+</w:t>
      </w:r>
      <w:r>
        <w:t xml:space="preserve"> 18 – 2,5 </w:t>
      </w:r>
      <w:r w:rsidR="00CA2FD1" w:rsidRPr="00CA2FD1">
        <w:sym w:font="Symbol" w:char="F0B4"/>
      </w:r>
      <w:r>
        <w:t xml:space="preserve"> 10</w:t>
      </w:r>
      <w:r>
        <w:rPr>
          <w:vertAlign w:val="superscript"/>
        </w:rPr>
        <w:t xml:space="preserve"> </w:t>
      </w:r>
      <w:r>
        <w:rPr>
          <w:position w:val="6"/>
          <w:sz w:val="16"/>
        </w:rPr>
        <w:t>–3</w:t>
      </w:r>
      <w:r>
        <w:t xml:space="preserve"> (3,27 </w:t>
      </w:r>
      <w:r w:rsidR="00CA2FD1" w:rsidRPr="00CA2FD1">
        <w:sym w:font="Symbol" w:char="F061"/>
      </w:r>
      <w:r>
        <w:t>)</w:t>
      </w:r>
      <w:r>
        <w:rPr>
          <w:position w:val="6"/>
          <w:sz w:val="16"/>
        </w:rPr>
        <w:t>2</w:t>
      </w:r>
      <w:r>
        <w:tab/>
        <w:t xml:space="preserve">pour  </w:t>
      </w:r>
      <w:r>
        <w:t> </w:t>
      </w:r>
      <w:r>
        <w:t>0</w:t>
      </w:r>
      <w:r w:rsidR="00CA2FD1" w:rsidRPr="00CA2FD1">
        <w:t>°</w:t>
      </w:r>
      <w:r>
        <w:tab/>
      </w:r>
      <w:r>
        <w:tab/>
      </w:r>
      <w:r w:rsidR="00CA2FD1" w:rsidRPr="00CA2FD1">
        <w:t>&lt;</w:t>
      </w:r>
      <w:r>
        <w:tab/>
      </w:r>
      <w:r>
        <w:sym w:font="Symbol" w:char="0061"/>
      </w:r>
      <w:r>
        <w:t xml:space="preserve"> </w:t>
      </w:r>
      <w:r w:rsidR="00CA2FD1" w:rsidRPr="00CA2FD1">
        <w:t>&lt;</w:t>
      </w:r>
      <w:r>
        <w:t>  </w:t>
      </w:r>
      <w:r>
        <w:tab/>
        <w:t>17,6</w:t>
      </w:r>
      <w:r w:rsidR="00CA2FD1" w:rsidRPr="00CA2FD1">
        <w:t>°</w:t>
      </w:r>
      <w:r>
        <w:tab/>
        <w:t>(2)</w:t>
      </w:r>
    </w:p>
    <w:p w:rsidR="00BA4BE2" w:rsidRDefault="00BA4BE2" w:rsidP="00CA2FD1">
      <w:pPr>
        <w:pStyle w:val="enumlev1"/>
        <w:tabs>
          <w:tab w:val="left" w:pos="1786"/>
          <w:tab w:val="left" w:pos="2127"/>
          <w:tab w:val="left" w:pos="5670"/>
          <w:tab w:val="left" w:pos="6691"/>
          <w:tab w:val="left" w:pos="6917"/>
          <w:tab w:val="left" w:pos="7144"/>
          <w:tab w:val="left" w:pos="7655"/>
          <w:tab w:val="right" w:pos="9696"/>
        </w:tabs>
        <w:spacing w:before="60"/>
      </w:pP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sidR="00CA2FD1" w:rsidRPr="00CA2FD1">
        <w:t>=</w:t>
      </w:r>
      <w:r w:rsidR="00CA2FD1">
        <w:t xml:space="preserve"> </w:t>
      </w:r>
      <w:r>
        <w:rPr>
          <w:i/>
          <w:iCs/>
        </w:rPr>
        <w:t>P</w:t>
      </w:r>
      <w:r>
        <w:t xml:space="preserve"> </w:t>
      </w:r>
      <w:r w:rsidR="00CA2FD1" w:rsidRPr="00CA2FD1">
        <w:t>+</w:t>
      </w:r>
      <w:r>
        <w:t xml:space="preserve"> 9,7</w:t>
      </w:r>
      <w:r>
        <w:tab/>
        <w:t>pour  17,6</w:t>
      </w:r>
      <w:r w:rsidR="00CA2FD1" w:rsidRPr="00CA2FD1">
        <w:t>°</w:t>
      </w:r>
      <w:r>
        <w:tab/>
      </w:r>
      <w:r>
        <w:rPr>
          <w:u w:val="single"/>
        </w:rPr>
        <w:sym w:font="Symbol" w:char="003C"/>
      </w:r>
      <w:r>
        <w:tab/>
      </w:r>
      <w:r>
        <w:sym w:font="Symbol" w:char="0061"/>
      </w:r>
      <w:r>
        <w:t xml:space="preserve"> </w:t>
      </w:r>
      <w:r w:rsidR="00CA2FD1" w:rsidRPr="00CA2FD1">
        <w:t>&lt;</w:t>
      </w:r>
      <w:r>
        <w:t>  </w:t>
      </w:r>
      <w:r>
        <w:tab/>
        <w:t>30,6</w:t>
      </w:r>
      <w:r w:rsidR="00CA2FD1" w:rsidRPr="00CA2FD1">
        <w:t>°</w:t>
      </w:r>
    </w:p>
    <w:p w:rsidR="00BA4BE2" w:rsidRDefault="00BA4BE2" w:rsidP="00CA2FD1">
      <w:pPr>
        <w:pStyle w:val="enumlev1"/>
        <w:tabs>
          <w:tab w:val="left" w:pos="1786"/>
          <w:tab w:val="left" w:pos="2127"/>
          <w:tab w:val="left" w:pos="5670"/>
          <w:tab w:val="left" w:pos="6691"/>
          <w:tab w:val="left" w:pos="6917"/>
          <w:tab w:val="left" w:pos="7144"/>
          <w:tab w:val="left" w:pos="7655"/>
          <w:tab w:val="right" w:pos="9696"/>
        </w:tabs>
        <w:spacing w:before="60"/>
      </w:pPr>
      <w:r>
        <w:tab/>
      </w:r>
      <w:r>
        <w:tab/>
      </w:r>
      <w:r>
        <w:tab/>
      </w:r>
      <w:r>
        <w:tab/>
      </w:r>
      <w:r>
        <w:tab/>
      </w:r>
      <w:r>
        <w:tab/>
        <w:t xml:space="preserve">= </w:t>
      </w:r>
      <w:r>
        <w:rPr>
          <w:i/>
          <w:iCs/>
        </w:rPr>
        <w:t>P</w:t>
      </w:r>
      <w:r>
        <w:t xml:space="preserve"> </w:t>
      </w:r>
      <w:r w:rsidR="00CA2FD1" w:rsidRPr="00CA2FD1">
        <w:t>+</w:t>
      </w:r>
      <w:r>
        <w:t xml:space="preserve"> 46,9 – 25 log </w:t>
      </w:r>
      <w:r w:rsidR="00CA2FD1" w:rsidRPr="00CA2FD1">
        <w:sym w:font="Symbol" w:char="F061"/>
      </w:r>
      <w:r>
        <w:tab/>
        <w:t>pour  30,6</w:t>
      </w:r>
      <w:r w:rsidR="00CA2FD1" w:rsidRPr="00CA2FD1">
        <w:t>°</w:t>
      </w:r>
      <w:r>
        <w:tab/>
      </w:r>
      <w:r>
        <w:rPr>
          <w:u w:val="single"/>
        </w:rPr>
        <w:sym w:font="Symbol" w:char="003C"/>
      </w:r>
      <w:r>
        <w:tab/>
      </w:r>
      <w:r>
        <w:sym w:font="Symbol" w:char="0061"/>
      </w:r>
      <w:r>
        <w:t xml:space="preserve"> </w:t>
      </w:r>
      <w:r w:rsidR="00CA2FD1" w:rsidRPr="00CA2FD1">
        <w:t>&lt;</w:t>
      </w:r>
      <w:r>
        <w:t>  </w:t>
      </w:r>
      <w:r>
        <w:tab/>
        <w:t>48</w:t>
      </w:r>
      <w:r w:rsidR="00CA2FD1" w:rsidRPr="00CA2FD1">
        <w:t>°</w:t>
      </w:r>
    </w:p>
    <w:p w:rsidR="00BA4BE2" w:rsidRDefault="00BA4BE2" w:rsidP="00BA4BE2">
      <w:pPr>
        <w:pStyle w:val="enumlev1"/>
        <w:spacing w:before="60"/>
      </w:pPr>
      <w:r>
        <w:tab/>
      </w:r>
      <w:proofErr w:type="gramStart"/>
      <w:r>
        <w:t>pour</w:t>
      </w:r>
      <w:proofErr w:type="gramEnd"/>
      <w:r>
        <w:t xml:space="preserve"> les paramètres indiqués au Tableau 1.</w:t>
      </w:r>
    </w:p>
    <w:p w:rsidR="00BA4BE2" w:rsidRDefault="00BA4BE2" w:rsidP="00BA4BE2">
      <w:pPr>
        <w:pStyle w:val="enumlev1"/>
        <w:tabs>
          <w:tab w:val="left" w:pos="1418"/>
        </w:tabs>
        <w:spacing w:before="40"/>
        <w:ind w:left="1588" w:hanging="1588"/>
      </w:pPr>
      <w:r>
        <w:t>b)</w:t>
      </w:r>
      <w:r>
        <w:tab/>
      </w:r>
      <w:r>
        <w:rPr>
          <w:i/>
          <w:iCs/>
        </w:rPr>
        <w:t>L</w:t>
      </w:r>
      <w:r>
        <w:rPr>
          <w:i/>
          <w:iCs/>
          <w:position w:val="-4"/>
          <w:sz w:val="16"/>
        </w:rPr>
        <w:t>AHF</w:t>
      </w:r>
      <w:r>
        <w:t>(</w:t>
      </w:r>
      <w:r>
        <w:rPr>
          <w:i/>
          <w:iCs/>
        </w:rPr>
        <w:t>d</w:t>
      </w:r>
      <w:r>
        <w:t>)</w:t>
      </w:r>
      <w:r>
        <w:rPr>
          <w:rFonts w:ascii="Tms Rmn" w:hAnsi="Tms Rmn"/>
          <w:i/>
          <w:iCs/>
          <w:sz w:val="12"/>
        </w:rPr>
        <w:t> </w:t>
      </w:r>
      <w:r>
        <w:t>:</w:t>
      </w:r>
      <w:r>
        <w:rPr>
          <w:rFonts w:ascii="Tms Rmn" w:hAnsi="Tms Rmn"/>
        </w:rPr>
        <w:t xml:space="preserve"> </w:t>
      </w:r>
      <w:r>
        <w:tab/>
        <w:t xml:space="preserve">affaiblissement le long du trajet entre l'antenne de la station VSAT et l'antenne </w:t>
      </w:r>
      <w:r>
        <w:tab/>
        <w:t>de la station d'extré</w:t>
      </w:r>
      <w:r>
        <w:softHyphen/>
        <w:t>mité AHF</w:t>
      </w:r>
    </w:p>
    <w:p w:rsidR="00BA4BE2" w:rsidRDefault="00BA4BE2" w:rsidP="0043655C">
      <w:pPr>
        <w:pStyle w:val="enumlev1"/>
      </w:pPr>
      <w:r>
        <w:tab/>
        <w:t>La Recommandation UIT-R P.452 définit des modèles de propagation par temps clair pour l'évaluation des brouillages entre stations hertziennes à des fréquences supérieures à 0,7 GHz en prenant en compte tous les facteurs tels que la diffraction, la diffusion troposphérique, la propagation par conduits/réflexion de couche et l'affaiblis</w:t>
      </w:r>
      <w:r>
        <w:softHyphen/>
        <w:t>sement dû à des groupes d'obstacles.</w:t>
      </w:r>
    </w:p>
    <w:p w:rsidR="00BA4BE2" w:rsidRDefault="00BA4BE2" w:rsidP="0043655C">
      <w:pPr>
        <w:pStyle w:val="enumlev1"/>
      </w:pPr>
      <w:r>
        <w:tab/>
        <w:t>Dans cet environnement brouilleur VSAT/AHF point à multipoint, un modèle de propagation en visibilité directe avec l'option de fin de groupe d'obstacles appliquée à l'une des stations d'extrémité AHF est considéré comme approprié. Dès lors, on a:</w:t>
      </w:r>
    </w:p>
    <w:p w:rsidR="00BA4BE2" w:rsidRPr="00D86A50" w:rsidRDefault="00BA4BE2" w:rsidP="00CA2FD1">
      <w:pPr>
        <w:pStyle w:val="Equation"/>
        <w:rPr>
          <w:lang w:val="fr-CH"/>
        </w:rPr>
      </w:pPr>
      <w:r>
        <w:tab/>
      </w:r>
      <w:r>
        <w:tab/>
      </w:r>
      <w:r w:rsidRPr="00D86A50">
        <w:rPr>
          <w:i/>
          <w:iCs/>
          <w:lang w:val="fr-CH"/>
        </w:rPr>
        <w:t>L</w:t>
      </w:r>
      <w:r w:rsidRPr="00D86A50">
        <w:rPr>
          <w:i/>
          <w:iCs/>
          <w:position w:val="-4"/>
          <w:sz w:val="18"/>
          <w:lang w:val="fr-CH"/>
        </w:rPr>
        <w:t>AHF</w:t>
      </w:r>
      <w:r w:rsidRPr="00D86A50">
        <w:rPr>
          <w:lang w:val="fr-CH"/>
        </w:rPr>
        <w:t>(</w:t>
      </w:r>
      <w:r w:rsidRPr="00D86A50">
        <w:rPr>
          <w:i/>
          <w:iCs/>
          <w:lang w:val="fr-CH"/>
        </w:rPr>
        <w:t>d</w:t>
      </w:r>
      <w:r w:rsidRPr="00D86A50">
        <w:rPr>
          <w:lang w:val="fr-CH"/>
        </w:rPr>
        <w:t xml:space="preserve">)  </w:t>
      </w:r>
      <w:r w:rsidR="00CA2FD1" w:rsidRPr="00D86A50">
        <w:rPr>
          <w:lang w:val="fr-CH"/>
        </w:rPr>
        <w:t>=</w:t>
      </w:r>
      <w:r w:rsidRPr="00D86A50">
        <w:rPr>
          <w:lang w:val="fr-CH"/>
        </w:rPr>
        <w:t xml:space="preserve">  92,5  </w:t>
      </w:r>
      <w:r w:rsidR="00CA2FD1" w:rsidRPr="00D86A50">
        <w:rPr>
          <w:lang w:val="fr-CH"/>
        </w:rPr>
        <w:t>+</w:t>
      </w:r>
      <w:r w:rsidRPr="00D86A50">
        <w:rPr>
          <w:lang w:val="fr-CH"/>
        </w:rPr>
        <w:t xml:space="preserve">  20 log (</w:t>
      </w:r>
      <w:r w:rsidRPr="00D86A50">
        <w:rPr>
          <w:rFonts w:ascii="Tms Rmn" w:hAnsi="Tms Rmn"/>
          <w:sz w:val="12"/>
          <w:lang w:val="fr-CH"/>
        </w:rPr>
        <w:t> </w:t>
      </w:r>
      <w:r w:rsidRPr="00D86A50">
        <w:rPr>
          <w:i/>
          <w:iCs/>
          <w:lang w:val="fr-CH"/>
        </w:rPr>
        <w:t>f</w:t>
      </w:r>
      <w:r w:rsidRPr="00D86A50">
        <w:rPr>
          <w:rFonts w:ascii="Tms Rmn" w:hAnsi="Tms Rmn"/>
          <w:sz w:val="12"/>
          <w:lang w:val="fr-CH"/>
        </w:rPr>
        <w:t> </w:t>
      </w:r>
      <w:r w:rsidRPr="00D86A50">
        <w:rPr>
          <w:lang w:val="fr-CH"/>
        </w:rPr>
        <w:t xml:space="preserve">)  </w:t>
      </w:r>
      <w:r w:rsidR="00CA2FD1" w:rsidRPr="00D86A50">
        <w:rPr>
          <w:lang w:val="fr-CH"/>
        </w:rPr>
        <w:t>+</w:t>
      </w:r>
      <w:r w:rsidRPr="00D86A50">
        <w:rPr>
          <w:lang w:val="fr-CH"/>
        </w:rPr>
        <w:t xml:space="preserve">  20 log (</w:t>
      </w:r>
      <w:r w:rsidRPr="00D86A50">
        <w:rPr>
          <w:i/>
          <w:iCs/>
          <w:lang w:val="fr-CH"/>
        </w:rPr>
        <w:t>d</w:t>
      </w:r>
      <w:r w:rsidRPr="00D86A50">
        <w:rPr>
          <w:lang w:val="fr-CH"/>
        </w:rPr>
        <w:t xml:space="preserve">)  </w:t>
      </w:r>
      <w:r w:rsidR="00CA2FD1" w:rsidRPr="00CA2FD1">
        <w:t>+</w:t>
      </w:r>
      <w:r w:rsidRPr="00D86A50">
        <w:rPr>
          <w:lang w:val="fr-CH"/>
        </w:rPr>
        <w:t xml:space="preserve">  </w:t>
      </w:r>
      <w:r w:rsidRPr="00D86A50">
        <w:rPr>
          <w:i/>
          <w:iCs/>
          <w:lang w:val="fr-CH"/>
        </w:rPr>
        <w:t>A</w:t>
      </w:r>
      <w:r w:rsidRPr="00D86A50">
        <w:rPr>
          <w:i/>
          <w:iCs/>
          <w:position w:val="-4"/>
          <w:sz w:val="18"/>
          <w:lang w:val="fr-CH"/>
        </w:rPr>
        <w:t>h</w:t>
      </w:r>
      <w:r w:rsidRPr="00D86A50">
        <w:rPr>
          <w:lang w:val="fr-CH"/>
        </w:rPr>
        <w:t>                        dB</w:t>
      </w:r>
      <w:r w:rsidRPr="00D86A50">
        <w:rPr>
          <w:lang w:val="fr-CH"/>
        </w:rPr>
        <w:tab/>
        <w:t>(3)</w:t>
      </w:r>
    </w:p>
    <w:p w:rsidR="00BA4BE2" w:rsidRDefault="00BA4BE2" w:rsidP="0043655C">
      <w:pPr>
        <w:pStyle w:val="enumlev1"/>
      </w:pPr>
      <w:r w:rsidRPr="00D86A50">
        <w:rPr>
          <w:lang w:val="fr-CH"/>
        </w:rPr>
        <w:tab/>
      </w:r>
      <w:proofErr w:type="gramStart"/>
      <w:r>
        <w:t>où</w:t>
      </w:r>
      <w:proofErr w:type="gramEnd"/>
      <w:r>
        <w:t xml:space="preserve"> </w:t>
      </w:r>
      <w:r>
        <w:rPr>
          <w:i/>
          <w:iCs/>
        </w:rPr>
        <w:t>A</w:t>
      </w:r>
      <w:r>
        <w:rPr>
          <w:i/>
          <w:iCs/>
          <w:position w:val="-4"/>
          <w:sz w:val="16"/>
        </w:rPr>
        <w:t>h</w:t>
      </w:r>
      <w:r>
        <w:t xml:space="preserve"> est l'affaiblissement dû à des groupes d'obstacles et est donné dans la Recommandation UIT-R P.452 sous la forme:</w:t>
      </w:r>
    </w:p>
    <w:p w:rsidR="00BA4BE2" w:rsidRPr="00BA4BE2" w:rsidRDefault="00BA4BE2" w:rsidP="0043655C">
      <w:pPr>
        <w:pStyle w:val="Equation"/>
        <w:rPr>
          <w:lang w:val="fr-CH"/>
        </w:rPr>
      </w:pPr>
      <w:r w:rsidRPr="00BA4BE2">
        <w:rPr>
          <w:lang w:val="fr-CH"/>
        </w:rPr>
        <w:tab/>
      </w:r>
      <w:r w:rsidRPr="00BA4BE2">
        <w:rPr>
          <w:lang w:val="fr-CH"/>
        </w:rPr>
        <w:tab/>
      </w:r>
      <w:r>
        <w:rPr>
          <w:position w:val="-34"/>
          <w:lang w:val="es-ES_tradnl"/>
        </w:rPr>
        <w:object w:dxaOrig="4959"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15pt;height:38.9pt" o:ole="" fillcolor="window">
            <v:imagedata r:id="rId13" o:title=""/>
          </v:shape>
          <o:OLEObject Type="Embed" ProgID="Equation.3" ShapeID="_x0000_i1025" DrawAspect="Content" ObjectID="_1366705908" r:id="rId14"/>
        </w:object>
      </w:r>
      <w:r w:rsidRPr="00BA4BE2">
        <w:rPr>
          <w:lang w:val="fr-CH"/>
        </w:rPr>
        <w:t>                        </w:t>
      </w:r>
      <w:proofErr w:type="gramStart"/>
      <w:r w:rsidRPr="00BA4BE2">
        <w:rPr>
          <w:lang w:val="fr-CH"/>
        </w:rPr>
        <w:t>dB</w:t>
      </w:r>
      <w:proofErr w:type="gramEnd"/>
      <w:r w:rsidRPr="00BA4BE2">
        <w:rPr>
          <w:lang w:val="fr-CH"/>
        </w:rPr>
        <w:tab/>
        <w:t>(4)</w:t>
      </w:r>
    </w:p>
    <w:p w:rsidR="00BA4BE2" w:rsidRDefault="00BA4BE2" w:rsidP="0043655C">
      <w:pPr>
        <w:pStyle w:val="enumlev1"/>
      </w:pPr>
      <w:r>
        <w:tab/>
      </w:r>
      <w:proofErr w:type="gramStart"/>
      <w:r>
        <w:t>où</w:t>
      </w:r>
      <w:proofErr w:type="gramEnd"/>
      <w:r>
        <w:t>:</w:t>
      </w:r>
    </w:p>
    <w:p w:rsidR="00BA4BE2" w:rsidRDefault="00BA4BE2" w:rsidP="0043655C">
      <w:pPr>
        <w:pStyle w:val="enumlev2"/>
      </w:pPr>
      <w:r>
        <w:tab/>
      </w:r>
      <w:proofErr w:type="gramStart"/>
      <w:r>
        <w:rPr>
          <w:i/>
          <w:iCs/>
        </w:rPr>
        <w:t>h</w:t>
      </w:r>
      <w:r>
        <w:rPr>
          <w:i/>
          <w:iCs/>
          <w:position w:val="-4"/>
          <w:sz w:val="16"/>
        </w:rPr>
        <w:t>a</w:t>
      </w:r>
      <w:proofErr w:type="gramEnd"/>
      <w:r>
        <w:t>:</w:t>
      </w:r>
      <w:r>
        <w:tab/>
        <w:t>hauteur nominale du groupe d'obstacles (m)</w:t>
      </w:r>
    </w:p>
    <w:p w:rsidR="00BA4BE2" w:rsidRDefault="00BA4BE2" w:rsidP="0043655C">
      <w:pPr>
        <w:pStyle w:val="enumlev2"/>
      </w:pPr>
      <w:r>
        <w:tab/>
      </w:r>
      <w:proofErr w:type="gramStart"/>
      <w:r>
        <w:rPr>
          <w:i/>
          <w:iCs/>
        </w:rPr>
        <w:t>d</w:t>
      </w:r>
      <w:r>
        <w:rPr>
          <w:i/>
          <w:iCs/>
          <w:position w:val="-4"/>
          <w:sz w:val="16"/>
        </w:rPr>
        <w:t>k</w:t>
      </w:r>
      <w:proofErr w:type="gramEnd"/>
      <w:r>
        <w:t>:</w:t>
      </w:r>
      <w:r>
        <w:tab/>
        <w:t>distance nominale du groupe d'obstacles (km)</w:t>
      </w:r>
    </w:p>
    <w:p w:rsidR="00BA4BE2" w:rsidRDefault="00BA4BE2" w:rsidP="00CA2FD1">
      <w:pPr>
        <w:pStyle w:val="enumlev2"/>
      </w:pPr>
      <w:r>
        <w:tab/>
      </w:r>
      <w:proofErr w:type="gramStart"/>
      <w:r>
        <w:rPr>
          <w:i/>
          <w:iCs/>
        </w:rPr>
        <w:t>h</w:t>
      </w:r>
      <w:proofErr w:type="gramEnd"/>
      <w:r>
        <w:t>:</w:t>
      </w:r>
      <w:r>
        <w:tab/>
        <w:t xml:space="preserve">hauteur de la station d'extrémité AHF (hypothèse </w:t>
      </w:r>
      <w:r w:rsidR="00CA2FD1" w:rsidRPr="00CA2FD1">
        <w:t>=</w:t>
      </w:r>
      <w:r>
        <w:t xml:space="preserve"> 10 m).</w:t>
      </w:r>
    </w:p>
    <w:p w:rsidR="00BA4BE2" w:rsidRDefault="00BA4BE2" w:rsidP="00CA2FD1">
      <w:pPr>
        <w:pStyle w:val="enumlev1"/>
        <w:keepNext/>
        <w:keepLines/>
      </w:pPr>
      <w:r>
        <w:lastRenderedPageBreak/>
        <w:tab/>
        <w:t>Nous considérons des zones urbaines et des zones urbaines à grande densité. Pour les zones urbaines (</w:t>
      </w:r>
      <w:r>
        <w:rPr>
          <w:i/>
          <w:iCs/>
        </w:rPr>
        <w:t>h</w:t>
      </w:r>
      <w:r>
        <w:rPr>
          <w:i/>
          <w:iCs/>
          <w:position w:val="-4"/>
          <w:sz w:val="16"/>
        </w:rPr>
        <w:t>a</w:t>
      </w:r>
      <w:r>
        <w:t> </w:t>
      </w:r>
      <w:r w:rsidR="00CA2FD1" w:rsidRPr="00CA2FD1">
        <w:t>=</w:t>
      </w:r>
      <w:r>
        <w:t xml:space="preserve"> 20 m et </w:t>
      </w:r>
      <w:r>
        <w:rPr>
          <w:i/>
          <w:iCs/>
        </w:rPr>
        <w:t>d</w:t>
      </w:r>
      <w:r>
        <w:rPr>
          <w:i/>
          <w:iCs/>
          <w:position w:val="-4"/>
          <w:sz w:val="16"/>
        </w:rPr>
        <w:t>k</w:t>
      </w:r>
      <w:r>
        <w:t> </w:t>
      </w:r>
      <w:r w:rsidR="00CA2FD1" w:rsidRPr="00CA2FD1">
        <w:t>=</w:t>
      </w:r>
      <w:r>
        <w:t xml:space="preserve"> 0,02 km), </w:t>
      </w:r>
      <w:r>
        <w:rPr>
          <w:i/>
          <w:iCs/>
        </w:rPr>
        <w:t>A</w:t>
      </w:r>
      <w:r>
        <w:rPr>
          <w:i/>
          <w:iCs/>
          <w:position w:val="-4"/>
          <w:sz w:val="16"/>
        </w:rPr>
        <w:t>h</w:t>
      </w:r>
      <w:r>
        <w:t xml:space="preserve"> </w:t>
      </w:r>
      <w:r w:rsidR="00CA2FD1" w:rsidRPr="00CA2FD1">
        <w:t>=</w:t>
      </w:r>
      <w:r>
        <w:t xml:space="preserve"> 16,1 dB et pour les zones urbaines à grande densité (</w:t>
      </w:r>
      <w:r>
        <w:rPr>
          <w:i/>
          <w:iCs/>
        </w:rPr>
        <w:t>h</w:t>
      </w:r>
      <w:r>
        <w:rPr>
          <w:i/>
          <w:iCs/>
          <w:position w:val="-4"/>
          <w:sz w:val="16"/>
        </w:rPr>
        <w:t>a</w:t>
      </w:r>
      <w:r>
        <w:t xml:space="preserve"> </w:t>
      </w:r>
      <w:r w:rsidR="00CA2FD1" w:rsidRPr="00CA2FD1">
        <w:t>=</w:t>
      </w:r>
      <w:r>
        <w:t xml:space="preserve"> 25 m et </w:t>
      </w:r>
      <w:r>
        <w:rPr>
          <w:i/>
          <w:iCs/>
        </w:rPr>
        <w:t>d</w:t>
      </w:r>
      <w:r>
        <w:rPr>
          <w:i/>
          <w:iCs/>
          <w:position w:val="-4"/>
          <w:sz w:val="16"/>
        </w:rPr>
        <w:t>k</w:t>
      </w:r>
      <w:r>
        <w:t xml:space="preserve"> </w:t>
      </w:r>
      <w:r w:rsidR="00CA2FD1" w:rsidRPr="00CA2FD1">
        <w:t>=</w:t>
      </w:r>
      <w:r>
        <w:t xml:space="preserve"> 0,02 km), </w:t>
      </w:r>
      <w:r>
        <w:rPr>
          <w:i/>
          <w:iCs/>
        </w:rPr>
        <w:t>A</w:t>
      </w:r>
      <w:r>
        <w:rPr>
          <w:i/>
          <w:iCs/>
          <w:position w:val="-4"/>
          <w:sz w:val="16"/>
        </w:rPr>
        <w:t>h</w:t>
      </w:r>
      <w:r>
        <w:t> </w:t>
      </w:r>
      <w:r w:rsidR="00CA2FD1" w:rsidRPr="00CA2FD1">
        <w:t>=</w:t>
      </w:r>
      <w:r>
        <w:t> 18,5 dB. Dans l'explication présentée ci-dessous, nous considérons un affaiblissement dû à des groupes d'obstacles dans le cas d'une zone urbaine à grande densité.</w:t>
      </w:r>
    </w:p>
    <w:p w:rsidR="00BA4BE2" w:rsidRDefault="00BA4BE2" w:rsidP="00CA2FD1">
      <w:pPr>
        <w:pStyle w:val="enumlev1"/>
      </w:pPr>
      <w:r>
        <w:t>c)</w:t>
      </w:r>
      <w:r>
        <w:tab/>
      </w:r>
      <w:r>
        <w:rPr>
          <w:i/>
          <w:iCs/>
        </w:rPr>
        <w:t>G</w:t>
      </w:r>
      <w:r>
        <w:rPr>
          <w:i/>
          <w:iCs/>
          <w:position w:val="-4"/>
          <w:sz w:val="16"/>
        </w:rPr>
        <w:t>VS</w:t>
      </w:r>
      <w:r>
        <w:rPr>
          <w:sz w:val="4"/>
        </w:rPr>
        <w:t xml:space="preserve"> </w:t>
      </w:r>
      <w:r>
        <w:t>(</w:t>
      </w:r>
      <w:r w:rsidR="00CA2FD1" w:rsidRPr="00CA2FD1">
        <w:sym w:font="Symbol" w:char="F06A"/>
      </w:r>
      <w:r>
        <w:t>):</w:t>
      </w:r>
      <w:r>
        <w:tab/>
        <w:t>gain de réception hors axe de l'antenne VSAT dans la direction de l'émetteur brouilleur de la station d'ex</w:t>
      </w:r>
      <w:r>
        <w:softHyphen/>
        <w:t>trémité AHF</w:t>
      </w:r>
    </w:p>
    <w:p w:rsidR="00BA4BE2" w:rsidRDefault="00BA4BE2" w:rsidP="00CA2FD1">
      <w:pPr>
        <w:pStyle w:val="enumlev2"/>
        <w:tabs>
          <w:tab w:val="left" w:pos="993"/>
          <w:tab w:val="left" w:pos="1276"/>
          <w:tab w:val="left" w:pos="3261"/>
        </w:tabs>
        <w:spacing w:before="40"/>
      </w:pPr>
      <w:r>
        <w:tab/>
      </w:r>
      <w:r>
        <w:tab/>
        <w:t>=</w:t>
      </w:r>
      <w:r>
        <w:tab/>
        <w:t xml:space="preserve">32 – 25 log </w:t>
      </w:r>
      <w:r w:rsidR="00CA2FD1" w:rsidRPr="00CA2FD1">
        <w:sym w:font="Symbol" w:char="F06A"/>
      </w:r>
      <w:r>
        <w:tab/>
        <w:t xml:space="preserve">pour 100 </w:t>
      </w:r>
      <w:r w:rsidR="00CA2FD1" w:rsidRPr="00CA2FD1">
        <w:sym w:font="Symbol" w:char="F06C"/>
      </w:r>
      <w:r>
        <w:t>/</w:t>
      </w:r>
      <w:r>
        <w:rPr>
          <w:i/>
          <w:iCs/>
        </w:rPr>
        <w:t>D</w:t>
      </w:r>
      <w:r>
        <w:t xml:space="preserve"> </w:t>
      </w:r>
      <w:r w:rsidR="00CA2FD1" w:rsidRPr="00CA2FD1">
        <w:sym w:font="Symbol" w:char="F0A3"/>
      </w:r>
      <w:r>
        <w:t xml:space="preserve"> </w:t>
      </w:r>
      <w:r w:rsidR="00CA2FD1" w:rsidRPr="00CA2FD1">
        <w:sym w:font="Symbol" w:char="F06A"/>
      </w:r>
      <w:r>
        <w:t xml:space="preserve"> </w:t>
      </w:r>
      <w:r w:rsidR="00CA2FD1" w:rsidRPr="00CA2FD1">
        <w:t>&lt;</w:t>
      </w:r>
      <w:r>
        <w:t xml:space="preserve"> 48</w:t>
      </w:r>
      <w:r w:rsidR="00CA2FD1" w:rsidRPr="00CA2FD1">
        <w:t>°</w:t>
      </w:r>
    </w:p>
    <w:p w:rsidR="00BA4BE2" w:rsidRPr="00BA4BE2" w:rsidRDefault="00BA4BE2" w:rsidP="00CA2FD1">
      <w:pPr>
        <w:pStyle w:val="enumlev1"/>
        <w:spacing w:before="60"/>
      </w:pPr>
      <w:r w:rsidRPr="00BA4BE2">
        <w:tab/>
        <w:t xml:space="preserve">A 3,5 GHz, </w:t>
      </w:r>
      <w:r w:rsidR="00CA2FD1" w:rsidRPr="00CA2FD1">
        <w:sym w:font="Symbol" w:char="F06A"/>
      </w:r>
      <w:r w:rsidRPr="00BA4BE2">
        <w:t xml:space="preserve"> </w:t>
      </w:r>
      <w:r w:rsidR="00CA2FD1" w:rsidRPr="00CA2FD1">
        <w:t>&gt;</w:t>
      </w:r>
      <w:r w:rsidRPr="00BA4BE2">
        <w:t xml:space="preserve"> 4,8</w:t>
      </w:r>
      <w:r w:rsidR="00CA2FD1" w:rsidRPr="00CA2FD1">
        <w:t>°</w:t>
      </w:r>
      <w:r w:rsidRPr="00BA4BE2">
        <w:t xml:space="preserve"> pour 1,8 m et </w:t>
      </w:r>
      <w:r w:rsidR="00CA2FD1" w:rsidRPr="00CA2FD1">
        <w:sym w:font="Symbol" w:char="F06A"/>
      </w:r>
      <w:r w:rsidRPr="00BA4BE2">
        <w:t xml:space="preserve"> </w:t>
      </w:r>
      <w:r w:rsidR="00CA2FD1" w:rsidRPr="00CA2FD1">
        <w:t>&gt;</w:t>
      </w:r>
      <w:r w:rsidRPr="00BA4BE2">
        <w:t xml:space="preserve"> 3,6</w:t>
      </w:r>
      <w:r w:rsidR="00CA2FD1" w:rsidRPr="00CA2FD1">
        <w:t>°</w:t>
      </w:r>
      <w:r w:rsidRPr="00BA4BE2">
        <w:t xml:space="preserve"> pour 2,4 m.</w:t>
      </w:r>
    </w:p>
    <w:p w:rsidR="00BA4BE2" w:rsidRDefault="00BA4BE2" w:rsidP="0043655C">
      <w:pPr>
        <w:pStyle w:val="enumlev1"/>
        <w:ind w:left="1191" w:hanging="1191"/>
      </w:pPr>
      <w:r>
        <w:t>d)</w:t>
      </w:r>
      <w:r>
        <w:tab/>
      </w:r>
      <w:r>
        <w:rPr>
          <w:i/>
          <w:iCs/>
        </w:rPr>
        <w:t>R</w:t>
      </w:r>
      <w:r>
        <w:t>:</w:t>
      </w:r>
      <w:r>
        <w:tab/>
        <w:t>isolation due à l'effet d'écran pour le site considéré. Une étude a montré que l'on pouvait obtenir une isolation pouvant atteindre 40 dB en installant un écran naturel ou physique sur les stations VSAT. Une telle installation n'étant toutefois pas toujours possible pour toutes les stations terriennes, nous donnons ici les résultats obtenus avec une protection par effet d'écran de 20, 30 et 40 dB.</w:t>
      </w:r>
    </w:p>
    <w:p w:rsidR="00BA4BE2" w:rsidRDefault="00BA4BE2" w:rsidP="0043655C">
      <w:pPr>
        <w:pStyle w:val="enumlev1"/>
        <w:ind w:left="1191" w:hanging="1191"/>
      </w:pPr>
      <w:r>
        <w:t>e)</w:t>
      </w:r>
      <w:r>
        <w:tab/>
      </w:r>
      <w:r>
        <w:rPr>
          <w:i/>
          <w:iCs/>
        </w:rPr>
        <w:t>F</w:t>
      </w:r>
      <w:r>
        <w:t>:</w:t>
      </w:r>
      <w:r>
        <w:tab/>
        <w:t xml:space="preserve">facteur de décalage de la fréquence centrale. Selon le plan de fréquence utilisé pour l'accès AHF, il peut être possible de sélectionner une fréquence centrale de porteuse VSAT qui soit totalement en dehors de la largeur de bande attribuée à une porteuse AHF brouilleuse. Dans cet exemple, nous faisons l'hypothèse d'un coefficient d'amélioration du décalage de fréquence de 0 dB, ce qui correspond au cas le moins favorable. </w:t>
      </w:r>
    </w:p>
    <w:p w:rsidR="00BA4BE2" w:rsidRDefault="00BA4BE2" w:rsidP="0043655C">
      <w:pPr>
        <w:pStyle w:val="Heading2"/>
      </w:pPr>
      <w:r>
        <w:t>2.3</w:t>
      </w:r>
      <w:r>
        <w:tab/>
        <w:t>Distance de protection nécessaire</w:t>
      </w:r>
    </w:p>
    <w:p w:rsidR="00BA4BE2" w:rsidRDefault="00BA4BE2" w:rsidP="00BA4BE2">
      <w:r>
        <w:t xml:space="preserve">La distance de protection nécessaire, </w:t>
      </w:r>
      <w:r>
        <w:rPr>
          <w:i/>
          <w:iCs/>
        </w:rPr>
        <w:t>d</w:t>
      </w:r>
      <w:r>
        <w:t>, peut être déterminée au moyen de l'expression:</w:t>
      </w:r>
    </w:p>
    <w:p w:rsidR="00BA4BE2" w:rsidRDefault="00BA4BE2" w:rsidP="00CA2FD1">
      <w:pPr>
        <w:jc w:val="left"/>
      </w:pPr>
      <w:r>
        <w:tab/>
        <w:t>20 log (</w:t>
      </w:r>
      <w:r>
        <w:rPr>
          <w:i/>
          <w:iCs/>
        </w:rPr>
        <w:t>d</w:t>
      </w:r>
      <w:r>
        <w:t>)</w:t>
      </w:r>
      <w:r>
        <w:tab/>
      </w:r>
      <w:r w:rsidR="00CA2FD1" w:rsidRPr="00CA2FD1">
        <w:t>=</w:t>
      </w:r>
      <w:r>
        <w:tab/>
        <w:t xml:space="preserve"> </w:t>
      </w:r>
      <w:r>
        <w:rPr>
          <w:i/>
          <w:iCs/>
        </w:rPr>
        <w:t>C</w:t>
      </w:r>
      <w:r>
        <w:t>/</w:t>
      </w:r>
      <w:r>
        <w:rPr>
          <w:i/>
          <w:iCs/>
        </w:rPr>
        <w:t>I</w:t>
      </w:r>
      <w:r>
        <w:t xml:space="preserve"> – </w:t>
      </w:r>
      <w:r>
        <w:rPr>
          <w:i/>
          <w:iCs/>
        </w:rPr>
        <w:t>C</w:t>
      </w:r>
      <w:r>
        <w:t xml:space="preserve"> </w:t>
      </w:r>
      <w:r w:rsidR="00CA2FD1" w:rsidRPr="00CA2FD1">
        <w:t>+</w:t>
      </w:r>
      <w:r>
        <w:t xml:space="preserve"> </w:t>
      </w:r>
      <w:r>
        <w:rPr>
          <w:i/>
          <w:iCs/>
        </w:rPr>
        <w:t>P</w:t>
      </w:r>
      <w:r>
        <w:t xml:space="preserve"> </w:t>
      </w:r>
      <w:r w:rsidR="00CA2FD1" w:rsidRPr="00CA2FD1">
        <w:t>+</w:t>
      </w:r>
      <w:r>
        <w:t xml:space="preserve"> (diagramme du lobe latéral dans l'équation (2)) </w:t>
      </w:r>
      <w:r>
        <w:br/>
      </w:r>
      <w:r>
        <w:tab/>
      </w:r>
      <w:r>
        <w:tab/>
      </w:r>
      <w:r>
        <w:tab/>
      </w:r>
      <w:r>
        <w:tab/>
        <w:t xml:space="preserve">– 92,5 – 20 log </w:t>
      </w:r>
      <w:proofErr w:type="gramStart"/>
      <w:r>
        <w:t>(</w:t>
      </w:r>
      <w:r>
        <w:rPr>
          <w:rFonts w:ascii="Tms Rmn" w:hAnsi="Tms Rmn"/>
          <w:sz w:val="12"/>
        </w:rPr>
        <w:t> </w:t>
      </w:r>
      <w:r>
        <w:rPr>
          <w:i/>
          <w:iCs/>
        </w:rPr>
        <w:t>f</w:t>
      </w:r>
      <w:proofErr w:type="gramEnd"/>
      <w:r>
        <w:rPr>
          <w:rFonts w:ascii="Tms Rmn" w:hAnsi="Tms Rmn"/>
          <w:sz w:val="12"/>
        </w:rPr>
        <w:t> </w:t>
      </w:r>
      <w:r>
        <w:t xml:space="preserve">) – 18,5 </w:t>
      </w:r>
      <w:r w:rsidR="00CA2FD1" w:rsidRPr="00CA2FD1">
        <w:t>+</w:t>
      </w:r>
      <w:r>
        <w:t xml:space="preserve"> 32 – 25 log (</w:t>
      </w:r>
      <w:r w:rsidR="00CA2FD1" w:rsidRPr="00CA2FD1">
        <w:sym w:font="Symbol" w:char="F06A"/>
      </w:r>
      <w:r>
        <w:t xml:space="preserve">) – </w:t>
      </w:r>
      <w:r>
        <w:rPr>
          <w:i/>
          <w:iCs/>
        </w:rPr>
        <w:t>R</w:t>
      </w:r>
      <w:r>
        <w:t xml:space="preserve">  pour </w:t>
      </w:r>
      <w:r w:rsidR="00CA2FD1" w:rsidRPr="00CA2FD1">
        <w:sym w:font="Symbol" w:char="F061"/>
      </w:r>
      <w:r>
        <w:t xml:space="preserve"> </w:t>
      </w:r>
      <w:r w:rsidR="00CA2FD1" w:rsidRPr="00CA2FD1">
        <w:t>&lt;</w:t>
      </w:r>
      <w:r>
        <w:t xml:space="preserve"> 48</w:t>
      </w:r>
      <w:r w:rsidR="00CA2FD1" w:rsidRPr="00CA2FD1">
        <w:t>°</w:t>
      </w:r>
      <w:r>
        <w:t xml:space="preserve"> y </w:t>
      </w:r>
      <w:r w:rsidR="00CA2FD1" w:rsidRPr="00CA2FD1">
        <w:sym w:font="Symbol" w:char="F06A"/>
      </w:r>
      <w:r>
        <w:t xml:space="preserve"> </w:t>
      </w:r>
      <w:r w:rsidR="00CA2FD1" w:rsidRPr="00CA2FD1">
        <w:t>&lt;</w:t>
      </w:r>
      <w:r>
        <w:t xml:space="preserve"> 48</w:t>
      </w:r>
      <w:r w:rsidR="00CA2FD1" w:rsidRPr="00CA2FD1">
        <w:t>°</w:t>
      </w:r>
      <w:r w:rsidR="005947DB" w:rsidRPr="00CA2FD1">
        <w:t xml:space="preserve">        </w:t>
      </w:r>
      <w:r>
        <w:t>(5)</w:t>
      </w:r>
    </w:p>
    <w:p w:rsidR="00BA4BE2" w:rsidRDefault="00BA4BE2" w:rsidP="00BA4BE2">
      <w:pPr>
        <w:spacing w:before="40"/>
      </w:pPr>
      <w:proofErr w:type="gramStart"/>
      <w:r>
        <w:t>où</w:t>
      </w:r>
      <w:proofErr w:type="gramEnd"/>
      <w:r>
        <w:t>:</w:t>
      </w:r>
    </w:p>
    <w:p w:rsidR="00BA4BE2" w:rsidRDefault="00BA4BE2" w:rsidP="0043655C">
      <w:pPr>
        <w:pStyle w:val="enumlev1"/>
      </w:pPr>
      <w:r>
        <w:tab/>
      </w:r>
      <w:r>
        <w:rPr>
          <w:i/>
          <w:iCs/>
        </w:rPr>
        <w:t>C</w:t>
      </w:r>
      <w:r>
        <w:t>/</w:t>
      </w:r>
      <w:r>
        <w:rPr>
          <w:i/>
          <w:iCs/>
        </w:rPr>
        <w:t>I</w:t>
      </w:r>
      <w:r>
        <w:t>:</w:t>
      </w:r>
      <w:r>
        <w:tab/>
        <w:t xml:space="preserve"> rapport de protection nécessaire pour la liaison descendante VSAT</w:t>
      </w:r>
    </w:p>
    <w:p w:rsidR="00BA4BE2" w:rsidRDefault="00BA4BE2" w:rsidP="0043655C">
      <w:r>
        <w:rPr>
          <w:i/>
          <w:iCs/>
        </w:rPr>
        <w:t>C</w:t>
      </w:r>
      <w:r>
        <w:t xml:space="preserve"> est fondé sur les valeurs supposées du rapport </w:t>
      </w:r>
      <w:r>
        <w:rPr>
          <w:i/>
          <w:iCs/>
        </w:rPr>
        <w:t>C</w:t>
      </w:r>
      <w:r>
        <w:t>/</w:t>
      </w:r>
      <w:r>
        <w:rPr>
          <w:i/>
          <w:iCs/>
        </w:rPr>
        <w:t>N</w:t>
      </w:r>
      <w:r>
        <w:t xml:space="preserve"> correspondant à:</w:t>
      </w:r>
    </w:p>
    <w:p w:rsidR="00BA4BE2" w:rsidRDefault="00BA4BE2" w:rsidP="00CA2FD1">
      <w:pPr>
        <w:pStyle w:val="enumlev1"/>
      </w:pPr>
      <w:r>
        <w:t>–</w:t>
      </w:r>
      <w:r>
        <w:tab/>
        <w:t xml:space="preserve">TEB par temps clair </w:t>
      </w:r>
      <w:r w:rsidR="00CA2FD1" w:rsidRPr="00CA2FD1">
        <w:t>&lt;</w:t>
      </w:r>
      <w:r>
        <w:t xml:space="preserve"> 1 </w:t>
      </w:r>
      <w:r w:rsidR="00CA2FD1" w:rsidRPr="00CA2FD1">
        <w:sym w:font="Symbol" w:char="F0B4"/>
      </w:r>
      <w:r>
        <w:t xml:space="preserve"> 10</w:t>
      </w:r>
      <w:r>
        <w:rPr>
          <w:position w:val="6"/>
          <w:sz w:val="16"/>
        </w:rPr>
        <w:t>–10</w:t>
      </w:r>
    </w:p>
    <w:p w:rsidR="00BA4BE2" w:rsidRDefault="00BA4BE2" w:rsidP="00BA4BE2">
      <w:pPr>
        <w:pStyle w:val="enumlev1"/>
      </w:pPr>
      <w:r>
        <w:t>–</w:t>
      </w:r>
      <w:r>
        <w:tab/>
        <w:t>Disponibilité de 99,96%</w:t>
      </w:r>
    </w:p>
    <w:p w:rsidR="00BA4BE2" w:rsidRDefault="00BA4BE2" w:rsidP="00BA4BE2">
      <w:pPr>
        <w:pStyle w:val="enumlev1"/>
      </w:pPr>
      <w:r>
        <w:t>–</w:t>
      </w:r>
      <w:r>
        <w:tab/>
        <w:t>Affectation d'un bilan de bruit de 10% au brouillage AHF.</w:t>
      </w:r>
    </w:p>
    <w:p w:rsidR="00BA4BE2" w:rsidRDefault="00BA4BE2" w:rsidP="00BA4BE2">
      <w:r>
        <w:t xml:space="preserve">On suppose que le rapport </w:t>
      </w:r>
      <w:r>
        <w:rPr>
          <w:i/>
          <w:iCs/>
        </w:rPr>
        <w:t>C</w:t>
      </w:r>
      <w:r>
        <w:t>/</w:t>
      </w:r>
      <w:r>
        <w:rPr>
          <w:i/>
          <w:iCs/>
        </w:rPr>
        <w:t>N</w:t>
      </w:r>
      <w:r>
        <w:t xml:space="preserve"> par temps clair nécessaire sera réduit de 0,4 dB du fait du brouillage (voir la Recomman</w:t>
      </w:r>
      <w:r>
        <w:softHyphen/>
        <w:t>dation UIT-R SF.558).</w:t>
      </w:r>
    </w:p>
    <w:p w:rsidR="00BA4BE2" w:rsidRDefault="00BA4BE2" w:rsidP="00BA4BE2">
      <w:r>
        <w:t xml:space="preserve">A partir du bilan de liaison d'une microstation VSAT équipée d'une antenne de 1,8 m (liaison descendante à 64 kbit/s à </w:t>
      </w:r>
      <w:r>
        <w:rPr>
          <w:color w:val="000000"/>
        </w:rPr>
        <w:t>MDP-2</w:t>
      </w:r>
      <w:r>
        <w:t xml:space="preserve"> et une CED de taux 1/2),</w:t>
      </w:r>
    </w:p>
    <w:p w:rsidR="00BA4BE2" w:rsidRPr="00D86A50" w:rsidRDefault="00BA4BE2" w:rsidP="00CA2FD1">
      <w:pPr>
        <w:pStyle w:val="Equation"/>
        <w:rPr>
          <w:lang w:val="en-US"/>
        </w:rPr>
      </w:pPr>
      <w:r>
        <w:tab/>
      </w:r>
      <w:r>
        <w:tab/>
      </w:r>
      <w:r w:rsidRPr="00D86A50">
        <w:rPr>
          <w:i/>
          <w:iCs/>
          <w:lang w:val="en-US"/>
        </w:rPr>
        <w:t>C</w:t>
      </w:r>
      <w:r w:rsidRPr="00D86A50">
        <w:rPr>
          <w:lang w:val="en-US"/>
        </w:rPr>
        <w:t>/</w:t>
      </w:r>
      <w:r w:rsidRPr="00D86A50">
        <w:rPr>
          <w:i/>
          <w:iCs/>
          <w:lang w:val="en-US"/>
        </w:rPr>
        <w:t>I</w:t>
      </w:r>
      <w:proofErr w:type="gramStart"/>
      <w:r w:rsidRPr="00D86A50">
        <w:rPr>
          <w:lang w:val="en-US"/>
        </w:rPr>
        <w:t>  </w:t>
      </w:r>
      <w:r w:rsidR="00CA2FD1" w:rsidRPr="00D86A50">
        <w:rPr>
          <w:lang w:val="en-US"/>
        </w:rPr>
        <w:t>=</w:t>
      </w:r>
      <w:proofErr w:type="gramEnd"/>
      <w:r w:rsidRPr="00D86A50">
        <w:rPr>
          <w:lang w:val="en-US"/>
        </w:rPr>
        <w:t xml:space="preserve">  10  </w:t>
      </w:r>
      <w:r w:rsidR="00CA2FD1" w:rsidRPr="00D86A50">
        <w:rPr>
          <w:lang w:val="en-US"/>
        </w:rPr>
        <w:t>+</w:t>
      </w:r>
      <w:r w:rsidRPr="00D86A50">
        <w:rPr>
          <w:lang w:val="en-US"/>
        </w:rPr>
        <w:t xml:space="preserve">  5,7  </w:t>
      </w:r>
      <w:r w:rsidR="00CA2FD1" w:rsidRPr="00D86A50">
        <w:rPr>
          <w:lang w:val="en-US"/>
        </w:rPr>
        <w:t>=</w:t>
      </w:r>
      <w:r w:rsidRPr="00D86A50">
        <w:rPr>
          <w:lang w:val="en-US"/>
        </w:rPr>
        <w:t xml:space="preserve">  15,7                    dB</w:t>
      </w:r>
    </w:p>
    <w:p w:rsidR="00BA4BE2" w:rsidRPr="00D86A50" w:rsidRDefault="00BA4BE2" w:rsidP="00CA2FD1">
      <w:pPr>
        <w:pStyle w:val="Equation"/>
        <w:tabs>
          <w:tab w:val="left" w:pos="1956"/>
          <w:tab w:val="left" w:pos="4536"/>
          <w:tab w:val="left" w:pos="4734"/>
        </w:tabs>
        <w:spacing w:before="100"/>
        <w:rPr>
          <w:lang w:val="en-US"/>
        </w:rPr>
      </w:pPr>
      <w:r w:rsidRPr="00D86A50">
        <w:rPr>
          <w:lang w:val="en-US"/>
        </w:rPr>
        <w:tab/>
      </w:r>
      <w:r w:rsidRPr="00D86A50">
        <w:rPr>
          <w:lang w:val="en-US"/>
        </w:rPr>
        <w:tab/>
      </w:r>
      <w:r w:rsidRPr="00D86A50">
        <w:rPr>
          <w:i/>
          <w:iCs/>
          <w:lang w:val="en-US"/>
        </w:rPr>
        <w:t>C</w:t>
      </w:r>
      <w:r w:rsidRPr="00D86A50">
        <w:rPr>
          <w:lang w:val="en-US"/>
        </w:rPr>
        <w:t xml:space="preserve">  </w:t>
      </w:r>
      <w:r w:rsidR="00CA2FD1" w:rsidRPr="00D86A50">
        <w:rPr>
          <w:lang w:val="en-US"/>
        </w:rPr>
        <w:t>=</w:t>
      </w:r>
      <w:r w:rsidRPr="00D86A50">
        <w:rPr>
          <w:lang w:val="en-US"/>
        </w:rPr>
        <w:t xml:space="preserve">  </w:t>
      </w:r>
      <w:r w:rsidRPr="00D86A50">
        <w:rPr>
          <w:i/>
          <w:iCs/>
          <w:lang w:val="en-US"/>
        </w:rPr>
        <w:t>C</w:t>
      </w:r>
      <w:r w:rsidRPr="00D86A50">
        <w:rPr>
          <w:lang w:val="en-US"/>
        </w:rPr>
        <w:t>/</w:t>
      </w:r>
      <w:r w:rsidRPr="00D86A50">
        <w:rPr>
          <w:i/>
          <w:iCs/>
          <w:lang w:val="en-US"/>
        </w:rPr>
        <w:t>N</w:t>
      </w:r>
      <w:r w:rsidRPr="00D86A50">
        <w:rPr>
          <w:lang w:val="en-US"/>
        </w:rPr>
        <w:t xml:space="preserve">  </w:t>
      </w:r>
      <w:r w:rsidR="00CA2FD1" w:rsidRPr="00D86A50">
        <w:rPr>
          <w:lang w:val="en-US"/>
        </w:rPr>
        <w:t>+</w:t>
      </w:r>
      <w:r w:rsidRPr="00D86A50">
        <w:rPr>
          <w:lang w:val="en-US"/>
        </w:rPr>
        <w:t xml:space="preserve">  10 log (</w:t>
      </w:r>
      <w:r w:rsidRPr="00D86A50">
        <w:rPr>
          <w:i/>
          <w:iCs/>
          <w:lang w:val="en-US"/>
        </w:rPr>
        <w:t>k</w:t>
      </w:r>
      <w:r w:rsidRPr="00D86A50">
        <w:rPr>
          <w:lang w:val="en-US"/>
        </w:rPr>
        <w:t xml:space="preserve"> </w:t>
      </w:r>
      <w:r w:rsidRPr="00D86A50">
        <w:rPr>
          <w:i/>
          <w:iCs/>
          <w:lang w:val="en-US"/>
        </w:rPr>
        <w:t>T</w:t>
      </w:r>
      <w:r w:rsidRPr="00D86A50">
        <w:rPr>
          <w:i/>
          <w:iCs/>
          <w:position w:val="-4"/>
          <w:sz w:val="18"/>
          <w:lang w:val="en-US"/>
        </w:rPr>
        <w:t>s</w:t>
      </w:r>
      <w:r w:rsidRPr="00D86A50">
        <w:rPr>
          <w:lang w:val="en-US"/>
        </w:rPr>
        <w:t xml:space="preserve"> </w:t>
      </w:r>
      <w:r w:rsidRPr="00D86A50">
        <w:rPr>
          <w:i/>
          <w:iCs/>
          <w:lang w:val="en-US"/>
        </w:rPr>
        <w:t>B</w:t>
      </w:r>
      <w:r w:rsidRPr="00D86A50">
        <w:rPr>
          <w:lang w:val="en-US"/>
        </w:rPr>
        <w:t>)</w:t>
      </w:r>
      <w:r w:rsidRPr="00D86A50">
        <w:rPr>
          <w:lang w:val="en-US"/>
        </w:rPr>
        <w:tab/>
      </w:r>
      <w:r w:rsidR="00CA2FD1" w:rsidRPr="00D86A50">
        <w:rPr>
          <w:lang w:val="en-US"/>
        </w:rPr>
        <w:t>=</w:t>
      </w:r>
      <w:r w:rsidRPr="00D86A50">
        <w:rPr>
          <w:lang w:val="en-US"/>
        </w:rPr>
        <w:t xml:space="preserve"> 5,7  </w:t>
      </w:r>
      <w:r w:rsidR="00CA2FD1" w:rsidRPr="00D86A50">
        <w:rPr>
          <w:lang w:val="en-US"/>
        </w:rPr>
        <w:t>+</w:t>
      </w:r>
      <w:r w:rsidRPr="00D86A50">
        <w:rPr>
          <w:lang w:val="en-US"/>
        </w:rPr>
        <w:t xml:space="preserve">  (–228,6  </w:t>
      </w:r>
      <w:r w:rsidR="00CA2FD1" w:rsidRPr="00D86A50">
        <w:rPr>
          <w:lang w:val="en-US"/>
        </w:rPr>
        <w:t>+</w:t>
      </w:r>
      <w:r w:rsidRPr="00D86A50">
        <w:rPr>
          <w:lang w:val="en-US"/>
        </w:rPr>
        <w:t xml:space="preserve">  20,6  </w:t>
      </w:r>
      <w:r w:rsidR="00CA2FD1" w:rsidRPr="00D86A50">
        <w:rPr>
          <w:lang w:val="en-US"/>
        </w:rPr>
        <w:t>+</w:t>
      </w:r>
      <w:r w:rsidRPr="00D86A50">
        <w:rPr>
          <w:lang w:val="en-US"/>
        </w:rPr>
        <w:t xml:space="preserve">  51,9)</w:t>
      </w:r>
    </w:p>
    <w:p w:rsidR="00BA4BE2" w:rsidRDefault="00BA4BE2" w:rsidP="00CA2FD1">
      <w:pPr>
        <w:pStyle w:val="Equation"/>
        <w:tabs>
          <w:tab w:val="left" w:pos="1956"/>
          <w:tab w:val="left" w:pos="4536"/>
          <w:tab w:val="left" w:pos="4734"/>
        </w:tabs>
        <w:spacing w:before="100"/>
      </w:pPr>
      <w:r w:rsidRPr="00D86A50">
        <w:rPr>
          <w:lang w:val="en-US"/>
        </w:rPr>
        <w:tab/>
      </w:r>
      <w:r w:rsidRPr="00D86A50">
        <w:rPr>
          <w:lang w:val="en-US"/>
        </w:rPr>
        <w:tab/>
      </w:r>
      <w:r w:rsidRPr="00D86A50">
        <w:rPr>
          <w:lang w:val="en-US"/>
        </w:rPr>
        <w:tab/>
      </w:r>
      <w:r w:rsidR="00CA2FD1" w:rsidRPr="00CA2FD1">
        <w:t>=</w:t>
      </w:r>
      <w:r>
        <w:tab/>
        <w:t>–150,4                dBW</w:t>
      </w:r>
    </w:p>
    <w:p w:rsidR="00BA4BE2" w:rsidRDefault="00BA4BE2" w:rsidP="005947DB">
      <w:pPr>
        <w:keepNext/>
        <w:keepLines/>
      </w:pPr>
      <w:r>
        <w:lastRenderedPageBreak/>
        <w:t>A partir de l'équation (5):</w:t>
      </w:r>
    </w:p>
    <w:p w:rsidR="00BA4BE2" w:rsidRDefault="00BA4BE2" w:rsidP="00CA2FD1">
      <w:pPr>
        <w:pStyle w:val="enumlev1"/>
        <w:keepNext/>
        <w:keepLines/>
        <w:tabs>
          <w:tab w:val="clear" w:pos="1191"/>
          <w:tab w:val="left" w:pos="2268"/>
          <w:tab w:val="left" w:pos="7938"/>
          <w:tab w:val="left" w:pos="8222"/>
          <w:tab w:val="left" w:pos="8505"/>
          <w:tab w:val="right" w:pos="9696"/>
        </w:tabs>
      </w:pPr>
      <w:r>
        <w:tab/>
        <w:t>20 log (</w:t>
      </w:r>
      <w:r>
        <w:rPr>
          <w:i/>
          <w:iCs/>
        </w:rPr>
        <w:t>d</w:t>
      </w:r>
      <w:r>
        <w:t>)</w:t>
      </w:r>
      <w:r>
        <w:tab/>
      </w:r>
      <w:r w:rsidR="00CA2FD1" w:rsidRPr="00CA2FD1">
        <w:t>=</w:t>
      </w:r>
      <w:r>
        <w:tab/>
        <w:t xml:space="preserve">15,7 </w:t>
      </w:r>
      <w:r w:rsidR="00CA2FD1" w:rsidRPr="00CA2FD1">
        <w:t>+</w:t>
      </w:r>
      <w:r>
        <w:t xml:space="preserve"> 150,4 – 3 </w:t>
      </w:r>
      <w:r w:rsidR="00CA2FD1" w:rsidRPr="00CA2FD1">
        <w:t>+</w:t>
      </w:r>
      <w:r>
        <w:t xml:space="preserve"> (diagramme du lobe latéral dans l'équation (2)) </w:t>
      </w:r>
      <w:r>
        <w:br/>
      </w:r>
      <w:r>
        <w:tab/>
      </w:r>
      <w:r>
        <w:tab/>
      </w:r>
      <w:r>
        <w:tab/>
        <w:t xml:space="preserve">– 92,5 – 20 log </w:t>
      </w:r>
      <w:proofErr w:type="gramStart"/>
      <w:r>
        <w:t>(</w:t>
      </w:r>
      <w:r>
        <w:rPr>
          <w:rFonts w:ascii="Tms Rmn" w:hAnsi="Tms Rmn"/>
          <w:sz w:val="12"/>
        </w:rPr>
        <w:t> </w:t>
      </w:r>
      <w:r>
        <w:rPr>
          <w:i/>
          <w:iCs/>
        </w:rPr>
        <w:t>f</w:t>
      </w:r>
      <w:proofErr w:type="gramEnd"/>
      <w:r>
        <w:rPr>
          <w:rFonts w:ascii="Tms Rmn" w:hAnsi="Tms Rmn"/>
          <w:sz w:val="12"/>
        </w:rPr>
        <w:t> </w:t>
      </w:r>
      <w:r>
        <w:t xml:space="preserve">) – 18,5 </w:t>
      </w:r>
      <w:r w:rsidR="00CA2FD1" w:rsidRPr="00CA2FD1">
        <w:t>+</w:t>
      </w:r>
      <w:r>
        <w:t xml:space="preserve"> 32 – 25 log </w:t>
      </w:r>
      <w:r w:rsidR="00CA2FD1" w:rsidRPr="00CA2FD1">
        <w:sym w:font="Symbol" w:char="F06A"/>
      </w:r>
      <w:r>
        <w:t xml:space="preserve"> – </w:t>
      </w:r>
      <w:r>
        <w:rPr>
          <w:i/>
          <w:iCs/>
        </w:rPr>
        <w:t>R</w:t>
      </w:r>
    </w:p>
    <w:p w:rsidR="00BA4BE2" w:rsidRDefault="00BA4BE2" w:rsidP="00CA2FD1">
      <w:pPr>
        <w:pStyle w:val="enumlev1"/>
        <w:keepNext/>
        <w:keepLines/>
        <w:tabs>
          <w:tab w:val="clear" w:pos="1191"/>
          <w:tab w:val="left" w:pos="2268"/>
          <w:tab w:val="left" w:pos="5670"/>
          <w:tab w:val="left" w:pos="6662"/>
          <w:tab w:val="left" w:pos="6889"/>
          <w:tab w:val="left" w:pos="7088"/>
          <w:tab w:val="left" w:pos="7938"/>
          <w:tab w:val="left" w:pos="8222"/>
          <w:tab w:val="left" w:pos="8505"/>
          <w:tab w:val="right" w:pos="9696"/>
        </w:tabs>
      </w:pPr>
      <w:r>
        <w:tab/>
      </w:r>
      <w:r>
        <w:tab/>
      </w:r>
      <w:r>
        <w:tab/>
      </w:r>
      <w:r w:rsidR="00CA2FD1" w:rsidRPr="00CA2FD1">
        <w:t>=</w:t>
      </w:r>
      <w:r>
        <w:tab/>
        <w:t xml:space="preserve">73,2 </w:t>
      </w:r>
      <w:r w:rsidR="00CA2FD1" w:rsidRPr="00CA2FD1">
        <w:t>+</w:t>
      </w:r>
      <w:r>
        <w:t xml:space="preserve"> 18 – 0,0267 </w:t>
      </w:r>
      <w:r w:rsidR="00CA2FD1" w:rsidRPr="00CA2FD1">
        <w:sym w:font="Symbol" w:char="F061"/>
      </w:r>
      <w:r>
        <w:rPr>
          <w:position w:val="6"/>
          <w:sz w:val="16"/>
        </w:rPr>
        <w:t>2</w:t>
      </w:r>
      <w:r>
        <w:t xml:space="preserve"> – 25 log </w:t>
      </w:r>
      <w:r w:rsidR="00CA2FD1" w:rsidRPr="00CA2FD1">
        <w:sym w:font="Symbol" w:char="F06A"/>
      </w:r>
      <w:r>
        <w:t xml:space="preserve"> – </w:t>
      </w:r>
      <w:r>
        <w:rPr>
          <w:i/>
          <w:iCs/>
        </w:rPr>
        <w:t>R</w:t>
      </w:r>
      <w:r>
        <w:tab/>
        <w:t>pour  0</w:t>
      </w:r>
      <w:r w:rsidR="00CA2FD1" w:rsidRPr="00CA2FD1">
        <w:t>°</w:t>
      </w:r>
      <w:r>
        <w:tab/>
      </w:r>
      <w:r>
        <w:sym w:font="Symbol" w:char="003C"/>
      </w:r>
      <w:r>
        <w:tab/>
      </w:r>
      <w:r>
        <w:sym w:font="Symbol" w:char="0061"/>
      </w:r>
      <w:r>
        <w:tab/>
      </w:r>
      <w:r w:rsidR="00CA2FD1" w:rsidRPr="00CA2FD1">
        <w:t>&lt;</w:t>
      </w:r>
      <w:r>
        <w:t xml:space="preserve">  17,6</w:t>
      </w:r>
      <w:r>
        <w:sym w:font="Symbol" w:char="00B0"/>
      </w:r>
    </w:p>
    <w:p w:rsidR="00BA4BE2" w:rsidRDefault="00BA4BE2" w:rsidP="00CA2FD1">
      <w:pPr>
        <w:pStyle w:val="enumlev1"/>
        <w:keepNext/>
        <w:keepLines/>
        <w:tabs>
          <w:tab w:val="clear" w:pos="1191"/>
          <w:tab w:val="left" w:pos="2268"/>
          <w:tab w:val="left" w:pos="5670"/>
          <w:tab w:val="left" w:pos="6662"/>
          <w:tab w:val="left" w:pos="6889"/>
          <w:tab w:val="left" w:pos="7088"/>
          <w:tab w:val="left" w:pos="7938"/>
          <w:tab w:val="left" w:pos="8222"/>
          <w:tab w:val="left" w:pos="8505"/>
          <w:tab w:val="right" w:pos="9696"/>
        </w:tabs>
      </w:pPr>
      <w:r>
        <w:tab/>
      </w:r>
      <w:r>
        <w:tab/>
      </w:r>
      <w:r>
        <w:tab/>
      </w:r>
      <w:r w:rsidR="00CA2FD1" w:rsidRPr="00CA2FD1">
        <w:t>=</w:t>
      </w:r>
      <w:r>
        <w:tab/>
        <w:t xml:space="preserve">73,2 </w:t>
      </w:r>
      <w:r w:rsidR="00CA2FD1" w:rsidRPr="00CA2FD1">
        <w:t>+</w:t>
      </w:r>
      <w:r>
        <w:t xml:space="preserve"> 9,7 – 25 log </w:t>
      </w:r>
      <w:r w:rsidR="00CA2FD1" w:rsidRPr="00CA2FD1">
        <w:sym w:font="Symbol" w:char="F06A"/>
      </w:r>
      <w:r>
        <w:t xml:space="preserve"> – </w:t>
      </w:r>
      <w:r>
        <w:rPr>
          <w:i/>
          <w:iCs/>
        </w:rPr>
        <w:t>R</w:t>
      </w:r>
      <w:r>
        <w:tab/>
      </w:r>
      <w:r>
        <w:tab/>
        <w:t>pour  17,6</w:t>
      </w:r>
      <w:r w:rsidR="00CA2FD1" w:rsidRPr="00CA2FD1">
        <w:t>°</w:t>
      </w:r>
      <w:r>
        <w:tab/>
      </w:r>
      <w:r w:rsidR="00CA2FD1" w:rsidRPr="00CA2FD1">
        <w:sym w:font="Symbol" w:char="F0A3"/>
      </w:r>
      <w:r>
        <w:tab/>
      </w:r>
      <w:r w:rsidR="00CA2FD1" w:rsidRPr="00CA2FD1">
        <w:sym w:font="Symbol" w:char="F061"/>
      </w:r>
      <w:r w:rsidR="00CA2FD1">
        <w:tab/>
      </w:r>
      <w:r w:rsidR="00CA2FD1" w:rsidRPr="00CA2FD1">
        <w:t>&lt;</w:t>
      </w:r>
      <w:r>
        <w:t xml:space="preserve">  30,6</w:t>
      </w:r>
      <w:r w:rsidR="00CA2FD1" w:rsidRPr="00CA2FD1">
        <w:t>°</w:t>
      </w:r>
    </w:p>
    <w:p w:rsidR="00BA4BE2" w:rsidRDefault="00BA4BE2" w:rsidP="00CA2FD1">
      <w:pPr>
        <w:pStyle w:val="enumlev1"/>
        <w:tabs>
          <w:tab w:val="clear" w:pos="1191"/>
          <w:tab w:val="left" w:pos="2268"/>
          <w:tab w:val="left" w:pos="5670"/>
          <w:tab w:val="left" w:pos="6662"/>
          <w:tab w:val="left" w:pos="6889"/>
          <w:tab w:val="left" w:pos="7088"/>
          <w:tab w:val="left" w:pos="7938"/>
          <w:tab w:val="left" w:pos="8222"/>
          <w:tab w:val="left" w:pos="8505"/>
          <w:tab w:val="right" w:pos="9696"/>
        </w:tabs>
      </w:pPr>
      <w:r>
        <w:tab/>
      </w:r>
      <w:r>
        <w:tab/>
      </w:r>
      <w:r>
        <w:tab/>
      </w:r>
      <w:r w:rsidR="00CA2FD1" w:rsidRPr="00CA2FD1">
        <w:t>=</w:t>
      </w:r>
      <w:r>
        <w:tab/>
        <w:t xml:space="preserve">73,2 </w:t>
      </w:r>
      <w:r w:rsidR="00CA2FD1" w:rsidRPr="00CA2FD1">
        <w:t>+</w:t>
      </w:r>
      <w:r>
        <w:t xml:space="preserve"> 46,9 – 25 log </w:t>
      </w:r>
      <w:r w:rsidR="00CA2FD1" w:rsidRPr="00CA2FD1">
        <w:sym w:font="Symbol" w:char="F061"/>
      </w:r>
      <w:r>
        <w:t xml:space="preserve"> – 25 log </w:t>
      </w:r>
      <w:r w:rsidR="00CA2FD1" w:rsidRPr="00CA2FD1">
        <w:sym w:font="Symbol" w:char="F06A"/>
      </w:r>
      <w:r>
        <w:t xml:space="preserve"> – </w:t>
      </w:r>
      <w:r>
        <w:rPr>
          <w:i/>
          <w:iCs/>
        </w:rPr>
        <w:t>R</w:t>
      </w:r>
      <w:r>
        <w:rPr>
          <w:vertAlign w:val="subscript"/>
        </w:rPr>
        <w:tab/>
      </w:r>
      <w:r>
        <w:t>pour  30,6</w:t>
      </w:r>
      <w:r w:rsidR="00CA2FD1" w:rsidRPr="00CA2FD1">
        <w:t>°</w:t>
      </w:r>
      <w:r>
        <w:tab/>
      </w:r>
      <w:r w:rsidR="00CA2FD1" w:rsidRPr="00CA2FD1">
        <w:sym w:font="Symbol" w:char="F0A3"/>
      </w:r>
      <w:r>
        <w:tab/>
      </w:r>
      <w:r w:rsidR="00CA2FD1" w:rsidRPr="00CA2FD1">
        <w:sym w:font="Symbol" w:char="F061"/>
      </w:r>
      <w:r w:rsidR="00CA2FD1">
        <w:tab/>
      </w:r>
      <w:r w:rsidR="00CA2FD1" w:rsidRPr="00CA2FD1">
        <w:t>&lt;</w:t>
      </w:r>
      <w:r>
        <w:t xml:space="preserve">  48</w:t>
      </w:r>
      <w:r w:rsidR="00CA2FD1" w:rsidRPr="00CA2FD1">
        <w:t>°</w:t>
      </w:r>
    </w:p>
    <w:p w:rsidR="00BA4BE2" w:rsidRDefault="00BA4BE2" w:rsidP="00CA2FD1">
      <w:r>
        <w:t>Ces équations sont valables dans l'intervalle 4,8</w:t>
      </w:r>
      <w:r w:rsidR="00CA2FD1" w:rsidRPr="00CA2FD1">
        <w:t>°</w:t>
      </w:r>
      <w:r>
        <w:t xml:space="preserve"> </w:t>
      </w:r>
      <w:r w:rsidR="00CA2FD1" w:rsidRPr="00CA2FD1">
        <w:sym w:font="Symbol" w:char="F0A3"/>
      </w:r>
      <w:r>
        <w:t xml:space="preserve"> </w:t>
      </w:r>
      <w:r w:rsidR="00CA2FD1" w:rsidRPr="00CA2FD1">
        <w:sym w:font="Symbol" w:char="F06A"/>
      </w:r>
      <w:r>
        <w:t xml:space="preserve"> </w:t>
      </w:r>
      <w:r w:rsidR="00CA2FD1" w:rsidRPr="00CA2FD1">
        <w:t>&lt;</w:t>
      </w:r>
      <w:r>
        <w:t xml:space="preserve"> 48</w:t>
      </w:r>
      <w:r w:rsidR="00CA2FD1" w:rsidRPr="00CA2FD1">
        <w:t>°</w:t>
      </w:r>
      <w:r>
        <w:t>.</w:t>
      </w:r>
    </w:p>
    <w:p w:rsidR="00BA4BE2" w:rsidRDefault="00BA4BE2" w:rsidP="00BA4BE2">
      <w:r>
        <w:t>La Fig. 1 illustre les distances de séparation nécessaires, établies selon cette méthodologie, entre les stations d'extré</w:t>
      </w:r>
      <w:r>
        <w:softHyphen/>
        <w:t>mité AHF et les stations VSAT en s'appuyant sur les paramètres systèmes suivants:</w:t>
      </w:r>
    </w:p>
    <w:p w:rsidR="00BA4BE2" w:rsidRDefault="00BA4BE2" w:rsidP="00BA4BE2">
      <w:pPr>
        <w:pStyle w:val="enumlev1"/>
        <w:tabs>
          <w:tab w:val="left" w:pos="5670"/>
        </w:tabs>
      </w:pPr>
      <w:r>
        <w:t>–</w:t>
      </w:r>
      <w:r>
        <w:tab/>
        <w:t>Hauteur de la station d'extrémité AHF:</w:t>
      </w:r>
      <w:r>
        <w:tab/>
        <w:t>10 m</w:t>
      </w:r>
    </w:p>
    <w:p w:rsidR="00BA4BE2" w:rsidRDefault="00BA4BE2" w:rsidP="00CA2FD1">
      <w:pPr>
        <w:pStyle w:val="enumlev1"/>
        <w:tabs>
          <w:tab w:val="left" w:pos="5670"/>
        </w:tabs>
      </w:pPr>
      <w:r>
        <w:t>–</w:t>
      </w:r>
      <w:r>
        <w:tab/>
        <w:t>Angle d'élévation VSAT:</w:t>
      </w:r>
      <w:r>
        <w:tab/>
        <w:t>20</w:t>
      </w:r>
      <w:r w:rsidR="00CA2FD1" w:rsidRPr="00CA2FD1">
        <w:t>°</w:t>
      </w:r>
    </w:p>
    <w:p w:rsidR="00BA4BE2" w:rsidRDefault="00BA4BE2" w:rsidP="00BA4BE2">
      <w:pPr>
        <w:pStyle w:val="enumlev1"/>
        <w:tabs>
          <w:tab w:val="left" w:pos="5670"/>
        </w:tabs>
      </w:pPr>
      <w:r>
        <w:t>–</w:t>
      </w:r>
      <w:r>
        <w:tab/>
        <w:t>Caractéristiques du système AHF:</w:t>
      </w:r>
      <w:r>
        <w:tab/>
        <w:t>voir § 2.1</w:t>
      </w:r>
    </w:p>
    <w:p w:rsidR="00BA4BE2" w:rsidRDefault="00BA4BE2" w:rsidP="00BA4BE2">
      <w:pPr>
        <w:pStyle w:val="enumlev1"/>
        <w:tabs>
          <w:tab w:val="left" w:pos="5670"/>
        </w:tabs>
      </w:pPr>
      <w:r>
        <w:t>–</w:t>
      </w:r>
      <w:r>
        <w:tab/>
        <w:t>Caractéristiques du système VSAT:</w:t>
      </w:r>
      <w:r>
        <w:tab/>
        <w:t>voir § 2.1</w:t>
      </w:r>
    </w:p>
    <w:p w:rsidR="00BA4BE2" w:rsidRDefault="00BA4BE2" w:rsidP="00CA2FD1">
      <w:pPr>
        <w:pStyle w:val="enumlev1"/>
        <w:tabs>
          <w:tab w:val="left" w:pos="5670"/>
        </w:tabs>
        <w:jc w:val="left"/>
      </w:pPr>
      <w:r>
        <w:t>–</w:t>
      </w:r>
      <w:r>
        <w:tab/>
        <w:t xml:space="preserve">Affaiblissement supplémentaire du brouillage </w:t>
      </w:r>
      <w:r>
        <w:br/>
        <w:t xml:space="preserve">imputable à l'isolation due à l'effet d'écran </w:t>
      </w:r>
      <w:r>
        <w:br/>
        <w:t>du terrain au niveau de la station VSAT</w:t>
      </w:r>
      <w:r w:rsidR="00CA2FD1" w:rsidRPr="00CA2FD1">
        <w:t>:</w:t>
      </w:r>
      <w:r>
        <w:tab/>
        <w:t>20, 30 et 40 dB</w:t>
      </w:r>
    </w:p>
    <w:p w:rsidR="00BA4BE2" w:rsidRDefault="00BA4BE2" w:rsidP="00BA4BE2">
      <w:r>
        <w:t>Il convient de noter que dans certains cas les stations d'extrémité AHF peuvent être installées à une altitude plus élevée que la station VSAT et exiger une inclinaison d'antenne vers le bas considérable. Dans ces cas, les distances de sépa</w:t>
      </w:r>
      <w:r>
        <w:softHyphen/>
        <w:t>ration seront augmentées proportionnellement à la réduction correspondante de l'angle d'élévation de la station VSAT.</w:t>
      </w:r>
    </w:p>
    <w:p w:rsidR="00BA4BE2" w:rsidRDefault="00BA4BE2" w:rsidP="00BA4BE2">
      <w:pPr>
        <w:pStyle w:val="Heading2"/>
      </w:pPr>
      <w:r>
        <w:t>2.4</w:t>
      </w:r>
      <w:r>
        <w:tab/>
        <w:t>Brouillage causé par une station centrale AHF à une station VSAT</w:t>
      </w:r>
    </w:p>
    <w:p w:rsidR="00BA4BE2" w:rsidRDefault="00BA4BE2" w:rsidP="00BA4BE2">
      <w:r>
        <w:t>La station centrale AHF, en dépit du fait que sa p.i.r.e. soit inférieure d'environ 5 dB à celle de la station d'extrémité, est généralement installée sur un point plus élevé pour éviter les groupes d'obstacles locaux et équipés d'une antenne à couverture sectorielle large; elle présente aussi une probabilité d'activité plus grande que la station d'extrémité. Il convient d'appliquer une analyse similaire au partage entre la station centrale AHF et les stations VSAT et de veiller particulièrement à sélectionner un modèle de propagation approprié (comprenant un évanouissement de type conduit).</w:t>
      </w:r>
    </w:p>
    <w:p w:rsidR="00BA4BE2" w:rsidRDefault="00BA4BE2" w:rsidP="0043655C">
      <w:pPr>
        <w:pStyle w:val="FigureNo"/>
      </w:pPr>
      <w:r>
        <w:rPr>
          <w:noProof/>
          <w:lang w:val="en-US" w:eastAsia="zh-CN"/>
        </w:rPr>
        <w:lastRenderedPageBreak/>
        <w:drawing>
          <wp:inline distT="0" distB="0" distL="0" distR="0" wp14:anchorId="65AB6319" wp14:editId="7B059E87">
            <wp:extent cx="5974080" cy="4389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080" cy="4389120"/>
                    </a:xfrm>
                    <a:prstGeom prst="rect">
                      <a:avLst/>
                    </a:prstGeom>
                    <a:noFill/>
                    <a:ln>
                      <a:noFill/>
                    </a:ln>
                  </pic:spPr>
                </pic:pic>
              </a:graphicData>
            </a:graphic>
          </wp:inline>
        </w:drawing>
      </w:r>
    </w:p>
    <w:p w:rsidR="00BA4BE2" w:rsidRDefault="00BA4BE2" w:rsidP="00BA4BE2">
      <w:pPr>
        <w:pStyle w:val="Fig0"/>
        <w:spacing w:before="0"/>
        <w:rPr>
          <w:sz w:val="8"/>
          <w:lang w:val="fr-FR"/>
        </w:rPr>
      </w:pPr>
      <w:r>
        <w:rPr>
          <w:sz w:val="8"/>
          <w:lang w:val="fr-FR"/>
        </w:rPr>
        <w:t>FIGURE 1486-01</w:t>
      </w:r>
    </w:p>
    <w:p w:rsidR="00BA4BE2" w:rsidRDefault="00BA4BE2" w:rsidP="00BA4BE2">
      <w:pPr>
        <w:pStyle w:val="Heading2"/>
      </w:pPr>
      <w:r>
        <w:t>2.5</w:t>
      </w:r>
      <w:r>
        <w:tab/>
        <w:t>Effet d'écran du terrain</w:t>
      </w:r>
    </w:p>
    <w:p w:rsidR="00B80440" w:rsidRDefault="00BA4BE2" w:rsidP="00B80440">
      <w:r>
        <w:t>Afin de justifier la possibilité pratique de retenir une isolation par effet d'écran de l'ordre de 30 dB, l'Appendice 1 traite de l'isolation qu'il est possible d'obtenir, calculée conformément à la Recommandation UIT-R P.526. Les avantages apportés par l'installation de l'antenne VSAT près du sol peuvent être constatés; il en va de même des valeurs d'isolation types de l'arête de diffraction jusqu'aux espacements des VSAT qui seraient cohérents avec une installation à proximité par exemple d'un mur d'un bâtiment de plain-pied.</w:t>
      </w:r>
    </w:p>
    <w:p w:rsidR="00BA4BE2" w:rsidRDefault="00BA4BE2" w:rsidP="00B80440"/>
    <w:p w:rsidR="005947DB" w:rsidRDefault="005947DB" w:rsidP="00B80440"/>
    <w:p w:rsidR="005947DB" w:rsidRDefault="005947DB" w:rsidP="00B80440"/>
    <w:p w:rsidR="00E133CA" w:rsidRDefault="00E133CA" w:rsidP="0043655C">
      <w:pPr>
        <w:pStyle w:val="Appendix"/>
      </w:pPr>
      <w:r>
        <w:br w:type="page"/>
      </w:r>
    </w:p>
    <w:p w:rsidR="00BA4BE2" w:rsidRDefault="00BA4BE2" w:rsidP="00D86A50">
      <w:pPr>
        <w:pStyle w:val="Appendix"/>
      </w:pPr>
      <w:r>
        <w:lastRenderedPageBreak/>
        <w:t>APPENDICE 1</w:t>
      </w:r>
      <w:r>
        <w:br/>
        <w:t>À L'ANNEXE 1</w:t>
      </w:r>
    </w:p>
    <w:p w:rsidR="00BA4BE2" w:rsidRDefault="00BA4BE2" w:rsidP="00BA4BE2">
      <w:pPr>
        <w:pStyle w:val="AppendixTitle"/>
      </w:pPr>
      <w:r>
        <w:t xml:space="preserve">Exemples d'isolation par effet d'écran réalisables par la mise </w:t>
      </w:r>
      <w:r>
        <w:br/>
        <w:t>en œuvre de mesures appropriées au niveau du VSAT</w:t>
      </w:r>
    </w:p>
    <w:p w:rsidR="00BA4BE2" w:rsidRDefault="00BA4BE2" w:rsidP="005947DB">
      <w:pPr>
        <w:pStyle w:val="Normalaftertitle"/>
      </w:pPr>
      <w:r>
        <w:t>Pour obtenir des distances de séparation acceptables, il faut normalement utiliser les diffractions ou d'autres affaiblis</w:t>
      </w:r>
      <w:r>
        <w:softHyphen/>
        <w:t>sements complémentaires procurés dans l'environnement physique de la station VSAT. Pour les besoins de la présente analyse, on peut considérer, avec une bonne approximation, qu'un bâtiment, un alignement d'arbres ou un obstacle similaire pas trop proche provoque une diffraction par bord unique (voir Fig. 2).</w:t>
      </w:r>
    </w:p>
    <w:p w:rsidR="00BA4BE2" w:rsidRDefault="00BA4BE2" w:rsidP="005947DB">
      <w:r>
        <w:t>Il est évident que la source de diffraction doit se trouver en dehors de la zone de Fresnel. A titre indicatif, à cette fréquence, on peut considérer qu'il s'agit de la zone qui s'étend sous forme d'un cône situé à environ 9 m du réflecteur parabolique de la station VSAT jusqu'à un diamètre d'environ 3,2 m et qui se prolonge ensuite en conservant le même diamètre jusqu'à au moins 17</w:t>
      </w:r>
      <w:r w:rsidR="005947DB">
        <w:t> </w:t>
      </w:r>
      <w:r>
        <w:t xml:space="preserve">m de l'antenne. On peut démontrer facilement que la variation de la diffraction calculée en fonction de la distance bordure-émetteur, </w:t>
      </w:r>
      <w:r>
        <w:rPr>
          <w:i/>
          <w:iCs/>
        </w:rPr>
        <w:t>d</w:t>
      </w:r>
      <w:r>
        <w:rPr>
          <w:position w:val="-4"/>
          <w:sz w:val="16"/>
        </w:rPr>
        <w:t>1</w:t>
      </w:r>
      <w:r>
        <w:t xml:space="preserve">, est négligeable dans la pratique. Les diffractions prévues pour un modèle théorique avec un bord unique calculées et résumées dans les exemples présentés sont comprises entre 2 et 33 dB; ces valeurs recouvrent des situations plausibles correspondant à des valeurs </w:t>
      </w:r>
      <w:r>
        <w:rPr>
          <w:i/>
          <w:iCs/>
        </w:rPr>
        <w:t>p</w:t>
      </w:r>
      <w:r>
        <w:t xml:space="preserve"> de 5 m, des espacements, </w:t>
      </w:r>
      <w:r>
        <w:rPr>
          <w:i/>
          <w:iCs/>
        </w:rPr>
        <w:t>d</w:t>
      </w:r>
      <w:r>
        <w:rPr>
          <w:position w:val="-4"/>
          <w:sz w:val="16"/>
        </w:rPr>
        <w:t>2</w:t>
      </w:r>
      <w:r>
        <w:t xml:space="preserve"> de 5 à 20 m et des hauteurs, </w:t>
      </w:r>
      <w:r>
        <w:rPr>
          <w:i/>
          <w:iCs/>
        </w:rPr>
        <w:t>d</w:t>
      </w:r>
      <w:r>
        <w:rPr>
          <w:i/>
          <w:iCs/>
          <w:position w:val="-4"/>
          <w:sz w:val="16"/>
        </w:rPr>
        <w:t>v</w:t>
      </w:r>
      <w:r>
        <w:t xml:space="preserve"> de 1 à 6 m.</w:t>
      </w:r>
    </w:p>
    <w:p w:rsidR="00BA4BE2" w:rsidRDefault="00BA4BE2" w:rsidP="00BA4BE2">
      <w:r>
        <w:t>Les stations d'extrémité sont en général rarement situées à plus de 10 m de hauteur. Les stations VSAT sont généralement installées sur le toit et non protégées, et la différence de protection avec une installation plus souhaitable au niveau du sol et protégée par un effet d'écran, peut être estimée à environ 33 dB, calculée conformément à la Recom</w:t>
      </w:r>
      <w:r>
        <w:softHyphen/>
        <w:t>mandation UIT</w:t>
      </w:r>
      <w:r>
        <w:noBreakHyphen/>
        <w:t>R P.526.</w:t>
      </w:r>
    </w:p>
    <w:p w:rsidR="00BA4BE2" w:rsidRDefault="00BA4BE2" w:rsidP="0043655C">
      <w:pPr>
        <w:pStyle w:val="FigureNo"/>
      </w:pPr>
      <w:r>
        <w:rPr>
          <w:noProof/>
          <w:lang w:val="en-US" w:eastAsia="zh-CN"/>
        </w:rPr>
        <w:drawing>
          <wp:inline distT="0" distB="0" distL="0" distR="0" wp14:anchorId="24DD3294" wp14:editId="54EA288A">
            <wp:extent cx="3978910" cy="2893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8910" cy="2893060"/>
                    </a:xfrm>
                    <a:prstGeom prst="rect">
                      <a:avLst/>
                    </a:prstGeom>
                    <a:noFill/>
                    <a:ln>
                      <a:noFill/>
                    </a:ln>
                  </pic:spPr>
                </pic:pic>
              </a:graphicData>
            </a:graphic>
          </wp:inline>
        </w:drawing>
      </w:r>
    </w:p>
    <w:p w:rsidR="00B80440" w:rsidRDefault="00B80440" w:rsidP="005947DB"/>
    <w:p w:rsidR="005947DB" w:rsidRPr="005947DB" w:rsidRDefault="005947DB" w:rsidP="005947DB"/>
    <w:p w:rsidR="00E133CA" w:rsidRDefault="00E133CA" w:rsidP="00BA4BE2">
      <w:pPr>
        <w:pStyle w:val="Annex"/>
        <w:spacing w:before="240"/>
      </w:pPr>
      <w:r>
        <w:br w:type="page"/>
      </w:r>
    </w:p>
    <w:p w:rsidR="00BA4BE2" w:rsidRDefault="00BA4BE2" w:rsidP="00BA4BE2">
      <w:pPr>
        <w:pStyle w:val="Annex"/>
        <w:spacing w:before="240"/>
      </w:pPr>
      <w:r>
        <w:lastRenderedPageBreak/>
        <w:t>ANNEXE 2</w:t>
      </w:r>
    </w:p>
    <w:p w:rsidR="00BA4BE2" w:rsidRDefault="00BA4BE2" w:rsidP="00BA4BE2">
      <w:pPr>
        <w:pStyle w:val="AnnexTitle"/>
      </w:pPr>
      <w:r>
        <w:t xml:space="preserve">Méthodes de limitation des brouillages pour l'installation coordonnée </w:t>
      </w:r>
      <w:r>
        <w:br/>
        <w:t>de systèmes VSAT du SFS et de systèmes de Terre AHF</w:t>
      </w:r>
    </w:p>
    <w:p w:rsidR="00BA4BE2" w:rsidRDefault="00BA4BE2" w:rsidP="005947DB">
      <w:pPr>
        <w:pStyle w:val="Normalaftertitle"/>
      </w:pPr>
      <w:r>
        <w:t>Les suggestions de base suivantes concernent les cas où les angles d'élévation des satellites permettent une co-implantation dans la même zone géographique comme décrit à l'Annexe 1 (voir la Note 1):</w:t>
      </w:r>
    </w:p>
    <w:p w:rsidR="00BA4BE2" w:rsidRDefault="00BA4BE2" w:rsidP="00BA4BE2">
      <w:pPr>
        <w:pStyle w:val="enumlev1"/>
      </w:pPr>
      <w:r>
        <w:t>–</w:t>
      </w:r>
      <w:r>
        <w:tab/>
        <w:t>les stations VSAT doivent, dans toute la mesure du possible, être installées de façon à maximiser par effet d'écran la protection contre les brouillages que pourraient causer les systèmes AHF;</w:t>
      </w:r>
    </w:p>
    <w:p w:rsidR="00BA4BE2" w:rsidRDefault="00BA4BE2" w:rsidP="00BA4BE2">
      <w:pPr>
        <w:pStyle w:val="enumlev1"/>
      </w:pPr>
      <w:r>
        <w:t>–</w:t>
      </w:r>
      <w:r>
        <w:tab/>
        <w:t>les stations VSAT et les stations AHF point à multipoint ne doivent pas être installées plus haut que nécessaire pour l'application envisagée;</w:t>
      </w:r>
    </w:p>
    <w:p w:rsidR="00BA4BE2" w:rsidRDefault="00BA4BE2" w:rsidP="00BA4BE2">
      <w:pPr>
        <w:pStyle w:val="enumlev1"/>
      </w:pPr>
      <w:r>
        <w:t>–</w:t>
      </w:r>
      <w:r>
        <w:tab/>
        <w:t>les stations d'extrémité AHF doivent, dans la mesure du possible, être installées de façon à réduire le rayonnement arrière, par exemple en les plaçant contre un mur, sous le faîte du toit, etc., et en évitant les réflexions en direction de la station VSAT;</w:t>
      </w:r>
    </w:p>
    <w:p w:rsidR="00BA4BE2" w:rsidRDefault="00BA4BE2" w:rsidP="00BA4BE2">
      <w:pPr>
        <w:pStyle w:val="enumlev1"/>
      </w:pPr>
      <w:r>
        <w:t>–</w:t>
      </w:r>
      <w:r>
        <w:tab/>
        <w:t>lors de l'installation de tels systèmes du service fixe ou du SFS, il convient de tirer partie du relief, c'est-à-dire d'exploiter les dépressions, les effets d'écran naturels pour accroître l'affaiblissement par diffraction/effet d'obstacle;</w:t>
      </w:r>
    </w:p>
    <w:p w:rsidR="00BA4BE2" w:rsidRDefault="00BA4BE2" w:rsidP="00BA4BE2">
      <w:pPr>
        <w:pStyle w:val="enumlev1"/>
      </w:pPr>
      <w:r>
        <w:t>–</w:t>
      </w:r>
      <w:r>
        <w:tab/>
        <w:t>en l'absence d'écran naturel, il convient d'utiliser des obstacles artificiels comme par exemple installer judicieusement les stations VSAT au milieu de constructions, etc.;</w:t>
      </w:r>
    </w:p>
    <w:p w:rsidR="00BA4BE2" w:rsidRDefault="00BA4BE2" w:rsidP="00BA4BE2">
      <w:pPr>
        <w:pStyle w:val="enumlev1"/>
      </w:pPr>
      <w:r>
        <w:t>–</w:t>
      </w:r>
      <w:r>
        <w:tab/>
        <w:t>il peut être possible dans certains cas d'adapter le diagramme des sources primaires des antennes VSAT pour assurer un rejet plus important des brouillages;</w:t>
      </w:r>
    </w:p>
    <w:p w:rsidR="00BA4BE2" w:rsidRDefault="00BA4BE2" w:rsidP="00BA4BE2">
      <w:pPr>
        <w:pStyle w:val="enumlev1"/>
      </w:pPr>
      <w:bookmarkStart w:id="4" w:name="dsgno"/>
      <w:bookmarkEnd w:id="4"/>
      <w:r>
        <w:t>–</w:t>
      </w:r>
      <w:r>
        <w:tab/>
        <w:t>on peut tirer profit dans certains cas de l'utilisation d'antennes plus directives dans les stations centrales ou les stations d'extrémité AHF.</w:t>
      </w:r>
    </w:p>
    <w:p w:rsidR="00BA4BE2" w:rsidRDefault="00BA4BE2" w:rsidP="00BA4BE2">
      <w:pPr>
        <w:pStyle w:val="Note"/>
      </w:pPr>
      <w:r>
        <w:t>NOTE 1 – Bien qu'il soit possible d'exploiter la polarisation orthogonale comme discriminant inter-secteurs et/ou inter-cellules au sein de systèmes AHF (typiquement de l'ordre de 5 dB), il n'est pas possible d'utiliser cette caractéristique pour réduire le brouillage vers le VSAT du fait de l'utilisation généralisée de la polarisation circulaire dans la liaison espace vers Terre pour ces systèmes du SFS.</w:t>
      </w:r>
    </w:p>
    <w:p w:rsidR="00BA4BE2" w:rsidRDefault="00BA4BE2" w:rsidP="00BA4BE2"/>
    <w:p w:rsidR="00BA4BE2" w:rsidRPr="00D86A50" w:rsidRDefault="00BA4BE2" w:rsidP="00DD1934">
      <w:pPr>
        <w:pStyle w:val="Line"/>
        <w:rPr>
          <w:lang w:val="fr-CH"/>
        </w:rPr>
      </w:pPr>
    </w:p>
    <w:p w:rsidR="00BA4BE2" w:rsidRPr="00BA4BE2" w:rsidRDefault="00BA4BE2" w:rsidP="00A6617B">
      <w:pPr>
        <w:rPr>
          <w:lang w:val="fr-CH"/>
        </w:rPr>
      </w:pPr>
    </w:p>
    <w:sectPr w:rsidR="00BA4BE2" w:rsidRPr="00BA4BE2" w:rsidSect="005677CC">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187" w:rsidRDefault="00184187">
      <w:r>
        <w:separator/>
      </w:r>
    </w:p>
  </w:endnote>
  <w:endnote w:type="continuationSeparator" w:id="0">
    <w:p w:rsidR="00184187" w:rsidRDefault="0018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187" w:rsidRDefault="00184187">
      <w:r>
        <w:separator/>
      </w:r>
    </w:p>
  </w:footnote>
  <w:footnote w:type="continuationSeparator" w:id="0">
    <w:p w:rsidR="00184187" w:rsidRDefault="00184187">
      <w:r>
        <w:continuationSeparator/>
      </w:r>
    </w:p>
  </w:footnote>
  <w:footnote w:id="1">
    <w:p w:rsidR="00184187" w:rsidRDefault="00184187" w:rsidP="00DD1934">
      <w:pPr>
        <w:pStyle w:val="FootnoteText"/>
      </w:pPr>
      <w:r>
        <w:rPr>
          <w:rStyle w:val="FootnoteReference"/>
        </w:rPr>
        <w:t>*</w:t>
      </w:r>
      <w:r>
        <w:tab/>
        <w:t>La présente Recommandation doit être portée à l'attention de la Commission d'études 3 des radiocommunications.</w:t>
      </w:r>
    </w:p>
  </w:footnote>
  <w:footnote w:id="2">
    <w:p w:rsidR="00184187" w:rsidRPr="007F33C7" w:rsidRDefault="00184187" w:rsidP="00DD1934">
      <w:pPr>
        <w:pStyle w:val="FootnoteText"/>
        <w:rPr>
          <w:lang w:val="fr-CH"/>
        </w:rPr>
      </w:pPr>
      <w:r w:rsidRPr="007F33C7">
        <w:rPr>
          <w:rStyle w:val="FootnoteReference"/>
          <w:lang w:val="fr-CH"/>
        </w:rPr>
        <w:t>**</w:t>
      </w:r>
      <w:r w:rsidRPr="007F33C7">
        <w:rPr>
          <w:lang w:val="fr-CH"/>
        </w:rPr>
        <w:t xml:space="preserve"> </w:t>
      </w:r>
      <w:r>
        <w:rPr>
          <w:lang w:val="fr-CH"/>
        </w:rPr>
        <w:tab/>
      </w:r>
      <w:r w:rsidRPr="007F33C7">
        <w:rPr>
          <w:lang w:val="fr-CH"/>
        </w:rPr>
        <w:t xml:space="preserve">La </w:t>
      </w:r>
      <w:r>
        <w:rPr>
          <w:lang w:val="fr-CH"/>
        </w:rPr>
        <w:t>Commission d'études </w:t>
      </w:r>
      <w:r w:rsidRPr="007F33C7">
        <w:rPr>
          <w:lang w:val="fr-CH"/>
        </w:rPr>
        <w:t xml:space="preserve">5 des </w:t>
      </w:r>
      <w:r>
        <w:rPr>
          <w:lang w:val="fr-CH"/>
        </w:rPr>
        <w:t>radiocommunication</w:t>
      </w:r>
      <w:r w:rsidRPr="007F33C7">
        <w:rPr>
          <w:lang w:val="fr-CH"/>
        </w:rPr>
        <w:t xml:space="preserve">s a apporté des </w:t>
      </w:r>
      <w:r w:rsidRPr="00BA52CC">
        <w:rPr>
          <w:szCs w:val="24"/>
          <w:lang w:val="fr-CH"/>
        </w:rPr>
        <w:t>modification</w:t>
      </w:r>
      <w:r>
        <w:rPr>
          <w:lang w:val="fr-CH"/>
        </w:rPr>
        <w:t xml:space="preserve">s rédactionnelles à cette </w:t>
      </w:r>
      <w:r w:rsidRPr="00B20E92">
        <w:rPr>
          <w:lang w:val="fr-CH"/>
        </w:rPr>
        <w:t>Recommandation</w:t>
      </w:r>
      <w:r>
        <w:rPr>
          <w:lang w:val="fr-CH"/>
        </w:rPr>
        <w:t xml:space="preserve"> en décembre 2009 </w:t>
      </w:r>
      <w:r w:rsidRPr="00B20E92">
        <w:rPr>
          <w:lang w:val="fr-CH"/>
        </w:rPr>
        <w:t>conformément</w:t>
      </w:r>
      <w:r>
        <w:rPr>
          <w:lang w:val="fr-CH"/>
        </w:rPr>
        <w:t xml:space="preserve"> aux dispositions de la </w:t>
      </w:r>
      <w:r w:rsidRPr="00B20E92">
        <w:rPr>
          <w:lang w:val="fr-CH"/>
        </w:rPr>
        <w:t>Résolution</w:t>
      </w:r>
      <w:r>
        <w:rPr>
          <w:lang w:val="fr-CH"/>
        </w:rPr>
        <w:t xml:space="preserve"> UIT</w:t>
      </w:r>
      <w:r>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87" w:rsidRDefault="0018418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87" w:rsidRDefault="00184187" w:rsidP="00184187">
    <w:pPr>
      <w:pStyle w:val="Header"/>
      <w:ind w:right="360" w:firstLine="360"/>
    </w:pPr>
    <w:r>
      <w:rPr>
        <w:noProof/>
        <w:lang w:val="en-US" w:eastAsia="zh-CN"/>
      </w:rPr>
      <w:drawing>
        <wp:anchor distT="0" distB="0" distL="114300" distR="114300" simplePos="0" relativeHeight="251659264" behindDoc="1" locked="0" layoutInCell="1" allowOverlap="1" wp14:anchorId="2C344D89" wp14:editId="6D8F4D1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87" w:rsidRPr="00837CB5" w:rsidRDefault="0018418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56D96">
      <w:rPr>
        <w:rStyle w:val="PageNumber"/>
        <w:b/>
        <w:bCs/>
        <w:noProof/>
      </w:rPr>
      <w:t>ii</w:t>
    </w:r>
    <w:r>
      <w:rPr>
        <w:rStyle w:val="PageNumber"/>
        <w:b/>
        <w:bCs/>
      </w:rPr>
      <w:fldChar w:fldCharType="end"/>
    </w:r>
    <w:r w:rsidRPr="00837CB5">
      <w:tab/>
    </w:r>
    <w:fldSimple w:instr=" DOCPROPERTY &quot;Header&quot; \* MERGEFORMAT ">
      <w:r w:rsidR="00B74E93" w:rsidRPr="00B74E9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56D96">
      <w:rPr>
        <w:b/>
        <w:bCs/>
        <w:noProof/>
      </w:rPr>
      <w:t>UIT-R  SF.1486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87" w:rsidRDefault="00184187">
    <w:pPr>
      <w:pStyle w:val="Header"/>
    </w:pPr>
    <w:r>
      <w:tab/>
    </w:r>
    <w:fldSimple w:instr=" DOCPROPERTY &quot;Header&quot; \* MERGEFORMAT ">
      <w:r w:rsidR="00B74E93" w:rsidRPr="00B74E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4E93">
      <w:rPr>
        <w:b/>
        <w:bCs/>
        <w:noProof/>
      </w:rPr>
      <w:t>UIT-R  S.1486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87" w:rsidRDefault="001841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56D96">
      <w:rPr>
        <w:rStyle w:val="PageNumber"/>
        <w:b/>
        <w:bCs/>
        <w:noProof/>
        <w:lang w:val="en-US"/>
      </w:rPr>
      <w:t>10</w:t>
    </w:r>
    <w:r>
      <w:rPr>
        <w:rStyle w:val="PageNumber"/>
        <w:b/>
        <w:bCs/>
      </w:rPr>
      <w:fldChar w:fldCharType="end"/>
    </w:r>
    <w:r>
      <w:rPr>
        <w:lang w:val="en-US"/>
      </w:rPr>
      <w:tab/>
    </w:r>
    <w:fldSimple w:instr=" DOCPROPERTY &quot;Header&quot; \* MERGEFORMAT ">
      <w:r w:rsidR="00B74E93" w:rsidRPr="00B74E9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56D96">
      <w:rPr>
        <w:b/>
        <w:bCs/>
        <w:noProof/>
      </w:rPr>
      <w:t>UIT-R  S.1486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87" w:rsidRDefault="00184187">
    <w:pPr>
      <w:pStyle w:val="Header"/>
    </w:pPr>
    <w:r>
      <w:tab/>
    </w:r>
    <w:fldSimple w:instr=" DOCPROPERTY &quot;Header&quot; \* MERGEFORMAT ">
      <w:r w:rsidR="00B74E93" w:rsidRPr="00B74E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56D96">
      <w:rPr>
        <w:b/>
        <w:bCs/>
        <w:noProof/>
      </w:rPr>
      <w:t>UIT-R  SF.1486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56D9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BE2"/>
    <w:rsid w:val="00184187"/>
    <w:rsid w:val="00217EBF"/>
    <w:rsid w:val="002D76C4"/>
    <w:rsid w:val="0043655C"/>
    <w:rsid w:val="00456D96"/>
    <w:rsid w:val="005677CC"/>
    <w:rsid w:val="005947DB"/>
    <w:rsid w:val="00607D68"/>
    <w:rsid w:val="007468DA"/>
    <w:rsid w:val="00A6617B"/>
    <w:rsid w:val="00AB0DC8"/>
    <w:rsid w:val="00B44E24"/>
    <w:rsid w:val="00B74E93"/>
    <w:rsid w:val="00B80440"/>
    <w:rsid w:val="00BA4BE2"/>
    <w:rsid w:val="00CA2FD1"/>
    <w:rsid w:val="00D86A50"/>
    <w:rsid w:val="00DD1934"/>
    <w:rsid w:val="00DF4176"/>
    <w:rsid w:val="00E133CA"/>
    <w:rsid w:val="00EB4C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A4BE2"/>
    <w:rPr>
      <w:color w:val="0000FF"/>
      <w:u w:val="single"/>
    </w:rPr>
  </w:style>
  <w:style w:type="paragraph" w:customStyle="1" w:styleId="TableLegend0">
    <w:name w:val="Table_Legend"/>
    <w:basedOn w:val="Normal"/>
    <w:next w:val="Normal"/>
    <w:rsid w:val="00BA4BE2"/>
    <w:pPr>
      <w:keepNext/>
      <w:spacing w:before="86" w:line="199" w:lineRule="exact"/>
      <w:ind w:left="-85" w:right="-85"/>
      <w:jc w:val="left"/>
    </w:pPr>
    <w:rPr>
      <w:sz w:val="18"/>
    </w:rPr>
  </w:style>
  <w:style w:type="paragraph" w:customStyle="1" w:styleId="TableTitle0">
    <w:name w:val="Table_Title"/>
    <w:basedOn w:val="Table"/>
    <w:next w:val="Blanc"/>
    <w:rsid w:val="00BA4BE2"/>
    <w:pPr>
      <w:spacing w:before="0"/>
    </w:pPr>
    <w:rPr>
      <w:b/>
    </w:rPr>
  </w:style>
  <w:style w:type="paragraph" w:customStyle="1" w:styleId="Table">
    <w:name w:val="Table_#"/>
    <w:basedOn w:val="Normal"/>
    <w:next w:val="TableTitle0"/>
    <w:rsid w:val="00BA4BE2"/>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BA4BE2"/>
    <w:pPr>
      <w:spacing w:before="100" w:after="100" w:line="190" w:lineRule="exact"/>
      <w:ind w:left="0" w:right="0"/>
    </w:pPr>
  </w:style>
  <w:style w:type="paragraph" w:customStyle="1" w:styleId="Annex">
    <w:name w:val="Annex_#"/>
    <w:basedOn w:val="Normal"/>
    <w:next w:val="Normal"/>
    <w:rsid w:val="00BA4BE2"/>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BA4BE2"/>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BA4BE2"/>
    <w:pPr>
      <w:spacing w:before="480"/>
      <w:jc w:val="left"/>
    </w:pPr>
  </w:style>
  <w:style w:type="paragraph" w:customStyle="1" w:styleId="Appendix">
    <w:name w:val="Appendix_#"/>
    <w:basedOn w:val="Annex"/>
    <w:next w:val="Appendixref"/>
    <w:rsid w:val="00BA4BE2"/>
  </w:style>
  <w:style w:type="paragraph" w:customStyle="1" w:styleId="AppendixTitle">
    <w:name w:val="Appendix_Title"/>
    <w:basedOn w:val="AnnexTitle"/>
    <w:next w:val="Normal"/>
    <w:rsid w:val="00BA4BE2"/>
  </w:style>
  <w:style w:type="paragraph" w:customStyle="1" w:styleId="RecTitle0">
    <w:name w:val="Rec_Title"/>
    <w:basedOn w:val="Normal"/>
    <w:next w:val="Normal"/>
    <w:rsid w:val="00BA4BE2"/>
    <w:pPr>
      <w:keepNext/>
      <w:keepLines/>
      <w:tabs>
        <w:tab w:val="clear" w:pos="794"/>
        <w:tab w:val="clear" w:pos="1191"/>
        <w:tab w:val="clear" w:pos="1588"/>
        <w:tab w:val="clear" w:pos="1985"/>
        <w:tab w:val="center" w:pos="4849"/>
        <w:tab w:val="right" w:pos="9696"/>
      </w:tabs>
      <w:spacing w:before="180"/>
      <w:jc w:val="center"/>
    </w:pPr>
    <w:rPr>
      <w:b/>
    </w:rPr>
  </w:style>
  <w:style w:type="paragraph" w:customStyle="1" w:styleId="RecTitleDate">
    <w:name w:val="Rec_Title/Date"/>
    <w:basedOn w:val="Normal"/>
    <w:next w:val="headfoot"/>
    <w:rsid w:val="00BA4BE2"/>
    <w:pPr>
      <w:keepNext/>
      <w:keepLines/>
      <w:tabs>
        <w:tab w:val="clear" w:pos="794"/>
        <w:tab w:val="clear" w:pos="1191"/>
        <w:tab w:val="clear" w:pos="1588"/>
        <w:tab w:val="clear" w:pos="1985"/>
        <w:tab w:val="right" w:pos="9696"/>
      </w:tabs>
      <w:spacing w:before="136"/>
      <w:jc w:val="right"/>
    </w:pPr>
  </w:style>
  <w:style w:type="paragraph" w:customStyle="1" w:styleId="headfoot">
    <w:name w:val="head_foot"/>
    <w:basedOn w:val="Normal"/>
    <w:next w:val="Normalaftertitle0"/>
    <w:rsid w:val="00BA4BE2"/>
    <w:pPr>
      <w:tabs>
        <w:tab w:val="clear" w:pos="794"/>
        <w:tab w:val="clear" w:pos="1191"/>
        <w:tab w:val="clear" w:pos="1588"/>
        <w:tab w:val="clear" w:pos="1985"/>
      </w:tabs>
      <w:spacing w:before="0"/>
      <w:jc w:val="left"/>
    </w:pPr>
    <w:rPr>
      <w:b/>
      <w:color w:val="FFFFFF"/>
      <w:sz w:val="8"/>
    </w:rPr>
  </w:style>
  <w:style w:type="paragraph" w:customStyle="1" w:styleId="call0">
    <w:name w:val="call"/>
    <w:basedOn w:val="Normal"/>
    <w:next w:val="Normal"/>
    <w:rsid w:val="00BA4BE2"/>
    <w:pPr>
      <w:keepNext/>
      <w:keepLines/>
      <w:tabs>
        <w:tab w:val="clear" w:pos="1191"/>
        <w:tab w:val="clear" w:pos="1588"/>
        <w:tab w:val="clear" w:pos="1985"/>
      </w:tabs>
      <w:spacing w:before="227"/>
      <w:ind w:left="794"/>
      <w:jc w:val="left"/>
    </w:pPr>
    <w:rPr>
      <w:i/>
    </w:rPr>
  </w:style>
  <w:style w:type="paragraph" w:customStyle="1" w:styleId="Fig">
    <w:name w:val="Fig"/>
    <w:basedOn w:val="Figure"/>
    <w:next w:val="Fig0"/>
    <w:rsid w:val="00BA4BE2"/>
    <w:pPr>
      <w:keepLines w:val="0"/>
      <w:spacing w:before="136" w:after="120"/>
    </w:pPr>
    <w:rPr>
      <w:caps w:val="0"/>
      <w:sz w:val="24"/>
      <w:lang w:val="en-US"/>
    </w:rPr>
  </w:style>
  <w:style w:type="paragraph" w:customStyle="1" w:styleId="Fig0">
    <w:name w:val="Fig_#"/>
    <w:basedOn w:val="Fig"/>
    <w:next w:val="Normal"/>
    <w:rsid w:val="00BA4BE2"/>
    <w:pPr>
      <w:jc w:val="left"/>
    </w:pPr>
    <w:rPr>
      <w:color w:va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A4BE2"/>
    <w:rPr>
      <w:color w:val="0000FF"/>
      <w:u w:val="single"/>
    </w:rPr>
  </w:style>
  <w:style w:type="paragraph" w:customStyle="1" w:styleId="TableLegend0">
    <w:name w:val="Table_Legend"/>
    <w:basedOn w:val="Normal"/>
    <w:next w:val="Normal"/>
    <w:rsid w:val="00BA4BE2"/>
    <w:pPr>
      <w:keepNext/>
      <w:spacing w:before="86" w:line="199" w:lineRule="exact"/>
      <w:ind w:left="-85" w:right="-85"/>
      <w:jc w:val="left"/>
    </w:pPr>
    <w:rPr>
      <w:sz w:val="18"/>
    </w:rPr>
  </w:style>
  <w:style w:type="paragraph" w:customStyle="1" w:styleId="TableTitle0">
    <w:name w:val="Table_Title"/>
    <w:basedOn w:val="Table"/>
    <w:next w:val="Blanc"/>
    <w:rsid w:val="00BA4BE2"/>
    <w:pPr>
      <w:spacing w:before="0"/>
    </w:pPr>
    <w:rPr>
      <w:b/>
    </w:rPr>
  </w:style>
  <w:style w:type="paragraph" w:customStyle="1" w:styleId="Table">
    <w:name w:val="Table_#"/>
    <w:basedOn w:val="Normal"/>
    <w:next w:val="TableTitle0"/>
    <w:rsid w:val="00BA4BE2"/>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BA4BE2"/>
    <w:pPr>
      <w:spacing w:before="100" w:after="100" w:line="190" w:lineRule="exact"/>
      <w:ind w:left="0" w:right="0"/>
    </w:pPr>
  </w:style>
  <w:style w:type="paragraph" w:customStyle="1" w:styleId="Annex">
    <w:name w:val="Annex_#"/>
    <w:basedOn w:val="Normal"/>
    <w:next w:val="Normal"/>
    <w:rsid w:val="00BA4BE2"/>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BA4BE2"/>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BA4BE2"/>
    <w:pPr>
      <w:spacing w:before="480"/>
      <w:jc w:val="left"/>
    </w:pPr>
  </w:style>
  <w:style w:type="paragraph" w:customStyle="1" w:styleId="Appendix">
    <w:name w:val="Appendix_#"/>
    <w:basedOn w:val="Annex"/>
    <w:next w:val="Appendixref"/>
    <w:rsid w:val="00BA4BE2"/>
  </w:style>
  <w:style w:type="paragraph" w:customStyle="1" w:styleId="AppendixTitle">
    <w:name w:val="Appendix_Title"/>
    <w:basedOn w:val="AnnexTitle"/>
    <w:next w:val="Normal"/>
    <w:rsid w:val="00BA4BE2"/>
  </w:style>
  <w:style w:type="paragraph" w:customStyle="1" w:styleId="RecTitle0">
    <w:name w:val="Rec_Title"/>
    <w:basedOn w:val="Normal"/>
    <w:next w:val="Normal"/>
    <w:rsid w:val="00BA4BE2"/>
    <w:pPr>
      <w:keepNext/>
      <w:keepLines/>
      <w:tabs>
        <w:tab w:val="clear" w:pos="794"/>
        <w:tab w:val="clear" w:pos="1191"/>
        <w:tab w:val="clear" w:pos="1588"/>
        <w:tab w:val="clear" w:pos="1985"/>
        <w:tab w:val="center" w:pos="4849"/>
        <w:tab w:val="right" w:pos="9696"/>
      </w:tabs>
      <w:spacing w:before="180"/>
      <w:jc w:val="center"/>
    </w:pPr>
    <w:rPr>
      <w:b/>
    </w:rPr>
  </w:style>
  <w:style w:type="paragraph" w:customStyle="1" w:styleId="RecTitleDate">
    <w:name w:val="Rec_Title/Date"/>
    <w:basedOn w:val="Normal"/>
    <w:next w:val="headfoot"/>
    <w:rsid w:val="00BA4BE2"/>
    <w:pPr>
      <w:keepNext/>
      <w:keepLines/>
      <w:tabs>
        <w:tab w:val="clear" w:pos="794"/>
        <w:tab w:val="clear" w:pos="1191"/>
        <w:tab w:val="clear" w:pos="1588"/>
        <w:tab w:val="clear" w:pos="1985"/>
        <w:tab w:val="right" w:pos="9696"/>
      </w:tabs>
      <w:spacing w:before="136"/>
      <w:jc w:val="right"/>
    </w:pPr>
  </w:style>
  <w:style w:type="paragraph" w:customStyle="1" w:styleId="headfoot">
    <w:name w:val="head_foot"/>
    <w:basedOn w:val="Normal"/>
    <w:next w:val="Normalaftertitle0"/>
    <w:rsid w:val="00BA4BE2"/>
    <w:pPr>
      <w:tabs>
        <w:tab w:val="clear" w:pos="794"/>
        <w:tab w:val="clear" w:pos="1191"/>
        <w:tab w:val="clear" w:pos="1588"/>
        <w:tab w:val="clear" w:pos="1985"/>
      </w:tabs>
      <w:spacing w:before="0"/>
      <w:jc w:val="left"/>
    </w:pPr>
    <w:rPr>
      <w:b/>
      <w:color w:val="FFFFFF"/>
      <w:sz w:val="8"/>
    </w:rPr>
  </w:style>
  <w:style w:type="paragraph" w:customStyle="1" w:styleId="call0">
    <w:name w:val="call"/>
    <w:basedOn w:val="Normal"/>
    <w:next w:val="Normal"/>
    <w:rsid w:val="00BA4BE2"/>
    <w:pPr>
      <w:keepNext/>
      <w:keepLines/>
      <w:tabs>
        <w:tab w:val="clear" w:pos="1191"/>
        <w:tab w:val="clear" w:pos="1588"/>
        <w:tab w:val="clear" w:pos="1985"/>
      </w:tabs>
      <w:spacing w:before="227"/>
      <w:ind w:left="794"/>
      <w:jc w:val="left"/>
    </w:pPr>
    <w:rPr>
      <w:i/>
    </w:rPr>
  </w:style>
  <w:style w:type="paragraph" w:customStyle="1" w:styleId="Fig">
    <w:name w:val="Fig"/>
    <w:basedOn w:val="Figure"/>
    <w:next w:val="Fig0"/>
    <w:rsid w:val="00BA4BE2"/>
    <w:pPr>
      <w:keepLines w:val="0"/>
      <w:spacing w:before="136" w:after="120"/>
    </w:pPr>
    <w:rPr>
      <w:caps w:val="0"/>
      <w:sz w:val="24"/>
      <w:lang w:val="en-US"/>
    </w:rPr>
  </w:style>
  <w:style w:type="paragraph" w:customStyle="1" w:styleId="Fig0">
    <w:name w:val="Fig_#"/>
    <w:basedOn w:val="Fig"/>
    <w:next w:val="Normal"/>
    <w:rsid w:val="00BA4BE2"/>
    <w:pPr>
      <w:jc w:val="left"/>
    </w:pPr>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200</TotalTime>
  <Pages>12</Pages>
  <Words>3802</Words>
  <Characters>20227</Characters>
  <Application>Microsoft Office Word</Application>
  <DocSecurity>0</DocSecurity>
  <Lines>632</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12</cp:revision>
  <cp:lastPrinted>2005-02-10T15:54:00Z</cp:lastPrinted>
  <dcterms:created xsi:type="dcterms:W3CDTF">2011-04-21T09:25:00Z</dcterms:created>
  <dcterms:modified xsi:type="dcterms:W3CDTF">2011-05-12T09:44:00Z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