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p w:rsidR="00F43BC1" w:rsidRPr="00DB2076" w:rsidRDefault="00F43BC1" w:rsidP="00F43BC1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43BC1" w:rsidRPr="00DB2076" w:rsidTr="002C14E3">
        <w:tc>
          <w:tcPr>
            <w:tcW w:w="10089" w:type="dxa"/>
          </w:tcPr>
          <w:p w:rsidR="00F43BC1" w:rsidRPr="00DB2076" w:rsidRDefault="00F43BC1" w:rsidP="002C14E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43BC1" w:rsidRPr="00DB2076" w:rsidRDefault="00F43BC1" w:rsidP="009819A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SA.</w:t>
            </w:r>
            <w:r w:rsidR="009819A0" w:rsidRPr="00DB20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510-3</w:t>
            </w:r>
          </w:p>
          <w:p w:rsidR="00F43BC1" w:rsidRPr="00DB2076" w:rsidRDefault="00F43BC1" w:rsidP="009819A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9819A0"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07</w:t>
            </w:r>
            <w:r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751F87"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</w:t>
            </w:r>
            <w:r w:rsidR="009819A0"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17</w:t>
            </w:r>
            <w:r w:rsidRPr="00DB2076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43BC1" w:rsidRPr="00DB2076" w:rsidTr="002C14E3">
        <w:tc>
          <w:tcPr>
            <w:tcW w:w="10089" w:type="dxa"/>
          </w:tcPr>
          <w:p w:rsidR="00F43BC1" w:rsidRPr="00DB2076" w:rsidRDefault="00F43BC1" w:rsidP="002C14E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F43BC1" w:rsidRPr="00DB2076" w:rsidRDefault="009819A0" w:rsidP="009819A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Possibilité de partage des fréquences entre le service de recherche spatiale et d'autres services dans les bandes au </w:t>
            </w:r>
            <w:r w:rsidR="0019542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voisinage </w:t>
            </w:r>
            <w:r w:rsidR="0019542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de 14 </w:t>
            </w: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et 15 GHz</w:t>
            </w:r>
          </w:p>
          <w:p w:rsidR="007E7DED" w:rsidRPr="00DB2076" w:rsidRDefault="007E7DED" w:rsidP="007E7DE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Brouillage potentiel causé par les systèmes </w:t>
            </w:r>
          </w:p>
          <w:p w:rsidR="007E7DED" w:rsidRPr="00DB2076" w:rsidRDefault="007E7DED" w:rsidP="007E7DE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à satellites relais de données</w:t>
            </w:r>
          </w:p>
          <w:p w:rsidR="00F43BC1" w:rsidRPr="00DB2076" w:rsidRDefault="00F43BC1" w:rsidP="002C14E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F43BC1" w:rsidRPr="00DB2076" w:rsidTr="002C14E3">
        <w:tc>
          <w:tcPr>
            <w:tcW w:w="10089" w:type="dxa"/>
          </w:tcPr>
          <w:p w:rsidR="00F43BC1" w:rsidRPr="00DB2076" w:rsidRDefault="00F43BC1" w:rsidP="002C14E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43BC1" w:rsidRPr="00DB2076" w:rsidRDefault="00F43BC1" w:rsidP="002C14E3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F43BC1" w:rsidRPr="00DB2076" w:rsidRDefault="00F43BC1" w:rsidP="002C14E3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F43BC1" w:rsidRPr="00DB2076" w:rsidRDefault="00F43BC1" w:rsidP="002C14E3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SA</w:t>
            </w:r>
          </w:p>
          <w:p w:rsidR="00F43BC1" w:rsidRPr="00DB2076" w:rsidRDefault="00F43BC1" w:rsidP="002C14E3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DB207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Applications spatiales et météorologie</w:t>
            </w:r>
          </w:p>
        </w:tc>
      </w:tr>
    </w:tbl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spacing w:before="80"/>
        <w:rPr>
          <w:i/>
          <w:sz w:val="22"/>
        </w:rPr>
      </w:pPr>
    </w:p>
    <w:p w:rsidR="00F43BC1" w:rsidRPr="00DB2076" w:rsidRDefault="00F43BC1" w:rsidP="00F43BC1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F43BC1" w:rsidRPr="00DB2076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3BC1" w:rsidRPr="00DB2076" w:rsidRDefault="00F43BC1" w:rsidP="00F43BC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DB2076">
        <w:rPr>
          <w:bCs/>
          <w:sz w:val="24"/>
          <w:szCs w:val="24"/>
        </w:rPr>
        <w:lastRenderedPageBreak/>
        <w:t>Avant-propos</w:t>
      </w:r>
    </w:p>
    <w:p w:rsidR="00F43BC1" w:rsidRPr="00DB2076" w:rsidRDefault="00F43BC1" w:rsidP="00F43BC1">
      <w:pPr>
        <w:spacing w:before="240"/>
        <w:rPr>
          <w:sz w:val="20"/>
        </w:rPr>
      </w:pPr>
      <w:r w:rsidRPr="00DB2076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F43BC1" w:rsidRPr="00DB2076" w:rsidRDefault="00F43BC1" w:rsidP="00F43BC1">
      <w:pPr>
        <w:rPr>
          <w:sz w:val="20"/>
        </w:rPr>
      </w:pPr>
      <w:r w:rsidRPr="00DB2076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F43BC1" w:rsidRPr="00DB2076" w:rsidRDefault="00F43BC1" w:rsidP="00F43BC1">
      <w:pPr>
        <w:pStyle w:val="Heading1"/>
        <w:spacing w:before="360"/>
        <w:jc w:val="center"/>
        <w:rPr>
          <w:szCs w:val="24"/>
        </w:rPr>
      </w:pPr>
      <w:r w:rsidRPr="00DB2076">
        <w:rPr>
          <w:szCs w:val="24"/>
        </w:rPr>
        <w:t>Politique en matière de droits de propriété intellectuelle (IPR)</w:t>
      </w:r>
    </w:p>
    <w:p w:rsidR="00F43BC1" w:rsidRPr="00DB2076" w:rsidRDefault="00F43BC1" w:rsidP="00F43BC1">
      <w:pPr>
        <w:spacing w:before="240"/>
        <w:rPr>
          <w:sz w:val="20"/>
        </w:rPr>
      </w:pPr>
      <w:r w:rsidRPr="00DB2076">
        <w:rPr>
          <w:sz w:val="20"/>
        </w:rPr>
        <w:t>La politique de l'UIT</w:t>
      </w:r>
      <w:r w:rsidRPr="00DB2076">
        <w:rPr>
          <w:sz w:val="20"/>
        </w:rPr>
        <w:noBreakHyphen/>
        <w:t>R en matière de droits de propriété intellectuelle est décrite dans la «Politique commune de l'UIT</w:t>
      </w:r>
      <w:r w:rsidRPr="00DB2076">
        <w:rPr>
          <w:sz w:val="20"/>
        </w:rPr>
        <w:noBreakHyphen/>
        <w:t>T, l'UIT</w:t>
      </w:r>
      <w:r w:rsidRPr="00DB2076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8" w:history="1">
        <w:r w:rsidRPr="00DB2076">
          <w:rPr>
            <w:rStyle w:val="Hyperlink"/>
            <w:sz w:val="20"/>
          </w:rPr>
          <w:t>http://www.itu.int/ITU-R/go/patents/fr</w:t>
        </w:r>
      </w:hyperlink>
      <w:r w:rsidRPr="00DB2076">
        <w:rPr>
          <w:sz w:val="20"/>
        </w:rPr>
        <w:t>, où l'on trouvera également les Lignes directrices pour la mise en oeuvre de la politique commune en matière de brevets de l'UIT</w:t>
      </w:r>
      <w:r w:rsidRPr="00DB2076">
        <w:rPr>
          <w:sz w:val="20"/>
        </w:rPr>
        <w:noBreakHyphen/>
        <w:t>T, l'UIT</w:t>
      </w:r>
      <w:r w:rsidRPr="00DB2076">
        <w:rPr>
          <w:sz w:val="20"/>
        </w:rPr>
        <w:noBreakHyphen/>
        <w:t>R, l'ISO et la CEI</w:t>
      </w:r>
      <w:r w:rsidRPr="00DB2076" w:rsidDel="0061025C">
        <w:rPr>
          <w:sz w:val="20"/>
        </w:rPr>
        <w:t xml:space="preserve"> </w:t>
      </w:r>
      <w:r w:rsidRPr="00DB2076">
        <w:rPr>
          <w:sz w:val="20"/>
        </w:rPr>
        <w:t>et la base de données en matière de brevets de l'UIT-R.</w:t>
      </w:r>
    </w:p>
    <w:p w:rsidR="00F43BC1" w:rsidRPr="00DB2076" w:rsidRDefault="00F43BC1" w:rsidP="00F43BC1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F43BC1" w:rsidRPr="00DB2076" w:rsidTr="002C14E3">
        <w:tc>
          <w:tcPr>
            <w:tcW w:w="9360" w:type="dxa"/>
            <w:gridSpan w:val="2"/>
          </w:tcPr>
          <w:p w:rsidR="00F43BC1" w:rsidRPr="00DB2076" w:rsidRDefault="00F43BC1" w:rsidP="002C14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DB2076">
              <w:rPr>
                <w:sz w:val="22"/>
                <w:szCs w:val="22"/>
              </w:rPr>
              <w:t xml:space="preserve">Séries des Recommandations UIT-R </w:t>
            </w:r>
          </w:p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DB2076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9" w:history="1">
              <w:r w:rsidRPr="00DB2076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DB2076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F43BC1" w:rsidRPr="00DB2076" w:rsidTr="002C14E3">
        <w:tc>
          <w:tcPr>
            <w:tcW w:w="1140" w:type="dxa"/>
            <w:tcBorders>
              <w:bottom w:val="nil"/>
            </w:tcBorders>
          </w:tcPr>
          <w:p w:rsidR="00F43BC1" w:rsidRPr="00DB2076" w:rsidRDefault="00F43BC1" w:rsidP="002C14E3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DB2076">
              <w:rPr>
                <w:bCs/>
                <w:sz w:val="20"/>
              </w:rPr>
              <w:t>Titre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B2076">
              <w:rPr>
                <w:b w:val="0"/>
                <w:sz w:val="20"/>
              </w:rPr>
              <w:t>Diffusion par satellite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B207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B2076">
              <w:rPr>
                <w:b w:val="0"/>
                <w:sz w:val="20"/>
              </w:rPr>
              <w:t>Service de radiodiffusion sonore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DB207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B2076">
              <w:rPr>
                <w:sz w:val="20"/>
              </w:rPr>
              <w:t>Service fixe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DB207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Propagation des ondes radioélectriques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B2076">
              <w:rPr>
                <w:sz w:val="20"/>
              </w:rPr>
              <w:t>Radio astronomie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DB2076">
              <w:rPr>
                <w:sz w:val="20"/>
              </w:rPr>
              <w:t>Systèmes de télédétection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Service fixe par satellite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</w:rPr>
            </w:pPr>
            <w:r w:rsidRPr="00DB2076">
              <w:rPr>
                <w:b/>
                <w:bCs/>
                <w:color w:val="000080"/>
                <w:sz w:val="20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F43BC1" w:rsidRPr="00DB2076" w:rsidRDefault="00F43BC1" w:rsidP="002C14E3">
            <w:pPr>
              <w:spacing w:before="30" w:after="30"/>
              <w:jc w:val="left"/>
              <w:rPr>
                <w:b/>
                <w:bCs/>
                <w:color w:val="000080"/>
                <w:sz w:val="20"/>
              </w:rPr>
            </w:pPr>
            <w:r w:rsidRPr="00DB2076">
              <w:rPr>
                <w:b/>
                <w:bCs/>
                <w:color w:val="000080"/>
                <w:sz w:val="20"/>
              </w:rPr>
              <w:t>Applications spatiales et météorologie</w:t>
            </w:r>
          </w:p>
        </w:tc>
      </w:tr>
      <w:tr w:rsidR="00F43BC1" w:rsidRPr="00DB2076" w:rsidTr="002C14E3">
        <w:tc>
          <w:tcPr>
            <w:tcW w:w="1140" w:type="dxa"/>
            <w:tcBorders>
              <w:top w:val="nil"/>
            </w:tcBorders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F43BC1" w:rsidRPr="00DB2076" w:rsidTr="002C14E3">
        <w:tc>
          <w:tcPr>
            <w:tcW w:w="1140" w:type="dxa"/>
            <w:shd w:val="clear" w:color="auto" w:fill="auto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Gestion du spectre</w:t>
            </w:r>
          </w:p>
        </w:tc>
      </w:tr>
      <w:tr w:rsidR="00F43BC1" w:rsidRPr="00DB2076" w:rsidTr="002C14E3">
        <w:tc>
          <w:tcPr>
            <w:tcW w:w="1140" w:type="dxa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Reportage d'actualités par satellite</w:t>
            </w:r>
          </w:p>
        </w:tc>
      </w:tr>
      <w:tr w:rsidR="00F43BC1" w:rsidRPr="00DB2076" w:rsidTr="002C14E3">
        <w:tc>
          <w:tcPr>
            <w:tcW w:w="1140" w:type="dxa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F43BC1" w:rsidRPr="00DB2076" w:rsidRDefault="00F43BC1" w:rsidP="002C14E3">
            <w:pPr>
              <w:spacing w:before="30" w:after="30"/>
              <w:jc w:val="left"/>
              <w:rPr>
                <w:sz w:val="20"/>
              </w:rPr>
            </w:pPr>
            <w:r w:rsidRPr="00DB2076">
              <w:rPr>
                <w:sz w:val="20"/>
              </w:rPr>
              <w:t>Emissions de fréquences étalon et de signaux horaires</w:t>
            </w:r>
          </w:p>
        </w:tc>
      </w:tr>
      <w:tr w:rsidR="00F43BC1" w:rsidRPr="00DB2076" w:rsidTr="002C14E3">
        <w:tc>
          <w:tcPr>
            <w:tcW w:w="1140" w:type="dxa"/>
          </w:tcPr>
          <w:p w:rsidR="00F43BC1" w:rsidRPr="00DB2076" w:rsidRDefault="00F43BC1" w:rsidP="002C14E3">
            <w:pPr>
              <w:spacing w:before="30" w:after="30"/>
              <w:ind w:left="57"/>
              <w:jc w:val="left"/>
              <w:rPr>
                <w:b/>
                <w:bCs/>
                <w:sz w:val="20"/>
              </w:rPr>
            </w:pPr>
            <w:r w:rsidRPr="00DB2076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F43BC1" w:rsidRPr="00DB2076" w:rsidRDefault="00F43BC1" w:rsidP="002C14E3">
            <w:pPr>
              <w:spacing w:before="30" w:after="140"/>
              <w:jc w:val="left"/>
              <w:rPr>
                <w:sz w:val="20"/>
              </w:rPr>
            </w:pPr>
            <w:r w:rsidRPr="00DB2076">
              <w:rPr>
                <w:sz w:val="20"/>
              </w:rPr>
              <w:t>Vocabulaire et sujets associés</w:t>
            </w:r>
          </w:p>
        </w:tc>
      </w:tr>
    </w:tbl>
    <w:p w:rsidR="00F43BC1" w:rsidRPr="00DB2076" w:rsidRDefault="00F43BC1" w:rsidP="00F43BC1">
      <w:pPr>
        <w:spacing w:before="0"/>
        <w:jc w:val="center"/>
        <w:rPr>
          <w:sz w:val="20"/>
        </w:rPr>
      </w:pPr>
    </w:p>
    <w:p w:rsidR="00F43BC1" w:rsidRPr="00DB2076" w:rsidRDefault="00F43BC1" w:rsidP="00F43BC1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F43BC1" w:rsidRPr="00DB2076" w:rsidTr="002C14E3">
        <w:tc>
          <w:tcPr>
            <w:tcW w:w="9360" w:type="dxa"/>
          </w:tcPr>
          <w:p w:rsidR="00F43BC1" w:rsidRPr="00DB2076" w:rsidRDefault="00F43BC1" w:rsidP="002C14E3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DB2076">
              <w:rPr>
                <w:b/>
                <w:bCs/>
                <w:i/>
                <w:iCs/>
                <w:sz w:val="20"/>
              </w:rPr>
              <w:t>Note</w:t>
            </w:r>
            <w:r w:rsidRPr="00DB2076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DB2076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F43BC1" w:rsidRPr="00DB2076" w:rsidRDefault="00F43BC1" w:rsidP="00F43BC1">
      <w:pPr>
        <w:spacing w:before="0"/>
        <w:jc w:val="center"/>
        <w:rPr>
          <w:sz w:val="22"/>
        </w:rPr>
      </w:pPr>
    </w:p>
    <w:p w:rsidR="00F43BC1" w:rsidRPr="00DB2076" w:rsidRDefault="00F43BC1" w:rsidP="00F43BC1">
      <w:pPr>
        <w:spacing w:before="100"/>
        <w:jc w:val="right"/>
        <w:rPr>
          <w:i/>
          <w:iCs/>
          <w:sz w:val="20"/>
        </w:rPr>
      </w:pPr>
      <w:r w:rsidRPr="00DB2076">
        <w:rPr>
          <w:i/>
          <w:iCs/>
          <w:sz w:val="20"/>
        </w:rPr>
        <w:t>Publication électronique</w:t>
      </w:r>
    </w:p>
    <w:p w:rsidR="00F43BC1" w:rsidRPr="00DB2076" w:rsidRDefault="00F43BC1" w:rsidP="007E7DED">
      <w:pPr>
        <w:spacing w:before="0"/>
        <w:jc w:val="right"/>
        <w:rPr>
          <w:sz w:val="20"/>
        </w:rPr>
      </w:pPr>
      <w:r w:rsidRPr="00DB2076">
        <w:rPr>
          <w:sz w:val="20"/>
        </w:rPr>
        <w:t>Genève, 201</w:t>
      </w:r>
      <w:r w:rsidR="0019542D">
        <w:rPr>
          <w:sz w:val="20"/>
        </w:rPr>
        <w:t>8</w:t>
      </w:r>
    </w:p>
    <w:p w:rsidR="00F43BC1" w:rsidRPr="00DB2076" w:rsidRDefault="00F43BC1" w:rsidP="0019542D">
      <w:pPr>
        <w:spacing w:before="200"/>
        <w:jc w:val="center"/>
        <w:rPr>
          <w:sz w:val="20"/>
        </w:rPr>
      </w:pPr>
      <w:r w:rsidRPr="00DB2076">
        <w:rPr>
          <w:sz w:val="20"/>
        </w:rPr>
        <w:sym w:font="Symbol" w:char="F0E3"/>
      </w:r>
      <w:r w:rsidRPr="00DB2076">
        <w:rPr>
          <w:sz w:val="20"/>
        </w:rPr>
        <w:t xml:space="preserve"> UIT </w:t>
      </w:r>
      <w:bookmarkStart w:id="1" w:name="iiannee"/>
      <w:bookmarkEnd w:id="1"/>
      <w:r w:rsidRPr="00DB2076">
        <w:rPr>
          <w:sz w:val="20"/>
        </w:rPr>
        <w:t>201</w:t>
      </w:r>
      <w:r w:rsidR="0019542D">
        <w:rPr>
          <w:sz w:val="20"/>
        </w:rPr>
        <w:t>8</w:t>
      </w:r>
    </w:p>
    <w:p w:rsidR="00F43BC1" w:rsidRPr="00DB2076" w:rsidRDefault="00F43BC1" w:rsidP="00F43BC1">
      <w:pPr>
        <w:rPr>
          <w:sz w:val="18"/>
          <w:szCs w:val="18"/>
        </w:rPr>
      </w:pPr>
      <w:r w:rsidRPr="00DB2076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F43BC1" w:rsidRPr="00DB2076" w:rsidRDefault="00F43BC1" w:rsidP="00F43BC1">
      <w:pPr>
        <w:spacing w:before="160"/>
        <w:rPr>
          <w:i/>
          <w:sz w:val="20"/>
          <w:highlight w:val="yellow"/>
        </w:rPr>
        <w:sectPr w:rsidR="00F43BC1" w:rsidRPr="00DB207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43BC1" w:rsidRPr="00DB2076" w:rsidRDefault="00F43BC1" w:rsidP="00C4170B">
      <w:pPr>
        <w:pStyle w:val="RecNo"/>
        <w:spacing w:before="0"/>
      </w:pPr>
      <w:bookmarkStart w:id="2" w:name="irecnoe"/>
      <w:bookmarkEnd w:id="2"/>
      <w:r w:rsidRPr="00DB2076">
        <w:lastRenderedPageBreak/>
        <w:t xml:space="preserve">RECOMMANDATION  </w:t>
      </w:r>
      <w:r w:rsidRPr="00DB2076">
        <w:rPr>
          <w:rStyle w:val="href"/>
        </w:rPr>
        <w:t>UIT-R  SA.</w:t>
      </w:r>
      <w:r w:rsidR="00C4170B" w:rsidRPr="00DB2076">
        <w:rPr>
          <w:rStyle w:val="href"/>
        </w:rPr>
        <w:t>510-3</w:t>
      </w:r>
    </w:p>
    <w:p w:rsidR="007E7DED" w:rsidRPr="00DB2076" w:rsidRDefault="007E7DED" w:rsidP="0019542D">
      <w:pPr>
        <w:pStyle w:val="Rectitle"/>
      </w:pPr>
      <w:r w:rsidRPr="00DB2076">
        <w:t xml:space="preserve">Possibilité de partage des fréquences entre le service de recherche spatiale et d'autres services dans les bandes au voisinage de 14 et 15 GHz </w:t>
      </w:r>
    </w:p>
    <w:p w:rsidR="00AE7DF5" w:rsidRPr="00DB2076" w:rsidRDefault="007E7DED" w:rsidP="007E7DED">
      <w:pPr>
        <w:pStyle w:val="Rectitle"/>
      </w:pPr>
      <w:r w:rsidRPr="00DB2076">
        <w:t>Brouillage potentiel causé par les systèmes à satellites relais de données</w:t>
      </w:r>
    </w:p>
    <w:p w:rsidR="007E7DED" w:rsidRPr="007E7DED" w:rsidRDefault="007E7DED" w:rsidP="0019542D">
      <w:pPr>
        <w:pStyle w:val="Questionref"/>
        <w:rPr>
          <w:lang w:eastAsia="zh-CN"/>
        </w:rPr>
      </w:pPr>
      <w:r w:rsidRPr="007E7DED">
        <w:rPr>
          <w:lang w:eastAsia="zh-CN"/>
        </w:rPr>
        <w:t>(Question UIT-R 118/7)</w:t>
      </w:r>
    </w:p>
    <w:p w:rsidR="007E7DED" w:rsidRPr="007E7DED" w:rsidRDefault="007E7DED" w:rsidP="0019542D">
      <w:pPr>
        <w:pStyle w:val="Recdate"/>
        <w:rPr>
          <w:lang w:eastAsia="zh-CN"/>
        </w:rPr>
      </w:pPr>
      <w:r w:rsidRPr="007E7DED">
        <w:rPr>
          <w:lang w:eastAsia="zh-CN"/>
        </w:rPr>
        <w:t>(1978-1982-1997</w:t>
      </w:r>
      <w:r w:rsidR="00205185" w:rsidRPr="00DB2076">
        <w:rPr>
          <w:lang w:eastAsia="zh-CN"/>
        </w:rPr>
        <w:t>-2017</w:t>
      </w:r>
      <w:r w:rsidRPr="007E7DED">
        <w:rPr>
          <w:lang w:eastAsia="zh-CN"/>
        </w:rPr>
        <w:t>)</w:t>
      </w:r>
    </w:p>
    <w:p w:rsidR="00205185" w:rsidRPr="00DB2076" w:rsidRDefault="00205185" w:rsidP="00205185">
      <w:pPr>
        <w:pStyle w:val="HeadingSum"/>
        <w:rPr>
          <w:lang w:val="fr-FR"/>
        </w:rPr>
      </w:pPr>
      <w:r w:rsidRPr="00DB2076">
        <w:rPr>
          <w:lang w:val="fr-FR"/>
        </w:rPr>
        <w:t>Domaine d'application</w:t>
      </w:r>
    </w:p>
    <w:p w:rsidR="00BA167B" w:rsidRPr="0019542D" w:rsidRDefault="00205185" w:rsidP="0019542D">
      <w:pPr>
        <w:pStyle w:val="Summary"/>
        <w:rPr>
          <w:lang w:eastAsia="zh-CN"/>
        </w:rPr>
      </w:pPr>
      <w:r w:rsidRPr="0019542D">
        <w:t xml:space="preserve">La présente Recommandation </w:t>
      </w:r>
      <w:r w:rsidR="00BA167B" w:rsidRPr="0019542D">
        <w:t xml:space="preserve">définit les </w:t>
      </w:r>
      <w:r w:rsidRPr="0019542D">
        <w:t xml:space="preserve">conditions </w:t>
      </w:r>
      <w:r w:rsidR="00BA167B" w:rsidRPr="0019542D">
        <w:t xml:space="preserve">dans lesquelles le </w:t>
      </w:r>
      <w:r w:rsidR="00BA167B" w:rsidRPr="0019542D">
        <w:rPr>
          <w:lang w:eastAsia="zh-CN"/>
        </w:rPr>
        <w:t xml:space="preserve">partage des fréquences, </w:t>
      </w:r>
      <w:r w:rsidR="00C4170B" w:rsidRPr="0019542D">
        <w:rPr>
          <w:lang w:eastAsia="zh-CN"/>
        </w:rPr>
        <w:t xml:space="preserve">sous réserve de ne pas causer </w:t>
      </w:r>
      <w:r w:rsidR="00BA167B" w:rsidRPr="0019542D">
        <w:rPr>
          <w:lang w:eastAsia="zh-CN"/>
        </w:rPr>
        <w:t xml:space="preserve">de brouillage, entre les émetteurs du service de recherche spatiale et les récepteurs d'autres services </w:t>
      </w:r>
      <w:r w:rsidR="00C4170B" w:rsidRPr="0019542D">
        <w:rPr>
          <w:lang w:eastAsia="zh-CN"/>
        </w:rPr>
        <w:t xml:space="preserve">est possible </w:t>
      </w:r>
      <w:r w:rsidR="00BA167B" w:rsidRPr="0019542D">
        <w:rPr>
          <w:lang w:eastAsia="zh-CN"/>
        </w:rPr>
        <w:t xml:space="preserve">au voisinage de 14 et 15 GHz. </w:t>
      </w:r>
    </w:p>
    <w:p w:rsidR="00205185" w:rsidRPr="00DB2076" w:rsidRDefault="00205185" w:rsidP="00205185">
      <w:pPr>
        <w:pStyle w:val="Headingb"/>
      </w:pPr>
      <w:r w:rsidRPr="00DB2076">
        <w:t>Mots clés</w:t>
      </w:r>
    </w:p>
    <w:p w:rsidR="00205185" w:rsidRPr="00DB2076" w:rsidRDefault="00205185" w:rsidP="00205185">
      <w:r w:rsidRPr="00DB2076">
        <w:t>Fréquence, partage, service de recherche spatiale, 14 GHz, 15 GHz</w:t>
      </w:r>
    </w:p>
    <w:p w:rsidR="00205185" w:rsidRPr="00DB2076" w:rsidRDefault="00205185" w:rsidP="00205185">
      <w:pPr>
        <w:pStyle w:val="Headingb"/>
        <w:rPr>
          <w:rFonts w:eastAsia="SimSun"/>
        </w:rPr>
      </w:pPr>
      <w:r w:rsidRPr="00DB2076">
        <w:rPr>
          <w:rFonts w:eastAsia="SimSun"/>
        </w:rPr>
        <w:t>Recommandations et Rapports de l'UIT-R connexes</w:t>
      </w:r>
    </w:p>
    <w:p w:rsidR="00205185" w:rsidRPr="00DB2076" w:rsidRDefault="00205185" w:rsidP="00205185">
      <w:pPr>
        <w:rPr>
          <w:rFonts w:eastAsia="SimSun"/>
        </w:rPr>
      </w:pPr>
      <w:r w:rsidRPr="00DB2076">
        <w:rPr>
          <w:rFonts w:eastAsia="SimSun"/>
        </w:rPr>
        <w:t>Recommandation UIT-R SA.1626</w:t>
      </w:r>
    </w:p>
    <w:p w:rsidR="007E7DED" w:rsidRPr="007E7DED" w:rsidRDefault="007E7DED" w:rsidP="00022AB1">
      <w:pPr>
        <w:pStyle w:val="Normalaftertitle"/>
        <w:rPr>
          <w:lang w:eastAsia="zh-CN"/>
        </w:rPr>
      </w:pPr>
      <w:r w:rsidRPr="007E7DED">
        <w:rPr>
          <w:lang w:eastAsia="zh-CN"/>
        </w:rPr>
        <w:t>L'Assemblée des radiocommunications de l'UIT,</w:t>
      </w:r>
    </w:p>
    <w:p w:rsidR="007E7DED" w:rsidRPr="007E7DED" w:rsidRDefault="007E7DED" w:rsidP="00022AB1">
      <w:pPr>
        <w:pStyle w:val="Call"/>
        <w:rPr>
          <w:lang w:eastAsia="zh-CN"/>
        </w:rPr>
      </w:pPr>
      <w:r w:rsidRPr="007E7DED">
        <w:rPr>
          <w:lang w:eastAsia="zh-CN"/>
        </w:rPr>
        <w:t>considérant</w:t>
      </w:r>
    </w:p>
    <w:p w:rsidR="007E7DED" w:rsidRPr="007E7DED" w:rsidRDefault="007E7DED" w:rsidP="00C1029F">
      <w:pPr>
        <w:spacing w:before="136"/>
        <w:rPr>
          <w:szCs w:val="24"/>
          <w:lang w:eastAsia="zh-CN"/>
        </w:rPr>
      </w:pPr>
      <w:r w:rsidRPr="00022AB1">
        <w:rPr>
          <w:i/>
          <w:iCs/>
          <w:szCs w:val="24"/>
          <w:lang w:eastAsia="zh-CN"/>
        </w:rPr>
        <w:t>a)</w:t>
      </w:r>
      <w:r w:rsidRPr="007E7DED">
        <w:rPr>
          <w:szCs w:val="24"/>
          <w:lang w:eastAsia="zh-CN"/>
        </w:rPr>
        <w:tab/>
        <w:t xml:space="preserve">que le partage des fréquences dans la gamme </w:t>
      </w:r>
      <w:r w:rsidR="00C1029F">
        <w:rPr>
          <w:szCs w:val="24"/>
          <w:lang w:eastAsia="zh-CN"/>
        </w:rPr>
        <w:t>13-</w:t>
      </w:r>
      <w:r w:rsidRPr="007E7DED">
        <w:rPr>
          <w:szCs w:val="24"/>
          <w:lang w:eastAsia="zh-CN"/>
        </w:rPr>
        <w:t xml:space="preserve">16 GHz entre les applications du service de recherche spatiale </w:t>
      </w:r>
      <w:r w:rsidR="00C4170B" w:rsidRPr="00DB2076">
        <w:rPr>
          <w:szCs w:val="24"/>
          <w:lang w:eastAsia="zh-CN"/>
        </w:rPr>
        <w:t xml:space="preserve">au voisinage </w:t>
      </w:r>
      <w:r w:rsidRPr="007E7DED">
        <w:rPr>
          <w:szCs w:val="24"/>
          <w:lang w:eastAsia="zh-CN"/>
        </w:rPr>
        <w:t>de la Terre (émetteurs des systèmes à satellites relais de données (SRD)) et d'autres services</w:t>
      </w:r>
      <w:r w:rsidR="00C1029F">
        <w:rPr>
          <w:szCs w:val="24"/>
          <w:lang w:eastAsia="zh-CN"/>
        </w:rPr>
        <w:t xml:space="preserve"> </w:t>
      </w:r>
      <w:r w:rsidR="00C1029F" w:rsidRPr="007E7DED">
        <w:rPr>
          <w:szCs w:val="24"/>
          <w:lang w:eastAsia="zh-CN"/>
        </w:rPr>
        <w:t>est possible</w:t>
      </w:r>
      <w:r w:rsidRPr="007E7DED">
        <w:rPr>
          <w:szCs w:val="24"/>
          <w:lang w:eastAsia="zh-CN"/>
        </w:rPr>
        <w:t>;</w:t>
      </w:r>
    </w:p>
    <w:p w:rsidR="007E7DED" w:rsidRPr="007E7DED" w:rsidRDefault="007E7DED" w:rsidP="00C4170B">
      <w:pPr>
        <w:spacing w:before="136"/>
        <w:rPr>
          <w:szCs w:val="24"/>
          <w:lang w:eastAsia="zh-CN"/>
        </w:rPr>
      </w:pPr>
      <w:r w:rsidRPr="00B528EB">
        <w:rPr>
          <w:i/>
          <w:iCs/>
          <w:szCs w:val="24"/>
          <w:lang w:eastAsia="zh-CN"/>
        </w:rPr>
        <w:t>b)</w:t>
      </w:r>
      <w:r w:rsidRPr="007E7DED">
        <w:rPr>
          <w:szCs w:val="24"/>
          <w:lang w:eastAsia="zh-CN"/>
        </w:rPr>
        <w:tab/>
        <w:t xml:space="preserve">que, conformément aux dispositions </w:t>
      </w:r>
      <w:r w:rsidR="00C4170B" w:rsidRPr="00DB2076">
        <w:rPr>
          <w:szCs w:val="24"/>
          <w:lang w:eastAsia="zh-CN"/>
        </w:rPr>
        <w:t xml:space="preserve">pertinentes </w:t>
      </w:r>
      <w:r w:rsidRPr="007E7DED">
        <w:rPr>
          <w:szCs w:val="24"/>
          <w:lang w:eastAsia="zh-CN"/>
        </w:rPr>
        <w:t xml:space="preserve">du Règlement des radiocommunications, le service de recherche spatiale peut </w:t>
      </w:r>
      <w:r w:rsidR="00C4170B" w:rsidRPr="00DB2076">
        <w:rPr>
          <w:szCs w:val="24"/>
          <w:lang w:eastAsia="zh-CN"/>
        </w:rPr>
        <w:t>être exploité</w:t>
      </w:r>
      <w:r w:rsidRPr="007E7DED">
        <w:rPr>
          <w:szCs w:val="24"/>
          <w:lang w:eastAsia="zh-CN"/>
        </w:rPr>
        <w:t xml:space="preserve">, à titre secondaire, dans certaines des bandes qui sont attribuées à titre primaire </w:t>
      </w:r>
      <w:r w:rsidR="00C4170B" w:rsidRPr="00DB2076">
        <w:rPr>
          <w:szCs w:val="24"/>
          <w:lang w:eastAsia="zh-CN"/>
        </w:rPr>
        <w:t xml:space="preserve">à d'autres </w:t>
      </w:r>
      <w:r w:rsidRPr="007E7DED">
        <w:rPr>
          <w:szCs w:val="24"/>
          <w:lang w:eastAsia="zh-CN"/>
        </w:rPr>
        <w:t>services,</w:t>
      </w:r>
    </w:p>
    <w:p w:rsidR="007E7DED" w:rsidRPr="007E7DED" w:rsidRDefault="007E7DED" w:rsidP="00D3082D">
      <w:pPr>
        <w:pStyle w:val="Call"/>
        <w:rPr>
          <w:lang w:eastAsia="zh-CN"/>
        </w:rPr>
      </w:pPr>
      <w:r w:rsidRPr="007E7DED">
        <w:rPr>
          <w:lang w:eastAsia="zh-CN"/>
        </w:rPr>
        <w:t>reco</w:t>
      </w:r>
      <w:r w:rsidR="00BA167B" w:rsidRPr="00DB2076">
        <w:rPr>
          <w:lang w:eastAsia="zh-CN"/>
        </w:rPr>
        <w:t>nnaissant</w:t>
      </w:r>
    </w:p>
    <w:p w:rsidR="007E7DED" w:rsidRPr="007E7DED" w:rsidRDefault="007E7DED" w:rsidP="00D3082D">
      <w:pPr>
        <w:spacing w:before="136"/>
        <w:rPr>
          <w:szCs w:val="24"/>
          <w:lang w:eastAsia="zh-CN"/>
        </w:rPr>
      </w:pPr>
      <w:r w:rsidRPr="007E7DED">
        <w:rPr>
          <w:szCs w:val="24"/>
          <w:lang w:eastAsia="zh-CN"/>
        </w:rPr>
        <w:t xml:space="preserve">que le partage des fréquences, </w:t>
      </w:r>
      <w:r w:rsidR="00C4170B" w:rsidRPr="00DB2076">
        <w:rPr>
          <w:szCs w:val="24"/>
          <w:lang w:eastAsia="zh-CN"/>
        </w:rPr>
        <w:t xml:space="preserve">sous réserve de ne pas causer </w:t>
      </w:r>
      <w:r w:rsidR="00C4170B" w:rsidRPr="007E7DED">
        <w:rPr>
          <w:szCs w:val="24"/>
          <w:lang w:eastAsia="zh-CN"/>
        </w:rPr>
        <w:t xml:space="preserve">de brouillage, </w:t>
      </w:r>
      <w:r w:rsidRPr="007E7DED">
        <w:rPr>
          <w:szCs w:val="24"/>
          <w:lang w:eastAsia="zh-CN"/>
        </w:rPr>
        <w:t xml:space="preserve">entre les émetteurs du service de recherche spatiale et les récepteurs </w:t>
      </w:r>
      <w:r w:rsidR="00BA167B" w:rsidRPr="00DB2076">
        <w:rPr>
          <w:szCs w:val="24"/>
          <w:lang w:eastAsia="zh-CN"/>
        </w:rPr>
        <w:t xml:space="preserve">d'autres </w:t>
      </w:r>
      <w:r w:rsidRPr="007E7DED">
        <w:rPr>
          <w:szCs w:val="24"/>
          <w:lang w:eastAsia="zh-CN"/>
        </w:rPr>
        <w:t xml:space="preserve">services </w:t>
      </w:r>
      <w:r w:rsidR="00BA167B" w:rsidRPr="00DB2076">
        <w:rPr>
          <w:szCs w:val="24"/>
          <w:lang w:eastAsia="zh-CN"/>
        </w:rPr>
        <w:t xml:space="preserve">est </w:t>
      </w:r>
      <w:r w:rsidRPr="007E7DED">
        <w:rPr>
          <w:szCs w:val="24"/>
          <w:lang w:eastAsia="zh-CN"/>
        </w:rPr>
        <w:t>possible au voisinage de 14 et 15</w:t>
      </w:r>
      <w:r w:rsidR="00D3082D">
        <w:rPr>
          <w:szCs w:val="24"/>
          <w:lang w:eastAsia="zh-CN"/>
        </w:rPr>
        <w:t> </w:t>
      </w:r>
      <w:r w:rsidRPr="007E7DED">
        <w:rPr>
          <w:szCs w:val="24"/>
          <w:lang w:eastAsia="zh-CN"/>
        </w:rPr>
        <w:t xml:space="preserve">GHz, à condition </w:t>
      </w:r>
      <w:r w:rsidR="00C1029F">
        <w:rPr>
          <w:szCs w:val="24"/>
          <w:lang w:eastAsia="zh-CN"/>
        </w:rPr>
        <w:t xml:space="preserve">que </w:t>
      </w:r>
      <w:r w:rsidRPr="007E7DED">
        <w:rPr>
          <w:szCs w:val="24"/>
          <w:lang w:eastAsia="zh-CN"/>
        </w:rPr>
        <w:t xml:space="preserve">des limites </w:t>
      </w:r>
      <w:r w:rsidR="00C1029F">
        <w:rPr>
          <w:szCs w:val="24"/>
          <w:lang w:eastAsia="zh-CN"/>
        </w:rPr>
        <w:t xml:space="preserve">de </w:t>
      </w:r>
      <w:r w:rsidRPr="007E7DED">
        <w:rPr>
          <w:szCs w:val="24"/>
          <w:lang w:eastAsia="zh-CN"/>
        </w:rPr>
        <w:t xml:space="preserve">puissance surfacique </w:t>
      </w:r>
      <w:r w:rsidR="00C1029F" w:rsidRPr="007E7DED">
        <w:rPr>
          <w:szCs w:val="24"/>
          <w:lang w:eastAsia="zh-CN"/>
        </w:rPr>
        <w:t xml:space="preserve">appropriées </w:t>
      </w:r>
      <w:r w:rsidR="00C1029F">
        <w:rPr>
          <w:szCs w:val="24"/>
          <w:lang w:eastAsia="zh-CN"/>
        </w:rPr>
        <w:t xml:space="preserve">soient spécifiées </w:t>
      </w:r>
      <w:r w:rsidRPr="007E7DED">
        <w:rPr>
          <w:szCs w:val="24"/>
          <w:lang w:eastAsia="zh-CN"/>
        </w:rPr>
        <w:t>pour l</w:t>
      </w:r>
      <w:r w:rsidR="00D3082D">
        <w:rPr>
          <w:szCs w:val="24"/>
          <w:lang w:eastAsia="zh-CN"/>
        </w:rPr>
        <w:t>e service de recherche spatiale,</w:t>
      </w:r>
    </w:p>
    <w:p w:rsidR="00BA167B" w:rsidRPr="007E7DED" w:rsidRDefault="00BA167B" w:rsidP="00D3082D">
      <w:pPr>
        <w:pStyle w:val="Call"/>
        <w:rPr>
          <w:lang w:eastAsia="zh-CN"/>
        </w:rPr>
      </w:pPr>
      <w:r w:rsidRPr="007E7DED">
        <w:rPr>
          <w:lang w:eastAsia="zh-CN"/>
        </w:rPr>
        <w:t>recommande</w:t>
      </w:r>
    </w:p>
    <w:p w:rsidR="007E7DED" w:rsidRPr="007E7DED" w:rsidRDefault="007E7DED" w:rsidP="00C4170B">
      <w:pPr>
        <w:spacing w:before="136"/>
        <w:rPr>
          <w:szCs w:val="24"/>
          <w:lang w:eastAsia="zh-CN"/>
        </w:rPr>
      </w:pPr>
      <w:r w:rsidRPr="007E7DED">
        <w:rPr>
          <w:szCs w:val="24"/>
          <w:lang w:eastAsia="zh-CN"/>
        </w:rPr>
        <w:t xml:space="preserve">que, dans les bandes de fréquences </w:t>
      </w:r>
      <w:r w:rsidR="00C4170B" w:rsidRPr="00DB2076">
        <w:rPr>
          <w:szCs w:val="24"/>
          <w:lang w:eastAsia="zh-CN"/>
        </w:rPr>
        <w:t xml:space="preserve">au voisinage </w:t>
      </w:r>
      <w:r w:rsidRPr="007E7DED">
        <w:rPr>
          <w:szCs w:val="24"/>
          <w:lang w:eastAsia="zh-CN"/>
        </w:rPr>
        <w:t xml:space="preserve">de 14 et 15 GHz utilisées en partage par le service de recherche spatiale (systèmes </w:t>
      </w:r>
      <w:r w:rsidR="00C1029F">
        <w:rPr>
          <w:szCs w:val="24"/>
          <w:lang w:eastAsia="zh-CN"/>
        </w:rPr>
        <w:t xml:space="preserve">à satellites </w:t>
      </w:r>
      <w:r w:rsidRPr="007E7DED">
        <w:rPr>
          <w:szCs w:val="24"/>
          <w:lang w:eastAsia="zh-CN"/>
        </w:rPr>
        <w:t xml:space="preserve">SRD) et </w:t>
      </w:r>
      <w:r w:rsidR="00C4170B" w:rsidRPr="00DB2076">
        <w:rPr>
          <w:szCs w:val="24"/>
          <w:lang w:eastAsia="zh-CN"/>
        </w:rPr>
        <w:t xml:space="preserve">d'autres </w:t>
      </w:r>
      <w:r w:rsidRPr="007E7DED">
        <w:rPr>
          <w:szCs w:val="24"/>
          <w:lang w:eastAsia="zh-CN"/>
        </w:rPr>
        <w:t xml:space="preserve">services, les satellites </w:t>
      </w:r>
      <w:r w:rsidR="00C1029F">
        <w:rPr>
          <w:szCs w:val="24"/>
          <w:lang w:eastAsia="zh-CN"/>
        </w:rPr>
        <w:t xml:space="preserve">du service </w:t>
      </w:r>
      <w:r w:rsidRPr="007E7DED">
        <w:rPr>
          <w:szCs w:val="24"/>
          <w:lang w:eastAsia="zh-CN"/>
        </w:rPr>
        <w:t xml:space="preserve">de recherche spatiale </w:t>
      </w:r>
      <w:r w:rsidR="00C4170B" w:rsidRPr="00DB2076">
        <w:rPr>
          <w:szCs w:val="24"/>
          <w:lang w:eastAsia="zh-CN"/>
        </w:rPr>
        <w:t xml:space="preserve">respectent </w:t>
      </w:r>
      <w:r w:rsidRPr="007E7DED">
        <w:rPr>
          <w:szCs w:val="24"/>
          <w:lang w:eastAsia="zh-CN"/>
        </w:rPr>
        <w:t xml:space="preserve">les limites ci-après de puissance surfacique </w:t>
      </w:r>
      <w:r w:rsidR="00C4170B" w:rsidRPr="00DB2076">
        <w:rPr>
          <w:szCs w:val="24"/>
          <w:lang w:eastAsia="zh-CN"/>
        </w:rPr>
        <w:t xml:space="preserve">produite </w:t>
      </w:r>
      <w:r w:rsidRPr="007E7DED">
        <w:rPr>
          <w:szCs w:val="24"/>
          <w:lang w:eastAsia="zh-CN"/>
        </w:rPr>
        <w:t>à la surface de la Terre dans une bande quelconque de 4 kHz, quelles que soient les conditions et les méthodes de modulation:</w:t>
      </w:r>
    </w:p>
    <w:p w:rsidR="007E7DED" w:rsidRPr="007E7DED" w:rsidRDefault="00104323" w:rsidP="00104323">
      <w:pPr>
        <w:pStyle w:val="Equation"/>
        <w:rPr>
          <w:szCs w:val="24"/>
          <w:lang w:eastAsia="zh-CN"/>
        </w:rPr>
      </w:pPr>
      <w:r w:rsidRPr="00DB2076">
        <w:tab/>
      </w:r>
      <w:r w:rsidR="007E7DED" w:rsidRPr="007E7DED">
        <w:rPr>
          <w:szCs w:val="24"/>
          <w:lang w:eastAsia="zh-CN"/>
        </w:rPr>
        <w:tab/>
      </w:r>
      <w:r w:rsidR="007E7DED" w:rsidRPr="007E7DED">
        <w:rPr>
          <w:szCs w:val="24"/>
          <w:lang w:eastAsia="zh-CN"/>
        </w:rPr>
        <w:fldChar w:fldCharType="begin"/>
      </w:r>
      <w:r w:rsidR="007E7DED" w:rsidRPr="007E7DED">
        <w:rPr>
          <w:szCs w:val="24"/>
          <w:lang w:eastAsia="zh-CN"/>
        </w:rPr>
        <w:instrText xml:space="preserve"> eq \a\al\co4\hs25\vs5(–148,dB(W/m</w:instrText>
      </w:r>
      <w:r w:rsidR="007E7DED" w:rsidRPr="007E7DED">
        <w:rPr>
          <w:position w:val="6"/>
          <w:szCs w:val="24"/>
          <w:lang w:eastAsia="zh-CN"/>
        </w:rPr>
        <w:instrText>2</w:instrText>
      </w:r>
      <w:r w:rsidR="007E7DED" w:rsidRPr="007E7DED">
        <w:rPr>
          <w:szCs w:val="24"/>
          <w:lang w:eastAsia="zh-CN"/>
        </w:rPr>
        <w:instrText>),pour,\d\ba15()\a\al\co5\hs4(</w:instrText>
      </w:r>
      <w:r w:rsidR="007E7DED" w:rsidRPr="007E7DED">
        <w:rPr>
          <w:szCs w:val="24"/>
          <w:lang w:eastAsia="zh-CN"/>
        </w:rPr>
        <w:instrText> </w:instrText>
      </w:r>
      <w:r w:rsidR="007E7DED" w:rsidRPr="007E7DED">
        <w:rPr>
          <w:szCs w:val="24"/>
          <w:lang w:eastAsia="zh-CN"/>
        </w:rPr>
        <w:instrText>0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&lt;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d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£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szCs w:val="24"/>
          <w:lang w:eastAsia="zh-CN"/>
        </w:rPr>
        <w:instrText> </w:instrText>
      </w:r>
      <w:r w:rsidR="007E7DED" w:rsidRPr="007E7DED">
        <w:rPr>
          <w:szCs w:val="24"/>
          <w:lang w:eastAsia="zh-CN"/>
        </w:rPr>
        <w:instrText>5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 xml:space="preserve">),–148  </w:instrText>
      </w:r>
      <w:r w:rsidR="007E7DED" w:rsidRPr="007E7DED">
        <w:rPr>
          <w:rFonts w:ascii="Symbol" w:hAnsi="Symbol"/>
          <w:szCs w:val="24"/>
          <w:lang w:eastAsia="zh-CN"/>
        </w:rPr>
        <w:instrText>+</w:instrText>
      </w:r>
      <w:r w:rsidR="007E7DED" w:rsidRPr="007E7DED">
        <w:rPr>
          <w:szCs w:val="24"/>
          <w:lang w:eastAsia="zh-CN"/>
        </w:rPr>
        <w:instrText xml:space="preserve">  (</w:instrText>
      </w:r>
      <w:r w:rsidR="007E7DED" w:rsidRPr="007E7DED">
        <w:rPr>
          <w:rFonts w:ascii="Symbol" w:hAnsi="Symbol"/>
          <w:szCs w:val="24"/>
          <w:lang w:eastAsia="zh-CN"/>
        </w:rPr>
        <w:instrText>d</w:instrText>
      </w:r>
      <w:r w:rsidR="007E7DED" w:rsidRPr="007E7DED">
        <w:rPr>
          <w:szCs w:val="24"/>
          <w:lang w:eastAsia="zh-CN"/>
        </w:rPr>
        <w:instrText xml:space="preserve">  –  5)/2,dB(W/m</w:instrText>
      </w:r>
      <w:r w:rsidR="007E7DED" w:rsidRPr="007E7DED">
        <w:rPr>
          <w:position w:val="6"/>
          <w:szCs w:val="24"/>
          <w:lang w:eastAsia="zh-CN"/>
        </w:rPr>
        <w:instrText>2</w:instrText>
      </w:r>
      <w:r w:rsidR="007E7DED" w:rsidRPr="007E7DED">
        <w:rPr>
          <w:szCs w:val="24"/>
          <w:lang w:eastAsia="zh-CN"/>
        </w:rPr>
        <w:instrText>),pour,\d\ba15()\a\al\co5\hs4(</w:instrText>
      </w:r>
      <w:r w:rsidR="007E7DED" w:rsidRPr="007E7DED">
        <w:rPr>
          <w:szCs w:val="24"/>
          <w:lang w:eastAsia="zh-CN"/>
        </w:rPr>
        <w:instrText> </w:instrText>
      </w:r>
      <w:r w:rsidR="007E7DED" w:rsidRPr="007E7DED">
        <w:rPr>
          <w:szCs w:val="24"/>
          <w:lang w:eastAsia="zh-CN"/>
        </w:rPr>
        <w:instrText>5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>,&lt;,</w:instrText>
      </w:r>
      <w:r w:rsidR="007E7DED" w:rsidRPr="007E7DED">
        <w:rPr>
          <w:rFonts w:ascii="Symbol" w:hAnsi="Symbol"/>
          <w:szCs w:val="24"/>
          <w:lang w:eastAsia="zh-CN"/>
        </w:rPr>
        <w:instrText>d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£</w:instrText>
      </w:r>
      <w:r w:rsidR="007E7DED" w:rsidRPr="007E7DED">
        <w:rPr>
          <w:szCs w:val="24"/>
          <w:lang w:eastAsia="zh-CN"/>
        </w:rPr>
        <w:instrText>,25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>),–138,dB(W/m</w:instrText>
      </w:r>
      <w:r w:rsidR="007E7DED" w:rsidRPr="007E7DED">
        <w:rPr>
          <w:position w:val="6"/>
          <w:szCs w:val="24"/>
          <w:lang w:eastAsia="zh-CN"/>
        </w:rPr>
        <w:instrText>2</w:instrText>
      </w:r>
      <w:r w:rsidR="007E7DED" w:rsidRPr="007E7DED">
        <w:rPr>
          <w:szCs w:val="24"/>
          <w:lang w:eastAsia="zh-CN"/>
        </w:rPr>
        <w:instrText>),pour,\d\ba15()\a\al\co5\hs4(25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&lt;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d</w:instrText>
      </w:r>
      <w:r w:rsidR="007E7DED" w:rsidRPr="007E7DED">
        <w:rPr>
          <w:szCs w:val="24"/>
          <w:lang w:eastAsia="zh-CN"/>
        </w:rPr>
        <w:instrText>,</w:instrText>
      </w:r>
      <w:r w:rsidR="007E7DED" w:rsidRPr="007E7DED">
        <w:rPr>
          <w:rFonts w:ascii="Symbol" w:hAnsi="Symbol"/>
          <w:szCs w:val="24"/>
          <w:lang w:eastAsia="zh-CN"/>
        </w:rPr>
        <w:instrText>£</w:instrText>
      </w:r>
      <w:r w:rsidR="007E7DED" w:rsidRPr="007E7DED">
        <w:rPr>
          <w:szCs w:val="24"/>
          <w:lang w:eastAsia="zh-CN"/>
        </w:rPr>
        <w:instrText>,90</w:instrText>
      </w:r>
      <w:r w:rsidR="007E7DED" w:rsidRPr="007E7DED">
        <w:rPr>
          <w:rFonts w:ascii="Symbol" w:hAnsi="Symbol"/>
          <w:szCs w:val="24"/>
          <w:lang w:eastAsia="zh-CN"/>
        </w:rPr>
        <w:instrText>°</w:instrText>
      </w:r>
      <w:r w:rsidR="007E7DED" w:rsidRPr="007E7DED">
        <w:rPr>
          <w:szCs w:val="24"/>
          <w:lang w:eastAsia="zh-CN"/>
        </w:rPr>
        <w:instrText>))</w:instrText>
      </w:r>
      <w:r w:rsidR="007E7DED" w:rsidRPr="007E7DED">
        <w:rPr>
          <w:szCs w:val="24"/>
          <w:lang w:eastAsia="zh-CN"/>
        </w:rPr>
        <w:fldChar w:fldCharType="end"/>
      </w:r>
    </w:p>
    <w:p w:rsidR="007E7DED" w:rsidRPr="007E7DED" w:rsidRDefault="00104323" w:rsidP="00C1029F">
      <w:pPr>
        <w:spacing w:before="136"/>
        <w:rPr>
          <w:szCs w:val="24"/>
          <w:lang w:eastAsia="zh-CN"/>
        </w:rPr>
      </w:pPr>
      <w:r w:rsidRPr="00DB2076">
        <w:rPr>
          <w:szCs w:val="24"/>
          <w:lang w:eastAsia="zh-CN"/>
        </w:rPr>
        <w:t xml:space="preserve">où </w:t>
      </w:r>
      <w:r w:rsidR="007E7DED" w:rsidRPr="007E7DED">
        <w:rPr>
          <w:rFonts w:ascii="Symbol" w:hAnsi="Symbol"/>
          <w:szCs w:val="24"/>
          <w:lang w:eastAsia="zh-CN"/>
        </w:rPr>
        <w:t></w:t>
      </w:r>
      <w:r w:rsidR="007E7DED" w:rsidRPr="007E7DED">
        <w:rPr>
          <w:szCs w:val="24"/>
          <w:lang w:eastAsia="zh-CN"/>
        </w:rPr>
        <w:t xml:space="preserve"> </w:t>
      </w:r>
      <w:r w:rsidRPr="00DB2076">
        <w:rPr>
          <w:szCs w:val="24"/>
          <w:lang w:eastAsia="zh-CN"/>
        </w:rPr>
        <w:t xml:space="preserve">est </w:t>
      </w:r>
      <w:r w:rsidR="007E7DED" w:rsidRPr="007E7DED">
        <w:rPr>
          <w:szCs w:val="24"/>
          <w:lang w:eastAsia="zh-CN"/>
        </w:rPr>
        <w:t>l'angle d'</w:t>
      </w:r>
      <w:r w:rsidRPr="00DB2076">
        <w:rPr>
          <w:szCs w:val="24"/>
          <w:lang w:eastAsia="zh-CN"/>
        </w:rPr>
        <w:t xml:space="preserve">incidence </w:t>
      </w:r>
      <w:r w:rsidR="007E7DED" w:rsidRPr="007E7DED">
        <w:rPr>
          <w:szCs w:val="24"/>
          <w:lang w:eastAsia="zh-CN"/>
        </w:rPr>
        <w:t xml:space="preserve">de l'onde </w:t>
      </w:r>
      <w:r w:rsidR="00DB2076" w:rsidRPr="00DB2076">
        <w:rPr>
          <w:szCs w:val="24"/>
          <w:lang w:eastAsia="zh-CN"/>
        </w:rPr>
        <w:t xml:space="preserve">radioélectrique </w:t>
      </w:r>
      <w:r w:rsidR="007E7DED" w:rsidRPr="007E7DED">
        <w:rPr>
          <w:szCs w:val="24"/>
          <w:lang w:eastAsia="zh-CN"/>
        </w:rPr>
        <w:t>(degrés au-dessus du plan horizontal)</w:t>
      </w:r>
      <w:r w:rsidR="00DB2076" w:rsidRPr="00DB2076">
        <w:rPr>
          <w:szCs w:val="24"/>
          <w:lang w:eastAsia="zh-CN"/>
        </w:rPr>
        <w:t>;</w:t>
      </w:r>
      <w:r w:rsidRPr="00DB2076">
        <w:rPr>
          <w:szCs w:val="24"/>
          <w:lang w:eastAsia="zh-CN"/>
        </w:rPr>
        <w:t xml:space="preserve"> </w:t>
      </w:r>
      <w:r w:rsidR="007E7DED" w:rsidRPr="007E7DED">
        <w:rPr>
          <w:szCs w:val="24"/>
          <w:lang w:eastAsia="zh-CN"/>
        </w:rPr>
        <w:t xml:space="preserve">ces limites </w:t>
      </w:r>
      <w:r w:rsidR="00DB2076" w:rsidRPr="00DB2076">
        <w:rPr>
          <w:szCs w:val="24"/>
          <w:lang w:eastAsia="zh-CN"/>
        </w:rPr>
        <w:t xml:space="preserve">correspondent </w:t>
      </w:r>
      <w:r w:rsidR="007E7DED" w:rsidRPr="007E7DED">
        <w:rPr>
          <w:szCs w:val="24"/>
          <w:lang w:eastAsia="zh-CN"/>
        </w:rPr>
        <w:t>à la puissance surfacique et aux angles d'</w:t>
      </w:r>
      <w:r w:rsidRPr="00DB2076">
        <w:rPr>
          <w:szCs w:val="24"/>
          <w:lang w:eastAsia="zh-CN"/>
        </w:rPr>
        <w:t xml:space="preserve">incidence </w:t>
      </w:r>
      <w:r w:rsidR="007E7DED" w:rsidRPr="007E7DED">
        <w:rPr>
          <w:szCs w:val="24"/>
          <w:lang w:eastAsia="zh-CN"/>
        </w:rPr>
        <w:t xml:space="preserve">que l'on obtiendrait </w:t>
      </w:r>
      <w:r w:rsidRPr="00DB2076">
        <w:rPr>
          <w:szCs w:val="24"/>
          <w:lang w:eastAsia="zh-CN"/>
        </w:rPr>
        <w:t xml:space="preserve">dans </w:t>
      </w:r>
      <w:r w:rsidR="00C1029F">
        <w:rPr>
          <w:szCs w:val="24"/>
          <w:lang w:eastAsia="zh-CN"/>
        </w:rPr>
        <w:t>l</w:t>
      </w:r>
      <w:r w:rsidRPr="00DB2076">
        <w:rPr>
          <w:szCs w:val="24"/>
          <w:lang w:eastAsia="zh-CN"/>
        </w:rPr>
        <w:t xml:space="preserve">es conditions de </w:t>
      </w:r>
      <w:r w:rsidR="007E7DED" w:rsidRPr="007E7DED">
        <w:rPr>
          <w:szCs w:val="24"/>
          <w:lang w:eastAsia="zh-CN"/>
        </w:rPr>
        <w:t>propagation en espace libre.</w:t>
      </w:r>
    </w:p>
    <w:p w:rsidR="007E7DED" w:rsidRPr="007E7DED" w:rsidRDefault="007E7DED" w:rsidP="007E7DED">
      <w:pPr>
        <w:tabs>
          <w:tab w:val="left" w:pos="3119"/>
        </w:tabs>
        <w:spacing w:before="136"/>
        <w:rPr>
          <w:szCs w:val="24"/>
          <w:lang w:eastAsia="zh-CN"/>
        </w:rPr>
      </w:pPr>
      <w:bookmarkStart w:id="3" w:name="_GoBack"/>
      <w:bookmarkEnd w:id="3"/>
    </w:p>
    <w:p w:rsidR="00A6617B" w:rsidRPr="00DB2076" w:rsidRDefault="00A6617B" w:rsidP="00AE7DF5">
      <w:pPr>
        <w:rPr>
          <w:szCs w:val="24"/>
        </w:rPr>
      </w:pPr>
    </w:p>
    <w:p w:rsidR="00AE7DF5" w:rsidRPr="00DB2076" w:rsidRDefault="00AE7DF5" w:rsidP="00AE7DF5">
      <w:pPr>
        <w:pStyle w:val="Line"/>
        <w:rPr>
          <w:sz w:val="24"/>
          <w:szCs w:val="24"/>
          <w:lang w:val="fr-FR"/>
        </w:rPr>
      </w:pPr>
    </w:p>
    <w:sectPr w:rsidR="00AE7DF5" w:rsidRPr="00DB2076" w:rsidSect="0014121B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BC1" w:rsidRDefault="00F43BC1">
      <w:r>
        <w:separator/>
      </w:r>
    </w:p>
  </w:endnote>
  <w:endnote w:type="continuationSeparator" w:id="0">
    <w:p w:rsidR="00F43BC1" w:rsidRDefault="00F43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BC1" w:rsidRDefault="00F43BC1">
      <w:r>
        <w:separator/>
      </w:r>
    </w:p>
  </w:footnote>
  <w:footnote w:type="continuationSeparator" w:id="0">
    <w:p w:rsidR="00F43BC1" w:rsidRDefault="00F43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BC1" w:rsidRDefault="00F43BC1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BC1" w:rsidRDefault="00F43BC1" w:rsidP="00C668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3345C640" wp14:editId="16D34C8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BC1" w:rsidRPr="00837CB5" w:rsidRDefault="00F43BC1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06217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r w:rsidR="00706217">
      <w:fldChar w:fldCharType="begin"/>
    </w:r>
    <w:r w:rsidR="00706217">
      <w:instrText xml:space="preserve"> DOCPROPERTY "Header" \* MERGEFORMAT </w:instrText>
    </w:r>
    <w:r w:rsidR="00706217">
      <w:fldChar w:fldCharType="separate"/>
    </w:r>
    <w:r w:rsidR="00706217" w:rsidRPr="00706217">
      <w:rPr>
        <w:b/>
        <w:bCs/>
      </w:rPr>
      <w:t xml:space="preserve">Rec. </w:t>
    </w:r>
    <w:r w:rsidR="0070621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706217">
      <w:rPr>
        <w:b/>
        <w:bCs/>
        <w:noProof/>
      </w:rPr>
      <w:t>UIT-R  SA.510-3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BC1" w:rsidRDefault="00F43BC1">
    <w:pPr>
      <w:pStyle w:val="Header"/>
    </w:pPr>
    <w:r>
      <w:tab/>
    </w:r>
    <w:r w:rsidR="00706217">
      <w:fldChar w:fldCharType="begin"/>
    </w:r>
    <w:r w:rsidR="00706217">
      <w:instrText xml:space="preserve"> DOCPROPERTY "Header" \* MERGEFORMAT </w:instrText>
    </w:r>
    <w:r w:rsidR="00706217">
      <w:fldChar w:fldCharType="separate"/>
    </w:r>
    <w:r w:rsidR="00706217" w:rsidRPr="00706217">
      <w:rPr>
        <w:b/>
        <w:bCs/>
      </w:rPr>
      <w:t xml:space="preserve">Rec. </w:t>
    </w:r>
    <w:r w:rsidR="0070621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06217">
      <w:rPr>
        <w:b/>
        <w:bCs/>
        <w:noProof/>
      </w:rPr>
      <w:t>UIT-R  SA.510-3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06217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706217" w:rsidRPr="0070621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06217">
      <w:rPr>
        <w:b/>
        <w:bCs/>
        <w:noProof/>
      </w:rPr>
      <w:t>UIT-R  SA.510-3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68" w:rsidRDefault="00607D68">
    <w:pPr>
      <w:pStyle w:val="Header"/>
    </w:pPr>
    <w:r>
      <w:tab/>
    </w:r>
    <w:r w:rsidR="00706217">
      <w:fldChar w:fldCharType="begin"/>
    </w:r>
    <w:r w:rsidR="00706217">
      <w:instrText xml:space="preserve"> DOCPROPERTY "Header" \* MERGEFORMAT </w:instrText>
    </w:r>
    <w:r w:rsidR="00706217">
      <w:fldChar w:fldCharType="separate"/>
    </w:r>
    <w:r w:rsidR="00706217" w:rsidRPr="00706217">
      <w:rPr>
        <w:b/>
        <w:bCs/>
      </w:rPr>
      <w:t xml:space="preserve">Rec. </w:t>
    </w:r>
    <w:r w:rsidR="0070621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06217">
      <w:rPr>
        <w:b/>
        <w:bCs/>
        <w:noProof/>
      </w:rPr>
      <w:t>UIT-R  SA.510-3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0621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BC1"/>
    <w:rsid w:val="00022AB1"/>
    <w:rsid w:val="00104323"/>
    <w:rsid w:val="0014121B"/>
    <w:rsid w:val="0019542D"/>
    <w:rsid w:val="001C3C8C"/>
    <w:rsid w:val="00205185"/>
    <w:rsid w:val="00205A9B"/>
    <w:rsid w:val="00217EBF"/>
    <w:rsid w:val="00242AEE"/>
    <w:rsid w:val="002D76C4"/>
    <w:rsid w:val="00302887"/>
    <w:rsid w:val="0052529D"/>
    <w:rsid w:val="00536594"/>
    <w:rsid w:val="00607D68"/>
    <w:rsid w:val="00690516"/>
    <w:rsid w:val="006E4541"/>
    <w:rsid w:val="00706217"/>
    <w:rsid w:val="007468DA"/>
    <w:rsid w:val="00751F87"/>
    <w:rsid w:val="0075679A"/>
    <w:rsid w:val="007E7DED"/>
    <w:rsid w:val="008E794D"/>
    <w:rsid w:val="009053AD"/>
    <w:rsid w:val="009819A0"/>
    <w:rsid w:val="009E00A8"/>
    <w:rsid w:val="00A6617B"/>
    <w:rsid w:val="00AB0DC8"/>
    <w:rsid w:val="00AE7DF5"/>
    <w:rsid w:val="00B44E24"/>
    <w:rsid w:val="00B528EB"/>
    <w:rsid w:val="00BA167B"/>
    <w:rsid w:val="00BF0D78"/>
    <w:rsid w:val="00C006D0"/>
    <w:rsid w:val="00C1029F"/>
    <w:rsid w:val="00C4170B"/>
    <w:rsid w:val="00C46D23"/>
    <w:rsid w:val="00CD1742"/>
    <w:rsid w:val="00D3082D"/>
    <w:rsid w:val="00DB2076"/>
    <w:rsid w:val="00DF4176"/>
    <w:rsid w:val="00F43BC1"/>
    <w:rsid w:val="00FA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D13EA4"/>
  <w15:docId w15:val="{14E7ACC9-C429-420D-822E-774B1C64E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BC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19542D"/>
    <w:pPr>
      <w:spacing w:after="480"/>
    </w:pPr>
    <w:rPr>
      <w:sz w:val="22"/>
      <w:szCs w:val="22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F43BC1"/>
    <w:rPr>
      <w:color w:val="0000FF"/>
      <w:u w:val="single"/>
    </w:rPr>
  </w:style>
  <w:style w:type="paragraph" w:customStyle="1" w:styleId="RecTitleDate">
    <w:name w:val="Rec_Title/Date"/>
    <w:basedOn w:val="Normal"/>
    <w:next w:val="Normal"/>
    <w:rsid w:val="007E7DED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</TotalTime>
  <Pages>4</Pages>
  <Words>753</Words>
  <Characters>4433</Characters>
  <Application>Microsoft Office Word</Application>
  <DocSecurity>0</DocSecurity>
  <Lines>137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RECOMMANDATION  UIT-R  SA.510-3 - Possibilité de partage des fréquences entre le service de recherche spatiale et d'autres services dans les bandes au voisinage de 14 et 15 GHz</vt:lpstr>
    </vt:vector>
  </TitlesOfParts>
  <Manager/>
  <Company>ITU</Company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RECOMMANDATION  UIT-R  SA.510-3 - Possibilité de partage des fréquences entre le service de recherche spatiale et d'autres services dans les bandes au voisinage de 14 et 15 GHz</dc:title>
  <dc:subject>Série SA = Applications spatiales</dc:subject>
  <dc:creator>Bureau des radiocommunications de l'UIT (BR)</dc:creator>
  <cp:keywords>SA,510-3</cp:keywords>
  <dc:description>Gachetc, 12/04/2018, ITU51007784</dc:description>
  <cp:lastModifiedBy>Gachet, Christelle</cp:lastModifiedBy>
  <cp:revision>9</cp:revision>
  <cp:lastPrinted>2018-04-12T09:53:00Z</cp:lastPrinted>
  <dcterms:created xsi:type="dcterms:W3CDTF">2018-04-12T09:49:00Z</dcterms:created>
  <dcterms:modified xsi:type="dcterms:W3CDTF">2018-04-12T09:53:00Z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French</vt:lpwstr>
  </property>
  <property fmtid="{D5CDD505-2E9C-101B-9397-08002B2CF9AE}" pid="10" name="Typist">
    <vt:lpwstr>Gachetc</vt:lpwstr>
  </property>
  <property fmtid="{D5CDD505-2E9C-101B-9397-08002B2CF9AE}" pid="11" name="Date completed">
    <vt:lpwstr>12 April 2018</vt:lpwstr>
  </property>
</Properties>
</file>