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p w:rsidR="00BE4D27" w:rsidRPr="003049BF" w:rsidRDefault="00BE4D27">
      <w:pPr>
        <w:rPr>
          <w:lang w:val="en-GB"/>
        </w:rPr>
      </w:pPr>
    </w:p>
    <w:tbl>
      <w:tblPr>
        <w:tblW w:w="10089" w:type="dxa"/>
        <w:tblLook w:val="01E0" w:firstRow="1" w:lastRow="1" w:firstColumn="1" w:lastColumn="1" w:noHBand="0" w:noVBand="0"/>
      </w:tblPr>
      <w:tblGrid>
        <w:gridCol w:w="10089"/>
      </w:tblGrid>
      <w:tr w:rsidR="00BE4D27" w:rsidRPr="003049BF">
        <w:tc>
          <w:tcPr>
            <w:tcW w:w="10089" w:type="dxa"/>
          </w:tcPr>
          <w:p w:rsidR="00BE4D27" w:rsidRPr="003049BF" w:rsidRDefault="00BE4D27" w:rsidP="00013002">
            <w:pPr>
              <w:spacing w:before="380" w:line="280" w:lineRule="exact"/>
              <w:jc w:val="right"/>
              <w:rPr>
                <w:rFonts w:ascii="Tahoma" w:hAnsi="Tahoma" w:cs="Tahoma"/>
                <w:b/>
                <w:bCs/>
                <w:iCs/>
                <w:color w:val="243285"/>
                <w:sz w:val="32"/>
                <w:szCs w:val="32"/>
                <w:lang w:val="en-GB"/>
              </w:rPr>
            </w:pPr>
          </w:p>
          <w:p w:rsidR="00BE4D27" w:rsidRPr="003049BF" w:rsidRDefault="00BE4D27" w:rsidP="00B348D9">
            <w:pPr>
              <w:spacing w:before="380" w:line="280" w:lineRule="exact"/>
              <w:jc w:val="right"/>
              <w:rPr>
                <w:rFonts w:ascii="Tahoma" w:hAnsi="Tahoma" w:cs="Tahoma"/>
                <w:b/>
                <w:bCs/>
                <w:iCs/>
                <w:color w:val="243285"/>
                <w:sz w:val="36"/>
                <w:szCs w:val="36"/>
                <w:lang w:val="en-GB"/>
              </w:rPr>
            </w:pPr>
            <w:r w:rsidRPr="003049BF">
              <w:rPr>
                <w:rFonts w:ascii="Tahoma" w:hAnsi="Tahoma" w:cs="Tahoma"/>
                <w:b/>
                <w:bCs/>
                <w:iCs/>
                <w:color w:val="243285"/>
                <w:sz w:val="36"/>
                <w:szCs w:val="36"/>
                <w:lang w:val="en-GB"/>
              </w:rPr>
              <w:t>Recommendation  ITU-R  SA.</w:t>
            </w:r>
            <w:r w:rsidR="00B348D9" w:rsidRPr="003049BF">
              <w:rPr>
                <w:rFonts w:ascii="Tahoma" w:hAnsi="Tahoma" w:cs="Tahoma"/>
                <w:b/>
                <w:bCs/>
                <w:iCs/>
                <w:color w:val="243285"/>
                <w:sz w:val="36"/>
                <w:szCs w:val="36"/>
                <w:lang w:val="en-GB"/>
              </w:rPr>
              <w:t>509-3</w:t>
            </w:r>
          </w:p>
          <w:p w:rsidR="00BE4D27" w:rsidRPr="003049BF" w:rsidRDefault="00BE4D27" w:rsidP="00B348D9">
            <w:pPr>
              <w:spacing w:before="80" w:line="280" w:lineRule="exact"/>
              <w:jc w:val="right"/>
              <w:rPr>
                <w:rFonts w:ascii="Tahoma" w:hAnsi="Tahoma" w:cs="Tahoma"/>
                <w:b/>
                <w:bCs/>
                <w:iCs/>
                <w:color w:val="243285"/>
                <w:szCs w:val="24"/>
                <w:lang w:val="en-GB"/>
              </w:rPr>
            </w:pPr>
            <w:r w:rsidRPr="003049BF">
              <w:rPr>
                <w:rFonts w:ascii="Tahoma" w:hAnsi="Tahoma" w:cs="Tahoma"/>
                <w:b/>
                <w:bCs/>
                <w:iCs/>
                <w:color w:val="243285"/>
                <w:szCs w:val="24"/>
                <w:lang w:val="en-GB"/>
              </w:rPr>
              <w:t>(</w:t>
            </w:r>
            <w:r w:rsidR="00B348D9" w:rsidRPr="003049BF">
              <w:rPr>
                <w:rFonts w:ascii="Tahoma" w:hAnsi="Tahoma" w:cs="Tahoma"/>
                <w:b/>
                <w:bCs/>
                <w:iCs/>
                <w:color w:val="243285"/>
                <w:szCs w:val="24"/>
                <w:lang w:val="en-GB"/>
              </w:rPr>
              <w:t>12</w:t>
            </w:r>
            <w:r w:rsidRPr="003049BF">
              <w:rPr>
                <w:rFonts w:ascii="Tahoma" w:hAnsi="Tahoma" w:cs="Tahoma"/>
                <w:b/>
                <w:bCs/>
                <w:iCs/>
                <w:color w:val="243285"/>
                <w:szCs w:val="24"/>
                <w:lang w:val="en-GB"/>
              </w:rPr>
              <w:t>/</w:t>
            </w:r>
            <w:r w:rsidR="00B348D9" w:rsidRPr="003049BF">
              <w:rPr>
                <w:rFonts w:ascii="Tahoma" w:hAnsi="Tahoma" w:cs="Tahoma"/>
                <w:b/>
                <w:bCs/>
                <w:iCs/>
                <w:color w:val="243285"/>
                <w:szCs w:val="24"/>
                <w:lang w:val="en-GB"/>
              </w:rPr>
              <w:t>2013</w:t>
            </w:r>
            <w:r w:rsidRPr="003049BF">
              <w:rPr>
                <w:rFonts w:ascii="Tahoma" w:hAnsi="Tahoma" w:cs="Tahoma"/>
                <w:b/>
                <w:bCs/>
                <w:iCs/>
                <w:color w:val="243285"/>
                <w:szCs w:val="24"/>
                <w:lang w:val="en-GB"/>
              </w:rPr>
              <w:t>)</w:t>
            </w:r>
          </w:p>
        </w:tc>
      </w:tr>
      <w:tr w:rsidR="00BE4D27" w:rsidRPr="008A5DDF">
        <w:tc>
          <w:tcPr>
            <w:tcW w:w="10089" w:type="dxa"/>
          </w:tcPr>
          <w:p w:rsidR="00BE4D27" w:rsidRPr="003049BF" w:rsidRDefault="00BE4D27" w:rsidP="00FE79FE">
            <w:pPr>
              <w:spacing w:before="80" w:line="500" w:lineRule="exact"/>
              <w:jc w:val="right"/>
              <w:rPr>
                <w:rFonts w:ascii="Tahoma" w:hAnsi="Tahoma" w:cs="Tahoma"/>
                <w:b/>
                <w:bCs/>
                <w:iCs/>
                <w:color w:val="243285"/>
                <w:sz w:val="44"/>
                <w:szCs w:val="44"/>
                <w:lang w:val="en-GB"/>
              </w:rPr>
            </w:pPr>
          </w:p>
          <w:p w:rsidR="00BE4D27" w:rsidRPr="003049BF" w:rsidRDefault="00B348D9" w:rsidP="00B348D9">
            <w:pPr>
              <w:spacing w:before="80" w:line="500" w:lineRule="exact"/>
              <w:jc w:val="right"/>
              <w:rPr>
                <w:rFonts w:ascii="Tahoma" w:hAnsi="Tahoma" w:cs="Tahoma"/>
                <w:b/>
                <w:bCs/>
                <w:iCs/>
                <w:color w:val="243285"/>
                <w:sz w:val="44"/>
                <w:szCs w:val="44"/>
                <w:lang w:val="en-GB"/>
              </w:rPr>
            </w:pPr>
            <w:r w:rsidRPr="003049BF">
              <w:rPr>
                <w:rFonts w:ascii="Tahoma" w:hAnsi="Tahoma" w:cs="Tahoma"/>
                <w:b/>
                <w:bCs/>
                <w:color w:val="243285"/>
                <w:sz w:val="44"/>
                <w:szCs w:val="44"/>
                <w:lang w:val="en-GB"/>
              </w:rPr>
              <w:t>Space research earth station and radio astronomy reference antenna radiation pattern for use in interference calculations, including coordination procedures, for frequencies less than 30 GHz</w:t>
            </w:r>
          </w:p>
        </w:tc>
      </w:tr>
      <w:tr w:rsidR="00BE4D27" w:rsidRPr="003049BF">
        <w:tc>
          <w:tcPr>
            <w:tcW w:w="10089" w:type="dxa"/>
          </w:tcPr>
          <w:p w:rsidR="00BE4D27" w:rsidRPr="003049BF" w:rsidRDefault="00BE4D27" w:rsidP="001F38BB">
            <w:pPr>
              <w:spacing w:before="80" w:line="280" w:lineRule="exact"/>
              <w:ind w:right="640"/>
              <w:rPr>
                <w:rFonts w:ascii="Tahoma" w:hAnsi="Tahoma" w:cs="Tahoma"/>
                <w:b/>
                <w:bCs/>
                <w:iCs/>
                <w:color w:val="243285"/>
                <w:sz w:val="32"/>
                <w:szCs w:val="32"/>
                <w:lang w:val="en-GB"/>
              </w:rPr>
            </w:pPr>
          </w:p>
          <w:p w:rsidR="00BE4D27" w:rsidRPr="003049BF" w:rsidRDefault="00BE4D27" w:rsidP="001F38BB">
            <w:pPr>
              <w:spacing w:before="80" w:line="280" w:lineRule="exact"/>
              <w:ind w:right="640"/>
              <w:rPr>
                <w:rFonts w:ascii="Tahoma" w:hAnsi="Tahoma" w:cs="Tahoma"/>
                <w:b/>
                <w:bCs/>
                <w:iCs/>
                <w:color w:val="243285"/>
                <w:sz w:val="32"/>
                <w:szCs w:val="32"/>
                <w:lang w:val="en-GB"/>
              </w:rPr>
            </w:pPr>
          </w:p>
          <w:p w:rsidR="00BE4D27" w:rsidRPr="003049BF" w:rsidRDefault="00BE4D27" w:rsidP="001F38BB">
            <w:pPr>
              <w:spacing w:before="80" w:after="180" w:line="360" w:lineRule="exact"/>
              <w:ind w:right="720"/>
              <w:rPr>
                <w:rFonts w:ascii="Tahoma" w:hAnsi="Tahoma" w:cs="Tahoma"/>
                <w:b/>
                <w:bCs/>
                <w:iCs/>
                <w:color w:val="243285"/>
                <w:sz w:val="36"/>
                <w:szCs w:val="36"/>
                <w:lang w:val="en-GB"/>
              </w:rPr>
            </w:pPr>
          </w:p>
          <w:p w:rsidR="00BE4D27" w:rsidRPr="003049BF" w:rsidRDefault="00BE4D27" w:rsidP="00013002">
            <w:pPr>
              <w:spacing w:before="80" w:after="180" w:line="360" w:lineRule="exact"/>
              <w:jc w:val="right"/>
              <w:rPr>
                <w:rFonts w:ascii="Tahoma" w:hAnsi="Tahoma" w:cs="Tahoma"/>
                <w:b/>
                <w:bCs/>
                <w:iCs/>
                <w:color w:val="243285"/>
                <w:sz w:val="36"/>
                <w:szCs w:val="36"/>
                <w:lang w:val="en-GB"/>
              </w:rPr>
            </w:pPr>
            <w:r w:rsidRPr="003049BF">
              <w:rPr>
                <w:rFonts w:ascii="Tahoma" w:hAnsi="Tahoma" w:cs="Tahoma"/>
                <w:b/>
                <w:bCs/>
                <w:iCs/>
                <w:color w:val="243285"/>
                <w:sz w:val="36"/>
                <w:szCs w:val="36"/>
                <w:lang w:val="en-GB"/>
              </w:rPr>
              <w:t>SA Series</w:t>
            </w:r>
          </w:p>
          <w:p w:rsidR="00BE4D27" w:rsidRPr="003049BF" w:rsidRDefault="00BE4D27" w:rsidP="00FE79FE">
            <w:pPr>
              <w:spacing w:before="80" w:line="360" w:lineRule="exact"/>
              <w:jc w:val="right"/>
              <w:rPr>
                <w:rFonts w:ascii="Tahoma" w:hAnsi="Tahoma" w:cs="Tahoma"/>
                <w:b/>
                <w:bCs/>
                <w:iCs/>
                <w:color w:val="243285"/>
                <w:sz w:val="36"/>
                <w:szCs w:val="36"/>
                <w:lang w:val="en-GB"/>
              </w:rPr>
            </w:pPr>
            <w:r w:rsidRPr="003049BF">
              <w:rPr>
                <w:rFonts w:ascii="Tahoma" w:hAnsi="Tahoma" w:cs="Tahoma"/>
                <w:b/>
                <w:bCs/>
                <w:iCs/>
                <w:color w:val="243285"/>
                <w:sz w:val="36"/>
                <w:szCs w:val="36"/>
                <w:lang w:val="en-GB"/>
              </w:rPr>
              <w:t>Space applications and meteorology</w:t>
            </w:r>
          </w:p>
          <w:p w:rsidR="00BE4D27" w:rsidRPr="003049BF" w:rsidRDefault="00BE4D27" w:rsidP="00FE79FE">
            <w:pPr>
              <w:spacing w:before="80" w:line="360" w:lineRule="exact"/>
              <w:jc w:val="right"/>
              <w:rPr>
                <w:rFonts w:ascii="Tahoma" w:hAnsi="Tahoma" w:cs="Tahoma"/>
                <w:b/>
                <w:bCs/>
                <w:iCs/>
                <w:color w:val="243285"/>
                <w:sz w:val="32"/>
                <w:szCs w:val="32"/>
                <w:lang w:val="en-GB"/>
              </w:rPr>
            </w:pPr>
          </w:p>
        </w:tc>
      </w:tr>
    </w:tbl>
    <w:p w:rsidR="00BE4D27" w:rsidRPr="003049BF" w:rsidRDefault="00BE4D27" w:rsidP="00CD659B">
      <w:pPr>
        <w:spacing w:before="80"/>
        <w:rPr>
          <w:i/>
          <w:sz w:val="22"/>
          <w:lang w:val="en-GB"/>
        </w:rPr>
      </w:pPr>
    </w:p>
    <w:p w:rsidR="00BE4D27" w:rsidRPr="003049BF" w:rsidRDefault="00BE4D27" w:rsidP="00CD659B">
      <w:pPr>
        <w:spacing w:before="80"/>
        <w:rPr>
          <w:i/>
          <w:sz w:val="22"/>
          <w:lang w:val="en-GB"/>
        </w:rPr>
      </w:pPr>
    </w:p>
    <w:p w:rsidR="00BE4D27" w:rsidRPr="003049BF" w:rsidRDefault="00BE4D27" w:rsidP="00CD659B">
      <w:pPr>
        <w:spacing w:before="80"/>
        <w:rPr>
          <w:i/>
          <w:sz w:val="22"/>
          <w:lang w:val="en-GB"/>
        </w:rPr>
      </w:pPr>
    </w:p>
    <w:p w:rsidR="00BE4D27" w:rsidRPr="003049BF" w:rsidRDefault="00BE4D27" w:rsidP="00CD659B">
      <w:pPr>
        <w:spacing w:before="80"/>
        <w:rPr>
          <w:i/>
          <w:sz w:val="22"/>
          <w:lang w:val="en-GB"/>
        </w:rPr>
      </w:pPr>
    </w:p>
    <w:p w:rsidR="00BE4D27" w:rsidRPr="003049BF" w:rsidRDefault="00BE4D27" w:rsidP="00CD659B">
      <w:pPr>
        <w:spacing w:before="80"/>
        <w:rPr>
          <w:i/>
          <w:sz w:val="22"/>
          <w:lang w:val="en-GB"/>
        </w:rPr>
      </w:pPr>
    </w:p>
    <w:p w:rsidR="00BE4D27" w:rsidRPr="003049BF" w:rsidRDefault="00BE4D27" w:rsidP="00CD659B">
      <w:pPr>
        <w:spacing w:before="80"/>
        <w:rPr>
          <w:i/>
          <w:sz w:val="22"/>
          <w:lang w:val="en-GB"/>
        </w:rPr>
      </w:pPr>
    </w:p>
    <w:p w:rsidR="00BE4D27" w:rsidRPr="003049BF" w:rsidRDefault="00BE4D27" w:rsidP="00CD659B">
      <w:pPr>
        <w:pStyle w:val="Equation"/>
        <w:tabs>
          <w:tab w:val="clear" w:pos="4820"/>
          <w:tab w:val="clear" w:pos="9639"/>
          <w:tab w:val="left" w:pos="1191"/>
          <w:tab w:val="left" w:pos="1588"/>
          <w:tab w:val="left" w:pos="1985"/>
        </w:tabs>
        <w:rPr>
          <w:rFonts w:ascii="Palatino Linotype" w:hAnsi="Palatino Linotype"/>
          <w:lang w:val="en-GB"/>
        </w:rPr>
        <w:sectPr w:rsidR="00BE4D27" w:rsidRPr="003049BF" w:rsidSect="00E86044">
          <w:headerReference w:type="even" r:id="rId7"/>
          <w:headerReference w:type="default" r:id="rId8"/>
          <w:pgSz w:w="11907" w:h="16834" w:code="9"/>
          <w:pgMar w:top="1418" w:right="1134" w:bottom="1134" w:left="1134" w:header="720" w:footer="482" w:gutter="0"/>
          <w:paperSrc w:first="15" w:other="15"/>
          <w:cols w:space="720"/>
        </w:sectPr>
      </w:pPr>
    </w:p>
    <w:p w:rsidR="00BE4D27" w:rsidRPr="003049BF" w:rsidRDefault="00BE4D27"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3049BF">
        <w:rPr>
          <w:bCs/>
          <w:sz w:val="24"/>
          <w:szCs w:val="24"/>
          <w:lang w:val="en-GB"/>
        </w:rPr>
        <w:lastRenderedPageBreak/>
        <w:t>Foreword</w:t>
      </w:r>
    </w:p>
    <w:p w:rsidR="00BE4D27" w:rsidRPr="003049BF" w:rsidRDefault="00BE4D27" w:rsidP="00586EF8">
      <w:pPr>
        <w:spacing w:before="240"/>
        <w:rPr>
          <w:sz w:val="20"/>
          <w:lang w:val="en-GB"/>
        </w:rPr>
      </w:pPr>
      <w:r w:rsidRPr="003049B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E4D27" w:rsidRPr="003049BF" w:rsidRDefault="00BE4D27" w:rsidP="00586EF8">
      <w:pPr>
        <w:rPr>
          <w:sz w:val="20"/>
          <w:lang w:val="en-GB"/>
        </w:rPr>
      </w:pPr>
      <w:r w:rsidRPr="003049BF">
        <w:rPr>
          <w:sz w:val="20"/>
          <w:lang w:val="en-GB"/>
        </w:rPr>
        <w:t>The regulatory and policy functions of the Radiocommunication Sector are performed by World and Regional Radiocommunication Conferences and Radiocommunication Assemblies supported by Study Groups.</w:t>
      </w:r>
    </w:p>
    <w:p w:rsidR="00BE4D27" w:rsidRPr="003049BF" w:rsidRDefault="00BE4D27" w:rsidP="002F5199">
      <w:pPr>
        <w:pStyle w:val="Heading1"/>
        <w:spacing w:before="680"/>
        <w:jc w:val="center"/>
        <w:rPr>
          <w:szCs w:val="24"/>
          <w:lang w:val="en-GB"/>
        </w:rPr>
      </w:pPr>
      <w:r w:rsidRPr="003049BF">
        <w:rPr>
          <w:szCs w:val="24"/>
          <w:lang w:val="en-GB"/>
        </w:rPr>
        <w:t>Policy on Intellectual Property Right (IPR)</w:t>
      </w:r>
    </w:p>
    <w:p w:rsidR="00BE4D27" w:rsidRPr="003049BF" w:rsidRDefault="00BE4D27" w:rsidP="00EE04BA">
      <w:pPr>
        <w:tabs>
          <w:tab w:val="clear" w:pos="794"/>
          <w:tab w:val="clear" w:pos="1191"/>
          <w:tab w:val="clear" w:pos="1588"/>
          <w:tab w:val="clear" w:pos="1985"/>
        </w:tabs>
        <w:spacing w:before="240"/>
        <w:rPr>
          <w:sz w:val="20"/>
          <w:lang w:val="en-GB"/>
        </w:rPr>
      </w:pPr>
      <w:r w:rsidRPr="003049B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3049BF">
          <w:rPr>
            <w:rStyle w:val="Hyperlink"/>
            <w:sz w:val="20"/>
            <w:lang w:val="en-GB"/>
          </w:rPr>
          <w:t>http://www.itu.int/ITU-R/go/patents/en</w:t>
        </w:r>
      </w:hyperlink>
      <w:r w:rsidRPr="003049BF">
        <w:rPr>
          <w:sz w:val="20"/>
          <w:lang w:val="en-GB"/>
        </w:rPr>
        <w:t xml:space="preserve"> where the Guidelines for Implementation of the Common Patent Policy for ITU</w:t>
      </w:r>
      <w:r w:rsidRPr="003049BF">
        <w:rPr>
          <w:sz w:val="20"/>
          <w:lang w:val="en-GB"/>
        </w:rPr>
        <w:noBreakHyphen/>
        <w:t>T/ITU</w:t>
      </w:r>
      <w:r w:rsidRPr="003049BF">
        <w:rPr>
          <w:sz w:val="20"/>
          <w:lang w:val="en-GB"/>
        </w:rPr>
        <w:noBreakHyphen/>
        <w:t xml:space="preserve">R/ISO/IEC and the ITU-R patent information database can also be found. </w:t>
      </w:r>
    </w:p>
    <w:p w:rsidR="00BE4D27" w:rsidRPr="003049BF" w:rsidRDefault="00BE4D27" w:rsidP="00586EF8">
      <w:pPr>
        <w:jc w:val="center"/>
        <w:rPr>
          <w:sz w:val="22"/>
          <w:lang w:val="en-GB"/>
        </w:rPr>
      </w:pPr>
    </w:p>
    <w:p w:rsidR="00BE4D27" w:rsidRPr="003049BF" w:rsidRDefault="00BE4D27"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E4D27" w:rsidRPr="008A5DDF">
        <w:tc>
          <w:tcPr>
            <w:tcW w:w="9360" w:type="dxa"/>
            <w:gridSpan w:val="2"/>
          </w:tcPr>
          <w:p w:rsidR="00BE4D27" w:rsidRPr="003049BF" w:rsidRDefault="00BE4D27"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3049BF">
              <w:rPr>
                <w:sz w:val="22"/>
                <w:szCs w:val="22"/>
                <w:lang w:val="en-GB"/>
              </w:rPr>
              <w:t xml:space="preserve">Series of ITU-R Recommendations </w:t>
            </w:r>
          </w:p>
          <w:p w:rsidR="00BE4D27" w:rsidRPr="003049BF" w:rsidRDefault="00BE4D2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3049BF">
              <w:rPr>
                <w:b w:val="0"/>
                <w:sz w:val="18"/>
                <w:szCs w:val="18"/>
                <w:lang w:val="en-GB"/>
              </w:rPr>
              <w:t xml:space="preserve">(Also available online at </w:t>
            </w:r>
            <w:hyperlink r:id="rId10" w:history="1">
              <w:r w:rsidRPr="003049BF">
                <w:rPr>
                  <w:rStyle w:val="Hyperlink"/>
                  <w:b w:val="0"/>
                  <w:sz w:val="18"/>
                  <w:szCs w:val="18"/>
                  <w:lang w:val="en-GB"/>
                </w:rPr>
                <w:t>http://www.itu.int/publ/R-REC/en</w:t>
              </w:r>
            </w:hyperlink>
            <w:r w:rsidRPr="003049BF">
              <w:rPr>
                <w:b w:val="0"/>
                <w:sz w:val="18"/>
                <w:szCs w:val="18"/>
                <w:lang w:val="en-GB"/>
              </w:rPr>
              <w:t>)</w:t>
            </w:r>
          </w:p>
        </w:tc>
      </w:tr>
      <w:tr w:rsidR="00BE4D27" w:rsidRPr="003049BF" w:rsidTr="00A4173A">
        <w:tc>
          <w:tcPr>
            <w:tcW w:w="1140" w:type="dxa"/>
            <w:tcBorders>
              <w:bottom w:val="nil"/>
            </w:tcBorders>
          </w:tcPr>
          <w:p w:rsidR="00BE4D27" w:rsidRPr="003049BF" w:rsidRDefault="00BE4D27" w:rsidP="000D0677">
            <w:pPr>
              <w:spacing w:before="200" w:after="100"/>
              <w:ind w:left="57"/>
              <w:rPr>
                <w:b/>
                <w:bCs/>
                <w:sz w:val="20"/>
                <w:lang w:val="en-GB"/>
              </w:rPr>
            </w:pPr>
            <w:r w:rsidRPr="003049BF">
              <w:rPr>
                <w:b/>
                <w:bCs/>
                <w:sz w:val="20"/>
                <w:lang w:val="en-GB"/>
              </w:rPr>
              <w:t>Series</w:t>
            </w:r>
          </w:p>
        </w:tc>
        <w:tc>
          <w:tcPr>
            <w:tcW w:w="8220" w:type="dxa"/>
            <w:tcBorders>
              <w:bottom w:val="nil"/>
            </w:tcBorders>
          </w:tcPr>
          <w:p w:rsidR="00BE4D27" w:rsidRPr="003049BF" w:rsidRDefault="00BE4D27"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3049BF">
              <w:rPr>
                <w:bCs/>
                <w:sz w:val="20"/>
                <w:lang w:val="en-GB"/>
              </w:rPr>
              <w:t>Title</w:t>
            </w:r>
          </w:p>
        </w:tc>
      </w:tr>
      <w:tr w:rsidR="00BE4D27" w:rsidRPr="003049BF" w:rsidTr="00A4173A">
        <w:tc>
          <w:tcPr>
            <w:tcW w:w="1140" w:type="dxa"/>
            <w:tcBorders>
              <w:top w:val="nil"/>
              <w:bottom w:val="nil"/>
            </w:tcBorders>
            <w:shd w:val="clear" w:color="auto" w:fill="auto"/>
          </w:tcPr>
          <w:p w:rsidR="00BE4D27" w:rsidRPr="003049BF" w:rsidRDefault="00BE4D27" w:rsidP="006B1D2B">
            <w:pPr>
              <w:spacing w:before="30" w:after="30"/>
              <w:ind w:left="57"/>
              <w:jc w:val="left"/>
              <w:rPr>
                <w:b/>
                <w:sz w:val="20"/>
                <w:lang w:val="en-GB"/>
              </w:rPr>
            </w:pPr>
            <w:r w:rsidRPr="003049BF">
              <w:rPr>
                <w:b/>
                <w:sz w:val="20"/>
                <w:lang w:val="en-GB"/>
              </w:rPr>
              <w:t>BO</w:t>
            </w:r>
          </w:p>
        </w:tc>
        <w:tc>
          <w:tcPr>
            <w:tcW w:w="8220" w:type="dxa"/>
            <w:tcBorders>
              <w:top w:val="nil"/>
              <w:bottom w:val="nil"/>
            </w:tcBorders>
            <w:shd w:val="clear" w:color="auto" w:fill="auto"/>
          </w:tcPr>
          <w:p w:rsidR="00BE4D27" w:rsidRPr="003049BF" w:rsidRDefault="00BE4D2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3049BF">
              <w:rPr>
                <w:b w:val="0"/>
                <w:bCs/>
                <w:sz w:val="20"/>
                <w:lang w:val="en-GB"/>
              </w:rPr>
              <w:t>Satellite delivery</w:t>
            </w:r>
          </w:p>
        </w:tc>
      </w:tr>
      <w:tr w:rsidR="00BE4D27" w:rsidRPr="008A5DDF" w:rsidTr="001B164E">
        <w:tc>
          <w:tcPr>
            <w:tcW w:w="1140" w:type="dxa"/>
            <w:tcBorders>
              <w:top w:val="nil"/>
            </w:tcBorders>
          </w:tcPr>
          <w:p w:rsidR="00BE4D27" w:rsidRPr="003049BF" w:rsidRDefault="00BE4D27" w:rsidP="006B1D2B">
            <w:pPr>
              <w:spacing w:before="30" w:after="30"/>
              <w:ind w:left="57"/>
              <w:jc w:val="left"/>
              <w:rPr>
                <w:b/>
                <w:bCs/>
                <w:sz w:val="20"/>
                <w:lang w:val="en-GB"/>
              </w:rPr>
            </w:pPr>
            <w:r w:rsidRPr="003049BF">
              <w:rPr>
                <w:b/>
                <w:bCs/>
                <w:sz w:val="20"/>
                <w:lang w:val="en-GB"/>
              </w:rPr>
              <w:t>BR</w:t>
            </w:r>
          </w:p>
        </w:tc>
        <w:tc>
          <w:tcPr>
            <w:tcW w:w="8220" w:type="dxa"/>
            <w:tcBorders>
              <w:top w:val="nil"/>
            </w:tcBorders>
          </w:tcPr>
          <w:p w:rsidR="00BE4D27" w:rsidRPr="003049BF" w:rsidRDefault="00BE4D2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049BF">
              <w:rPr>
                <w:b w:val="0"/>
                <w:sz w:val="20"/>
                <w:lang w:val="en-GB"/>
              </w:rPr>
              <w:t>Recording for production, archival and play-out; film for television</w:t>
            </w:r>
          </w:p>
        </w:tc>
      </w:tr>
      <w:tr w:rsidR="00BE4D27" w:rsidRPr="003049B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BS</w:t>
            </w:r>
          </w:p>
        </w:tc>
        <w:tc>
          <w:tcPr>
            <w:tcW w:w="8220" w:type="dxa"/>
          </w:tcPr>
          <w:p w:rsidR="00BE4D27" w:rsidRPr="003049BF" w:rsidRDefault="00BE4D2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049BF">
              <w:rPr>
                <w:b w:val="0"/>
                <w:sz w:val="20"/>
                <w:lang w:val="en-GB"/>
              </w:rPr>
              <w:t>Broadcasting service (sound)</w:t>
            </w:r>
          </w:p>
        </w:tc>
      </w:tr>
      <w:tr w:rsidR="00BE4D27" w:rsidRPr="003049BF">
        <w:tc>
          <w:tcPr>
            <w:tcW w:w="1140" w:type="dxa"/>
            <w:shd w:val="clear" w:color="auto" w:fill="auto"/>
          </w:tcPr>
          <w:p w:rsidR="00BE4D27" w:rsidRPr="003049BF" w:rsidRDefault="00BE4D27" w:rsidP="006B1D2B">
            <w:pPr>
              <w:spacing w:before="30" w:after="30"/>
              <w:ind w:left="57"/>
              <w:jc w:val="left"/>
              <w:rPr>
                <w:b/>
                <w:bCs/>
                <w:sz w:val="20"/>
                <w:lang w:val="en-GB"/>
              </w:rPr>
            </w:pPr>
            <w:r w:rsidRPr="003049BF">
              <w:rPr>
                <w:b/>
                <w:bCs/>
                <w:sz w:val="20"/>
                <w:lang w:val="en-GB"/>
              </w:rPr>
              <w:t>BT</w:t>
            </w:r>
          </w:p>
        </w:tc>
        <w:tc>
          <w:tcPr>
            <w:tcW w:w="8220" w:type="dxa"/>
            <w:shd w:val="clear" w:color="auto" w:fill="auto"/>
          </w:tcPr>
          <w:p w:rsidR="00BE4D27" w:rsidRPr="003049BF" w:rsidRDefault="00BE4D2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049BF">
              <w:rPr>
                <w:b w:val="0"/>
                <w:sz w:val="20"/>
                <w:lang w:val="en-GB"/>
              </w:rPr>
              <w:t>Broadcasting service (television)</w:t>
            </w:r>
          </w:p>
        </w:tc>
      </w:tr>
      <w:tr w:rsidR="00BE4D27" w:rsidRPr="003049BF">
        <w:tc>
          <w:tcPr>
            <w:tcW w:w="1140" w:type="dxa"/>
            <w:shd w:val="clear" w:color="auto" w:fill="auto"/>
          </w:tcPr>
          <w:p w:rsidR="00BE4D27" w:rsidRPr="003049BF" w:rsidRDefault="00BE4D27" w:rsidP="006B1D2B">
            <w:pPr>
              <w:spacing w:before="30" w:after="30"/>
              <w:ind w:left="57"/>
              <w:jc w:val="left"/>
              <w:rPr>
                <w:b/>
                <w:bCs/>
                <w:sz w:val="20"/>
                <w:lang w:val="en-GB"/>
              </w:rPr>
            </w:pPr>
            <w:r w:rsidRPr="003049BF">
              <w:rPr>
                <w:b/>
                <w:bCs/>
                <w:sz w:val="20"/>
                <w:lang w:val="en-GB"/>
              </w:rPr>
              <w:t>F</w:t>
            </w:r>
          </w:p>
        </w:tc>
        <w:tc>
          <w:tcPr>
            <w:tcW w:w="8220" w:type="dxa"/>
            <w:shd w:val="clear" w:color="auto" w:fill="auto"/>
          </w:tcPr>
          <w:p w:rsidR="00BE4D27" w:rsidRPr="003049BF" w:rsidRDefault="00BE4D2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049BF">
              <w:rPr>
                <w:sz w:val="20"/>
                <w:lang w:val="en-GB"/>
              </w:rPr>
              <w:t>Fixed service</w:t>
            </w:r>
          </w:p>
        </w:tc>
      </w:tr>
      <w:tr w:rsidR="00BE4D27" w:rsidRPr="003049BF">
        <w:tc>
          <w:tcPr>
            <w:tcW w:w="1140" w:type="dxa"/>
            <w:shd w:val="clear" w:color="auto" w:fill="auto"/>
          </w:tcPr>
          <w:p w:rsidR="00BE4D27" w:rsidRPr="003049BF" w:rsidRDefault="00BE4D27" w:rsidP="006B1D2B">
            <w:pPr>
              <w:spacing w:before="30" w:after="30"/>
              <w:ind w:left="57"/>
              <w:jc w:val="left"/>
              <w:rPr>
                <w:b/>
                <w:bCs/>
                <w:sz w:val="20"/>
                <w:lang w:val="en-GB"/>
              </w:rPr>
            </w:pPr>
            <w:r w:rsidRPr="003049BF">
              <w:rPr>
                <w:b/>
                <w:bCs/>
                <w:sz w:val="20"/>
                <w:lang w:val="en-GB"/>
              </w:rPr>
              <w:t>M</w:t>
            </w:r>
          </w:p>
        </w:tc>
        <w:tc>
          <w:tcPr>
            <w:tcW w:w="8220" w:type="dxa"/>
            <w:shd w:val="clear" w:color="auto" w:fill="auto"/>
          </w:tcPr>
          <w:p w:rsidR="00BE4D27" w:rsidRPr="003049BF" w:rsidRDefault="00BE4D27"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3049BF">
              <w:rPr>
                <w:b w:val="0"/>
                <w:sz w:val="20"/>
                <w:lang w:val="en-GB"/>
              </w:rPr>
              <w:t>Mobile, radiodetermination, amateur and related satellite services</w:t>
            </w:r>
          </w:p>
        </w:tc>
      </w:tr>
      <w:tr w:rsidR="00BE4D27" w:rsidRPr="003049B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P</w:t>
            </w:r>
          </w:p>
        </w:tc>
        <w:tc>
          <w:tcPr>
            <w:tcW w:w="8220" w:type="dxa"/>
          </w:tcPr>
          <w:p w:rsidR="00BE4D27" w:rsidRPr="003049BF" w:rsidRDefault="00BE4D27" w:rsidP="006B1D2B">
            <w:pPr>
              <w:spacing w:before="30" w:after="30"/>
              <w:jc w:val="left"/>
              <w:rPr>
                <w:sz w:val="20"/>
                <w:lang w:val="en-GB"/>
              </w:rPr>
            </w:pPr>
            <w:r w:rsidRPr="003049BF">
              <w:rPr>
                <w:sz w:val="20"/>
                <w:lang w:val="en-GB"/>
              </w:rPr>
              <w:t>Radiowave propagation</w:t>
            </w:r>
          </w:p>
        </w:tc>
      </w:tr>
      <w:tr w:rsidR="00BE4D27" w:rsidRPr="003049B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RA</w:t>
            </w:r>
          </w:p>
        </w:tc>
        <w:tc>
          <w:tcPr>
            <w:tcW w:w="8220" w:type="dxa"/>
          </w:tcPr>
          <w:p w:rsidR="00BE4D27" w:rsidRPr="003049BF" w:rsidRDefault="00BE4D2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049BF">
              <w:rPr>
                <w:sz w:val="20"/>
                <w:lang w:val="en-GB"/>
              </w:rPr>
              <w:t>Radio astronomy</w:t>
            </w:r>
          </w:p>
        </w:tc>
      </w:tr>
      <w:tr w:rsidR="00BE4D27" w:rsidRPr="003049B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RS</w:t>
            </w:r>
          </w:p>
        </w:tc>
        <w:tc>
          <w:tcPr>
            <w:tcW w:w="8220" w:type="dxa"/>
          </w:tcPr>
          <w:p w:rsidR="00BE4D27" w:rsidRPr="003049BF" w:rsidRDefault="00BE4D27"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3049BF">
              <w:rPr>
                <w:sz w:val="20"/>
                <w:lang w:val="en-GB"/>
              </w:rPr>
              <w:t>Remote sensing systems</w:t>
            </w:r>
          </w:p>
        </w:tc>
      </w:tr>
      <w:tr w:rsidR="00BE4D27" w:rsidRPr="003049BF" w:rsidTr="00A4173A">
        <w:tc>
          <w:tcPr>
            <w:tcW w:w="1140" w:type="dxa"/>
            <w:tcBorders>
              <w:bottom w:val="nil"/>
            </w:tcBorders>
          </w:tcPr>
          <w:p w:rsidR="00BE4D27" w:rsidRPr="003049BF" w:rsidRDefault="00BE4D27" w:rsidP="006B1D2B">
            <w:pPr>
              <w:spacing w:before="30" w:after="30"/>
              <w:ind w:left="57"/>
              <w:jc w:val="left"/>
              <w:rPr>
                <w:b/>
                <w:bCs/>
                <w:sz w:val="20"/>
                <w:lang w:val="en-GB"/>
              </w:rPr>
            </w:pPr>
            <w:r w:rsidRPr="003049BF">
              <w:rPr>
                <w:b/>
                <w:bCs/>
                <w:sz w:val="20"/>
                <w:lang w:val="en-GB"/>
              </w:rPr>
              <w:t>S</w:t>
            </w:r>
          </w:p>
        </w:tc>
        <w:tc>
          <w:tcPr>
            <w:tcW w:w="8220" w:type="dxa"/>
            <w:tcBorders>
              <w:bottom w:val="nil"/>
            </w:tcBorders>
          </w:tcPr>
          <w:p w:rsidR="00BE4D27" w:rsidRPr="003049BF" w:rsidRDefault="00BE4D27" w:rsidP="006B1D2B">
            <w:pPr>
              <w:spacing w:before="30" w:after="30"/>
              <w:jc w:val="left"/>
              <w:rPr>
                <w:sz w:val="20"/>
                <w:lang w:val="en-GB"/>
              </w:rPr>
            </w:pPr>
            <w:r w:rsidRPr="003049BF">
              <w:rPr>
                <w:sz w:val="20"/>
                <w:lang w:val="en-GB"/>
              </w:rPr>
              <w:t>Fixed-satellite service</w:t>
            </w:r>
          </w:p>
        </w:tc>
      </w:tr>
      <w:tr w:rsidR="00BE4D27" w:rsidRPr="003049BF" w:rsidTr="00A4173A">
        <w:tc>
          <w:tcPr>
            <w:tcW w:w="1140" w:type="dxa"/>
            <w:tcBorders>
              <w:top w:val="nil"/>
              <w:bottom w:val="nil"/>
            </w:tcBorders>
            <w:shd w:val="clear" w:color="auto" w:fill="F3F3F3"/>
          </w:tcPr>
          <w:p w:rsidR="00BE4D27" w:rsidRPr="003049BF" w:rsidRDefault="00BE4D27" w:rsidP="006B1D2B">
            <w:pPr>
              <w:spacing w:before="30" w:after="30"/>
              <w:ind w:left="57"/>
              <w:jc w:val="left"/>
              <w:rPr>
                <w:b/>
                <w:bCs/>
                <w:color w:val="000080"/>
                <w:sz w:val="20"/>
                <w:lang w:val="en-GB"/>
              </w:rPr>
            </w:pPr>
            <w:r w:rsidRPr="003049BF">
              <w:rPr>
                <w:b/>
                <w:bCs/>
                <w:color w:val="000080"/>
                <w:sz w:val="20"/>
                <w:lang w:val="en-GB"/>
              </w:rPr>
              <w:t>SA</w:t>
            </w:r>
          </w:p>
        </w:tc>
        <w:tc>
          <w:tcPr>
            <w:tcW w:w="8220" w:type="dxa"/>
            <w:tcBorders>
              <w:top w:val="nil"/>
              <w:bottom w:val="nil"/>
            </w:tcBorders>
            <w:shd w:val="clear" w:color="auto" w:fill="F3F3F3"/>
          </w:tcPr>
          <w:p w:rsidR="00BE4D27" w:rsidRPr="003049BF" w:rsidRDefault="00BE4D27" w:rsidP="006B1D2B">
            <w:pPr>
              <w:spacing w:before="30" w:after="30"/>
              <w:jc w:val="left"/>
              <w:rPr>
                <w:b/>
                <w:bCs/>
                <w:color w:val="000080"/>
                <w:sz w:val="20"/>
                <w:lang w:val="en-GB"/>
              </w:rPr>
            </w:pPr>
            <w:r w:rsidRPr="003049BF">
              <w:rPr>
                <w:b/>
                <w:bCs/>
                <w:color w:val="000080"/>
                <w:sz w:val="20"/>
                <w:lang w:val="en-GB"/>
              </w:rPr>
              <w:t>Space applications and meteorology</w:t>
            </w:r>
          </w:p>
        </w:tc>
      </w:tr>
      <w:tr w:rsidR="00BE4D27" w:rsidRPr="008A5DDF" w:rsidTr="00A4173A">
        <w:tc>
          <w:tcPr>
            <w:tcW w:w="1140" w:type="dxa"/>
            <w:tcBorders>
              <w:top w:val="nil"/>
              <w:bottom w:val="nil"/>
            </w:tcBorders>
          </w:tcPr>
          <w:p w:rsidR="00BE4D27" w:rsidRPr="003049BF" w:rsidRDefault="00BE4D27" w:rsidP="006B1D2B">
            <w:pPr>
              <w:spacing w:before="30" w:after="30"/>
              <w:ind w:left="57"/>
              <w:jc w:val="left"/>
              <w:rPr>
                <w:b/>
                <w:bCs/>
                <w:sz w:val="20"/>
                <w:lang w:val="en-GB"/>
              </w:rPr>
            </w:pPr>
            <w:r w:rsidRPr="003049BF">
              <w:rPr>
                <w:b/>
                <w:bCs/>
                <w:sz w:val="20"/>
                <w:lang w:val="en-GB"/>
              </w:rPr>
              <w:t>SF</w:t>
            </w:r>
          </w:p>
        </w:tc>
        <w:tc>
          <w:tcPr>
            <w:tcW w:w="8220" w:type="dxa"/>
            <w:tcBorders>
              <w:top w:val="nil"/>
              <w:bottom w:val="nil"/>
            </w:tcBorders>
          </w:tcPr>
          <w:p w:rsidR="00BE4D27" w:rsidRPr="003049BF" w:rsidRDefault="00BE4D27" w:rsidP="006B1D2B">
            <w:pPr>
              <w:spacing w:before="30" w:after="30"/>
              <w:jc w:val="left"/>
              <w:rPr>
                <w:sz w:val="20"/>
                <w:lang w:val="en-GB"/>
              </w:rPr>
            </w:pPr>
            <w:r w:rsidRPr="003049BF">
              <w:rPr>
                <w:sz w:val="20"/>
                <w:lang w:val="en-GB"/>
              </w:rPr>
              <w:t>Frequency sharing and coordination between fixed-satellite and fixed service systems</w:t>
            </w:r>
          </w:p>
        </w:tc>
      </w:tr>
      <w:tr w:rsidR="00BE4D27" w:rsidRPr="003049BF" w:rsidTr="001B164E">
        <w:tc>
          <w:tcPr>
            <w:tcW w:w="1140" w:type="dxa"/>
            <w:tcBorders>
              <w:top w:val="nil"/>
              <w:bottom w:val="nil"/>
            </w:tcBorders>
            <w:shd w:val="clear" w:color="auto" w:fill="auto"/>
          </w:tcPr>
          <w:p w:rsidR="00BE4D27" w:rsidRPr="003049BF" w:rsidRDefault="00BE4D27" w:rsidP="006B1D2B">
            <w:pPr>
              <w:spacing w:before="30" w:after="30"/>
              <w:ind w:left="57"/>
              <w:jc w:val="left"/>
              <w:rPr>
                <w:rFonts w:ascii="Times New Roman Bold" w:hAnsi="Times New Roman Bold" w:cs="Times New Roman Bold"/>
                <w:b/>
                <w:bCs/>
                <w:sz w:val="20"/>
                <w:lang w:val="en-GB"/>
              </w:rPr>
            </w:pPr>
            <w:r w:rsidRPr="003049BF">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BE4D27" w:rsidRPr="003049BF" w:rsidRDefault="00BE4D27" w:rsidP="006B1D2B">
            <w:pPr>
              <w:spacing w:before="30" w:after="30"/>
              <w:jc w:val="left"/>
              <w:rPr>
                <w:rFonts w:hAnsi="Times New Roman Bold"/>
                <w:sz w:val="20"/>
                <w:lang w:val="en-GB"/>
              </w:rPr>
            </w:pPr>
            <w:r w:rsidRPr="003049BF">
              <w:rPr>
                <w:rFonts w:hAnsi="Times New Roman Bold"/>
                <w:sz w:val="20"/>
                <w:lang w:val="en-GB"/>
              </w:rPr>
              <w:t>Spectrum management</w:t>
            </w:r>
          </w:p>
        </w:tc>
      </w:tr>
      <w:tr w:rsidR="00BE4D27" w:rsidRPr="003049BF" w:rsidTr="001B164E">
        <w:tc>
          <w:tcPr>
            <w:tcW w:w="1140" w:type="dxa"/>
            <w:tcBorders>
              <w:top w:val="nil"/>
            </w:tcBorders>
          </w:tcPr>
          <w:p w:rsidR="00BE4D27" w:rsidRPr="003049BF" w:rsidRDefault="00BE4D27" w:rsidP="006B1D2B">
            <w:pPr>
              <w:spacing w:before="30" w:after="30"/>
              <w:ind w:left="57"/>
              <w:jc w:val="left"/>
              <w:rPr>
                <w:b/>
                <w:bCs/>
                <w:sz w:val="20"/>
                <w:lang w:val="en-GB"/>
              </w:rPr>
            </w:pPr>
            <w:r w:rsidRPr="003049BF">
              <w:rPr>
                <w:b/>
                <w:bCs/>
                <w:sz w:val="20"/>
                <w:lang w:val="en-GB"/>
              </w:rPr>
              <w:t>SNG</w:t>
            </w:r>
          </w:p>
        </w:tc>
        <w:tc>
          <w:tcPr>
            <w:tcW w:w="8220" w:type="dxa"/>
            <w:tcBorders>
              <w:top w:val="nil"/>
            </w:tcBorders>
          </w:tcPr>
          <w:p w:rsidR="00BE4D27" w:rsidRPr="003049BF" w:rsidRDefault="00BE4D27" w:rsidP="006B1D2B">
            <w:pPr>
              <w:spacing w:before="30" w:after="30"/>
              <w:jc w:val="left"/>
              <w:rPr>
                <w:sz w:val="20"/>
                <w:lang w:val="en-GB"/>
              </w:rPr>
            </w:pPr>
            <w:r w:rsidRPr="003049BF">
              <w:rPr>
                <w:sz w:val="20"/>
                <w:lang w:val="en-GB"/>
              </w:rPr>
              <w:t>Satellite news gathering</w:t>
            </w:r>
          </w:p>
        </w:tc>
      </w:tr>
      <w:tr w:rsidR="00BE4D27" w:rsidRPr="008A5DD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TF</w:t>
            </w:r>
          </w:p>
        </w:tc>
        <w:tc>
          <w:tcPr>
            <w:tcW w:w="8220" w:type="dxa"/>
          </w:tcPr>
          <w:p w:rsidR="00BE4D27" w:rsidRPr="003049BF" w:rsidRDefault="00BE4D27" w:rsidP="006B1D2B">
            <w:pPr>
              <w:spacing w:before="30" w:after="30"/>
              <w:jc w:val="left"/>
              <w:rPr>
                <w:sz w:val="20"/>
                <w:lang w:val="en-GB"/>
              </w:rPr>
            </w:pPr>
            <w:r w:rsidRPr="003049BF">
              <w:rPr>
                <w:sz w:val="20"/>
                <w:lang w:val="en-GB"/>
              </w:rPr>
              <w:t>Time signals and frequency standards emissions</w:t>
            </w:r>
          </w:p>
        </w:tc>
      </w:tr>
      <w:tr w:rsidR="00BE4D27" w:rsidRPr="003049BF">
        <w:tc>
          <w:tcPr>
            <w:tcW w:w="1140" w:type="dxa"/>
          </w:tcPr>
          <w:p w:rsidR="00BE4D27" w:rsidRPr="003049BF" w:rsidRDefault="00BE4D27" w:rsidP="006B1D2B">
            <w:pPr>
              <w:spacing w:before="30" w:after="30"/>
              <w:ind w:left="57"/>
              <w:jc w:val="left"/>
              <w:rPr>
                <w:b/>
                <w:bCs/>
                <w:sz w:val="20"/>
                <w:lang w:val="en-GB"/>
              </w:rPr>
            </w:pPr>
            <w:r w:rsidRPr="003049BF">
              <w:rPr>
                <w:b/>
                <w:bCs/>
                <w:sz w:val="20"/>
                <w:lang w:val="en-GB"/>
              </w:rPr>
              <w:t>V</w:t>
            </w:r>
          </w:p>
        </w:tc>
        <w:tc>
          <w:tcPr>
            <w:tcW w:w="8220" w:type="dxa"/>
          </w:tcPr>
          <w:p w:rsidR="00BE4D27" w:rsidRPr="003049BF" w:rsidRDefault="00BE4D27" w:rsidP="00906589">
            <w:pPr>
              <w:spacing w:before="30" w:after="180"/>
              <w:jc w:val="left"/>
              <w:rPr>
                <w:sz w:val="20"/>
                <w:lang w:val="en-GB"/>
              </w:rPr>
            </w:pPr>
            <w:r w:rsidRPr="003049BF">
              <w:rPr>
                <w:sz w:val="20"/>
                <w:lang w:val="en-GB"/>
              </w:rPr>
              <w:t>Vocabulary and related subjects</w:t>
            </w:r>
          </w:p>
        </w:tc>
      </w:tr>
    </w:tbl>
    <w:p w:rsidR="00BE4D27" w:rsidRPr="003049BF" w:rsidRDefault="00BE4D27"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BE4D27" w:rsidRPr="003049BF">
        <w:tc>
          <w:tcPr>
            <w:tcW w:w="720" w:type="dxa"/>
          </w:tcPr>
          <w:p w:rsidR="00BE4D27" w:rsidRPr="003049BF" w:rsidRDefault="00BE4D27" w:rsidP="007B1357">
            <w:pPr>
              <w:jc w:val="center"/>
              <w:rPr>
                <w:sz w:val="22"/>
                <w:lang w:val="en-GB"/>
              </w:rPr>
            </w:pPr>
          </w:p>
        </w:tc>
      </w:tr>
    </w:tbl>
    <w:p w:rsidR="00BE4D27" w:rsidRPr="003049BF" w:rsidRDefault="00BE4D27"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E4D27" w:rsidRPr="008A5DDF">
        <w:tc>
          <w:tcPr>
            <w:tcW w:w="9360" w:type="dxa"/>
          </w:tcPr>
          <w:p w:rsidR="00BE4D27" w:rsidRPr="003049BF" w:rsidRDefault="00BE4D27" w:rsidP="002F5199">
            <w:pPr>
              <w:spacing w:after="120"/>
              <w:jc w:val="center"/>
              <w:rPr>
                <w:sz w:val="20"/>
                <w:lang w:val="en-GB"/>
              </w:rPr>
            </w:pPr>
            <w:r w:rsidRPr="003049BF">
              <w:rPr>
                <w:b/>
                <w:bCs/>
                <w:i/>
                <w:iCs/>
                <w:sz w:val="20"/>
                <w:lang w:val="en-GB"/>
              </w:rPr>
              <w:t>Note</w:t>
            </w:r>
            <w:r w:rsidRPr="003049BF">
              <w:rPr>
                <w:sz w:val="20"/>
                <w:lang w:val="en-GB"/>
              </w:rPr>
              <w:t xml:space="preserve">: </w:t>
            </w:r>
            <w:r w:rsidRPr="003049BF">
              <w:rPr>
                <w:i/>
                <w:iCs/>
                <w:sz w:val="20"/>
                <w:lang w:val="en-GB"/>
              </w:rPr>
              <w:t>This ITU-R Recommendation was approved in English under the procedure detailed in Resolution ITU-R 1.</w:t>
            </w:r>
          </w:p>
        </w:tc>
      </w:tr>
    </w:tbl>
    <w:p w:rsidR="00BE4D27" w:rsidRPr="003049BF" w:rsidRDefault="00BE4D27" w:rsidP="002F5199">
      <w:pPr>
        <w:spacing w:before="0"/>
        <w:jc w:val="center"/>
        <w:rPr>
          <w:sz w:val="22"/>
          <w:lang w:val="en-GB"/>
        </w:rPr>
      </w:pPr>
    </w:p>
    <w:p w:rsidR="00BE4D27" w:rsidRPr="003049BF" w:rsidRDefault="00BE4D27" w:rsidP="002F5199">
      <w:pPr>
        <w:spacing w:before="0"/>
        <w:jc w:val="center"/>
        <w:rPr>
          <w:sz w:val="22"/>
          <w:lang w:val="en-GB"/>
        </w:rPr>
      </w:pPr>
    </w:p>
    <w:p w:rsidR="00BE4D27" w:rsidRPr="003049BF" w:rsidRDefault="00BE4D27" w:rsidP="007B1357">
      <w:pPr>
        <w:spacing w:before="0"/>
        <w:jc w:val="right"/>
        <w:rPr>
          <w:i/>
          <w:iCs/>
          <w:sz w:val="20"/>
          <w:lang w:val="en-GB"/>
        </w:rPr>
      </w:pPr>
      <w:r w:rsidRPr="003049BF">
        <w:rPr>
          <w:i/>
          <w:iCs/>
          <w:sz w:val="20"/>
          <w:lang w:val="en-GB"/>
        </w:rPr>
        <w:t>Electronic Publication</w:t>
      </w:r>
    </w:p>
    <w:p w:rsidR="00BE4D27" w:rsidRPr="003049BF" w:rsidRDefault="00BE4D27" w:rsidP="00F1136E">
      <w:pPr>
        <w:spacing w:before="0"/>
        <w:jc w:val="right"/>
        <w:rPr>
          <w:sz w:val="20"/>
          <w:lang w:val="en-GB"/>
        </w:rPr>
      </w:pPr>
      <w:r w:rsidRPr="003049BF">
        <w:rPr>
          <w:sz w:val="20"/>
          <w:lang w:val="en-GB"/>
        </w:rPr>
        <w:t>Geneva, 2014</w:t>
      </w:r>
    </w:p>
    <w:p w:rsidR="00BE4D27" w:rsidRPr="003049BF" w:rsidRDefault="00BE4D27" w:rsidP="00906589">
      <w:pPr>
        <w:jc w:val="center"/>
        <w:rPr>
          <w:sz w:val="22"/>
          <w:lang w:val="en-GB"/>
        </w:rPr>
      </w:pPr>
    </w:p>
    <w:p w:rsidR="00BE4D27" w:rsidRPr="003049BF" w:rsidRDefault="00BE4D27" w:rsidP="009644FE">
      <w:pPr>
        <w:jc w:val="center"/>
        <w:rPr>
          <w:sz w:val="20"/>
          <w:lang w:val="en-GB"/>
        </w:rPr>
      </w:pPr>
      <w:r w:rsidRPr="003049BF">
        <w:rPr>
          <w:sz w:val="20"/>
          <w:lang w:val="en-GB"/>
        </w:rPr>
        <w:sym w:font="Symbol" w:char="F0E3"/>
      </w:r>
      <w:r w:rsidRPr="003049BF">
        <w:rPr>
          <w:sz w:val="20"/>
          <w:lang w:val="en-GB"/>
        </w:rPr>
        <w:t xml:space="preserve"> ITU </w:t>
      </w:r>
      <w:bookmarkStart w:id="1" w:name="iiannee"/>
      <w:bookmarkEnd w:id="1"/>
      <w:r w:rsidRPr="003049BF">
        <w:rPr>
          <w:sz w:val="20"/>
          <w:lang w:val="en-GB"/>
        </w:rPr>
        <w:t>2014</w:t>
      </w:r>
    </w:p>
    <w:p w:rsidR="00BE4D27" w:rsidRPr="003049BF" w:rsidRDefault="00BE4D27" w:rsidP="00470E28">
      <w:pPr>
        <w:rPr>
          <w:sz w:val="18"/>
          <w:szCs w:val="18"/>
          <w:lang w:val="en-GB"/>
        </w:rPr>
      </w:pPr>
      <w:r w:rsidRPr="003049BF">
        <w:rPr>
          <w:sz w:val="18"/>
          <w:szCs w:val="18"/>
          <w:lang w:val="en-GB"/>
        </w:rPr>
        <w:t>All rights reserved. No part of this publication may be reproduced, by any means whatsoever, without written permission of ITU.</w:t>
      </w:r>
    </w:p>
    <w:p w:rsidR="00BE4D27" w:rsidRPr="003049BF" w:rsidRDefault="00BE4D27" w:rsidP="00A971A1">
      <w:pPr>
        <w:spacing w:before="160"/>
        <w:rPr>
          <w:i/>
          <w:sz w:val="20"/>
          <w:lang w:val="en-GB"/>
        </w:rPr>
        <w:sectPr w:rsidR="00BE4D27" w:rsidRPr="003049BF"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E4D27" w:rsidRPr="003049BF" w:rsidRDefault="00BE4D27" w:rsidP="00B348D9">
      <w:pPr>
        <w:pStyle w:val="RecNo"/>
        <w:spacing w:before="0"/>
        <w:rPr>
          <w:lang w:val="en-GB"/>
        </w:rPr>
      </w:pPr>
      <w:bookmarkStart w:id="2" w:name="irecnoe"/>
      <w:bookmarkEnd w:id="2"/>
      <w:r w:rsidRPr="003049BF">
        <w:rPr>
          <w:lang w:val="en-GB"/>
        </w:rPr>
        <w:lastRenderedPageBreak/>
        <w:t xml:space="preserve">RECOMMENDATION  </w:t>
      </w:r>
      <w:r w:rsidRPr="003049BF">
        <w:rPr>
          <w:rStyle w:val="href"/>
          <w:lang w:val="en-GB"/>
        </w:rPr>
        <w:t>ITU-R  SA.</w:t>
      </w:r>
      <w:r w:rsidR="00B348D9" w:rsidRPr="003049BF">
        <w:rPr>
          <w:rStyle w:val="href"/>
          <w:lang w:val="en-GB"/>
        </w:rPr>
        <w:t>509-3</w:t>
      </w:r>
    </w:p>
    <w:p w:rsidR="00B348D9" w:rsidRPr="003049BF" w:rsidRDefault="00B348D9" w:rsidP="00B348D9">
      <w:pPr>
        <w:pStyle w:val="Rectitle"/>
        <w:rPr>
          <w:lang w:val="en-GB"/>
        </w:rPr>
      </w:pPr>
      <w:r w:rsidRPr="003049BF">
        <w:rPr>
          <w:lang w:val="en-GB"/>
        </w:rPr>
        <w:t>Space research earth station and radio astronomy reference antenna radiation pattern for use in interference calculations, including coordination</w:t>
      </w:r>
      <w:r w:rsidRPr="003049BF">
        <w:rPr>
          <w:lang w:val="en-GB"/>
        </w:rPr>
        <w:br/>
        <w:t>procedures, for frequencies less than 30 GHz</w:t>
      </w:r>
    </w:p>
    <w:p w:rsidR="00B348D9" w:rsidRPr="003049BF" w:rsidRDefault="00B348D9" w:rsidP="00627D3B">
      <w:pPr>
        <w:pStyle w:val="Recref"/>
        <w:rPr>
          <w:szCs w:val="24"/>
          <w:lang w:val="en-GB"/>
        </w:rPr>
      </w:pPr>
    </w:p>
    <w:p w:rsidR="00B348D9" w:rsidRPr="003049BF" w:rsidRDefault="00B348D9" w:rsidP="00B348D9">
      <w:pPr>
        <w:pStyle w:val="Recdate"/>
        <w:rPr>
          <w:szCs w:val="24"/>
          <w:lang w:val="en-GB"/>
        </w:rPr>
      </w:pPr>
      <w:r w:rsidRPr="003049BF">
        <w:rPr>
          <w:szCs w:val="24"/>
          <w:lang w:val="en-GB"/>
        </w:rPr>
        <w:t>(1978-1990-1998</w:t>
      </w:r>
      <w:r w:rsidR="00715EA3" w:rsidRPr="003049BF">
        <w:rPr>
          <w:szCs w:val="24"/>
          <w:lang w:val="en-GB"/>
        </w:rPr>
        <w:t>-2013</w:t>
      </w:r>
      <w:r w:rsidRPr="003049BF">
        <w:rPr>
          <w:szCs w:val="24"/>
          <w:lang w:val="en-GB"/>
        </w:rPr>
        <w:t>)</w:t>
      </w:r>
    </w:p>
    <w:p w:rsidR="00B348D9" w:rsidRPr="003049BF" w:rsidRDefault="00B348D9" w:rsidP="00B348D9">
      <w:pPr>
        <w:pStyle w:val="HeadingSum"/>
        <w:rPr>
          <w:lang w:val="en-GB"/>
        </w:rPr>
      </w:pPr>
      <w:r w:rsidRPr="003049BF">
        <w:rPr>
          <w:lang w:val="en-GB"/>
        </w:rPr>
        <w:t>Scope</w:t>
      </w:r>
    </w:p>
    <w:p w:rsidR="00B348D9" w:rsidRPr="003049BF" w:rsidRDefault="00B348D9" w:rsidP="00B348D9">
      <w:pPr>
        <w:pStyle w:val="Summary"/>
        <w:rPr>
          <w:lang w:val="en-GB"/>
        </w:rPr>
      </w:pPr>
      <w:r w:rsidRPr="003049BF">
        <w:rPr>
          <w:lang w:val="en-GB"/>
        </w:rPr>
        <w:t>This Recommendation gives reference antenna radiation patterns for space research and radio astronomy services for calculating interference from a single source or from multiple sources for frequencies less than 30 GHz.</w:t>
      </w:r>
    </w:p>
    <w:p w:rsidR="00B348D9" w:rsidRPr="003049BF" w:rsidRDefault="00B348D9" w:rsidP="00B348D9">
      <w:pPr>
        <w:pStyle w:val="Normalaftertitle"/>
        <w:rPr>
          <w:lang w:val="en-GB"/>
        </w:rPr>
      </w:pPr>
      <w:r w:rsidRPr="003049BF">
        <w:rPr>
          <w:lang w:val="en-GB"/>
        </w:rPr>
        <w:t>The ITU Radiocommunication Assembly,</w:t>
      </w:r>
    </w:p>
    <w:p w:rsidR="00B348D9" w:rsidRPr="003049BF" w:rsidRDefault="00B348D9" w:rsidP="00B348D9">
      <w:pPr>
        <w:pStyle w:val="Call"/>
        <w:rPr>
          <w:lang w:val="en-GB"/>
        </w:rPr>
      </w:pPr>
      <w:r w:rsidRPr="003049BF">
        <w:rPr>
          <w:lang w:val="en-GB"/>
        </w:rPr>
        <w:t>considering</w:t>
      </w:r>
    </w:p>
    <w:p w:rsidR="00B348D9" w:rsidRPr="003049BF" w:rsidRDefault="00B348D9" w:rsidP="00B348D9">
      <w:pPr>
        <w:rPr>
          <w:lang w:val="en-GB"/>
        </w:rPr>
      </w:pPr>
      <w:r w:rsidRPr="003049BF">
        <w:rPr>
          <w:lang w:val="en-GB"/>
        </w:rPr>
        <w:t>a)</w:t>
      </w:r>
      <w:r w:rsidRPr="003049BF">
        <w:rPr>
          <w:lang w:val="en-GB"/>
        </w:rPr>
        <w:tab/>
        <w:t>that the application of coordination procedures between space research earth stations or radio astronomy observatories and stations of other services is dependent upon specific antenna radiation patterns;</w:t>
      </w:r>
    </w:p>
    <w:p w:rsidR="00B348D9" w:rsidRPr="003049BF" w:rsidRDefault="00B348D9" w:rsidP="00B348D9">
      <w:pPr>
        <w:rPr>
          <w:szCs w:val="24"/>
          <w:lang w:val="en-GB"/>
        </w:rPr>
      </w:pPr>
      <w:r w:rsidRPr="003049BF">
        <w:rPr>
          <w:lang w:val="en-GB"/>
        </w:rPr>
        <w:t>b)</w:t>
      </w:r>
      <w:r w:rsidRPr="003049BF">
        <w:rPr>
          <w:lang w:val="en-GB"/>
        </w:rPr>
        <w:tab/>
      </w:r>
      <w:r w:rsidRPr="003049BF">
        <w:rPr>
          <w:szCs w:val="24"/>
          <w:lang w:val="en-GB"/>
        </w:rPr>
        <w:t>that where this information does not exist, it may be desirable to use a reference antenna radiation pattern which represents the side-lobe gain levels that are not expected to be exceeded at most off-axis angles in the majority of antennas used in the service;</w:t>
      </w:r>
    </w:p>
    <w:p w:rsidR="00B348D9" w:rsidRPr="003049BF" w:rsidRDefault="00B348D9" w:rsidP="003049BF">
      <w:pPr>
        <w:rPr>
          <w:szCs w:val="24"/>
          <w:lang w:val="en-GB"/>
        </w:rPr>
      </w:pPr>
      <w:r w:rsidRPr="003049BF">
        <w:rPr>
          <w:lang w:val="en-GB"/>
        </w:rPr>
        <w:t>c)</w:t>
      </w:r>
      <w:r w:rsidRPr="003049BF">
        <w:rPr>
          <w:lang w:val="en-GB"/>
        </w:rPr>
        <w:tab/>
      </w:r>
      <w:r w:rsidRPr="003049BF">
        <w:rPr>
          <w:szCs w:val="24"/>
          <w:lang w:val="en-GB"/>
        </w:rPr>
        <w:t>that measured data from some large (</w:t>
      </w:r>
      <w:r w:rsidRPr="003049BF">
        <w:rPr>
          <w:i/>
          <w:iCs/>
          <w:szCs w:val="24"/>
          <w:lang w:val="en-GB"/>
        </w:rPr>
        <w:t>D</w:t>
      </w:r>
      <w:r w:rsidRPr="003049BF">
        <w:rPr>
          <w:szCs w:val="24"/>
          <w:lang w:val="en-GB"/>
        </w:rPr>
        <w:t>/</w:t>
      </w:r>
      <w:r w:rsidR="003049BF" w:rsidRPr="003049BF">
        <w:rPr>
          <w:lang w:val="en-GB"/>
        </w:rPr>
        <w:sym w:font="Symbol" w:char="F06C"/>
      </w:r>
      <w:r w:rsidRPr="003049BF">
        <w:rPr>
          <w:szCs w:val="24"/>
          <w:lang w:val="en-GB"/>
        </w:rPr>
        <w:t xml:space="preserve"> </w:t>
      </w:r>
      <w:r w:rsidR="003049BF" w:rsidRPr="003049BF">
        <w:rPr>
          <w:lang w:val="en-GB"/>
        </w:rPr>
        <w:sym w:font="Symbol" w:char="F0B3"/>
      </w:r>
      <w:r w:rsidRPr="003049BF">
        <w:rPr>
          <w:szCs w:val="24"/>
          <w:lang w:val="en-GB"/>
        </w:rPr>
        <w:t xml:space="preserve"> 100) parabolic Cassegrain antennas used in the Space Research Service indicate an off-axis discrimination that is as good as, or better than, that of the reference antenna radiation pattern;</w:t>
      </w:r>
    </w:p>
    <w:p w:rsidR="00B348D9" w:rsidRPr="003049BF" w:rsidRDefault="00B348D9" w:rsidP="00B348D9">
      <w:pPr>
        <w:rPr>
          <w:szCs w:val="24"/>
          <w:lang w:val="en-GB"/>
        </w:rPr>
      </w:pPr>
      <w:r w:rsidRPr="003049BF">
        <w:rPr>
          <w:lang w:val="en-GB"/>
        </w:rPr>
        <w:t>d)</w:t>
      </w:r>
      <w:r w:rsidRPr="003049BF">
        <w:rPr>
          <w:lang w:val="en-GB"/>
        </w:rPr>
        <w:tab/>
      </w:r>
      <w:r w:rsidRPr="003049BF">
        <w:rPr>
          <w:szCs w:val="24"/>
          <w:lang w:val="en-GB"/>
        </w:rPr>
        <w:t>that, in the case of aggregate interference from multiple interferers, using the peak envelope radiation pattern could overestimate the interference,</w:t>
      </w:r>
    </w:p>
    <w:p w:rsidR="00B348D9" w:rsidRPr="003049BF" w:rsidRDefault="00B348D9" w:rsidP="00B348D9">
      <w:pPr>
        <w:pStyle w:val="Call"/>
        <w:rPr>
          <w:lang w:val="en-GB"/>
        </w:rPr>
      </w:pPr>
      <w:r w:rsidRPr="003049BF">
        <w:rPr>
          <w:lang w:val="en-GB"/>
        </w:rPr>
        <w:t>recommends</w:t>
      </w:r>
    </w:p>
    <w:p w:rsidR="00B348D9" w:rsidRPr="003049BF" w:rsidRDefault="00B348D9" w:rsidP="003049BF">
      <w:pPr>
        <w:rPr>
          <w:lang w:val="en-GB"/>
        </w:rPr>
      </w:pPr>
      <w:r w:rsidRPr="003049BF">
        <w:rPr>
          <w:b/>
          <w:lang w:val="en-GB"/>
        </w:rPr>
        <w:t>1</w:t>
      </w:r>
      <w:r w:rsidRPr="003049BF">
        <w:rPr>
          <w:lang w:val="en-GB"/>
        </w:rPr>
        <w:tab/>
        <w:t xml:space="preserve">that in the absence of measured data on the levels of main-lobe or side-lobe response of a space research earth station or radio astronomy antenna which is subject to interference analyses or coordination procedures, the following reference antenna radiation patterns be used only for large parabolic antennas with </w:t>
      </w:r>
      <w:r w:rsidRPr="003049BF">
        <w:rPr>
          <w:i/>
          <w:iCs/>
          <w:lang w:val="en-GB"/>
        </w:rPr>
        <w:t>D</w:t>
      </w:r>
      <w:r w:rsidRPr="003049BF">
        <w:rPr>
          <w:lang w:val="en-GB"/>
        </w:rPr>
        <w:t>/</w:t>
      </w:r>
      <w:r w:rsidR="003049BF" w:rsidRPr="003049BF">
        <w:rPr>
          <w:lang w:val="en-GB"/>
        </w:rPr>
        <w:sym w:font="Symbol" w:char="F06C"/>
      </w:r>
      <w:r w:rsidRPr="003049BF">
        <w:rPr>
          <w:lang w:val="en-GB"/>
        </w:rPr>
        <w:t xml:space="preserve"> </w:t>
      </w:r>
      <w:r w:rsidR="003049BF" w:rsidRPr="003049BF">
        <w:rPr>
          <w:lang w:val="en-GB"/>
        </w:rPr>
        <w:sym w:font="Symbol" w:char="F0B3"/>
      </w:r>
      <w:r w:rsidRPr="003049BF">
        <w:rPr>
          <w:lang w:val="en-GB"/>
        </w:rPr>
        <w:t xml:space="preserve"> 100 and for frequencies between about 1 and 30 GHz:</w:t>
      </w:r>
    </w:p>
    <w:p w:rsidR="00B348D9" w:rsidRPr="003049BF" w:rsidRDefault="00B348D9" w:rsidP="00822836">
      <w:pPr>
        <w:rPr>
          <w:lang w:val="en-GB"/>
        </w:rPr>
      </w:pPr>
      <w:r w:rsidRPr="003049BF">
        <w:rPr>
          <w:b/>
          <w:lang w:val="en-GB"/>
        </w:rPr>
        <w:t>1.1</w:t>
      </w:r>
      <w:r w:rsidRPr="003049BF">
        <w:rPr>
          <w:lang w:val="en-GB"/>
        </w:rPr>
        <w:tab/>
        <w:t>in cases of a single entry interference, to predict the worst</w:t>
      </w:r>
      <w:r w:rsidR="00822836">
        <w:rPr>
          <w:lang w:val="en-GB"/>
        </w:rPr>
        <w:t>-</w:t>
      </w:r>
      <w:r w:rsidRPr="003049BF">
        <w:rPr>
          <w:lang w:val="en-GB"/>
        </w:rPr>
        <w:t>case interference from this source, the following reference antenna radiation pattern (see Fig. 1) be used:</w:t>
      </w:r>
    </w:p>
    <w:p w:rsidR="00B348D9" w:rsidRPr="003049BF" w:rsidRDefault="00B348D9" w:rsidP="00B348D9">
      <w:pPr>
        <w:rPr>
          <w:lang w:val="en-GB"/>
        </w:rPr>
      </w:pPr>
    </w:p>
    <w:tbl>
      <w:tblPr>
        <w:tblW w:w="0" w:type="auto"/>
        <w:tblInd w:w="2235" w:type="dxa"/>
        <w:tblLook w:val="04A0" w:firstRow="1" w:lastRow="0" w:firstColumn="1" w:lastColumn="0" w:noHBand="0" w:noVBand="1"/>
      </w:tblPr>
      <w:tblGrid>
        <w:gridCol w:w="6520"/>
      </w:tblGrid>
      <w:tr w:rsidR="00B348D9" w:rsidRPr="003049BF" w:rsidTr="006368E7">
        <w:tc>
          <w:tcPr>
            <w:tcW w:w="6520" w:type="dxa"/>
            <w:tcBorders>
              <w:top w:val="nil"/>
              <w:left w:val="nil"/>
              <w:right w:val="nil"/>
            </w:tcBorders>
          </w:tcPr>
          <w:p w:rsidR="00B348D9" w:rsidRPr="003049BF" w:rsidRDefault="00B348D9" w:rsidP="006368E7">
            <w:pPr>
              <w:pStyle w:val="Equation"/>
              <w:rPr>
                <w:sz w:val="22"/>
                <w:lang w:val="en-GB"/>
              </w:rPr>
            </w:pPr>
            <m:oMathPara>
              <m:oMath>
                <m:r>
                  <w:rPr>
                    <w:rFonts w:ascii="Cambria Math" w:hAnsi="Cambria Math"/>
                    <w:lang w:val="en-GB"/>
                  </w:rPr>
                  <m:t>G</m:t>
                </m:r>
                <m:d>
                  <m:dPr>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d>
                  <m:dPr>
                    <m:begChr m:val="{"/>
                    <m:endChr m:val=""/>
                    <m:ctrlPr>
                      <w:rPr>
                        <w:rFonts w:ascii="Cambria Math" w:hAnsi="Cambria Math"/>
                        <w:lang w:val="en-GB"/>
                      </w:rPr>
                    </m:ctrlPr>
                  </m:dPr>
                  <m:e>
                    <m:m>
                      <m:mPr>
                        <m:mcs>
                          <m:mc>
                            <m:mcPr>
                              <m:count m:val="3"/>
                              <m:mcJc m:val="center"/>
                            </m:mcPr>
                          </m:mc>
                        </m:mcs>
                        <m:ctrlPr>
                          <w:rPr>
                            <w:rFonts w:ascii="Cambria Math" w:hAnsi="Cambria Math"/>
                            <w:iCs/>
                            <w:lang w:val="en-GB"/>
                          </w:rPr>
                        </m:ctrlPr>
                      </m:mPr>
                      <m:mr>
                        <m:e>
                          <m:sSub>
                            <m:sSubPr>
                              <m:ctrlPr>
                                <w:rPr>
                                  <w:rFonts w:ascii="Cambria Math" w:hAnsi="Cambria Math"/>
                                  <w:iCs/>
                                  <w:lang w:val="en-GB"/>
                                </w:rPr>
                              </m:ctrlPr>
                            </m:sSubPr>
                            <m:e>
                              <m:r>
                                <w:rPr>
                                  <w:rFonts w:ascii="Cambria Math" w:hAnsi="Cambria Math"/>
                                  <w:lang w:val="en-GB"/>
                                </w:rPr>
                                <m:t>G</m:t>
                              </m:r>
                            </m:e>
                            <m:sub>
                              <m:r>
                                <m:rPr>
                                  <m:sty m:val="p"/>
                                </m:rPr>
                                <w:rPr>
                                  <w:rFonts w:ascii="Cambria Math" w:hAnsi="Cambria Math"/>
                                  <w:lang w:val="en-GB"/>
                                </w:rPr>
                                <m:t>0</m:t>
                              </m:r>
                            </m:sub>
                          </m:sSub>
                          <m:r>
                            <m:rPr>
                              <m:sty m:val="p"/>
                            </m:rPr>
                            <w:rPr>
                              <w:rFonts w:ascii="Cambria Math" w:hAnsi="Cambria Math"/>
                              <w:lang w:val="en-GB"/>
                            </w:rPr>
                            <m:t>-3</m:t>
                          </m:r>
                          <m:sSup>
                            <m:sSupPr>
                              <m:ctrlPr>
                                <w:rPr>
                                  <w:rFonts w:ascii="Cambria Math" w:hAnsi="Cambria Math"/>
                                  <w:iCs/>
                                  <w:lang w:val="en-GB"/>
                                </w:rPr>
                              </m:ctrlPr>
                            </m:sSupPr>
                            <m:e>
                              <m:r>
                                <m:rPr>
                                  <m:sty m:val="p"/>
                                </m:rPr>
                                <w:rPr>
                                  <w:rFonts w:ascii="Cambria Math" w:hAnsi="Cambria Math"/>
                                  <w:lang w:val="en-GB"/>
                                </w:rPr>
                                <m:t>(</m:t>
                              </m:r>
                              <m:f>
                                <m:fPr>
                                  <m:type m:val="lin"/>
                                  <m:ctrlPr>
                                    <w:rPr>
                                      <w:rFonts w:ascii="Cambria Math" w:hAnsi="Cambria Math"/>
                                      <w:iCs/>
                                      <w:lang w:val="en-GB"/>
                                    </w:rPr>
                                  </m:ctrlPr>
                                </m:fPr>
                                <m:num>
                                  <m:r>
                                    <m:rPr>
                                      <m:sty m:val="p"/>
                                    </m:rPr>
                                    <w:rPr>
                                      <w:rFonts w:ascii="Cambria Math" w:hAnsi="Cambria Math"/>
                                      <w:lang w:val="en-GB"/>
                                    </w:rPr>
                                    <m:t>φ</m:t>
                                  </m:r>
                                </m:num>
                                <m:den>
                                  <m:sSub>
                                    <m:sSubPr>
                                      <m:ctrlPr>
                                        <w:rPr>
                                          <w:rFonts w:ascii="Cambria Math" w:hAnsi="Cambria Math"/>
                                          <w:iCs/>
                                          <w:lang w:val="en-GB"/>
                                        </w:rPr>
                                      </m:ctrlPr>
                                    </m:sSubPr>
                                    <m:e>
                                      <m:r>
                                        <m:rPr>
                                          <m:sty m:val="p"/>
                                        </m:rPr>
                                        <w:rPr>
                                          <w:rFonts w:ascii="Cambria Math" w:hAnsi="Cambria Math"/>
                                          <w:lang w:val="en-GB"/>
                                        </w:rPr>
                                        <m:t>φ</m:t>
                                      </m:r>
                                    </m:e>
                                    <m:sub>
                                      <m:r>
                                        <m:rPr>
                                          <m:sty m:val="p"/>
                                        </m:rPr>
                                        <w:rPr>
                                          <w:rFonts w:ascii="Cambria Math" w:hAnsi="Cambria Math"/>
                                          <w:lang w:val="en-GB"/>
                                        </w:rPr>
                                        <m:t>0</m:t>
                                      </m:r>
                                    </m:sub>
                                  </m:sSub>
                                  <m:r>
                                    <m:rPr>
                                      <m:sty m:val="p"/>
                                    </m:rPr>
                                    <w:rPr>
                                      <w:rFonts w:ascii="Cambria Math" w:hAnsi="Cambria Math"/>
                                      <w:lang w:val="en-GB"/>
                                    </w:rPr>
                                    <m:t>)</m:t>
                                  </m:r>
                                </m:den>
                              </m:f>
                            </m:e>
                            <m:sup>
                              <m:r>
                                <m:rPr>
                                  <m:sty m:val="p"/>
                                </m:rPr>
                                <w:rPr>
                                  <w:rFonts w:ascii="Cambria Math" w:hAnsi="Cambria Math"/>
                                  <w:lang w:val="en-GB"/>
                                </w:rPr>
                                <m:t>2</m:t>
                              </m:r>
                            </m:sup>
                          </m:sSup>
                        </m:e>
                        <m:e>
                          <m:r>
                            <m:rPr>
                              <m:sty m:val="p"/>
                            </m:rPr>
                            <w:rPr>
                              <w:rFonts w:ascii="Cambria Math" w:eastAsia="Cambria Math" w:hAnsi="Cambria Math"/>
                              <w:lang w:val="en-GB"/>
                            </w:rPr>
                            <m:t>:</m:t>
                          </m:r>
                        </m:e>
                        <m:e>
                          <m:r>
                            <m:rPr>
                              <m:sty m:val="p"/>
                            </m:rPr>
                            <w:rPr>
                              <w:rFonts w:ascii="Cambria Math" w:eastAsia="Cambria Math" w:hAnsi="Cambria Math"/>
                              <w:lang w:val="en-GB"/>
                            </w:rPr>
                            <m:t>0≤φ&lt;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e>
                      </m:mr>
                      <m:mr>
                        <m:e>
                          <m:sSub>
                            <m:sSubPr>
                              <m:ctrlPr>
                                <w:rPr>
                                  <w:rFonts w:ascii="Cambria Math" w:hAnsi="Cambria Math"/>
                                  <w:iCs/>
                                  <w:lang w:val="en-GB"/>
                                </w:rPr>
                              </m:ctrlPr>
                            </m:sSubPr>
                            <m:e>
                              <m:r>
                                <w:rPr>
                                  <w:rFonts w:ascii="Cambria Math" w:eastAsia="Cambria Math" w:hAnsi="Cambria Math"/>
                                  <w:lang w:val="en-GB"/>
                                </w:rPr>
                                <m:t>G</m:t>
                              </m:r>
                            </m:e>
                            <m:sub>
                              <m:r>
                                <m:rPr>
                                  <m:sty m:val="p"/>
                                </m:rPr>
                                <w:rPr>
                                  <w:rFonts w:ascii="Cambria Math" w:eastAsia="Cambria Math" w:hAnsi="Cambria Math"/>
                                  <w:lang w:val="en-GB"/>
                                </w:rPr>
                                <m:t>0</m:t>
                              </m:r>
                            </m:sub>
                          </m:sSub>
                          <m:r>
                            <m:rPr>
                              <m:sty m:val="p"/>
                            </m:rPr>
                            <w:rPr>
                              <w:rFonts w:ascii="Cambria Math" w:eastAsia="Cambria Math" w:hAnsi="Cambria Math"/>
                              <w:lang w:val="en-GB"/>
                            </w:rPr>
                            <m:t xml:space="preserve">-17              </m:t>
                          </m:r>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r>
                            <m:rPr>
                              <m:sty m:val="p"/>
                            </m:rPr>
                            <w:rPr>
                              <w:rFonts w:ascii="Cambria Math" w:eastAsia="Cambria Math" w:hAnsi="Cambria Math"/>
                              <w:lang w:val="en-GB"/>
                            </w:rPr>
                            <m:t>≤φ&lt;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e>
                      </m:mr>
                      <m:mr>
                        <m:e>
                          <m:r>
                            <m:rPr>
                              <m:sty m:val="p"/>
                            </m:rPr>
                            <w:rPr>
                              <w:rFonts w:ascii="Cambria Math" w:eastAsia="Cambria Math" w:hAnsi="Cambria Math"/>
                              <w:lang w:val="en-GB"/>
                            </w:rPr>
                            <m:t>32-25</m:t>
                          </m:r>
                          <m:func>
                            <m:funcPr>
                              <m:ctrlPr>
                                <w:rPr>
                                  <w:rFonts w:ascii="Cambria Math" w:hAnsi="Cambria Math"/>
                                  <w:iCs/>
                                  <w:lang w:val="en-GB"/>
                                </w:rPr>
                              </m:ctrlPr>
                            </m:funcPr>
                            <m:fName>
                              <m:r>
                                <m:rPr>
                                  <m:sty m:val="p"/>
                                </m:rPr>
                                <w:rPr>
                                  <w:rFonts w:ascii="Cambria Math" w:eastAsia="Cambria Math" w:hAnsi="Cambria Math"/>
                                  <w:lang w:val="en-GB"/>
                                </w:rPr>
                                <m:t>log</m:t>
                              </m:r>
                            </m:fName>
                            <m:e>
                              <m:r>
                                <m:rPr>
                                  <m:sty m:val="p"/>
                                </m:rPr>
                                <w:rPr>
                                  <w:rFonts w:ascii="Cambria Math" w:eastAsia="Cambria Math" w:hAnsi="Cambria Math"/>
                                  <w:lang w:val="en-GB"/>
                                </w:rPr>
                                <m:t xml:space="preserve">φ   </m:t>
                              </m:r>
                            </m:e>
                          </m:func>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r>
                            <m:rPr>
                              <m:sty m:val="p"/>
                            </m:rPr>
                            <w:rPr>
                              <w:rFonts w:ascii="Cambria Math" w:eastAsia="Cambria Math" w:hAnsi="Cambria Math"/>
                              <w:lang w:val="en-GB"/>
                            </w:rPr>
                            <m:t>≤φ&lt;48</m:t>
                          </m:r>
                        </m:e>
                      </m:mr>
                      <m:mr>
                        <m:e>
                          <m:r>
                            <m:rPr>
                              <m:sty m:val="p"/>
                            </m:rPr>
                            <w:rPr>
                              <w:rFonts w:ascii="Cambria Math" w:eastAsia="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48≤φ&lt;80</m:t>
                          </m:r>
                        </m:e>
                      </m:mr>
                      <m:mr>
                        <m:e>
                          <m:r>
                            <m:rPr>
                              <m:sty m:val="p"/>
                            </m:rPr>
                            <w:rPr>
                              <w:rFonts w:ascii="Cambria Math" w:hAnsi="Cambria Math"/>
                              <w:lang w:val="en-GB"/>
                            </w:rPr>
                            <m:t xml:space="preserve">-5                      </m:t>
                          </m:r>
                        </m:e>
                        <m:e>
                          <m:r>
                            <m:rPr>
                              <m:sty m:val="p"/>
                            </m:rPr>
                            <w:rPr>
                              <w:rFonts w:ascii="Cambria Math" w:hAnsi="Cambria Math"/>
                              <w:lang w:val="en-GB"/>
                            </w:rPr>
                            <m:t>:</m:t>
                          </m:r>
                        </m:e>
                        <m:e>
                          <m:r>
                            <m:rPr>
                              <m:sty m:val="p"/>
                            </m:rPr>
                            <w:rPr>
                              <w:rFonts w:ascii="Cambria Math" w:eastAsia="Cambria Math" w:hAnsi="Cambria Math"/>
                              <w:lang w:val="en-GB"/>
                            </w:rPr>
                            <m:t>80≤φ&lt;120</m:t>
                          </m:r>
                        </m:e>
                      </m:mr>
                      <m:mr>
                        <m:e>
                          <m:r>
                            <m:rPr>
                              <m:sty m:val="p"/>
                            </m:rPr>
                            <w:rPr>
                              <w:rFonts w:ascii="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120≤φ≤180</m:t>
                          </m:r>
                        </m:e>
                      </m:mr>
                    </m:m>
                  </m:e>
                </m:d>
              </m:oMath>
            </m:oMathPara>
          </w:p>
          <w:p w:rsidR="00B348D9" w:rsidRPr="003049BF" w:rsidRDefault="00B348D9" w:rsidP="006368E7">
            <w:pPr>
              <w:rPr>
                <w:lang w:val="en-GB"/>
              </w:rPr>
            </w:pPr>
          </w:p>
        </w:tc>
      </w:tr>
    </w:tbl>
    <w:p w:rsidR="00B348D9" w:rsidRPr="003049BF" w:rsidRDefault="00B348D9" w:rsidP="003049BF">
      <w:pPr>
        <w:keepNext/>
        <w:keepLines/>
        <w:tabs>
          <w:tab w:val="left" w:pos="3720"/>
        </w:tabs>
        <w:rPr>
          <w:szCs w:val="24"/>
          <w:lang w:val="en-GB"/>
        </w:rPr>
      </w:pPr>
      <w:r w:rsidRPr="003049BF">
        <w:rPr>
          <w:szCs w:val="24"/>
          <w:lang w:val="en-GB"/>
        </w:rPr>
        <w:lastRenderedPageBreak/>
        <w:t>where:</w:t>
      </w:r>
    </w:p>
    <w:p w:rsidR="00B348D9" w:rsidRPr="003049BF" w:rsidRDefault="00B348D9" w:rsidP="003049BF">
      <w:pPr>
        <w:pStyle w:val="Equationlegend"/>
        <w:keepNext/>
        <w:keepLines/>
        <w:rPr>
          <w:lang w:val="en-GB"/>
        </w:rPr>
      </w:pPr>
      <w:r w:rsidRPr="003049BF">
        <w:rPr>
          <w:lang w:val="en-GB"/>
        </w:rPr>
        <w:tab/>
      </w:r>
      <w:r w:rsidRPr="003049BF">
        <w:rPr>
          <w:i/>
          <w:lang w:val="en-GB"/>
        </w:rPr>
        <w:t>G(</w:t>
      </w:r>
      <w:r w:rsidRPr="003049BF">
        <w:rPr>
          <w:lang w:val="en-GB"/>
        </w:rPr>
        <w:sym w:font="Symbol" w:char="F06A"/>
      </w:r>
      <w:r w:rsidRPr="003049BF">
        <w:rPr>
          <w:i/>
          <w:lang w:val="en-GB"/>
        </w:rPr>
        <w:t>)</w:t>
      </w:r>
      <w:r w:rsidRPr="003049BF">
        <w:rPr>
          <w:lang w:val="en-GB"/>
        </w:rPr>
        <w:t>:</w:t>
      </w:r>
      <w:r w:rsidR="00715EA3" w:rsidRPr="003049BF">
        <w:rPr>
          <w:lang w:val="en-GB"/>
        </w:rPr>
        <w:tab/>
      </w:r>
      <w:r w:rsidRPr="003049BF">
        <w:rPr>
          <w:lang w:val="en-GB"/>
        </w:rPr>
        <w:t>gain (dBi) relative to an isotropic antenna</w:t>
      </w:r>
    </w:p>
    <w:p w:rsidR="00B348D9" w:rsidRPr="003049BF" w:rsidRDefault="00715EA3" w:rsidP="00715EA3">
      <w:pPr>
        <w:pStyle w:val="Equationlegend"/>
        <w:rPr>
          <w:lang w:val="en-GB"/>
        </w:rPr>
      </w:pPr>
      <w:r w:rsidRPr="003049BF">
        <w:rPr>
          <w:lang w:val="en-GB"/>
        </w:rPr>
        <w:tab/>
      </w:r>
      <w:r w:rsidR="00B348D9" w:rsidRPr="003049BF">
        <w:rPr>
          <w:lang w:val="en-GB"/>
        </w:rPr>
        <w:sym w:font="Symbol" w:char="F06A"/>
      </w:r>
      <w:r w:rsidR="00B348D9" w:rsidRPr="003049BF">
        <w:rPr>
          <w:lang w:val="en-GB"/>
        </w:rPr>
        <w:t>:</w:t>
      </w:r>
      <w:r w:rsidRPr="003049BF">
        <w:rPr>
          <w:lang w:val="en-GB"/>
        </w:rPr>
        <w:tab/>
      </w:r>
      <w:r w:rsidR="00B348D9" w:rsidRPr="003049BF">
        <w:rPr>
          <w:lang w:val="en-GB"/>
        </w:rPr>
        <w:t>off-axis angle (deg</w:t>
      </w:r>
      <w:r w:rsidRPr="003049BF">
        <w:rPr>
          <w:lang w:val="en-GB"/>
        </w:rPr>
        <w:t>rees</w:t>
      </w:r>
      <w:r w:rsidR="00B348D9" w:rsidRPr="003049BF">
        <w:rPr>
          <w:lang w:val="en-GB"/>
        </w:rPr>
        <w:t>)</w:t>
      </w:r>
    </w:p>
    <w:p w:rsidR="00B348D9" w:rsidRPr="003049BF" w:rsidRDefault="00B348D9" w:rsidP="00715EA3">
      <w:pPr>
        <w:pStyle w:val="Equationlegend"/>
        <w:rPr>
          <w:lang w:val="en-GB"/>
        </w:rPr>
      </w:pPr>
      <w:r w:rsidRPr="003049BF">
        <w:rPr>
          <w:lang w:val="en-GB"/>
        </w:rPr>
        <w:tab/>
      </w:r>
      <w:r w:rsidRPr="003049BF">
        <w:rPr>
          <w:i/>
          <w:lang w:val="en-GB"/>
        </w:rPr>
        <w:t>G</w:t>
      </w:r>
      <w:r w:rsidRPr="00822836">
        <w:rPr>
          <w:iCs/>
          <w:vertAlign w:val="subscript"/>
          <w:lang w:val="en-GB"/>
        </w:rPr>
        <w:t>0</w:t>
      </w:r>
      <w:r w:rsidRPr="003049BF">
        <w:rPr>
          <w:lang w:val="en-GB"/>
        </w:rPr>
        <w:t>:</w:t>
      </w:r>
      <w:r w:rsidR="00715EA3" w:rsidRPr="003049BF">
        <w:rPr>
          <w:lang w:val="en-GB"/>
        </w:rPr>
        <w:tab/>
      </w:r>
      <w:r w:rsidRPr="003049BF">
        <w:rPr>
          <w:lang w:val="en-GB"/>
        </w:rPr>
        <w:t>maximum boresight gain of the antenna (dBi)</w:t>
      </w:r>
    </w:p>
    <w:p w:rsidR="00B348D9" w:rsidRPr="003049BF" w:rsidRDefault="00B348D9" w:rsidP="00715EA3">
      <w:pPr>
        <w:pStyle w:val="Equationlegend"/>
        <w:rPr>
          <w:lang w:val="en-GB"/>
        </w:rPr>
      </w:pPr>
      <w:r w:rsidRPr="003049BF">
        <w:rPr>
          <w:lang w:val="en-GB"/>
        </w:rPr>
        <w:tab/>
      </w:r>
      <w:r w:rsidRPr="003049BF">
        <w:rPr>
          <w:iCs/>
          <w:lang w:val="en-GB"/>
        </w:rPr>
        <w:sym w:font="Symbol" w:char="F06A"/>
      </w:r>
      <w:r w:rsidRPr="00822836">
        <w:rPr>
          <w:iCs/>
          <w:vertAlign w:val="subscript"/>
          <w:lang w:val="en-GB"/>
        </w:rPr>
        <w:t>0</w:t>
      </w:r>
      <w:r w:rsidRPr="003049BF">
        <w:rPr>
          <w:lang w:val="en-GB"/>
        </w:rPr>
        <w:t>:</w:t>
      </w:r>
      <w:r w:rsidR="00715EA3" w:rsidRPr="003049BF">
        <w:rPr>
          <w:lang w:val="en-GB"/>
        </w:rPr>
        <w:tab/>
      </w:r>
      <w:r w:rsidRPr="003049BF">
        <w:rPr>
          <w:lang w:val="en-GB"/>
        </w:rPr>
        <w:t>½ of the 3-dB beamwidth of the antenna (deg</w:t>
      </w:r>
      <w:r w:rsidR="00715EA3" w:rsidRPr="003049BF">
        <w:rPr>
          <w:lang w:val="en-GB"/>
        </w:rPr>
        <w:t>rees</w:t>
      </w:r>
      <w:r w:rsidRPr="003049BF">
        <w:rPr>
          <w:lang w:val="en-GB"/>
        </w:rPr>
        <w:t>)</w:t>
      </w:r>
    </w:p>
    <w:p w:rsidR="00B348D9" w:rsidRPr="003049BF" w:rsidRDefault="00715EA3" w:rsidP="007071DD">
      <w:pPr>
        <w:pStyle w:val="Equationlegend"/>
        <w:rPr>
          <w:lang w:val="en-GB"/>
        </w:rPr>
      </w:pPr>
      <w:r w:rsidRPr="003049BF">
        <w:rPr>
          <w:lang w:val="en-GB"/>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en-GB"/>
              </w:rPr>
              <m:t>1</m:t>
            </m:r>
          </m:sub>
        </m:sSub>
        <m:r>
          <w:rPr>
            <w:rFonts w:ascii="Cambria Math" w:hAnsi="Cambria Math"/>
            <w:sz w:val="22"/>
            <w:szCs w:val="22"/>
            <w:lang w:val="en-GB"/>
          </w:rPr>
          <m:t>=</m:t>
        </m:r>
      </m:oMath>
      <w:r w:rsidRPr="003049BF">
        <w:rPr>
          <w:lang w:val="en-GB"/>
        </w:rPr>
        <w:tab/>
      </w:r>
      <m:oMath>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en-GB"/>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en-GB"/>
                  </w:rPr>
                  <m:t>17</m:t>
                </m:r>
              </m:num>
              <m:den>
                <m:r>
                  <w:rPr>
                    <w:rFonts w:ascii="Cambria Math" w:hAnsi="Cambria Math"/>
                    <w:sz w:val="22"/>
                    <w:szCs w:val="22"/>
                    <w:lang w:val="en-GB"/>
                  </w:rPr>
                  <m:t>3</m:t>
                </m:r>
              </m:den>
            </m:f>
          </m:e>
        </m:rad>
      </m:oMath>
      <w:r w:rsidRPr="003049BF">
        <w:rPr>
          <w:lang w:val="en-GB"/>
        </w:rPr>
        <w:t xml:space="preserve"> </w:t>
      </w:r>
      <w:r w:rsidR="00B348D9" w:rsidRPr="003049BF">
        <w:rPr>
          <w:lang w:val="en-GB"/>
        </w:rPr>
        <w:t>(deg</w:t>
      </w:r>
      <w:r w:rsidRPr="003049BF">
        <w:rPr>
          <w:lang w:val="en-GB"/>
        </w:rPr>
        <w:t>rees</w:t>
      </w:r>
      <w:r w:rsidR="00B348D9" w:rsidRPr="003049BF">
        <w:rPr>
          <w:lang w:val="en-GB"/>
        </w:rPr>
        <w:t>)</w:t>
      </w:r>
    </w:p>
    <w:p w:rsidR="00B348D9" w:rsidRPr="003049BF" w:rsidRDefault="00B348D9" w:rsidP="00822836">
      <w:pPr>
        <w:pStyle w:val="Equationlegend"/>
        <w:rPr>
          <w:lang w:val="en-GB"/>
        </w:rPr>
      </w:pPr>
      <w:r w:rsidRPr="003049BF">
        <w:rPr>
          <w:lang w:val="en-GB"/>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en-GB"/>
              </w:rPr>
              <m:t>2</m:t>
            </m:r>
          </m:sub>
        </m:sSub>
        <m:r>
          <w:rPr>
            <w:rFonts w:ascii="Cambria Math" w:hAnsi="Cambria Math"/>
            <w:sz w:val="22"/>
            <w:szCs w:val="22"/>
            <w:lang w:val="en-GB"/>
          </w:rPr>
          <m:t>=</m:t>
        </m:r>
      </m:oMath>
      <w:r w:rsidR="00715EA3" w:rsidRPr="003049BF">
        <w:rPr>
          <w:i/>
          <w:lang w:val="en-GB"/>
        </w:rPr>
        <w:tab/>
      </w:r>
      <m:oMath>
        <m:sSup>
          <m:sSupPr>
            <m:ctrlPr>
              <w:rPr>
                <w:rFonts w:ascii="Cambria Math" w:hAnsi="Cambria Math"/>
                <w:i/>
                <w:sz w:val="22"/>
                <w:szCs w:val="22"/>
                <w:lang w:val="en-GB"/>
              </w:rPr>
            </m:ctrlPr>
          </m:sSupPr>
          <m:e>
            <m:r>
              <w:rPr>
                <w:rFonts w:ascii="Cambria Math" w:hAnsi="Cambria Math"/>
                <w:sz w:val="22"/>
                <w:szCs w:val="22"/>
                <w:lang w:val="en-GB"/>
              </w:rPr>
              <m:t>10</m:t>
            </m:r>
          </m:e>
          <m:sup>
            <m:r>
              <w:rPr>
                <w:rFonts w:ascii="Cambria Math" w:hAnsi="Cambria Math"/>
                <w:sz w:val="22"/>
                <w:szCs w:val="22"/>
                <w:lang w:val="en-GB"/>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en-GB"/>
                  </w:rPr>
                  <m:t>0</m:t>
                </m:r>
              </m:sub>
            </m:sSub>
            <m:r>
              <w:rPr>
                <w:rFonts w:ascii="Cambria Math" w:hAnsi="Cambria Math"/>
                <w:sz w:val="22"/>
                <w:szCs w:val="22"/>
                <w:lang w:val="en-GB"/>
              </w:rPr>
              <m:t>)/25</m:t>
            </m:r>
          </m:sup>
        </m:sSup>
      </m:oMath>
      <w:r w:rsidR="00715EA3" w:rsidRPr="003049BF">
        <w:rPr>
          <w:lang w:val="en-GB"/>
        </w:rPr>
        <w:t xml:space="preserve"> </w:t>
      </w:r>
      <w:r w:rsidRPr="003049BF">
        <w:rPr>
          <w:lang w:val="en-GB"/>
        </w:rPr>
        <w:t>(deg</w:t>
      </w:r>
      <w:r w:rsidR="00715EA3" w:rsidRPr="003049BF">
        <w:rPr>
          <w:lang w:val="en-GB"/>
        </w:rPr>
        <w:t>rees</w:t>
      </w:r>
      <w:r w:rsidRPr="003049BF">
        <w:rPr>
          <w:lang w:val="en-GB"/>
        </w:rPr>
        <w:t>)</w:t>
      </w:r>
      <w:r w:rsidR="00822836">
        <w:rPr>
          <w:lang w:val="en-GB"/>
        </w:rPr>
        <w:t>;</w:t>
      </w:r>
    </w:p>
    <w:p w:rsidR="00B348D9" w:rsidRPr="003049BF" w:rsidRDefault="00B348D9" w:rsidP="00B348D9">
      <w:pPr>
        <w:rPr>
          <w:lang w:val="en-GB"/>
        </w:rPr>
      </w:pPr>
      <w:r w:rsidRPr="003049BF">
        <w:rPr>
          <w:b/>
          <w:lang w:val="en-GB"/>
        </w:rPr>
        <w:t>1.2</w:t>
      </w:r>
      <w:r w:rsidRPr="003049BF">
        <w:rPr>
          <w:lang w:val="en-GB"/>
        </w:rPr>
        <w:tab/>
        <w:t>in cases of multiple entry interference, to predict the aggregate interference from these multiple sources, the following reference antenna radiation pattern (see Fig. 2) be used:</w:t>
      </w:r>
    </w:p>
    <w:p w:rsidR="00B348D9" w:rsidRPr="003049BF" w:rsidRDefault="00B348D9" w:rsidP="00B348D9">
      <w:pPr>
        <w:keepNext/>
        <w:spacing w:before="0"/>
        <w:rPr>
          <w:lang w:val="en-GB"/>
        </w:rPr>
      </w:pPr>
    </w:p>
    <w:tbl>
      <w:tblPr>
        <w:tblW w:w="0" w:type="auto"/>
        <w:tblLook w:val="04A0" w:firstRow="1" w:lastRow="0" w:firstColumn="1" w:lastColumn="0" w:noHBand="0" w:noVBand="1"/>
      </w:tblPr>
      <w:tblGrid>
        <w:gridCol w:w="9855"/>
      </w:tblGrid>
      <w:tr w:rsidR="00B348D9" w:rsidRPr="003049BF" w:rsidTr="007071DD">
        <w:tc>
          <w:tcPr>
            <w:tcW w:w="9855" w:type="dxa"/>
          </w:tcPr>
          <w:p w:rsidR="00B348D9" w:rsidRPr="003049BF" w:rsidRDefault="00B348D9" w:rsidP="007071DD">
            <w:pPr>
              <w:keepNext/>
              <w:spacing w:after="120"/>
              <w:rPr>
                <w:szCs w:val="22"/>
                <w:lang w:val="en-GB"/>
              </w:rPr>
            </w:pPr>
            <m:oMathPara>
              <m:oMath>
                <m:r>
                  <w:rPr>
                    <w:rFonts w:ascii="Cambria Math" w:hAnsi="Cambria Math"/>
                    <w:szCs w:val="22"/>
                    <w:lang w:val="en-GB"/>
                  </w:rPr>
                  <m:t>G</m:t>
                </m:r>
                <m:d>
                  <m:dPr>
                    <m:ctrlPr>
                      <w:rPr>
                        <w:rFonts w:ascii="Cambria Math" w:hAnsi="Cambria Math"/>
                        <w:i/>
                        <w:szCs w:val="22"/>
                        <w:lang w:val="en-GB"/>
                      </w:rPr>
                    </m:ctrlPr>
                  </m:dPr>
                  <m:e>
                    <m:r>
                      <m:rPr>
                        <m:sty m:val="p"/>
                      </m:rPr>
                      <w:rPr>
                        <w:rFonts w:ascii="Cambria Math" w:hAnsi="Cambria Math"/>
                        <w:szCs w:val="22"/>
                        <w:lang w:val="en-GB"/>
                      </w:rPr>
                      <m:t>φ</m:t>
                    </m:r>
                  </m:e>
                </m:d>
                <m:r>
                  <w:rPr>
                    <w:rFonts w:ascii="Cambria Math" w:hAnsi="Cambria Math"/>
                    <w:szCs w:val="22"/>
                    <w:lang w:val="en-GB"/>
                  </w:rPr>
                  <m:t xml:space="preserve">= </m:t>
                </m:r>
                <m:d>
                  <m:dPr>
                    <m:begChr m:val="{"/>
                    <m:endChr m:val=""/>
                    <m:ctrlPr>
                      <w:rPr>
                        <w:rFonts w:ascii="Cambria Math" w:hAnsi="Cambria Math"/>
                        <w:i/>
                        <w:szCs w:val="22"/>
                        <w:lang w:val="en-GB"/>
                      </w:rPr>
                    </m:ctrlPr>
                  </m:dPr>
                  <m:e>
                    <m:m>
                      <m:mPr>
                        <m:mcs>
                          <m:mc>
                            <m:mcPr>
                              <m:count m:val="3"/>
                              <m:mcJc m:val="center"/>
                            </m:mcPr>
                          </m:mc>
                        </m:mcs>
                        <m:ctrlPr>
                          <w:rPr>
                            <w:rFonts w:ascii="Cambria Math" w:hAnsi="Cambria Math"/>
                            <w:iCs/>
                            <w:szCs w:val="22"/>
                            <w:lang w:val="en-GB"/>
                          </w:rPr>
                        </m:ctrlPr>
                      </m:mPr>
                      <m:mr>
                        <m:e>
                          <m:sSub>
                            <m:sSubPr>
                              <m:ctrlPr>
                                <w:rPr>
                                  <w:rFonts w:ascii="Cambria Math" w:hAnsi="Cambria Math"/>
                                  <w:iCs/>
                                  <w:szCs w:val="22"/>
                                  <w:lang w:val="en-GB"/>
                                </w:rPr>
                              </m:ctrlPr>
                            </m:sSubPr>
                            <m:e>
                              <m:r>
                                <w:rPr>
                                  <w:rFonts w:ascii="Cambria Math" w:hAnsi="Cambria Math"/>
                                  <w:szCs w:val="22"/>
                                  <w:lang w:val="en-GB"/>
                                </w:rPr>
                                <m:t>G</m:t>
                              </m:r>
                            </m:e>
                            <m:sub>
                              <m:r>
                                <m:rPr>
                                  <m:sty m:val="p"/>
                                </m:rPr>
                                <w:rPr>
                                  <w:rFonts w:ascii="Cambria Math" w:hAnsi="Cambria Math"/>
                                  <w:szCs w:val="22"/>
                                  <w:lang w:val="en-GB"/>
                                </w:rPr>
                                <m:t>0</m:t>
                              </m:r>
                            </m:sub>
                          </m:sSub>
                          <m:r>
                            <m:rPr>
                              <m:sty m:val="p"/>
                            </m:rPr>
                            <w:rPr>
                              <w:rFonts w:ascii="Cambria Math" w:hAnsi="Cambria Math"/>
                              <w:szCs w:val="22"/>
                              <w:lang w:val="en-GB"/>
                            </w:rPr>
                            <m:t>-3</m:t>
                          </m:r>
                          <m:sSup>
                            <m:sSupPr>
                              <m:ctrlPr>
                                <w:rPr>
                                  <w:rFonts w:ascii="Cambria Math" w:hAnsi="Cambria Math"/>
                                  <w:iCs/>
                                  <w:szCs w:val="22"/>
                                  <w:lang w:val="en-GB"/>
                                </w:rPr>
                              </m:ctrlPr>
                            </m:sSupPr>
                            <m:e>
                              <m:r>
                                <m:rPr>
                                  <m:sty m:val="p"/>
                                </m:rPr>
                                <w:rPr>
                                  <w:rFonts w:ascii="Cambria Math" w:hAnsi="Cambria Math"/>
                                  <w:szCs w:val="22"/>
                                  <w:lang w:val="en-GB"/>
                                </w:rPr>
                                <m:t>(</m:t>
                              </m:r>
                              <m:f>
                                <m:fPr>
                                  <m:type m:val="lin"/>
                                  <m:ctrlPr>
                                    <w:rPr>
                                      <w:rFonts w:ascii="Cambria Math" w:hAnsi="Cambria Math"/>
                                      <w:iCs/>
                                      <w:szCs w:val="22"/>
                                      <w:lang w:val="en-GB"/>
                                    </w:rPr>
                                  </m:ctrlPr>
                                </m:fPr>
                                <m:num>
                                  <m:r>
                                    <m:rPr>
                                      <m:sty m:val="p"/>
                                    </m:rPr>
                                    <w:rPr>
                                      <w:rFonts w:ascii="Cambria Math" w:hAnsi="Cambria Math"/>
                                      <w:szCs w:val="22"/>
                                      <w:lang w:val="en-GB"/>
                                    </w:rPr>
                                    <m:t>φ</m:t>
                                  </m:r>
                                </m:num>
                                <m:den>
                                  <m:sSub>
                                    <m:sSubPr>
                                      <m:ctrlPr>
                                        <w:rPr>
                                          <w:rFonts w:ascii="Cambria Math" w:hAnsi="Cambria Math"/>
                                          <w:iCs/>
                                          <w:szCs w:val="22"/>
                                          <w:lang w:val="en-GB"/>
                                        </w:rPr>
                                      </m:ctrlPr>
                                    </m:sSubPr>
                                    <m:e>
                                      <m:r>
                                        <m:rPr>
                                          <m:sty m:val="p"/>
                                        </m:rPr>
                                        <w:rPr>
                                          <w:rFonts w:ascii="Cambria Math" w:hAnsi="Cambria Math"/>
                                          <w:szCs w:val="22"/>
                                          <w:lang w:val="en-GB"/>
                                        </w:rPr>
                                        <m:t>φ</m:t>
                                      </m:r>
                                    </m:e>
                                    <m:sub>
                                      <m:r>
                                        <m:rPr>
                                          <m:sty m:val="p"/>
                                        </m:rPr>
                                        <w:rPr>
                                          <w:rFonts w:ascii="Cambria Math" w:hAnsi="Cambria Math"/>
                                          <w:szCs w:val="22"/>
                                          <w:lang w:val="en-GB"/>
                                        </w:rPr>
                                        <m:t>0</m:t>
                                      </m:r>
                                    </m:sub>
                                  </m:sSub>
                                  <m:r>
                                    <m:rPr>
                                      <m:sty m:val="p"/>
                                    </m:rPr>
                                    <w:rPr>
                                      <w:rFonts w:ascii="Cambria Math" w:hAnsi="Cambria Math"/>
                                      <w:szCs w:val="22"/>
                                      <w:lang w:val="en-GB"/>
                                    </w:rPr>
                                    <m:t>)</m:t>
                                  </m:r>
                                </m:den>
                              </m:f>
                            </m:e>
                            <m:sup>
                              <m:r>
                                <m:rPr>
                                  <m:sty m:val="p"/>
                                </m:rPr>
                                <w:rPr>
                                  <w:rFonts w:ascii="Cambria Math" w:hAnsi="Cambria Math"/>
                                  <w:szCs w:val="22"/>
                                  <w:lang w:val="en-GB"/>
                                </w:rPr>
                                <m:t>2</m:t>
                              </m:r>
                            </m:sup>
                          </m:sSup>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0≤φ&lt;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ctrlPr>
                            <w:rPr>
                              <w:rFonts w:ascii="Cambria Math" w:eastAsia="Cambria Math" w:hAnsi="Cambria Math" w:cs="Cambria Math"/>
                              <w:iCs/>
                              <w:szCs w:val="22"/>
                              <w:lang w:val="en-GB"/>
                            </w:rPr>
                          </m:ctrlPr>
                        </m:e>
                      </m:mr>
                      <m:mr>
                        <m:e>
                          <m:sSub>
                            <m:sSubPr>
                              <m:ctrlPr>
                                <w:rPr>
                                  <w:rFonts w:ascii="Cambria Math" w:eastAsia="Cambria Math" w:hAnsi="Cambria Math" w:cs="Cambria Math"/>
                                  <w:iCs/>
                                  <w:szCs w:val="22"/>
                                  <w:lang w:val="en-GB"/>
                                </w:rPr>
                              </m:ctrlPr>
                            </m:sSubPr>
                            <m:e>
                              <m:r>
                                <w:rPr>
                                  <w:rFonts w:ascii="Cambria Math" w:eastAsia="Cambria Math" w:hAnsi="Cambria Math" w:cs="Cambria Math"/>
                                  <w:szCs w:val="22"/>
                                  <w:lang w:val="en-GB"/>
                                </w:rPr>
                                <m:t>G</m:t>
                              </m:r>
                            </m:e>
                            <m:sub>
                              <m:r>
                                <m:rPr>
                                  <m:sty m:val="p"/>
                                </m:rPr>
                                <w:rPr>
                                  <w:rFonts w:ascii="Cambria Math" w:eastAsia="Cambria Math" w:hAnsi="Cambria Math" w:cs="Cambria Math"/>
                                  <w:szCs w:val="22"/>
                                  <w:lang w:val="en-GB"/>
                                </w:rPr>
                                <m:t>0</m:t>
                              </m:r>
                            </m:sub>
                          </m:sSub>
                          <m:r>
                            <m:rPr>
                              <m:sty m:val="p"/>
                            </m:rPr>
                            <w:rPr>
                              <w:rFonts w:ascii="Cambria Math" w:eastAsia="Cambria Math" w:hAnsi="Cambria Math" w:cs="Cambria Math"/>
                              <w:szCs w:val="22"/>
                              <w:lang w:val="en-GB"/>
                            </w:rPr>
                            <m:t xml:space="preserve">-20              </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r>
                            <m:rPr>
                              <m:sty m:val="p"/>
                            </m:rPr>
                            <w:rPr>
                              <w:rFonts w:ascii="Cambria Math" w:eastAsia="Cambria Math" w:hAnsi="Cambria Math" w:cs="Cambria Math"/>
                              <w:szCs w:val="22"/>
                              <w:lang w:val="en-GB"/>
                            </w:rPr>
                            <m:t>≤φ&lt;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29-25</m:t>
                          </m:r>
                          <m:func>
                            <m:funcPr>
                              <m:ctrlPr>
                                <w:rPr>
                                  <w:rFonts w:ascii="Cambria Math" w:eastAsia="Cambria Math" w:hAnsi="Cambria Math" w:cs="Cambria Math"/>
                                  <w:iCs/>
                                  <w:szCs w:val="22"/>
                                  <w:lang w:val="en-GB"/>
                                </w:rPr>
                              </m:ctrlPr>
                            </m:funcPr>
                            <m:fName>
                              <m:r>
                                <m:rPr>
                                  <m:sty m:val="p"/>
                                </m:rPr>
                                <w:rPr>
                                  <w:rFonts w:ascii="Cambria Math" w:eastAsia="Cambria Math" w:hAnsi="Cambria Math" w:cs="Cambria Math"/>
                                  <w:szCs w:val="22"/>
                                  <w:lang w:val="en-GB"/>
                                </w:rPr>
                                <m:t>log</m:t>
                              </m:r>
                            </m:fName>
                            <m:e>
                              <m:r>
                                <m:rPr>
                                  <m:sty m:val="p"/>
                                </m:rPr>
                                <w:rPr>
                                  <w:rFonts w:ascii="Cambria Math" w:eastAsia="Cambria Math" w:hAnsi="Cambria Math" w:cs="Cambria Math"/>
                                  <w:szCs w:val="22"/>
                                  <w:lang w:val="en-GB"/>
                                </w:rPr>
                                <m:t xml:space="preserve">φ   </m:t>
                              </m:r>
                            </m:e>
                          </m:func>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r>
                            <m:rPr>
                              <m:sty m:val="p"/>
                            </m:rPr>
                            <w:rPr>
                              <w:rFonts w:ascii="Cambria Math" w:eastAsia="Cambria Math" w:hAnsi="Cambria Math" w:cs="Cambria Math"/>
                              <w:szCs w:val="22"/>
                              <w:lang w:val="en-GB"/>
                            </w:rPr>
                            <m:t>≤φ&lt;48</m:t>
                          </m:r>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48≤φ&lt;80</m:t>
                          </m:r>
                        </m:e>
                      </m:mr>
                      <m:mr>
                        <m:e>
                          <m:r>
                            <m:rPr>
                              <m:sty m:val="p"/>
                            </m:rPr>
                            <w:rPr>
                              <w:rFonts w:ascii="Cambria Math" w:hAnsi="Cambria Math"/>
                              <w:szCs w:val="22"/>
                              <w:lang w:val="en-GB"/>
                            </w:rPr>
                            <m:t xml:space="preserve">-8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80≤φ&lt;120</m:t>
                          </m:r>
                        </m:e>
                      </m:mr>
                      <m:mr>
                        <m:e>
                          <m:r>
                            <m:rPr>
                              <m:sty m:val="p"/>
                            </m:rPr>
                            <w:rPr>
                              <w:rFonts w:ascii="Cambria Math" w:hAnsi="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120≤φ≤180</m:t>
                          </m:r>
                        </m:e>
                      </m:mr>
                    </m:m>
                  </m:e>
                </m:d>
              </m:oMath>
            </m:oMathPara>
          </w:p>
        </w:tc>
      </w:tr>
    </w:tbl>
    <w:p w:rsidR="00B348D9" w:rsidRPr="003049BF" w:rsidRDefault="00B348D9" w:rsidP="00B348D9">
      <w:pPr>
        <w:rPr>
          <w:lang w:val="en-GB"/>
        </w:rPr>
      </w:pPr>
      <w:r w:rsidRPr="003049BF">
        <w:rPr>
          <w:lang w:val="en-GB"/>
        </w:rPr>
        <w:t>where:</w:t>
      </w:r>
    </w:p>
    <w:p w:rsidR="00B348D9" w:rsidRPr="003049BF" w:rsidRDefault="007071DD" w:rsidP="007071DD">
      <w:pPr>
        <w:pStyle w:val="Equationlegend"/>
        <w:rPr>
          <w:lang w:val="en-GB"/>
        </w:rPr>
      </w:pPr>
      <w:r w:rsidRPr="003049BF">
        <w:rPr>
          <w:lang w:val="en-GB"/>
        </w:rPr>
        <w:tab/>
      </w:r>
      <w:r w:rsidR="00B348D9" w:rsidRPr="003049BF">
        <w:rPr>
          <w:i/>
          <w:lang w:val="en-GB"/>
        </w:rPr>
        <w:t>G(</w:t>
      </w:r>
      <w:r w:rsidR="00B348D9" w:rsidRPr="003049BF">
        <w:rPr>
          <w:lang w:val="en-GB"/>
        </w:rPr>
        <w:sym w:font="Symbol" w:char="F06A"/>
      </w:r>
      <w:r w:rsidR="00B348D9" w:rsidRPr="003049BF">
        <w:rPr>
          <w:i/>
          <w:lang w:val="en-GB"/>
        </w:rPr>
        <w:t>)</w:t>
      </w:r>
      <w:r w:rsidR="00B348D9" w:rsidRPr="003049BF">
        <w:rPr>
          <w:lang w:val="en-GB"/>
        </w:rPr>
        <w:t>:</w:t>
      </w:r>
      <w:r w:rsidRPr="003049BF">
        <w:rPr>
          <w:lang w:val="en-GB"/>
        </w:rPr>
        <w:tab/>
      </w:r>
      <w:r w:rsidR="00B348D9" w:rsidRPr="003049BF">
        <w:rPr>
          <w:lang w:val="en-GB"/>
        </w:rPr>
        <w:t>gain (dBi) r</w:t>
      </w:r>
      <w:r w:rsidR="00822836">
        <w:rPr>
          <w:lang w:val="en-GB"/>
        </w:rPr>
        <w:t>elative to an isotropic antenna</w:t>
      </w:r>
    </w:p>
    <w:p w:rsidR="00B348D9" w:rsidRPr="003049BF" w:rsidRDefault="007071DD" w:rsidP="007071DD">
      <w:pPr>
        <w:pStyle w:val="Equationlegend"/>
        <w:rPr>
          <w:lang w:val="en-GB"/>
        </w:rPr>
      </w:pPr>
      <w:r w:rsidRPr="003049BF">
        <w:rPr>
          <w:lang w:val="en-GB"/>
        </w:rPr>
        <w:tab/>
      </w:r>
      <w:r w:rsidR="00B348D9" w:rsidRPr="003049BF">
        <w:rPr>
          <w:lang w:val="en-GB"/>
        </w:rPr>
        <w:sym w:font="Symbol" w:char="F06A"/>
      </w:r>
      <w:r w:rsidR="00B348D9" w:rsidRPr="003049BF">
        <w:rPr>
          <w:lang w:val="en-GB"/>
        </w:rPr>
        <w:t>:</w:t>
      </w:r>
      <w:r w:rsidRPr="003049BF">
        <w:rPr>
          <w:lang w:val="en-GB"/>
        </w:rPr>
        <w:tab/>
      </w:r>
      <w:r w:rsidR="00B348D9" w:rsidRPr="003049BF">
        <w:rPr>
          <w:lang w:val="en-GB"/>
        </w:rPr>
        <w:t>off-axis angle (deg</w:t>
      </w:r>
      <w:r w:rsidRPr="003049BF">
        <w:rPr>
          <w:lang w:val="en-GB"/>
        </w:rPr>
        <w:t>rees</w:t>
      </w:r>
      <w:r w:rsidR="00822836">
        <w:rPr>
          <w:lang w:val="en-GB"/>
        </w:rPr>
        <w:t>)</w:t>
      </w:r>
    </w:p>
    <w:p w:rsidR="00B348D9" w:rsidRPr="003049BF" w:rsidRDefault="00B348D9" w:rsidP="007071DD">
      <w:pPr>
        <w:pStyle w:val="Equationlegend"/>
        <w:rPr>
          <w:lang w:val="en-GB"/>
        </w:rPr>
      </w:pPr>
      <w:r w:rsidRPr="003049BF">
        <w:rPr>
          <w:lang w:val="en-GB"/>
        </w:rPr>
        <w:tab/>
      </w:r>
      <w:r w:rsidRPr="003049BF">
        <w:rPr>
          <w:i/>
          <w:lang w:val="en-GB"/>
        </w:rPr>
        <w:t>G</w:t>
      </w:r>
      <w:r w:rsidRPr="00822836">
        <w:rPr>
          <w:iCs/>
          <w:vertAlign w:val="subscript"/>
          <w:lang w:val="en-GB"/>
        </w:rPr>
        <w:t>0</w:t>
      </w:r>
      <w:r w:rsidRPr="003049BF">
        <w:rPr>
          <w:lang w:val="en-GB"/>
        </w:rPr>
        <w:t>:</w:t>
      </w:r>
      <w:r w:rsidR="007071DD" w:rsidRPr="003049BF">
        <w:rPr>
          <w:lang w:val="en-GB"/>
        </w:rPr>
        <w:tab/>
      </w:r>
      <w:r w:rsidRPr="003049BF">
        <w:rPr>
          <w:lang w:val="en-GB"/>
        </w:rPr>
        <w:t>maximum boresight gain of the antenna</w:t>
      </w:r>
      <w:r w:rsidR="00822836">
        <w:rPr>
          <w:lang w:val="en-GB"/>
        </w:rPr>
        <w:t xml:space="preserve"> (dBi)</w:t>
      </w:r>
    </w:p>
    <w:p w:rsidR="00B348D9" w:rsidRPr="003049BF" w:rsidRDefault="007071DD" w:rsidP="007071DD">
      <w:pPr>
        <w:pStyle w:val="Equationlegend"/>
        <w:rPr>
          <w:lang w:val="en-GB"/>
        </w:rPr>
      </w:pPr>
      <w:r w:rsidRPr="003049BF">
        <w:rPr>
          <w:lang w:val="en-GB"/>
        </w:rPr>
        <w:tab/>
      </w:r>
      <w:r w:rsidR="00B348D9" w:rsidRPr="003049BF">
        <w:rPr>
          <w:lang w:val="en-GB"/>
        </w:rPr>
        <w:sym w:font="Symbol" w:char="F06A"/>
      </w:r>
      <w:r w:rsidR="00B348D9" w:rsidRPr="003049BF">
        <w:rPr>
          <w:vertAlign w:val="subscript"/>
          <w:lang w:val="en-GB"/>
        </w:rPr>
        <w:t>0</w:t>
      </w:r>
      <w:r w:rsidR="00B348D9" w:rsidRPr="003049BF">
        <w:rPr>
          <w:lang w:val="en-GB"/>
        </w:rPr>
        <w:t>:</w:t>
      </w:r>
      <w:r w:rsidRPr="003049BF">
        <w:rPr>
          <w:lang w:val="en-GB"/>
        </w:rPr>
        <w:tab/>
      </w:r>
      <w:r w:rsidR="00B348D9" w:rsidRPr="003049BF">
        <w:rPr>
          <w:lang w:val="en-GB"/>
        </w:rPr>
        <w:t>½ of the 3-dB beamwidth of the antenna (deg</w:t>
      </w:r>
      <w:r w:rsidRPr="003049BF">
        <w:rPr>
          <w:lang w:val="en-GB"/>
        </w:rPr>
        <w:t>rees</w:t>
      </w:r>
      <w:r w:rsidR="00822836">
        <w:rPr>
          <w:lang w:val="en-GB"/>
        </w:rPr>
        <w:t>)</w:t>
      </w:r>
    </w:p>
    <w:p w:rsidR="00B348D9" w:rsidRPr="003049BF" w:rsidRDefault="00B348D9" w:rsidP="007071DD">
      <w:pPr>
        <w:pStyle w:val="Equationlegend"/>
        <w:rPr>
          <w:lang w:val="en-GB"/>
        </w:rPr>
      </w:pPr>
      <w:r w:rsidRPr="003049BF">
        <w:rPr>
          <w:iCs/>
          <w:lang w:val="en-GB"/>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en-GB"/>
              </w:rPr>
              <m:t>1</m:t>
            </m:r>
          </m:sub>
        </m:sSub>
        <m:r>
          <w:rPr>
            <w:rFonts w:ascii="Cambria Math" w:hAnsi="Cambria Math"/>
            <w:sz w:val="22"/>
            <w:szCs w:val="22"/>
            <w:lang w:val="en-GB"/>
          </w:rPr>
          <m:t>=</m:t>
        </m:r>
      </m:oMath>
      <w:r w:rsidR="007071DD" w:rsidRPr="003049BF">
        <w:rPr>
          <w:sz w:val="22"/>
          <w:szCs w:val="22"/>
          <w:lang w:val="en-GB"/>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en-GB"/>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en-GB"/>
                  </w:rPr>
                  <m:t>20</m:t>
                </m:r>
              </m:num>
              <m:den>
                <m:r>
                  <w:rPr>
                    <w:rFonts w:ascii="Cambria Math" w:hAnsi="Cambria Math"/>
                    <w:sz w:val="22"/>
                    <w:szCs w:val="22"/>
                    <w:lang w:val="en-GB"/>
                  </w:rPr>
                  <m:t>3</m:t>
                </m:r>
              </m:den>
            </m:f>
          </m:e>
        </m:rad>
      </m:oMath>
      <w:r w:rsidR="007071DD" w:rsidRPr="003049BF">
        <w:rPr>
          <w:lang w:val="en-GB"/>
        </w:rPr>
        <w:t xml:space="preserve"> </w:t>
      </w:r>
      <w:r w:rsidRPr="003049BF">
        <w:rPr>
          <w:lang w:val="en-GB"/>
        </w:rPr>
        <w:t>(deg</w:t>
      </w:r>
      <w:r w:rsidR="007071DD" w:rsidRPr="003049BF">
        <w:rPr>
          <w:lang w:val="en-GB"/>
        </w:rPr>
        <w:t>rees</w:t>
      </w:r>
      <w:r w:rsidR="00822836">
        <w:rPr>
          <w:lang w:val="en-GB"/>
        </w:rPr>
        <w:t>)</w:t>
      </w:r>
    </w:p>
    <w:p w:rsidR="00B348D9" w:rsidRPr="003049BF" w:rsidRDefault="00B348D9" w:rsidP="00822836">
      <w:pPr>
        <w:pStyle w:val="Equationlegend"/>
        <w:rPr>
          <w:lang w:val="en-GB"/>
        </w:rPr>
      </w:pPr>
      <w:r w:rsidRPr="003049BF">
        <w:rPr>
          <w:iCs/>
          <w:lang w:val="en-GB"/>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en-GB"/>
              </w:rPr>
              <m:t>2</m:t>
            </m:r>
          </m:sub>
        </m:sSub>
        <m:r>
          <w:rPr>
            <w:rFonts w:ascii="Cambria Math" w:hAnsi="Cambria Math"/>
            <w:sz w:val="22"/>
            <w:szCs w:val="22"/>
            <w:lang w:val="en-GB"/>
          </w:rPr>
          <m:t>=</m:t>
        </m:r>
      </m:oMath>
      <w:r w:rsidR="007071DD" w:rsidRPr="003049BF">
        <w:rPr>
          <w:lang w:val="en-GB"/>
        </w:rPr>
        <w:tab/>
      </w:r>
      <m:oMath>
        <m:sSup>
          <m:sSupPr>
            <m:ctrlPr>
              <w:rPr>
                <w:rFonts w:ascii="Cambria Math" w:hAnsi="Cambria Math"/>
                <w:i/>
                <w:sz w:val="22"/>
                <w:szCs w:val="22"/>
                <w:lang w:val="en-GB"/>
              </w:rPr>
            </m:ctrlPr>
          </m:sSupPr>
          <m:e>
            <m:r>
              <w:rPr>
                <w:rFonts w:ascii="Cambria Math" w:hAnsi="Cambria Math"/>
                <w:sz w:val="22"/>
                <w:szCs w:val="22"/>
                <w:lang w:val="en-GB"/>
              </w:rPr>
              <m:t>10</m:t>
            </m:r>
          </m:e>
          <m:sup>
            <m:r>
              <w:rPr>
                <w:rFonts w:ascii="Cambria Math" w:hAnsi="Cambria Math"/>
                <w:sz w:val="22"/>
                <w:szCs w:val="22"/>
                <w:lang w:val="en-GB"/>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en-GB"/>
                  </w:rPr>
                  <m:t>0</m:t>
                </m:r>
              </m:sub>
            </m:sSub>
            <m:r>
              <w:rPr>
                <w:rFonts w:ascii="Cambria Math" w:hAnsi="Cambria Math"/>
                <w:sz w:val="22"/>
                <w:szCs w:val="22"/>
                <w:lang w:val="en-GB"/>
              </w:rPr>
              <m:t>)/25</m:t>
            </m:r>
          </m:sup>
        </m:sSup>
      </m:oMath>
      <w:r w:rsidR="007071DD" w:rsidRPr="003049BF">
        <w:rPr>
          <w:lang w:val="en-GB"/>
        </w:rPr>
        <w:t xml:space="preserve"> </w:t>
      </w:r>
      <w:r w:rsidRPr="003049BF">
        <w:rPr>
          <w:lang w:val="en-GB"/>
        </w:rPr>
        <w:t>(deg</w:t>
      </w:r>
      <w:r w:rsidR="007071DD" w:rsidRPr="003049BF">
        <w:rPr>
          <w:lang w:val="en-GB"/>
        </w:rPr>
        <w:t>rees</w:t>
      </w:r>
      <w:r w:rsidRPr="003049BF">
        <w:rPr>
          <w:lang w:val="en-GB"/>
        </w:rPr>
        <w:t>)</w:t>
      </w:r>
      <w:r w:rsidR="00822836">
        <w:rPr>
          <w:lang w:val="en-GB"/>
        </w:rPr>
        <w:t>;</w:t>
      </w:r>
    </w:p>
    <w:p w:rsidR="00B348D9" w:rsidRPr="003049BF" w:rsidRDefault="00B348D9" w:rsidP="007071DD">
      <w:pPr>
        <w:rPr>
          <w:lang w:val="en-GB"/>
        </w:rPr>
      </w:pPr>
      <w:r w:rsidRPr="003049BF">
        <w:rPr>
          <w:b/>
          <w:lang w:val="en-GB"/>
        </w:rPr>
        <w:t>1.3</w:t>
      </w:r>
      <w:r w:rsidRPr="003049BF">
        <w:rPr>
          <w:b/>
          <w:lang w:val="en-GB"/>
        </w:rPr>
        <w:tab/>
      </w:r>
      <w:r w:rsidRPr="003049BF">
        <w:rPr>
          <w:lang w:val="en-GB"/>
        </w:rPr>
        <w:t xml:space="preserve">if the actual </w:t>
      </w:r>
      <w:r w:rsidRPr="003049BF">
        <w:rPr>
          <w:i/>
          <w:lang w:val="en-GB"/>
        </w:rPr>
        <w:t>G</w:t>
      </w:r>
      <w:r w:rsidRPr="003049BF">
        <w:rPr>
          <w:vertAlign w:val="subscript"/>
          <w:lang w:val="en-GB"/>
        </w:rPr>
        <w:t>0</w:t>
      </w:r>
      <w:r w:rsidRPr="003049BF">
        <w:rPr>
          <w:lang w:val="en-GB"/>
        </w:rPr>
        <w:t xml:space="preserve"> and φ</w:t>
      </w:r>
      <w:r w:rsidRPr="003049BF">
        <w:rPr>
          <w:vertAlign w:val="subscript"/>
          <w:lang w:val="en-GB"/>
        </w:rPr>
        <w:t>0</w:t>
      </w:r>
      <w:r w:rsidRPr="003049BF">
        <w:rPr>
          <w:rFonts w:ascii="Cambria Math" w:hAnsi="Cambria Math" w:cs="Cambria Math"/>
          <w:lang w:val="en-GB"/>
        </w:rPr>
        <w:t xml:space="preserve"> </w:t>
      </w:r>
      <w:r w:rsidRPr="003049BF">
        <w:rPr>
          <w:lang w:val="en-GB"/>
        </w:rPr>
        <w:t>parameters are not available, then the following equations be used to estimate them:</w:t>
      </w:r>
    </w:p>
    <w:p w:rsidR="00B348D9" w:rsidRPr="003049BF" w:rsidRDefault="00B348D9" w:rsidP="00B348D9">
      <w:pPr>
        <w:keepNext/>
        <w:spacing w:before="0"/>
        <w:rPr>
          <w:lang w:val="en-GB"/>
        </w:rPr>
      </w:pPr>
    </w:p>
    <w:tbl>
      <w:tblPr>
        <w:tblW w:w="0" w:type="auto"/>
        <w:tblLook w:val="04A0" w:firstRow="1" w:lastRow="0" w:firstColumn="1" w:lastColumn="0" w:noHBand="0" w:noVBand="1"/>
      </w:tblPr>
      <w:tblGrid>
        <w:gridCol w:w="9855"/>
      </w:tblGrid>
      <w:tr w:rsidR="00B348D9" w:rsidRPr="003049BF" w:rsidTr="007071DD">
        <w:tc>
          <w:tcPr>
            <w:tcW w:w="9855" w:type="dxa"/>
          </w:tcPr>
          <w:p w:rsidR="00B348D9" w:rsidRPr="003049BF" w:rsidRDefault="008A5DDF" w:rsidP="006368E7">
            <w:pPr>
              <w:keepNext/>
              <w:rPr>
                <w:sz w:val="22"/>
                <w:szCs w:val="22"/>
                <w:lang w:val="en-GB"/>
              </w:rPr>
            </w:pPr>
            <m:oMathPara>
              <m:oMath>
                <m:sSub>
                  <m:sSubPr>
                    <m:ctrlPr>
                      <w:rPr>
                        <w:rFonts w:ascii="Cambria Math" w:hAnsi="Cambria Math"/>
                        <w:i/>
                        <w:szCs w:val="22"/>
                        <w:lang w:val="en-GB"/>
                      </w:rPr>
                    </m:ctrlPr>
                  </m:sSubPr>
                  <m:e>
                    <m:r>
                      <w:rPr>
                        <w:rFonts w:ascii="Cambria Math" w:hAnsi="Cambria Math"/>
                        <w:szCs w:val="22"/>
                        <w:lang w:val="en-GB"/>
                      </w:rPr>
                      <m:t>G</m:t>
                    </m:r>
                  </m:e>
                  <m:sub>
                    <m:r>
                      <w:rPr>
                        <w:rFonts w:ascii="Cambria Math" w:hAnsi="Cambria Math"/>
                        <w:szCs w:val="22"/>
                        <w:lang w:val="en-GB"/>
                      </w:rPr>
                      <m:t>0</m:t>
                    </m:r>
                  </m:sub>
                </m:sSub>
                <m:r>
                  <w:rPr>
                    <w:rFonts w:ascii="Cambria Math" w:hAnsi="Cambria Math"/>
                    <w:szCs w:val="22"/>
                    <w:lang w:val="en-GB"/>
                  </w:rPr>
                  <m:t>=10</m:t>
                </m:r>
                <m:func>
                  <m:funcPr>
                    <m:ctrlPr>
                      <w:rPr>
                        <w:rFonts w:ascii="Cambria Math" w:hAnsi="Cambria Math"/>
                        <w:i/>
                        <w:szCs w:val="22"/>
                        <w:lang w:val="en-GB"/>
                      </w:rPr>
                    </m:ctrlPr>
                  </m:funcPr>
                  <m:fName>
                    <m:r>
                      <m:rPr>
                        <m:sty m:val="p"/>
                      </m:rPr>
                      <w:rPr>
                        <w:rFonts w:ascii="Cambria Math" w:hAnsi="Cambria Math"/>
                        <w:szCs w:val="22"/>
                        <w:lang w:val="en-GB"/>
                      </w:rPr>
                      <m:t>log</m:t>
                    </m:r>
                  </m:fName>
                  <m:e>
                    <m:d>
                      <m:dPr>
                        <m:begChr m:val="["/>
                        <m:endChr m:val="]"/>
                        <m:ctrlPr>
                          <w:rPr>
                            <w:rFonts w:ascii="Cambria Math" w:hAnsi="Cambria Math"/>
                            <w:i/>
                            <w:szCs w:val="22"/>
                            <w:lang w:val="en-GB"/>
                          </w:rPr>
                        </m:ctrlPr>
                      </m:dPr>
                      <m:e>
                        <m:r>
                          <m:rPr>
                            <m:sty m:val="p"/>
                          </m:rPr>
                          <w:rPr>
                            <w:rFonts w:ascii="Cambria Math" w:hAnsi="Cambria Math"/>
                            <w:szCs w:val="22"/>
                            <w:lang w:val="en-GB"/>
                          </w:rPr>
                          <m:t>η</m:t>
                        </m:r>
                        <m:sSup>
                          <m:sSupPr>
                            <m:ctrlPr>
                              <w:rPr>
                                <w:rFonts w:ascii="Cambria Math" w:hAnsi="Cambria Math"/>
                                <w:i/>
                                <w:szCs w:val="22"/>
                                <w:lang w:val="en-GB"/>
                              </w:rPr>
                            </m:ctrlPr>
                          </m:sSupPr>
                          <m:e>
                            <m:d>
                              <m:dPr>
                                <m:ctrlPr>
                                  <w:rPr>
                                    <w:rFonts w:ascii="Cambria Math" w:hAnsi="Cambria Math"/>
                                    <w:i/>
                                    <w:szCs w:val="22"/>
                                    <w:lang w:val="en-GB"/>
                                  </w:rPr>
                                </m:ctrlPr>
                              </m:dPr>
                              <m:e>
                                <m:f>
                                  <m:fPr>
                                    <m:ctrlPr>
                                      <w:rPr>
                                        <w:rFonts w:ascii="Cambria Math" w:hAnsi="Cambria Math"/>
                                        <w:i/>
                                        <w:szCs w:val="22"/>
                                        <w:lang w:val="en-GB"/>
                                      </w:rPr>
                                    </m:ctrlPr>
                                  </m:fPr>
                                  <m:num>
                                    <m:r>
                                      <m:rPr>
                                        <m:sty m:val="p"/>
                                      </m:rPr>
                                      <w:rPr>
                                        <w:rFonts w:ascii="Cambria Math" w:hAnsi="Cambria Math"/>
                                        <w:szCs w:val="22"/>
                                        <w:lang w:val="en-GB"/>
                                      </w:rPr>
                                      <m:t>π</m:t>
                                    </m:r>
                                    <m:r>
                                      <w:rPr>
                                        <w:rFonts w:ascii="Cambria Math" w:hAnsi="Cambria Math"/>
                                        <w:szCs w:val="22"/>
                                        <w:lang w:val="en-GB"/>
                                      </w:rPr>
                                      <m:t>D</m:t>
                                    </m:r>
                                  </m:num>
                                  <m:den>
                                    <m:r>
                                      <m:rPr>
                                        <m:sty m:val="p"/>
                                      </m:rPr>
                                      <w:rPr>
                                        <w:rFonts w:ascii="Cambria Math" w:hAnsi="Cambria Math"/>
                                        <w:szCs w:val="22"/>
                                        <w:lang w:val="en-GB"/>
                                      </w:rPr>
                                      <m:t>λ</m:t>
                                    </m:r>
                                  </m:den>
                                </m:f>
                              </m:e>
                            </m:d>
                          </m:e>
                          <m:sup>
                            <m:r>
                              <w:rPr>
                                <w:rFonts w:ascii="Cambria Math" w:hAnsi="Cambria Math"/>
                                <w:szCs w:val="22"/>
                                <w:lang w:val="en-GB"/>
                              </w:rPr>
                              <m:t>2</m:t>
                            </m:r>
                          </m:sup>
                        </m:sSup>
                      </m:e>
                    </m:d>
                    <m:r>
                      <w:rPr>
                        <w:rFonts w:ascii="Cambria Math" w:hAnsi="Cambria Math"/>
                        <w:szCs w:val="22"/>
                        <w:lang w:val="en-GB"/>
                      </w:rPr>
                      <m:t xml:space="preserve">     (</m:t>
                    </m:r>
                    <m:r>
                      <m:rPr>
                        <m:sty m:val="p"/>
                      </m:rPr>
                      <w:rPr>
                        <w:rFonts w:ascii="Cambria Math" w:hAnsi="Cambria Math"/>
                        <w:szCs w:val="22"/>
                        <w:lang w:val="en-GB"/>
                      </w:rPr>
                      <m:t>dBi</m:t>
                    </m:r>
                    <m:r>
                      <w:rPr>
                        <w:rFonts w:ascii="Cambria Math" w:hAnsi="Cambria Math"/>
                        <w:szCs w:val="22"/>
                        <w:lang w:val="en-GB"/>
                      </w:rPr>
                      <m:t>)</m:t>
                    </m:r>
                  </m:e>
                </m:func>
              </m:oMath>
            </m:oMathPara>
          </w:p>
          <w:p w:rsidR="00B348D9" w:rsidRPr="003049BF" w:rsidRDefault="008A5DDF" w:rsidP="007071DD">
            <w:pPr>
              <w:keepNext/>
              <w:rPr>
                <w:sz w:val="22"/>
                <w:szCs w:val="22"/>
                <w:lang w:val="en-GB"/>
              </w:rPr>
            </w:pPr>
            <m:oMathPara>
              <m:oMath>
                <m:sSub>
                  <m:sSubPr>
                    <m:ctrlPr>
                      <w:rPr>
                        <w:rFonts w:ascii="Cambria Math" w:hAnsi="Cambria Math"/>
                        <w:i/>
                        <w:szCs w:val="22"/>
                        <w:lang w:val="en-GB"/>
                      </w:rPr>
                    </m:ctrlPr>
                  </m:sSubPr>
                  <m:e>
                    <m:r>
                      <m:rPr>
                        <m:sty m:val="p"/>
                      </m:rPr>
                      <w:rPr>
                        <w:rFonts w:ascii="Cambria Math" w:hAnsi="Cambria Math"/>
                        <w:szCs w:val="22"/>
                        <w:lang w:val="en-GB"/>
                      </w:rPr>
                      <m:t>φ</m:t>
                    </m:r>
                  </m:e>
                  <m:sub>
                    <m:r>
                      <w:rPr>
                        <w:rFonts w:ascii="Cambria Math" w:hAnsi="Cambria Math"/>
                        <w:szCs w:val="22"/>
                        <w:lang w:val="en-GB"/>
                      </w:rPr>
                      <m:t>0</m:t>
                    </m:r>
                  </m:sub>
                </m:sSub>
                <m:r>
                  <w:rPr>
                    <w:rFonts w:ascii="Cambria Math" w:hAnsi="Cambria Math"/>
                    <w:szCs w:val="22"/>
                    <w:lang w:val="en-GB"/>
                  </w:rPr>
                  <m:t>=</m:t>
                </m:r>
                <m:f>
                  <m:fPr>
                    <m:ctrlPr>
                      <w:rPr>
                        <w:rFonts w:ascii="Cambria Math" w:hAnsi="Cambria Math"/>
                        <w:i/>
                        <w:szCs w:val="22"/>
                        <w:lang w:val="en-GB"/>
                      </w:rPr>
                    </m:ctrlPr>
                  </m:fPr>
                  <m:num>
                    <m:r>
                      <w:rPr>
                        <w:rFonts w:ascii="Cambria Math" w:hAnsi="Cambria Math"/>
                        <w:szCs w:val="22"/>
                        <w:lang w:val="en-GB"/>
                      </w:rPr>
                      <m:t>20√3</m:t>
                    </m:r>
                  </m:num>
                  <m:den>
                    <m:r>
                      <w:rPr>
                        <w:rFonts w:ascii="Cambria Math" w:hAnsi="Cambria Math"/>
                        <w:szCs w:val="22"/>
                        <w:lang w:val="en-GB"/>
                      </w:rPr>
                      <m:t>D/</m:t>
                    </m:r>
                    <m:r>
                      <m:rPr>
                        <m:sty m:val="p"/>
                      </m:rPr>
                      <w:rPr>
                        <w:rFonts w:ascii="Cambria Math" w:hAnsi="Cambria Math"/>
                        <w:szCs w:val="22"/>
                        <w:lang w:val="en-GB"/>
                      </w:rPr>
                      <m:t>λ</m:t>
                    </m:r>
                  </m:den>
                </m:f>
                <m:r>
                  <w:rPr>
                    <w:rFonts w:ascii="Cambria Math" w:hAnsi="Cambria Math"/>
                    <w:szCs w:val="22"/>
                    <w:lang w:val="en-GB"/>
                  </w:rPr>
                  <m:t xml:space="preserve">      (</m:t>
                </m:r>
                <m:r>
                  <m:rPr>
                    <m:sty m:val="p"/>
                  </m:rPr>
                  <w:rPr>
                    <w:rFonts w:ascii="Cambria Math" w:hAnsi="Cambria Math"/>
                    <w:szCs w:val="22"/>
                    <w:lang w:val="en-GB"/>
                  </w:rPr>
                  <m:t>degrees</m:t>
                </m:r>
                <m:r>
                  <w:rPr>
                    <w:rFonts w:ascii="Cambria Math" w:hAnsi="Cambria Math"/>
                    <w:szCs w:val="22"/>
                    <w:lang w:val="en-GB"/>
                  </w:rPr>
                  <m:t>)</m:t>
                </m:r>
              </m:oMath>
            </m:oMathPara>
          </w:p>
        </w:tc>
      </w:tr>
    </w:tbl>
    <w:p w:rsidR="0085346E" w:rsidRPr="003049BF" w:rsidRDefault="00822836" w:rsidP="00B348D9">
      <w:pPr>
        <w:rPr>
          <w:szCs w:val="24"/>
          <w:lang w:val="en-GB"/>
        </w:rPr>
      </w:pPr>
      <w:r>
        <w:rPr>
          <w:szCs w:val="24"/>
          <w:lang w:val="en-GB"/>
        </w:rPr>
        <w:t>where:</w:t>
      </w:r>
    </w:p>
    <w:p w:rsidR="0085346E" w:rsidRPr="003049BF" w:rsidRDefault="0085346E" w:rsidP="0085346E">
      <w:pPr>
        <w:pStyle w:val="Equationlegend"/>
        <w:rPr>
          <w:lang w:val="en-GB"/>
        </w:rPr>
      </w:pPr>
      <w:r w:rsidRPr="003049BF">
        <w:rPr>
          <w:lang w:val="en-GB"/>
        </w:rPr>
        <w:tab/>
      </w:r>
      <w:r w:rsidR="00B348D9" w:rsidRPr="003049BF">
        <w:rPr>
          <w:lang w:val="en-GB"/>
        </w:rPr>
        <w:t>η</w:t>
      </w:r>
      <w:r w:rsidRPr="003049BF">
        <w:rPr>
          <w:lang w:val="en-GB"/>
        </w:rPr>
        <w:t>:</w:t>
      </w:r>
      <w:r w:rsidRPr="003049BF">
        <w:rPr>
          <w:lang w:val="en-GB"/>
        </w:rPr>
        <w:tab/>
      </w:r>
      <w:r w:rsidR="00B348D9" w:rsidRPr="003049BF">
        <w:rPr>
          <w:lang w:val="en-GB"/>
        </w:rPr>
        <w:t>aperture efficiency of the antenna</w:t>
      </w:r>
    </w:p>
    <w:p w:rsidR="0085346E" w:rsidRPr="003049BF" w:rsidRDefault="0085346E" w:rsidP="0085346E">
      <w:pPr>
        <w:pStyle w:val="Equationlegend"/>
        <w:rPr>
          <w:lang w:val="en-GB"/>
        </w:rPr>
      </w:pPr>
      <w:r w:rsidRPr="003049BF">
        <w:rPr>
          <w:lang w:val="en-GB"/>
        </w:rPr>
        <w:tab/>
      </w:r>
      <w:r w:rsidR="00B348D9" w:rsidRPr="003049BF">
        <w:rPr>
          <w:i/>
          <w:lang w:val="en-GB"/>
        </w:rPr>
        <w:t>D</w:t>
      </w:r>
      <w:r w:rsidRPr="00822836">
        <w:rPr>
          <w:iCs/>
          <w:lang w:val="en-GB"/>
        </w:rPr>
        <w:t>:</w:t>
      </w:r>
      <w:r w:rsidRPr="003049BF">
        <w:rPr>
          <w:lang w:val="en-GB"/>
        </w:rPr>
        <w:tab/>
      </w:r>
      <w:r w:rsidR="00B348D9" w:rsidRPr="003049BF">
        <w:rPr>
          <w:lang w:val="en-GB"/>
        </w:rPr>
        <w:t>antenna diameter (m)</w:t>
      </w:r>
    </w:p>
    <w:p w:rsidR="00B348D9" w:rsidRPr="003049BF" w:rsidRDefault="0085346E" w:rsidP="0085346E">
      <w:pPr>
        <w:pStyle w:val="Equationlegend"/>
        <w:rPr>
          <w:lang w:val="en-GB"/>
        </w:rPr>
      </w:pPr>
      <w:r w:rsidRPr="003049BF">
        <w:rPr>
          <w:lang w:val="en-GB"/>
        </w:rPr>
        <w:tab/>
      </w:r>
      <w:r w:rsidR="00B348D9" w:rsidRPr="003049BF">
        <w:rPr>
          <w:lang w:val="en-GB"/>
        </w:rPr>
        <w:t>λ</w:t>
      </w:r>
      <w:r w:rsidRPr="003049BF">
        <w:rPr>
          <w:lang w:val="en-GB"/>
        </w:rPr>
        <w:t>:</w:t>
      </w:r>
      <w:r w:rsidRPr="003049BF">
        <w:rPr>
          <w:lang w:val="en-GB"/>
        </w:rPr>
        <w:tab/>
      </w:r>
      <w:r w:rsidR="00B348D9" w:rsidRPr="003049BF">
        <w:rPr>
          <w:lang w:val="en-GB"/>
        </w:rPr>
        <w:t>wavelength (m)</w:t>
      </w:r>
      <w:r w:rsidR="00822836">
        <w:rPr>
          <w:lang w:val="en-GB"/>
        </w:rPr>
        <w:t>;</w:t>
      </w:r>
    </w:p>
    <w:p w:rsidR="00B348D9" w:rsidRPr="003049BF" w:rsidRDefault="00B348D9" w:rsidP="00B348D9">
      <w:pPr>
        <w:rPr>
          <w:lang w:val="en-GB"/>
        </w:rPr>
      </w:pPr>
      <w:r w:rsidRPr="003049BF">
        <w:rPr>
          <w:b/>
          <w:lang w:val="en-GB"/>
        </w:rPr>
        <w:t>2</w:t>
      </w:r>
      <w:r w:rsidRPr="003049BF">
        <w:rPr>
          <w:lang w:val="en-GB"/>
        </w:rPr>
        <w:tab/>
        <w:t xml:space="preserve">that administrations be invited to submit measured antenna radiation patterns (see Annex) which may be used, if necessary, to revise the reference antenna radiation patterns of </w:t>
      </w:r>
      <w:r w:rsidRPr="003049BF">
        <w:rPr>
          <w:i/>
          <w:lang w:val="en-GB"/>
        </w:rPr>
        <w:t>recommends </w:t>
      </w:r>
      <w:r w:rsidRPr="00822836">
        <w:rPr>
          <w:b/>
          <w:bCs/>
          <w:iCs/>
          <w:lang w:val="en-GB"/>
        </w:rPr>
        <w:t>1</w:t>
      </w:r>
      <w:r w:rsidRPr="003049BF">
        <w:rPr>
          <w:iCs/>
          <w:lang w:val="en-GB"/>
        </w:rPr>
        <w:t>.</w:t>
      </w:r>
    </w:p>
    <w:p w:rsidR="00B348D9" w:rsidRPr="003049BF" w:rsidRDefault="00B348D9" w:rsidP="00B348D9">
      <w:pPr>
        <w:pStyle w:val="FigureNo"/>
        <w:rPr>
          <w:lang w:val="en-GB"/>
        </w:rPr>
      </w:pPr>
      <w:r w:rsidRPr="003049BF">
        <w:rPr>
          <w:lang w:val="en-GB"/>
        </w:rPr>
        <w:lastRenderedPageBreak/>
        <w:t>FIGURE 1</w:t>
      </w:r>
    </w:p>
    <w:p w:rsidR="00B348D9" w:rsidRPr="003049BF" w:rsidRDefault="00B348D9" w:rsidP="00B348D9">
      <w:pPr>
        <w:pStyle w:val="Figuretitle"/>
        <w:rPr>
          <w:lang w:val="en-GB"/>
        </w:rPr>
      </w:pPr>
      <w:r w:rsidRPr="003049BF">
        <w:rPr>
          <w:lang w:val="en-GB"/>
        </w:rPr>
        <w:t>Reference antenna radiation pattern to be used in the absence of</w:t>
      </w:r>
      <w:r w:rsidRPr="003049BF">
        <w:rPr>
          <w:lang w:val="en-GB"/>
        </w:rPr>
        <w:br/>
        <w:t>measured data (single entry interference)</w:t>
      </w:r>
    </w:p>
    <w:p w:rsidR="00561F85" w:rsidRPr="003049BF" w:rsidRDefault="008A5DDF" w:rsidP="00561F85">
      <w:pPr>
        <w:pStyle w:val="Figure"/>
        <w:rPr>
          <w:lang w:val="en-GB"/>
        </w:rPr>
      </w:pPr>
      <w:r>
        <w:rPr>
          <w:lang w:val="en-GB"/>
        </w:rPr>
        <w:object w:dxaOrig="7423" w:dyaOrig="4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0.5pt;height:221pt" o:ole="">
            <v:imagedata r:id="rId13" o:title=""/>
          </v:shape>
          <o:OLEObject Type="Embed" ProgID="CorelDRAW.Graphic.14" ShapeID="_x0000_i1029" DrawAspect="Content" ObjectID="_1451206558" r:id="rId14"/>
        </w:object>
      </w:r>
    </w:p>
    <w:p w:rsidR="00B348D9" w:rsidRPr="003049BF" w:rsidRDefault="00B348D9" w:rsidP="00B348D9">
      <w:pPr>
        <w:pStyle w:val="FigureNo"/>
        <w:rPr>
          <w:lang w:val="en-GB"/>
        </w:rPr>
      </w:pPr>
      <w:r w:rsidRPr="003049BF">
        <w:rPr>
          <w:lang w:val="en-GB"/>
        </w:rPr>
        <w:t>FIGURE 2</w:t>
      </w:r>
    </w:p>
    <w:p w:rsidR="00B348D9" w:rsidRPr="003049BF" w:rsidRDefault="00B348D9" w:rsidP="00B348D9">
      <w:pPr>
        <w:pStyle w:val="Figuretitle"/>
        <w:rPr>
          <w:lang w:val="en-GB"/>
        </w:rPr>
      </w:pPr>
      <w:r w:rsidRPr="003049BF">
        <w:rPr>
          <w:lang w:val="en-GB"/>
        </w:rPr>
        <w:t>Reference antenna radiation pattern to be used in the absence</w:t>
      </w:r>
      <w:r w:rsidRPr="003049BF">
        <w:rPr>
          <w:lang w:val="en-GB"/>
        </w:rPr>
        <w:br/>
        <w:t>of measured data (multiple entry interference)</w:t>
      </w:r>
    </w:p>
    <w:p w:rsidR="00561F85" w:rsidRPr="003049BF" w:rsidRDefault="008A5DDF" w:rsidP="00561F85">
      <w:pPr>
        <w:pStyle w:val="Figure"/>
        <w:rPr>
          <w:lang w:val="en-GB"/>
        </w:rPr>
      </w:pPr>
      <w:r>
        <w:rPr>
          <w:lang w:val="en-GB"/>
        </w:rPr>
        <w:object w:dxaOrig="7435" w:dyaOrig="4713">
          <v:shape id="_x0000_i1039" type="#_x0000_t75" style="width:354.5pt;height:224pt" o:ole="">
            <v:imagedata r:id="rId15" o:title=""/>
          </v:shape>
          <o:OLEObject Type="Embed" ProgID="CorelDRAW.Graphic.14" ShapeID="_x0000_i1039" DrawAspect="Content" ObjectID="_1451206559" r:id="rId16"/>
        </w:object>
      </w:r>
    </w:p>
    <w:p w:rsidR="00B348D9" w:rsidRPr="003049BF" w:rsidRDefault="00B348D9" w:rsidP="00B348D9">
      <w:pPr>
        <w:jc w:val="center"/>
        <w:rPr>
          <w:szCs w:val="24"/>
          <w:lang w:val="en-GB"/>
        </w:rPr>
      </w:pPr>
    </w:p>
    <w:p w:rsidR="00B348D9" w:rsidRPr="003049BF" w:rsidRDefault="00B348D9" w:rsidP="00B348D9">
      <w:pPr>
        <w:pStyle w:val="AnnexNoTitle"/>
        <w:rPr>
          <w:szCs w:val="24"/>
          <w:lang w:val="en-GB"/>
        </w:rPr>
      </w:pPr>
      <w:r w:rsidRPr="003049BF">
        <w:rPr>
          <w:szCs w:val="24"/>
          <w:lang w:val="en-GB"/>
        </w:rPr>
        <w:br w:type="page"/>
      </w:r>
    </w:p>
    <w:p w:rsidR="00B348D9" w:rsidRPr="003049BF" w:rsidRDefault="00B348D9" w:rsidP="00B348D9">
      <w:pPr>
        <w:pStyle w:val="AnnexNoTitle"/>
        <w:rPr>
          <w:szCs w:val="24"/>
          <w:lang w:val="en-GB"/>
        </w:rPr>
      </w:pPr>
      <w:r w:rsidRPr="003049BF">
        <w:rPr>
          <w:szCs w:val="24"/>
          <w:lang w:val="en-GB"/>
        </w:rPr>
        <w:lastRenderedPageBreak/>
        <w:t xml:space="preserve">Annex </w:t>
      </w:r>
      <w:r w:rsidRPr="003049BF">
        <w:rPr>
          <w:szCs w:val="24"/>
          <w:lang w:val="en-GB"/>
        </w:rPr>
        <w:br/>
      </w:r>
      <w:r w:rsidRPr="003049BF">
        <w:rPr>
          <w:szCs w:val="24"/>
          <w:lang w:val="en-GB"/>
        </w:rPr>
        <w:br/>
        <w:t>Measured radiation patterns of space research</w:t>
      </w:r>
      <w:r w:rsidRPr="003049BF">
        <w:rPr>
          <w:szCs w:val="24"/>
          <w:lang w:val="en-GB"/>
        </w:rPr>
        <w:br/>
        <w:t>earth station and radio astronomy antennas</w:t>
      </w:r>
    </w:p>
    <w:p w:rsidR="00B348D9" w:rsidRPr="003049BF" w:rsidRDefault="00B348D9" w:rsidP="00B348D9">
      <w:pPr>
        <w:pStyle w:val="Heading1"/>
        <w:rPr>
          <w:szCs w:val="24"/>
          <w:lang w:val="en-GB"/>
        </w:rPr>
      </w:pPr>
      <w:r w:rsidRPr="003049BF">
        <w:rPr>
          <w:szCs w:val="24"/>
          <w:lang w:val="en-GB"/>
        </w:rPr>
        <w:t>1</w:t>
      </w:r>
      <w:r w:rsidRPr="003049BF">
        <w:rPr>
          <w:szCs w:val="24"/>
          <w:lang w:val="en-GB"/>
        </w:rPr>
        <w:tab/>
        <w:t>Lovell Mk1A radio astronomy antenna</w:t>
      </w:r>
    </w:p>
    <w:p w:rsidR="00B348D9" w:rsidRPr="003049BF" w:rsidRDefault="00B348D9" w:rsidP="003049BF">
      <w:pPr>
        <w:rPr>
          <w:szCs w:val="24"/>
          <w:lang w:val="en-GB"/>
        </w:rPr>
      </w:pPr>
      <w:r w:rsidRPr="003049BF">
        <w:rPr>
          <w:szCs w:val="24"/>
          <w:lang w:val="en-GB"/>
        </w:rPr>
        <w:t>Figure</w:t>
      </w:r>
      <w:r w:rsidR="00561F85" w:rsidRPr="003049BF">
        <w:rPr>
          <w:szCs w:val="24"/>
          <w:lang w:val="en-GB"/>
        </w:rPr>
        <w:t xml:space="preserve"> </w:t>
      </w:r>
      <w:r w:rsidRPr="003049BF">
        <w:rPr>
          <w:szCs w:val="24"/>
          <w:lang w:val="en-GB"/>
        </w:rPr>
        <w:t>A.1 below shows the measured gain of the Lovell Mk1A radio astronomy antenna at 1 420 MHz.</w:t>
      </w:r>
      <w:r w:rsidR="00561F85" w:rsidRPr="003049BF">
        <w:rPr>
          <w:szCs w:val="24"/>
          <w:lang w:val="en-GB"/>
        </w:rPr>
        <w:t xml:space="preserve"> </w:t>
      </w:r>
      <w:r w:rsidRPr="003049BF">
        <w:rPr>
          <w:szCs w:val="24"/>
          <w:lang w:val="en-GB"/>
        </w:rPr>
        <w:t>This antenna has a single reflector of circular aperture and a diameter of 76.2 m.</w:t>
      </w:r>
      <w:r w:rsidR="00561F85" w:rsidRPr="003049BF">
        <w:rPr>
          <w:szCs w:val="24"/>
          <w:lang w:val="en-GB"/>
        </w:rPr>
        <w:t xml:space="preserve"> </w:t>
      </w:r>
      <w:r w:rsidRPr="003049BF">
        <w:rPr>
          <w:szCs w:val="24"/>
          <w:lang w:val="en-GB"/>
        </w:rPr>
        <w:t>The</w:t>
      </w:r>
      <w:r w:rsidR="0085346E" w:rsidRPr="003049BF">
        <w:rPr>
          <w:szCs w:val="24"/>
          <w:lang w:val="en-GB"/>
        </w:rPr>
        <w:t xml:space="preserve"> </w:t>
      </w:r>
      <w:r w:rsidRPr="003049BF">
        <w:rPr>
          <w:szCs w:val="24"/>
          <w:lang w:val="en-GB"/>
        </w:rPr>
        <w:t>peak in the measured response at around 95</w:t>
      </w:r>
      <w:r w:rsidR="003049BF" w:rsidRPr="003049BF">
        <w:rPr>
          <w:lang w:val="en-GB"/>
        </w:rPr>
        <w:t>°</w:t>
      </w:r>
      <w:r w:rsidRPr="003049BF">
        <w:rPr>
          <w:szCs w:val="24"/>
          <w:lang w:val="en-GB"/>
        </w:rPr>
        <w:t xml:space="preserve"> is due to spillover.</w:t>
      </w:r>
    </w:p>
    <w:p w:rsidR="00B348D9" w:rsidRPr="003049BF" w:rsidRDefault="00B348D9" w:rsidP="00B348D9">
      <w:pPr>
        <w:pStyle w:val="FigureNo"/>
        <w:rPr>
          <w:lang w:val="en-GB"/>
        </w:rPr>
      </w:pPr>
      <w:r w:rsidRPr="003049BF">
        <w:rPr>
          <w:lang w:val="en-GB"/>
        </w:rPr>
        <w:t>FIGURE A.1</w:t>
      </w:r>
    </w:p>
    <w:p w:rsidR="00B348D9" w:rsidRPr="003049BF" w:rsidRDefault="00B348D9" w:rsidP="00B348D9">
      <w:pPr>
        <w:pStyle w:val="Figuretitle"/>
        <w:rPr>
          <w:lang w:val="en-GB"/>
        </w:rPr>
      </w:pPr>
      <w:r w:rsidRPr="003049BF">
        <w:rPr>
          <w:lang w:val="en-GB"/>
        </w:rPr>
        <w:t>Measured side-lobe pattern at 1 420</w:t>
      </w:r>
      <w:bookmarkStart w:id="3" w:name="_GoBack"/>
      <w:bookmarkEnd w:id="3"/>
      <w:r w:rsidRPr="003049BF">
        <w:rPr>
          <w:lang w:val="en-GB"/>
        </w:rPr>
        <w:t xml:space="preserve"> MHz</w:t>
      </w:r>
    </w:p>
    <w:p w:rsidR="0085346E" w:rsidRPr="003049BF" w:rsidRDefault="008A5DDF" w:rsidP="0085346E">
      <w:pPr>
        <w:pStyle w:val="Figure"/>
        <w:rPr>
          <w:lang w:val="en-GB"/>
        </w:rPr>
      </w:pPr>
      <w:r>
        <w:rPr>
          <w:lang w:val="en-GB"/>
        </w:rPr>
        <w:object w:dxaOrig="8321" w:dyaOrig="5482">
          <v:shape id="_x0000_i1047" type="#_x0000_t75" style="width:392.5pt;height:258pt" o:ole="">
            <v:imagedata r:id="rId17" o:title=""/>
          </v:shape>
          <o:OLEObject Type="Embed" ProgID="CorelDRAW.Graphic.14" ShapeID="_x0000_i1047" DrawAspect="Content" ObjectID="_1451206560" r:id="rId18"/>
        </w:object>
      </w:r>
    </w:p>
    <w:p w:rsidR="00B348D9" w:rsidRPr="003049BF" w:rsidRDefault="00B348D9" w:rsidP="00B348D9">
      <w:pPr>
        <w:jc w:val="center"/>
        <w:rPr>
          <w:noProof/>
          <w:lang w:val="en-GB"/>
        </w:rPr>
      </w:pPr>
    </w:p>
    <w:p w:rsidR="00B348D9" w:rsidRPr="003049BF" w:rsidRDefault="00B348D9" w:rsidP="00B348D9">
      <w:pPr>
        <w:rPr>
          <w:lang w:val="en-GB"/>
        </w:rPr>
      </w:pPr>
    </w:p>
    <w:p w:rsidR="00B348D9" w:rsidRPr="003049BF" w:rsidRDefault="00B348D9" w:rsidP="00B348D9">
      <w:pPr>
        <w:pStyle w:val="Line"/>
      </w:pPr>
    </w:p>
    <w:sectPr w:rsidR="00B348D9" w:rsidRPr="003049BF" w:rsidSect="00822836">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D27" w:rsidRDefault="00BE4D27">
      <w:r>
        <w:separator/>
      </w:r>
    </w:p>
  </w:endnote>
  <w:endnote w:type="continuationSeparator" w:id="0">
    <w:p w:rsidR="00BE4D27" w:rsidRDefault="00BE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D27" w:rsidRDefault="00BE4D27">
      <w:r>
        <w:separator/>
      </w:r>
    </w:p>
  </w:footnote>
  <w:footnote w:type="continuationSeparator" w:id="0">
    <w:p w:rsidR="00BE4D27" w:rsidRDefault="00BE4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27" w:rsidRDefault="00BE4D2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27" w:rsidRDefault="00BE4D27" w:rsidP="00B033C8">
    <w:pPr>
      <w:pStyle w:val="Header"/>
      <w:ind w:right="360" w:firstLine="360"/>
    </w:pPr>
    <w:r>
      <w:rPr>
        <w:noProof/>
        <w:lang w:val="en-US" w:eastAsia="zh-CN"/>
      </w:rPr>
      <w:drawing>
        <wp:anchor distT="0" distB="0" distL="114300" distR="114300" simplePos="0" relativeHeight="251659264" behindDoc="1" locked="0" layoutInCell="1" allowOverlap="1" wp14:anchorId="574A0942" wp14:editId="4E52194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27" w:rsidRDefault="00BE4D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5DDF">
      <w:rPr>
        <w:rStyle w:val="PageNumber"/>
        <w:b/>
        <w:bCs/>
        <w:noProof/>
        <w:lang w:val="en-US"/>
      </w:rPr>
      <w:t>ii</w:t>
    </w:r>
    <w:r>
      <w:rPr>
        <w:rStyle w:val="PageNumber"/>
        <w:b/>
        <w:bCs/>
      </w:rPr>
      <w:fldChar w:fldCharType="end"/>
    </w:r>
    <w:r>
      <w:rPr>
        <w:lang w:val="en-US"/>
      </w:rPr>
      <w:tab/>
    </w:r>
    <w:r w:rsidR="008A5DDF">
      <w:fldChar w:fldCharType="begin"/>
    </w:r>
    <w:r w:rsidR="008A5DDF">
      <w:instrText xml:space="preserve"> DOCPROPERTY "Header" \* MERGEFORMAT </w:instrText>
    </w:r>
    <w:r w:rsidR="008A5DDF">
      <w:fldChar w:fldCharType="separate"/>
    </w:r>
    <w:r>
      <w:rPr>
        <w:b/>
        <w:bCs/>
        <w:lang w:val="en-US"/>
      </w:rPr>
      <w:t xml:space="preserve">Rec. </w:t>
    </w:r>
    <w:r w:rsidR="008A5DD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A5DDF">
      <w:rPr>
        <w:b/>
        <w:bCs/>
        <w:noProof/>
      </w:rPr>
      <w:t>ITU-R  SA.509-3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D27" w:rsidRDefault="00BE4D27">
    <w:pPr>
      <w:pStyle w:val="Header"/>
    </w:pPr>
    <w:r>
      <w:tab/>
    </w:r>
    <w:r w:rsidR="008A5DDF">
      <w:fldChar w:fldCharType="begin"/>
    </w:r>
    <w:r w:rsidR="008A5DDF">
      <w:instrText xml:space="preserve"> DOCPROPERTY "Header" \* MERGEFORMAT </w:instrText>
    </w:r>
    <w:r w:rsidR="008A5DDF">
      <w:fldChar w:fldCharType="separate"/>
    </w:r>
    <w:r>
      <w:rPr>
        <w:b/>
        <w:bCs/>
      </w:rPr>
      <w:t xml:space="preserve">Rec. </w:t>
    </w:r>
    <w:r w:rsidR="008A5DD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SA.XXX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5DDF">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E4D27" w:rsidRPr="00BE4D2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5DDF">
      <w:rPr>
        <w:b/>
        <w:bCs/>
        <w:noProof/>
      </w:rPr>
      <w:t>ITU-R  SA.509-3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E4D27" w:rsidRPr="00BE4D2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A5DDF">
      <w:rPr>
        <w:b/>
        <w:bCs/>
        <w:noProof/>
      </w:rPr>
      <w:t>ITU-R  SA.509-3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5DD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D27"/>
    <w:rsid w:val="00217EBF"/>
    <w:rsid w:val="00242AEE"/>
    <w:rsid w:val="002D76C4"/>
    <w:rsid w:val="003049BF"/>
    <w:rsid w:val="0052529D"/>
    <w:rsid w:val="00561F85"/>
    <w:rsid w:val="00607D68"/>
    <w:rsid w:val="00627D3B"/>
    <w:rsid w:val="007071DD"/>
    <w:rsid w:val="00715EA3"/>
    <w:rsid w:val="007468DA"/>
    <w:rsid w:val="00822836"/>
    <w:rsid w:val="0085346E"/>
    <w:rsid w:val="008A5DDF"/>
    <w:rsid w:val="009E00A8"/>
    <w:rsid w:val="00A6617B"/>
    <w:rsid w:val="00AB0DC8"/>
    <w:rsid w:val="00B348D9"/>
    <w:rsid w:val="00B44E24"/>
    <w:rsid w:val="00BE4D27"/>
    <w:rsid w:val="00DF4176"/>
    <w:rsid w:val="00EE74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E4D2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E4D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6</Pages>
  <Words>885</Words>
  <Characters>5906</Characters>
  <Application>Microsoft Office Word</Application>
  <DocSecurity>0</DocSecurity>
  <Lines>190</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7</cp:revision>
  <cp:lastPrinted>2005-02-10T15:54:00Z</cp:lastPrinted>
  <dcterms:created xsi:type="dcterms:W3CDTF">2014-01-14T10:18:00Z</dcterms:created>
  <dcterms:modified xsi:type="dcterms:W3CDTF">2014-01-14T10:53:00Z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