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E41C3" w14:textId="77777777" w:rsidR="00FE79FE" w:rsidRDefault="00FE79FE"/>
    <w:p w14:paraId="77ADAF9A" w14:textId="77777777" w:rsidR="00013002" w:rsidRDefault="00013002" w:rsidP="00DE5556">
      <w:pPr>
        <w:tabs>
          <w:tab w:val="clear" w:pos="794"/>
          <w:tab w:val="clear" w:pos="1191"/>
          <w:tab w:val="clear" w:pos="1588"/>
          <w:tab w:val="clear" w:pos="1985"/>
        </w:tabs>
      </w:pPr>
    </w:p>
    <w:p w14:paraId="5D369803" w14:textId="430B43BD" w:rsidR="00D5024B" w:rsidRPr="00F111D6" w:rsidRDefault="00D5024B" w:rsidP="00D5024B">
      <w:pPr>
        <w:pStyle w:val="CoverNumber"/>
        <w:rPr>
          <w:lang w:val="es-ES"/>
        </w:rPr>
      </w:pPr>
      <w:r w:rsidRPr="00F111D6">
        <w:rPr>
          <w:lang w:val="es-ES"/>
        </w:rPr>
        <w:t>Recom</w:t>
      </w:r>
      <w:r w:rsidR="0069322D" w:rsidRPr="00F111D6">
        <w:rPr>
          <w:lang w:val="es-ES"/>
        </w:rPr>
        <w:t>e</w:t>
      </w:r>
      <w:r w:rsidRPr="00F111D6">
        <w:rPr>
          <w:lang w:val="es-ES"/>
        </w:rPr>
        <w:t>nda</w:t>
      </w:r>
      <w:r w:rsidR="0069322D" w:rsidRPr="00F111D6">
        <w:rPr>
          <w:lang w:val="es-ES"/>
        </w:rPr>
        <w:t>c</w:t>
      </w:r>
      <w:r w:rsidRPr="00F111D6">
        <w:rPr>
          <w:lang w:val="es-ES"/>
        </w:rPr>
        <w:t>i</w:t>
      </w:r>
      <w:r w:rsidR="0069322D" w:rsidRPr="00F111D6">
        <w:rPr>
          <w:lang w:val="es-ES"/>
        </w:rPr>
        <w:t>ó</w:t>
      </w:r>
      <w:r w:rsidRPr="00F111D6">
        <w:rPr>
          <w:lang w:val="es-ES"/>
        </w:rPr>
        <w:t xml:space="preserve">n </w:t>
      </w:r>
      <w:r w:rsidR="007624B1" w:rsidRPr="00F111D6">
        <w:rPr>
          <w:lang w:val="es-ES"/>
        </w:rPr>
        <w:t>U</w:t>
      </w:r>
      <w:r w:rsidRPr="00F111D6">
        <w:rPr>
          <w:lang w:val="es-ES"/>
        </w:rPr>
        <w:t xml:space="preserve">IT-R </w:t>
      </w:r>
      <w:r w:rsidR="009F2D88">
        <w:rPr>
          <w:lang w:val="es-ES"/>
        </w:rPr>
        <w:t>SA</w:t>
      </w:r>
      <w:r w:rsidRPr="00F111D6">
        <w:rPr>
          <w:lang w:val="es-ES"/>
        </w:rPr>
        <w:t>.</w:t>
      </w:r>
      <w:r w:rsidR="00880950">
        <w:rPr>
          <w:lang w:val="es-ES"/>
        </w:rPr>
        <w:t>2141-1</w:t>
      </w:r>
    </w:p>
    <w:p w14:paraId="127288AE" w14:textId="17EB9F09" w:rsidR="00D5024B" w:rsidRPr="00F111D6" w:rsidRDefault="00D5024B" w:rsidP="00D5024B">
      <w:pPr>
        <w:pStyle w:val="CoverDate"/>
        <w:rPr>
          <w:lang w:val="es-ES"/>
        </w:rPr>
      </w:pPr>
      <w:r w:rsidRPr="00F111D6">
        <w:rPr>
          <w:lang w:val="es-ES"/>
        </w:rPr>
        <w:t>(</w:t>
      </w:r>
      <w:r w:rsidR="00880950">
        <w:rPr>
          <w:lang w:val="es-ES"/>
        </w:rPr>
        <w:t>06</w:t>
      </w:r>
      <w:r w:rsidRPr="00F111D6">
        <w:rPr>
          <w:lang w:val="es-ES"/>
        </w:rPr>
        <w:t>/</w:t>
      </w:r>
      <w:r w:rsidR="00880950">
        <w:rPr>
          <w:lang w:val="es-ES"/>
        </w:rPr>
        <w:t>2025</w:t>
      </w:r>
      <w:r w:rsidRPr="00F111D6">
        <w:rPr>
          <w:lang w:val="es-ES"/>
        </w:rPr>
        <w:t>)</w:t>
      </w:r>
    </w:p>
    <w:p w14:paraId="4EF229AA" w14:textId="77777777" w:rsidR="00D5024B" w:rsidRPr="00F111D6" w:rsidRDefault="00A25EE2" w:rsidP="00D5024B">
      <w:pPr>
        <w:pStyle w:val="CoverSeries"/>
        <w:rPr>
          <w:lang w:val="es-ES"/>
        </w:rPr>
      </w:pPr>
      <w:r w:rsidRPr="00F111D6">
        <w:rPr>
          <w:lang w:val="es-ES"/>
        </w:rPr>
        <w:t>S</w:t>
      </w:r>
      <w:r w:rsidR="0069322D" w:rsidRPr="00F111D6">
        <w:rPr>
          <w:lang w:val="es-ES"/>
        </w:rPr>
        <w:t>e</w:t>
      </w:r>
      <w:r w:rsidRPr="00F111D6">
        <w:rPr>
          <w:lang w:val="es-ES"/>
        </w:rPr>
        <w:t xml:space="preserve">rie </w:t>
      </w:r>
      <w:r w:rsidR="008B56B2">
        <w:rPr>
          <w:lang w:val="es-ES"/>
        </w:rPr>
        <w:t>SA</w:t>
      </w:r>
      <w:r w:rsidR="00D5024B" w:rsidRPr="00F111D6">
        <w:rPr>
          <w:lang w:val="es-ES"/>
        </w:rPr>
        <w:t xml:space="preserve">: </w:t>
      </w:r>
      <w:r w:rsidR="008B56B2" w:rsidRPr="008B56B2">
        <w:rPr>
          <w:lang w:val="es-ES"/>
        </w:rPr>
        <w:t>Aplicaciones espaciales y meteorología</w:t>
      </w:r>
    </w:p>
    <w:p w14:paraId="3B355046" w14:textId="4B1BF8B1" w:rsidR="00D5024B" w:rsidRPr="00F111D6" w:rsidRDefault="00880950" w:rsidP="00880950">
      <w:pPr>
        <w:pStyle w:val="CoverTitle"/>
        <w:rPr>
          <w:lang w:val="es-ES"/>
        </w:rPr>
      </w:pPr>
      <w:r w:rsidRPr="00E72602">
        <w:rPr>
          <w:iCs/>
          <w:lang w:val="es-ES_tradnl"/>
        </w:rPr>
        <w:t>Características de los sistemas del servicio de investigación espacial en la gama de frecuencias 14,8-15,35 GHz</w:t>
      </w:r>
    </w:p>
    <w:p w14:paraId="7378A773" w14:textId="77777777" w:rsidR="00A71FE5" w:rsidRPr="00F111D6" w:rsidRDefault="00A71FE5" w:rsidP="005373E0"/>
    <w:p w14:paraId="76BCDEA9" w14:textId="77777777" w:rsidR="00EE47C4" w:rsidRPr="00F111D6" w:rsidRDefault="00EE47C4" w:rsidP="005373E0">
      <w:pPr>
        <w:sectPr w:rsidR="00EE47C4" w:rsidRPr="00F111D6" w:rsidSect="0027411A">
          <w:headerReference w:type="even" r:id="rId8"/>
          <w:headerReference w:type="default" r:id="rId9"/>
          <w:footerReference w:type="default" r:id="rId10"/>
          <w:pgSz w:w="11907" w:h="16840" w:code="9"/>
          <w:pgMar w:top="1089" w:right="1089" w:bottom="284" w:left="1089" w:header="737" w:footer="284" w:gutter="0"/>
          <w:pgNumType w:start="1"/>
          <w:cols w:space="720"/>
          <w:docGrid w:linePitch="326"/>
        </w:sectPr>
      </w:pPr>
    </w:p>
    <w:p w14:paraId="46B6EB36" w14:textId="77777777" w:rsidR="0069322D" w:rsidRPr="006C718C" w:rsidRDefault="0069322D" w:rsidP="0069322D">
      <w:pPr>
        <w:pStyle w:val="Tablehead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left" w:pos="794"/>
          <w:tab w:val="left" w:pos="1191"/>
          <w:tab w:val="left" w:pos="1588"/>
        </w:tabs>
        <w:spacing w:before="0" w:after="0"/>
        <w:rPr>
          <w:bCs/>
          <w:sz w:val="24"/>
          <w:szCs w:val="24"/>
          <w:lang w:val="es-ES_tradnl"/>
        </w:rPr>
      </w:pPr>
      <w:bookmarkStart w:id="0" w:name="c2tope"/>
      <w:bookmarkEnd w:id="0"/>
      <w:r w:rsidRPr="006C718C">
        <w:rPr>
          <w:bCs/>
          <w:sz w:val="24"/>
          <w:szCs w:val="24"/>
          <w:lang w:val="es-ES_tradnl"/>
        </w:rPr>
        <w:lastRenderedPageBreak/>
        <w:t>Prólogo</w:t>
      </w:r>
    </w:p>
    <w:p w14:paraId="726A4D28" w14:textId="77777777" w:rsidR="0069322D" w:rsidRPr="006C718C" w:rsidRDefault="0069322D" w:rsidP="0069322D">
      <w:pPr>
        <w:spacing w:before="180"/>
        <w:rPr>
          <w:sz w:val="20"/>
          <w:lang w:val="es-ES_tradnl"/>
        </w:rPr>
      </w:pPr>
      <w:r w:rsidRPr="006C718C">
        <w:rPr>
          <w:sz w:val="20"/>
          <w:lang w:val="es-ES_tradnl"/>
        </w:rPr>
        <w:t>El Sector de Radiocomunicaciones tiene como cometido garantizar la utilizaci</w:t>
      </w:r>
      <w:r>
        <w:rPr>
          <w:sz w:val="20"/>
          <w:lang w:val="es-ES_tradnl"/>
        </w:rPr>
        <w:t>ón racional, equitativa, eficaz y económica del espectro de frecuencias radioeléctricas por todos los servicios de radiocomunicaciones, incluidos los servicios por satélite, y realizar, sin limitación de gamas de frecuencias, estudios que sirvan de base para la adopción de las Recomendaciones UIT-R.</w:t>
      </w:r>
    </w:p>
    <w:p w14:paraId="731EEFDD" w14:textId="77777777" w:rsidR="0069322D" w:rsidRPr="006C718C" w:rsidRDefault="0069322D" w:rsidP="0069322D">
      <w:pPr>
        <w:rPr>
          <w:sz w:val="20"/>
          <w:lang w:val="es-ES_tradnl"/>
        </w:rPr>
      </w:pPr>
      <w:r w:rsidRPr="006C718C">
        <w:rPr>
          <w:sz w:val="20"/>
          <w:lang w:val="es-ES_tradnl"/>
        </w:rPr>
        <w:t>Las Conferencias Mundiales y Regionales de Radiocomunicaciones y las Asambleas de Radiocomunicaciones, c</w:t>
      </w:r>
      <w:r>
        <w:rPr>
          <w:sz w:val="20"/>
          <w:lang w:val="es-ES_tradnl"/>
        </w:rPr>
        <w:t>on la colaboración de las Comisiones de Estudio, cumplen las funciones reglamentarias y políticas del Sector de Radiocomunicaciones.</w:t>
      </w:r>
    </w:p>
    <w:p w14:paraId="04E4E6B4" w14:textId="77777777" w:rsidR="0069322D" w:rsidRPr="00E72602" w:rsidRDefault="0069322D" w:rsidP="00E72602">
      <w:pPr>
        <w:spacing w:before="340"/>
        <w:jc w:val="center"/>
        <w:rPr>
          <w:b/>
          <w:bCs/>
          <w:szCs w:val="24"/>
          <w:lang w:val="es-ES_tradnl"/>
        </w:rPr>
      </w:pPr>
      <w:r w:rsidRPr="00E72602">
        <w:rPr>
          <w:b/>
          <w:bCs/>
          <w:lang w:val="es-ES_tradnl"/>
        </w:rPr>
        <w:t>Política sobre Derechos de Propiedad Intelectual</w:t>
      </w:r>
      <w:r w:rsidRPr="00E72602">
        <w:rPr>
          <w:b/>
          <w:bCs/>
          <w:szCs w:val="24"/>
          <w:lang w:val="es-ES_tradnl"/>
        </w:rPr>
        <w:t xml:space="preserve"> (IPR)</w:t>
      </w:r>
    </w:p>
    <w:p w14:paraId="5C732CC7" w14:textId="443F7C14" w:rsidR="0069322D" w:rsidRPr="00021E8A" w:rsidRDefault="0069322D" w:rsidP="0069322D">
      <w:pPr>
        <w:spacing w:before="180"/>
        <w:rPr>
          <w:sz w:val="20"/>
          <w:lang w:val="es-ES_tradnl"/>
        </w:rPr>
      </w:pPr>
      <w:r w:rsidRPr="00021E8A">
        <w:rPr>
          <w:sz w:val="20"/>
          <w:lang w:val="es-ES_tradnl"/>
        </w:rPr>
        <w:t>La política del UIT</w:t>
      </w:r>
      <w:r w:rsidRPr="00021E8A">
        <w:rPr>
          <w:sz w:val="20"/>
          <w:lang w:val="es-ES_tradnl"/>
        </w:rPr>
        <w:noBreakHyphen/>
        <w:t>R sobre Derechos de Propiedad Intelectual se describe en la Política Común de Patentes UIT</w:t>
      </w:r>
      <w:r w:rsidRPr="00021E8A">
        <w:rPr>
          <w:sz w:val="20"/>
          <w:lang w:val="es-ES_tradnl"/>
        </w:rPr>
        <w:noBreakHyphen/>
        <w:t>T/UIT</w:t>
      </w:r>
      <w:r w:rsidRPr="00021E8A">
        <w:rPr>
          <w:sz w:val="20"/>
          <w:lang w:val="es-ES_tradnl"/>
        </w:rPr>
        <w:noBreakHyphen/>
        <w:t>R/ISO/CEI a la que se hace referencia en la Resolución UIT</w:t>
      </w:r>
      <w:r w:rsidRPr="00021E8A">
        <w:rPr>
          <w:sz w:val="20"/>
          <w:lang w:val="es-ES_tradnl"/>
        </w:rPr>
        <w:noBreakHyphen/>
        <w:t xml:space="preserve">R 1. Los formularios que deben utilizarse en la declaración sobre patentes y utilización de patentes por los titulares de las mismas figuran en la dirección web </w:t>
      </w:r>
      <w:hyperlink r:id="rId11" w:history="1">
        <w:r w:rsidR="00075DA8" w:rsidRPr="008840E8">
          <w:rPr>
            <w:rStyle w:val="Hyperlink"/>
            <w:sz w:val="20"/>
            <w:lang w:val="es-ES_tradnl"/>
          </w:rPr>
          <w:t>https://www.itu.int/ITU-R/go/patents/es</w:t>
        </w:r>
      </w:hyperlink>
      <w:r w:rsidRPr="00021E8A">
        <w:rPr>
          <w:sz w:val="20"/>
          <w:lang w:val="es-ES_tradnl"/>
        </w:rPr>
        <w:t>, donde también aparecen las Directrices para la implementación de la Política Común de Patentes UIT</w:t>
      </w:r>
      <w:r w:rsidRPr="00021E8A">
        <w:rPr>
          <w:sz w:val="20"/>
          <w:lang w:val="es-ES_tradnl"/>
        </w:rPr>
        <w:noBreakHyphen/>
        <w:t>T/UIT</w:t>
      </w:r>
      <w:r w:rsidRPr="00021E8A">
        <w:rPr>
          <w:sz w:val="20"/>
          <w:lang w:val="es-ES_tradnl"/>
        </w:rPr>
        <w:noBreakHyphen/>
        <w:t>R/ISO/CEI y la base de datos sobre información de patentes del UIT</w:t>
      </w:r>
      <w:r w:rsidRPr="00021E8A">
        <w:rPr>
          <w:sz w:val="20"/>
          <w:lang w:val="es-ES_tradnl"/>
        </w:rPr>
        <w:noBreakHyphen/>
        <w:t>R sobre este asunto.</w:t>
      </w:r>
    </w:p>
    <w:p w14:paraId="4989C0A2" w14:textId="77777777" w:rsidR="0069322D" w:rsidRPr="007C36CA" w:rsidRDefault="0069322D" w:rsidP="0069322D">
      <w:pPr>
        <w:spacing w:before="0"/>
        <w:jc w:val="center"/>
        <w:rPr>
          <w:sz w:val="22"/>
          <w:lang w:val="es-ES_tradnl"/>
        </w:rPr>
      </w:pPr>
    </w:p>
    <w:p w14:paraId="44AFE7BC" w14:textId="77777777" w:rsidR="0069322D" w:rsidRPr="007C36CA" w:rsidRDefault="0069322D" w:rsidP="0069322D">
      <w:pPr>
        <w:spacing w:before="0"/>
        <w:jc w:val="center"/>
        <w:rPr>
          <w:sz w:val="22"/>
          <w:lang w:val="es-ES_tradnl"/>
        </w:rPr>
      </w:pPr>
    </w:p>
    <w:tbl>
      <w:tblPr>
        <w:tblW w:w="5000" w:type="pct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</w:tblBorders>
        <w:tblLook w:val="0020" w:firstRow="1" w:lastRow="0" w:firstColumn="0" w:lastColumn="0" w:noHBand="0" w:noVBand="0"/>
      </w:tblPr>
      <w:tblGrid>
        <w:gridCol w:w="1170"/>
        <w:gridCol w:w="8439"/>
      </w:tblGrid>
      <w:tr w:rsidR="0069322D" w:rsidRPr="009F2D88" w14:paraId="490F5A1E" w14:textId="77777777" w:rsidTr="00075DA8">
        <w:tc>
          <w:tcPr>
            <w:tcW w:w="9360" w:type="dxa"/>
            <w:gridSpan w:val="2"/>
          </w:tcPr>
          <w:p w14:paraId="2B59EBD1" w14:textId="3F9F350F" w:rsidR="0069322D" w:rsidRPr="00021E8A" w:rsidRDefault="0069322D" w:rsidP="000B4BD9">
            <w:pPr>
              <w:pStyle w:val="Chaptitle"/>
              <w:keepLines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140"/>
              <w:textAlignment w:val="auto"/>
              <w:rPr>
                <w:sz w:val="22"/>
                <w:szCs w:val="22"/>
                <w:lang w:val="es-ES_tradnl"/>
              </w:rPr>
            </w:pPr>
            <w:r w:rsidRPr="00021E8A">
              <w:rPr>
                <w:sz w:val="22"/>
                <w:szCs w:val="22"/>
                <w:lang w:val="es-ES_tradnl"/>
              </w:rPr>
              <w:t>Series de las Recomendaciones UIT-R</w:t>
            </w:r>
          </w:p>
          <w:p w14:paraId="33B88692" w14:textId="77777777" w:rsidR="0069322D" w:rsidRPr="00763D08" w:rsidRDefault="0069322D" w:rsidP="000B4BD9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120" w:after="60"/>
              <w:rPr>
                <w:bCs/>
                <w:sz w:val="18"/>
                <w:szCs w:val="18"/>
                <w:lang w:val="es-ES_tradnl"/>
              </w:rPr>
            </w:pPr>
            <w:r w:rsidRPr="00763D08">
              <w:rPr>
                <w:b w:val="0"/>
                <w:sz w:val="18"/>
                <w:szCs w:val="18"/>
                <w:lang w:val="es-ES_tradnl"/>
              </w:rPr>
              <w:t xml:space="preserve">(También disponible en línea en </w:t>
            </w:r>
            <w:hyperlink r:id="rId12" w:history="1">
              <w:r w:rsidR="00B96572">
                <w:rPr>
                  <w:rStyle w:val="Hyperlink"/>
                  <w:b w:val="0"/>
                  <w:bCs/>
                  <w:sz w:val="18"/>
                  <w:szCs w:val="18"/>
                  <w:lang w:val="es-ES_tradnl"/>
                </w:rPr>
                <w:t>https://www.itu.int/publ/R-REC/es</w:t>
              </w:r>
            </w:hyperlink>
            <w:r w:rsidRPr="00763D08">
              <w:rPr>
                <w:b w:val="0"/>
                <w:bCs/>
                <w:sz w:val="18"/>
                <w:szCs w:val="18"/>
                <w:lang w:val="es-ES_tradnl"/>
              </w:rPr>
              <w:t>)</w:t>
            </w:r>
          </w:p>
        </w:tc>
      </w:tr>
      <w:tr w:rsidR="0069322D" w:rsidRPr="00036EE3" w14:paraId="4123580D" w14:textId="77777777" w:rsidTr="00075DA8">
        <w:tc>
          <w:tcPr>
            <w:tcW w:w="1140" w:type="dxa"/>
            <w:tcBorders>
              <w:bottom w:val="nil"/>
            </w:tcBorders>
            <w:vAlign w:val="bottom"/>
          </w:tcPr>
          <w:p w14:paraId="6D010AE3" w14:textId="77777777" w:rsidR="0069322D" w:rsidRPr="00036EE3" w:rsidRDefault="0069322D" w:rsidP="00B96572">
            <w:pPr>
              <w:spacing w:before="180" w:after="10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036EE3">
              <w:rPr>
                <w:b/>
                <w:bCs/>
                <w:sz w:val="20"/>
                <w:lang w:val="en-US"/>
              </w:rPr>
              <w:t>Series</w:t>
            </w:r>
          </w:p>
        </w:tc>
        <w:tc>
          <w:tcPr>
            <w:tcW w:w="8220" w:type="dxa"/>
            <w:tcBorders>
              <w:bottom w:val="nil"/>
            </w:tcBorders>
            <w:vAlign w:val="bottom"/>
          </w:tcPr>
          <w:p w14:paraId="5C0B8612" w14:textId="77777777" w:rsidR="0069322D" w:rsidRPr="00880950" w:rsidRDefault="0069322D" w:rsidP="00880950">
            <w:pPr>
              <w:spacing w:before="180" w:after="100"/>
              <w:ind w:left="57"/>
              <w:jc w:val="center"/>
              <w:rPr>
                <w:b/>
                <w:bCs/>
                <w:sz w:val="20"/>
                <w:lang w:val="en-US"/>
              </w:rPr>
            </w:pPr>
            <w:r w:rsidRPr="00880950">
              <w:rPr>
                <w:b/>
                <w:bCs/>
                <w:sz w:val="20"/>
                <w:lang w:val="en-US"/>
              </w:rPr>
              <w:t>Título</w:t>
            </w:r>
          </w:p>
        </w:tc>
      </w:tr>
      <w:tr w:rsidR="0069322D" w:rsidRPr="004532F7" w14:paraId="657837CA" w14:textId="77777777" w:rsidTr="00075DA8"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14:paraId="03F5B9B3" w14:textId="77777777" w:rsidR="0069322D" w:rsidRPr="004532F7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4532F7">
              <w:rPr>
                <w:b/>
                <w:bCs/>
                <w:sz w:val="20"/>
                <w:lang w:val="en-US"/>
              </w:rPr>
              <w:t>BO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auto"/>
          </w:tcPr>
          <w:p w14:paraId="04E1CCBE" w14:textId="77777777" w:rsidR="0069322D" w:rsidRPr="00880950" w:rsidRDefault="0069322D" w:rsidP="00880950">
            <w:pPr>
              <w:spacing w:before="30" w:after="30"/>
              <w:jc w:val="left"/>
              <w:rPr>
                <w:sz w:val="20"/>
              </w:rPr>
            </w:pPr>
            <w:r w:rsidRPr="004532F7">
              <w:rPr>
                <w:sz w:val="20"/>
              </w:rPr>
              <w:t>Distribución por satélite</w:t>
            </w:r>
          </w:p>
        </w:tc>
      </w:tr>
      <w:tr w:rsidR="0069322D" w:rsidRPr="009F2D88" w14:paraId="2C30C8E2" w14:textId="77777777" w:rsidTr="00075DA8"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14:paraId="50012503" w14:textId="77777777" w:rsidR="0069322D" w:rsidRPr="006B22C3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6B22C3">
              <w:rPr>
                <w:b/>
                <w:bCs/>
                <w:sz w:val="20"/>
                <w:lang w:val="en-US"/>
              </w:rPr>
              <w:t>BR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auto"/>
          </w:tcPr>
          <w:p w14:paraId="56F5BBC1" w14:textId="77777777" w:rsidR="0069322D" w:rsidRPr="00880950" w:rsidRDefault="0069322D" w:rsidP="00880950">
            <w:pPr>
              <w:spacing w:before="30" w:after="30"/>
              <w:jc w:val="left"/>
              <w:rPr>
                <w:sz w:val="20"/>
              </w:rPr>
            </w:pPr>
            <w:r w:rsidRPr="00880950">
              <w:rPr>
                <w:sz w:val="20"/>
              </w:rPr>
              <w:t>Registro para producción, archivo y reproducción; películas en televisión</w:t>
            </w:r>
          </w:p>
        </w:tc>
      </w:tr>
      <w:tr w:rsidR="0069322D" w:rsidRPr="00847DD5" w14:paraId="42E6BA4D" w14:textId="77777777" w:rsidTr="00075DA8"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14:paraId="669763E9" w14:textId="77777777" w:rsidR="0069322D" w:rsidRPr="00847DD5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847DD5">
              <w:rPr>
                <w:b/>
                <w:bCs/>
                <w:sz w:val="20"/>
                <w:lang w:val="en-US"/>
              </w:rPr>
              <w:t>BS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auto"/>
          </w:tcPr>
          <w:p w14:paraId="58E0CB5E" w14:textId="77777777" w:rsidR="0069322D" w:rsidRPr="00880950" w:rsidRDefault="0069322D" w:rsidP="00880950">
            <w:pPr>
              <w:spacing w:before="30" w:after="30"/>
              <w:jc w:val="left"/>
              <w:rPr>
                <w:sz w:val="20"/>
              </w:rPr>
            </w:pPr>
            <w:r w:rsidRPr="00880950">
              <w:rPr>
                <w:sz w:val="20"/>
              </w:rPr>
              <w:t>Servicio de radiodifusión (sonora)</w:t>
            </w:r>
          </w:p>
        </w:tc>
      </w:tr>
      <w:tr w:rsidR="0069322D" w:rsidRPr="00ED2695" w14:paraId="65EE9D28" w14:textId="77777777" w:rsidTr="00075DA8"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14:paraId="2885FE0E" w14:textId="77777777" w:rsidR="0069322D" w:rsidRPr="00ED2695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ED2695">
              <w:rPr>
                <w:b/>
                <w:bCs/>
                <w:sz w:val="20"/>
                <w:lang w:val="en-US"/>
              </w:rPr>
              <w:t>BT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auto"/>
          </w:tcPr>
          <w:p w14:paraId="37703002" w14:textId="77777777" w:rsidR="0069322D" w:rsidRPr="00880950" w:rsidRDefault="0069322D" w:rsidP="00880950">
            <w:pPr>
              <w:spacing w:before="30" w:after="30"/>
              <w:jc w:val="left"/>
              <w:rPr>
                <w:sz w:val="20"/>
              </w:rPr>
            </w:pPr>
            <w:r w:rsidRPr="00880950">
              <w:rPr>
                <w:sz w:val="20"/>
              </w:rPr>
              <w:t>Servicio de radiodifusión (televisión)</w:t>
            </w:r>
          </w:p>
        </w:tc>
      </w:tr>
      <w:tr w:rsidR="008B56B2" w:rsidRPr="008B56B2" w14:paraId="41360647" w14:textId="77777777" w:rsidTr="00075DA8">
        <w:tc>
          <w:tcPr>
            <w:tcW w:w="114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E0FFEF8" w14:textId="77777777" w:rsidR="0069322D" w:rsidRPr="008B56B2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fr-CH"/>
              </w:rPr>
            </w:pPr>
            <w:r w:rsidRPr="008B56B2">
              <w:rPr>
                <w:b/>
                <w:bCs/>
                <w:sz w:val="20"/>
                <w:lang w:val="fr-CH"/>
              </w:rPr>
              <w:t>F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6B5381A" w14:textId="77777777" w:rsidR="0069322D" w:rsidRPr="00880950" w:rsidRDefault="0069322D" w:rsidP="00880950">
            <w:pPr>
              <w:spacing w:before="30" w:after="30"/>
              <w:jc w:val="left"/>
              <w:rPr>
                <w:sz w:val="20"/>
              </w:rPr>
            </w:pPr>
            <w:r w:rsidRPr="008B56B2">
              <w:rPr>
                <w:sz w:val="20"/>
              </w:rPr>
              <w:t>Servicio fijo</w:t>
            </w:r>
          </w:p>
        </w:tc>
      </w:tr>
      <w:tr w:rsidR="0069322D" w:rsidRPr="009F2D88" w14:paraId="0EEC9A00" w14:textId="77777777" w:rsidTr="00075DA8"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14:paraId="509B9A8C" w14:textId="77777777" w:rsidR="0069322D" w:rsidRPr="0010336F" w:rsidRDefault="0069322D" w:rsidP="000B4BD9">
            <w:pPr>
              <w:spacing w:before="30" w:after="30"/>
              <w:ind w:left="57"/>
              <w:jc w:val="left"/>
              <w:rPr>
                <w:rFonts w:hAnsi="Times New Roman Bold"/>
                <w:b/>
                <w:bCs/>
                <w:sz w:val="20"/>
                <w:lang w:val="en-US"/>
              </w:rPr>
            </w:pPr>
            <w:r w:rsidRPr="0010336F">
              <w:rPr>
                <w:rFonts w:hAnsi="Times New Roman Bold"/>
                <w:b/>
                <w:bCs/>
                <w:sz w:val="20"/>
                <w:lang w:val="en-US"/>
              </w:rPr>
              <w:t>M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auto"/>
          </w:tcPr>
          <w:p w14:paraId="7C84D502" w14:textId="77777777" w:rsidR="0069322D" w:rsidRPr="00880950" w:rsidRDefault="0069322D" w:rsidP="00880950">
            <w:pPr>
              <w:spacing w:before="30" w:after="30"/>
              <w:jc w:val="left"/>
              <w:rPr>
                <w:sz w:val="20"/>
              </w:rPr>
            </w:pPr>
            <w:r w:rsidRPr="00880950">
              <w:rPr>
                <w:sz w:val="20"/>
              </w:rPr>
              <w:t>Servicios móviles, de radiodeterminación, de aficionados y otros servicios por satélite conexos</w:t>
            </w:r>
          </w:p>
        </w:tc>
      </w:tr>
      <w:tr w:rsidR="0069322D" w:rsidRPr="009F2D88" w14:paraId="0CD3A535" w14:textId="77777777" w:rsidTr="00075DA8"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14:paraId="25DCB79C" w14:textId="77777777" w:rsidR="0069322D" w:rsidRPr="00F95576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fr-CH"/>
              </w:rPr>
            </w:pPr>
            <w:r w:rsidRPr="00F95576">
              <w:rPr>
                <w:b/>
                <w:bCs/>
                <w:sz w:val="20"/>
                <w:lang w:val="fr-CH"/>
              </w:rPr>
              <w:t>P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auto"/>
          </w:tcPr>
          <w:p w14:paraId="1F7CABB3" w14:textId="77777777" w:rsidR="0069322D" w:rsidRPr="00880950" w:rsidRDefault="0069322D" w:rsidP="000B4BD9">
            <w:pPr>
              <w:spacing w:before="30" w:after="30"/>
              <w:jc w:val="left"/>
              <w:rPr>
                <w:sz w:val="20"/>
              </w:rPr>
            </w:pPr>
            <w:r w:rsidRPr="00880950">
              <w:rPr>
                <w:sz w:val="20"/>
              </w:rPr>
              <w:t>Propagación de las ondas radioeléctricas</w:t>
            </w:r>
          </w:p>
        </w:tc>
      </w:tr>
      <w:tr w:rsidR="0069322D" w:rsidRPr="00DE71F7" w14:paraId="57BDFE4F" w14:textId="77777777" w:rsidTr="00075DA8"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14:paraId="2E75980E" w14:textId="77777777" w:rsidR="0069322D" w:rsidRPr="00DE71F7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DE71F7">
              <w:rPr>
                <w:b/>
                <w:bCs/>
                <w:sz w:val="20"/>
                <w:lang w:val="en-US"/>
              </w:rPr>
              <w:t>RA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auto"/>
          </w:tcPr>
          <w:p w14:paraId="70571498" w14:textId="77777777" w:rsidR="0069322D" w:rsidRPr="00880950" w:rsidRDefault="0069322D" w:rsidP="00880950">
            <w:pPr>
              <w:spacing w:before="30" w:after="30"/>
              <w:jc w:val="left"/>
              <w:rPr>
                <w:sz w:val="20"/>
              </w:rPr>
            </w:pPr>
            <w:r w:rsidRPr="00DE71F7">
              <w:rPr>
                <w:sz w:val="20"/>
              </w:rPr>
              <w:t>Radioastronomía</w:t>
            </w:r>
          </w:p>
        </w:tc>
      </w:tr>
      <w:tr w:rsidR="0069322D" w:rsidRPr="009F2D88" w14:paraId="3EA9013A" w14:textId="77777777" w:rsidTr="00075DA8"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14:paraId="2ED1F68A" w14:textId="77777777" w:rsidR="0069322D" w:rsidRPr="00D12388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D12388">
              <w:rPr>
                <w:b/>
                <w:bCs/>
                <w:sz w:val="20"/>
                <w:lang w:val="en-US"/>
              </w:rPr>
              <w:t>RS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auto"/>
          </w:tcPr>
          <w:p w14:paraId="47EBDDCE" w14:textId="77777777" w:rsidR="0069322D" w:rsidRPr="00880950" w:rsidRDefault="0069322D" w:rsidP="00880950">
            <w:pPr>
              <w:spacing w:before="30" w:after="30"/>
              <w:jc w:val="left"/>
              <w:rPr>
                <w:sz w:val="20"/>
              </w:rPr>
            </w:pPr>
            <w:r w:rsidRPr="00880950">
              <w:rPr>
                <w:sz w:val="20"/>
              </w:rPr>
              <w:t>Sistemas de detección a distancia</w:t>
            </w:r>
          </w:p>
        </w:tc>
      </w:tr>
      <w:tr w:rsidR="0069322D" w:rsidRPr="00025336" w14:paraId="02968AD7" w14:textId="77777777" w:rsidTr="00075DA8"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14:paraId="74A0DC4B" w14:textId="77777777" w:rsidR="0069322D" w:rsidRPr="00025336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025336">
              <w:rPr>
                <w:b/>
                <w:bCs/>
                <w:sz w:val="20"/>
                <w:lang w:val="en-US"/>
              </w:rPr>
              <w:t>S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auto"/>
          </w:tcPr>
          <w:p w14:paraId="5A301B5C" w14:textId="77777777" w:rsidR="0069322D" w:rsidRPr="00880950" w:rsidRDefault="0069322D" w:rsidP="000B4BD9">
            <w:pPr>
              <w:spacing w:before="30" w:after="30"/>
              <w:jc w:val="left"/>
              <w:rPr>
                <w:sz w:val="20"/>
              </w:rPr>
            </w:pPr>
            <w:r w:rsidRPr="00025336">
              <w:rPr>
                <w:sz w:val="20"/>
              </w:rPr>
              <w:t>Servicio fijo por satélite</w:t>
            </w:r>
          </w:p>
        </w:tc>
      </w:tr>
      <w:tr w:rsidR="008B56B2" w:rsidRPr="008B56B2" w14:paraId="7761A86B" w14:textId="77777777" w:rsidTr="00075DA8">
        <w:tc>
          <w:tcPr>
            <w:tcW w:w="1140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4591B97" w14:textId="77777777" w:rsidR="0069322D" w:rsidRPr="008B56B2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color w:val="000080"/>
                <w:sz w:val="20"/>
                <w:lang w:val="en-US"/>
              </w:rPr>
            </w:pPr>
            <w:r w:rsidRPr="008B56B2">
              <w:rPr>
                <w:b/>
                <w:bCs/>
                <w:color w:val="000080"/>
                <w:sz w:val="20"/>
                <w:lang w:val="en-US"/>
              </w:rPr>
              <w:t>SA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984669E" w14:textId="77777777" w:rsidR="0069322D" w:rsidRPr="008B56B2" w:rsidRDefault="0069322D" w:rsidP="000B4BD9">
            <w:pPr>
              <w:spacing w:before="30" w:after="30"/>
              <w:jc w:val="left"/>
              <w:rPr>
                <w:b/>
                <w:bCs/>
                <w:color w:val="000080"/>
                <w:sz w:val="20"/>
                <w:lang w:val="en-US"/>
              </w:rPr>
            </w:pPr>
            <w:r w:rsidRPr="008B56B2">
              <w:rPr>
                <w:b/>
                <w:bCs/>
                <w:color w:val="000080"/>
                <w:sz w:val="20"/>
              </w:rPr>
              <w:t>Aplicaciones espaciales y meteorología</w:t>
            </w:r>
          </w:p>
        </w:tc>
      </w:tr>
      <w:tr w:rsidR="0069322D" w:rsidRPr="009F2D88" w14:paraId="1149C185" w14:textId="77777777" w:rsidTr="00075DA8">
        <w:tc>
          <w:tcPr>
            <w:tcW w:w="1140" w:type="dxa"/>
            <w:tcBorders>
              <w:top w:val="nil"/>
            </w:tcBorders>
          </w:tcPr>
          <w:p w14:paraId="7886F5B9" w14:textId="77777777" w:rsidR="0069322D" w:rsidRPr="00036EE3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036EE3">
              <w:rPr>
                <w:b/>
                <w:bCs/>
                <w:sz w:val="20"/>
                <w:lang w:val="en-US"/>
              </w:rPr>
              <w:t>SF</w:t>
            </w:r>
          </w:p>
        </w:tc>
        <w:tc>
          <w:tcPr>
            <w:tcW w:w="8220" w:type="dxa"/>
            <w:tcBorders>
              <w:top w:val="nil"/>
            </w:tcBorders>
          </w:tcPr>
          <w:p w14:paraId="6C8DA6ED" w14:textId="77777777" w:rsidR="0069322D" w:rsidRPr="00021E8A" w:rsidRDefault="0069322D" w:rsidP="000B4BD9">
            <w:pPr>
              <w:spacing w:before="30" w:after="30"/>
              <w:jc w:val="left"/>
              <w:rPr>
                <w:bCs/>
                <w:sz w:val="20"/>
                <w:lang w:val="es-ES_tradnl"/>
              </w:rPr>
            </w:pPr>
            <w:r w:rsidRPr="00021E8A">
              <w:rPr>
                <w:bCs/>
                <w:sz w:val="20"/>
                <w:lang w:val="es-ES_tradnl"/>
              </w:rPr>
              <w:t>Compartición de frecuencias y coordinación entre los sistemas del servicio fijo por satélite y del servicio fijo</w:t>
            </w:r>
          </w:p>
        </w:tc>
      </w:tr>
      <w:tr w:rsidR="0069322D" w:rsidRPr="00036EE3" w14:paraId="55E1BB93" w14:textId="77777777" w:rsidTr="00075DA8">
        <w:tc>
          <w:tcPr>
            <w:tcW w:w="1140" w:type="dxa"/>
            <w:shd w:val="clear" w:color="auto" w:fill="auto"/>
          </w:tcPr>
          <w:p w14:paraId="5591C2B0" w14:textId="77777777" w:rsidR="0069322D" w:rsidRPr="001240BC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1240BC">
              <w:rPr>
                <w:b/>
                <w:bCs/>
                <w:sz w:val="20"/>
                <w:lang w:val="en-US"/>
              </w:rPr>
              <w:t>SM</w:t>
            </w:r>
          </w:p>
        </w:tc>
        <w:tc>
          <w:tcPr>
            <w:tcW w:w="8220" w:type="dxa"/>
            <w:shd w:val="clear" w:color="auto" w:fill="auto"/>
          </w:tcPr>
          <w:p w14:paraId="53E6BCB1" w14:textId="77777777" w:rsidR="0069322D" w:rsidRPr="001240BC" w:rsidRDefault="0069322D" w:rsidP="000B4BD9">
            <w:pPr>
              <w:spacing w:before="30" w:after="30"/>
              <w:jc w:val="left"/>
              <w:rPr>
                <w:sz w:val="20"/>
                <w:lang w:val="en-US"/>
              </w:rPr>
            </w:pPr>
            <w:r w:rsidRPr="001240BC">
              <w:rPr>
                <w:sz w:val="20"/>
              </w:rPr>
              <w:t>Gestión del espectro</w:t>
            </w:r>
          </w:p>
        </w:tc>
      </w:tr>
      <w:tr w:rsidR="0069322D" w:rsidRPr="00036EE3" w14:paraId="0B264214" w14:textId="77777777" w:rsidTr="00075DA8">
        <w:tc>
          <w:tcPr>
            <w:tcW w:w="1140" w:type="dxa"/>
          </w:tcPr>
          <w:p w14:paraId="4FE5D81C" w14:textId="77777777" w:rsidR="0069322D" w:rsidRPr="00036EE3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036EE3">
              <w:rPr>
                <w:b/>
                <w:bCs/>
                <w:sz w:val="20"/>
                <w:lang w:val="en-US"/>
              </w:rPr>
              <w:t>SNG</w:t>
            </w:r>
          </w:p>
        </w:tc>
        <w:tc>
          <w:tcPr>
            <w:tcW w:w="8220" w:type="dxa"/>
          </w:tcPr>
          <w:p w14:paraId="3FA07E9E" w14:textId="77777777" w:rsidR="0069322D" w:rsidRPr="00021E8A" w:rsidRDefault="0069322D" w:rsidP="000B4BD9">
            <w:pPr>
              <w:spacing w:before="30" w:after="30"/>
              <w:jc w:val="left"/>
              <w:rPr>
                <w:bCs/>
                <w:sz w:val="20"/>
                <w:lang w:val="en-US"/>
              </w:rPr>
            </w:pPr>
            <w:r w:rsidRPr="00021E8A">
              <w:rPr>
                <w:bCs/>
                <w:sz w:val="20"/>
              </w:rPr>
              <w:t>Periodismo electrónico por satélite</w:t>
            </w:r>
          </w:p>
        </w:tc>
      </w:tr>
      <w:tr w:rsidR="0069322D" w:rsidRPr="009F2D88" w14:paraId="1420B795" w14:textId="77777777" w:rsidTr="00075DA8">
        <w:tc>
          <w:tcPr>
            <w:tcW w:w="1140" w:type="dxa"/>
          </w:tcPr>
          <w:p w14:paraId="55C1A21A" w14:textId="77777777" w:rsidR="0069322D" w:rsidRPr="00036EE3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036EE3">
              <w:rPr>
                <w:b/>
                <w:bCs/>
                <w:sz w:val="20"/>
                <w:lang w:val="en-US"/>
              </w:rPr>
              <w:t>TF</w:t>
            </w:r>
          </w:p>
        </w:tc>
        <w:tc>
          <w:tcPr>
            <w:tcW w:w="8220" w:type="dxa"/>
          </w:tcPr>
          <w:p w14:paraId="00749910" w14:textId="77777777" w:rsidR="0069322D" w:rsidRPr="00021E8A" w:rsidRDefault="0069322D" w:rsidP="000B4BD9">
            <w:pPr>
              <w:spacing w:before="30" w:after="30"/>
              <w:jc w:val="left"/>
              <w:rPr>
                <w:bCs/>
                <w:sz w:val="20"/>
                <w:lang w:val="es-ES_tradnl"/>
              </w:rPr>
            </w:pPr>
            <w:r w:rsidRPr="00021E8A">
              <w:rPr>
                <w:bCs/>
                <w:sz w:val="20"/>
                <w:lang w:val="es-ES_tradnl"/>
              </w:rPr>
              <w:t>Emisiones de frecuencias patrón y señales horarias</w:t>
            </w:r>
          </w:p>
        </w:tc>
      </w:tr>
      <w:tr w:rsidR="0069322D" w:rsidRPr="00036EE3" w14:paraId="7CA8885F" w14:textId="77777777" w:rsidTr="00075DA8">
        <w:tc>
          <w:tcPr>
            <w:tcW w:w="1140" w:type="dxa"/>
          </w:tcPr>
          <w:p w14:paraId="462F8E85" w14:textId="77777777" w:rsidR="0069322D" w:rsidRPr="00036EE3" w:rsidRDefault="0069322D" w:rsidP="000B4BD9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en-US"/>
              </w:rPr>
            </w:pPr>
            <w:r w:rsidRPr="00036EE3">
              <w:rPr>
                <w:b/>
                <w:bCs/>
                <w:sz w:val="20"/>
                <w:lang w:val="en-US"/>
              </w:rPr>
              <w:t>V</w:t>
            </w:r>
          </w:p>
        </w:tc>
        <w:tc>
          <w:tcPr>
            <w:tcW w:w="8220" w:type="dxa"/>
          </w:tcPr>
          <w:p w14:paraId="297B5CEC" w14:textId="77777777" w:rsidR="0069322D" w:rsidRPr="00021E8A" w:rsidRDefault="0069322D" w:rsidP="000B4BD9">
            <w:pPr>
              <w:spacing w:before="30" w:after="140"/>
              <w:jc w:val="left"/>
              <w:rPr>
                <w:bCs/>
                <w:sz w:val="20"/>
                <w:lang w:val="en-US"/>
              </w:rPr>
            </w:pPr>
            <w:r w:rsidRPr="00021E8A">
              <w:rPr>
                <w:bCs/>
                <w:sz w:val="20"/>
              </w:rPr>
              <w:t>Vocabulario y cuestiones afines</w:t>
            </w:r>
          </w:p>
        </w:tc>
      </w:tr>
    </w:tbl>
    <w:p w14:paraId="68849F04" w14:textId="77777777" w:rsidR="0069322D" w:rsidRPr="00036EE3" w:rsidRDefault="0069322D" w:rsidP="0069322D">
      <w:pPr>
        <w:spacing w:before="0" w:after="140"/>
        <w:jc w:val="center"/>
        <w:rPr>
          <w:sz w:val="20"/>
          <w:lang w:val="en-US"/>
        </w:rPr>
      </w:pPr>
    </w:p>
    <w:tbl>
      <w:tblPr>
        <w:tblpPr w:leftFromText="180" w:rightFromText="180" w:vertAnchor="text" w:tblpX="-5771" w:tblpY="-4031"/>
        <w:tblW w:w="0" w:type="auto"/>
        <w:tblLook w:val="0000" w:firstRow="0" w:lastRow="0" w:firstColumn="0" w:lastColumn="0" w:noHBand="0" w:noVBand="0"/>
      </w:tblPr>
      <w:tblGrid>
        <w:gridCol w:w="720"/>
      </w:tblGrid>
      <w:tr w:rsidR="0069322D" w14:paraId="0E396BBE" w14:textId="77777777" w:rsidTr="000B4BD9">
        <w:tc>
          <w:tcPr>
            <w:tcW w:w="720" w:type="dxa"/>
          </w:tcPr>
          <w:p w14:paraId="42D55C0E" w14:textId="77777777" w:rsidR="0069322D" w:rsidRDefault="0069322D" w:rsidP="000B4BD9">
            <w:pPr>
              <w:spacing w:before="0"/>
              <w:jc w:val="center"/>
              <w:rPr>
                <w:sz w:val="22"/>
                <w:lang w:val="en-US"/>
              </w:rPr>
            </w:pPr>
          </w:p>
        </w:tc>
      </w:tr>
    </w:tbl>
    <w:tbl>
      <w:tblPr>
        <w:tblStyle w:val="TableGrid"/>
        <w:tblW w:w="5000" w:type="pct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09"/>
      </w:tblGrid>
      <w:tr w:rsidR="0069322D" w:rsidRPr="009F2D88" w14:paraId="78D0C942" w14:textId="77777777" w:rsidTr="00B96572">
        <w:tc>
          <w:tcPr>
            <w:tcW w:w="9360" w:type="dxa"/>
          </w:tcPr>
          <w:p w14:paraId="4BE705A8" w14:textId="77777777" w:rsidR="0069322D" w:rsidRPr="00F111D6" w:rsidRDefault="0069322D" w:rsidP="00B96572">
            <w:pPr>
              <w:spacing w:before="92" w:after="92"/>
              <w:rPr>
                <w:rFonts w:ascii="Times New Roman" w:hAnsi="Times New Roman" w:cs="Times New Roman"/>
                <w:i/>
                <w:iCs/>
                <w:sz w:val="20"/>
                <w:lang w:val="es-ES_tradnl"/>
              </w:rPr>
            </w:pPr>
            <w:r w:rsidRPr="00F111D6">
              <w:rPr>
                <w:rFonts w:ascii="Times New Roman" w:hAnsi="Times New Roman" w:cs="Times New Roman"/>
                <w:b/>
                <w:bCs/>
                <w:i/>
                <w:iCs/>
                <w:sz w:val="20"/>
                <w:lang w:val="es-ES_tradnl"/>
              </w:rPr>
              <w:t>Nota</w:t>
            </w:r>
            <w:r w:rsidRPr="00F111D6">
              <w:rPr>
                <w:rFonts w:ascii="Times New Roman" w:hAnsi="Times New Roman" w:cs="Times New Roman"/>
                <w:i/>
                <w:iCs/>
                <w:sz w:val="20"/>
                <w:lang w:val="es-ES_tradnl"/>
              </w:rPr>
              <w:t>: Esta Recomendación UIT-R fue aprobada en inglés conforme al procedimiento detallado en la Resolución UIT</w:t>
            </w:r>
            <w:r w:rsidR="00B96572" w:rsidRPr="00F111D6">
              <w:rPr>
                <w:rFonts w:ascii="Times New Roman" w:hAnsi="Times New Roman" w:cs="Times New Roman"/>
                <w:i/>
                <w:iCs/>
                <w:sz w:val="20"/>
                <w:lang w:val="es-ES_tradnl"/>
              </w:rPr>
              <w:noBreakHyphen/>
            </w:r>
            <w:r w:rsidRPr="00F111D6">
              <w:rPr>
                <w:rFonts w:ascii="Times New Roman" w:hAnsi="Times New Roman" w:cs="Times New Roman"/>
                <w:i/>
                <w:iCs/>
                <w:sz w:val="20"/>
                <w:lang w:val="es-ES_tradnl"/>
              </w:rPr>
              <w:t>R</w:t>
            </w:r>
            <w:r w:rsidR="00B96572" w:rsidRPr="00F111D6">
              <w:rPr>
                <w:rFonts w:ascii="Times New Roman" w:hAnsi="Times New Roman" w:cs="Times New Roman"/>
                <w:i/>
                <w:iCs/>
                <w:sz w:val="20"/>
                <w:lang w:val="es-ES_tradnl"/>
              </w:rPr>
              <w:t> </w:t>
            </w:r>
            <w:r w:rsidRPr="00F111D6">
              <w:rPr>
                <w:rFonts w:ascii="Times New Roman" w:hAnsi="Times New Roman" w:cs="Times New Roman"/>
                <w:i/>
                <w:iCs/>
                <w:sz w:val="20"/>
                <w:lang w:val="es-ES_tradnl"/>
              </w:rPr>
              <w:t>1.</w:t>
            </w:r>
          </w:p>
        </w:tc>
      </w:tr>
    </w:tbl>
    <w:p w14:paraId="7CC5D0E6" w14:textId="77777777" w:rsidR="0069322D" w:rsidRPr="00763D08" w:rsidRDefault="0069322D" w:rsidP="0069322D">
      <w:pPr>
        <w:spacing w:before="0"/>
        <w:jc w:val="center"/>
        <w:rPr>
          <w:sz w:val="22"/>
          <w:lang w:val="es-ES_tradnl"/>
        </w:rPr>
      </w:pPr>
    </w:p>
    <w:p w14:paraId="4BEC055C" w14:textId="77777777" w:rsidR="0069322D" w:rsidRPr="00763D08" w:rsidRDefault="0069322D" w:rsidP="0069322D">
      <w:pPr>
        <w:spacing w:before="60"/>
        <w:jc w:val="right"/>
        <w:rPr>
          <w:i/>
          <w:iCs/>
          <w:sz w:val="20"/>
          <w:lang w:val="es-ES_tradnl"/>
        </w:rPr>
      </w:pPr>
      <w:r w:rsidRPr="00763D08">
        <w:rPr>
          <w:i/>
          <w:iCs/>
          <w:sz w:val="20"/>
          <w:lang w:val="es-ES_tradnl"/>
        </w:rPr>
        <w:t>Publicación electrónica</w:t>
      </w:r>
    </w:p>
    <w:p w14:paraId="3896735D" w14:textId="7BE6D54E" w:rsidR="0069322D" w:rsidRPr="00763D08" w:rsidRDefault="0069322D" w:rsidP="0069322D">
      <w:pPr>
        <w:spacing w:before="0" w:after="40"/>
        <w:jc w:val="right"/>
        <w:rPr>
          <w:sz w:val="20"/>
          <w:lang w:val="es-ES_tradnl"/>
        </w:rPr>
      </w:pPr>
      <w:r w:rsidRPr="00763D08">
        <w:rPr>
          <w:sz w:val="20"/>
          <w:lang w:val="es-ES_tradnl"/>
        </w:rPr>
        <w:t>Ginebra, 20</w:t>
      </w:r>
      <w:r w:rsidR="00B96572">
        <w:rPr>
          <w:sz w:val="20"/>
          <w:lang w:val="es-ES_tradnl"/>
        </w:rPr>
        <w:t>2</w:t>
      </w:r>
      <w:r w:rsidR="00075DA8">
        <w:rPr>
          <w:sz w:val="20"/>
          <w:lang w:val="es-ES_tradnl"/>
        </w:rPr>
        <w:t>5</w:t>
      </w:r>
    </w:p>
    <w:p w14:paraId="7ED4818F" w14:textId="77777777" w:rsidR="0069322D" w:rsidRPr="00763D08" w:rsidRDefault="0069322D" w:rsidP="0069322D">
      <w:pPr>
        <w:spacing w:before="0" w:after="120"/>
        <w:jc w:val="center"/>
        <w:rPr>
          <w:sz w:val="22"/>
          <w:lang w:val="es-ES_tradnl"/>
        </w:rPr>
      </w:pPr>
    </w:p>
    <w:p w14:paraId="397B55CB" w14:textId="37AF8209" w:rsidR="0069322D" w:rsidRPr="00763D08" w:rsidRDefault="0069322D" w:rsidP="0069322D">
      <w:pPr>
        <w:spacing w:before="0"/>
        <w:jc w:val="center"/>
        <w:rPr>
          <w:sz w:val="20"/>
          <w:lang w:val="es-ES_tradnl"/>
        </w:rPr>
      </w:pPr>
      <w:r w:rsidRPr="00470E28">
        <w:rPr>
          <w:sz w:val="20"/>
          <w:lang w:val="en-US"/>
        </w:rPr>
        <w:sym w:font="Symbol" w:char="F0E3"/>
      </w:r>
      <w:r w:rsidRPr="00763D08">
        <w:rPr>
          <w:sz w:val="20"/>
          <w:lang w:val="es-ES_tradnl"/>
        </w:rPr>
        <w:t xml:space="preserve"> UIT </w:t>
      </w:r>
      <w:bookmarkStart w:id="1" w:name="iiannee"/>
      <w:bookmarkEnd w:id="1"/>
      <w:r w:rsidRPr="00763D08">
        <w:rPr>
          <w:sz w:val="20"/>
          <w:lang w:val="es-ES_tradnl"/>
        </w:rPr>
        <w:t>20</w:t>
      </w:r>
      <w:r w:rsidR="00B96572">
        <w:rPr>
          <w:sz w:val="20"/>
          <w:lang w:val="es-ES_tradnl"/>
        </w:rPr>
        <w:t>2</w:t>
      </w:r>
      <w:r w:rsidR="00075DA8">
        <w:rPr>
          <w:sz w:val="20"/>
          <w:lang w:val="es-ES_tradnl"/>
        </w:rPr>
        <w:t>5</w:t>
      </w:r>
    </w:p>
    <w:p w14:paraId="4B97168D" w14:textId="77777777" w:rsidR="00D5024B" w:rsidRPr="00F111D6" w:rsidRDefault="0069322D" w:rsidP="0069322D">
      <w:pPr>
        <w:rPr>
          <w:sz w:val="18"/>
          <w:szCs w:val="18"/>
        </w:rPr>
      </w:pPr>
      <w:r w:rsidRPr="00763D08">
        <w:rPr>
          <w:sz w:val="18"/>
          <w:szCs w:val="18"/>
          <w:lang w:val="es-ES_tradnl"/>
        </w:rPr>
        <w:t xml:space="preserve">Reservados todos los derechos. </w:t>
      </w:r>
      <w:r w:rsidRPr="006C718C">
        <w:rPr>
          <w:sz w:val="18"/>
          <w:szCs w:val="18"/>
          <w:lang w:val="es-ES_tradnl"/>
        </w:rPr>
        <w:t>Ninguna parte de esta publicación puede reproducirse por ningún procedimiento sin previa autorizaci</w:t>
      </w:r>
      <w:r>
        <w:rPr>
          <w:sz w:val="18"/>
          <w:szCs w:val="18"/>
          <w:lang w:val="es-ES_tradnl"/>
        </w:rPr>
        <w:t>ón escrita por parte de la UIT</w:t>
      </w:r>
      <w:r w:rsidRPr="006C718C">
        <w:rPr>
          <w:sz w:val="18"/>
          <w:szCs w:val="18"/>
          <w:lang w:val="es-ES_tradnl"/>
        </w:rPr>
        <w:t>.</w:t>
      </w:r>
    </w:p>
    <w:p w14:paraId="7E48F5D6" w14:textId="77777777" w:rsidR="007565CC" w:rsidRPr="00F111D6" w:rsidRDefault="007565CC" w:rsidP="00A971A1">
      <w:pPr>
        <w:spacing w:before="160"/>
        <w:rPr>
          <w:i/>
          <w:sz w:val="20"/>
        </w:rPr>
        <w:sectPr w:rsidR="007565CC" w:rsidRPr="00F111D6" w:rsidSect="002058CE">
          <w:headerReference w:type="even" r:id="rId13"/>
          <w:headerReference w:type="default" r:id="rId14"/>
          <w:footerReference w:type="even" r:id="rId15"/>
          <w:pgSz w:w="11907" w:h="16834" w:code="9"/>
          <w:pgMar w:top="1418" w:right="1134" w:bottom="1134" w:left="1134" w:header="720" w:footer="482" w:gutter="0"/>
          <w:paperSrc w:first="15" w:other="15"/>
          <w:pgNumType w:fmt="lowerRoman" w:start="2"/>
          <w:cols w:space="720"/>
        </w:sectPr>
      </w:pPr>
    </w:p>
    <w:p w14:paraId="500C120B" w14:textId="2FA9E487" w:rsidR="00B874C6" w:rsidRPr="00F17CED" w:rsidRDefault="00F17CED" w:rsidP="00A936CB">
      <w:pPr>
        <w:pStyle w:val="RecNo"/>
        <w:spacing w:before="0"/>
      </w:pPr>
      <w:bookmarkStart w:id="2" w:name="irecnoe"/>
      <w:bookmarkEnd w:id="2"/>
      <w:r w:rsidRPr="00F17CED">
        <w:lastRenderedPageBreak/>
        <w:t>RECOMENDACIÓN</w:t>
      </w:r>
      <w:r w:rsidR="00B874C6" w:rsidRPr="00F17CED">
        <w:t xml:space="preserve">  </w:t>
      </w:r>
      <w:r w:rsidR="00A25EE2" w:rsidRPr="00F17CED">
        <w:rPr>
          <w:rStyle w:val="href"/>
        </w:rPr>
        <w:t>UI</w:t>
      </w:r>
      <w:r w:rsidR="00B874C6" w:rsidRPr="00F17CED">
        <w:rPr>
          <w:rStyle w:val="href"/>
        </w:rPr>
        <w:t xml:space="preserve">T-R  </w:t>
      </w:r>
      <w:r w:rsidR="00D5024B" w:rsidRPr="00F17CED">
        <w:rPr>
          <w:rStyle w:val="href"/>
        </w:rPr>
        <w:t>SA</w:t>
      </w:r>
      <w:r w:rsidR="00B874C6" w:rsidRPr="00F17CED">
        <w:rPr>
          <w:rStyle w:val="href"/>
        </w:rPr>
        <w:t>.</w:t>
      </w:r>
      <w:r w:rsidR="00880950">
        <w:rPr>
          <w:rStyle w:val="href"/>
        </w:rPr>
        <w:t>2141-1</w:t>
      </w:r>
    </w:p>
    <w:p w14:paraId="6E4AFA1B" w14:textId="162EE9D5" w:rsidR="00880950" w:rsidRDefault="00880950" w:rsidP="00880950">
      <w:pPr>
        <w:pStyle w:val="Rectitle"/>
        <w:rPr>
          <w:lang w:val="es-ES_tradnl"/>
        </w:rPr>
      </w:pPr>
      <w:r w:rsidRPr="00E72602">
        <w:rPr>
          <w:lang w:val="es-ES_tradnl"/>
        </w:rPr>
        <w:t xml:space="preserve">Características de los sistemas del servicio de investigación espacial </w:t>
      </w:r>
      <w:r w:rsidRPr="00E72602">
        <w:rPr>
          <w:lang w:val="es-ES_tradnl"/>
        </w:rPr>
        <w:br/>
        <w:t>en la gama de frecuencias 14,8-15,35 GHz</w:t>
      </w:r>
    </w:p>
    <w:p w14:paraId="7A1D2136" w14:textId="405DEC9C" w:rsidR="00934ED7" w:rsidRDefault="00880950" w:rsidP="00880950">
      <w:pPr>
        <w:pStyle w:val="Recdate"/>
        <w:rPr>
          <w:lang w:val="es-ES_tradnl"/>
        </w:rPr>
      </w:pPr>
      <w:r w:rsidRPr="00E72602">
        <w:rPr>
          <w:lang w:val="es-ES_tradnl"/>
        </w:rPr>
        <w:t>(2021-2025)</w:t>
      </w:r>
    </w:p>
    <w:p w14:paraId="79AD2102" w14:textId="77777777" w:rsidR="00880950" w:rsidRPr="00E72602" w:rsidRDefault="00880950" w:rsidP="00CF29A9">
      <w:pPr>
        <w:pStyle w:val="HeadingSum"/>
      </w:pPr>
      <w:r w:rsidRPr="00E72602">
        <w:t>Cometido</w:t>
      </w:r>
    </w:p>
    <w:p w14:paraId="01D841C4" w14:textId="77777777" w:rsidR="00880950" w:rsidRPr="00163C22" w:rsidRDefault="00880950" w:rsidP="00CF29A9">
      <w:pPr>
        <w:pStyle w:val="Summary"/>
      </w:pPr>
      <w:r w:rsidRPr="00163C22">
        <w:t>En esta Recomendación se facilitan las características técnicas y operativas del sistema para el servicio de investigación espacial en la banda de 14,8-15,35 GHz. Estas características deben tomarse en consideración en los estudios de compartición y compatibilidad.</w:t>
      </w:r>
    </w:p>
    <w:p w14:paraId="032224E0" w14:textId="4CD93258" w:rsidR="00CF29A9" w:rsidRDefault="00CF29A9" w:rsidP="00CF29A9">
      <w:pPr>
        <w:pStyle w:val="Headingb"/>
      </w:pPr>
      <w:r>
        <w:t>Palabras clave</w:t>
      </w:r>
    </w:p>
    <w:p w14:paraId="662DB66C" w14:textId="7F97F1BF" w:rsidR="00CF29A9" w:rsidRPr="00F46D44" w:rsidRDefault="00CF29A9" w:rsidP="00CF29A9">
      <w:r>
        <w:t>Características de sistemas, servicio de investigación espacial (SIE), espacio-Tierra, Tierra-Espacio, espacio-espacio, enlace de conexión directo, satélites de retransmisión de datos (SRD)</w:t>
      </w:r>
    </w:p>
    <w:p w14:paraId="43C3BC6B" w14:textId="77777777" w:rsidR="00880950" w:rsidRPr="00E72602" w:rsidRDefault="00880950" w:rsidP="00880950">
      <w:pPr>
        <w:pStyle w:val="Headingb"/>
        <w:rPr>
          <w:lang w:val="pt-BR"/>
        </w:rPr>
      </w:pPr>
      <w:r w:rsidRPr="00E72602">
        <w:rPr>
          <w:lang w:val="pt-BR"/>
        </w:rPr>
        <w:t>Recomendaciones e Informes UIT-R conexos</w:t>
      </w:r>
    </w:p>
    <w:p w14:paraId="47202AD0" w14:textId="7B093B0C" w:rsidR="00880950" w:rsidRPr="00E72602" w:rsidRDefault="00880950" w:rsidP="00E72602">
      <w:pPr>
        <w:pStyle w:val="Reftext"/>
        <w:rPr>
          <w:lang w:val="es-ES_tradnl"/>
        </w:rPr>
      </w:pPr>
      <w:r w:rsidRPr="00E72602">
        <w:rPr>
          <w:lang w:val="es-ES_tradnl"/>
        </w:rPr>
        <w:t>Recomendación</w:t>
      </w:r>
      <w:r w:rsidR="00460AB0">
        <w:rPr>
          <w:lang w:val="es-ES_tradnl"/>
        </w:rPr>
        <w:t> </w:t>
      </w:r>
      <w:hyperlink r:id="rId16" w:history="1">
        <w:r w:rsidRPr="00460AB0">
          <w:rPr>
            <w:lang w:val="es-ES_tradnl"/>
          </w:rPr>
          <w:t>UIT</w:t>
        </w:r>
        <w:r w:rsidR="008D4BB2" w:rsidRPr="00460AB0">
          <w:noBreakHyphen/>
        </w:r>
        <w:r w:rsidRPr="00460AB0">
          <w:rPr>
            <w:lang w:val="es-ES_tradnl"/>
          </w:rPr>
          <w:t>R</w:t>
        </w:r>
        <w:r w:rsidR="008D4BB2" w:rsidRPr="00460AB0">
          <w:t> </w:t>
        </w:r>
        <w:r w:rsidRPr="00460AB0">
          <w:rPr>
            <w:lang w:val="es-ES_tradnl"/>
          </w:rPr>
          <w:t>SA.364</w:t>
        </w:r>
      </w:hyperlink>
      <w:r w:rsidRPr="00E72602">
        <w:rPr>
          <w:lang w:val="es-ES_tradnl"/>
        </w:rPr>
        <w:t> – </w:t>
      </w:r>
      <w:r w:rsidRPr="00CF29A9">
        <w:rPr>
          <w:lang w:val="es-ES_tradnl"/>
        </w:rPr>
        <w:t>Frecuencias y anchos de banda preferidos para los satélites tripulados y no tripulados cercanos a la Tierra del servicio de investigación espacial</w:t>
      </w:r>
    </w:p>
    <w:p w14:paraId="38175484" w14:textId="14617F4D" w:rsidR="00880950" w:rsidRPr="00E72602" w:rsidRDefault="00880950" w:rsidP="00E72602">
      <w:pPr>
        <w:pStyle w:val="Reftext"/>
        <w:rPr>
          <w:lang w:val="es-ES_tradnl"/>
        </w:rPr>
      </w:pPr>
      <w:r w:rsidRPr="00E72602">
        <w:rPr>
          <w:lang w:val="es-ES_tradnl"/>
        </w:rPr>
        <w:t>Recomendación</w:t>
      </w:r>
      <w:r w:rsidR="00460AB0">
        <w:rPr>
          <w:lang w:val="es-ES_tradnl"/>
        </w:rPr>
        <w:t> </w:t>
      </w:r>
      <w:hyperlink r:id="rId17" w:history="1">
        <w:r w:rsidRPr="00460AB0">
          <w:rPr>
            <w:lang w:val="es-ES_tradnl"/>
          </w:rPr>
          <w:t>UIT</w:t>
        </w:r>
        <w:r w:rsidR="008D4BB2" w:rsidRPr="00460AB0">
          <w:rPr>
            <w:lang w:val="es-ES_tradnl"/>
          </w:rPr>
          <w:noBreakHyphen/>
        </w:r>
        <w:r w:rsidRPr="00460AB0">
          <w:rPr>
            <w:lang w:val="es-ES_tradnl"/>
          </w:rPr>
          <w:t>R</w:t>
        </w:r>
        <w:r w:rsidR="008D4BB2" w:rsidRPr="00460AB0">
          <w:rPr>
            <w:lang w:val="es-ES_tradnl"/>
          </w:rPr>
          <w:t> </w:t>
        </w:r>
        <w:r w:rsidRPr="00460AB0">
          <w:rPr>
            <w:lang w:val="es-ES_tradnl"/>
          </w:rPr>
          <w:t>SA.510</w:t>
        </w:r>
      </w:hyperlink>
      <w:r w:rsidRPr="00E72602">
        <w:rPr>
          <w:lang w:val="es-ES_tradnl"/>
        </w:rPr>
        <w:t> – </w:t>
      </w:r>
      <w:r w:rsidR="008D4BB2" w:rsidRPr="00CF29A9">
        <w:rPr>
          <w:lang w:val="es-ES_tradnl"/>
        </w:rPr>
        <w:t>Posibilidad de</w:t>
      </w:r>
      <w:r w:rsidRPr="00CF29A9">
        <w:rPr>
          <w:lang w:val="es-ES_tradnl"/>
        </w:rPr>
        <w:t xml:space="preserve"> compartición de frecuencias entre el servicio de investigación espacial y otros servicios en las bandas cercanas a 14 y 15 GHz – Interferencia potencial procedente de los sistemas de satélites de retransmisión de datos</w:t>
      </w:r>
    </w:p>
    <w:p w14:paraId="72121574" w14:textId="5BF7E657" w:rsidR="00880950" w:rsidRPr="00E72602" w:rsidRDefault="00880950" w:rsidP="00E72602">
      <w:pPr>
        <w:pStyle w:val="Reftext"/>
        <w:rPr>
          <w:lang w:val="es-ES_tradnl"/>
        </w:rPr>
      </w:pPr>
      <w:r w:rsidRPr="00E72602">
        <w:rPr>
          <w:lang w:val="es-ES_tradnl"/>
        </w:rPr>
        <w:t>Recomendación</w:t>
      </w:r>
      <w:r w:rsidR="00460AB0">
        <w:rPr>
          <w:lang w:val="es-ES_tradnl"/>
        </w:rPr>
        <w:t> </w:t>
      </w:r>
      <w:hyperlink r:id="rId18" w:history="1">
        <w:r w:rsidRPr="00460AB0">
          <w:rPr>
            <w:lang w:val="es-ES_tradnl"/>
          </w:rPr>
          <w:t>UIT</w:t>
        </w:r>
        <w:r w:rsidR="008D4BB2" w:rsidRPr="00460AB0">
          <w:noBreakHyphen/>
        </w:r>
        <w:r w:rsidRPr="00460AB0">
          <w:rPr>
            <w:lang w:val="es-ES_tradnl"/>
          </w:rPr>
          <w:t>R</w:t>
        </w:r>
        <w:r w:rsidR="008D4BB2" w:rsidRPr="00460AB0">
          <w:t> </w:t>
        </w:r>
        <w:r w:rsidRPr="00460AB0">
          <w:rPr>
            <w:lang w:val="es-ES_tradnl"/>
          </w:rPr>
          <w:t>SA.609</w:t>
        </w:r>
      </w:hyperlink>
      <w:r w:rsidR="008D4BB2">
        <w:rPr>
          <w:lang w:val="es-ES_tradnl"/>
        </w:rPr>
        <w:t> </w:t>
      </w:r>
      <w:r w:rsidRPr="00E72602">
        <w:rPr>
          <w:lang w:val="es-ES_tradnl"/>
        </w:rPr>
        <w:t>–</w:t>
      </w:r>
      <w:r w:rsidR="008D4BB2">
        <w:rPr>
          <w:lang w:val="es-ES_tradnl"/>
        </w:rPr>
        <w:t> </w:t>
      </w:r>
      <w:r w:rsidRPr="00CF29A9">
        <w:rPr>
          <w:lang w:val="es-ES_tradnl"/>
        </w:rPr>
        <w:t>Criterios de protección para los enlaces de radiocomunicación con satélites de investigación espacial, tripulados o no tripulados, próximos a la Tierra</w:t>
      </w:r>
    </w:p>
    <w:p w14:paraId="3ACE0A9D" w14:textId="7F8A02D6" w:rsidR="00880950" w:rsidRPr="00E72602" w:rsidRDefault="00880950" w:rsidP="00E72602">
      <w:pPr>
        <w:pStyle w:val="Reftext"/>
        <w:rPr>
          <w:lang w:val="es-ES_tradnl"/>
        </w:rPr>
      </w:pPr>
      <w:r w:rsidRPr="00E72602">
        <w:rPr>
          <w:lang w:val="es-ES_tradnl"/>
        </w:rPr>
        <w:t>Recomendación</w:t>
      </w:r>
      <w:r w:rsidR="00460AB0">
        <w:rPr>
          <w:lang w:val="es-ES_tradnl"/>
        </w:rPr>
        <w:t> </w:t>
      </w:r>
      <w:hyperlink r:id="rId19" w:history="1">
        <w:r w:rsidRPr="00460AB0">
          <w:rPr>
            <w:lang w:val="es-ES_tradnl"/>
          </w:rPr>
          <w:t>UIT</w:t>
        </w:r>
        <w:r w:rsidR="008D4BB2" w:rsidRPr="00460AB0">
          <w:noBreakHyphen/>
        </w:r>
        <w:r w:rsidRPr="00460AB0">
          <w:rPr>
            <w:lang w:val="es-ES_tradnl"/>
          </w:rPr>
          <w:t>R</w:t>
        </w:r>
        <w:r w:rsidR="008D4BB2" w:rsidRPr="00460AB0">
          <w:t> </w:t>
        </w:r>
        <w:r w:rsidRPr="00460AB0">
          <w:rPr>
            <w:lang w:val="es-ES_tradnl"/>
          </w:rPr>
          <w:t>SA.1018</w:t>
        </w:r>
      </w:hyperlink>
      <w:r w:rsidR="008D4BB2">
        <w:rPr>
          <w:lang w:val="es-ES_tradnl"/>
        </w:rPr>
        <w:t> </w:t>
      </w:r>
      <w:r w:rsidRPr="00E72602">
        <w:rPr>
          <w:lang w:val="es-ES_tradnl"/>
        </w:rPr>
        <w:t>–</w:t>
      </w:r>
      <w:r w:rsidR="008D4BB2">
        <w:rPr>
          <w:lang w:val="es-ES_tradnl"/>
        </w:rPr>
        <w:t> </w:t>
      </w:r>
      <w:r w:rsidRPr="00CF29A9">
        <w:rPr>
          <w:lang w:val="es-ES_tradnl"/>
        </w:rPr>
        <w:t>Sistema ficticio de referencia para los sistemas</w:t>
      </w:r>
      <w:r w:rsidR="008D4BB2" w:rsidRPr="00CF29A9">
        <w:rPr>
          <w:lang w:val="es-ES_tradnl"/>
        </w:rPr>
        <w:t>/redes</w:t>
      </w:r>
      <w:r w:rsidRPr="00CF29A9">
        <w:rPr>
          <w:lang w:val="es-ES_tradnl"/>
        </w:rPr>
        <w:t xml:space="preserve"> que comprenden satélites de retransmisión de datos en la órbita geoestacionaria y su vehículo espacial de usuario en órbitas bajas</w:t>
      </w:r>
    </w:p>
    <w:p w14:paraId="0D79EC19" w14:textId="168C85FB" w:rsidR="00880950" w:rsidRPr="00E72602" w:rsidRDefault="00880950" w:rsidP="00E72602">
      <w:pPr>
        <w:pStyle w:val="Reftext"/>
        <w:rPr>
          <w:lang w:val="es-ES_tradnl"/>
        </w:rPr>
      </w:pPr>
      <w:r w:rsidRPr="00E72602">
        <w:rPr>
          <w:lang w:val="es-ES_tradnl"/>
        </w:rPr>
        <w:t>Recomendación</w:t>
      </w:r>
      <w:r w:rsidR="00460AB0">
        <w:rPr>
          <w:lang w:val="es-ES_tradnl"/>
        </w:rPr>
        <w:t> </w:t>
      </w:r>
      <w:hyperlink r:id="rId20" w:history="1">
        <w:r w:rsidRPr="00460AB0">
          <w:rPr>
            <w:lang w:val="es-ES_tradnl"/>
          </w:rPr>
          <w:t>UIT</w:t>
        </w:r>
        <w:r w:rsidR="008D4BB2" w:rsidRPr="00460AB0">
          <w:rPr>
            <w:lang w:val="es-ES_tradnl"/>
          </w:rPr>
          <w:noBreakHyphen/>
        </w:r>
        <w:r w:rsidRPr="00460AB0">
          <w:rPr>
            <w:lang w:val="es-ES_tradnl"/>
          </w:rPr>
          <w:t>R</w:t>
        </w:r>
        <w:r w:rsidR="008D4BB2" w:rsidRPr="00460AB0">
          <w:rPr>
            <w:lang w:val="es-ES_tradnl"/>
          </w:rPr>
          <w:t> </w:t>
        </w:r>
        <w:r w:rsidRPr="00460AB0">
          <w:rPr>
            <w:lang w:val="es-ES_tradnl"/>
          </w:rPr>
          <w:t>SA.1019</w:t>
        </w:r>
      </w:hyperlink>
      <w:r w:rsidR="008D4BB2">
        <w:rPr>
          <w:lang w:val="es-ES_tradnl"/>
        </w:rPr>
        <w:t> </w:t>
      </w:r>
      <w:r w:rsidRPr="00E72602">
        <w:rPr>
          <w:lang w:val="es-ES_tradnl"/>
        </w:rPr>
        <w:t>–</w:t>
      </w:r>
      <w:r w:rsidR="008D4BB2">
        <w:rPr>
          <w:lang w:val="es-ES_tradnl"/>
        </w:rPr>
        <w:t> </w:t>
      </w:r>
      <w:r w:rsidRPr="00CF29A9">
        <w:rPr>
          <w:lang w:val="es-ES_tradnl"/>
        </w:rPr>
        <w:t>Bandas de frecuencias y sentidos de transmisión para redes y sistemas de satélites de retransmisión de datos</w:t>
      </w:r>
    </w:p>
    <w:p w14:paraId="1963445D" w14:textId="599DE05C" w:rsidR="00880950" w:rsidRPr="00E72602" w:rsidRDefault="00880950" w:rsidP="00E72602">
      <w:pPr>
        <w:pStyle w:val="Reftext"/>
        <w:rPr>
          <w:lang w:val="es-ES_tradnl"/>
        </w:rPr>
      </w:pPr>
      <w:r w:rsidRPr="00E72602">
        <w:rPr>
          <w:lang w:val="es-ES_tradnl"/>
        </w:rPr>
        <w:t>Recomendación</w:t>
      </w:r>
      <w:r w:rsidR="00460AB0">
        <w:rPr>
          <w:lang w:val="es-ES_tradnl"/>
        </w:rPr>
        <w:t> </w:t>
      </w:r>
      <w:hyperlink r:id="rId21" w:history="1">
        <w:r w:rsidRPr="00460AB0">
          <w:rPr>
            <w:lang w:val="es-ES_tradnl"/>
          </w:rPr>
          <w:t>UIT</w:t>
        </w:r>
        <w:r w:rsidR="008D4BB2" w:rsidRPr="00460AB0">
          <w:rPr>
            <w:lang w:val="es-ES_tradnl"/>
          </w:rPr>
          <w:noBreakHyphen/>
        </w:r>
        <w:r w:rsidRPr="00460AB0">
          <w:rPr>
            <w:lang w:val="es-ES_tradnl"/>
          </w:rPr>
          <w:t>R</w:t>
        </w:r>
        <w:r w:rsidR="008D4BB2" w:rsidRPr="00460AB0">
          <w:rPr>
            <w:lang w:val="es-ES_tradnl"/>
          </w:rPr>
          <w:t> </w:t>
        </w:r>
        <w:r w:rsidRPr="00460AB0">
          <w:rPr>
            <w:lang w:val="es-ES_tradnl"/>
          </w:rPr>
          <w:t>SA.1155</w:t>
        </w:r>
      </w:hyperlink>
      <w:r w:rsidR="008D4BB2">
        <w:rPr>
          <w:lang w:val="es-ES_tradnl"/>
        </w:rPr>
        <w:t> </w:t>
      </w:r>
      <w:r w:rsidRPr="00E72602">
        <w:rPr>
          <w:lang w:val="es-ES_tradnl"/>
        </w:rPr>
        <w:t>–</w:t>
      </w:r>
      <w:r w:rsidR="008D4BB2">
        <w:rPr>
          <w:lang w:val="es-ES_tradnl"/>
        </w:rPr>
        <w:t> </w:t>
      </w:r>
      <w:r w:rsidRPr="00CF29A9">
        <w:rPr>
          <w:lang w:val="es-ES_tradnl"/>
        </w:rPr>
        <w:t>Criterios de protección relativos a la explotación de los sistemas de satélites de retransmisión de datos</w:t>
      </w:r>
    </w:p>
    <w:p w14:paraId="10426FFE" w14:textId="034947C5" w:rsidR="00880950" w:rsidRPr="00E72602" w:rsidRDefault="00880950" w:rsidP="00E72602">
      <w:pPr>
        <w:pStyle w:val="Reftext"/>
        <w:rPr>
          <w:lang w:val="es-ES_tradnl"/>
        </w:rPr>
      </w:pPr>
      <w:r w:rsidRPr="00E72602">
        <w:rPr>
          <w:lang w:val="es-ES_tradnl"/>
        </w:rPr>
        <w:t>Recomendación</w:t>
      </w:r>
      <w:r w:rsidR="00460AB0">
        <w:rPr>
          <w:lang w:val="es-ES_tradnl"/>
        </w:rPr>
        <w:t> </w:t>
      </w:r>
      <w:hyperlink r:id="rId22" w:history="1">
        <w:r w:rsidRPr="00460AB0">
          <w:rPr>
            <w:lang w:val="es-ES_tradnl"/>
          </w:rPr>
          <w:t>UIT</w:t>
        </w:r>
        <w:r w:rsidR="008D4BB2" w:rsidRPr="00460AB0">
          <w:noBreakHyphen/>
        </w:r>
        <w:r w:rsidRPr="00460AB0">
          <w:rPr>
            <w:lang w:val="es-ES_tradnl"/>
          </w:rPr>
          <w:t>R</w:t>
        </w:r>
        <w:r w:rsidR="008D4BB2" w:rsidRPr="00460AB0">
          <w:t> </w:t>
        </w:r>
        <w:r w:rsidRPr="00460AB0">
          <w:rPr>
            <w:lang w:val="es-ES_tradnl"/>
          </w:rPr>
          <w:t>SA.1414</w:t>
        </w:r>
      </w:hyperlink>
      <w:r w:rsidR="008D4BB2">
        <w:rPr>
          <w:lang w:val="es-ES_tradnl"/>
        </w:rPr>
        <w:t> </w:t>
      </w:r>
      <w:r w:rsidRPr="00E72602">
        <w:rPr>
          <w:lang w:val="es-ES_tradnl"/>
        </w:rPr>
        <w:t>–</w:t>
      </w:r>
      <w:r w:rsidR="008D4BB2">
        <w:rPr>
          <w:lang w:val="es-ES_tradnl"/>
        </w:rPr>
        <w:t> </w:t>
      </w:r>
      <w:r w:rsidRPr="00CF29A9">
        <w:rPr>
          <w:lang w:val="es-ES_tradnl"/>
        </w:rPr>
        <w:t>Características de los sistemas de satélites de retransmisión de datos</w:t>
      </w:r>
    </w:p>
    <w:p w14:paraId="5FCF0C55" w14:textId="3B13149E" w:rsidR="00880950" w:rsidRPr="00E72602" w:rsidRDefault="00880950" w:rsidP="00E72602">
      <w:pPr>
        <w:pStyle w:val="Reftext"/>
        <w:rPr>
          <w:lang w:val="es-ES_tradnl"/>
        </w:rPr>
      </w:pPr>
      <w:r w:rsidRPr="00E72602">
        <w:rPr>
          <w:lang w:val="es-ES_tradnl"/>
        </w:rPr>
        <w:t>Recomendación</w:t>
      </w:r>
      <w:r w:rsidR="00460AB0">
        <w:rPr>
          <w:lang w:val="es-ES_tradnl"/>
        </w:rPr>
        <w:t> </w:t>
      </w:r>
      <w:hyperlink r:id="rId23" w:history="1">
        <w:r w:rsidRPr="00460AB0">
          <w:rPr>
            <w:lang w:val="es-ES_tradnl"/>
          </w:rPr>
          <w:t>UIT</w:t>
        </w:r>
        <w:r w:rsidR="008D4BB2" w:rsidRPr="00460AB0">
          <w:noBreakHyphen/>
        </w:r>
        <w:r w:rsidRPr="00460AB0">
          <w:rPr>
            <w:lang w:val="es-ES_tradnl"/>
          </w:rPr>
          <w:t>R</w:t>
        </w:r>
        <w:r w:rsidR="008D4BB2" w:rsidRPr="00460AB0">
          <w:t> </w:t>
        </w:r>
        <w:r w:rsidRPr="00460AB0">
          <w:rPr>
            <w:lang w:val="es-ES_tradnl"/>
          </w:rPr>
          <w:t>SA.1626</w:t>
        </w:r>
      </w:hyperlink>
      <w:r w:rsidR="008D4BB2">
        <w:rPr>
          <w:lang w:val="es-ES_tradnl"/>
        </w:rPr>
        <w:t> </w:t>
      </w:r>
      <w:r w:rsidRPr="00E72602">
        <w:rPr>
          <w:lang w:val="es-ES_tradnl"/>
        </w:rPr>
        <w:t>–</w:t>
      </w:r>
      <w:r w:rsidR="008D4BB2">
        <w:rPr>
          <w:lang w:val="es-ES_tradnl"/>
        </w:rPr>
        <w:t> </w:t>
      </w:r>
      <w:r w:rsidRPr="00CF29A9">
        <w:rPr>
          <w:lang w:val="es-ES_tradnl"/>
        </w:rPr>
        <w:t>Viabilidad de la compartición entre el servicio de investigación espacial (espacio</w:t>
      </w:r>
      <w:r w:rsidR="008D4BB2" w:rsidRPr="00CF29A9">
        <w:rPr>
          <w:lang w:val="es-ES_tradnl"/>
        </w:rPr>
        <w:noBreakHyphen/>
      </w:r>
      <w:r w:rsidRPr="00CF29A9">
        <w:rPr>
          <w:lang w:val="es-ES_tradnl"/>
        </w:rPr>
        <w:t>Tierra) y los servicios fijo y móvil en la banda 14,8</w:t>
      </w:r>
      <w:r w:rsidR="008D4BB2" w:rsidRPr="00CF29A9">
        <w:rPr>
          <w:lang w:val="es-ES_tradnl"/>
        </w:rPr>
        <w:noBreakHyphen/>
      </w:r>
      <w:r w:rsidRPr="00CF29A9">
        <w:rPr>
          <w:lang w:val="es-ES_tradnl"/>
        </w:rPr>
        <w:t>15,35 GHz</w:t>
      </w:r>
    </w:p>
    <w:p w14:paraId="10DB93FD" w14:textId="77777777" w:rsidR="00880950" w:rsidRPr="00E72602" w:rsidRDefault="00880950" w:rsidP="00E72602">
      <w:pPr>
        <w:pStyle w:val="Normalaftertitle"/>
        <w:rPr>
          <w:lang w:val="es-ES_tradnl"/>
        </w:rPr>
      </w:pPr>
      <w:r w:rsidRPr="00E72602">
        <w:rPr>
          <w:lang w:val="es-ES_tradnl"/>
        </w:rPr>
        <w:t>La Asamblea de Radiocomunicaciones de la UIT,</w:t>
      </w:r>
    </w:p>
    <w:p w14:paraId="52C917A4" w14:textId="77777777" w:rsidR="00880950" w:rsidRPr="00E72602" w:rsidRDefault="00880950" w:rsidP="00E72602">
      <w:pPr>
        <w:pStyle w:val="Call"/>
        <w:rPr>
          <w:lang w:val="es-ES_tradnl"/>
        </w:rPr>
      </w:pPr>
      <w:r w:rsidRPr="00E72602">
        <w:rPr>
          <w:lang w:val="es-ES_tradnl"/>
        </w:rPr>
        <w:t>considerando</w:t>
      </w:r>
    </w:p>
    <w:p w14:paraId="079CDA67" w14:textId="50DB9258" w:rsidR="00880950" w:rsidRPr="00880950" w:rsidRDefault="00880950" w:rsidP="00880950">
      <w:pPr>
        <w:rPr>
          <w:lang w:val="es-ES_tradnl"/>
        </w:rPr>
      </w:pPr>
      <w:r w:rsidRPr="00880950">
        <w:rPr>
          <w:i/>
          <w:iCs/>
          <w:lang w:val="es-ES_tradnl"/>
        </w:rPr>
        <w:t>a)</w:t>
      </w:r>
      <w:r w:rsidRPr="00880950">
        <w:rPr>
          <w:lang w:val="es-ES_tradnl"/>
        </w:rPr>
        <w:tab/>
        <w:t>que la banda de frecuencias 14,8</w:t>
      </w:r>
      <w:r w:rsidRPr="00880950">
        <w:rPr>
          <w:lang w:val="es-ES_tradnl"/>
        </w:rPr>
        <w:noBreakHyphen/>
        <w:t>15,35 GHz está atribuida a título primario a los servicios fijo y móvil, al igual que al servicio de investigación espacial (SIE), con arreglo a una serie de limitaciones;</w:t>
      </w:r>
    </w:p>
    <w:p w14:paraId="27736382" w14:textId="40289DAB" w:rsidR="00880950" w:rsidRPr="00880950" w:rsidRDefault="00880950" w:rsidP="00880950">
      <w:pPr>
        <w:rPr>
          <w:lang w:val="es-ES_tradnl"/>
        </w:rPr>
      </w:pPr>
      <w:r w:rsidRPr="00880950">
        <w:rPr>
          <w:i/>
          <w:iCs/>
          <w:lang w:val="es-ES_tradnl"/>
        </w:rPr>
        <w:t>b)</w:t>
      </w:r>
      <w:r w:rsidRPr="00880950">
        <w:rPr>
          <w:lang w:val="es-ES_tradnl"/>
        </w:rPr>
        <w:tab/>
        <w:t>que el</w:t>
      </w:r>
      <w:r w:rsidR="00460AB0">
        <w:rPr>
          <w:lang w:val="es-ES_tradnl"/>
        </w:rPr>
        <w:t> </w:t>
      </w:r>
      <w:r w:rsidRPr="00880950">
        <w:rPr>
          <w:lang w:val="es-ES_tradnl"/>
        </w:rPr>
        <w:t>SIE (pasivo) y el servicio de exploración de la Tierra por satélite (SETS) (pasivo) gozan de atribuciones a título secundario en virtud del número</w:t>
      </w:r>
      <w:r w:rsidR="002B0532">
        <w:rPr>
          <w:lang w:val="es-ES_tradnl"/>
        </w:rPr>
        <w:t> </w:t>
      </w:r>
      <w:r w:rsidRPr="00880950">
        <w:rPr>
          <w:b/>
          <w:bCs/>
          <w:lang w:val="es-ES_tradnl"/>
        </w:rPr>
        <w:t>5.339</w:t>
      </w:r>
      <w:r w:rsidRPr="00880950">
        <w:rPr>
          <w:lang w:val="es-ES_tradnl"/>
        </w:rPr>
        <w:t xml:space="preserve"> del Reglamento de Radiocomunicaciones (RR) en la banda 15,20</w:t>
      </w:r>
      <w:r w:rsidRPr="00880950">
        <w:rPr>
          <w:lang w:val="es-ES_tradnl"/>
        </w:rPr>
        <w:noBreakHyphen/>
        <w:t>15,35 GHz;</w:t>
      </w:r>
    </w:p>
    <w:p w14:paraId="10BD2DA6" w14:textId="21C9F418" w:rsidR="00880950" w:rsidRPr="00880950" w:rsidRDefault="00880950" w:rsidP="00880950">
      <w:pPr>
        <w:rPr>
          <w:lang w:val="es-ES_tradnl"/>
        </w:rPr>
      </w:pPr>
      <w:r w:rsidRPr="00880950">
        <w:rPr>
          <w:i/>
          <w:iCs/>
          <w:lang w:val="es-ES_tradnl"/>
        </w:rPr>
        <w:t>c)</w:t>
      </w:r>
      <w:r w:rsidRPr="00880950">
        <w:rPr>
          <w:lang w:val="es-ES_tradnl"/>
        </w:rPr>
        <w:tab/>
        <w:t>que la banda de 15,35-15,4 GHz está atribuida a título primario a los servicios SIE (pasivo), SETS (pasivo) y de radioastronomía, con sujeción a lo establecido en los números </w:t>
      </w:r>
      <w:r w:rsidRPr="00880950">
        <w:rPr>
          <w:b/>
          <w:bCs/>
          <w:lang w:val="es-ES_tradnl"/>
        </w:rPr>
        <w:t>5.340</w:t>
      </w:r>
      <w:r w:rsidRPr="00880950">
        <w:rPr>
          <w:lang w:val="es-ES_tradnl"/>
        </w:rPr>
        <w:t xml:space="preserve"> y </w:t>
      </w:r>
      <w:r w:rsidRPr="00880950">
        <w:rPr>
          <w:b/>
          <w:bCs/>
          <w:lang w:val="es-ES_tradnl"/>
        </w:rPr>
        <w:t>5.511</w:t>
      </w:r>
      <w:r w:rsidRPr="00880950">
        <w:rPr>
          <w:lang w:val="es-ES_tradnl"/>
        </w:rPr>
        <w:t xml:space="preserve"> del</w:t>
      </w:r>
      <w:r w:rsidR="002B0532">
        <w:rPr>
          <w:lang w:val="es-ES_tradnl"/>
        </w:rPr>
        <w:t> </w:t>
      </w:r>
      <w:r w:rsidRPr="00880950">
        <w:rPr>
          <w:lang w:val="es-ES_tradnl"/>
        </w:rPr>
        <w:t>RR;</w:t>
      </w:r>
    </w:p>
    <w:p w14:paraId="448CEE5B" w14:textId="5FAC4A52" w:rsidR="00880950" w:rsidRPr="00880950" w:rsidRDefault="00880950" w:rsidP="00880950">
      <w:pPr>
        <w:rPr>
          <w:lang w:val="es-ES_tradnl"/>
        </w:rPr>
      </w:pPr>
      <w:r w:rsidRPr="00880950">
        <w:rPr>
          <w:i/>
          <w:iCs/>
          <w:lang w:val="es-ES_tradnl"/>
        </w:rPr>
        <w:lastRenderedPageBreak/>
        <w:t>d)</w:t>
      </w:r>
      <w:r w:rsidRPr="00880950">
        <w:rPr>
          <w:lang w:val="es-ES_tradnl"/>
        </w:rPr>
        <w:tab/>
        <w:t>que los sistemas de satélite de retransmisión de datos explotados por varias administraciones utilizan la banda de frecuencias 14,8</w:t>
      </w:r>
      <w:r w:rsidR="002B0532">
        <w:rPr>
          <w:lang w:val="es-ES_tradnl"/>
        </w:rPr>
        <w:noBreakHyphen/>
      </w:r>
      <w:r w:rsidRPr="00880950">
        <w:rPr>
          <w:lang w:val="es-ES_tradnl"/>
        </w:rPr>
        <w:t>15,35 GHz tanto para los enlaces de usuario entre órbitas (espacio</w:t>
      </w:r>
      <w:r w:rsidR="00460AB0">
        <w:rPr>
          <w:lang w:val="es-ES_tradnl"/>
        </w:rPr>
        <w:noBreakHyphen/>
      </w:r>
      <w:r w:rsidRPr="00880950">
        <w:rPr>
          <w:lang w:val="es-ES_tradnl"/>
        </w:rPr>
        <w:t>espacio) como para los enlaces de conexión ascendentes (Tierra</w:t>
      </w:r>
      <w:r w:rsidR="00460AB0">
        <w:rPr>
          <w:lang w:val="es-ES_tradnl"/>
        </w:rPr>
        <w:noBreakHyphen/>
      </w:r>
      <w:r w:rsidRPr="00880950">
        <w:rPr>
          <w:lang w:val="es-ES_tradnl"/>
        </w:rPr>
        <w:t>espacio);</w:t>
      </w:r>
    </w:p>
    <w:p w14:paraId="5048CD9C" w14:textId="43E9CE32" w:rsidR="00880950" w:rsidRPr="00880950" w:rsidRDefault="00880950" w:rsidP="00880950">
      <w:pPr>
        <w:rPr>
          <w:lang w:val="es-ES_tradnl"/>
        </w:rPr>
      </w:pPr>
      <w:r w:rsidRPr="00880950">
        <w:rPr>
          <w:i/>
          <w:iCs/>
          <w:lang w:val="es-ES_tradnl"/>
        </w:rPr>
        <w:t>e)</w:t>
      </w:r>
      <w:r w:rsidRPr="00880950">
        <w:rPr>
          <w:lang w:val="es-ES_tradnl"/>
        </w:rPr>
        <w:tab/>
        <w:t>que los enlaces descendentes de banda ancha del</w:t>
      </w:r>
      <w:r w:rsidR="00460AB0">
        <w:rPr>
          <w:lang w:val="es-ES_tradnl"/>
        </w:rPr>
        <w:t> </w:t>
      </w:r>
      <w:r w:rsidRPr="00880950">
        <w:rPr>
          <w:lang w:val="es-ES_tradnl"/>
        </w:rPr>
        <w:t>SIE están sometidos al requisito de transmitir en el futuro datos científicos a alta velocidad,</w:t>
      </w:r>
    </w:p>
    <w:p w14:paraId="1404AFEB" w14:textId="77777777" w:rsidR="00880950" w:rsidRPr="00E72602" w:rsidRDefault="00880950" w:rsidP="00E72602">
      <w:pPr>
        <w:pStyle w:val="Call"/>
        <w:rPr>
          <w:lang w:val="es-ES_tradnl"/>
        </w:rPr>
      </w:pPr>
      <w:r w:rsidRPr="00E72602">
        <w:rPr>
          <w:lang w:val="es-ES_tradnl"/>
        </w:rPr>
        <w:t>reconociendo</w:t>
      </w:r>
    </w:p>
    <w:p w14:paraId="12DD8079" w14:textId="3BD0A989" w:rsidR="00880950" w:rsidRPr="00880950" w:rsidRDefault="00880950" w:rsidP="00880950">
      <w:pPr>
        <w:rPr>
          <w:lang w:val="es-ES_tradnl"/>
        </w:rPr>
      </w:pPr>
      <w:r w:rsidRPr="00880950">
        <w:rPr>
          <w:i/>
          <w:iCs/>
          <w:lang w:val="es-ES_tradnl"/>
        </w:rPr>
        <w:t>a)</w:t>
      </w:r>
      <w:r w:rsidRPr="00880950">
        <w:rPr>
          <w:i/>
          <w:iCs/>
          <w:lang w:val="es-ES_tradnl"/>
        </w:rPr>
        <w:tab/>
      </w:r>
      <w:r w:rsidRPr="00880950">
        <w:rPr>
          <w:lang w:val="es-ES_tradnl"/>
        </w:rPr>
        <w:t>que la banda de frecuencias 14,8</w:t>
      </w:r>
      <w:r w:rsidR="002B0532">
        <w:rPr>
          <w:lang w:val="es-ES_tradnl"/>
        </w:rPr>
        <w:noBreakHyphen/>
      </w:r>
      <w:r w:rsidRPr="00880950">
        <w:rPr>
          <w:lang w:val="es-ES_tradnl"/>
        </w:rPr>
        <w:t>15,35 GHz la utilizan actualmente los satélites de retransmisión de datos en los enlaces entre satélites, lo que permite establecer comunicaciones con los satélites en órbitas no geoestacionarias (no</w:t>
      </w:r>
      <w:r w:rsidR="002B0532">
        <w:rPr>
          <w:lang w:val="es-ES_tradnl"/>
        </w:rPr>
        <w:t> </w:t>
      </w:r>
      <w:r w:rsidRPr="00880950">
        <w:rPr>
          <w:lang w:val="es-ES_tradnl"/>
        </w:rPr>
        <w:t>OSG), comprendidos los vuelos tripulados del</w:t>
      </w:r>
      <w:r w:rsidR="00460AB0">
        <w:rPr>
          <w:lang w:val="es-ES_tradnl"/>
        </w:rPr>
        <w:t> </w:t>
      </w:r>
      <w:r w:rsidRPr="00880950">
        <w:rPr>
          <w:lang w:val="es-ES_tradnl"/>
        </w:rPr>
        <w:t>SIE;</w:t>
      </w:r>
    </w:p>
    <w:p w14:paraId="56965AFA" w14:textId="741F7367" w:rsidR="00880950" w:rsidRPr="00880950" w:rsidRDefault="00880950" w:rsidP="00880950">
      <w:pPr>
        <w:rPr>
          <w:i/>
          <w:iCs/>
          <w:lang w:val="es-ES_tradnl"/>
        </w:rPr>
      </w:pPr>
      <w:r w:rsidRPr="00880950">
        <w:rPr>
          <w:i/>
          <w:iCs/>
          <w:lang w:val="es-ES_tradnl"/>
        </w:rPr>
        <w:t>b)</w:t>
      </w:r>
      <w:r w:rsidRPr="00880950">
        <w:rPr>
          <w:i/>
          <w:iCs/>
          <w:lang w:val="es-ES_tradnl"/>
        </w:rPr>
        <w:tab/>
      </w:r>
      <w:r w:rsidRPr="00880950">
        <w:rPr>
          <w:lang w:val="es-ES_tradnl"/>
        </w:rPr>
        <w:t>que la banda de frecuencias 14,8</w:t>
      </w:r>
      <w:r w:rsidR="002B0532">
        <w:rPr>
          <w:lang w:val="es-ES_tradnl"/>
        </w:rPr>
        <w:noBreakHyphen/>
      </w:r>
      <w:r w:rsidRPr="00880950">
        <w:rPr>
          <w:lang w:val="es-ES_tradnl"/>
        </w:rPr>
        <w:t>15,35 GHz también la utilizan los actuales enlaces de datos de alta velocidad de los satélites no</w:t>
      </w:r>
      <w:r w:rsidR="00460AB0">
        <w:rPr>
          <w:lang w:val="es-ES_tradnl"/>
        </w:rPr>
        <w:t> </w:t>
      </w:r>
      <w:r w:rsidRPr="00880950">
        <w:rPr>
          <w:lang w:val="es-ES_tradnl"/>
        </w:rPr>
        <w:t>OSG del</w:t>
      </w:r>
      <w:r w:rsidR="00460AB0">
        <w:rPr>
          <w:lang w:val="es-ES_tradnl"/>
        </w:rPr>
        <w:t> </w:t>
      </w:r>
      <w:r w:rsidRPr="00880950">
        <w:rPr>
          <w:lang w:val="es-ES_tradnl"/>
        </w:rPr>
        <w:t>SIE y que está prevista su utilización por los sistemas del futuro;</w:t>
      </w:r>
    </w:p>
    <w:p w14:paraId="612D0B6D" w14:textId="77777777" w:rsidR="00880950" w:rsidRPr="00880950" w:rsidRDefault="00880950" w:rsidP="00880950">
      <w:pPr>
        <w:rPr>
          <w:lang w:val="es-ES_tradnl"/>
        </w:rPr>
      </w:pPr>
      <w:r w:rsidRPr="00880950">
        <w:rPr>
          <w:i/>
          <w:iCs/>
          <w:lang w:val="es-ES_tradnl"/>
        </w:rPr>
        <w:t>c)</w:t>
      </w:r>
      <w:r w:rsidRPr="00880950">
        <w:rPr>
          <w:i/>
          <w:iCs/>
          <w:lang w:val="es-ES_tradnl"/>
        </w:rPr>
        <w:tab/>
      </w:r>
      <w:r w:rsidRPr="00880950">
        <w:rPr>
          <w:lang w:val="es-ES_tradnl"/>
        </w:rPr>
        <w:t>que estos satélites son necesarios para la explotación de los telescopios y otros instrumentos pasivos utilizados en la medición de fenómenos tales como la magnetosfera terrestre y las erupciones solares,</w:t>
      </w:r>
    </w:p>
    <w:p w14:paraId="181C2FF0" w14:textId="77777777" w:rsidR="00880950" w:rsidRPr="00E72602" w:rsidRDefault="00880950" w:rsidP="00E72602">
      <w:pPr>
        <w:pStyle w:val="Call"/>
        <w:rPr>
          <w:lang w:val="es-ES_tradnl"/>
        </w:rPr>
      </w:pPr>
      <w:r w:rsidRPr="00E72602">
        <w:rPr>
          <w:lang w:val="es-ES_tradnl"/>
        </w:rPr>
        <w:t>recomienda</w:t>
      </w:r>
    </w:p>
    <w:p w14:paraId="0C67CDC7" w14:textId="411481D1" w:rsidR="00880950" w:rsidRPr="00880950" w:rsidRDefault="00880950" w:rsidP="00880950">
      <w:pPr>
        <w:rPr>
          <w:lang w:val="es-ES_tradnl"/>
        </w:rPr>
      </w:pPr>
      <w:r w:rsidRPr="00880950">
        <w:rPr>
          <w:lang w:val="es-ES_tradnl"/>
        </w:rPr>
        <w:t>que las características técnicas y operacionales de los sistemas del servicio de investigación espacial en la banda de frecuencias 14,8</w:t>
      </w:r>
      <w:r w:rsidR="002B0532">
        <w:rPr>
          <w:lang w:val="es-ES_tradnl"/>
        </w:rPr>
        <w:noBreakHyphen/>
      </w:r>
      <w:r w:rsidRPr="00880950">
        <w:rPr>
          <w:lang w:val="es-ES_tradnl"/>
        </w:rPr>
        <w:t>15,35 GHz que figuran en el Anexo 1 se consideren en los estudios de compartición y de compatibilidad.</w:t>
      </w:r>
    </w:p>
    <w:p w14:paraId="054DF8A1" w14:textId="77777777" w:rsidR="00880950" w:rsidRPr="00880950" w:rsidRDefault="00880950" w:rsidP="00880950">
      <w:pPr>
        <w:rPr>
          <w:lang w:val="es-ES_tradnl"/>
        </w:rPr>
      </w:pPr>
    </w:p>
    <w:p w14:paraId="1B47E7D8" w14:textId="77777777" w:rsidR="00880950" w:rsidRPr="00880950" w:rsidRDefault="00880950" w:rsidP="00880950">
      <w:pPr>
        <w:rPr>
          <w:lang w:val="es-ES_tradnl"/>
        </w:rPr>
      </w:pPr>
    </w:p>
    <w:p w14:paraId="30961B84" w14:textId="41F07179" w:rsidR="00880950" w:rsidRPr="00E72602" w:rsidRDefault="00880950" w:rsidP="00E72602">
      <w:pPr>
        <w:pStyle w:val="AnnexNoTitle"/>
        <w:rPr>
          <w:lang w:val="es-ES_tradnl"/>
        </w:rPr>
      </w:pPr>
      <w:r w:rsidRPr="00E72602">
        <w:rPr>
          <w:lang w:val="es-ES_tradnl"/>
        </w:rPr>
        <w:t>Anexo 1</w:t>
      </w:r>
      <w:r w:rsidRPr="00E72602">
        <w:rPr>
          <w:lang w:val="es-ES_tradnl"/>
        </w:rPr>
        <w:br/>
      </w:r>
      <w:r w:rsidRPr="00E72602">
        <w:rPr>
          <w:lang w:val="es-ES_tradnl"/>
        </w:rPr>
        <w:br/>
        <w:t>Características técnicas y operacionales de los sistemas del servicio</w:t>
      </w:r>
      <w:r w:rsidR="002B0532">
        <w:rPr>
          <w:lang w:val="es-ES_tradnl"/>
        </w:rPr>
        <w:t xml:space="preserve"> </w:t>
      </w:r>
      <w:r w:rsidRPr="00E72602">
        <w:rPr>
          <w:lang w:val="es-ES_tradnl"/>
        </w:rPr>
        <w:br/>
        <w:t>de investigación espacial en la banda de 14,8-15,35 GHz</w:t>
      </w:r>
    </w:p>
    <w:p w14:paraId="09AA6CD3" w14:textId="77777777" w:rsidR="00880950" w:rsidRPr="00E72602" w:rsidRDefault="00880950" w:rsidP="00E72602">
      <w:pPr>
        <w:pStyle w:val="Heading1"/>
        <w:rPr>
          <w:lang w:val="es-ES_tradnl"/>
        </w:rPr>
      </w:pPr>
      <w:r w:rsidRPr="00E72602">
        <w:rPr>
          <w:lang w:val="es-ES_tradnl"/>
        </w:rPr>
        <w:t>1</w:t>
      </w:r>
      <w:r w:rsidRPr="00E72602">
        <w:rPr>
          <w:lang w:val="es-ES_tradnl"/>
        </w:rPr>
        <w:tab/>
        <w:t>Introducción</w:t>
      </w:r>
    </w:p>
    <w:p w14:paraId="6A1D9445" w14:textId="0E6861DA" w:rsidR="00880950" w:rsidRPr="00880950" w:rsidRDefault="00880950" w:rsidP="00880950">
      <w:pPr>
        <w:rPr>
          <w:lang w:val="es-ES_tradnl"/>
        </w:rPr>
      </w:pPr>
      <w:r w:rsidRPr="00880950">
        <w:rPr>
          <w:lang w:val="es-ES_tradnl"/>
        </w:rPr>
        <w:t xml:space="preserve">Los sistemas del </w:t>
      </w:r>
      <w:r w:rsidR="00460AB0">
        <w:rPr>
          <w:lang w:val="es-ES_tradnl"/>
        </w:rPr>
        <w:t>s</w:t>
      </w:r>
      <w:r w:rsidRPr="00880950">
        <w:rPr>
          <w:lang w:val="es-ES_tradnl"/>
        </w:rPr>
        <w:t xml:space="preserve">ervicio de investigación espacial (SIE) utilizan </w:t>
      </w:r>
      <w:bookmarkStart w:id="3" w:name="_Hlk69287824"/>
      <w:r w:rsidRPr="00880950">
        <w:rPr>
          <w:lang w:val="es-ES_tradnl"/>
        </w:rPr>
        <w:t>la banda</w:t>
      </w:r>
      <w:bookmarkEnd w:id="3"/>
      <w:r w:rsidRPr="00880950">
        <w:rPr>
          <w:lang w:val="es-ES_tradnl"/>
        </w:rPr>
        <w:t xml:space="preserve"> de 14,8</w:t>
      </w:r>
      <w:r w:rsidR="002B0532">
        <w:rPr>
          <w:lang w:val="es-ES_tradnl"/>
        </w:rPr>
        <w:noBreakHyphen/>
      </w:r>
      <w:r w:rsidRPr="00880950">
        <w:rPr>
          <w:lang w:val="es-ES_tradnl"/>
        </w:rPr>
        <w:t>15,35 GHz para las aplicaciones siguientes:</w:t>
      </w:r>
    </w:p>
    <w:p w14:paraId="0BCE0F0F" w14:textId="5F84755A" w:rsidR="00880950" w:rsidRPr="00E72602" w:rsidRDefault="00880950" w:rsidP="00E72602">
      <w:pPr>
        <w:pStyle w:val="enumlev1"/>
        <w:rPr>
          <w:lang w:val="es-ES_tradnl"/>
        </w:rPr>
      </w:pPr>
      <w:r w:rsidRPr="00E72602">
        <w:rPr>
          <w:lang w:val="es-ES_tradnl"/>
        </w:rPr>
        <w:t>–</w:t>
      </w:r>
      <w:r w:rsidRPr="00E72602">
        <w:rPr>
          <w:lang w:val="es-ES_tradnl"/>
        </w:rPr>
        <w:tab/>
        <w:t>enlaces descendentes directos de datos desde misiones del</w:t>
      </w:r>
      <w:r w:rsidR="00460AB0">
        <w:rPr>
          <w:lang w:val="es-ES_tradnl"/>
        </w:rPr>
        <w:t> </w:t>
      </w:r>
      <w:r w:rsidRPr="00E72602">
        <w:rPr>
          <w:lang w:val="es-ES_tradnl"/>
        </w:rPr>
        <w:t>SIE (con varios tipos de órbita) hasta estaciones terrenas de todo el mundo;</w:t>
      </w:r>
    </w:p>
    <w:p w14:paraId="7B246CD1" w14:textId="37315704" w:rsidR="00880950" w:rsidRPr="00E72602" w:rsidRDefault="00880950" w:rsidP="00E72602">
      <w:pPr>
        <w:pStyle w:val="enumlev1"/>
        <w:rPr>
          <w:lang w:val="es-ES_tradnl"/>
        </w:rPr>
      </w:pPr>
      <w:r w:rsidRPr="00E72602">
        <w:rPr>
          <w:lang w:val="es-ES_tradnl"/>
        </w:rPr>
        <w:t>–</w:t>
      </w:r>
      <w:r w:rsidRPr="00E72602">
        <w:rPr>
          <w:lang w:val="es-ES_tradnl"/>
        </w:rPr>
        <w:tab/>
        <w:t>enlaces ascendentes de conexión Tierra</w:t>
      </w:r>
      <w:r w:rsidR="00460AB0">
        <w:rPr>
          <w:lang w:val="es-ES_tradnl"/>
        </w:rPr>
        <w:noBreakHyphen/>
      </w:r>
      <w:r w:rsidRPr="00E72602">
        <w:rPr>
          <w:lang w:val="es-ES_tradnl"/>
        </w:rPr>
        <w:t>espacio desde estaciones terrenas de sistemas de satélites de retransmisión de datos (SRD) hasta satélites de sistemas de retransmisión de datos</w:t>
      </w:r>
      <w:r w:rsidR="00E72602">
        <w:rPr>
          <w:lang w:val="es-ES_tradnl"/>
        </w:rPr>
        <w:t> </w:t>
      </w:r>
      <w:r w:rsidRPr="00E72602">
        <w:rPr>
          <w:lang w:val="es-ES_tradnl"/>
        </w:rPr>
        <w:t>OSG;</w:t>
      </w:r>
    </w:p>
    <w:p w14:paraId="3F6F7ADF" w14:textId="6DF31AF7" w:rsidR="00880950" w:rsidRPr="00E72602" w:rsidRDefault="00880950" w:rsidP="00E72602">
      <w:pPr>
        <w:pStyle w:val="enumlev1"/>
        <w:rPr>
          <w:lang w:val="es-ES_tradnl"/>
        </w:rPr>
      </w:pPr>
      <w:r w:rsidRPr="00E72602">
        <w:rPr>
          <w:lang w:val="es-ES_tradnl"/>
        </w:rPr>
        <w:t>–</w:t>
      </w:r>
      <w:r w:rsidRPr="00E72602">
        <w:rPr>
          <w:lang w:val="es-ES_tradnl"/>
        </w:rPr>
        <w:tab/>
        <w:t>enlaces interorbitales espacio-espacio desde vehículos espaciales de usuario hasta satélites SRD</w:t>
      </w:r>
      <w:r w:rsidR="002B0532">
        <w:rPr>
          <w:lang w:val="es-ES_tradnl"/>
        </w:rPr>
        <w:t> </w:t>
      </w:r>
      <w:r w:rsidRPr="00E72602">
        <w:rPr>
          <w:lang w:val="es-ES_tradnl"/>
        </w:rPr>
        <w:t>OSG.</w:t>
      </w:r>
    </w:p>
    <w:p w14:paraId="32C99B0C" w14:textId="499F3F68" w:rsidR="00880950" w:rsidRPr="00880950" w:rsidRDefault="00880950" w:rsidP="00880950">
      <w:pPr>
        <w:rPr>
          <w:lang w:val="es-ES_tradnl"/>
        </w:rPr>
      </w:pPr>
      <w:r w:rsidRPr="00880950">
        <w:rPr>
          <w:lang w:val="es-ES_tradnl"/>
        </w:rPr>
        <w:t>Las características de cada una de ellas se analizan a continuación.</w:t>
      </w:r>
    </w:p>
    <w:p w14:paraId="7B4DF39F" w14:textId="77777777" w:rsidR="00880950" w:rsidRPr="00E72602" w:rsidRDefault="00880950" w:rsidP="00E72602">
      <w:pPr>
        <w:pStyle w:val="Heading1"/>
        <w:rPr>
          <w:lang w:val="es-ES_tradnl"/>
        </w:rPr>
      </w:pPr>
      <w:r w:rsidRPr="00E72602">
        <w:rPr>
          <w:lang w:val="es-ES_tradnl"/>
        </w:rPr>
        <w:lastRenderedPageBreak/>
        <w:t>2</w:t>
      </w:r>
      <w:r w:rsidRPr="00E72602">
        <w:rPr>
          <w:lang w:val="es-ES_tradnl"/>
        </w:rPr>
        <w:tab/>
        <w:t>Características de los enlaces descendentes directos de datos del SIE en la banda de 14,8-15,35 GHz</w:t>
      </w:r>
    </w:p>
    <w:p w14:paraId="788819E9" w14:textId="33B14B75" w:rsidR="00880950" w:rsidRPr="00880950" w:rsidRDefault="00880950" w:rsidP="00460AB0">
      <w:pPr>
        <w:keepNext/>
        <w:keepLines/>
        <w:rPr>
          <w:lang w:val="es-ES_tradnl"/>
        </w:rPr>
      </w:pPr>
      <w:r w:rsidRPr="00880950">
        <w:rPr>
          <w:lang w:val="es-ES_tradnl"/>
        </w:rPr>
        <w:t>Cabe esperar que la cantidad de misiones del</w:t>
      </w:r>
      <w:r w:rsidR="00460AB0">
        <w:rPr>
          <w:lang w:val="es-ES_tradnl"/>
        </w:rPr>
        <w:t> </w:t>
      </w:r>
      <w:r w:rsidRPr="00880950">
        <w:rPr>
          <w:lang w:val="es-ES_tradnl"/>
        </w:rPr>
        <w:t>SIE que utilizan enlaces descendentes directos de datos en esta banda se restrinja, con objeto de que haya aproximadamente de tres a cinco satélites por año en todo el mundo. Por lo general, dichos satélites se desplegarán en órbita terrestre baja, con inclinación polar o ecuatorial, algunos de ellos en órbita geoestacionaria y otros en órbitas HEO o en los puntos de libración L1 o L2, así como en órbitas lunares o en la superficie lunar. Para la mayoría de esos tipos de órbita de las misiones del SIE, las características de los satélites del</w:t>
      </w:r>
      <w:r w:rsidR="00460AB0">
        <w:rPr>
          <w:lang w:val="es-ES_tradnl"/>
        </w:rPr>
        <w:t> </w:t>
      </w:r>
      <w:r w:rsidRPr="00880950">
        <w:rPr>
          <w:lang w:val="es-ES_tradnl"/>
        </w:rPr>
        <w:t>SIE que transmiten a través de enlaces descendentes directos de datos se reflejan en los balances de enlace que figuran en el Cuadro 1. Con respecto al vehículo espacial (S/C) del</w:t>
      </w:r>
      <w:r w:rsidR="00460AB0">
        <w:rPr>
          <w:lang w:val="es-ES_tradnl"/>
        </w:rPr>
        <w:t> </w:t>
      </w:r>
      <w:r w:rsidRPr="00880950">
        <w:rPr>
          <w:lang w:val="es-ES_tradnl"/>
        </w:rPr>
        <w:t>SIE en órbitas lunares o en la superficie lunar, los parámetros del balance de enlace variarán en función de las necesidades operacionales y de las técnicas de modulación y codificación avanzadas disponibles; no obstante, la DFP en la superficie de la Tierra no rebasaría los niveles especificados en la Recomendación</w:t>
      </w:r>
      <w:r w:rsidR="00460AB0">
        <w:rPr>
          <w:lang w:val="es-ES_tradnl"/>
        </w:rPr>
        <w:t> </w:t>
      </w:r>
      <w:hyperlink r:id="rId24" w:history="1">
        <w:r w:rsidRPr="00460AB0">
          <w:rPr>
            <w:lang w:val="es-ES_tradnl"/>
          </w:rPr>
          <w:t>UIT</w:t>
        </w:r>
        <w:r w:rsidRPr="00460AB0">
          <w:rPr>
            <w:lang w:val="es-ES_tradnl"/>
          </w:rPr>
          <w:noBreakHyphen/>
          <w:t>R SA.1626</w:t>
        </w:r>
      </w:hyperlink>
      <w:r w:rsidRPr="00880950">
        <w:rPr>
          <w:lang w:val="es-ES_tradnl"/>
        </w:rPr>
        <w:t>.</w:t>
      </w:r>
    </w:p>
    <w:p w14:paraId="1857094A" w14:textId="1501CB1A" w:rsidR="00880950" w:rsidRDefault="00880950" w:rsidP="00880950">
      <w:pPr>
        <w:rPr>
          <w:lang w:val="es-ES_tradnl"/>
        </w:rPr>
      </w:pPr>
      <w:r w:rsidRPr="00880950">
        <w:rPr>
          <w:lang w:val="es-ES_tradnl"/>
        </w:rPr>
        <w:t>Para la mayoría de los casos se realizó la hipótesis de que los enlaces soportan una velocidad de datos de 400 Mbit/s para el enlace espacio</w:t>
      </w:r>
      <w:r w:rsidR="00624E2D">
        <w:rPr>
          <w:lang w:val="es-ES_tradnl"/>
        </w:rPr>
        <w:noBreakHyphen/>
      </w:r>
      <w:r w:rsidRPr="00880950">
        <w:rPr>
          <w:lang w:val="es-ES_tradnl"/>
        </w:rPr>
        <w:t>Tierra, si bien algunos enlaces admiten hasta 1,2 Gbit/s. La densidad espectral de la p.i.r.e. se ajustó para satisfacer los límites de la</w:t>
      </w:r>
      <w:r w:rsidR="00460AB0">
        <w:rPr>
          <w:lang w:val="es-ES_tradnl"/>
        </w:rPr>
        <w:t> </w:t>
      </w:r>
      <w:r w:rsidRPr="00880950">
        <w:rPr>
          <w:lang w:val="es-ES_tradnl"/>
        </w:rPr>
        <w:t>dfp de la Recomendación</w:t>
      </w:r>
      <w:r w:rsidR="00460AB0">
        <w:rPr>
          <w:lang w:val="es-ES_tradnl"/>
        </w:rPr>
        <w:t> </w:t>
      </w:r>
      <w:hyperlink r:id="rId25" w:history="1">
        <w:r w:rsidRPr="00460AB0">
          <w:rPr>
            <w:lang w:val="es-ES_tradnl"/>
          </w:rPr>
          <w:t>UIT</w:t>
        </w:r>
        <w:r w:rsidRPr="00460AB0">
          <w:rPr>
            <w:lang w:val="es-ES_tradnl"/>
          </w:rPr>
          <w:noBreakHyphen/>
          <w:t>R SA.1626</w:t>
        </w:r>
      </w:hyperlink>
      <w:r w:rsidRPr="00880950">
        <w:rPr>
          <w:lang w:val="es-ES_tradnl"/>
        </w:rPr>
        <w:t xml:space="preserve"> para todos los ángulos de elevación. También se realizó la hipótesis de que el diagrama de radiación de la antena receptora de la estación terrena del</w:t>
      </w:r>
      <w:r w:rsidR="00460AB0">
        <w:rPr>
          <w:lang w:val="es-ES_tradnl"/>
        </w:rPr>
        <w:t> </w:t>
      </w:r>
      <w:r w:rsidRPr="00880950">
        <w:rPr>
          <w:lang w:val="es-ES_tradnl"/>
        </w:rPr>
        <w:t>SIE se ajusta a la Recomendación </w:t>
      </w:r>
      <w:hyperlink r:id="rId26" w:history="1">
        <w:r w:rsidRPr="00460AB0">
          <w:rPr>
            <w:lang w:val="es-ES_tradnl"/>
          </w:rPr>
          <w:t>UIT-R SA.509</w:t>
        </w:r>
      </w:hyperlink>
      <w:r w:rsidRPr="00880950">
        <w:rPr>
          <w:lang w:val="es-ES_tradnl"/>
        </w:rPr>
        <w:t>. La viabilidad de la compartición se evaluó sobre la base de los criterios de protección que figuran en la Recomendación</w:t>
      </w:r>
      <w:r w:rsidR="00460AB0">
        <w:rPr>
          <w:lang w:val="es-ES_tradnl"/>
        </w:rPr>
        <w:t> </w:t>
      </w:r>
      <w:hyperlink r:id="rId27" w:history="1">
        <w:r w:rsidRPr="00460AB0">
          <w:rPr>
            <w:lang w:val="es-ES_tradnl"/>
          </w:rPr>
          <w:t>UIT</w:t>
        </w:r>
        <w:r w:rsidR="008D4BB2" w:rsidRPr="00460AB0">
          <w:noBreakHyphen/>
        </w:r>
        <w:r w:rsidRPr="00460AB0">
          <w:rPr>
            <w:lang w:val="es-ES_tradnl"/>
          </w:rPr>
          <w:t>R</w:t>
        </w:r>
        <w:r w:rsidR="008D4BB2" w:rsidRPr="00460AB0">
          <w:t> </w:t>
        </w:r>
        <w:r w:rsidRPr="00460AB0">
          <w:rPr>
            <w:lang w:val="es-ES_tradnl"/>
          </w:rPr>
          <w:t>SA.609</w:t>
        </w:r>
      </w:hyperlink>
      <w:r w:rsidRPr="00880950">
        <w:rPr>
          <w:lang w:val="es-ES_tradnl"/>
        </w:rPr>
        <w:t>.</w:t>
      </w:r>
    </w:p>
    <w:p w14:paraId="2855B6AD" w14:textId="77777777" w:rsidR="00880950" w:rsidRPr="00880950" w:rsidRDefault="00880950" w:rsidP="00880950">
      <w:pPr>
        <w:rPr>
          <w:lang w:val="es-ES_tradnl"/>
        </w:rPr>
      </w:pPr>
    </w:p>
    <w:p w14:paraId="06D15401" w14:textId="77777777" w:rsidR="00880950" w:rsidRDefault="00880950" w:rsidP="00880950">
      <w:pPr>
        <w:rPr>
          <w:lang w:val="es-ES_tradnl"/>
        </w:rPr>
        <w:sectPr w:rsidR="00880950" w:rsidSect="007565CC">
          <w:headerReference w:type="even" r:id="rId28"/>
          <w:headerReference w:type="default" r:id="rId29"/>
          <w:footerReference w:type="even" r:id="rId30"/>
          <w:footerReference w:type="default" r:id="rId31"/>
          <w:pgSz w:w="11907" w:h="16834" w:code="9"/>
          <w:pgMar w:top="1418" w:right="1134" w:bottom="1134" w:left="1134" w:header="720" w:footer="482" w:gutter="0"/>
          <w:pgNumType w:start="1"/>
          <w:cols w:space="720"/>
        </w:sectPr>
      </w:pPr>
    </w:p>
    <w:p w14:paraId="6E93B831" w14:textId="77777777" w:rsidR="00E72602" w:rsidRPr="00E72602" w:rsidRDefault="00E72602" w:rsidP="00E72602">
      <w:pPr>
        <w:pStyle w:val="TableNo"/>
        <w:rPr>
          <w:lang w:val="es-ES_tradnl"/>
        </w:rPr>
      </w:pPr>
      <w:r w:rsidRPr="00E72602">
        <w:rPr>
          <w:lang w:val="es-ES_tradnl"/>
        </w:rPr>
        <w:lastRenderedPageBreak/>
        <w:t>CUADRO 1</w:t>
      </w:r>
    </w:p>
    <w:p w14:paraId="340E2BE2" w14:textId="77777777" w:rsidR="00E72602" w:rsidRPr="00E72602" w:rsidRDefault="00E72602" w:rsidP="00E72602">
      <w:pPr>
        <w:pStyle w:val="Tabletitle"/>
        <w:rPr>
          <w:lang w:val="es-ES_tradnl"/>
        </w:rPr>
      </w:pPr>
      <w:r w:rsidRPr="00E72602">
        <w:rPr>
          <w:lang w:val="es-ES_tradnl"/>
        </w:rPr>
        <w:t>Ejemplos de balances de enlace de misiones SIE para enlaces descendentes directos de datos de alta velocidad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276"/>
        <w:gridCol w:w="1276"/>
        <w:gridCol w:w="1276"/>
        <w:gridCol w:w="1275"/>
        <w:gridCol w:w="993"/>
        <w:gridCol w:w="992"/>
        <w:gridCol w:w="1134"/>
        <w:gridCol w:w="1139"/>
      </w:tblGrid>
      <w:tr w:rsidR="00E72602" w:rsidRPr="00E72602" w14:paraId="7231BDEE" w14:textId="77777777" w:rsidTr="00F778C2">
        <w:trPr>
          <w:trHeight w:val="1300"/>
          <w:jc w:val="center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1EB64F27" w14:textId="77777777" w:rsidR="00E72602" w:rsidRPr="00E72602" w:rsidRDefault="00E72602" w:rsidP="00E72602">
            <w:pPr>
              <w:pStyle w:val="Tablehead"/>
              <w:rPr>
                <w:lang w:val="es-ES_tradnl"/>
              </w:rPr>
            </w:pPr>
            <w:r w:rsidRPr="00E72602">
              <w:rPr>
                <w:lang w:val="es-ES_tradnl"/>
              </w:rPr>
              <w:t>Caso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073AAC" w14:textId="11B3AE49" w:rsidR="00E72602" w:rsidRPr="00E72602" w:rsidRDefault="00E72602" w:rsidP="002B0532">
            <w:pPr>
              <w:pStyle w:val="Tablehead"/>
              <w:ind w:left="-57" w:right="-57"/>
              <w:rPr>
                <w:lang w:val="es-ES_tradnl"/>
              </w:rPr>
            </w:pPr>
            <w:r w:rsidRPr="00E72602">
              <w:rPr>
                <w:lang w:val="es-ES_tradnl"/>
              </w:rPr>
              <w:t>No</w:t>
            </w:r>
            <w:r w:rsidR="00157B1E"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 xml:space="preserve">OSG, 800 km de altitud y 5 grados de elevación de antena </w:t>
            </w:r>
            <w:r w:rsidRPr="00E72602">
              <w:rPr>
                <w:lang w:val="es-ES_tradnl"/>
              </w:rPr>
              <w:br/>
              <w:t>de la ET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62B877" w14:textId="45641600" w:rsidR="00E72602" w:rsidRPr="00E72602" w:rsidRDefault="00E72602" w:rsidP="002B0532">
            <w:pPr>
              <w:pStyle w:val="Tablehead"/>
              <w:ind w:left="-57" w:right="-57"/>
              <w:rPr>
                <w:lang w:val="es-ES_tradnl"/>
              </w:rPr>
            </w:pPr>
            <w:r w:rsidRPr="00E72602">
              <w:rPr>
                <w:lang w:val="es-ES_tradnl"/>
              </w:rPr>
              <w:t>No</w:t>
            </w:r>
            <w:r w:rsidR="00157B1E"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 xml:space="preserve">OSG, 800 km de altitud y 10 grados de elevación de antena </w:t>
            </w:r>
            <w:r w:rsidRPr="00E72602">
              <w:rPr>
                <w:lang w:val="es-ES_tradnl"/>
              </w:rPr>
              <w:br/>
              <w:t>de la ET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4BA139" w14:textId="7BEA8F1E" w:rsidR="00E72602" w:rsidRPr="00E72602" w:rsidRDefault="00E72602" w:rsidP="002B0532">
            <w:pPr>
              <w:pStyle w:val="Tablehead"/>
              <w:ind w:left="-57" w:right="-57"/>
              <w:rPr>
                <w:lang w:val="es-ES_tradnl"/>
              </w:rPr>
            </w:pPr>
            <w:r w:rsidRPr="00E72602">
              <w:rPr>
                <w:lang w:val="es-ES_tradnl"/>
              </w:rPr>
              <w:t>No</w:t>
            </w:r>
            <w:r w:rsidR="00157B1E"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 xml:space="preserve">OSG, 800 km de altitud y 90 grados de elevación de antena </w:t>
            </w:r>
            <w:r w:rsidRPr="00E72602">
              <w:rPr>
                <w:lang w:val="es-ES_tradnl"/>
              </w:rPr>
              <w:br/>
              <w:t>de la ET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D74C213" w14:textId="77777777" w:rsidR="00E72602" w:rsidRPr="00E72602" w:rsidRDefault="00E72602" w:rsidP="002B0532">
            <w:pPr>
              <w:pStyle w:val="Tablehead"/>
              <w:ind w:left="-57" w:right="-57"/>
              <w:rPr>
                <w:lang w:val="es-ES_tradnl"/>
              </w:rPr>
            </w:pPr>
            <w:r w:rsidRPr="00E72602">
              <w:rPr>
                <w:lang w:val="es-ES_tradnl"/>
              </w:rPr>
              <w:t xml:space="preserve">OSG, </w:t>
            </w:r>
            <w:r w:rsidRPr="00E72602">
              <w:rPr>
                <w:lang w:val="es-ES_tradnl"/>
              </w:rPr>
              <w:br/>
              <w:t>10 grados de elevación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3463FDA" w14:textId="77777777" w:rsidR="00E72602" w:rsidRPr="00E72602" w:rsidRDefault="00E72602" w:rsidP="00E72602">
            <w:pPr>
              <w:pStyle w:val="Tablehead"/>
              <w:rPr>
                <w:lang w:val="es-ES_tradnl"/>
              </w:rPr>
            </w:pPr>
            <w:r w:rsidRPr="00E72602">
              <w:rPr>
                <w:lang w:val="es-ES_tradnl"/>
              </w:rPr>
              <w:t>HEO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C512F" w14:textId="77777777" w:rsidR="00E72602" w:rsidRPr="00E72602" w:rsidRDefault="00E72602" w:rsidP="00E72602">
            <w:pPr>
              <w:pStyle w:val="Tablehead"/>
              <w:rPr>
                <w:lang w:val="es-ES_tradnl"/>
              </w:rPr>
            </w:pPr>
            <w:r w:rsidRPr="00E72602">
              <w:rPr>
                <w:lang w:val="es-ES_tradnl"/>
              </w:rPr>
              <w:t>HEO</w:t>
            </w:r>
          </w:p>
        </w:tc>
        <w:tc>
          <w:tcPr>
            <w:tcW w:w="1134" w:type="dxa"/>
            <w:vAlign w:val="center"/>
            <w:hideMark/>
          </w:tcPr>
          <w:p w14:paraId="38933A63" w14:textId="77777777" w:rsidR="00E72602" w:rsidRPr="00E72602" w:rsidRDefault="00E72602" w:rsidP="00E72602">
            <w:pPr>
              <w:pStyle w:val="Tablehead"/>
              <w:rPr>
                <w:lang w:val="es-ES_tradnl"/>
              </w:rPr>
            </w:pPr>
            <w:r w:rsidRPr="00E72602">
              <w:rPr>
                <w:lang w:val="es-ES_tradnl"/>
              </w:rPr>
              <w:t>L1/L2</w:t>
            </w:r>
          </w:p>
        </w:tc>
        <w:tc>
          <w:tcPr>
            <w:tcW w:w="1139" w:type="dxa"/>
            <w:vAlign w:val="center"/>
          </w:tcPr>
          <w:p w14:paraId="0333B84B" w14:textId="77777777" w:rsidR="00E72602" w:rsidRPr="00E72602" w:rsidRDefault="00E72602" w:rsidP="00E72602">
            <w:pPr>
              <w:pStyle w:val="Tablehead"/>
              <w:rPr>
                <w:lang w:val="es-ES_tradnl"/>
              </w:rPr>
            </w:pPr>
            <w:r w:rsidRPr="00E72602">
              <w:rPr>
                <w:lang w:val="es-ES_tradnl"/>
              </w:rPr>
              <w:t>L1/L2</w:t>
            </w:r>
          </w:p>
        </w:tc>
      </w:tr>
      <w:tr w:rsidR="00E72602" w:rsidRPr="00E72602" w14:paraId="6F604F7C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79504580" w14:textId="77777777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>Frecuencia (GHz)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8741F4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F9EA42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9CBDCB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15,0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29EA17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15,0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B0649ED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ECD34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15,0</w:t>
            </w:r>
          </w:p>
        </w:tc>
        <w:tc>
          <w:tcPr>
            <w:tcW w:w="1134" w:type="dxa"/>
            <w:noWrap/>
            <w:vAlign w:val="center"/>
            <w:hideMark/>
          </w:tcPr>
          <w:p w14:paraId="1923485E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15,0</w:t>
            </w:r>
          </w:p>
        </w:tc>
        <w:tc>
          <w:tcPr>
            <w:tcW w:w="1139" w:type="dxa"/>
            <w:vAlign w:val="center"/>
          </w:tcPr>
          <w:p w14:paraId="799BF704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15, 15,2</w:t>
            </w:r>
          </w:p>
        </w:tc>
      </w:tr>
      <w:tr w:rsidR="00E72602" w:rsidRPr="00E72602" w14:paraId="29D10D03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5CD62BC6" w14:textId="77777777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>Longitud de onda (m)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5A4225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0,020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A8388A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0,020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8E01B1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0,020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E3AAEE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0,020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215F2E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0,020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D1EC8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7A2CBE8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0,020</w:t>
            </w:r>
          </w:p>
        </w:tc>
        <w:tc>
          <w:tcPr>
            <w:tcW w:w="1139" w:type="dxa"/>
            <w:vAlign w:val="center"/>
          </w:tcPr>
          <w:p w14:paraId="0B753077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</w:p>
        </w:tc>
      </w:tr>
      <w:tr w:rsidR="00E72602" w:rsidRPr="00E72602" w14:paraId="60876615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</w:tcPr>
          <w:p w14:paraId="53ED0661" w14:textId="77777777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>Polarización</w:t>
            </w:r>
          </w:p>
        </w:tc>
        <w:tc>
          <w:tcPr>
            <w:tcW w:w="9361" w:type="dxa"/>
            <w:gridSpan w:val="8"/>
            <w:shd w:val="clear" w:color="auto" w:fill="auto"/>
            <w:noWrap/>
            <w:vAlign w:val="center"/>
          </w:tcPr>
          <w:p w14:paraId="471A8C5B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RHCP o LHCP</w:t>
            </w:r>
          </w:p>
        </w:tc>
      </w:tr>
      <w:tr w:rsidR="00E72602" w:rsidRPr="00E72602" w14:paraId="13692421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45642A77" w14:textId="77777777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>Apogeo del satélite (km)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BDF438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4ECBC7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EC7D6B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942978" w14:textId="456F3463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35</w:t>
            </w:r>
            <w:r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785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707B1E5" w14:textId="152C2C6E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300</w:t>
            </w:r>
            <w:r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054BD" w14:textId="222486C5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300</w:t>
            </w:r>
            <w:r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000</w:t>
            </w:r>
          </w:p>
        </w:tc>
        <w:tc>
          <w:tcPr>
            <w:tcW w:w="1134" w:type="dxa"/>
            <w:noWrap/>
            <w:vAlign w:val="center"/>
            <w:hideMark/>
          </w:tcPr>
          <w:p w14:paraId="57FFB97D" w14:textId="598EF676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</w:t>
            </w:r>
            <w:r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500</w:t>
            </w:r>
            <w:r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000</w:t>
            </w:r>
          </w:p>
        </w:tc>
        <w:tc>
          <w:tcPr>
            <w:tcW w:w="1139" w:type="dxa"/>
            <w:vAlign w:val="center"/>
          </w:tcPr>
          <w:p w14:paraId="087BE0BB" w14:textId="6BE7DA00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</w:t>
            </w:r>
            <w:r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500</w:t>
            </w:r>
            <w:r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000</w:t>
            </w:r>
          </w:p>
        </w:tc>
      </w:tr>
      <w:tr w:rsidR="00E72602" w:rsidRPr="00E72602" w14:paraId="20E419DC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439BB053" w14:textId="77777777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>Perigeo del satélite (km)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C82BAE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408FA6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D39A30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CEF6D5" w14:textId="44A803DB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35</w:t>
            </w:r>
            <w:r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785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5E02997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84206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500</w:t>
            </w:r>
          </w:p>
        </w:tc>
        <w:tc>
          <w:tcPr>
            <w:tcW w:w="1134" w:type="dxa"/>
            <w:noWrap/>
            <w:vAlign w:val="center"/>
            <w:hideMark/>
          </w:tcPr>
          <w:p w14:paraId="78F9B48C" w14:textId="50A55668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</w:t>
            </w:r>
            <w:r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500</w:t>
            </w:r>
            <w:r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000</w:t>
            </w:r>
          </w:p>
        </w:tc>
        <w:tc>
          <w:tcPr>
            <w:tcW w:w="1139" w:type="dxa"/>
            <w:vAlign w:val="center"/>
          </w:tcPr>
          <w:p w14:paraId="1E904CEE" w14:textId="727C4679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</w:t>
            </w:r>
            <w:r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500</w:t>
            </w:r>
            <w:r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000</w:t>
            </w:r>
          </w:p>
        </w:tc>
      </w:tr>
      <w:tr w:rsidR="00E72602" w:rsidRPr="00E72602" w14:paraId="7255BAE3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69C0C6C4" w14:textId="77777777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>Velocidad de datos (Mbit/s)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962FBC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B213AA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A94ED3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41EE57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400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761327C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A7F56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320</w:t>
            </w:r>
          </w:p>
        </w:tc>
        <w:tc>
          <w:tcPr>
            <w:tcW w:w="1134" w:type="dxa"/>
            <w:noWrap/>
            <w:vAlign w:val="center"/>
            <w:hideMark/>
          </w:tcPr>
          <w:p w14:paraId="7753DA3C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100</w:t>
            </w:r>
          </w:p>
        </w:tc>
        <w:tc>
          <w:tcPr>
            <w:tcW w:w="1139" w:type="dxa"/>
            <w:vAlign w:val="center"/>
          </w:tcPr>
          <w:p w14:paraId="66E82163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600 por canal</w:t>
            </w:r>
          </w:p>
        </w:tc>
      </w:tr>
      <w:tr w:rsidR="00342966" w:rsidRPr="00E72602" w14:paraId="521D2B37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</w:tcPr>
          <w:p w14:paraId="5DEF9431" w14:textId="77777777" w:rsidR="00342966" w:rsidRPr="00E72602" w:rsidRDefault="00342966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>Método de modulación</w:t>
            </w:r>
          </w:p>
        </w:tc>
        <w:tc>
          <w:tcPr>
            <w:tcW w:w="8222" w:type="dxa"/>
            <w:gridSpan w:val="7"/>
            <w:shd w:val="clear" w:color="auto" w:fill="auto"/>
            <w:noWrap/>
            <w:vAlign w:val="center"/>
          </w:tcPr>
          <w:p w14:paraId="7C384207" w14:textId="381CBFF8" w:rsidR="00342966" w:rsidRPr="00E72602" w:rsidRDefault="00342966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MDP-4 sin codificar</w:t>
            </w:r>
          </w:p>
        </w:tc>
        <w:tc>
          <w:tcPr>
            <w:tcW w:w="1139" w:type="dxa"/>
            <w:vAlign w:val="center"/>
          </w:tcPr>
          <w:p w14:paraId="1549FA8A" w14:textId="77777777" w:rsidR="00342966" w:rsidRPr="00E72602" w:rsidRDefault="00342966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MDP-8</w:t>
            </w:r>
          </w:p>
        </w:tc>
      </w:tr>
      <w:tr w:rsidR="00E72602" w:rsidRPr="00E72602" w14:paraId="44C39922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440FC7D4" w14:textId="77777777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>Potencia de transmisión del S/C (dBW)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71EA9B" w14:textId="32942288" w:rsidR="00E72602" w:rsidRPr="00E72602" w:rsidRDefault="00157B1E" w:rsidP="00E72602">
            <w:pPr>
              <w:pStyle w:val="Tabletext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−</w:t>
            </w:r>
            <w:r w:rsidR="00E72602" w:rsidRPr="00E72602">
              <w:rPr>
                <w:lang w:val="es-ES_tradnl"/>
              </w:rPr>
              <w:t>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4206F0" w14:textId="16B7A1CC" w:rsidR="00E72602" w:rsidRPr="00E72602" w:rsidRDefault="00157B1E" w:rsidP="00E72602">
            <w:pPr>
              <w:pStyle w:val="Tabletext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−</w:t>
            </w:r>
            <w:r w:rsidR="00E72602" w:rsidRPr="00E72602">
              <w:rPr>
                <w:lang w:val="es-ES_tradnl"/>
              </w:rPr>
              <w:t>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10FBBA" w14:textId="02B0E3C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−7,0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9606E7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93C12F" w14:textId="40C8EABE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5,0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6E5D2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11,8</w:t>
            </w:r>
          </w:p>
        </w:tc>
        <w:tc>
          <w:tcPr>
            <w:tcW w:w="1134" w:type="dxa"/>
            <w:noWrap/>
            <w:vAlign w:val="center"/>
            <w:hideMark/>
          </w:tcPr>
          <w:p w14:paraId="628B502D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13</w:t>
            </w:r>
          </w:p>
        </w:tc>
        <w:tc>
          <w:tcPr>
            <w:tcW w:w="1139" w:type="dxa"/>
            <w:vAlign w:val="center"/>
          </w:tcPr>
          <w:p w14:paraId="158FB29B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23</w:t>
            </w:r>
          </w:p>
        </w:tc>
      </w:tr>
      <w:tr w:rsidR="00E72602" w:rsidRPr="00E72602" w14:paraId="3B77537C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1ED6895E" w14:textId="77777777" w:rsidR="00E72602" w:rsidRPr="00E72602" w:rsidRDefault="00E72602" w:rsidP="00E72602">
            <w:pPr>
              <w:pStyle w:val="Tabletext"/>
              <w:jc w:val="left"/>
              <w:rPr>
                <w:lang w:val="es-ES_tradnl"/>
              </w:rPr>
            </w:pPr>
            <w:r w:rsidRPr="00E72602">
              <w:rPr>
                <w:lang w:val="es-ES_tradnl"/>
              </w:rPr>
              <w:t>Filtro de transmisión del S/C, pérdidas en el cable (dBW)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6090B9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9CDE2D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043D71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−0,5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B5CA66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−0,5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22ADA7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−0,5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CD096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−0,5</w:t>
            </w:r>
          </w:p>
        </w:tc>
        <w:tc>
          <w:tcPr>
            <w:tcW w:w="1134" w:type="dxa"/>
            <w:noWrap/>
            <w:vAlign w:val="center"/>
            <w:hideMark/>
          </w:tcPr>
          <w:p w14:paraId="078ADA25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−0,5</w:t>
            </w:r>
          </w:p>
        </w:tc>
        <w:tc>
          <w:tcPr>
            <w:tcW w:w="1139" w:type="dxa"/>
            <w:vAlign w:val="center"/>
          </w:tcPr>
          <w:p w14:paraId="74DF7423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−0,5</w:t>
            </w:r>
          </w:p>
        </w:tc>
      </w:tr>
      <w:tr w:rsidR="00E72602" w:rsidRPr="00E72602" w14:paraId="64921B6E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6BCA7DC2" w14:textId="77777777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>Diámetro de la antena del transmisor del S/C (m)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4760C7" w14:textId="495168B6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58A250" w14:textId="7AF2650E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579FBE" w14:textId="6B38CB0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981D35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0,86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A54448" w14:textId="299576FD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969AE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1,5</w:t>
            </w:r>
          </w:p>
        </w:tc>
        <w:tc>
          <w:tcPr>
            <w:tcW w:w="1134" w:type="dxa"/>
            <w:noWrap/>
            <w:vAlign w:val="center"/>
            <w:hideMark/>
          </w:tcPr>
          <w:p w14:paraId="189804CA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1,5</w:t>
            </w:r>
          </w:p>
        </w:tc>
        <w:tc>
          <w:tcPr>
            <w:tcW w:w="1139" w:type="dxa"/>
            <w:vAlign w:val="center"/>
          </w:tcPr>
          <w:p w14:paraId="1AFC854A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2,3</w:t>
            </w:r>
          </w:p>
        </w:tc>
      </w:tr>
      <w:tr w:rsidR="00E72602" w:rsidRPr="00E72602" w14:paraId="5E7179D9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543349F7" w14:textId="77777777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>Eficacia de la antena de transmisión del S/C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A95E00" w14:textId="1A6D3FF2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87F499" w14:textId="159FAD3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BF802D" w14:textId="36E32175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A51C16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0,55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6333463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D7CE0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0,6</w:t>
            </w:r>
          </w:p>
        </w:tc>
        <w:tc>
          <w:tcPr>
            <w:tcW w:w="1134" w:type="dxa"/>
            <w:noWrap/>
            <w:vAlign w:val="center"/>
            <w:hideMark/>
          </w:tcPr>
          <w:p w14:paraId="345C8A8C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0,6</w:t>
            </w:r>
          </w:p>
        </w:tc>
        <w:tc>
          <w:tcPr>
            <w:tcW w:w="1139" w:type="dxa"/>
            <w:vAlign w:val="center"/>
          </w:tcPr>
          <w:p w14:paraId="5D3BE949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0,6</w:t>
            </w:r>
          </w:p>
        </w:tc>
      </w:tr>
      <w:tr w:rsidR="00E72602" w:rsidRPr="00E72602" w14:paraId="1892F86F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425C5BFD" w14:textId="77777777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>Ganancia de la antena de transmisión del S/C (dBi)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41D0CC" w14:textId="28BAD63B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20,9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F424C9" w14:textId="32420B03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20,9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340478" w14:textId="39758163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20,9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9C3414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40,0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986BDDC" w14:textId="6D2DD91B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37,3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E4531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45</w:t>
            </w:r>
          </w:p>
        </w:tc>
        <w:tc>
          <w:tcPr>
            <w:tcW w:w="1134" w:type="dxa"/>
            <w:noWrap/>
            <w:vAlign w:val="center"/>
            <w:hideMark/>
          </w:tcPr>
          <w:p w14:paraId="372118FB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45,2</w:t>
            </w:r>
          </w:p>
        </w:tc>
        <w:tc>
          <w:tcPr>
            <w:tcW w:w="1139" w:type="dxa"/>
            <w:vAlign w:val="center"/>
          </w:tcPr>
          <w:p w14:paraId="0BC82729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49</w:t>
            </w:r>
          </w:p>
        </w:tc>
      </w:tr>
      <w:tr w:rsidR="00E72602" w:rsidRPr="00E72602" w14:paraId="0B4216E9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59517810" w14:textId="5A1BD070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>P.i.r.e</w:t>
            </w:r>
            <w:r w:rsidR="00157B1E">
              <w:rPr>
                <w:lang w:val="es-ES_tradnl"/>
              </w:rPr>
              <w:t>.</w:t>
            </w:r>
            <w:r w:rsidRPr="00E72602">
              <w:rPr>
                <w:lang w:val="es-ES_tradnl"/>
              </w:rPr>
              <w:t xml:space="preserve"> de transmisión del S/C (dBW)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77F16E" w14:textId="46B67E0A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75C6DB" w14:textId="06F6B956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5A7463" w14:textId="3B997C6C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13,4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2FAF9D" w14:textId="06DDEAC0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48,</w:t>
            </w:r>
            <w:r w:rsidR="00157B1E">
              <w:rPr>
                <w:lang w:val="es-ES_tradn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770F5F9" w14:textId="6554A9EE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41,8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9266D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55,8</w:t>
            </w:r>
          </w:p>
        </w:tc>
        <w:tc>
          <w:tcPr>
            <w:tcW w:w="1134" w:type="dxa"/>
            <w:noWrap/>
            <w:vAlign w:val="center"/>
            <w:hideMark/>
          </w:tcPr>
          <w:p w14:paraId="3563FCB0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57,7</w:t>
            </w:r>
          </w:p>
        </w:tc>
        <w:tc>
          <w:tcPr>
            <w:tcW w:w="1139" w:type="dxa"/>
            <w:vAlign w:val="center"/>
          </w:tcPr>
          <w:p w14:paraId="57E1C4A7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71,5</w:t>
            </w:r>
          </w:p>
        </w:tc>
      </w:tr>
      <w:tr w:rsidR="00E72602" w:rsidRPr="00E72602" w14:paraId="7F710673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01758CC4" w14:textId="443F5837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>Densidad máxima de p.i.r.e</w:t>
            </w:r>
            <w:r w:rsidR="00624E2D">
              <w:rPr>
                <w:lang w:val="es-ES_tradnl"/>
              </w:rPr>
              <w:t>.</w:t>
            </w:r>
            <w:r w:rsidRPr="00E72602">
              <w:rPr>
                <w:lang w:val="es-ES_tradnl"/>
              </w:rPr>
              <w:t xml:space="preserve"> del S/C (dBW/MHz)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A5DD73" w14:textId="7252BEED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2D38A2" w14:textId="53F832F3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E25224" w14:textId="44594820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−9,6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760283" w14:textId="6F44BE05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25,0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4B2C10" w14:textId="74B3D482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18,8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63ECC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35,8</w:t>
            </w:r>
          </w:p>
        </w:tc>
        <w:tc>
          <w:tcPr>
            <w:tcW w:w="1134" w:type="dxa"/>
            <w:noWrap/>
            <w:vAlign w:val="center"/>
            <w:hideMark/>
          </w:tcPr>
          <w:p w14:paraId="710401E8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40,7</w:t>
            </w:r>
          </w:p>
        </w:tc>
        <w:tc>
          <w:tcPr>
            <w:tcW w:w="1139" w:type="dxa"/>
            <w:vAlign w:val="center"/>
          </w:tcPr>
          <w:p w14:paraId="41CA0D67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48,5</w:t>
            </w:r>
          </w:p>
        </w:tc>
      </w:tr>
      <w:tr w:rsidR="00E72602" w:rsidRPr="00E72602" w14:paraId="29BCF25C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</w:tcPr>
          <w:p w14:paraId="2E116868" w14:textId="77777777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>Longitud del trayecto (km)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DF36B8" w14:textId="44D0280A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2</w:t>
            </w:r>
            <w:r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784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4321FC" w14:textId="1633C80E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2</w:t>
            </w:r>
            <w:r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367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7BA52E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7C8703" w14:textId="32C838FD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40</w:t>
            </w:r>
            <w:r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585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A546BDD" w14:textId="62E2831E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20</w:t>
            </w:r>
            <w:r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AB4CE" w14:textId="332ACB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20</w:t>
            </w:r>
            <w:r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000</w:t>
            </w:r>
          </w:p>
        </w:tc>
        <w:tc>
          <w:tcPr>
            <w:tcW w:w="1134" w:type="dxa"/>
            <w:noWrap/>
            <w:vAlign w:val="center"/>
          </w:tcPr>
          <w:p w14:paraId="0CB73388" w14:textId="14ADD57B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</w:t>
            </w:r>
            <w:r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505</w:t>
            </w:r>
            <w:r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257</w:t>
            </w:r>
          </w:p>
        </w:tc>
        <w:tc>
          <w:tcPr>
            <w:tcW w:w="1139" w:type="dxa"/>
            <w:vAlign w:val="center"/>
          </w:tcPr>
          <w:p w14:paraId="6B40A313" w14:textId="0E97E89C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</w:t>
            </w:r>
            <w:r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505</w:t>
            </w:r>
            <w:r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257</w:t>
            </w:r>
          </w:p>
        </w:tc>
      </w:tr>
      <w:tr w:rsidR="00460AB0" w:rsidRPr="00E72602" w14:paraId="65C8D621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</w:tcPr>
          <w:p w14:paraId="1D27C4F2" w14:textId="77777777" w:rsidR="00460AB0" w:rsidRPr="00E72602" w:rsidRDefault="00460AB0" w:rsidP="001472D9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>Pérdidas de trayecto en el espacio libre (dB)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BB44B8" w14:textId="77777777" w:rsidR="00460AB0" w:rsidRPr="00E72602" w:rsidRDefault="00460AB0" w:rsidP="001472D9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184,9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48014A" w14:textId="77777777" w:rsidR="00460AB0" w:rsidRPr="00E72602" w:rsidRDefault="00460AB0" w:rsidP="001472D9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183,5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66416F" w14:textId="77777777" w:rsidR="00460AB0" w:rsidRPr="00E72602" w:rsidRDefault="00460AB0" w:rsidP="001472D9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174,0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E91916" w14:textId="77777777" w:rsidR="00460AB0" w:rsidRPr="00E72602" w:rsidRDefault="00460AB0" w:rsidP="001472D9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208,1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F74520F" w14:textId="77777777" w:rsidR="00460AB0" w:rsidRPr="00E72602" w:rsidRDefault="00460AB0" w:rsidP="001472D9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225,5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CE6F6" w14:textId="77777777" w:rsidR="00460AB0" w:rsidRPr="00E72602" w:rsidRDefault="00460AB0" w:rsidP="001472D9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225,5</w:t>
            </w:r>
          </w:p>
        </w:tc>
        <w:tc>
          <w:tcPr>
            <w:tcW w:w="1134" w:type="dxa"/>
            <w:noWrap/>
            <w:vAlign w:val="center"/>
          </w:tcPr>
          <w:p w14:paraId="7EB53937" w14:textId="77777777" w:rsidR="00460AB0" w:rsidRPr="00E72602" w:rsidRDefault="00460AB0" w:rsidP="001472D9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239,5</w:t>
            </w:r>
          </w:p>
        </w:tc>
        <w:tc>
          <w:tcPr>
            <w:tcW w:w="1139" w:type="dxa"/>
            <w:vAlign w:val="center"/>
          </w:tcPr>
          <w:p w14:paraId="0960E89F" w14:textId="77777777" w:rsidR="00460AB0" w:rsidRPr="00E72602" w:rsidRDefault="00460AB0" w:rsidP="001472D9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239,5</w:t>
            </w:r>
          </w:p>
        </w:tc>
      </w:tr>
    </w:tbl>
    <w:p w14:paraId="50AA80F9" w14:textId="77777777" w:rsidR="00E72602" w:rsidRPr="00E72602" w:rsidRDefault="00E72602" w:rsidP="00E72602">
      <w:pPr>
        <w:pStyle w:val="TableNo"/>
        <w:rPr>
          <w:lang w:val="es-ES_tradnl"/>
        </w:rPr>
      </w:pPr>
      <w:r w:rsidRPr="00E72602">
        <w:rPr>
          <w:lang w:val="es-ES_tradnl"/>
        </w:rPr>
        <w:lastRenderedPageBreak/>
        <w:t>CUADRO 1 (</w:t>
      </w:r>
      <w:r w:rsidRPr="00E72602">
        <w:rPr>
          <w:i/>
          <w:iCs/>
          <w:lang w:val="es-ES_tradnl"/>
        </w:rPr>
        <w:t>fin</w:t>
      </w:r>
      <w:r w:rsidRPr="00E72602">
        <w:rPr>
          <w:lang w:val="es-ES_tradnl"/>
        </w:rPr>
        <w:t>)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276"/>
        <w:gridCol w:w="1276"/>
        <w:gridCol w:w="1276"/>
        <w:gridCol w:w="1275"/>
        <w:gridCol w:w="993"/>
        <w:gridCol w:w="992"/>
        <w:gridCol w:w="1134"/>
        <w:gridCol w:w="1139"/>
      </w:tblGrid>
      <w:tr w:rsidR="00E72602" w:rsidRPr="00E72602" w14:paraId="0F1ECE41" w14:textId="77777777" w:rsidTr="00F778C2">
        <w:trPr>
          <w:trHeight w:val="1300"/>
          <w:jc w:val="center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3822AA39" w14:textId="77777777" w:rsidR="00E72602" w:rsidRPr="00E72602" w:rsidRDefault="00E72602" w:rsidP="00E72602">
            <w:pPr>
              <w:pStyle w:val="Tablehead"/>
              <w:rPr>
                <w:lang w:val="es-ES_tradnl"/>
              </w:rPr>
            </w:pPr>
            <w:r w:rsidRPr="00E72602">
              <w:rPr>
                <w:lang w:val="es-ES_tradnl"/>
              </w:rPr>
              <w:t>Caso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E9176A" w14:textId="20934048" w:rsidR="00E72602" w:rsidRPr="00E72602" w:rsidRDefault="00E72602" w:rsidP="002B0532">
            <w:pPr>
              <w:pStyle w:val="Tablehead"/>
              <w:ind w:left="-57" w:right="-57"/>
              <w:rPr>
                <w:lang w:val="es-ES_tradnl"/>
              </w:rPr>
            </w:pPr>
            <w:r w:rsidRPr="00E72602">
              <w:rPr>
                <w:lang w:val="es-ES_tradnl"/>
              </w:rPr>
              <w:t>No</w:t>
            </w:r>
            <w:r w:rsidR="00157B1E"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 xml:space="preserve">OSG, 800 km de altitud y 5 grados de elevación de antena </w:t>
            </w:r>
            <w:r w:rsidRPr="00E72602">
              <w:rPr>
                <w:lang w:val="es-ES_tradnl"/>
              </w:rPr>
              <w:br/>
              <w:t>de la ET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33F4A8" w14:textId="770E330E" w:rsidR="00E72602" w:rsidRPr="00E72602" w:rsidRDefault="00E72602" w:rsidP="002B0532">
            <w:pPr>
              <w:pStyle w:val="Tablehead"/>
              <w:ind w:left="-57" w:right="-57"/>
              <w:rPr>
                <w:lang w:val="es-ES_tradnl"/>
              </w:rPr>
            </w:pPr>
            <w:r w:rsidRPr="00E72602">
              <w:rPr>
                <w:lang w:val="es-ES_tradnl"/>
              </w:rPr>
              <w:t>No</w:t>
            </w:r>
            <w:r w:rsidR="00157B1E"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 xml:space="preserve">OSG, 800 km de altitud y 10 grados de elevación de antena </w:t>
            </w:r>
            <w:r w:rsidRPr="00E72602">
              <w:rPr>
                <w:lang w:val="es-ES_tradnl"/>
              </w:rPr>
              <w:br/>
              <w:t>de la ET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3D9EE1" w14:textId="46A20A82" w:rsidR="00E72602" w:rsidRPr="00E72602" w:rsidRDefault="00E72602" w:rsidP="002B0532">
            <w:pPr>
              <w:pStyle w:val="Tablehead"/>
              <w:ind w:left="-57" w:right="-57"/>
              <w:rPr>
                <w:lang w:val="es-ES_tradnl"/>
              </w:rPr>
            </w:pPr>
            <w:r w:rsidRPr="00E72602">
              <w:rPr>
                <w:lang w:val="es-ES_tradnl"/>
              </w:rPr>
              <w:t>No</w:t>
            </w:r>
            <w:r w:rsidR="00157B1E"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 xml:space="preserve">OSG, 800 km de altitud y 90 grados de elevación de antena </w:t>
            </w:r>
            <w:r w:rsidRPr="00E72602">
              <w:rPr>
                <w:lang w:val="es-ES_tradnl"/>
              </w:rPr>
              <w:br/>
              <w:t>de la ET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0051360" w14:textId="77777777" w:rsidR="00E72602" w:rsidRPr="00E72602" w:rsidRDefault="00E72602" w:rsidP="002B0532">
            <w:pPr>
              <w:pStyle w:val="Tablehead"/>
              <w:ind w:left="-57" w:right="-57"/>
              <w:rPr>
                <w:lang w:val="es-ES_tradnl"/>
              </w:rPr>
            </w:pPr>
            <w:r w:rsidRPr="00E72602">
              <w:rPr>
                <w:lang w:val="es-ES_tradnl"/>
              </w:rPr>
              <w:t xml:space="preserve">OSG, </w:t>
            </w:r>
            <w:r w:rsidRPr="00E72602">
              <w:rPr>
                <w:lang w:val="es-ES_tradnl"/>
              </w:rPr>
              <w:br/>
              <w:t>10 grados de elevación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DC52A9C" w14:textId="77777777" w:rsidR="00E72602" w:rsidRPr="00E72602" w:rsidRDefault="00E72602" w:rsidP="00E72602">
            <w:pPr>
              <w:pStyle w:val="Tablehead"/>
              <w:rPr>
                <w:lang w:val="es-ES_tradnl"/>
              </w:rPr>
            </w:pPr>
            <w:r w:rsidRPr="00E72602">
              <w:rPr>
                <w:lang w:val="es-ES_tradnl"/>
              </w:rPr>
              <w:t>HEO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06954" w14:textId="77777777" w:rsidR="00E72602" w:rsidRPr="00E72602" w:rsidRDefault="00E72602" w:rsidP="00E72602">
            <w:pPr>
              <w:pStyle w:val="Tablehead"/>
              <w:rPr>
                <w:lang w:val="es-ES_tradnl"/>
              </w:rPr>
            </w:pPr>
            <w:r w:rsidRPr="00E72602">
              <w:rPr>
                <w:lang w:val="es-ES_tradnl"/>
              </w:rPr>
              <w:t>HEO</w:t>
            </w:r>
          </w:p>
        </w:tc>
        <w:tc>
          <w:tcPr>
            <w:tcW w:w="1134" w:type="dxa"/>
            <w:vAlign w:val="center"/>
            <w:hideMark/>
          </w:tcPr>
          <w:p w14:paraId="0AD5A05F" w14:textId="77777777" w:rsidR="00E72602" w:rsidRPr="00E72602" w:rsidRDefault="00E72602" w:rsidP="00E72602">
            <w:pPr>
              <w:pStyle w:val="Tablehead"/>
              <w:rPr>
                <w:lang w:val="es-ES_tradnl"/>
              </w:rPr>
            </w:pPr>
            <w:r w:rsidRPr="00E72602">
              <w:rPr>
                <w:lang w:val="es-ES_tradnl"/>
              </w:rPr>
              <w:t>L1/L2</w:t>
            </w:r>
          </w:p>
        </w:tc>
        <w:tc>
          <w:tcPr>
            <w:tcW w:w="1139" w:type="dxa"/>
            <w:vAlign w:val="center"/>
          </w:tcPr>
          <w:p w14:paraId="407622B8" w14:textId="77777777" w:rsidR="00E72602" w:rsidRPr="00E72602" w:rsidRDefault="00E72602" w:rsidP="00E72602">
            <w:pPr>
              <w:pStyle w:val="Tablehead"/>
              <w:rPr>
                <w:lang w:val="es-ES_tradnl"/>
              </w:rPr>
            </w:pPr>
            <w:r w:rsidRPr="00E72602">
              <w:rPr>
                <w:lang w:val="es-ES_tradnl"/>
              </w:rPr>
              <w:t>L1/L2</w:t>
            </w:r>
          </w:p>
        </w:tc>
      </w:tr>
      <w:tr w:rsidR="00E72602" w:rsidRPr="00E72602" w14:paraId="1EEB3F72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</w:tcPr>
          <w:p w14:paraId="06F5DBB7" w14:textId="014BAF2A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>10*log(4 * π * </w:t>
            </w:r>
            <w:r w:rsidRPr="00E72602">
              <w:rPr>
                <w:i/>
                <w:iCs/>
                <w:lang w:val="es-ES_tradnl"/>
              </w:rPr>
              <w:t>d</w:t>
            </w:r>
            <w:r w:rsidRPr="00E72602">
              <w:rPr>
                <w:vertAlign w:val="superscript"/>
                <w:lang w:val="es-ES_tradnl"/>
              </w:rPr>
              <w:t>2</w:t>
            </w:r>
            <w:r w:rsidRPr="00E72602">
              <w:rPr>
                <w:lang w:val="es-ES_tradnl"/>
              </w:rPr>
              <w:t>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FABB2C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139,9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EB4998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138,5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73386A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129,1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481F70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163,2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2EAD8DC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157,0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E7392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157,0</w:t>
            </w:r>
          </w:p>
        </w:tc>
        <w:tc>
          <w:tcPr>
            <w:tcW w:w="1134" w:type="dxa"/>
            <w:noWrap/>
            <w:vAlign w:val="center"/>
          </w:tcPr>
          <w:p w14:paraId="11F4876D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194,5</w:t>
            </w:r>
          </w:p>
        </w:tc>
        <w:tc>
          <w:tcPr>
            <w:tcW w:w="1139" w:type="dxa"/>
            <w:vAlign w:val="center"/>
          </w:tcPr>
          <w:p w14:paraId="6CFC1CD6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194,5</w:t>
            </w:r>
          </w:p>
        </w:tc>
      </w:tr>
      <w:tr w:rsidR="00E72602" w:rsidRPr="00E72602" w14:paraId="5A685143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41EDBC13" w14:textId="77777777" w:rsidR="00E72602" w:rsidRPr="00E72602" w:rsidRDefault="00E72602" w:rsidP="00342966">
            <w:pPr>
              <w:pStyle w:val="Tabletext"/>
              <w:jc w:val="left"/>
              <w:rPr>
                <w:lang w:val="es-ES_tradnl"/>
              </w:rPr>
            </w:pPr>
            <w:r w:rsidRPr="00E72602">
              <w:rPr>
                <w:lang w:val="es-ES_tradnl"/>
              </w:rPr>
              <w:t>Ángulo de elevación de la antena de la ET receptora (grados)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54FF90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DD2F46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6B62D9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90,0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BC178A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FDFFAF3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B12D3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10,0</w:t>
            </w:r>
          </w:p>
        </w:tc>
        <w:tc>
          <w:tcPr>
            <w:tcW w:w="1134" w:type="dxa"/>
            <w:noWrap/>
            <w:vAlign w:val="center"/>
            <w:hideMark/>
          </w:tcPr>
          <w:p w14:paraId="53FDD442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10,0</w:t>
            </w:r>
          </w:p>
        </w:tc>
        <w:tc>
          <w:tcPr>
            <w:tcW w:w="1139" w:type="dxa"/>
            <w:vAlign w:val="center"/>
          </w:tcPr>
          <w:p w14:paraId="4BC4DD3D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10,0</w:t>
            </w:r>
          </w:p>
        </w:tc>
      </w:tr>
      <w:tr w:rsidR="00E72602" w:rsidRPr="00E72602" w14:paraId="412D6B72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  <w:hideMark/>
          </w:tcPr>
          <w:p w14:paraId="6F026AF4" w14:textId="2211592B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>Límite de dfp (dB(W/(m</w:t>
            </w:r>
            <w:r w:rsidRPr="00E72602">
              <w:rPr>
                <w:vertAlign w:val="superscript"/>
                <w:lang w:val="es-ES_tradnl"/>
              </w:rPr>
              <w:t>2</w:t>
            </w:r>
            <w:r w:rsidR="00157B1E"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‧</w:t>
            </w:r>
            <w:r w:rsidR="00157B1E"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MHz)))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CDF6E5" w14:textId="6CDAA8BB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−138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858A87" w14:textId="23FD5FDA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−138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2046FE" w14:textId="5C69D606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−138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5051F9" w14:textId="08C2BA36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−138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1656CD1" w14:textId="308692D4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−138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C399D" w14:textId="6243FEC2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−138</w:t>
            </w:r>
          </w:p>
        </w:tc>
        <w:tc>
          <w:tcPr>
            <w:tcW w:w="1134" w:type="dxa"/>
            <w:noWrap/>
            <w:vAlign w:val="center"/>
            <w:hideMark/>
          </w:tcPr>
          <w:p w14:paraId="0F0AF70B" w14:textId="1849310E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−138</w:t>
            </w:r>
          </w:p>
        </w:tc>
        <w:tc>
          <w:tcPr>
            <w:tcW w:w="1139" w:type="dxa"/>
            <w:vAlign w:val="center"/>
          </w:tcPr>
          <w:p w14:paraId="32B41243" w14:textId="22D1A58C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−138</w:t>
            </w:r>
          </w:p>
        </w:tc>
      </w:tr>
      <w:tr w:rsidR="00E72602" w:rsidRPr="00E72602" w14:paraId="5D3F4262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</w:tcPr>
          <w:p w14:paraId="067FC11B" w14:textId="443ABE3B" w:rsidR="00E72602" w:rsidRPr="00E72602" w:rsidRDefault="00E72602" w:rsidP="00157B1E">
            <w:pPr>
              <w:pStyle w:val="Tabletext"/>
              <w:jc w:val="left"/>
              <w:rPr>
                <w:lang w:val="es-ES_tradnl"/>
              </w:rPr>
            </w:pPr>
            <w:r w:rsidRPr="00E72602">
              <w:rPr>
                <w:lang w:val="es-ES_tradnl"/>
              </w:rPr>
              <w:t>Dfp en la superficie de la Tierra</w:t>
            </w:r>
            <w:r w:rsidRPr="00E72602">
              <w:rPr>
                <w:lang w:val="es-ES_tradnl"/>
              </w:rPr>
              <w:br/>
              <w:t>(dB(W/(m</w:t>
            </w:r>
            <w:r w:rsidRPr="00E72602">
              <w:rPr>
                <w:vertAlign w:val="superscript"/>
                <w:lang w:val="es-ES_tradnl"/>
              </w:rPr>
              <w:t>2</w:t>
            </w:r>
            <w:r w:rsidR="00157B1E"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‧</w:t>
            </w:r>
            <w:r w:rsidR="00157B1E"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MHz)))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1FEBF1" w14:textId="60B14C4D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−149,5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AB7329" w14:textId="0B7131B9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−148,1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6DDA6A" w14:textId="1436390A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−138,7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60EB47" w14:textId="78FB4D9B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−138,2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72EC34F" w14:textId="6321BFCE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−138,2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7703D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−161,7</w:t>
            </w:r>
          </w:p>
        </w:tc>
        <w:tc>
          <w:tcPr>
            <w:tcW w:w="1134" w:type="dxa"/>
            <w:noWrap/>
            <w:vAlign w:val="center"/>
          </w:tcPr>
          <w:p w14:paraId="70699306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−153,8</w:t>
            </w:r>
          </w:p>
        </w:tc>
        <w:tc>
          <w:tcPr>
            <w:tcW w:w="1139" w:type="dxa"/>
            <w:vAlign w:val="center"/>
          </w:tcPr>
          <w:p w14:paraId="1D3A363B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−147,3</w:t>
            </w:r>
          </w:p>
        </w:tc>
      </w:tr>
      <w:tr w:rsidR="00E72602" w:rsidRPr="00E72602" w14:paraId="78ED535C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</w:tcPr>
          <w:p w14:paraId="5EE29858" w14:textId="77777777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>Diámetro de la antena receptora de la ET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FB53A4" w14:textId="2FE866B4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18.0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C49518" w14:textId="3CBC5DA8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18,0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987D61" w14:textId="7A9A6095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0ECCE7" w14:textId="2B6E5836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9,0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CD78B83" w14:textId="0556F20B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7,0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10195F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12,0</w:t>
            </w:r>
          </w:p>
        </w:tc>
        <w:tc>
          <w:tcPr>
            <w:tcW w:w="1134" w:type="dxa"/>
            <w:noWrap/>
            <w:vAlign w:val="center"/>
          </w:tcPr>
          <w:p w14:paraId="28AA4A39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34,0</w:t>
            </w:r>
          </w:p>
        </w:tc>
        <w:tc>
          <w:tcPr>
            <w:tcW w:w="1139" w:type="dxa"/>
            <w:vAlign w:val="center"/>
          </w:tcPr>
          <w:p w14:paraId="27EE3829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32,0</w:t>
            </w:r>
          </w:p>
        </w:tc>
      </w:tr>
      <w:tr w:rsidR="00E72602" w:rsidRPr="00E72602" w14:paraId="23084665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</w:tcPr>
          <w:p w14:paraId="43A3E1CA" w14:textId="77777777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>Eficiencia de la antena receptora de la ET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19D57C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1F9404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7E5077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E1E9EE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6D81D50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95555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0,7</w:t>
            </w:r>
          </w:p>
        </w:tc>
        <w:tc>
          <w:tcPr>
            <w:tcW w:w="1134" w:type="dxa"/>
            <w:noWrap/>
            <w:vAlign w:val="center"/>
          </w:tcPr>
          <w:p w14:paraId="417BA4D3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0,7</w:t>
            </w:r>
          </w:p>
        </w:tc>
        <w:tc>
          <w:tcPr>
            <w:tcW w:w="1139" w:type="dxa"/>
            <w:vAlign w:val="center"/>
          </w:tcPr>
          <w:p w14:paraId="3F6F11BD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0,7</w:t>
            </w:r>
          </w:p>
        </w:tc>
      </w:tr>
      <w:tr w:rsidR="00E72602" w:rsidRPr="00E72602" w14:paraId="3AF397ED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</w:tcPr>
          <w:p w14:paraId="0F815627" w14:textId="77777777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>Ganancia de la antena receptora de la ET (dBi)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D2D841" w14:textId="2DBB285B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67,5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BF1766" w14:textId="56A5FA3D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67,5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F1592D" w14:textId="41897D49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67,5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F70B3C" w14:textId="5D24DAD4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61,5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476C840" w14:textId="10DBC558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59,3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D15B8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64,0</w:t>
            </w:r>
          </w:p>
        </w:tc>
        <w:tc>
          <w:tcPr>
            <w:tcW w:w="1134" w:type="dxa"/>
            <w:noWrap/>
            <w:vAlign w:val="center"/>
          </w:tcPr>
          <w:p w14:paraId="6166FED8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73,0</w:t>
            </w:r>
          </w:p>
        </w:tc>
        <w:tc>
          <w:tcPr>
            <w:tcW w:w="1139" w:type="dxa"/>
            <w:vAlign w:val="center"/>
          </w:tcPr>
          <w:p w14:paraId="474B9DDA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72,5</w:t>
            </w:r>
          </w:p>
        </w:tc>
      </w:tr>
      <w:tr w:rsidR="00E72602" w:rsidRPr="00E72602" w14:paraId="04319F65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</w:tcPr>
          <w:p w14:paraId="2E182FDF" w14:textId="77777777" w:rsidR="00E72602" w:rsidRPr="00E72602" w:rsidRDefault="00E72602" w:rsidP="00342966">
            <w:pPr>
              <w:pStyle w:val="Tabletext"/>
              <w:jc w:val="left"/>
              <w:rPr>
                <w:lang w:val="es-ES_tradnl"/>
              </w:rPr>
            </w:pPr>
            <w:r w:rsidRPr="00E72602">
              <w:rPr>
                <w:lang w:val="es-ES_tradnl"/>
              </w:rPr>
              <w:t>Tolerancia en el borde del haz, pérdidas por lluvia y atenuación atmosférica (dB)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F15081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AA648A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−3,0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DFEFC1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−3,0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FD8F0F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−3,0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E662B62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−4,0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B2F08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−4,0</w:t>
            </w:r>
          </w:p>
        </w:tc>
        <w:tc>
          <w:tcPr>
            <w:tcW w:w="1134" w:type="dxa"/>
            <w:noWrap/>
            <w:vAlign w:val="center"/>
          </w:tcPr>
          <w:p w14:paraId="0C683D58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−4,0</w:t>
            </w:r>
          </w:p>
        </w:tc>
        <w:tc>
          <w:tcPr>
            <w:tcW w:w="1139" w:type="dxa"/>
            <w:vAlign w:val="center"/>
          </w:tcPr>
          <w:p w14:paraId="16062121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−4,0</w:t>
            </w:r>
          </w:p>
        </w:tc>
      </w:tr>
      <w:tr w:rsidR="00E72602" w:rsidRPr="00E72602" w14:paraId="60EB0B6F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</w:tcPr>
          <w:p w14:paraId="7EBCA633" w14:textId="41684F3E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>Temperatura de ruido del sistema receptor de la ET (K)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4101CB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EE879D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D554B9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150,0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200A02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150,0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E2CCF88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28852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150</w:t>
            </w:r>
          </w:p>
        </w:tc>
        <w:tc>
          <w:tcPr>
            <w:tcW w:w="1134" w:type="dxa"/>
            <w:noWrap/>
            <w:vAlign w:val="center"/>
          </w:tcPr>
          <w:p w14:paraId="6FD48BA0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150,0</w:t>
            </w:r>
          </w:p>
        </w:tc>
        <w:tc>
          <w:tcPr>
            <w:tcW w:w="1139" w:type="dxa"/>
            <w:vAlign w:val="center"/>
          </w:tcPr>
          <w:p w14:paraId="47FD7129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150</w:t>
            </w:r>
          </w:p>
        </w:tc>
      </w:tr>
      <w:tr w:rsidR="00E72602" w:rsidRPr="00E72602" w14:paraId="78012AEB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</w:tcPr>
          <w:p w14:paraId="34227D7D" w14:textId="77777777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>Potencia de ruido (dBW/Hz)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34E7EC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−206,8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B21576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−206,8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EE29B5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−206,8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C2D66D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−206,8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8A8ECFD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−206,8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87423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−206,8</w:t>
            </w:r>
          </w:p>
        </w:tc>
        <w:tc>
          <w:tcPr>
            <w:tcW w:w="1134" w:type="dxa"/>
            <w:noWrap/>
            <w:vAlign w:val="center"/>
          </w:tcPr>
          <w:p w14:paraId="2AAC2E78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−206,8</w:t>
            </w:r>
          </w:p>
        </w:tc>
        <w:tc>
          <w:tcPr>
            <w:tcW w:w="1139" w:type="dxa"/>
            <w:vAlign w:val="center"/>
          </w:tcPr>
          <w:p w14:paraId="2A7F7D93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−206,8</w:t>
            </w:r>
          </w:p>
        </w:tc>
      </w:tr>
      <w:tr w:rsidR="00E72602" w:rsidRPr="00E72602" w14:paraId="1666DBD8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</w:tcPr>
          <w:p w14:paraId="5FD87440" w14:textId="77777777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>Pérdidas del receptor (dB)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F0B742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−1,0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B32A0D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−1,0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613514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−1,0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3DF982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−1,0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299E7BD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5C23A4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−1,0</w:t>
            </w:r>
          </w:p>
        </w:tc>
        <w:tc>
          <w:tcPr>
            <w:tcW w:w="1134" w:type="dxa"/>
            <w:noWrap/>
            <w:vAlign w:val="center"/>
          </w:tcPr>
          <w:p w14:paraId="0AD0064D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−1,0</w:t>
            </w:r>
          </w:p>
        </w:tc>
        <w:tc>
          <w:tcPr>
            <w:tcW w:w="1139" w:type="dxa"/>
            <w:vAlign w:val="center"/>
          </w:tcPr>
          <w:p w14:paraId="698E6288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−1,0</w:t>
            </w:r>
          </w:p>
        </w:tc>
      </w:tr>
      <w:tr w:rsidR="00E72602" w:rsidRPr="00E72602" w14:paraId="68D826BE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</w:tcPr>
          <w:p w14:paraId="030C982F" w14:textId="77777777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>Relación potencia por bit/de ruido (</w:t>
            </w:r>
            <w:r w:rsidRPr="00342966">
              <w:rPr>
                <w:i/>
                <w:iCs/>
                <w:lang w:val="es-ES_tradnl"/>
              </w:rPr>
              <w:t>Eb/No</w:t>
            </w:r>
            <w:r w:rsidRPr="00E72602">
              <w:rPr>
                <w:lang w:val="es-ES_tradnl"/>
              </w:rPr>
              <w:t>) (dB)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36E4B8" w14:textId="7256B7A5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13,8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F12FAC" w14:textId="36926559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BEDF9B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24,7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951C8A" w14:textId="28F4673C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19,2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474D52A" w14:textId="58C6F3E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15,9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28FFD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17,7</w:t>
            </w:r>
          </w:p>
        </w:tc>
        <w:tc>
          <w:tcPr>
            <w:tcW w:w="1134" w:type="dxa"/>
            <w:noWrap/>
            <w:vAlign w:val="center"/>
          </w:tcPr>
          <w:p w14:paraId="65FAADC1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12,5</w:t>
            </w:r>
          </w:p>
        </w:tc>
        <w:tc>
          <w:tcPr>
            <w:tcW w:w="1139" w:type="dxa"/>
            <w:vAlign w:val="center"/>
          </w:tcPr>
          <w:p w14:paraId="5CE8C4F1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18,5</w:t>
            </w:r>
          </w:p>
        </w:tc>
      </w:tr>
      <w:tr w:rsidR="00E72602" w:rsidRPr="00E72602" w14:paraId="061A2146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</w:tcPr>
          <w:p w14:paraId="47533505" w14:textId="77777777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 xml:space="preserve">Relación </w:t>
            </w:r>
            <w:r w:rsidRPr="00342966">
              <w:rPr>
                <w:i/>
                <w:iCs/>
                <w:lang w:val="es-ES_tradnl"/>
              </w:rPr>
              <w:t>Eb/No</w:t>
            </w:r>
            <w:r w:rsidRPr="00E72602">
              <w:rPr>
                <w:lang w:val="es-ES_tradnl"/>
              </w:rPr>
              <w:t xml:space="preserve"> teórica (1E-6 BER) (dB)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25CD2B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3CC7FB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D0CE77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10,5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8D5C76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10,5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820DB4D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10,5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A2145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10,5</w:t>
            </w:r>
          </w:p>
        </w:tc>
        <w:tc>
          <w:tcPr>
            <w:tcW w:w="1134" w:type="dxa"/>
            <w:noWrap/>
            <w:vAlign w:val="center"/>
          </w:tcPr>
          <w:p w14:paraId="112B1721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10,5</w:t>
            </w:r>
          </w:p>
        </w:tc>
        <w:tc>
          <w:tcPr>
            <w:tcW w:w="1139" w:type="dxa"/>
            <w:vAlign w:val="center"/>
          </w:tcPr>
          <w:p w14:paraId="3D231645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15</w:t>
            </w:r>
          </w:p>
        </w:tc>
      </w:tr>
      <w:tr w:rsidR="00E72602" w:rsidRPr="00E72602" w14:paraId="0B2578E1" w14:textId="77777777" w:rsidTr="00F778C2">
        <w:trPr>
          <w:trHeight w:val="290"/>
          <w:jc w:val="center"/>
        </w:trPr>
        <w:tc>
          <w:tcPr>
            <w:tcW w:w="5098" w:type="dxa"/>
            <w:shd w:val="clear" w:color="auto" w:fill="auto"/>
            <w:noWrap/>
            <w:vAlign w:val="center"/>
          </w:tcPr>
          <w:p w14:paraId="337B237E" w14:textId="77777777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 xml:space="preserve">Relación </w:t>
            </w:r>
            <w:r w:rsidRPr="00342966">
              <w:rPr>
                <w:i/>
                <w:iCs/>
                <w:lang w:val="es-ES_tradnl"/>
              </w:rPr>
              <w:t>Eb/No</w:t>
            </w:r>
            <w:r w:rsidRPr="00E72602">
              <w:rPr>
                <w:lang w:val="es-ES_tradnl"/>
              </w:rPr>
              <w:t xml:space="preserve"> necesaria (1E-6 BER) (dB)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0D60EF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4C613B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11,5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3AD4F1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11,5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830D1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11,5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84580CA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11,5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6AAE6F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11,5</w:t>
            </w:r>
          </w:p>
        </w:tc>
        <w:tc>
          <w:tcPr>
            <w:tcW w:w="1134" w:type="dxa"/>
            <w:noWrap/>
            <w:vAlign w:val="center"/>
          </w:tcPr>
          <w:p w14:paraId="70B2A520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11,5</w:t>
            </w:r>
          </w:p>
        </w:tc>
        <w:tc>
          <w:tcPr>
            <w:tcW w:w="1139" w:type="dxa"/>
            <w:vAlign w:val="center"/>
          </w:tcPr>
          <w:p w14:paraId="10759D70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16</w:t>
            </w:r>
          </w:p>
        </w:tc>
      </w:tr>
      <w:tr w:rsidR="00E72602" w:rsidRPr="00E72602" w14:paraId="4EDF04F6" w14:textId="77777777" w:rsidTr="00F778C2">
        <w:trPr>
          <w:trHeight w:val="290"/>
          <w:jc w:val="center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9B0324" w14:textId="77777777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 xml:space="preserve">Margen </w:t>
            </w:r>
            <w:r w:rsidRPr="00342966">
              <w:rPr>
                <w:i/>
                <w:iCs/>
                <w:lang w:val="es-ES_tradnl"/>
              </w:rPr>
              <w:t>Eb/No</w:t>
            </w:r>
            <w:r w:rsidRPr="00E72602">
              <w:rPr>
                <w:lang w:val="es-ES_tradnl"/>
              </w:rPr>
              <w:t xml:space="preserve"> (dB)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D446C8" w14:textId="67FB4DF4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2,3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AC442A" w14:textId="2BBD29C5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3,7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BFF379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13,2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EC384F" w14:textId="2E01BD78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7,7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38EFE4" w14:textId="5ADFF880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7B259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62620D32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1,0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66A12395" w14:textId="77777777" w:rsidR="00E72602" w:rsidRPr="00E72602" w:rsidRDefault="00E72602" w:rsidP="00E72602">
            <w:pPr>
              <w:pStyle w:val="Tabletext"/>
              <w:jc w:val="center"/>
              <w:rPr>
                <w:lang w:val="es-ES_tradnl"/>
              </w:rPr>
            </w:pPr>
            <w:r w:rsidRPr="00E72602">
              <w:rPr>
                <w:lang w:val="es-ES_tradnl"/>
              </w:rPr>
              <w:t>2,5</w:t>
            </w:r>
          </w:p>
        </w:tc>
      </w:tr>
      <w:tr w:rsidR="00E72602" w:rsidRPr="00E72602" w14:paraId="6E5C0AE7" w14:textId="77777777" w:rsidTr="00F778C2">
        <w:trPr>
          <w:trHeight w:val="290"/>
          <w:jc w:val="center"/>
        </w:trPr>
        <w:tc>
          <w:tcPr>
            <w:tcW w:w="1445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CCE388B" w14:textId="262EF882" w:rsidR="00E72602" w:rsidRPr="00E72602" w:rsidRDefault="00E72602" w:rsidP="00E72602">
            <w:pPr>
              <w:pStyle w:val="Tabletext"/>
              <w:rPr>
                <w:lang w:val="es-ES_tradnl"/>
              </w:rPr>
            </w:pPr>
            <w:r w:rsidRPr="00E72602">
              <w:rPr>
                <w:lang w:val="es-ES_tradnl"/>
              </w:rPr>
              <w:t>NOT</w:t>
            </w:r>
            <w:r w:rsidR="00CF29A9">
              <w:rPr>
                <w:lang w:val="es-ES_tradnl"/>
              </w:rPr>
              <w:t>A</w:t>
            </w:r>
            <w:r w:rsidRPr="00E72602">
              <w:rPr>
                <w:lang w:val="es-ES_tradnl"/>
              </w:rPr>
              <w:t> – Para el vehículo espacial del</w:t>
            </w:r>
            <w:r w:rsidR="00342966"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SIE en órbita HEO, el margen de dfp se calcula para una altitud de transmisión mínima supuesta de 20 000</w:t>
            </w:r>
            <w:r w:rsidR="002B0532"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km y el margen de enlace se calcula para un alcance máximo de 300 000</w:t>
            </w:r>
            <w:r w:rsidR="002B0532">
              <w:rPr>
                <w:lang w:val="es-ES_tradnl"/>
              </w:rPr>
              <w:t> </w:t>
            </w:r>
            <w:r w:rsidRPr="00E72602">
              <w:rPr>
                <w:lang w:val="es-ES_tradnl"/>
              </w:rPr>
              <w:t>km.</w:t>
            </w:r>
          </w:p>
        </w:tc>
      </w:tr>
    </w:tbl>
    <w:p w14:paraId="39BA34AA" w14:textId="77777777" w:rsidR="00E72602" w:rsidRPr="00E72602" w:rsidRDefault="00E72602" w:rsidP="00CF29A9">
      <w:pPr>
        <w:pStyle w:val="Tablefin"/>
      </w:pPr>
    </w:p>
    <w:p w14:paraId="37833AF8" w14:textId="4A5EF195" w:rsidR="00E72602" w:rsidRDefault="00E72602">
      <w:pPr>
        <w:jc w:val="center"/>
      </w:pPr>
      <w:r>
        <w:t>______________</w:t>
      </w:r>
    </w:p>
    <w:sectPr w:rsidR="00E72602" w:rsidSect="00460AB0">
      <w:headerReference w:type="even" r:id="rId32"/>
      <w:headerReference w:type="default" r:id="rId33"/>
      <w:footerReference w:type="even" r:id="rId34"/>
      <w:footerReference w:type="default" r:id="rId35"/>
      <w:pgSz w:w="16834" w:h="11907" w:orient="landscape" w:code="9"/>
      <w:pgMar w:top="1134" w:right="1418" w:bottom="1134" w:left="1134" w:header="720" w:footer="48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C058" w14:textId="77777777" w:rsidR="00702352" w:rsidRDefault="00702352">
      <w:r>
        <w:separator/>
      </w:r>
    </w:p>
  </w:endnote>
  <w:endnote w:type="continuationSeparator" w:id="0">
    <w:p w14:paraId="0D577539" w14:textId="77777777" w:rsidR="00702352" w:rsidRDefault="0070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Medium">
    <w:altName w:val="Calibri"/>
    <w:panose1 w:val="020B0604020202020204"/>
    <w:charset w:val="00"/>
    <w:family w:val="swiss"/>
    <w:notTrueType/>
    <w:pitch w:val="variable"/>
    <w:sig w:usb0="800000AF" w:usb1="5000204A" w:usb2="00000000" w:usb3="00000000" w:csb0="00000093" w:csb1="00000000"/>
  </w:font>
  <w:font w:name="AvenirNext LT Pro Regular">
    <w:altName w:val="Calibri"/>
    <w:panose1 w:val="020B0504020202020204"/>
    <w:charset w:val="00"/>
    <w:family w:val="swiss"/>
    <w:notTrueType/>
    <w:pitch w:val="variable"/>
    <w:sig w:usb0="800000AF" w:usb1="5000204A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B4F4" w14:textId="77777777" w:rsidR="00301DB3" w:rsidRDefault="00301DB3">
    <w:pPr>
      <w:pStyle w:val="Footer"/>
    </w:pPr>
    <w:r>
      <w:drawing>
        <wp:anchor distT="0" distB="0" distL="0" distR="0" simplePos="0" relativeHeight="251656192" behindDoc="0" locked="0" layoutInCell="1" allowOverlap="1" wp14:anchorId="13EBDBD9" wp14:editId="12242EA3">
          <wp:simplePos x="0" y="0"/>
          <wp:positionH relativeFrom="page">
            <wp:posOffset>6346209</wp:posOffset>
          </wp:positionH>
          <wp:positionV relativeFrom="page">
            <wp:posOffset>9501505</wp:posOffset>
          </wp:positionV>
          <wp:extent cx="738000" cy="813600"/>
          <wp:effectExtent l="0" t="0" r="0" b="0"/>
          <wp:wrapNone/>
          <wp:docPr id="1" name="image1.png" descr="logo U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 UIT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8000" cy="8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5FBD" w14:textId="77777777" w:rsidR="00880950" w:rsidRDefault="008809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03C1" w14:textId="77777777" w:rsidR="00880950" w:rsidRDefault="0088095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8584" w14:textId="77777777" w:rsidR="00C15F3E" w:rsidRDefault="00C15F3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FFF8" w14:textId="77777777" w:rsidR="00E72602" w:rsidRDefault="00E7260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47A5" w14:textId="77777777" w:rsidR="00880950" w:rsidRDefault="00880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6357" w14:textId="77777777" w:rsidR="00702352" w:rsidRDefault="00702352">
      <w:r>
        <w:separator/>
      </w:r>
    </w:p>
  </w:footnote>
  <w:footnote w:type="continuationSeparator" w:id="0">
    <w:p w14:paraId="11424BC9" w14:textId="77777777" w:rsidR="00702352" w:rsidRDefault="00702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7CE6" w14:textId="77777777" w:rsidR="001B164E" w:rsidRDefault="001B164E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5"/>
      <w:gridCol w:w="5915"/>
    </w:tblGrid>
    <w:tr w:rsidR="005B0371" w:rsidRPr="00A239D1" w14:paraId="094DA15A" w14:textId="77777777" w:rsidTr="0019307B">
      <w:tc>
        <w:tcPr>
          <w:tcW w:w="4634" w:type="dxa"/>
          <w:vAlign w:val="center"/>
        </w:tcPr>
        <w:p w14:paraId="67F1940D" w14:textId="77777777" w:rsidR="00EE47C4" w:rsidRPr="005B0371" w:rsidRDefault="00425BC7" w:rsidP="00B9169E">
          <w:pPr>
            <w:pStyle w:val="Header"/>
            <w:jc w:val="left"/>
            <w:rPr>
              <w:rFonts w:ascii="Arial Black" w:hAnsi="Arial Black" w:cs="Arial"/>
              <w:color w:val="FFFFFF" w:themeColor="background1"/>
              <w:sz w:val="32"/>
              <w:szCs w:val="32"/>
            </w:rPr>
          </w:pPr>
          <w:r w:rsidRPr="005B0371">
            <w:rPr>
              <w:rFonts w:ascii="Arial Black" w:hAnsi="Arial Black" w:cs="Arial"/>
              <w:color w:val="FFFFFF" w:themeColor="background1"/>
              <w:sz w:val="32"/>
              <w:szCs w:val="32"/>
            </w:rPr>
            <w:t xml:space="preserve"> </w:t>
          </w:r>
        </w:p>
      </w:tc>
      <w:tc>
        <w:tcPr>
          <w:tcW w:w="5998" w:type="dxa"/>
          <w:vAlign w:val="center"/>
        </w:tcPr>
        <w:p w14:paraId="39C9AF0F" w14:textId="77777777" w:rsidR="00EE47C4" w:rsidRPr="00260B24" w:rsidRDefault="00EE47C4" w:rsidP="00744F8B">
          <w:pPr>
            <w:pStyle w:val="Header"/>
            <w:jc w:val="right"/>
            <w:rPr>
              <w:rFonts w:asciiTheme="minorBidi" w:hAnsiTheme="minorBidi"/>
              <w:b/>
              <w:spacing w:val="4"/>
              <w:szCs w:val="24"/>
            </w:rPr>
          </w:pPr>
          <w:r w:rsidRPr="00260B24">
            <w:rPr>
              <w:rFonts w:asciiTheme="minorBidi" w:hAnsiTheme="minorBidi"/>
              <w:b/>
              <w:spacing w:val="4"/>
              <w:szCs w:val="24"/>
            </w:rPr>
            <w:t>Uni</w:t>
          </w:r>
          <w:r w:rsidR="006B1E05">
            <w:rPr>
              <w:rFonts w:asciiTheme="minorBidi" w:hAnsiTheme="minorBidi"/>
              <w:b/>
              <w:spacing w:val="4"/>
              <w:szCs w:val="24"/>
            </w:rPr>
            <w:t>ó</w:t>
          </w:r>
          <w:r w:rsidRPr="00260B24">
            <w:rPr>
              <w:rFonts w:asciiTheme="minorBidi" w:hAnsiTheme="minorBidi"/>
              <w:b/>
              <w:spacing w:val="4"/>
              <w:szCs w:val="24"/>
            </w:rPr>
            <w:t>n</w:t>
          </w:r>
          <w:r w:rsidR="00A25EE2">
            <w:rPr>
              <w:rFonts w:asciiTheme="minorBidi" w:hAnsiTheme="minorBidi"/>
              <w:b/>
              <w:spacing w:val="4"/>
              <w:szCs w:val="24"/>
            </w:rPr>
            <w:t xml:space="preserve"> </w:t>
          </w:r>
          <w:r w:rsidR="006B1E05">
            <w:rPr>
              <w:rFonts w:asciiTheme="minorBidi" w:hAnsiTheme="minorBidi"/>
              <w:b/>
              <w:spacing w:val="4"/>
              <w:szCs w:val="24"/>
            </w:rPr>
            <w:t>I</w:t>
          </w:r>
          <w:r w:rsidR="00A25EE2" w:rsidRPr="00260B24">
            <w:rPr>
              <w:rFonts w:asciiTheme="minorBidi" w:hAnsiTheme="minorBidi"/>
              <w:b/>
              <w:spacing w:val="4"/>
              <w:szCs w:val="24"/>
            </w:rPr>
            <w:t>nterna</w:t>
          </w:r>
          <w:r w:rsidR="0069322D">
            <w:rPr>
              <w:rFonts w:asciiTheme="minorBidi" w:hAnsiTheme="minorBidi"/>
              <w:b/>
              <w:spacing w:val="4"/>
              <w:szCs w:val="24"/>
            </w:rPr>
            <w:t>c</w:t>
          </w:r>
          <w:r w:rsidR="00A25EE2" w:rsidRPr="00260B24">
            <w:rPr>
              <w:rFonts w:asciiTheme="minorBidi" w:hAnsiTheme="minorBidi"/>
              <w:b/>
              <w:spacing w:val="4"/>
              <w:szCs w:val="24"/>
            </w:rPr>
            <w:t xml:space="preserve">ional </w:t>
          </w:r>
          <w:r w:rsidR="00A25EE2">
            <w:rPr>
              <w:rFonts w:asciiTheme="minorBidi" w:hAnsiTheme="minorBidi"/>
              <w:b/>
              <w:spacing w:val="4"/>
              <w:szCs w:val="24"/>
            </w:rPr>
            <w:t xml:space="preserve">de </w:t>
          </w:r>
          <w:r w:rsidR="0069322D">
            <w:rPr>
              <w:rFonts w:asciiTheme="minorBidi" w:hAnsiTheme="minorBidi"/>
              <w:b/>
              <w:spacing w:val="4"/>
              <w:szCs w:val="24"/>
            </w:rPr>
            <w:t>Te</w:t>
          </w:r>
          <w:r w:rsidR="00A25EE2" w:rsidRPr="00260B24">
            <w:rPr>
              <w:rFonts w:asciiTheme="minorBidi" w:hAnsiTheme="minorBidi"/>
              <w:b/>
              <w:spacing w:val="4"/>
              <w:szCs w:val="24"/>
            </w:rPr>
            <w:t>l</w:t>
          </w:r>
          <w:r w:rsidR="0069322D">
            <w:rPr>
              <w:rFonts w:asciiTheme="minorBidi" w:hAnsiTheme="minorBidi"/>
              <w:b/>
              <w:spacing w:val="4"/>
              <w:szCs w:val="24"/>
            </w:rPr>
            <w:t>e</w:t>
          </w:r>
          <w:r w:rsidR="00A25EE2" w:rsidRPr="00260B24">
            <w:rPr>
              <w:rFonts w:asciiTheme="minorBidi" w:hAnsiTheme="minorBidi"/>
              <w:b/>
              <w:spacing w:val="4"/>
              <w:szCs w:val="24"/>
            </w:rPr>
            <w:t>comunica</w:t>
          </w:r>
          <w:r w:rsidR="0069322D">
            <w:rPr>
              <w:rFonts w:asciiTheme="minorBidi" w:hAnsiTheme="minorBidi"/>
              <w:b/>
              <w:spacing w:val="4"/>
              <w:szCs w:val="24"/>
            </w:rPr>
            <w:t>c</w:t>
          </w:r>
          <w:r w:rsidR="00A25EE2" w:rsidRPr="00260B24">
            <w:rPr>
              <w:rFonts w:asciiTheme="minorBidi" w:hAnsiTheme="minorBidi"/>
              <w:b/>
              <w:spacing w:val="4"/>
              <w:szCs w:val="24"/>
            </w:rPr>
            <w:t>ion</w:t>
          </w:r>
          <w:r w:rsidR="0069322D">
            <w:rPr>
              <w:rFonts w:asciiTheme="minorBidi" w:hAnsiTheme="minorBidi"/>
              <w:b/>
              <w:spacing w:val="4"/>
              <w:szCs w:val="24"/>
            </w:rPr>
            <w:t>e</w:t>
          </w:r>
          <w:r w:rsidR="00A25EE2">
            <w:rPr>
              <w:rFonts w:asciiTheme="minorBidi" w:hAnsiTheme="minorBidi"/>
              <w:b/>
              <w:spacing w:val="4"/>
              <w:szCs w:val="24"/>
            </w:rPr>
            <w:t>s</w:t>
          </w:r>
        </w:p>
      </w:tc>
    </w:tr>
    <w:tr w:rsidR="005B0371" w:rsidRPr="00A239D1" w14:paraId="4AC3AB72" w14:textId="77777777" w:rsidTr="0019307B">
      <w:tc>
        <w:tcPr>
          <w:tcW w:w="4634" w:type="dxa"/>
          <w:vAlign w:val="center"/>
        </w:tcPr>
        <w:p w14:paraId="0233B771" w14:textId="77777777" w:rsidR="00EE47C4" w:rsidRPr="00260B24" w:rsidRDefault="00EE47C4" w:rsidP="00744F8B">
          <w:pPr>
            <w:pStyle w:val="Header"/>
            <w:jc w:val="left"/>
            <w:rPr>
              <w:rFonts w:asciiTheme="minorBidi" w:hAnsiTheme="minorBidi"/>
              <w:spacing w:val="4"/>
              <w:sz w:val="21"/>
              <w:szCs w:val="21"/>
            </w:rPr>
          </w:pPr>
          <w:r w:rsidRPr="00260B24">
            <w:rPr>
              <w:rFonts w:asciiTheme="minorBidi" w:hAnsiTheme="minorBidi"/>
              <w:spacing w:val="4"/>
              <w:szCs w:val="24"/>
            </w:rPr>
            <w:t>Recom</w:t>
          </w:r>
          <w:r w:rsidR="0069322D">
            <w:rPr>
              <w:rFonts w:asciiTheme="minorBidi" w:hAnsiTheme="minorBidi"/>
              <w:spacing w:val="4"/>
              <w:szCs w:val="24"/>
            </w:rPr>
            <w:t>e</w:t>
          </w:r>
          <w:r w:rsidRPr="00260B24">
            <w:rPr>
              <w:rFonts w:asciiTheme="minorBidi" w:hAnsiTheme="minorBidi"/>
              <w:spacing w:val="4"/>
              <w:szCs w:val="24"/>
            </w:rPr>
            <w:t>nda</w:t>
          </w:r>
          <w:r w:rsidR="0069322D">
            <w:rPr>
              <w:rFonts w:asciiTheme="minorBidi" w:hAnsiTheme="minorBidi"/>
              <w:spacing w:val="4"/>
              <w:szCs w:val="24"/>
            </w:rPr>
            <w:t>c</w:t>
          </w:r>
          <w:r w:rsidRPr="00260B24">
            <w:rPr>
              <w:rFonts w:asciiTheme="minorBidi" w:hAnsiTheme="minorBidi"/>
              <w:spacing w:val="4"/>
              <w:szCs w:val="24"/>
            </w:rPr>
            <w:t>i</w:t>
          </w:r>
          <w:r w:rsidR="0069322D">
            <w:rPr>
              <w:rFonts w:asciiTheme="minorBidi" w:hAnsiTheme="minorBidi"/>
              <w:spacing w:val="4"/>
              <w:szCs w:val="24"/>
            </w:rPr>
            <w:t>o</w:t>
          </w:r>
          <w:r w:rsidRPr="00260B24">
            <w:rPr>
              <w:rFonts w:asciiTheme="minorBidi" w:hAnsiTheme="minorBidi"/>
              <w:spacing w:val="4"/>
              <w:szCs w:val="24"/>
            </w:rPr>
            <w:t>n</w:t>
          </w:r>
          <w:r w:rsidR="0069322D">
            <w:rPr>
              <w:rFonts w:asciiTheme="minorBidi" w:hAnsiTheme="minorBidi"/>
              <w:spacing w:val="4"/>
              <w:szCs w:val="24"/>
            </w:rPr>
            <w:t>e</w:t>
          </w:r>
          <w:r w:rsidR="004A6FEB" w:rsidRPr="00260B24">
            <w:rPr>
              <w:rFonts w:asciiTheme="minorBidi" w:hAnsiTheme="minorBidi"/>
              <w:spacing w:val="4"/>
              <w:szCs w:val="24"/>
            </w:rPr>
            <w:t>s</w:t>
          </w:r>
        </w:p>
      </w:tc>
      <w:tc>
        <w:tcPr>
          <w:tcW w:w="5998" w:type="dxa"/>
          <w:vAlign w:val="center"/>
        </w:tcPr>
        <w:p w14:paraId="151110F1" w14:textId="77777777" w:rsidR="00EE47C4" w:rsidRPr="00260B24" w:rsidRDefault="00A25EE2" w:rsidP="00744F8B">
          <w:pPr>
            <w:pStyle w:val="Header"/>
            <w:jc w:val="right"/>
            <w:rPr>
              <w:rFonts w:asciiTheme="minorBidi" w:hAnsiTheme="minorBidi"/>
              <w:spacing w:val="4"/>
              <w:szCs w:val="24"/>
            </w:rPr>
          </w:pPr>
          <w:r>
            <w:rPr>
              <w:rFonts w:asciiTheme="minorBidi" w:hAnsiTheme="minorBidi"/>
              <w:spacing w:val="4"/>
              <w:szCs w:val="24"/>
            </w:rPr>
            <w:t>Sect</w:t>
          </w:r>
          <w:r w:rsidR="0069322D">
            <w:rPr>
              <w:rFonts w:asciiTheme="minorBidi" w:hAnsiTheme="minorBidi"/>
              <w:spacing w:val="4"/>
              <w:szCs w:val="24"/>
            </w:rPr>
            <w:t>o</w:t>
          </w:r>
          <w:r>
            <w:rPr>
              <w:rFonts w:asciiTheme="minorBidi" w:hAnsiTheme="minorBidi"/>
              <w:spacing w:val="4"/>
              <w:szCs w:val="24"/>
            </w:rPr>
            <w:t xml:space="preserve">r de </w:t>
          </w:r>
          <w:r w:rsidR="00EE47C4" w:rsidRPr="00260B24">
            <w:rPr>
              <w:rFonts w:asciiTheme="minorBidi" w:hAnsiTheme="minorBidi"/>
              <w:spacing w:val="4"/>
              <w:szCs w:val="24"/>
            </w:rPr>
            <w:t>Radiocomunica</w:t>
          </w:r>
          <w:r w:rsidR="0069322D">
            <w:rPr>
              <w:rFonts w:asciiTheme="minorBidi" w:hAnsiTheme="minorBidi"/>
              <w:spacing w:val="4"/>
              <w:szCs w:val="24"/>
            </w:rPr>
            <w:t>c</w:t>
          </w:r>
          <w:r w:rsidR="00EE47C4" w:rsidRPr="00260B24">
            <w:rPr>
              <w:rFonts w:asciiTheme="minorBidi" w:hAnsiTheme="minorBidi"/>
              <w:spacing w:val="4"/>
              <w:szCs w:val="24"/>
            </w:rPr>
            <w:t>ion</w:t>
          </w:r>
          <w:r w:rsidR="0069322D">
            <w:rPr>
              <w:rFonts w:asciiTheme="minorBidi" w:hAnsiTheme="minorBidi"/>
              <w:spacing w:val="4"/>
              <w:szCs w:val="24"/>
            </w:rPr>
            <w:t>e</w:t>
          </w:r>
          <w:r>
            <w:rPr>
              <w:rFonts w:asciiTheme="minorBidi" w:hAnsiTheme="minorBidi"/>
              <w:spacing w:val="4"/>
              <w:szCs w:val="24"/>
            </w:rPr>
            <w:t>s</w:t>
          </w:r>
        </w:p>
      </w:tc>
    </w:tr>
  </w:tbl>
  <w:p w14:paraId="4F95003E" w14:textId="77777777" w:rsidR="00EE47C4" w:rsidRDefault="0069322D" w:rsidP="004A6FEB">
    <w:pPr>
      <w:pStyle w:val="Header"/>
    </w:pPr>
    <w:r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DE9F29B" wp14:editId="469DEACB">
          <wp:simplePos x="0" y="0"/>
          <wp:positionH relativeFrom="column">
            <wp:posOffset>-252095</wp:posOffset>
          </wp:positionH>
          <wp:positionV relativeFrom="paragraph">
            <wp:posOffset>-562165</wp:posOffset>
          </wp:positionV>
          <wp:extent cx="1781299" cy="383901"/>
          <wp:effectExtent l="0" t="0" r="0" b="0"/>
          <wp:wrapNone/>
          <wp:docPr id="7" name="Picture 7" descr="ITUPublicaciones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TUPublicaciones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299" cy="383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07D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70ECA8" wp14:editId="06871842">
              <wp:simplePos x="0" y="0"/>
              <wp:positionH relativeFrom="column">
                <wp:posOffset>-106045</wp:posOffset>
              </wp:positionH>
              <wp:positionV relativeFrom="paragraph">
                <wp:posOffset>164465</wp:posOffset>
              </wp:positionV>
              <wp:extent cx="301625" cy="172085"/>
              <wp:effectExtent l="17780" t="12065" r="23495" b="15875"/>
              <wp:wrapNone/>
              <wp:docPr id="6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301625" cy="17208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F8F8F8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DC6DD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" o:spid="_x0000_s1026" type="#_x0000_t5" alt="&quot;&quot;" style="position:absolute;margin-left:-8.35pt;margin-top:12.95pt;width:23.75pt;height:13.5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" fillcolor="white [3212]" strokecolor="#f8f8f8"/>
          </w:pict>
        </mc:Fallback>
      </mc:AlternateContent>
    </w:r>
  </w:p>
  <w:p w14:paraId="22371D79" w14:textId="77777777" w:rsidR="004A6FEB" w:rsidRDefault="00A507D4" w:rsidP="004A6FEB">
    <w:pPr>
      <w:pStyle w:val="Header"/>
      <w:ind w:right="360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38AB31" wp14:editId="3345597E">
              <wp:simplePos x="0" y="0"/>
              <wp:positionH relativeFrom="page">
                <wp:posOffset>0</wp:posOffset>
              </wp:positionH>
              <wp:positionV relativeFrom="page">
                <wp:posOffset>1196340</wp:posOffset>
              </wp:positionV>
              <wp:extent cx="7560310" cy="236220"/>
              <wp:effectExtent l="9525" t="5715" r="12065" b="5715"/>
              <wp:wrapNone/>
              <wp:docPr id="2" name="docshapegroup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36220"/>
                        <a:chOff x="0" y="1884"/>
                        <a:chExt cx="11906" cy="372"/>
                      </a:xfrm>
                    </wpg:grpSpPr>
                    <wps:wsp>
                      <wps:cNvPr id="3" name="docshape7" descr="Header separator line"/>
                      <wps:cNvSpPr>
                        <a:spLocks noChangeArrowheads="1"/>
                      </wps:cNvSpPr>
                      <wps:spPr bwMode="auto">
                        <a:xfrm>
                          <a:off x="0" y="1944"/>
                          <a:ext cx="11906" cy="312"/>
                        </a:xfrm>
                        <a:prstGeom prst="rect">
                          <a:avLst/>
                        </a:prstGeom>
                        <a:solidFill>
                          <a:srgbClr val="009CD6"/>
                        </a:solidFill>
                        <a:ln w="9525">
                          <a:solidFill>
                            <a:srgbClr val="009CD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docshape8" descr="Header separator line"/>
                      <wps:cNvSpPr>
                        <a:spLocks/>
                      </wps:cNvSpPr>
                      <wps:spPr bwMode="auto">
                        <a:xfrm>
                          <a:off x="1109" y="1884"/>
                          <a:ext cx="627" cy="314"/>
                        </a:xfrm>
                        <a:custGeom>
                          <a:avLst/>
                          <a:gdLst>
                            <a:gd name="T0" fmla="+- 0 1736 1109"/>
                            <a:gd name="T1" fmla="*/ T0 w 627"/>
                            <a:gd name="T2" fmla="+- 0 1884 1884"/>
                            <a:gd name="T3" fmla="*/ 1884 h 314"/>
                            <a:gd name="T4" fmla="+- 0 1109 1109"/>
                            <a:gd name="T5" fmla="*/ T4 w 627"/>
                            <a:gd name="T6" fmla="+- 0 1884 1884"/>
                            <a:gd name="T7" fmla="*/ 1884 h 314"/>
                            <a:gd name="T8" fmla="+- 0 1423 1109"/>
                            <a:gd name="T9" fmla="*/ T8 w 627"/>
                            <a:gd name="T10" fmla="+- 0 2197 1884"/>
                            <a:gd name="T11" fmla="*/ 2197 h 314"/>
                            <a:gd name="T12" fmla="+- 0 1736 1109"/>
                            <a:gd name="T13" fmla="*/ T12 w 627"/>
                            <a:gd name="T14" fmla="+- 0 1884 1884"/>
                            <a:gd name="T15" fmla="*/ 188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27" h="314">
                              <a:moveTo>
                                <a:pt x="627" y="0"/>
                              </a:moveTo>
                              <a:lnTo>
                                <a:pt x="0" y="0"/>
                              </a:lnTo>
                              <a:lnTo>
                                <a:pt x="314" y="313"/>
                              </a:lnTo>
                              <a:lnTo>
                                <a:pt x="62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CD6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96C400" id="docshapegroup6" o:spid="_x0000_s1026" alt="&quot;&quot;" style="position:absolute;margin-left:0;margin-top:94.2pt;width:595.3pt;height:18.6pt;z-index:251659264;mso-position-horizontal-relative:page;mso-position-vertical-relative:page" coordorigin=",1884" coordsize="1190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">
              <v:rect id="docshape7" o:spid="_x0000_s1027" alt="Header separator line" style="position:absolute;top:1944;width:1190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" fillcolor="#009cd6" strokecolor="#009cd6"/>
              <v:shape id="docshape8" o:spid="_x0000_s1028" alt="Header separator line" style="position:absolute;left:1109;top:18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" path="m627,l,,314,313,627,xe" fillcolor="white [3212]" stroked="f" strokecolor="#009cd6">
                <v:path arrowok="t" o:connecttype="custom" o:connectlocs="627,1884;0,1884;314,2197;627,1884" o:connectangles="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03AD" w14:textId="0B5985C5" w:rsidR="001B164E" w:rsidRPr="00D72623" w:rsidRDefault="00D72623" w:rsidP="00D72623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 w:rsidRPr="00F111D6">
      <w:rPr>
        <w:rStyle w:val="PageNumber"/>
        <w:b/>
        <w:bCs/>
        <w:lang w:val="en-GB"/>
      </w:rPr>
      <w:t>ii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>
      <w:rPr>
        <w:b/>
        <w:bCs/>
        <w:lang w:val="en-US"/>
      </w:rPr>
      <w:fldChar w:fldCharType="begin"/>
    </w:r>
    <w:r>
      <w:rPr>
        <w:b/>
        <w:bCs/>
        <w:lang w:val="en-US"/>
      </w:rPr>
      <w:instrText xml:space="preserve"> DOCPROPERTY "Header" \* MERGEFORMAT </w:instrText>
    </w:r>
    <w:r>
      <w:rPr>
        <w:b/>
        <w:bCs/>
        <w:lang w:val="en-US"/>
      </w:rPr>
      <w:fldChar w:fldCharType="separate"/>
    </w:r>
    <w:r w:rsidR="00DD3A23">
      <w:rPr>
        <w:b/>
        <w:bCs/>
        <w:lang w:val="en-US"/>
      </w:rPr>
      <w:t xml:space="preserve">Rec. </w:t>
    </w:r>
    <w:r>
      <w:rPr>
        <w:b/>
        <w:bCs/>
        <w:lang w:val="en-US"/>
      </w:rPr>
      <w:fldChar w:fldCharType="end"/>
    </w:r>
    <w:r w:rsidRPr="00F111D6">
      <w:rPr>
        <w:b/>
        <w:bCs/>
        <w:lang w:val="en-GB"/>
      </w:rPr>
      <w:t xml:space="preserve">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 w:rsidR="00DD3A23">
      <w:rPr>
        <w:b/>
        <w:bCs/>
        <w:noProof/>
        <w:lang w:val="en-US"/>
      </w:rPr>
      <w:t>UIT-R  SA.2141-1</w:t>
    </w:r>
    <w:r>
      <w:rPr>
        <w:b/>
        <w:bCs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171F" w14:textId="1CA9C170" w:rsidR="001B164E" w:rsidRDefault="001B164E">
    <w:pPr>
      <w:pStyle w:val="Header"/>
    </w:pPr>
    <w:r>
      <w:tab/>
    </w:r>
    <w:r w:rsidR="00C84DB7">
      <w:rPr>
        <w:b/>
        <w:bCs/>
      </w:rPr>
      <w:fldChar w:fldCharType="begin"/>
    </w:r>
    <w:r w:rsidR="00C84DB7">
      <w:rPr>
        <w:b/>
        <w:bCs/>
      </w:rPr>
      <w:instrText xml:space="preserve"> DOCPROPERTY "Header" \* MERGEFORMAT </w:instrText>
    </w:r>
    <w:r w:rsidR="00C84DB7">
      <w:rPr>
        <w:b/>
        <w:bCs/>
      </w:rPr>
      <w:fldChar w:fldCharType="separate"/>
    </w:r>
    <w:r w:rsidR="00DD3A23">
      <w:rPr>
        <w:b/>
        <w:bCs/>
      </w:rPr>
      <w:t xml:space="preserve">Rec. </w:t>
    </w:r>
    <w:r w:rsidR="00C84DB7">
      <w:rPr>
        <w:b/>
        <w:bCs/>
      </w:rPr>
      <w:fldChar w:fldCharType="end"/>
    </w:r>
    <w:r>
      <w:rPr>
        <w:b/>
        <w:bCs/>
      </w:rPr>
      <w:t xml:space="preserve"> </w:t>
    </w:r>
    <w:r w:rsidR="006C37D5">
      <w:rPr>
        <w:b/>
        <w:bCs/>
      </w:rPr>
      <w:fldChar w:fldCharType="begin"/>
    </w:r>
    <w:r>
      <w:rPr>
        <w:b/>
        <w:bCs/>
      </w:rPr>
      <w:instrText>styleref href</w:instrText>
    </w:r>
    <w:r w:rsidR="006C37D5">
      <w:rPr>
        <w:b/>
        <w:bCs/>
      </w:rPr>
      <w:fldChar w:fldCharType="separate"/>
    </w:r>
    <w:r w:rsidR="00DD3A23">
      <w:rPr>
        <w:b/>
        <w:bCs/>
        <w:noProof/>
      </w:rPr>
      <w:t>UIT-R  SA.2141-1</w:t>
    </w:r>
    <w:r w:rsidR="006C37D5">
      <w:rPr>
        <w:b/>
        <w:bCs/>
      </w:rPr>
      <w:fldChar w:fldCharType="end"/>
    </w:r>
    <w:r>
      <w:tab/>
    </w:r>
    <w:r w:rsidR="006C37D5"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 w:rsidR="006C37D5">
      <w:rPr>
        <w:rStyle w:val="PageNumber"/>
        <w:b/>
        <w:bCs/>
      </w:rPr>
      <w:fldChar w:fldCharType="separate"/>
    </w:r>
    <w:r w:rsidR="00C84DB7">
      <w:rPr>
        <w:rStyle w:val="PageNumber"/>
        <w:b/>
        <w:bCs/>
        <w:noProof/>
      </w:rPr>
      <w:t>1</w:t>
    </w:r>
    <w:r w:rsidR="006C37D5">
      <w:rPr>
        <w:rStyle w:val="PageNumber"/>
        <w:b/>
        <w:bCs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E06A" w14:textId="3BFEB21A" w:rsidR="00880950" w:rsidRPr="00D72623" w:rsidRDefault="00880950" w:rsidP="00D72623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 w:rsidRPr="00F111D6">
      <w:rPr>
        <w:rStyle w:val="PageNumber"/>
        <w:b/>
        <w:bCs/>
        <w:lang w:val="en-GB"/>
      </w:rPr>
      <w:t>ii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>
      <w:rPr>
        <w:b/>
        <w:bCs/>
        <w:lang w:val="en-US"/>
      </w:rPr>
      <w:fldChar w:fldCharType="begin"/>
    </w:r>
    <w:r>
      <w:rPr>
        <w:b/>
        <w:bCs/>
        <w:lang w:val="en-US"/>
      </w:rPr>
      <w:instrText xml:space="preserve"> DOCPROPERTY "Header" \* MERGEFORMAT </w:instrText>
    </w:r>
    <w:r>
      <w:rPr>
        <w:b/>
        <w:bCs/>
        <w:lang w:val="en-US"/>
      </w:rPr>
      <w:fldChar w:fldCharType="separate"/>
    </w:r>
    <w:r w:rsidR="00DD3A23">
      <w:rPr>
        <w:b/>
        <w:bCs/>
        <w:lang w:val="en-US"/>
      </w:rPr>
      <w:t xml:space="preserve">Rec. </w:t>
    </w:r>
    <w:r>
      <w:rPr>
        <w:b/>
        <w:bCs/>
        <w:lang w:val="en-US"/>
      </w:rPr>
      <w:fldChar w:fldCharType="end"/>
    </w:r>
    <w:r w:rsidRPr="00F111D6">
      <w:rPr>
        <w:b/>
        <w:bCs/>
        <w:lang w:val="en-GB"/>
      </w:rPr>
      <w:t xml:space="preserve">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 w:rsidR="00DD3A23">
      <w:rPr>
        <w:b/>
        <w:bCs/>
        <w:noProof/>
        <w:lang w:val="en-US"/>
      </w:rPr>
      <w:t>UIT-R  SA.2141-1</w:t>
    </w:r>
    <w:r>
      <w:rPr>
        <w:b/>
        <w:bCs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49DE" w14:textId="306E9012" w:rsidR="00880950" w:rsidRDefault="00880950">
    <w:pPr>
      <w:pStyle w:val="Header"/>
    </w:pPr>
    <w:r>
      <w:tab/>
    </w:r>
    <w:r>
      <w:rPr>
        <w:b/>
        <w:bCs/>
      </w:rPr>
      <w:fldChar w:fldCharType="begin"/>
    </w:r>
    <w:r>
      <w:rPr>
        <w:b/>
        <w:bCs/>
      </w:rPr>
      <w:instrText xml:space="preserve"> DOCPROPERTY "Header" \* MERGEFORMAT </w:instrText>
    </w:r>
    <w:r>
      <w:rPr>
        <w:b/>
        <w:bCs/>
      </w:rPr>
      <w:fldChar w:fldCharType="separate"/>
    </w:r>
    <w:r w:rsidR="00DD3A23">
      <w:rPr>
        <w:b/>
        <w:bCs/>
      </w:rPr>
      <w:t xml:space="preserve">Rec. 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 w:rsidR="00DD3A23">
      <w:rPr>
        <w:b/>
        <w:bCs/>
        <w:noProof/>
      </w:rPr>
      <w:t>UIT-R  SA.2141-1</w:t>
    </w:r>
    <w:r>
      <w:rPr>
        <w:b/>
        <w:bCs/>
      </w:rPr>
      <w:fldChar w:fldCharType="end"/>
    </w:r>
    <w:r>
      <w:tab/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1</w:t>
    </w:r>
    <w:r>
      <w:rPr>
        <w:rStyle w:val="PageNumber"/>
        <w:b/>
        <w:bCs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EFCD" w14:textId="6BB9250B" w:rsidR="00E72602" w:rsidRPr="00D72623" w:rsidRDefault="00E72602" w:rsidP="002B0532">
    <w:pPr>
      <w:pStyle w:val="Header"/>
      <w:tabs>
        <w:tab w:val="clear" w:pos="4848"/>
        <w:tab w:val="center" w:pos="7230"/>
      </w:tabs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 w:rsidRPr="00F111D6">
      <w:rPr>
        <w:rStyle w:val="PageNumber"/>
        <w:b/>
        <w:bCs/>
        <w:lang w:val="en-GB"/>
      </w:rPr>
      <w:t>ii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>
      <w:rPr>
        <w:b/>
        <w:bCs/>
        <w:lang w:val="en-US"/>
      </w:rPr>
      <w:fldChar w:fldCharType="begin"/>
    </w:r>
    <w:r>
      <w:rPr>
        <w:b/>
        <w:bCs/>
        <w:lang w:val="en-US"/>
      </w:rPr>
      <w:instrText xml:space="preserve"> DOCPROPERTY "Header" \* MERGEFORMAT </w:instrText>
    </w:r>
    <w:r>
      <w:rPr>
        <w:b/>
        <w:bCs/>
        <w:lang w:val="en-US"/>
      </w:rPr>
      <w:fldChar w:fldCharType="separate"/>
    </w:r>
    <w:r w:rsidR="00DD3A23">
      <w:rPr>
        <w:b/>
        <w:bCs/>
        <w:lang w:val="en-US"/>
      </w:rPr>
      <w:t xml:space="preserve">Rec. </w:t>
    </w:r>
    <w:r>
      <w:rPr>
        <w:b/>
        <w:bCs/>
        <w:lang w:val="en-US"/>
      </w:rPr>
      <w:fldChar w:fldCharType="end"/>
    </w:r>
    <w:r w:rsidRPr="00F111D6">
      <w:rPr>
        <w:b/>
        <w:bCs/>
        <w:lang w:val="en-GB"/>
      </w:rPr>
      <w:t xml:space="preserve">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 w:rsidR="00DD3A23">
      <w:rPr>
        <w:b/>
        <w:bCs/>
        <w:noProof/>
        <w:lang w:val="en-US"/>
      </w:rPr>
      <w:t>UIT-R  SA.2141-1</w:t>
    </w:r>
    <w:r>
      <w:rPr>
        <w:b/>
        <w:bCs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8575" w14:textId="773C0500" w:rsidR="00880950" w:rsidRDefault="00880950" w:rsidP="002B0532">
    <w:pPr>
      <w:pStyle w:val="Header"/>
      <w:tabs>
        <w:tab w:val="clear" w:pos="4848"/>
        <w:tab w:val="clear" w:pos="9696"/>
        <w:tab w:val="center" w:pos="7230"/>
        <w:tab w:val="right" w:pos="14282"/>
      </w:tabs>
    </w:pPr>
    <w:r>
      <w:tab/>
    </w:r>
    <w:r>
      <w:rPr>
        <w:b/>
        <w:bCs/>
      </w:rPr>
      <w:fldChar w:fldCharType="begin"/>
    </w:r>
    <w:r>
      <w:rPr>
        <w:b/>
        <w:bCs/>
      </w:rPr>
      <w:instrText xml:space="preserve"> DOCPROPERTY "Header" \* MERGEFORMAT </w:instrText>
    </w:r>
    <w:r>
      <w:rPr>
        <w:b/>
        <w:bCs/>
      </w:rPr>
      <w:fldChar w:fldCharType="separate"/>
    </w:r>
    <w:r w:rsidR="00DD3A23">
      <w:rPr>
        <w:b/>
        <w:bCs/>
      </w:rPr>
      <w:t xml:space="preserve">Rec. 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 w:rsidR="00DD3A23">
      <w:rPr>
        <w:b/>
        <w:bCs/>
        <w:noProof/>
      </w:rPr>
      <w:t>UIT-R  SA.2141-1</w:t>
    </w:r>
    <w:r>
      <w:rPr>
        <w:b/>
        <w:bCs/>
      </w:rPr>
      <w:fldChar w:fldCharType="end"/>
    </w:r>
    <w:r>
      <w:tab/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1</w:t>
    </w:r>
    <w:r>
      <w:rPr>
        <w:rStyle w:val="PageNumber"/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0741"/>
    <w:multiLevelType w:val="hybridMultilevel"/>
    <w:tmpl w:val="73506790"/>
    <w:lvl w:ilvl="0" w:tplc="9FA02DF4">
      <w:numFmt w:val="bullet"/>
      <w:lvlText w:val="–"/>
      <w:lvlJc w:val="left"/>
      <w:pPr>
        <w:tabs>
          <w:tab w:val="num" w:pos="795"/>
        </w:tabs>
        <w:ind w:left="795" w:hanging="79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5482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mirrorMargins/>
  <w:hideSpellingErrors/>
  <w:hideGrammaticalErrors/>
  <w:activeWritingStyle w:appName="MSWord" w:lang="en-US" w:vendorID="64" w:dllVersion="5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s-ES_tradnl" w:vendorID="64" w:dllVersion="6" w:nlCheck="1" w:checkStyle="1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>
      <o:colormru v:ext="edit" colors="#d62a47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352"/>
    <w:rsid w:val="00013002"/>
    <w:rsid w:val="000246E0"/>
    <w:rsid w:val="00036EE3"/>
    <w:rsid w:val="00072484"/>
    <w:rsid w:val="00075DA8"/>
    <w:rsid w:val="00095530"/>
    <w:rsid w:val="00096612"/>
    <w:rsid w:val="000A4A32"/>
    <w:rsid w:val="000B1B2B"/>
    <w:rsid w:val="000B7683"/>
    <w:rsid w:val="000D0677"/>
    <w:rsid w:val="000E0548"/>
    <w:rsid w:val="000E6A6E"/>
    <w:rsid w:val="00102934"/>
    <w:rsid w:val="00120C75"/>
    <w:rsid w:val="001243FC"/>
    <w:rsid w:val="00147110"/>
    <w:rsid w:val="001511A6"/>
    <w:rsid w:val="00157B1E"/>
    <w:rsid w:val="00171C4D"/>
    <w:rsid w:val="0017562F"/>
    <w:rsid w:val="0019307B"/>
    <w:rsid w:val="001B0927"/>
    <w:rsid w:val="001B164E"/>
    <w:rsid w:val="001B7886"/>
    <w:rsid w:val="001F38BB"/>
    <w:rsid w:val="002058CE"/>
    <w:rsid w:val="002165F1"/>
    <w:rsid w:val="00233211"/>
    <w:rsid w:val="00260B24"/>
    <w:rsid w:val="0027411A"/>
    <w:rsid w:val="00276D21"/>
    <w:rsid w:val="00282DCF"/>
    <w:rsid w:val="00296D7F"/>
    <w:rsid w:val="002A5D45"/>
    <w:rsid w:val="002B0532"/>
    <w:rsid w:val="002B3CF6"/>
    <w:rsid w:val="002B3E59"/>
    <w:rsid w:val="002C768A"/>
    <w:rsid w:val="002D0BD7"/>
    <w:rsid w:val="002D76C4"/>
    <w:rsid w:val="002F5199"/>
    <w:rsid w:val="00301DB3"/>
    <w:rsid w:val="00305119"/>
    <w:rsid w:val="003157F1"/>
    <w:rsid w:val="00335815"/>
    <w:rsid w:val="00342966"/>
    <w:rsid w:val="00346EC2"/>
    <w:rsid w:val="00356B5D"/>
    <w:rsid w:val="00357707"/>
    <w:rsid w:val="0036627C"/>
    <w:rsid w:val="00384D6B"/>
    <w:rsid w:val="003E5516"/>
    <w:rsid w:val="003F1534"/>
    <w:rsid w:val="003F4B75"/>
    <w:rsid w:val="00410651"/>
    <w:rsid w:val="00420DFD"/>
    <w:rsid w:val="00422755"/>
    <w:rsid w:val="00425BC7"/>
    <w:rsid w:val="00437A76"/>
    <w:rsid w:val="004604B2"/>
    <w:rsid w:val="00460AB0"/>
    <w:rsid w:val="00470E28"/>
    <w:rsid w:val="0047379B"/>
    <w:rsid w:val="00474170"/>
    <w:rsid w:val="00477729"/>
    <w:rsid w:val="004842E2"/>
    <w:rsid w:val="00486EB3"/>
    <w:rsid w:val="004934C5"/>
    <w:rsid w:val="004A6FEB"/>
    <w:rsid w:val="004E61FF"/>
    <w:rsid w:val="0053210A"/>
    <w:rsid w:val="005373E0"/>
    <w:rsid w:val="00556548"/>
    <w:rsid w:val="005678C4"/>
    <w:rsid w:val="00571B1C"/>
    <w:rsid w:val="00576D47"/>
    <w:rsid w:val="00586EF8"/>
    <w:rsid w:val="005B0371"/>
    <w:rsid w:val="005B49AB"/>
    <w:rsid w:val="005B50E7"/>
    <w:rsid w:val="005C4BAB"/>
    <w:rsid w:val="005E12A5"/>
    <w:rsid w:val="005E69F0"/>
    <w:rsid w:val="005E7B4F"/>
    <w:rsid w:val="005F003B"/>
    <w:rsid w:val="005F2E73"/>
    <w:rsid w:val="00601882"/>
    <w:rsid w:val="00607D68"/>
    <w:rsid w:val="00613212"/>
    <w:rsid w:val="006149B1"/>
    <w:rsid w:val="00624E2D"/>
    <w:rsid w:val="00640332"/>
    <w:rsid w:val="00680D2B"/>
    <w:rsid w:val="00681B32"/>
    <w:rsid w:val="0069322D"/>
    <w:rsid w:val="00697887"/>
    <w:rsid w:val="006B1D2B"/>
    <w:rsid w:val="006B1E05"/>
    <w:rsid w:val="006C37D5"/>
    <w:rsid w:val="006E1131"/>
    <w:rsid w:val="006E2037"/>
    <w:rsid w:val="006E6199"/>
    <w:rsid w:val="00702352"/>
    <w:rsid w:val="00712870"/>
    <w:rsid w:val="00712BFC"/>
    <w:rsid w:val="00714AC0"/>
    <w:rsid w:val="0074147D"/>
    <w:rsid w:val="00743D85"/>
    <w:rsid w:val="00744F8B"/>
    <w:rsid w:val="00747D6E"/>
    <w:rsid w:val="00753CF4"/>
    <w:rsid w:val="007565CC"/>
    <w:rsid w:val="007624B1"/>
    <w:rsid w:val="00763B9A"/>
    <w:rsid w:val="007A6AA8"/>
    <w:rsid w:val="007B1357"/>
    <w:rsid w:val="007B3343"/>
    <w:rsid w:val="008310C9"/>
    <w:rsid w:val="008335F0"/>
    <w:rsid w:val="00834171"/>
    <w:rsid w:val="00834306"/>
    <w:rsid w:val="00853CC5"/>
    <w:rsid w:val="00877E6E"/>
    <w:rsid w:val="00880950"/>
    <w:rsid w:val="008B083A"/>
    <w:rsid w:val="008B56B2"/>
    <w:rsid w:val="008C7848"/>
    <w:rsid w:val="008D4BB2"/>
    <w:rsid w:val="008F1698"/>
    <w:rsid w:val="00906589"/>
    <w:rsid w:val="00906AD6"/>
    <w:rsid w:val="00917AF2"/>
    <w:rsid w:val="0092418A"/>
    <w:rsid w:val="00934ED7"/>
    <w:rsid w:val="00940D16"/>
    <w:rsid w:val="009543C3"/>
    <w:rsid w:val="00966E1B"/>
    <w:rsid w:val="00972F51"/>
    <w:rsid w:val="00984A02"/>
    <w:rsid w:val="009947C0"/>
    <w:rsid w:val="009A4039"/>
    <w:rsid w:val="009A41F9"/>
    <w:rsid w:val="009C2819"/>
    <w:rsid w:val="009D4BBD"/>
    <w:rsid w:val="009F2D2C"/>
    <w:rsid w:val="009F2D88"/>
    <w:rsid w:val="009F5580"/>
    <w:rsid w:val="00A03C0E"/>
    <w:rsid w:val="00A16BE1"/>
    <w:rsid w:val="00A239D1"/>
    <w:rsid w:val="00A25EE2"/>
    <w:rsid w:val="00A31928"/>
    <w:rsid w:val="00A35B27"/>
    <w:rsid w:val="00A507D4"/>
    <w:rsid w:val="00A5147A"/>
    <w:rsid w:val="00A62A14"/>
    <w:rsid w:val="00A6617B"/>
    <w:rsid w:val="00A71FE5"/>
    <w:rsid w:val="00A7534B"/>
    <w:rsid w:val="00A76007"/>
    <w:rsid w:val="00A86DD2"/>
    <w:rsid w:val="00A936CB"/>
    <w:rsid w:val="00A971A1"/>
    <w:rsid w:val="00AA2CA2"/>
    <w:rsid w:val="00AA3AD8"/>
    <w:rsid w:val="00AB0DC8"/>
    <w:rsid w:val="00AB405C"/>
    <w:rsid w:val="00AC015D"/>
    <w:rsid w:val="00AE698D"/>
    <w:rsid w:val="00AF0286"/>
    <w:rsid w:val="00AF5326"/>
    <w:rsid w:val="00B019A2"/>
    <w:rsid w:val="00B0286E"/>
    <w:rsid w:val="00B033C8"/>
    <w:rsid w:val="00B111CE"/>
    <w:rsid w:val="00B33425"/>
    <w:rsid w:val="00B42334"/>
    <w:rsid w:val="00B44E24"/>
    <w:rsid w:val="00B54ECC"/>
    <w:rsid w:val="00B60AC0"/>
    <w:rsid w:val="00B714F3"/>
    <w:rsid w:val="00B75A52"/>
    <w:rsid w:val="00B874C6"/>
    <w:rsid w:val="00B87B6B"/>
    <w:rsid w:val="00B9169E"/>
    <w:rsid w:val="00B96572"/>
    <w:rsid w:val="00BB7886"/>
    <w:rsid w:val="00BC5D77"/>
    <w:rsid w:val="00BD4283"/>
    <w:rsid w:val="00BF19D1"/>
    <w:rsid w:val="00BF487A"/>
    <w:rsid w:val="00BF5544"/>
    <w:rsid w:val="00C15F3E"/>
    <w:rsid w:val="00C46BD9"/>
    <w:rsid w:val="00C55258"/>
    <w:rsid w:val="00C73560"/>
    <w:rsid w:val="00C84DB7"/>
    <w:rsid w:val="00C87A35"/>
    <w:rsid w:val="00CB0F14"/>
    <w:rsid w:val="00CD659B"/>
    <w:rsid w:val="00CE0A43"/>
    <w:rsid w:val="00CF130D"/>
    <w:rsid w:val="00CF29A9"/>
    <w:rsid w:val="00D00118"/>
    <w:rsid w:val="00D0483A"/>
    <w:rsid w:val="00D16749"/>
    <w:rsid w:val="00D5024B"/>
    <w:rsid w:val="00D61962"/>
    <w:rsid w:val="00D72623"/>
    <w:rsid w:val="00D83556"/>
    <w:rsid w:val="00DD3A23"/>
    <w:rsid w:val="00DE5556"/>
    <w:rsid w:val="00DE6D2A"/>
    <w:rsid w:val="00DF4176"/>
    <w:rsid w:val="00E0095C"/>
    <w:rsid w:val="00E17240"/>
    <w:rsid w:val="00E72602"/>
    <w:rsid w:val="00E74595"/>
    <w:rsid w:val="00E77485"/>
    <w:rsid w:val="00EB1CB6"/>
    <w:rsid w:val="00EB7C57"/>
    <w:rsid w:val="00ED2695"/>
    <w:rsid w:val="00ED3CA8"/>
    <w:rsid w:val="00EE04BA"/>
    <w:rsid w:val="00EE47C4"/>
    <w:rsid w:val="00EF2D52"/>
    <w:rsid w:val="00F111D6"/>
    <w:rsid w:val="00F17CED"/>
    <w:rsid w:val="00F30C9B"/>
    <w:rsid w:val="00F354B1"/>
    <w:rsid w:val="00F354D7"/>
    <w:rsid w:val="00F6343F"/>
    <w:rsid w:val="00F72776"/>
    <w:rsid w:val="00F77360"/>
    <w:rsid w:val="00F778C2"/>
    <w:rsid w:val="00F92A40"/>
    <w:rsid w:val="00FB0E4E"/>
    <w:rsid w:val="00FE79FE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62a47,#f8f8f8"/>
    </o:shapedefaults>
    <o:shapelayout v:ext="edit">
      <o:idmap v:ext="edit" data="2"/>
    </o:shapelayout>
  </w:shapeDefaults>
  <w:decimalSymbol w:val="."/>
  <w:listSeparator w:val=","/>
  <w14:docId w14:val="384938C5"/>
  <w15:docId w15:val="{2C52E658-96AB-48CF-ACA6-F15AB18D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4D6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  <w:lang w:val="es-ES" w:eastAsia="en-US"/>
    </w:rPr>
  </w:style>
  <w:style w:type="paragraph" w:styleId="Heading1">
    <w:name w:val="heading 1"/>
    <w:basedOn w:val="Normal"/>
    <w:next w:val="Normal"/>
    <w:qFormat/>
    <w:rsid w:val="00A936CB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A936CB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A936CB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A936CB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A936CB"/>
    <w:pPr>
      <w:outlineLvl w:val="4"/>
    </w:pPr>
  </w:style>
  <w:style w:type="paragraph" w:styleId="Heading6">
    <w:name w:val="heading 6"/>
    <w:basedOn w:val="Heading4"/>
    <w:next w:val="Normal"/>
    <w:qFormat/>
    <w:rsid w:val="00A936CB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A936CB"/>
    <w:pPr>
      <w:outlineLvl w:val="6"/>
    </w:pPr>
  </w:style>
  <w:style w:type="paragraph" w:styleId="Heading8">
    <w:name w:val="heading 8"/>
    <w:basedOn w:val="Heading6"/>
    <w:next w:val="Normal"/>
    <w:qFormat/>
    <w:rsid w:val="00A936CB"/>
    <w:pPr>
      <w:outlineLvl w:val="7"/>
    </w:pPr>
  </w:style>
  <w:style w:type="paragraph" w:styleId="Heading9">
    <w:name w:val="heading 9"/>
    <w:basedOn w:val="Heading6"/>
    <w:next w:val="Normal"/>
    <w:qFormat/>
    <w:rsid w:val="00A936CB"/>
    <w:pPr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36CB"/>
    <w:pPr>
      <w:tabs>
        <w:tab w:val="clear" w:pos="794"/>
        <w:tab w:val="clear" w:pos="1191"/>
        <w:tab w:val="clear" w:pos="1588"/>
        <w:tab w:val="clear" w:pos="1985"/>
        <w:tab w:val="center" w:pos="4848"/>
        <w:tab w:val="right" w:pos="9696"/>
      </w:tabs>
      <w:spacing w:before="0"/>
      <w:jc w:val="center"/>
    </w:pPr>
  </w:style>
  <w:style w:type="paragraph" w:styleId="Footer">
    <w:name w:val="footer"/>
    <w:basedOn w:val="Normal"/>
    <w:rsid w:val="00A936CB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noProof/>
      <w:sz w:val="18"/>
    </w:rPr>
  </w:style>
  <w:style w:type="character" w:styleId="PageNumber">
    <w:name w:val="page number"/>
    <w:basedOn w:val="DefaultParagraphFont"/>
    <w:rsid w:val="00A936CB"/>
  </w:style>
  <w:style w:type="paragraph" w:customStyle="1" w:styleId="Headingb">
    <w:name w:val="Heading_b"/>
    <w:basedOn w:val="Heading3"/>
    <w:next w:val="Normal"/>
    <w:link w:val="HeadingbChar"/>
    <w:rsid w:val="00A936CB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A936CB"/>
    <w:pPr>
      <w:spacing w:before="160"/>
      <w:ind w:left="0" w:firstLine="0"/>
    </w:pPr>
    <w:rPr>
      <w:b w:val="0"/>
      <w:i/>
    </w:rPr>
  </w:style>
  <w:style w:type="character" w:customStyle="1" w:styleId="href">
    <w:name w:val="href"/>
    <w:basedOn w:val="DefaultParagraphFont"/>
    <w:rsid w:val="00A936CB"/>
  </w:style>
  <w:style w:type="paragraph" w:customStyle="1" w:styleId="AnnexNoTitle">
    <w:name w:val="Annex_NoTitle"/>
    <w:basedOn w:val="Normal"/>
    <w:next w:val="Normalaftertitle"/>
    <w:rsid w:val="00335815"/>
    <w:pPr>
      <w:keepNext/>
      <w:keepLines/>
      <w:spacing w:before="480" w:after="80"/>
      <w:jc w:val="center"/>
      <w:outlineLvl w:val="0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A936CB"/>
    <w:pPr>
      <w:spacing w:before="320"/>
    </w:pPr>
  </w:style>
  <w:style w:type="paragraph" w:customStyle="1" w:styleId="enumlev2">
    <w:name w:val="enumlev2"/>
    <w:basedOn w:val="enumlev1"/>
    <w:rsid w:val="00A936CB"/>
    <w:pPr>
      <w:ind w:left="1191" w:hanging="397"/>
    </w:pPr>
  </w:style>
  <w:style w:type="paragraph" w:customStyle="1" w:styleId="enumlev1">
    <w:name w:val="enumlev1"/>
    <w:basedOn w:val="Normal"/>
    <w:rsid w:val="00A936CB"/>
    <w:pPr>
      <w:spacing w:before="80"/>
      <w:ind w:left="794" w:hanging="794"/>
    </w:pPr>
  </w:style>
  <w:style w:type="paragraph" w:customStyle="1" w:styleId="enumlev3">
    <w:name w:val="enumlev3"/>
    <w:basedOn w:val="enumlev2"/>
    <w:rsid w:val="00A936CB"/>
    <w:pPr>
      <w:ind w:left="1588"/>
    </w:pPr>
  </w:style>
  <w:style w:type="paragraph" w:customStyle="1" w:styleId="Note">
    <w:name w:val="Note"/>
    <w:basedOn w:val="Normal"/>
    <w:rsid w:val="00A936CB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2"/>
    </w:rPr>
  </w:style>
  <w:style w:type="paragraph" w:customStyle="1" w:styleId="RecNo">
    <w:name w:val="Rec_No"/>
    <w:basedOn w:val="Normal"/>
    <w:next w:val="Rectitle"/>
    <w:rsid w:val="00A936C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8"/>
    </w:rPr>
  </w:style>
  <w:style w:type="paragraph" w:customStyle="1" w:styleId="Rectitle">
    <w:name w:val="Rec_title"/>
    <w:basedOn w:val="Normal"/>
    <w:next w:val="Recref"/>
    <w:rsid w:val="00A936CB"/>
    <w:pPr>
      <w:keepNext/>
      <w:keepLines/>
      <w:spacing w:before="24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A936CB"/>
    <w:pPr>
      <w:jc w:val="center"/>
    </w:pPr>
  </w:style>
  <w:style w:type="paragraph" w:customStyle="1" w:styleId="Recdate">
    <w:name w:val="Rec_date"/>
    <w:basedOn w:val="Recref"/>
    <w:next w:val="Normalaftertitle"/>
    <w:rsid w:val="00A936CB"/>
    <w:pPr>
      <w:jc w:val="right"/>
    </w:pPr>
  </w:style>
  <w:style w:type="paragraph" w:customStyle="1" w:styleId="HeadingSum">
    <w:name w:val="Heading_Sum"/>
    <w:basedOn w:val="Headingb"/>
    <w:next w:val="Normal"/>
    <w:autoRedefine/>
    <w:rsid w:val="00CF29A9"/>
    <w:pPr>
      <w:spacing w:before="240"/>
    </w:pPr>
    <w:rPr>
      <w:sz w:val="22"/>
      <w:lang w:val="es-ES_tradnl" w:eastAsia="ko-KR"/>
    </w:rPr>
  </w:style>
  <w:style w:type="paragraph" w:customStyle="1" w:styleId="AppendixNoTitle">
    <w:name w:val="Appendix_NoTitle"/>
    <w:basedOn w:val="AnnexNoTitle"/>
    <w:next w:val="Normal"/>
    <w:rsid w:val="00A936CB"/>
  </w:style>
  <w:style w:type="paragraph" w:customStyle="1" w:styleId="Tablefin">
    <w:name w:val="Table_fin"/>
    <w:basedOn w:val="Normal"/>
    <w:next w:val="Normal"/>
    <w:rsid w:val="00A936CB"/>
    <w:pPr>
      <w:spacing w:before="0"/>
    </w:pPr>
    <w:rPr>
      <w:sz w:val="20"/>
      <w:lang w:val="en-GB"/>
    </w:rPr>
  </w:style>
  <w:style w:type="paragraph" w:customStyle="1" w:styleId="Tablehead">
    <w:name w:val="Table_head"/>
    <w:basedOn w:val="Normal"/>
    <w:next w:val="Normal"/>
    <w:rsid w:val="00A936C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A936C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284" w:right="-85" w:hanging="369"/>
    </w:pPr>
    <w:rPr>
      <w:sz w:val="22"/>
    </w:rPr>
  </w:style>
  <w:style w:type="paragraph" w:customStyle="1" w:styleId="TableNo">
    <w:name w:val="Table_No"/>
    <w:basedOn w:val="Normal"/>
    <w:next w:val="Normal"/>
    <w:rsid w:val="00A936CB"/>
    <w:pPr>
      <w:keepNext/>
      <w:spacing w:before="360" w:after="120"/>
      <w:jc w:val="center"/>
    </w:pPr>
  </w:style>
  <w:style w:type="paragraph" w:customStyle="1" w:styleId="Tabletext">
    <w:name w:val="Table_text"/>
    <w:basedOn w:val="Normal"/>
    <w:rsid w:val="00A936C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Equation">
    <w:name w:val="Equation"/>
    <w:basedOn w:val="Normal"/>
    <w:rsid w:val="00A936C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A936CB"/>
    <w:pPr>
      <w:tabs>
        <w:tab w:val="clear" w:pos="794"/>
        <w:tab w:val="clear" w:pos="1191"/>
        <w:tab w:val="clear" w:pos="1588"/>
        <w:tab w:val="right" w:pos="1701"/>
      </w:tabs>
      <w:spacing w:before="80"/>
      <w:ind w:left="1985" w:hanging="1985"/>
    </w:pPr>
    <w:rPr>
      <w:lang w:val="en-US"/>
    </w:rPr>
  </w:style>
  <w:style w:type="paragraph" w:styleId="NormalIndent">
    <w:name w:val="Normal Indent"/>
    <w:basedOn w:val="Normal"/>
    <w:rsid w:val="00A936CB"/>
    <w:pPr>
      <w:ind w:left="794"/>
    </w:pPr>
  </w:style>
  <w:style w:type="paragraph" w:customStyle="1" w:styleId="Figurelegend">
    <w:name w:val="Figure_legend"/>
    <w:basedOn w:val="Normal"/>
    <w:rsid w:val="00A936C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A936CB"/>
    <w:pPr>
      <w:keepNext/>
      <w:keepLines/>
      <w:spacing w:before="480" w:after="80"/>
      <w:jc w:val="center"/>
    </w:pPr>
    <w:rPr>
      <w:caps/>
      <w:sz w:val="18"/>
    </w:rPr>
  </w:style>
  <w:style w:type="paragraph" w:customStyle="1" w:styleId="Figuretitle">
    <w:name w:val="Figure_title"/>
    <w:basedOn w:val="Normal"/>
    <w:next w:val="Figure"/>
    <w:rsid w:val="00A936CB"/>
    <w:pPr>
      <w:keepNext/>
      <w:spacing w:before="0" w:after="120"/>
      <w:jc w:val="center"/>
    </w:pPr>
    <w:rPr>
      <w:rFonts w:ascii="Times New Roman Bold" w:hAnsi="Times New Roman Bold"/>
      <w:b/>
      <w:sz w:val="18"/>
    </w:rPr>
  </w:style>
  <w:style w:type="paragraph" w:customStyle="1" w:styleId="Figure">
    <w:name w:val="Figure"/>
    <w:basedOn w:val="FigureNo"/>
    <w:next w:val="Normal"/>
    <w:rsid w:val="00A936CB"/>
    <w:pPr>
      <w:keepNext w:val="0"/>
      <w:spacing w:before="0" w:after="240"/>
    </w:pPr>
  </w:style>
  <w:style w:type="paragraph" w:customStyle="1" w:styleId="tocpart">
    <w:name w:val="tocpart"/>
    <w:basedOn w:val="Normal"/>
    <w:rsid w:val="00A936CB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</w:pPr>
  </w:style>
  <w:style w:type="paragraph" w:customStyle="1" w:styleId="ArtNo">
    <w:name w:val="Art_No"/>
    <w:basedOn w:val="Normal"/>
    <w:next w:val="Normal"/>
    <w:rsid w:val="00A936CB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aftertitle"/>
    <w:rsid w:val="00A936CB"/>
    <w:pPr>
      <w:keepNext/>
      <w:keepLines/>
      <w:spacing w:before="240"/>
      <w:jc w:val="center"/>
    </w:pPr>
    <w:rPr>
      <w:b/>
      <w:sz w:val="28"/>
    </w:rPr>
  </w:style>
  <w:style w:type="paragraph" w:customStyle="1" w:styleId="Blanc">
    <w:name w:val="Blanc"/>
    <w:basedOn w:val="Normal"/>
    <w:next w:val="Tabletext"/>
    <w:rsid w:val="00A936C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16"/>
      <w:lang w:val="en-GB"/>
    </w:rPr>
  </w:style>
  <w:style w:type="paragraph" w:customStyle="1" w:styleId="ASN1">
    <w:name w:val="ASN.1"/>
    <w:basedOn w:val="Normal"/>
    <w:next w:val="Normal"/>
    <w:rsid w:val="00A936C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A936CB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A936CB"/>
    <w:rPr>
      <w:b/>
    </w:rPr>
  </w:style>
  <w:style w:type="paragraph" w:customStyle="1" w:styleId="Chaptitle">
    <w:name w:val="Chap_title"/>
    <w:basedOn w:val="Arttitle"/>
    <w:next w:val="Normalaftertitle"/>
    <w:rsid w:val="00A936CB"/>
  </w:style>
  <w:style w:type="character" w:styleId="FootnoteReference">
    <w:name w:val="footnote reference"/>
    <w:basedOn w:val="DefaultParagraphFont"/>
    <w:semiHidden/>
    <w:rsid w:val="00A936CB"/>
    <w:rPr>
      <w:position w:val="6"/>
      <w:sz w:val="18"/>
    </w:rPr>
  </w:style>
  <w:style w:type="paragraph" w:styleId="FootnoteText">
    <w:name w:val="footnote text"/>
    <w:basedOn w:val="Normal"/>
    <w:semiHidden/>
    <w:rsid w:val="00A936CB"/>
    <w:pPr>
      <w:keepLines/>
      <w:tabs>
        <w:tab w:val="left" w:pos="255"/>
      </w:tabs>
      <w:ind w:left="255" w:hanging="255"/>
    </w:pPr>
    <w:rPr>
      <w:sz w:val="22"/>
    </w:rPr>
  </w:style>
  <w:style w:type="paragraph" w:styleId="Index1">
    <w:name w:val="index 1"/>
    <w:basedOn w:val="Normal"/>
    <w:next w:val="Normal"/>
    <w:semiHidden/>
    <w:rsid w:val="00A936CB"/>
  </w:style>
  <w:style w:type="paragraph" w:styleId="Index2">
    <w:name w:val="index 2"/>
    <w:basedOn w:val="Normal"/>
    <w:next w:val="Normal"/>
    <w:semiHidden/>
    <w:rsid w:val="00A936CB"/>
    <w:pPr>
      <w:ind w:left="283"/>
    </w:pPr>
  </w:style>
  <w:style w:type="paragraph" w:styleId="Index3">
    <w:name w:val="index 3"/>
    <w:basedOn w:val="Normal"/>
    <w:next w:val="Normal"/>
    <w:semiHidden/>
    <w:rsid w:val="00A936CB"/>
    <w:pPr>
      <w:ind w:left="566"/>
    </w:pPr>
  </w:style>
  <w:style w:type="paragraph" w:styleId="IndexHeading">
    <w:name w:val="index heading"/>
    <w:basedOn w:val="Normal"/>
    <w:next w:val="Index1"/>
    <w:semiHidden/>
    <w:rsid w:val="00A936CB"/>
  </w:style>
  <w:style w:type="paragraph" w:customStyle="1" w:styleId="Line">
    <w:name w:val="Line"/>
    <w:basedOn w:val="Normal"/>
    <w:next w:val="Normal"/>
    <w:rsid w:val="00A936CB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sz w:val="20"/>
      <w:lang w:val="en-GB"/>
    </w:rPr>
  </w:style>
  <w:style w:type="paragraph" w:customStyle="1" w:styleId="toctemp">
    <w:name w:val="toctemp"/>
    <w:basedOn w:val="Normal"/>
    <w:rsid w:val="00A936CB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</w:pPr>
  </w:style>
  <w:style w:type="paragraph" w:customStyle="1" w:styleId="PartNo">
    <w:name w:val="Part_No"/>
    <w:basedOn w:val="Normal"/>
    <w:next w:val="Normal"/>
    <w:rsid w:val="00A936CB"/>
  </w:style>
  <w:style w:type="paragraph" w:customStyle="1" w:styleId="Partref">
    <w:name w:val="Part_ref"/>
    <w:basedOn w:val="Normal"/>
    <w:next w:val="Normal"/>
    <w:rsid w:val="00A936CB"/>
    <w:pPr>
      <w:keepNext/>
      <w:keepLines/>
      <w:spacing w:after="280"/>
      <w:jc w:val="center"/>
    </w:pPr>
  </w:style>
  <w:style w:type="paragraph" w:customStyle="1" w:styleId="Parttitle">
    <w:name w:val="Part_title"/>
    <w:basedOn w:val="Normal"/>
    <w:next w:val="Normalaftertitle"/>
    <w:rsid w:val="00A936C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8"/>
    </w:rPr>
  </w:style>
  <w:style w:type="paragraph" w:customStyle="1" w:styleId="Questiondate">
    <w:name w:val="Question_date"/>
    <w:basedOn w:val="Recdate"/>
    <w:next w:val="Normalaftertitle"/>
    <w:rsid w:val="00A936CB"/>
  </w:style>
  <w:style w:type="paragraph" w:customStyle="1" w:styleId="QuestionNo">
    <w:name w:val="Question_No"/>
    <w:basedOn w:val="RecNo"/>
    <w:next w:val="Normal"/>
    <w:rsid w:val="00A936CB"/>
  </w:style>
  <w:style w:type="paragraph" w:customStyle="1" w:styleId="Questionref">
    <w:name w:val="Question_ref"/>
    <w:basedOn w:val="Recref"/>
    <w:next w:val="Questiondate"/>
    <w:rsid w:val="00A936CB"/>
  </w:style>
  <w:style w:type="paragraph" w:customStyle="1" w:styleId="Questiontitle">
    <w:name w:val="Question_title"/>
    <w:basedOn w:val="Normal"/>
    <w:next w:val="Questionref"/>
    <w:rsid w:val="00A936CB"/>
  </w:style>
  <w:style w:type="paragraph" w:customStyle="1" w:styleId="Reftext">
    <w:name w:val="Ref_text"/>
    <w:basedOn w:val="Normal"/>
    <w:rsid w:val="00A936CB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A936CB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"/>
    <w:rsid w:val="00A936CB"/>
  </w:style>
  <w:style w:type="paragraph" w:customStyle="1" w:styleId="RepNo">
    <w:name w:val="Rep_No"/>
    <w:basedOn w:val="RecNo"/>
    <w:next w:val="Reptitle"/>
    <w:rsid w:val="00A936CB"/>
  </w:style>
  <w:style w:type="paragraph" w:customStyle="1" w:styleId="Reptitle">
    <w:name w:val="Rep_title"/>
    <w:basedOn w:val="Rectitle"/>
    <w:next w:val="Repref"/>
    <w:rsid w:val="00A936CB"/>
  </w:style>
  <w:style w:type="paragraph" w:customStyle="1" w:styleId="Repref">
    <w:name w:val="Rep_ref"/>
    <w:basedOn w:val="Recref"/>
    <w:next w:val="Repdate"/>
    <w:rsid w:val="00A936CB"/>
  </w:style>
  <w:style w:type="paragraph" w:customStyle="1" w:styleId="Resdate">
    <w:name w:val="Res_date"/>
    <w:basedOn w:val="Recdate"/>
    <w:next w:val="Normalaftertitle"/>
    <w:rsid w:val="00A936CB"/>
  </w:style>
  <w:style w:type="paragraph" w:customStyle="1" w:styleId="ResNo">
    <w:name w:val="Res_No"/>
    <w:basedOn w:val="RecNo"/>
    <w:next w:val="Restitle"/>
    <w:rsid w:val="00A936CB"/>
  </w:style>
  <w:style w:type="paragraph" w:customStyle="1" w:styleId="Restitle">
    <w:name w:val="Res_title"/>
    <w:basedOn w:val="Normal"/>
    <w:next w:val="Resref"/>
    <w:rsid w:val="00A936CB"/>
    <w:pPr>
      <w:spacing w:before="240"/>
      <w:jc w:val="center"/>
    </w:pPr>
    <w:rPr>
      <w:b/>
      <w:sz w:val="28"/>
    </w:rPr>
  </w:style>
  <w:style w:type="paragraph" w:customStyle="1" w:styleId="Resref">
    <w:name w:val="Res_ref"/>
    <w:basedOn w:val="Recref"/>
    <w:next w:val="Resdate"/>
    <w:rsid w:val="00A936CB"/>
  </w:style>
  <w:style w:type="paragraph" w:customStyle="1" w:styleId="SectionNo">
    <w:name w:val="Section_No"/>
    <w:basedOn w:val="Normal"/>
    <w:next w:val="Normal"/>
    <w:rsid w:val="00A936CB"/>
  </w:style>
  <w:style w:type="paragraph" w:customStyle="1" w:styleId="Sectiontitle">
    <w:name w:val="Section_title"/>
    <w:basedOn w:val="Normal"/>
    <w:next w:val="Normalaftertitle"/>
    <w:rsid w:val="00A936C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8"/>
    </w:rPr>
  </w:style>
  <w:style w:type="paragraph" w:customStyle="1" w:styleId="toc0">
    <w:name w:val="toc 0"/>
    <w:basedOn w:val="Normal"/>
    <w:next w:val="TOC1"/>
    <w:rsid w:val="00A936CB"/>
    <w:pPr>
      <w:tabs>
        <w:tab w:val="clear" w:pos="794"/>
        <w:tab w:val="clear" w:pos="1191"/>
        <w:tab w:val="clear" w:pos="1588"/>
        <w:tab w:val="clear" w:pos="1985"/>
        <w:tab w:val="right" w:pos="9611"/>
      </w:tabs>
    </w:pPr>
    <w:rPr>
      <w:i/>
    </w:rPr>
  </w:style>
  <w:style w:type="paragraph" w:styleId="TOC1">
    <w:name w:val="toc 1"/>
    <w:basedOn w:val="Normal"/>
    <w:semiHidden/>
    <w:rsid w:val="00A936CB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leader="dot" w:pos="8789"/>
        <w:tab w:val="right" w:pos="9611"/>
      </w:tabs>
      <w:spacing w:before="240"/>
      <w:ind w:left="567" w:right="851" w:hanging="567"/>
    </w:pPr>
    <w:rPr>
      <w:lang w:val="en-US"/>
    </w:rPr>
  </w:style>
  <w:style w:type="paragraph" w:styleId="TOC2">
    <w:name w:val="toc 2"/>
    <w:basedOn w:val="TOC1"/>
    <w:semiHidden/>
    <w:rsid w:val="00A936CB"/>
    <w:pPr>
      <w:tabs>
        <w:tab w:val="clear" w:pos="567"/>
        <w:tab w:val="left" w:pos="1276"/>
      </w:tabs>
      <w:spacing w:before="160"/>
      <w:ind w:left="1276" w:hanging="709"/>
    </w:pPr>
  </w:style>
  <w:style w:type="paragraph" w:styleId="TOC3">
    <w:name w:val="toc 3"/>
    <w:basedOn w:val="TOC2"/>
    <w:semiHidden/>
    <w:rsid w:val="00A936CB"/>
    <w:pPr>
      <w:tabs>
        <w:tab w:val="clear" w:pos="1276"/>
        <w:tab w:val="left" w:pos="2155"/>
      </w:tabs>
      <w:ind w:left="2155" w:hanging="879"/>
    </w:pPr>
  </w:style>
  <w:style w:type="paragraph" w:styleId="TOC4">
    <w:name w:val="toc 4"/>
    <w:basedOn w:val="TOC3"/>
    <w:semiHidden/>
    <w:rsid w:val="00A936CB"/>
    <w:pPr>
      <w:tabs>
        <w:tab w:val="left" w:pos="3261"/>
      </w:tabs>
      <w:spacing w:before="80"/>
      <w:ind w:left="3261" w:hanging="993"/>
    </w:pPr>
  </w:style>
  <w:style w:type="paragraph" w:styleId="TOC5">
    <w:name w:val="toc 5"/>
    <w:basedOn w:val="TOC4"/>
    <w:semiHidden/>
    <w:rsid w:val="00A936CB"/>
  </w:style>
  <w:style w:type="paragraph" w:styleId="TOC6">
    <w:name w:val="toc 6"/>
    <w:basedOn w:val="TOC4"/>
    <w:semiHidden/>
    <w:rsid w:val="00A936CB"/>
  </w:style>
  <w:style w:type="paragraph" w:styleId="TOC7">
    <w:name w:val="toc 7"/>
    <w:basedOn w:val="TOC4"/>
    <w:semiHidden/>
    <w:rsid w:val="00A936CB"/>
  </w:style>
  <w:style w:type="paragraph" w:styleId="TOC8">
    <w:name w:val="toc 8"/>
    <w:basedOn w:val="TOC4"/>
    <w:semiHidden/>
    <w:rsid w:val="00A936CB"/>
  </w:style>
  <w:style w:type="paragraph" w:customStyle="1" w:styleId="Annexref">
    <w:name w:val="Annex_ref"/>
    <w:basedOn w:val="Normal"/>
    <w:next w:val="Normalaftertitle"/>
    <w:rsid w:val="00A93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Normalaftertitle"/>
    <w:rsid w:val="00A936CB"/>
  </w:style>
  <w:style w:type="paragraph" w:customStyle="1" w:styleId="Tabletitle">
    <w:name w:val="Table_title"/>
    <w:basedOn w:val="Normal"/>
    <w:next w:val="Tablehead"/>
    <w:rsid w:val="00A936CB"/>
    <w:pPr>
      <w:keepNext/>
      <w:spacing w:before="0" w:after="120"/>
      <w:jc w:val="center"/>
    </w:pPr>
    <w:rPr>
      <w:b/>
    </w:rPr>
  </w:style>
  <w:style w:type="paragraph" w:customStyle="1" w:styleId="Summary">
    <w:name w:val="Summary"/>
    <w:basedOn w:val="Normal"/>
    <w:next w:val="Normalaftertitle"/>
    <w:autoRedefine/>
    <w:rsid w:val="00CF29A9"/>
    <w:pPr>
      <w:spacing w:after="480"/>
    </w:pPr>
    <w:rPr>
      <w:sz w:val="22"/>
      <w:lang w:val="es-ES_tradnl"/>
    </w:rPr>
  </w:style>
  <w:style w:type="character" w:styleId="Hyperlink">
    <w:name w:val="Hyperlink"/>
    <w:basedOn w:val="DefaultParagraphFont"/>
    <w:rsid w:val="00934ED7"/>
    <w:rPr>
      <w:color w:val="0000FF"/>
      <w:u w:val="single"/>
    </w:rPr>
  </w:style>
  <w:style w:type="paragraph" w:customStyle="1" w:styleId="TableLegendNote">
    <w:name w:val="Table_Legend_Note"/>
    <w:basedOn w:val="Tablelegend"/>
    <w:next w:val="Tablelegend"/>
    <w:rsid w:val="00A936CB"/>
    <w:pPr>
      <w:ind w:left="-85" w:firstLine="0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E47C4"/>
    <w:rPr>
      <w:sz w:val="24"/>
      <w:lang w:val="fr-FR" w:eastAsia="en-US"/>
    </w:rPr>
  </w:style>
  <w:style w:type="table" w:styleId="TableGrid">
    <w:name w:val="Table Grid"/>
    <w:basedOn w:val="TableNormal"/>
    <w:rsid w:val="00EE47C4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B083A"/>
    <w:rPr>
      <w:color w:val="605E5C"/>
      <w:shd w:val="clear" w:color="auto" w:fill="E1DFDD"/>
    </w:rPr>
  </w:style>
  <w:style w:type="paragraph" w:customStyle="1" w:styleId="CoverNumber">
    <w:name w:val="Cover Number"/>
    <w:basedOn w:val="Normal"/>
    <w:qFormat/>
    <w:rsid w:val="00B42334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93"/>
      <w:ind w:left="284"/>
      <w:jc w:val="left"/>
      <w:textAlignment w:val="auto"/>
      <w:outlineLvl w:val="0"/>
    </w:pPr>
    <w:rPr>
      <w:rFonts w:ascii="Arial" w:eastAsia="AvenirNext LT Pro Medium" w:hAnsi="Arial" w:cs="AvenirNext LT Pro Medium"/>
      <w:b/>
      <w:bCs/>
      <w:spacing w:val="-10"/>
      <w:sz w:val="44"/>
      <w:szCs w:val="52"/>
      <w:lang w:val="en-US"/>
    </w:rPr>
  </w:style>
  <w:style w:type="paragraph" w:customStyle="1" w:styleId="CoverDate">
    <w:name w:val="Cover Date"/>
    <w:basedOn w:val="Normal"/>
    <w:qFormat/>
    <w:rsid w:val="00260B24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126"/>
      <w:ind w:left="284"/>
      <w:jc w:val="left"/>
      <w:textAlignment w:val="auto"/>
    </w:pPr>
    <w:rPr>
      <w:rFonts w:ascii="Arial" w:eastAsia="AvenirNext LT Pro Regular" w:hAnsi="Arial" w:cs="AvenirNext LT Pro Regular"/>
      <w:b/>
      <w:spacing w:val="-2"/>
      <w:sz w:val="36"/>
      <w:szCs w:val="22"/>
      <w:lang w:val="en-US"/>
    </w:rPr>
  </w:style>
  <w:style w:type="paragraph" w:customStyle="1" w:styleId="CoverSeries">
    <w:name w:val="Cover Series"/>
    <w:basedOn w:val="Normal"/>
    <w:qFormat/>
    <w:rsid w:val="00B42334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241" w:line="244" w:lineRule="auto"/>
      <w:ind w:left="284"/>
      <w:jc w:val="left"/>
      <w:textAlignment w:val="auto"/>
    </w:pPr>
    <w:rPr>
      <w:rFonts w:ascii="Arial" w:eastAsia="AvenirNext LT Pro Regular" w:hAnsi="Arial" w:cs="AvenirNext LT Pro Regular"/>
      <w:bCs/>
      <w:color w:val="1A1A1A"/>
      <w:spacing w:val="-4"/>
      <w:sz w:val="40"/>
      <w:szCs w:val="48"/>
      <w:lang w:val="en-US"/>
    </w:rPr>
  </w:style>
  <w:style w:type="paragraph" w:customStyle="1" w:styleId="CoverTitle">
    <w:name w:val="Cover Title"/>
    <w:basedOn w:val="Normal"/>
    <w:qFormat/>
    <w:rsid w:val="00B42334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338" w:line="244" w:lineRule="auto"/>
      <w:ind w:left="284" w:right="1002"/>
      <w:jc w:val="left"/>
      <w:textAlignment w:val="auto"/>
    </w:pPr>
    <w:rPr>
      <w:rFonts w:ascii="Arial" w:eastAsia="AvenirNext LT Pro Regular" w:hAnsi="Arial" w:cs="AvenirNext LT Pro Regular"/>
      <w:b/>
      <w:bCs/>
      <w:sz w:val="44"/>
      <w:szCs w:val="48"/>
      <w:lang w:val="en-US"/>
    </w:rPr>
  </w:style>
  <w:style w:type="paragraph" w:customStyle="1" w:styleId="Reasons">
    <w:name w:val="Reasons"/>
    <w:basedOn w:val="Normal"/>
    <w:qFormat/>
    <w:rsid w:val="00E726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lang w:val="en-US"/>
    </w:rPr>
  </w:style>
  <w:style w:type="paragraph" w:styleId="Revision">
    <w:name w:val="Revision"/>
    <w:hidden/>
    <w:uiPriority w:val="99"/>
    <w:semiHidden/>
    <w:rsid w:val="00E72602"/>
    <w:rPr>
      <w:sz w:val="24"/>
      <w:lang w:val="es-ES" w:eastAsia="en-US"/>
    </w:rPr>
  </w:style>
  <w:style w:type="character" w:customStyle="1" w:styleId="HeadingbChar">
    <w:name w:val="Heading_b Char"/>
    <w:link w:val="Headingb"/>
    <w:qFormat/>
    <w:locked/>
    <w:rsid w:val="00CF29A9"/>
    <w:rPr>
      <w:b/>
      <w:sz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www.itu.int/rec/R-REC-SA.609/es" TargetMode="External"/><Relationship Id="rId26" Type="http://schemas.openxmlformats.org/officeDocument/2006/relationships/hyperlink" Target="https://www.itu.int/rec/R-REC-SA.509/es" TargetMode="External"/><Relationship Id="rId21" Type="http://schemas.openxmlformats.org/officeDocument/2006/relationships/hyperlink" Target="https://www.itu.int/rec/R-REC-SA.1155-2-201707-I/es" TargetMode="External"/><Relationship Id="rId34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s://www.itu.int/publ/R-REC/es" TargetMode="External"/><Relationship Id="rId17" Type="http://schemas.openxmlformats.org/officeDocument/2006/relationships/hyperlink" Target="https://www.itu.int/rec/R-REC-SA.510/es" TargetMode="External"/><Relationship Id="rId25" Type="http://schemas.openxmlformats.org/officeDocument/2006/relationships/hyperlink" Target="https://www.itu.int/rec/R-REC-SA.1626/es" TargetMode="External"/><Relationship Id="rId33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s://www.itu.int/rec/R-REC-SA.364/es" TargetMode="External"/><Relationship Id="rId20" Type="http://schemas.openxmlformats.org/officeDocument/2006/relationships/hyperlink" Target="https://www.itu.int/rec/R-REC-SA.1019-1-201707-I/es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ITU-R/go/patents/es" TargetMode="External"/><Relationship Id="rId24" Type="http://schemas.openxmlformats.org/officeDocument/2006/relationships/hyperlink" Target="https://www.itu.int/rec/R-REC-SA.1626/es" TargetMode="External"/><Relationship Id="rId32" Type="http://schemas.openxmlformats.org/officeDocument/2006/relationships/header" Target="header7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s://www.itu.int/rec/R-REC-SA.1626-1-201312-I/es" TargetMode="External"/><Relationship Id="rId28" Type="http://schemas.openxmlformats.org/officeDocument/2006/relationships/header" Target="header5.xm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itu.int/rec/R-REC-SA.1018/es" TargetMode="External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s://www.itu.int/rec/R-REC-SA.1414-2-201707-I/es" TargetMode="External"/><Relationship Id="rId27" Type="http://schemas.openxmlformats.org/officeDocument/2006/relationships/hyperlink" Target="https://www.itu.int/rec/R-REC-SA.609/es" TargetMode="External"/><Relationship Id="rId30" Type="http://schemas.openxmlformats.org/officeDocument/2006/relationships/footer" Target="footer3.xml"/><Relationship Id="rId35" Type="http://schemas.openxmlformats.org/officeDocument/2006/relationships/footer" Target="footer6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QPUB\BR\COUVERTURES\RecS\2025-ITU-R_REC_SA_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5D152-E907-407E-87AB-3A82D712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2025-ITU-R_REC_SA_S.docx</Template>
  <TotalTime>260</TotalTime>
  <Pages>7</Pages>
  <Words>2034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Recomendación UIT-R SA.2141-1 (06/2025) - Características de los sistemas del servicio de investigación espacial en la gama de frecuencias 14,8-15,35 GHz</vt:lpstr>
    </vt:vector>
  </TitlesOfParts>
  <Manager/>
  <Company>ITU</Company>
  <LinksUpToDate>false</LinksUpToDate>
  <CharactersWithSpaces>13611</CharactersWithSpaces>
  <SharedDoc>false</SharedDoc>
  <HLinks>
    <vt:vector size="12" baseType="variant">
      <vt:variant>
        <vt:i4>1966164</vt:i4>
      </vt:variant>
      <vt:variant>
        <vt:i4>3</vt:i4>
      </vt:variant>
      <vt:variant>
        <vt:i4>0</vt:i4>
      </vt:variant>
      <vt:variant>
        <vt:i4>5</vt:i4>
      </vt:variant>
      <vt:variant>
        <vt:lpwstr>http://www.itu.int/publ/R-REC/en</vt:lpwstr>
      </vt:variant>
      <vt:variant>
        <vt:lpwstr/>
      </vt:variant>
      <vt:variant>
        <vt:i4>3997742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http://www.itu.int/ITU-R/go/patents/en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Recomendación UIT-R SA.2141-1 (06/2025) - Características de los sistemas del servicio de investigación espacial en la gama de frecuencias 14,8-15,35 GHz</dc:title>
  <dc:subject>Serie SA: Aplicaciones espaciales y meteorología</dc:subject>
  <dc:creator>Catalano Moreira, Rossana</dc:creator>
  <cp:keywords>Características de sistemas, servicio de investigación espacial (SIE), espacio-Tierra, Tierra-Espacio, espacio-espacio, enlace de conexión directo, satélites de retransmisión de datos (SRD)</cp:keywords>
  <dc:description/>
  <cp:lastModifiedBy>Saez Grau, Ricardo</cp:lastModifiedBy>
  <cp:revision>11</cp:revision>
  <cp:lastPrinted>2025-08-18T06:50:00Z</cp:lastPrinted>
  <dcterms:created xsi:type="dcterms:W3CDTF">2025-08-15T10:27:00Z</dcterms:created>
  <dcterms:modified xsi:type="dcterms:W3CDTF">2025-08-18T06:51:00Z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Rec. </vt:lpwstr>
  </property>
  <property fmtid="{D5CDD505-2E9C-101B-9397-08002B2CF9AE}" pid="3" name="Header 1">
    <vt:lpwstr>Rap. </vt:lpwstr>
  </property>
  <property fmtid="{D5CDD505-2E9C-101B-9397-08002B2CF9AE}" pid="4" name="Header 2">
    <vt:lpwstr>Rep. </vt:lpwstr>
  </property>
  <property fmtid="{D5CDD505-2E9C-101B-9397-08002B2CF9AE}" pid="5" name="Header 3">
    <vt:lpwstr>I. </vt:lpwstr>
  </property>
  <property fmtid="{D5CDD505-2E9C-101B-9397-08002B2CF9AE}" pid="6" name="Header 4">
    <vt:lpwstr>Op. </vt:lpwstr>
  </property>
  <property fmtid="{D5CDD505-2E9C-101B-9397-08002B2CF9AE}" pid="7" name="Header 5">
    <vt:lpwstr>V. </vt:lpwstr>
  </property>
  <property fmtid="{D5CDD505-2E9C-101B-9397-08002B2CF9AE}" pid="8" name="Header 6">
    <vt:lpwstr>Ru. </vt:lpwstr>
  </property>
</Properties>
</file>