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480" w14:textId="77777777" w:rsidR="00F335DC" w:rsidRPr="003A0703" w:rsidRDefault="00F335DC" w:rsidP="00175FB7">
      <w:pPr>
        <w:rPr>
          <w:lang w:val="fr-FR"/>
        </w:rPr>
      </w:pPr>
    </w:p>
    <w:p w14:paraId="46840B06" w14:textId="77777777" w:rsidR="00F335DC" w:rsidRPr="003A0703" w:rsidRDefault="00F335DC" w:rsidP="00175FB7">
      <w:pPr>
        <w:tabs>
          <w:tab w:val="clear" w:pos="794"/>
          <w:tab w:val="clear" w:pos="1191"/>
          <w:tab w:val="clear" w:pos="1588"/>
          <w:tab w:val="clear" w:pos="1985"/>
        </w:tabs>
        <w:rPr>
          <w:lang w:val="fr-FR"/>
        </w:rPr>
      </w:pPr>
    </w:p>
    <w:p w14:paraId="52A7CDEE" w14:textId="5CAFBCB1" w:rsidR="00F335DC" w:rsidRPr="003A0703" w:rsidRDefault="006E2880" w:rsidP="00175FB7">
      <w:pPr>
        <w:pStyle w:val="CoverNumber"/>
        <w:rPr>
          <w:lang w:val="fr-FR"/>
        </w:rPr>
      </w:pPr>
      <w:bookmarkStart w:id="0" w:name="lt_pId003"/>
      <w:bookmarkStart w:id="1" w:name="_Toc182823549"/>
      <w:r w:rsidRPr="003A0703">
        <w:rPr>
          <w:lang w:val="fr-FR"/>
        </w:rPr>
        <w:t>Recomma</w:t>
      </w:r>
      <w:r w:rsidR="000B7708" w:rsidRPr="003A0703">
        <w:rPr>
          <w:lang w:val="fr-FR"/>
        </w:rPr>
        <w:t xml:space="preserve">ndation </w:t>
      </w:r>
      <w:r w:rsidRPr="003A0703">
        <w:rPr>
          <w:lang w:val="fr-FR"/>
        </w:rPr>
        <w:t>UIT</w:t>
      </w:r>
      <w:r w:rsidR="000B7708" w:rsidRPr="003A0703">
        <w:rPr>
          <w:lang w:val="fr-FR"/>
        </w:rPr>
        <w:t xml:space="preserve">-R </w:t>
      </w:r>
      <w:bookmarkStart w:id="2" w:name="_Hlk182899994"/>
      <w:bookmarkEnd w:id="0"/>
      <w:bookmarkEnd w:id="1"/>
      <w:r w:rsidR="006472E3" w:rsidRPr="003A0703">
        <w:rPr>
          <w:lang w:val="fr-FR"/>
        </w:rPr>
        <w:t>SA.2079-1</w:t>
      </w:r>
      <w:bookmarkEnd w:id="2"/>
    </w:p>
    <w:p w14:paraId="0A93FAC2" w14:textId="54033CB0" w:rsidR="00F335DC" w:rsidRPr="003A0703" w:rsidRDefault="00AE63EC" w:rsidP="00175FB7">
      <w:pPr>
        <w:pStyle w:val="DateCover"/>
        <w:rPr>
          <w:lang w:val="fr-FR"/>
        </w:rPr>
      </w:pPr>
      <w:r w:rsidRPr="003A0703">
        <w:rPr>
          <w:lang w:val="fr-FR"/>
        </w:rPr>
        <w:t>(</w:t>
      </w:r>
      <w:r w:rsidR="0096676A" w:rsidRPr="003A0703">
        <w:rPr>
          <w:lang w:val="fr-FR"/>
        </w:rPr>
        <w:t>12</w:t>
      </w:r>
      <w:r w:rsidRPr="003A0703">
        <w:rPr>
          <w:lang w:val="fr-FR"/>
        </w:rPr>
        <w:t>/2023)</w:t>
      </w:r>
    </w:p>
    <w:p w14:paraId="6A07890A" w14:textId="37AD7DC7" w:rsidR="00F335DC" w:rsidRPr="003A0703" w:rsidRDefault="006472E3" w:rsidP="00175FB7">
      <w:pPr>
        <w:pStyle w:val="CoverSeries"/>
        <w:spacing w:line="240" w:lineRule="auto"/>
        <w:rPr>
          <w:lang w:val="fr-FR"/>
        </w:rPr>
      </w:pPr>
      <w:r w:rsidRPr="003A0703">
        <w:rPr>
          <w:lang w:val="fr-FR"/>
        </w:rPr>
        <w:t>Série SA: Applications spatiales et météorologie</w:t>
      </w:r>
    </w:p>
    <w:p w14:paraId="3E21370C" w14:textId="29BA0691" w:rsidR="00F335DC" w:rsidRPr="003A0703" w:rsidRDefault="006472E3" w:rsidP="002662F2">
      <w:pPr>
        <w:pStyle w:val="TitleCover"/>
        <w:spacing w:line="240" w:lineRule="auto"/>
        <w:ind w:right="0"/>
        <w:rPr>
          <w:lang w:val="fr-FR"/>
        </w:rPr>
      </w:pPr>
      <w:r w:rsidRPr="003A0703">
        <w:rPr>
          <w:iCs/>
          <w:lang w:val="fr-FR"/>
        </w:rPr>
        <w:t>Partage de fréquences entre les systèmes du service de recherche spatiale et du service fixe par satellite</w:t>
      </w:r>
      <w:r w:rsidR="00997EDA">
        <w:rPr>
          <w:iCs/>
          <w:lang w:val="fr-FR"/>
        </w:rPr>
        <w:t xml:space="preserve"> </w:t>
      </w:r>
      <w:r w:rsidRPr="003A0703">
        <w:rPr>
          <w:iCs/>
          <w:lang w:val="fr-FR"/>
        </w:rPr>
        <w:t>(espace vers Terre) dans</w:t>
      </w:r>
      <w:r w:rsidR="00997EDA">
        <w:rPr>
          <w:iCs/>
          <w:lang w:val="fr-FR"/>
        </w:rPr>
        <w:t xml:space="preserve"> </w:t>
      </w:r>
      <w:r w:rsidRPr="003A0703">
        <w:rPr>
          <w:iCs/>
          <w:lang w:val="fr-FR"/>
        </w:rPr>
        <w:t>la</w:t>
      </w:r>
      <w:r w:rsidR="00997EDA">
        <w:rPr>
          <w:iCs/>
          <w:lang w:val="fr-FR"/>
        </w:rPr>
        <w:t xml:space="preserve"> </w:t>
      </w:r>
      <w:r w:rsidRPr="003A0703">
        <w:rPr>
          <w:iCs/>
          <w:lang w:val="fr-FR"/>
        </w:rPr>
        <w:t>bande 37,5</w:t>
      </w:r>
      <w:r w:rsidRPr="003A0703">
        <w:rPr>
          <w:iCs/>
          <w:lang w:val="fr-FR"/>
        </w:rPr>
        <w:noBreakHyphen/>
        <w:t>38 GHz</w:t>
      </w:r>
    </w:p>
    <w:p w14:paraId="74D37B03" w14:textId="77777777" w:rsidR="00F335DC" w:rsidRPr="003A0703" w:rsidRDefault="00F335DC" w:rsidP="00175FB7">
      <w:pPr>
        <w:rPr>
          <w:lang w:val="fr-FR"/>
        </w:rPr>
      </w:pPr>
    </w:p>
    <w:p w14:paraId="70231E78" w14:textId="77777777" w:rsidR="00F335DC" w:rsidRPr="003A0703" w:rsidRDefault="00F335DC" w:rsidP="00175FB7">
      <w:pPr>
        <w:rPr>
          <w:lang w:val="fr-FR"/>
        </w:rPr>
        <w:sectPr w:rsidR="00F335DC" w:rsidRPr="003A0703" w:rsidSect="00580D4B">
          <w:headerReference w:type="even" r:id="rId11"/>
          <w:headerReference w:type="default" r:id="rId12"/>
          <w:pgSz w:w="11907" w:h="16840" w:code="9"/>
          <w:pgMar w:top="1089" w:right="1089" w:bottom="284" w:left="1089" w:header="737" w:footer="284" w:gutter="0"/>
          <w:pgNumType w:start="1"/>
          <w:cols w:space="720"/>
          <w:docGrid w:linePitch="326"/>
        </w:sectPr>
      </w:pPr>
    </w:p>
    <w:p w14:paraId="0E54CF84" w14:textId="4FB05420" w:rsidR="00F335DC" w:rsidRPr="003A0703" w:rsidRDefault="00863267"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fr-FR"/>
        </w:rPr>
      </w:pPr>
      <w:bookmarkStart w:id="4" w:name="c2tope"/>
      <w:bookmarkEnd w:id="4"/>
      <w:r w:rsidRPr="003A0703">
        <w:rPr>
          <w:bCs/>
          <w:sz w:val="24"/>
          <w:szCs w:val="24"/>
          <w:lang w:val="fr-FR"/>
        </w:rPr>
        <w:lastRenderedPageBreak/>
        <w:t>Avant-propos</w:t>
      </w:r>
    </w:p>
    <w:p w14:paraId="66A9C069" w14:textId="4FA14008" w:rsidR="00F335DC" w:rsidRPr="003A0703" w:rsidRDefault="00863267" w:rsidP="00175FB7">
      <w:pPr>
        <w:spacing w:before="240"/>
        <w:rPr>
          <w:sz w:val="20"/>
          <w:lang w:val="fr-FR"/>
        </w:rPr>
      </w:pPr>
      <w:bookmarkStart w:id="5" w:name="lt_pId008"/>
      <w:r w:rsidRPr="003A0703">
        <w:rPr>
          <w:sz w:val="20"/>
          <w:lang w:val="fr-FR"/>
        </w:rPr>
        <w:t>Le rôle du Secteur des radiocommunications est d</w:t>
      </w:r>
      <w:r w:rsidR="00A77449" w:rsidRPr="003A0703">
        <w:rPr>
          <w:sz w:val="20"/>
          <w:lang w:val="fr-FR"/>
        </w:rPr>
        <w:t>'</w:t>
      </w:r>
      <w:r w:rsidRPr="003A0703">
        <w:rPr>
          <w:sz w:val="20"/>
          <w:lang w:val="fr-FR"/>
        </w:rPr>
        <w:t>assurer l</w:t>
      </w:r>
      <w:r w:rsidR="00A77449" w:rsidRPr="003A0703">
        <w:rPr>
          <w:sz w:val="20"/>
          <w:lang w:val="fr-FR"/>
        </w:rPr>
        <w:t>'</w:t>
      </w:r>
      <w:r w:rsidRPr="003A0703">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r w:rsidR="000B7708" w:rsidRPr="003A0703">
        <w:rPr>
          <w:sz w:val="20"/>
          <w:lang w:val="fr-FR"/>
        </w:rPr>
        <w:t>.</w:t>
      </w:r>
      <w:bookmarkEnd w:id="5"/>
    </w:p>
    <w:p w14:paraId="19476499" w14:textId="5906549D" w:rsidR="00F335DC" w:rsidRPr="003A0703" w:rsidRDefault="00863267" w:rsidP="00175FB7">
      <w:pPr>
        <w:rPr>
          <w:sz w:val="20"/>
          <w:lang w:val="fr-FR"/>
        </w:rPr>
      </w:pPr>
      <w:bookmarkStart w:id="6" w:name="lt_pId009"/>
      <w:r w:rsidRPr="003A0703">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A77449" w:rsidRPr="003A0703">
        <w:rPr>
          <w:sz w:val="20"/>
          <w:lang w:val="fr-FR"/>
        </w:rPr>
        <w:t>'</w:t>
      </w:r>
      <w:r w:rsidRPr="003A0703">
        <w:rPr>
          <w:sz w:val="20"/>
          <w:lang w:val="fr-FR"/>
        </w:rPr>
        <w:t>études</w:t>
      </w:r>
      <w:r w:rsidR="000B7708" w:rsidRPr="003A0703">
        <w:rPr>
          <w:sz w:val="20"/>
          <w:lang w:val="fr-FR"/>
        </w:rPr>
        <w:t>.</w:t>
      </w:r>
      <w:bookmarkEnd w:id="6"/>
    </w:p>
    <w:p w14:paraId="62EAFD00" w14:textId="7189D50E" w:rsidR="00F335DC" w:rsidRPr="003A0703" w:rsidRDefault="00863267" w:rsidP="00175FB7">
      <w:pPr>
        <w:pStyle w:val="Heading1"/>
        <w:spacing w:before="680"/>
        <w:jc w:val="center"/>
        <w:rPr>
          <w:szCs w:val="24"/>
          <w:lang w:val="fr-FR"/>
        </w:rPr>
      </w:pPr>
      <w:bookmarkStart w:id="7" w:name="lt_pId010"/>
      <w:bookmarkStart w:id="8" w:name="_Toc182823550"/>
      <w:r w:rsidRPr="003A0703">
        <w:rPr>
          <w:szCs w:val="24"/>
          <w:lang w:val="fr-FR"/>
        </w:rPr>
        <w:t>Politique en matière de droits de propriété intellectuelle</w:t>
      </w:r>
      <w:r w:rsidR="000B7708" w:rsidRPr="003A0703">
        <w:rPr>
          <w:szCs w:val="24"/>
          <w:lang w:val="fr-FR"/>
        </w:rPr>
        <w:t xml:space="preserve"> (IPR)</w:t>
      </w:r>
      <w:bookmarkEnd w:id="7"/>
      <w:bookmarkEnd w:id="8"/>
    </w:p>
    <w:p w14:paraId="6BF8C469" w14:textId="257AE18B" w:rsidR="00F335DC" w:rsidRPr="003A0703" w:rsidRDefault="00863267" w:rsidP="00175FB7">
      <w:pPr>
        <w:tabs>
          <w:tab w:val="clear" w:pos="794"/>
          <w:tab w:val="clear" w:pos="1191"/>
          <w:tab w:val="clear" w:pos="1588"/>
          <w:tab w:val="clear" w:pos="1985"/>
        </w:tabs>
        <w:spacing w:before="240"/>
        <w:rPr>
          <w:sz w:val="20"/>
          <w:lang w:val="fr-FR"/>
        </w:rPr>
      </w:pPr>
      <w:bookmarkStart w:id="9" w:name="lt_pId012"/>
      <w:r w:rsidRPr="003A0703">
        <w:rPr>
          <w:sz w:val="20"/>
          <w:lang w:val="fr-FR"/>
        </w:rPr>
        <w:t>La politique de l</w:t>
      </w:r>
      <w:r w:rsidR="00A77449" w:rsidRPr="003A0703">
        <w:rPr>
          <w:sz w:val="20"/>
          <w:lang w:val="fr-FR"/>
        </w:rPr>
        <w:t>'</w:t>
      </w:r>
      <w:r w:rsidRPr="003A0703">
        <w:rPr>
          <w:sz w:val="20"/>
          <w:lang w:val="fr-FR"/>
        </w:rPr>
        <w:t>UIT-R en matière de droits de propriété intellectuelle est décrite dans la «Politique commune de l</w:t>
      </w:r>
      <w:r w:rsidR="00A77449" w:rsidRPr="003A0703">
        <w:rPr>
          <w:sz w:val="20"/>
          <w:lang w:val="fr-FR"/>
        </w:rPr>
        <w:t>'</w:t>
      </w:r>
      <w:r w:rsidRPr="003A0703">
        <w:rPr>
          <w:sz w:val="20"/>
          <w:lang w:val="fr-FR"/>
        </w:rPr>
        <w:t>UIT</w:t>
      </w:r>
      <w:r w:rsidR="00DE344A" w:rsidRPr="003A0703">
        <w:rPr>
          <w:sz w:val="20"/>
          <w:lang w:val="fr-FR"/>
        </w:rPr>
        <w:noBreakHyphen/>
      </w:r>
      <w:r w:rsidRPr="003A0703">
        <w:rPr>
          <w:sz w:val="20"/>
          <w:lang w:val="fr-FR"/>
        </w:rPr>
        <w:t>T, l</w:t>
      </w:r>
      <w:r w:rsidR="00A77449" w:rsidRPr="003A0703">
        <w:rPr>
          <w:sz w:val="20"/>
          <w:lang w:val="fr-FR"/>
        </w:rPr>
        <w:t>'</w:t>
      </w:r>
      <w:r w:rsidRPr="003A0703">
        <w:rPr>
          <w:sz w:val="20"/>
          <w:lang w:val="fr-FR"/>
        </w:rPr>
        <w:t>UIT-R, l</w:t>
      </w:r>
      <w:r w:rsidR="00A77449" w:rsidRPr="003A0703">
        <w:rPr>
          <w:sz w:val="20"/>
          <w:lang w:val="fr-FR"/>
        </w:rPr>
        <w:t>'</w:t>
      </w:r>
      <w:r w:rsidRPr="003A0703">
        <w:rPr>
          <w:sz w:val="20"/>
          <w:lang w:val="fr-FR"/>
        </w:rPr>
        <w:t>ISO et la CEI en matière de brevets», dont il est question dans la Résolution UIT-R 1. Les formulaires que les titulaires de brevets doivent utiliser pour soumettre les déclarations de brevet et d</w:t>
      </w:r>
      <w:r w:rsidR="00A77449" w:rsidRPr="003A0703">
        <w:rPr>
          <w:sz w:val="20"/>
          <w:lang w:val="fr-FR"/>
        </w:rPr>
        <w:t>'</w:t>
      </w:r>
      <w:r w:rsidRPr="003A0703">
        <w:rPr>
          <w:sz w:val="20"/>
          <w:lang w:val="fr-FR"/>
        </w:rPr>
        <w:t>octroi de licence sont accessibles à l</w:t>
      </w:r>
      <w:r w:rsidR="00A77449" w:rsidRPr="003A0703">
        <w:rPr>
          <w:sz w:val="20"/>
          <w:lang w:val="fr-FR"/>
        </w:rPr>
        <w:t>'</w:t>
      </w:r>
      <w:r w:rsidRPr="003A0703">
        <w:rPr>
          <w:sz w:val="20"/>
          <w:lang w:val="fr-FR"/>
        </w:rPr>
        <w:t>adresse</w:t>
      </w:r>
      <w:r w:rsidR="000B7708" w:rsidRPr="003A0703">
        <w:rPr>
          <w:sz w:val="20"/>
          <w:lang w:val="fr-FR"/>
        </w:rPr>
        <w:t xml:space="preserve"> </w:t>
      </w:r>
      <w:r w:rsidR="000B7708">
        <w:fldChar w:fldCharType="begin"/>
      </w:r>
      <w:r w:rsidR="000B7708" w:rsidRPr="006036EE">
        <w:rPr>
          <w:lang w:val="fr-CH"/>
        </w:rPr>
        <w:instrText>HYPERLINK "http://www.itu.int/ITU-R/go/patents/en"</w:instrText>
      </w:r>
      <w:r w:rsidR="000B7708">
        <w:fldChar w:fldCharType="separate"/>
      </w:r>
      <w:r w:rsidR="000B7708" w:rsidRPr="003A0703">
        <w:rPr>
          <w:rStyle w:val="Hyperlink"/>
          <w:sz w:val="20"/>
          <w:lang w:val="fr-FR"/>
        </w:rPr>
        <w:t>http://www.itu.int/ITU-R/go/patents/en</w:t>
      </w:r>
      <w:r w:rsidR="000B7708">
        <w:rPr>
          <w:rStyle w:val="Hyperlink"/>
          <w:sz w:val="20"/>
          <w:lang w:val="fr-FR"/>
        </w:rPr>
        <w:fldChar w:fldCharType="end"/>
      </w:r>
      <w:r w:rsidRPr="003A0703">
        <w:rPr>
          <w:sz w:val="20"/>
          <w:lang w:val="fr-FR"/>
        </w:rPr>
        <w:t>, où l</w:t>
      </w:r>
      <w:r w:rsidR="00A77449" w:rsidRPr="003A0703">
        <w:rPr>
          <w:sz w:val="20"/>
          <w:lang w:val="fr-FR"/>
        </w:rPr>
        <w:t>'</w:t>
      </w:r>
      <w:r w:rsidRPr="003A0703">
        <w:rPr>
          <w:sz w:val="20"/>
          <w:lang w:val="fr-FR"/>
        </w:rPr>
        <w:t xml:space="preserve">on trouvera également les Lignes directrices pour la mise en </w:t>
      </w:r>
      <w:r w:rsidR="002C4C2C" w:rsidRPr="003A0703">
        <w:rPr>
          <w:sz w:val="20"/>
          <w:lang w:val="fr-FR"/>
        </w:rPr>
        <w:t>œ</w:t>
      </w:r>
      <w:r w:rsidRPr="003A0703">
        <w:rPr>
          <w:sz w:val="20"/>
          <w:lang w:val="fr-FR"/>
        </w:rPr>
        <w:t>uvre de la politique commune en matière de brevets de l</w:t>
      </w:r>
      <w:r w:rsidR="00A77449" w:rsidRPr="003A0703">
        <w:rPr>
          <w:sz w:val="20"/>
          <w:lang w:val="fr-FR"/>
        </w:rPr>
        <w:t>'</w:t>
      </w:r>
      <w:r w:rsidRPr="003A0703">
        <w:rPr>
          <w:sz w:val="20"/>
          <w:lang w:val="fr-FR"/>
        </w:rPr>
        <w:t>UIT-T, l</w:t>
      </w:r>
      <w:r w:rsidR="00A77449" w:rsidRPr="003A0703">
        <w:rPr>
          <w:sz w:val="20"/>
          <w:lang w:val="fr-FR"/>
        </w:rPr>
        <w:t>'</w:t>
      </w:r>
      <w:r w:rsidRPr="003A0703">
        <w:rPr>
          <w:sz w:val="20"/>
          <w:lang w:val="fr-FR"/>
        </w:rPr>
        <w:t>UIT-R, l</w:t>
      </w:r>
      <w:r w:rsidR="00A77449" w:rsidRPr="003A0703">
        <w:rPr>
          <w:sz w:val="20"/>
          <w:lang w:val="fr-FR"/>
        </w:rPr>
        <w:t>'</w:t>
      </w:r>
      <w:r w:rsidRPr="003A0703">
        <w:rPr>
          <w:sz w:val="20"/>
          <w:lang w:val="fr-FR"/>
        </w:rPr>
        <w:t>ISO et la CEI et la base de données en matière de brevets de l</w:t>
      </w:r>
      <w:r w:rsidR="00A77449" w:rsidRPr="003A0703">
        <w:rPr>
          <w:sz w:val="20"/>
          <w:lang w:val="fr-FR"/>
        </w:rPr>
        <w:t>'</w:t>
      </w:r>
      <w:r w:rsidRPr="003A0703">
        <w:rPr>
          <w:sz w:val="20"/>
          <w:lang w:val="fr-FR"/>
        </w:rPr>
        <w:t>UIT-R</w:t>
      </w:r>
      <w:r w:rsidR="000B7708" w:rsidRPr="003A0703">
        <w:rPr>
          <w:sz w:val="20"/>
          <w:lang w:val="fr-FR"/>
        </w:rPr>
        <w:t>.</w:t>
      </w:r>
      <w:bookmarkEnd w:id="9"/>
    </w:p>
    <w:p w14:paraId="612DF276" w14:textId="77777777" w:rsidR="00F335DC" w:rsidRPr="003A0703" w:rsidRDefault="00F335DC" w:rsidP="00175FB7">
      <w:pPr>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EE4E3F" w:rsidRPr="00335AAA" w14:paraId="7A900748" w14:textId="77777777" w:rsidTr="00AE63EC">
        <w:tc>
          <w:tcPr>
            <w:tcW w:w="9609" w:type="dxa"/>
            <w:gridSpan w:val="2"/>
          </w:tcPr>
          <w:p w14:paraId="3ABB75EE" w14:textId="2BCDEC1F" w:rsidR="00F335DC" w:rsidRPr="003A0703" w:rsidRDefault="00863267" w:rsidP="00175FB7">
            <w:pPr>
              <w:pStyle w:val="Chaptitle"/>
              <w:keepLines w:val="0"/>
              <w:tabs>
                <w:tab w:val="clear" w:pos="794"/>
                <w:tab w:val="clear" w:pos="1191"/>
                <w:tab w:val="clear" w:pos="1588"/>
                <w:tab w:val="clear" w:pos="1985"/>
              </w:tabs>
              <w:overflowPunct/>
              <w:spacing w:before="180"/>
              <w:textAlignment w:val="auto"/>
              <w:rPr>
                <w:sz w:val="22"/>
                <w:szCs w:val="22"/>
                <w:lang w:val="fr-FR"/>
              </w:rPr>
            </w:pPr>
            <w:bookmarkStart w:id="10" w:name="lt_pId013"/>
            <w:r w:rsidRPr="003A0703">
              <w:rPr>
                <w:sz w:val="22"/>
                <w:szCs w:val="22"/>
                <w:lang w:val="fr-FR"/>
              </w:rPr>
              <w:t>Sé</w:t>
            </w:r>
            <w:r w:rsidR="000B7708" w:rsidRPr="003A0703">
              <w:rPr>
                <w:sz w:val="22"/>
                <w:szCs w:val="22"/>
                <w:lang w:val="fr-FR"/>
              </w:rPr>
              <w:t xml:space="preserve">ries </w:t>
            </w:r>
            <w:r w:rsidRPr="003A0703">
              <w:rPr>
                <w:sz w:val="22"/>
                <w:szCs w:val="22"/>
                <w:lang w:val="fr-FR"/>
              </w:rPr>
              <w:t>des</w:t>
            </w:r>
            <w:r w:rsidR="000B7708" w:rsidRPr="003A0703">
              <w:rPr>
                <w:sz w:val="22"/>
                <w:szCs w:val="22"/>
                <w:lang w:val="fr-FR"/>
              </w:rPr>
              <w:t xml:space="preserve"> </w:t>
            </w:r>
            <w:r w:rsidRPr="003A0703">
              <w:rPr>
                <w:sz w:val="22"/>
                <w:szCs w:val="22"/>
                <w:lang w:val="fr-FR"/>
              </w:rPr>
              <w:t>Recommandations UIT</w:t>
            </w:r>
            <w:r w:rsidR="000B7708" w:rsidRPr="003A0703">
              <w:rPr>
                <w:sz w:val="22"/>
                <w:szCs w:val="22"/>
                <w:lang w:val="fr-FR"/>
              </w:rPr>
              <w:t>-R</w:t>
            </w:r>
            <w:bookmarkEnd w:id="10"/>
          </w:p>
          <w:p w14:paraId="44A7F5DD" w14:textId="24131B35" w:rsidR="00F335DC" w:rsidRPr="003A0703" w:rsidRDefault="000B7708"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bookmarkStart w:id="11" w:name="lt_pId014"/>
            <w:r w:rsidRPr="003A0703">
              <w:rPr>
                <w:b w:val="0"/>
                <w:sz w:val="18"/>
                <w:szCs w:val="18"/>
                <w:lang w:val="fr-FR"/>
              </w:rPr>
              <w:t>(</w:t>
            </w:r>
            <w:r w:rsidR="00DE344A" w:rsidRPr="003A0703">
              <w:rPr>
                <w:b w:val="0"/>
                <w:sz w:val="18"/>
                <w:szCs w:val="18"/>
                <w:lang w:val="fr-FR"/>
              </w:rPr>
              <w:t>Également</w:t>
            </w:r>
            <w:r w:rsidR="00863267" w:rsidRPr="003A0703">
              <w:rPr>
                <w:b w:val="0"/>
                <w:sz w:val="18"/>
                <w:szCs w:val="18"/>
                <w:lang w:val="fr-FR"/>
              </w:rPr>
              <w:t xml:space="preserve"> disponible en </w:t>
            </w:r>
            <w:proofErr w:type="gramStart"/>
            <w:r w:rsidR="00863267" w:rsidRPr="003A0703">
              <w:rPr>
                <w:b w:val="0"/>
                <w:sz w:val="18"/>
                <w:szCs w:val="18"/>
                <w:lang w:val="fr-FR"/>
              </w:rPr>
              <w:t>ligne:</w:t>
            </w:r>
            <w:proofErr w:type="gramEnd"/>
            <w:r w:rsidRPr="003A0703">
              <w:rPr>
                <w:b w:val="0"/>
                <w:sz w:val="18"/>
                <w:szCs w:val="18"/>
                <w:lang w:val="fr-FR"/>
              </w:rPr>
              <w:t xml:space="preserve"> </w:t>
            </w:r>
            <w:hyperlink r:id="rId13" w:history="1">
              <w:r w:rsidR="0096676A" w:rsidRPr="003A0703">
                <w:rPr>
                  <w:rStyle w:val="Hyperlink"/>
                  <w:b w:val="0"/>
                  <w:sz w:val="18"/>
                  <w:szCs w:val="18"/>
                  <w:lang w:val="fr-FR"/>
                </w:rPr>
                <w:t>https://www.itu.int/pub/R-REC/en</w:t>
              </w:r>
            </w:hyperlink>
            <w:r w:rsidRPr="003A0703">
              <w:rPr>
                <w:b w:val="0"/>
                <w:sz w:val="18"/>
                <w:szCs w:val="18"/>
                <w:lang w:val="fr-FR"/>
              </w:rPr>
              <w:t>)</w:t>
            </w:r>
            <w:bookmarkEnd w:id="11"/>
          </w:p>
        </w:tc>
      </w:tr>
      <w:tr w:rsidR="00AE63EC" w:rsidRPr="003A0703" w14:paraId="7A582F6B" w14:textId="77777777" w:rsidTr="00AE63EC">
        <w:tc>
          <w:tcPr>
            <w:tcW w:w="1170" w:type="dxa"/>
            <w:tcBorders>
              <w:bottom w:val="nil"/>
            </w:tcBorders>
          </w:tcPr>
          <w:p w14:paraId="027459DC" w14:textId="05A4825B" w:rsidR="00AE63EC" w:rsidRPr="003A0703" w:rsidRDefault="00AE63EC" w:rsidP="00175FB7">
            <w:pPr>
              <w:spacing w:before="200" w:after="100"/>
              <w:ind w:left="57"/>
              <w:jc w:val="left"/>
              <w:rPr>
                <w:b/>
                <w:bCs/>
                <w:sz w:val="20"/>
                <w:lang w:val="fr-FR"/>
              </w:rPr>
            </w:pPr>
            <w:r w:rsidRPr="003A0703">
              <w:rPr>
                <w:b/>
                <w:bCs/>
                <w:sz w:val="20"/>
                <w:szCs w:val="18"/>
                <w:lang w:val="fr-FR"/>
              </w:rPr>
              <w:t>Séries</w:t>
            </w:r>
          </w:p>
        </w:tc>
        <w:tc>
          <w:tcPr>
            <w:tcW w:w="8439" w:type="dxa"/>
            <w:tcBorders>
              <w:bottom w:val="nil"/>
            </w:tcBorders>
          </w:tcPr>
          <w:p w14:paraId="44A7F469" w14:textId="3A6D0288" w:rsidR="00AE63EC" w:rsidRPr="003A0703" w:rsidRDefault="00AE63EC"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fr-FR"/>
              </w:rPr>
            </w:pPr>
            <w:r w:rsidRPr="003A0703">
              <w:rPr>
                <w:bCs/>
                <w:sz w:val="20"/>
                <w:lang w:val="fr-FR"/>
              </w:rPr>
              <w:t>Titre</w:t>
            </w:r>
          </w:p>
        </w:tc>
      </w:tr>
      <w:tr w:rsidR="00AE63EC" w:rsidRPr="003A0703" w14:paraId="2F500D5E" w14:textId="77777777" w:rsidTr="00AE63EC">
        <w:tc>
          <w:tcPr>
            <w:tcW w:w="1170" w:type="dxa"/>
            <w:tcBorders>
              <w:top w:val="nil"/>
              <w:bottom w:val="nil"/>
            </w:tcBorders>
            <w:shd w:val="clear" w:color="auto" w:fill="auto"/>
          </w:tcPr>
          <w:p w14:paraId="24201375" w14:textId="3BFE4EF1" w:rsidR="00AE63EC" w:rsidRPr="003A0703" w:rsidRDefault="00AE63EC" w:rsidP="00175FB7">
            <w:pPr>
              <w:spacing w:before="30" w:after="30"/>
              <w:ind w:left="57"/>
              <w:jc w:val="left"/>
              <w:rPr>
                <w:b/>
                <w:sz w:val="20"/>
                <w:lang w:val="fr-FR"/>
              </w:rPr>
            </w:pPr>
            <w:r w:rsidRPr="003A0703">
              <w:rPr>
                <w:b/>
                <w:bCs/>
                <w:sz w:val="20"/>
                <w:szCs w:val="18"/>
                <w:lang w:val="fr-FR"/>
              </w:rPr>
              <w:t>BO</w:t>
            </w:r>
          </w:p>
        </w:tc>
        <w:tc>
          <w:tcPr>
            <w:tcW w:w="8439" w:type="dxa"/>
            <w:tcBorders>
              <w:top w:val="nil"/>
              <w:bottom w:val="nil"/>
            </w:tcBorders>
            <w:shd w:val="clear" w:color="auto" w:fill="auto"/>
          </w:tcPr>
          <w:p w14:paraId="7D974571" w14:textId="499AC2FD" w:rsidR="00AE63EC" w:rsidRPr="003A0703" w:rsidRDefault="00AE63EC"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3A0703">
              <w:rPr>
                <w:b w:val="0"/>
                <w:bCs/>
                <w:sz w:val="20"/>
                <w:szCs w:val="18"/>
                <w:lang w:val="fr-FR"/>
              </w:rPr>
              <w:t>Diffusion par satellite</w:t>
            </w:r>
          </w:p>
        </w:tc>
      </w:tr>
      <w:tr w:rsidR="00AE63EC" w:rsidRPr="006036EE" w14:paraId="223AAC23" w14:textId="77777777" w:rsidTr="00AE63EC">
        <w:tc>
          <w:tcPr>
            <w:tcW w:w="1170" w:type="dxa"/>
            <w:tcBorders>
              <w:top w:val="nil"/>
            </w:tcBorders>
          </w:tcPr>
          <w:p w14:paraId="2D1D98CE" w14:textId="520340FF" w:rsidR="00AE63EC" w:rsidRPr="003A0703" w:rsidRDefault="00AE63EC" w:rsidP="00175FB7">
            <w:pPr>
              <w:spacing w:before="30" w:after="30"/>
              <w:ind w:left="57"/>
              <w:jc w:val="left"/>
              <w:rPr>
                <w:b/>
                <w:bCs/>
                <w:sz w:val="20"/>
                <w:lang w:val="fr-FR"/>
              </w:rPr>
            </w:pPr>
            <w:r w:rsidRPr="003A0703">
              <w:rPr>
                <w:b/>
                <w:bCs/>
                <w:sz w:val="20"/>
                <w:szCs w:val="18"/>
                <w:lang w:val="fr-FR"/>
              </w:rPr>
              <w:t>BR</w:t>
            </w:r>
          </w:p>
        </w:tc>
        <w:tc>
          <w:tcPr>
            <w:tcW w:w="8439" w:type="dxa"/>
            <w:tcBorders>
              <w:top w:val="nil"/>
            </w:tcBorders>
          </w:tcPr>
          <w:p w14:paraId="637BDF84" w14:textId="7ABBD42B" w:rsidR="00AE63EC" w:rsidRPr="003A0703" w:rsidRDefault="00AE63EC"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3A0703">
              <w:rPr>
                <w:b w:val="0"/>
                <w:bCs/>
                <w:sz w:val="20"/>
                <w:szCs w:val="18"/>
                <w:lang w:val="fr-FR"/>
              </w:rPr>
              <w:t>Enregistrement pour la production, l</w:t>
            </w:r>
            <w:r w:rsidR="00A77449" w:rsidRPr="003A0703">
              <w:rPr>
                <w:b w:val="0"/>
                <w:bCs/>
                <w:sz w:val="20"/>
                <w:szCs w:val="18"/>
                <w:lang w:val="fr-FR"/>
              </w:rPr>
              <w:t>'</w:t>
            </w:r>
            <w:r w:rsidRPr="003A0703">
              <w:rPr>
                <w:b w:val="0"/>
                <w:bCs/>
                <w:sz w:val="20"/>
                <w:szCs w:val="18"/>
                <w:lang w:val="fr-FR"/>
              </w:rPr>
              <w:t>archivage et la diffusion; films pour la télévision</w:t>
            </w:r>
          </w:p>
        </w:tc>
      </w:tr>
      <w:tr w:rsidR="00AE63EC" w:rsidRPr="003A0703" w14:paraId="6C98BF6F" w14:textId="77777777" w:rsidTr="00AE63EC">
        <w:tc>
          <w:tcPr>
            <w:tcW w:w="1170" w:type="dxa"/>
            <w:shd w:val="clear" w:color="auto" w:fill="FFFFFF" w:themeFill="background1"/>
          </w:tcPr>
          <w:p w14:paraId="3FEA84BF" w14:textId="106AA206" w:rsidR="00AE63EC" w:rsidRPr="003A0703" w:rsidRDefault="00AE63EC" w:rsidP="00175FB7">
            <w:pPr>
              <w:spacing w:before="30" w:after="30"/>
              <w:ind w:left="57"/>
              <w:jc w:val="left"/>
              <w:rPr>
                <w:b/>
                <w:bCs/>
                <w:sz w:val="20"/>
                <w:lang w:val="fr-FR"/>
              </w:rPr>
            </w:pPr>
            <w:r w:rsidRPr="003A0703">
              <w:rPr>
                <w:b/>
                <w:bCs/>
                <w:sz w:val="20"/>
                <w:szCs w:val="18"/>
                <w:lang w:val="fr-FR"/>
              </w:rPr>
              <w:t>BS</w:t>
            </w:r>
          </w:p>
        </w:tc>
        <w:tc>
          <w:tcPr>
            <w:tcW w:w="8439" w:type="dxa"/>
            <w:shd w:val="clear" w:color="auto" w:fill="FFFFFF" w:themeFill="background1"/>
          </w:tcPr>
          <w:p w14:paraId="22F3588C" w14:textId="6F67A278" w:rsidR="00AE63EC" w:rsidRPr="003A0703" w:rsidRDefault="00AE63EC" w:rsidP="00175FB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Cs/>
                <w:sz w:val="20"/>
                <w:lang w:val="fr-FR"/>
              </w:rPr>
            </w:pPr>
            <w:r w:rsidRPr="003A0703">
              <w:rPr>
                <w:bCs/>
                <w:sz w:val="20"/>
                <w:szCs w:val="18"/>
                <w:lang w:val="fr-FR"/>
              </w:rPr>
              <w:t>Service de radiodiffusion sonore</w:t>
            </w:r>
          </w:p>
        </w:tc>
      </w:tr>
      <w:tr w:rsidR="00AE63EC" w:rsidRPr="003A0703" w14:paraId="28DD7F14" w14:textId="77777777" w:rsidTr="00421267">
        <w:tc>
          <w:tcPr>
            <w:tcW w:w="1170" w:type="dxa"/>
            <w:shd w:val="clear" w:color="auto" w:fill="FFFFFF" w:themeFill="background1"/>
          </w:tcPr>
          <w:p w14:paraId="3AF4F797" w14:textId="63A49319" w:rsidR="00AE63EC" w:rsidRPr="003A0703" w:rsidRDefault="00AE63EC" w:rsidP="00175FB7">
            <w:pPr>
              <w:spacing w:before="30" w:after="30"/>
              <w:ind w:left="57"/>
              <w:jc w:val="left"/>
              <w:rPr>
                <w:b/>
                <w:bCs/>
                <w:color w:val="000080"/>
                <w:sz w:val="20"/>
                <w:lang w:val="fr-FR"/>
              </w:rPr>
            </w:pPr>
            <w:r w:rsidRPr="003A0703">
              <w:rPr>
                <w:b/>
                <w:bCs/>
                <w:sz w:val="20"/>
                <w:szCs w:val="18"/>
                <w:lang w:val="fr-FR"/>
              </w:rPr>
              <w:t>BT</w:t>
            </w:r>
          </w:p>
        </w:tc>
        <w:tc>
          <w:tcPr>
            <w:tcW w:w="8439" w:type="dxa"/>
            <w:shd w:val="clear" w:color="auto" w:fill="FFFFFF" w:themeFill="background1"/>
          </w:tcPr>
          <w:p w14:paraId="62CB35D8" w14:textId="5490A3D9" w:rsidR="00AE63EC" w:rsidRPr="003A0703" w:rsidRDefault="00AE63EC"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fr-FR"/>
              </w:rPr>
            </w:pPr>
            <w:r w:rsidRPr="003A0703">
              <w:rPr>
                <w:b w:val="0"/>
                <w:bCs/>
                <w:sz w:val="20"/>
                <w:szCs w:val="18"/>
                <w:lang w:val="fr-FR"/>
              </w:rPr>
              <w:t>Service de radiodiffusion télévisuelle</w:t>
            </w:r>
          </w:p>
        </w:tc>
      </w:tr>
      <w:tr w:rsidR="00AE63EC" w:rsidRPr="003A0703" w14:paraId="575771C1" w14:textId="77777777" w:rsidTr="00AE63EC">
        <w:tc>
          <w:tcPr>
            <w:tcW w:w="1170" w:type="dxa"/>
            <w:shd w:val="clear" w:color="auto" w:fill="auto"/>
          </w:tcPr>
          <w:p w14:paraId="5460F369" w14:textId="034E6436" w:rsidR="00AE63EC" w:rsidRPr="003A0703" w:rsidRDefault="00AE63EC" w:rsidP="00175FB7">
            <w:pPr>
              <w:spacing w:before="30" w:after="30"/>
              <w:ind w:left="57"/>
              <w:jc w:val="left"/>
              <w:rPr>
                <w:b/>
                <w:bCs/>
                <w:sz w:val="20"/>
                <w:lang w:val="fr-FR"/>
              </w:rPr>
            </w:pPr>
            <w:r w:rsidRPr="003A0703">
              <w:rPr>
                <w:b/>
                <w:bCs/>
                <w:sz w:val="20"/>
                <w:szCs w:val="18"/>
                <w:lang w:val="fr-FR"/>
              </w:rPr>
              <w:t>F</w:t>
            </w:r>
          </w:p>
        </w:tc>
        <w:tc>
          <w:tcPr>
            <w:tcW w:w="8439" w:type="dxa"/>
            <w:shd w:val="clear" w:color="auto" w:fill="auto"/>
          </w:tcPr>
          <w:p w14:paraId="2666F87C" w14:textId="19BF48D0" w:rsidR="00AE63EC" w:rsidRPr="003A0703" w:rsidRDefault="00AE63EC" w:rsidP="00175FB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3A0703">
              <w:rPr>
                <w:sz w:val="20"/>
                <w:szCs w:val="18"/>
                <w:lang w:val="fr-FR"/>
              </w:rPr>
              <w:t>Service fixe</w:t>
            </w:r>
          </w:p>
        </w:tc>
      </w:tr>
      <w:tr w:rsidR="00AE63EC" w:rsidRPr="006036EE" w14:paraId="1B4CDCDB" w14:textId="77777777" w:rsidTr="00AE63EC">
        <w:tc>
          <w:tcPr>
            <w:tcW w:w="1170" w:type="dxa"/>
            <w:shd w:val="clear" w:color="auto" w:fill="auto"/>
          </w:tcPr>
          <w:p w14:paraId="50B3E89B" w14:textId="26868440" w:rsidR="00AE63EC" w:rsidRPr="003A0703" w:rsidRDefault="00AE63EC" w:rsidP="00175FB7">
            <w:pPr>
              <w:spacing w:before="30" w:after="30"/>
              <w:ind w:left="57"/>
              <w:jc w:val="left"/>
              <w:rPr>
                <w:b/>
                <w:bCs/>
                <w:sz w:val="20"/>
                <w:lang w:val="fr-FR"/>
              </w:rPr>
            </w:pPr>
            <w:r w:rsidRPr="003A0703">
              <w:rPr>
                <w:b/>
                <w:bCs/>
                <w:sz w:val="20"/>
                <w:szCs w:val="18"/>
                <w:lang w:val="fr-FR"/>
              </w:rPr>
              <w:t>M</w:t>
            </w:r>
          </w:p>
        </w:tc>
        <w:tc>
          <w:tcPr>
            <w:tcW w:w="8439" w:type="dxa"/>
            <w:shd w:val="clear" w:color="auto" w:fill="auto"/>
          </w:tcPr>
          <w:p w14:paraId="20EF66F1" w14:textId="0A2AE3F4" w:rsidR="00AE63EC" w:rsidRPr="003A0703" w:rsidRDefault="00AE63EC" w:rsidP="00175FB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3A0703">
              <w:rPr>
                <w:b w:val="0"/>
                <w:bCs/>
                <w:sz w:val="20"/>
                <w:szCs w:val="18"/>
                <w:lang w:val="fr-FR"/>
              </w:rPr>
              <w:t>Services mobile, de radiorepérage et d</w:t>
            </w:r>
            <w:r w:rsidR="00A77449" w:rsidRPr="003A0703">
              <w:rPr>
                <w:b w:val="0"/>
                <w:bCs/>
                <w:sz w:val="20"/>
                <w:szCs w:val="18"/>
                <w:lang w:val="fr-FR"/>
              </w:rPr>
              <w:t>'</w:t>
            </w:r>
            <w:r w:rsidRPr="003A0703">
              <w:rPr>
                <w:b w:val="0"/>
                <w:bCs/>
                <w:sz w:val="20"/>
                <w:szCs w:val="18"/>
                <w:lang w:val="fr-FR"/>
              </w:rPr>
              <w:t>amateur y compris les services par satellite associés</w:t>
            </w:r>
          </w:p>
        </w:tc>
      </w:tr>
      <w:tr w:rsidR="00AE63EC" w:rsidRPr="003A0703" w14:paraId="340AF8DC" w14:textId="77777777" w:rsidTr="00421267">
        <w:tc>
          <w:tcPr>
            <w:tcW w:w="1170" w:type="dxa"/>
            <w:shd w:val="clear" w:color="auto" w:fill="auto"/>
          </w:tcPr>
          <w:p w14:paraId="6EC184F6" w14:textId="500B6DDC" w:rsidR="00AE63EC" w:rsidRPr="003A0703" w:rsidRDefault="00AE63EC" w:rsidP="00175FB7">
            <w:pPr>
              <w:spacing w:before="30" w:after="30"/>
              <w:ind w:left="57"/>
              <w:jc w:val="left"/>
              <w:rPr>
                <w:b/>
                <w:bCs/>
                <w:sz w:val="20"/>
                <w:szCs w:val="18"/>
                <w:lang w:val="fr-FR"/>
              </w:rPr>
            </w:pPr>
            <w:r w:rsidRPr="003A0703">
              <w:rPr>
                <w:b/>
                <w:bCs/>
                <w:sz w:val="20"/>
                <w:szCs w:val="18"/>
                <w:lang w:val="fr-FR"/>
              </w:rPr>
              <w:t>P</w:t>
            </w:r>
          </w:p>
        </w:tc>
        <w:tc>
          <w:tcPr>
            <w:tcW w:w="8439" w:type="dxa"/>
            <w:shd w:val="clear" w:color="auto" w:fill="auto"/>
          </w:tcPr>
          <w:p w14:paraId="1116D58B" w14:textId="64CD7AEC" w:rsidR="00AE63EC" w:rsidRPr="003A0703" w:rsidRDefault="00AE63EC" w:rsidP="00175FB7">
            <w:pPr>
              <w:spacing w:before="30" w:after="30"/>
              <w:jc w:val="left"/>
              <w:rPr>
                <w:bCs/>
                <w:sz w:val="20"/>
                <w:szCs w:val="18"/>
                <w:lang w:val="fr-FR"/>
              </w:rPr>
            </w:pPr>
            <w:r w:rsidRPr="003A0703">
              <w:rPr>
                <w:bCs/>
                <w:sz w:val="20"/>
                <w:szCs w:val="18"/>
                <w:lang w:val="fr-FR"/>
              </w:rPr>
              <w:t>Propagation des ondes radioélectriques</w:t>
            </w:r>
          </w:p>
        </w:tc>
      </w:tr>
      <w:tr w:rsidR="00AE63EC" w:rsidRPr="003A0703" w14:paraId="4CD3BB73" w14:textId="77777777" w:rsidTr="00AE63EC">
        <w:tc>
          <w:tcPr>
            <w:tcW w:w="1170" w:type="dxa"/>
          </w:tcPr>
          <w:p w14:paraId="23F9CEB7" w14:textId="046544FD" w:rsidR="00AE63EC" w:rsidRPr="003A0703" w:rsidRDefault="00AE63EC" w:rsidP="00175FB7">
            <w:pPr>
              <w:spacing w:before="30" w:after="30"/>
              <w:ind w:left="57"/>
              <w:jc w:val="left"/>
              <w:rPr>
                <w:b/>
                <w:bCs/>
                <w:sz w:val="20"/>
                <w:lang w:val="fr-FR"/>
              </w:rPr>
            </w:pPr>
            <w:r w:rsidRPr="003A0703">
              <w:rPr>
                <w:b/>
                <w:bCs/>
                <w:sz w:val="20"/>
                <w:szCs w:val="18"/>
                <w:lang w:val="fr-FR"/>
              </w:rPr>
              <w:t>RA</w:t>
            </w:r>
          </w:p>
        </w:tc>
        <w:tc>
          <w:tcPr>
            <w:tcW w:w="8439" w:type="dxa"/>
          </w:tcPr>
          <w:p w14:paraId="417BFE33" w14:textId="735D8ACE" w:rsidR="00AE63EC" w:rsidRPr="003A0703" w:rsidRDefault="00AE63EC" w:rsidP="00175FB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3A0703">
              <w:rPr>
                <w:sz w:val="20"/>
                <w:szCs w:val="18"/>
                <w:lang w:val="fr-FR"/>
              </w:rPr>
              <w:t>Radio astronomie</w:t>
            </w:r>
          </w:p>
        </w:tc>
      </w:tr>
      <w:tr w:rsidR="00AE63EC" w:rsidRPr="003A0703" w14:paraId="00BA3976" w14:textId="77777777" w:rsidTr="006472E3">
        <w:tc>
          <w:tcPr>
            <w:tcW w:w="1170" w:type="dxa"/>
            <w:shd w:val="clear" w:color="auto" w:fill="auto"/>
          </w:tcPr>
          <w:p w14:paraId="71CB0B35" w14:textId="1568FA06" w:rsidR="00AE63EC" w:rsidRPr="003A0703" w:rsidRDefault="00AE63EC" w:rsidP="00175FB7">
            <w:pPr>
              <w:spacing w:before="30" w:after="30"/>
              <w:ind w:left="57"/>
              <w:jc w:val="left"/>
              <w:rPr>
                <w:b/>
                <w:bCs/>
                <w:sz w:val="20"/>
                <w:lang w:val="fr-FR"/>
              </w:rPr>
            </w:pPr>
            <w:r w:rsidRPr="003A0703">
              <w:rPr>
                <w:b/>
                <w:bCs/>
                <w:sz w:val="20"/>
                <w:szCs w:val="18"/>
                <w:lang w:val="fr-FR"/>
              </w:rPr>
              <w:t>RS</w:t>
            </w:r>
          </w:p>
        </w:tc>
        <w:tc>
          <w:tcPr>
            <w:tcW w:w="8439" w:type="dxa"/>
            <w:shd w:val="clear" w:color="auto" w:fill="auto"/>
          </w:tcPr>
          <w:p w14:paraId="1579E7B1" w14:textId="48DC4870" w:rsidR="00AE63EC" w:rsidRPr="003A0703" w:rsidRDefault="00AE63EC" w:rsidP="00175FB7">
            <w:pPr>
              <w:spacing w:before="30" w:after="30"/>
              <w:jc w:val="left"/>
              <w:rPr>
                <w:sz w:val="20"/>
                <w:lang w:val="fr-FR"/>
              </w:rPr>
            </w:pPr>
            <w:r w:rsidRPr="003A0703">
              <w:rPr>
                <w:sz w:val="20"/>
                <w:szCs w:val="18"/>
                <w:lang w:val="fr-FR"/>
              </w:rPr>
              <w:t>Systèmes de télédétection</w:t>
            </w:r>
          </w:p>
        </w:tc>
      </w:tr>
      <w:tr w:rsidR="00AE63EC" w:rsidRPr="003A0703" w14:paraId="78D6EEF2" w14:textId="77777777" w:rsidTr="00AE63EC">
        <w:tc>
          <w:tcPr>
            <w:tcW w:w="1170" w:type="dxa"/>
            <w:tcBorders>
              <w:bottom w:val="nil"/>
            </w:tcBorders>
          </w:tcPr>
          <w:p w14:paraId="033B1446" w14:textId="688374EC" w:rsidR="00AE63EC" w:rsidRPr="003A0703" w:rsidRDefault="00AE63EC" w:rsidP="00175FB7">
            <w:pPr>
              <w:spacing w:before="30" w:after="30"/>
              <w:ind w:left="57"/>
              <w:jc w:val="left"/>
              <w:rPr>
                <w:b/>
                <w:bCs/>
                <w:sz w:val="20"/>
                <w:lang w:val="fr-FR"/>
              </w:rPr>
            </w:pPr>
            <w:r w:rsidRPr="003A0703">
              <w:rPr>
                <w:b/>
                <w:bCs/>
                <w:sz w:val="20"/>
                <w:szCs w:val="18"/>
                <w:lang w:val="fr-FR"/>
              </w:rPr>
              <w:t>S</w:t>
            </w:r>
          </w:p>
        </w:tc>
        <w:tc>
          <w:tcPr>
            <w:tcW w:w="8439" w:type="dxa"/>
            <w:tcBorders>
              <w:bottom w:val="nil"/>
            </w:tcBorders>
          </w:tcPr>
          <w:p w14:paraId="0C8581F3" w14:textId="4C7F9E81" w:rsidR="00AE63EC" w:rsidRPr="003A0703" w:rsidRDefault="00AE63EC" w:rsidP="00175FB7">
            <w:pPr>
              <w:spacing w:before="30" w:after="30"/>
              <w:jc w:val="left"/>
              <w:rPr>
                <w:sz w:val="20"/>
                <w:lang w:val="fr-FR"/>
              </w:rPr>
            </w:pPr>
            <w:r w:rsidRPr="003A0703">
              <w:rPr>
                <w:sz w:val="20"/>
                <w:szCs w:val="18"/>
                <w:lang w:val="fr-FR"/>
              </w:rPr>
              <w:t>Service fixe par satellite</w:t>
            </w:r>
          </w:p>
        </w:tc>
      </w:tr>
      <w:tr w:rsidR="00AE63EC" w:rsidRPr="003A0703" w14:paraId="6740E61F" w14:textId="77777777" w:rsidTr="006472E3">
        <w:tc>
          <w:tcPr>
            <w:tcW w:w="1170" w:type="dxa"/>
            <w:tcBorders>
              <w:top w:val="nil"/>
              <w:bottom w:val="nil"/>
            </w:tcBorders>
            <w:shd w:val="clear" w:color="auto" w:fill="F2F2F2" w:themeFill="background1" w:themeFillShade="F2"/>
          </w:tcPr>
          <w:p w14:paraId="6899BD28" w14:textId="66BF0C79" w:rsidR="00AE63EC" w:rsidRPr="003A0703" w:rsidRDefault="00AE63EC" w:rsidP="00175FB7">
            <w:pPr>
              <w:spacing w:before="30" w:after="30"/>
              <w:ind w:left="57"/>
              <w:jc w:val="left"/>
              <w:rPr>
                <w:b/>
                <w:bCs/>
                <w:sz w:val="20"/>
                <w:lang w:val="fr-FR"/>
              </w:rPr>
            </w:pPr>
            <w:r w:rsidRPr="003A0703">
              <w:rPr>
                <w:b/>
                <w:bCs/>
                <w:color w:val="000080"/>
                <w:sz w:val="20"/>
                <w:szCs w:val="18"/>
                <w:lang w:val="fr-FR"/>
              </w:rPr>
              <w:t>SA</w:t>
            </w:r>
          </w:p>
        </w:tc>
        <w:tc>
          <w:tcPr>
            <w:tcW w:w="8439" w:type="dxa"/>
            <w:tcBorders>
              <w:top w:val="nil"/>
              <w:bottom w:val="nil"/>
            </w:tcBorders>
            <w:shd w:val="clear" w:color="auto" w:fill="F2F2F2" w:themeFill="background1" w:themeFillShade="F2"/>
          </w:tcPr>
          <w:p w14:paraId="6CFAA961" w14:textId="3F5F072C" w:rsidR="00AE63EC" w:rsidRPr="003A0703" w:rsidRDefault="00AE63EC" w:rsidP="00175FB7">
            <w:pPr>
              <w:spacing w:before="30" w:after="30"/>
              <w:jc w:val="left"/>
              <w:rPr>
                <w:b/>
                <w:bCs/>
                <w:color w:val="000080"/>
                <w:sz w:val="20"/>
                <w:szCs w:val="18"/>
                <w:lang w:val="fr-FR"/>
              </w:rPr>
            </w:pPr>
            <w:r w:rsidRPr="003A0703">
              <w:rPr>
                <w:b/>
                <w:bCs/>
                <w:color w:val="000080"/>
                <w:sz w:val="20"/>
                <w:szCs w:val="18"/>
                <w:lang w:val="fr-FR"/>
              </w:rPr>
              <w:t>Applications spatiales et météorologie</w:t>
            </w:r>
          </w:p>
        </w:tc>
      </w:tr>
      <w:tr w:rsidR="00AE63EC" w:rsidRPr="006036EE" w14:paraId="79C6654C" w14:textId="77777777" w:rsidTr="00AE63EC">
        <w:tc>
          <w:tcPr>
            <w:tcW w:w="1170" w:type="dxa"/>
            <w:tcBorders>
              <w:top w:val="nil"/>
              <w:bottom w:val="nil"/>
            </w:tcBorders>
          </w:tcPr>
          <w:p w14:paraId="3FC92514" w14:textId="759F09C5" w:rsidR="00AE63EC" w:rsidRPr="003A0703" w:rsidRDefault="00AE63EC" w:rsidP="00175FB7">
            <w:pPr>
              <w:spacing w:before="30" w:after="30"/>
              <w:ind w:left="57"/>
              <w:jc w:val="left"/>
              <w:rPr>
                <w:b/>
                <w:bCs/>
                <w:sz w:val="20"/>
                <w:lang w:val="fr-FR"/>
              </w:rPr>
            </w:pPr>
            <w:r w:rsidRPr="003A0703">
              <w:rPr>
                <w:b/>
                <w:bCs/>
                <w:sz w:val="20"/>
                <w:szCs w:val="18"/>
                <w:lang w:val="fr-FR"/>
              </w:rPr>
              <w:t>SF</w:t>
            </w:r>
          </w:p>
        </w:tc>
        <w:tc>
          <w:tcPr>
            <w:tcW w:w="8439" w:type="dxa"/>
            <w:tcBorders>
              <w:top w:val="nil"/>
              <w:bottom w:val="nil"/>
            </w:tcBorders>
          </w:tcPr>
          <w:p w14:paraId="22A046BC" w14:textId="44C96EB5" w:rsidR="00AE63EC" w:rsidRPr="003A0703" w:rsidRDefault="00AE63EC" w:rsidP="00175FB7">
            <w:pPr>
              <w:spacing w:before="30" w:after="30"/>
              <w:jc w:val="left"/>
              <w:rPr>
                <w:sz w:val="20"/>
                <w:lang w:val="fr-FR"/>
              </w:rPr>
            </w:pPr>
            <w:r w:rsidRPr="003A0703">
              <w:rPr>
                <w:sz w:val="20"/>
                <w:szCs w:val="18"/>
                <w:lang w:val="fr-FR"/>
              </w:rPr>
              <w:t>Partage des fréquences et coordination entre les systèmes du service fixe par satellite et du service fixe</w:t>
            </w:r>
          </w:p>
        </w:tc>
      </w:tr>
      <w:tr w:rsidR="00AE63EC" w:rsidRPr="003A0703" w14:paraId="119BD024" w14:textId="77777777" w:rsidTr="00AE63EC">
        <w:tc>
          <w:tcPr>
            <w:tcW w:w="1170" w:type="dxa"/>
            <w:tcBorders>
              <w:top w:val="nil"/>
              <w:bottom w:val="nil"/>
            </w:tcBorders>
            <w:shd w:val="clear" w:color="auto" w:fill="auto"/>
          </w:tcPr>
          <w:p w14:paraId="4B290DFE" w14:textId="341313D6" w:rsidR="00AE63EC" w:rsidRPr="003A0703" w:rsidRDefault="00AE63EC" w:rsidP="00175FB7">
            <w:pPr>
              <w:spacing w:before="30" w:after="30"/>
              <w:ind w:left="57"/>
              <w:jc w:val="left"/>
              <w:rPr>
                <w:rFonts w:ascii="Times New Roman Bold" w:hAnsi="Times New Roman Bold" w:cs="Times New Roman Bold"/>
                <w:b/>
                <w:bCs/>
                <w:sz w:val="20"/>
                <w:lang w:val="fr-FR"/>
              </w:rPr>
            </w:pPr>
            <w:r w:rsidRPr="003A0703">
              <w:rPr>
                <w:b/>
                <w:bCs/>
                <w:sz w:val="20"/>
                <w:szCs w:val="18"/>
                <w:lang w:val="fr-FR"/>
              </w:rPr>
              <w:t>SM</w:t>
            </w:r>
          </w:p>
        </w:tc>
        <w:tc>
          <w:tcPr>
            <w:tcW w:w="8439" w:type="dxa"/>
            <w:tcBorders>
              <w:top w:val="nil"/>
              <w:bottom w:val="nil"/>
            </w:tcBorders>
            <w:shd w:val="clear" w:color="auto" w:fill="auto"/>
          </w:tcPr>
          <w:p w14:paraId="010AAD02" w14:textId="4A62EF48" w:rsidR="00AE63EC" w:rsidRPr="003A0703" w:rsidRDefault="00AE63EC" w:rsidP="00175FB7">
            <w:pPr>
              <w:spacing w:before="30" w:after="30"/>
              <w:jc w:val="left"/>
              <w:rPr>
                <w:rFonts w:hAnsi="Times New Roman Bold"/>
                <w:sz w:val="20"/>
                <w:lang w:val="fr-FR"/>
              </w:rPr>
            </w:pPr>
            <w:r w:rsidRPr="003A0703">
              <w:rPr>
                <w:sz w:val="20"/>
                <w:szCs w:val="18"/>
                <w:lang w:val="fr-FR"/>
              </w:rPr>
              <w:t>Gestion du spectre</w:t>
            </w:r>
          </w:p>
        </w:tc>
      </w:tr>
      <w:tr w:rsidR="00AE63EC" w:rsidRPr="003A0703" w14:paraId="586C6D3A" w14:textId="77777777" w:rsidTr="00AE63EC">
        <w:tc>
          <w:tcPr>
            <w:tcW w:w="1170" w:type="dxa"/>
            <w:tcBorders>
              <w:top w:val="nil"/>
            </w:tcBorders>
          </w:tcPr>
          <w:p w14:paraId="218CA137" w14:textId="3B520152" w:rsidR="00AE63EC" w:rsidRPr="003A0703" w:rsidRDefault="00AE63EC" w:rsidP="00175FB7">
            <w:pPr>
              <w:spacing w:before="30" w:after="30"/>
              <w:ind w:left="57"/>
              <w:jc w:val="left"/>
              <w:rPr>
                <w:b/>
                <w:bCs/>
                <w:sz w:val="20"/>
                <w:lang w:val="fr-FR"/>
              </w:rPr>
            </w:pPr>
            <w:r w:rsidRPr="003A0703">
              <w:rPr>
                <w:b/>
                <w:bCs/>
                <w:sz w:val="20"/>
                <w:szCs w:val="18"/>
                <w:lang w:val="fr-FR"/>
              </w:rPr>
              <w:t>SNG</w:t>
            </w:r>
          </w:p>
        </w:tc>
        <w:tc>
          <w:tcPr>
            <w:tcW w:w="8439" w:type="dxa"/>
            <w:tcBorders>
              <w:top w:val="nil"/>
            </w:tcBorders>
          </w:tcPr>
          <w:p w14:paraId="2B11796F" w14:textId="4E4F5FB3" w:rsidR="00AE63EC" w:rsidRPr="003A0703" w:rsidRDefault="00AE63EC" w:rsidP="00175FB7">
            <w:pPr>
              <w:spacing w:before="30" w:after="30"/>
              <w:jc w:val="left"/>
              <w:rPr>
                <w:sz w:val="20"/>
                <w:lang w:val="fr-FR"/>
              </w:rPr>
            </w:pPr>
            <w:r w:rsidRPr="003A0703">
              <w:rPr>
                <w:sz w:val="20"/>
                <w:szCs w:val="18"/>
                <w:lang w:val="fr-FR"/>
              </w:rPr>
              <w:t>Reportage d</w:t>
            </w:r>
            <w:r w:rsidR="00A77449" w:rsidRPr="003A0703">
              <w:rPr>
                <w:sz w:val="20"/>
                <w:szCs w:val="18"/>
                <w:lang w:val="fr-FR"/>
              </w:rPr>
              <w:t>'</w:t>
            </w:r>
            <w:r w:rsidRPr="003A0703">
              <w:rPr>
                <w:sz w:val="20"/>
                <w:szCs w:val="18"/>
                <w:lang w:val="fr-FR"/>
              </w:rPr>
              <w:t>actualités par satellite</w:t>
            </w:r>
          </w:p>
        </w:tc>
      </w:tr>
      <w:tr w:rsidR="00AE63EC" w:rsidRPr="006036EE" w14:paraId="192A5ED8" w14:textId="77777777" w:rsidTr="00AE63EC">
        <w:tc>
          <w:tcPr>
            <w:tcW w:w="1170" w:type="dxa"/>
          </w:tcPr>
          <w:p w14:paraId="52A740B8" w14:textId="38182252" w:rsidR="00AE63EC" w:rsidRPr="003A0703" w:rsidRDefault="00AE63EC" w:rsidP="00175FB7">
            <w:pPr>
              <w:spacing w:before="30" w:after="30"/>
              <w:ind w:left="57"/>
              <w:jc w:val="left"/>
              <w:rPr>
                <w:b/>
                <w:bCs/>
                <w:sz w:val="20"/>
                <w:lang w:val="fr-FR"/>
              </w:rPr>
            </w:pPr>
            <w:r w:rsidRPr="003A0703">
              <w:rPr>
                <w:b/>
                <w:bCs/>
                <w:sz w:val="20"/>
                <w:szCs w:val="18"/>
                <w:lang w:val="fr-FR"/>
              </w:rPr>
              <w:t>TF</w:t>
            </w:r>
          </w:p>
        </w:tc>
        <w:tc>
          <w:tcPr>
            <w:tcW w:w="8439" w:type="dxa"/>
          </w:tcPr>
          <w:p w14:paraId="756AB18D" w14:textId="695FD154" w:rsidR="00AE63EC" w:rsidRPr="003A0703" w:rsidRDefault="00AE63EC" w:rsidP="00175FB7">
            <w:pPr>
              <w:spacing w:before="30" w:after="30"/>
              <w:jc w:val="left"/>
              <w:rPr>
                <w:sz w:val="20"/>
                <w:lang w:val="fr-FR"/>
              </w:rPr>
            </w:pPr>
            <w:r w:rsidRPr="003A0703">
              <w:rPr>
                <w:sz w:val="20"/>
                <w:szCs w:val="18"/>
                <w:lang w:val="fr-FR"/>
              </w:rPr>
              <w:t>Émissions de fréquences étalon et de signaux horaires</w:t>
            </w:r>
          </w:p>
        </w:tc>
      </w:tr>
      <w:tr w:rsidR="00AE63EC" w:rsidRPr="003A0703" w14:paraId="5A62CB71" w14:textId="77777777" w:rsidTr="00AE63EC">
        <w:tc>
          <w:tcPr>
            <w:tcW w:w="1170" w:type="dxa"/>
          </w:tcPr>
          <w:p w14:paraId="0985383F" w14:textId="273D4728" w:rsidR="00AE63EC" w:rsidRPr="003A0703" w:rsidRDefault="00AE63EC" w:rsidP="00175FB7">
            <w:pPr>
              <w:spacing w:before="30" w:after="30"/>
              <w:ind w:left="57"/>
              <w:jc w:val="left"/>
              <w:rPr>
                <w:b/>
                <w:bCs/>
                <w:sz w:val="20"/>
                <w:lang w:val="fr-FR"/>
              </w:rPr>
            </w:pPr>
            <w:r w:rsidRPr="003A0703">
              <w:rPr>
                <w:b/>
                <w:bCs/>
                <w:sz w:val="20"/>
                <w:szCs w:val="18"/>
                <w:lang w:val="fr-FR"/>
              </w:rPr>
              <w:t>V</w:t>
            </w:r>
          </w:p>
        </w:tc>
        <w:tc>
          <w:tcPr>
            <w:tcW w:w="8439" w:type="dxa"/>
          </w:tcPr>
          <w:p w14:paraId="56CB9011" w14:textId="40915BF2" w:rsidR="00AE63EC" w:rsidRPr="003A0703" w:rsidRDefault="00AE63EC" w:rsidP="00175FB7">
            <w:pPr>
              <w:spacing w:before="30" w:after="180"/>
              <w:jc w:val="left"/>
              <w:rPr>
                <w:sz w:val="20"/>
                <w:lang w:val="fr-FR"/>
              </w:rPr>
            </w:pPr>
            <w:r w:rsidRPr="003A0703">
              <w:rPr>
                <w:sz w:val="20"/>
                <w:szCs w:val="18"/>
                <w:lang w:val="fr-FR"/>
              </w:rPr>
              <w:t>Vocabulaire et sujets associés</w:t>
            </w:r>
          </w:p>
        </w:tc>
      </w:tr>
    </w:tbl>
    <w:p w14:paraId="1B23A424" w14:textId="77777777" w:rsidR="00F335DC" w:rsidRPr="003A0703" w:rsidRDefault="00F335DC" w:rsidP="00175FB7">
      <w:pPr>
        <w:spacing w:before="30" w:after="30"/>
        <w:jc w:val="center"/>
        <w:rPr>
          <w:sz w:val="20"/>
          <w:lang w:val="fr-FR"/>
        </w:rPr>
      </w:pPr>
    </w:p>
    <w:tbl>
      <w:tblPr>
        <w:tblpPr w:leftFromText="180" w:rightFromText="180" w:vertAnchor="text" w:tblpX="-5771" w:tblpY="-4031"/>
        <w:tblW w:w="0" w:type="auto"/>
        <w:tblLook w:val="0000" w:firstRow="0" w:lastRow="0" w:firstColumn="0" w:lastColumn="0" w:noHBand="0" w:noVBand="0"/>
      </w:tblPr>
      <w:tblGrid>
        <w:gridCol w:w="720"/>
      </w:tblGrid>
      <w:tr w:rsidR="00EE4E3F" w:rsidRPr="003A0703" w14:paraId="1CDB83AC" w14:textId="77777777" w:rsidTr="00773F61">
        <w:tc>
          <w:tcPr>
            <w:tcW w:w="720" w:type="dxa"/>
          </w:tcPr>
          <w:p w14:paraId="415CB6BF" w14:textId="77777777" w:rsidR="00F335DC" w:rsidRPr="003A0703" w:rsidRDefault="00F335DC" w:rsidP="00175FB7">
            <w:pPr>
              <w:jc w:val="center"/>
              <w:rPr>
                <w:sz w:val="22"/>
                <w:lang w:val="fr-FR"/>
              </w:rPr>
            </w:pPr>
          </w:p>
        </w:tc>
      </w:tr>
    </w:tbl>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E4E3F" w:rsidRPr="006036EE" w14:paraId="749CBACF" w14:textId="77777777" w:rsidTr="00F7440C">
        <w:tc>
          <w:tcPr>
            <w:tcW w:w="9609" w:type="dxa"/>
          </w:tcPr>
          <w:p w14:paraId="256025F4" w14:textId="75EDF331" w:rsidR="00F335DC" w:rsidRPr="003A0703" w:rsidRDefault="000B7708" w:rsidP="00175FB7">
            <w:pPr>
              <w:spacing w:after="120"/>
              <w:rPr>
                <w:sz w:val="20"/>
                <w:lang w:val="fr-FR"/>
              </w:rPr>
            </w:pPr>
            <w:bookmarkStart w:id="12" w:name="lt_pId049"/>
            <w:r w:rsidRPr="003A0703">
              <w:rPr>
                <w:b/>
                <w:bCs/>
                <w:i/>
                <w:iCs/>
                <w:sz w:val="20"/>
                <w:lang w:val="fr-FR"/>
              </w:rPr>
              <w:t>Note</w:t>
            </w:r>
            <w:r w:rsidRPr="003A0703">
              <w:rPr>
                <w:sz w:val="20"/>
                <w:lang w:val="fr-FR"/>
              </w:rPr>
              <w:t xml:space="preserve">: </w:t>
            </w:r>
            <w:r w:rsidR="00C50409" w:rsidRPr="003A0703">
              <w:rPr>
                <w:i/>
                <w:iCs/>
                <w:sz w:val="20"/>
                <w:lang w:val="fr-FR"/>
              </w:rPr>
              <w:t>Cette Recommandation UIT-R a été approuvée en anglais aux termes de la procédure détaillée dans la Résolution UIT-R 1.</w:t>
            </w:r>
            <w:bookmarkEnd w:id="12"/>
          </w:p>
        </w:tc>
      </w:tr>
    </w:tbl>
    <w:p w14:paraId="0ADF5746" w14:textId="77777777" w:rsidR="00F335DC" w:rsidRPr="003A0703" w:rsidRDefault="00F335DC" w:rsidP="00175FB7">
      <w:pPr>
        <w:spacing w:before="0"/>
        <w:jc w:val="center"/>
        <w:rPr>
          <w:sz w:val="22"/>
          <w:lang w:val="fr-FR"/>
        </w:rPr>
      </w:pPr>
    </w:p>
    <w:p w14:paraId="3523C457" w14:textId="0DE06455" w:rsidR="00F335DC" w:rsidRPr="003A0703" w:rsidRDefault="000B7708" w:rsidP="00175FB7">
      <w:pPr>
        <w:spacing w:before="0"/>
        <w:jc w:val="right"/>
        <w:rPr>
          <w:i/>
          <w:iCs/>
          <w:sz w:val="20"/>
          <w:lang w:val="fr-FR"/>
        </w:rPr>
      </w:pPr>
      <w:bookmarkStart w:id="13" w:name="lt_pId050"/>
      <w:r w:rsidRPr="003A0703">
        <w:rPr>
          <w:i/>
          <w:iCs/>
          <w:sz w:val="20"/>
          <w:lang w:val="fr-FR"/>
        </w:rPr>
        <w:t>Publication</w:t>
      </w:r>
      <w:bookmarkEnd w:id="13"/>
      <w:r w:rsidR="00C50409" w:rsidRPr="003A0703">
        <w:rPr>
          <w:i/>
          <w:iCs/>
          <w:sz w:val="20"/>
          <w:lang w:val="fr-FR"/>
        </w:rPr>
        <w:t xml:space="preserve"> électronique</w:t>
      </w:r>
    </w:p>
    <w:p w14:paraId="38300204" w14:textId="0E1E954D" w:rsidR="00F335DC" w:rsidRPr="003A0703" w:rsidRDefault="00C50409" w:rsidP="00175FB7">
      <w:pPr>
        <w:spacing w:before="0"/>
        <w:jc w:val="right"/>
        <w:rPr>
          <w:sz w:val="20"/>
          <w:lang w:val="fr-FR"/>
        </w:rPr>
      </w:pPr>
      <w:bookmarkStart w:id="14" w:name="lt_pId051"/>
      <w:r w:rsidRPr="003A0703">
        <w:rPr>
          <w:sz w:val="20"/>
          <w:lang w:val="fr-FR"/>
        </w:rPr>
        <w:t>Genève</w:t>
      </w:r>
      <w:r w:rsidR="000B7708" w:rsidRPr="003A0703">
        <w:rPr>
          <w:sz w:val="20"/>
          <w:lang w:val="fr-FR"/>
        </w:rPr>
        <w:t>, 20</w:t>
      </w:r>
      <w:bookmarkEnd w:id="14"/>
      <w:r w:rsidR="00421267" w:rsidRPr="003A0703">
        <w:rPr>
          <w:sz w:val="20"/>
          <w:lang w:val="fr-FR"/>
        </w:rPr>
        <w:t>24</w:t>
      </w:r>
    </w:p>
    <w:p w14:paraId="7A49D2A6" w14:textId="6C725EF9" w:rsidR="00F335DC" w:rsidRPr="003A0703" w:rsidRDefault="000B7708" w:rsidP="00522E39">
      <w:pPr>
        <w:spacing w:before="240"/>
        <w:jc w:val="center"/>
        <w:rPr>
          <w:sz w:val="20"/>
          <w:lang w:val="fr-FR"/>
        </w:rPr>
      </w:pPr>
      <w:bookmarkStart w:id="15" w:name="lt_pId052"/>
      <w:r w:rsidRPr="003A0703">
        <w:rPr>
          <w:rFonts w:ascii="Symbol" w:hAnsi="Symbol"/>
          <w:sz w:val="20"/>
          <w:lang w:val="fr-FR"/>
        </w:rPr>
        <w:sym w:font="Symbol" w:char="F0E3"/>
      </w:r>
      <w:r w:rsidRPr="003A0703">
        <w:rPr>
          <w:sz w:val="20"/>
          <w:lang w:val="fr-FR"/>
        </w:rPr>
        <w:t xml:space="preserve"> </w:t>
      </w:r>
      <w:r w:rsidR="00C50409" w:rsidRPr="003A0703">
        <w:rPr>
          <w:sz w:val="20"/>
          <w:lang w:val="fr-FR"/>
        </w:rPr>
        <w:t>UIT</w:t>
      </w:r>
      <w:r w:rsidRPr="003A0703">
        <w:rPr>
          <w:sz w:val="20"/>
          <w:lang w:val="fr-FR"/>
        </w:rPr>
        <w:t xml:space="preserve"> </w:t>
      </w:r>
      <w:bookmarkStart w:id="16" w:name="iiannee"/>
      <w:bookmarkEnd w:id="16"/>
      <w:r w:rsidRPr="003A0703">
        <w:rPr>
          <w:sz w:val="20"/>
          <w:lang w:val="fr-FR"/>
        </w:rPr>
        <w:t>202</w:t>
      </w:r>
      <w:bookmarkEnd w:id="15"/>
      <w:r w:rsidR="00421267" w:rsidRPr="003A0703">
        <w:rPr>
          <w:sz w:val="20"/>
          <w:lang w:val="fr-FR"/>
        </w:rPr>
        <w:t>4</w:t>
      </w:r>
    </w:p>
    <w:p w14:paraId="7D2326D5" w14:textId="1F9BF4E0" w:rsidR="00F335DC" w:rsidRPr="003A0703" w:rsidRDefault="00C50409" w:rsidP="00175FB7">
      <w:pPr>
        <w:rPr>
          <w:sz w:val="18"/>
          <w:szCs w:val="18"/>
          <w:lang w:val="fr-FR"/>
        </w:rPr>
      </w:pPr>
      <w:bookmarkStart w:id="17" w:name="lt_pId054"/>
      <w:r w:rsidRPr="003A0703">
        <w:rPr>
          <w:sz w:val="18"/>
          <w:szCs w:val="18"/>
          <w:lang w:val="fr-FR"/>
        </w:rPr>
        <w:t>Tous droits réservés. Aucune partie de cette publication ne peut être reproduite, par quelque procédé que ce soit, sans l</w:t>
      </w:r>
      <w:r w:rsidR="00A77449" w:rsidRPr="003A0703">
        <w:rPr>
          <w:sz w:val="18"/>
          <w:szCs w:val="18"/>
          <w:lang w:val="fr-FR"/>
        </w:rPr>
        <w:t>'</w:t>
      </w:r>
      <w:r w:rsidRPr="003A0703">
        <w:rPr>
          <w:sz w:val="18"/>
          <w:szCs w:val="18"/>
          <w:lang w:val="fr-FR"/>
        </w:rPr>
        <w:t>accord écrit préalable de l</w:t>
      </w:r>
      <w:r w:rsidR="00A77449" w:rsidRPr="003A0703">
        <w:rPr>
          <w:sz w:val="18"/>
          <w:szCs w:val="18"/>
          <w:lang w:val="fr-FR"/>
        </w:rPr>
        <w:t>'</w:t>
      </w:r>
      <w:r w:rsidRPr="003A0703">
        <w:rPr>
          <w:sz w:val="18"/>
          <w:szCs w:val="18"/>
          <w:lang w:val="fr-FR"/>
        </w:rPr>
        <w:t>UIT</w:t>
      </w:r>
      <w:r w:rsidR="000B7708" w:rsidRPr="003A0703">
        <w:rPr>
          <w:sz w:val="18"/>
          <w:szCs w:val="18"/>
          <w:lang w:val="fr-FR"/>
        </w:rPr>
        <w:t>.</w:t>
      </w:r>
      <w:bookmarkEnd w:id="17"/>
    </w:p>
    <w:p w14:paraId="4895B563" w14:textId="77777777" w:rsidR="00F335DC" w:rsidRPr="003A0703" w:rsidRDefault="00F335DC" w:rsidP="00175FB7">
      <w:pPr>
        <w:spacing w:before="160"/>
        <w:rPr>
          <w:i/>
          <w:sz w:val="20"/>
          <w:lang w:val="fr-FR"/>
        </w:rPr>
        <w:sectPr w:rsidR="00F335DC" w:rsidRPr="003A0703" w:rsidSect="00580D4B">
          <w:headerReference w:type="even" r:id="rId14"/>
          <w:headerReference w:type="default" r:id="rId15"/>
          <w:pgSz w:w="11907" w:h="16834" w:code="9"/>
          <w:pgMar w:top="1418" w:right="1134" w:bottom="1134" w:left="1134" w:header="720" w:footer="482" w:gutter="0"/>
          <w:paperSrc w:first="15" w:other="15"/>
          <w:pgNumType w:fmt="lowerRoman" w:start="2"/>
          <w:cols w:space="720"/>
        </w:sectPr>
      </w:pPr>
    </w:p>
    <w:p w14:paraId="33F7E377" w14:textId="77777777" w:rsidR="006472E3" w:rsidRPr="003A0703" w:rsidRDefault="006472E3" w:rsidP="006472E3">
      <w:pPr>
        <w:pStyle w:val="RecNo"/>
        <w:spacing w:before="0"/>
        <w:rPr>
          <w:lang w:val="fr-FR"/>
        </w:rPr>
      </w:pPr>
      <w:r w:rsidRPr="003A0703">
        <w:rPr>
          <w:lang w:val="fr-FR"/>
        </w:rPr>
        <w:lastRenderedPageBreak/>
        <w:t xml:space="preserve">RECOMMANDATION </w:t>
      </w:r>
      <w:r w:rsidRPr="003A0703">
        <w:rPr>
          <w:rStyle w:val="href"/>
          <w:lang w:val="fr-FR"/>
        </w:rPr>
        <w:t>UIT-R SA.2079-1</w:t>
      </w:r>
    </w:p>
    <w:p w14:paraId="47DE270B" w14:textId="61EFA292" w:rsidR="006472E3" w:rsidRDefault="006472E3" w:rsidP="006472E3">
      <w:pPr>
        <w:pStyle w:val="Rectitle"/>
        <w:rPr>
          <w:lang w:val="fr-FR"/>
        </w:rPr>
      </w:pPr>
      <w:r w:rsidRPr="003A0703">
        <w:rPr>
          <w:lang w:val="fr-FR"/>
        </w:rPr>
        <w:t>Partage de fréquences entre les systèmes du service de recherche spatiale</w:t>
      </w:r>
      <w:r w:rsidR="002662F2" w:rsidRPr="003A0703">
        <w:rPr>
          <w:lang w:val="fr-FR"/>
        </w:rPr>
        <w:br/>
      </w:r>
      <w:r w:rsidRPr="003A0703">
        <w:rPr>
          <w:lang w:val="fr-FR"/>
        </w:rPr>
        <w:t>et du service fixe par satellite (espace vers Terre)</w:t>
      </w:r>
      <w:r w:rsidR="002662F2" w:rsidRPr="003A0703">
        <w:rPr>
          <w:lang w:val="fr-FR"/>
        </w:rPr>
        <w:br/>
      </w:r>
      <w:r w:rsidRPr="003A0703">
        <w:rPr>
          <w:lang w:val="fr-FR"/>
        </w:rPr>
        <w:t>dans la bande 37,5-38 GHz</w:t>
      </w:r>
    </w:p>
    <w:p w14:paraId="308CB088" w14:textId="77777777" w:rsidR="006472E3" w:rsidRPr="003A0703" w:rsidRDefault="006472E3" w:rsidP="006472E3">
      <w:pPr>
        <w:pStyle w:val="Recdate"/>
        <w:rPr>
          <w:i/>
          <w:iCs/>
          <w:szCs w:val="24"/>
          <w:lang w:val="fr-FR"/>
        </w:rPr>
      </w:pPr>
      <w:r w:rsidRPr="003A0703">
        <w:rPr>
          <w:iCs/>
          <w:szCs w:val="24"/>
          <w:lang w:val="fr-FR"/>
        </w:rPr>
        <w:t>(2015-2023)</w:t>
      </w:r>
    </w:p>
    <w:p w14:paraId="205D1B96" w14:textId="77777777" w:rsidR="006472E3" w:rsidRPr="003A0703" w:rsidRDefault="006472E3" w:rsidP="006472E3">
      <w:pPr>
        <w:pStyle w:val="HeadingSum"/>
        <w:rPr>
          <w:lang w:val="fr-FR"/>
        </w:rPr>
      </w:pPr>
      <w:r w:rsidRPr="003A0703">
        <w:rPr>
          <w:lang w:val="fr-FR"/>
        </w:rPr>
        <w:t>Domaine d'application</w:t>
      </w:r>
    </w:p>
    <w:p w14:paraId="2EF81C97" w14:textId="77777777" w:rsidR="006472E3" w:rsidRPr="003A0703" w:rsidRDefault="006472E3" w:rsidP="006472E3">
      <w:pPr>
        <w:pStyle w:val="Summary"/>
        <w:rPr>
          <w:lang w:val="fr-FR"/>
        </w:rPr>
      </w:pPr>
      <w:r w:rsidRPr="003A0703">
        <w:rPr>
          <w:lang w:val="fr-FR"/>
        </w:rPr>
        <w:t>La présente Recommandation porte sur le partage de fréquences entre le service de recherche spatiale et le service fixe par satellite (SFS) dans la bande 37,5-38 GHz (espace vers Terre). Elle donne les limites de p.i.r.e. et de puissance surfacique pour les systèmes d'interférométrie spatiale à très grande base (SVLBI) et les systèmes lunaires du service de recherche spatiale, et pour les systèmes à satellites géostationnaires (OSG) ou en orbite elliptique fortement inclinée (HEO) du SFS. Elle contient également des techniques d'atténuation des brouillages qui couvrent tous les types de systèmes non OSG du SFS, y compris les constellations en orbite terrestre basse (LEO) et en orbite terrestre moyenne (MEO).</w:t>
      </w:r>
    </w:p>
    <w:p w14:paraId="7F6D9130" w14:textId="77777777" w:rsidR="006472E3" w:rsidRPr="003A0703" w:rsidRDefault="006472E3" w:rsidP="006472E3">
      <w:pPr>
        <w:pStyle w:val="Headingb"/>
        <w:rPr>
          <w:lang w:val="fr-FR"/>
        </w:rPr>
      </w:pPr>
      <w:r w:rsidRPr="003A0703">
        <w:rPr>
          <w:lang w:val="fr-FR"/>
        </w:rPr>
        <w:t>Mots clés</w:t>
      </w:r>
    </w:p>
    <w:p w14:paraId="2967D174" w14:textId="77777777" w:rsidR="006472E3" w:rsidRPr="003A0703" w:rsidRDefault="006472E3" w:rsidP="006472E3">
      <w:pPr>
        <w:rPr>
          <w:sz w:val="22"/>
          <w:szCs w:val="22"/>
          <w:lang w:val="fr-FR"/>
        </w:rPr>
      </w:pPr>
      <w:r w:rsidRPr="003A0703">
        <w:rPr>
          <w:lang w:val="fr-FR"/>
        </w:rPr>
        <w:t>Systèmes du service de recherche spatiale au voisinage de la Terre, systèmes OSG et HEO du SFS, limites de p.i.r.e. et de puissance surfacique, partage de fréquences, 37,5-38 GHz</w:t>
      </w:r>
    </w:p>
    <w:p w14:paraId="0EDB2217" w14:textId="77777777" w:rsidR="006472E3" w:rsidRPr="003A0703" w:rsidRDefault="006472E3" w:rsidP="006472E3">
      <w:pPr>
        <w:pStyle w:val="Normalaftertitle"/>
        <w:rPr>
          <w:lang w:val="fr-FR"/>
        </w:rPr>
      </w:pPr>
      <w:r w:rsidRPr="003A0703">
        <w:rPr>
          <w:lang w:val="fr-FR"/>
        </w:rPr>
        <w:t>L'Assemblée des radiocommunications de l'UIT,</w:t>
      </w:r>
    </w:p>
    <w:p w14:paraId="07B782C2" w14:textId="77777777" w:rsidR="006472E3" w:rsidRPr="003A0703" w:rsidRDefault="006472E3" w:rsidP="006472E3">
      <w:pPr>
        <w:pStyle w:val="Call"/>
        <w:rPr>
          <w:lang w:val="fr-FR"/>
        </w:rPr>
      </w:pPr>
      <w:r w:rsidRPr="003A0703">
        <w:rPr>
          <w:lang w:val="fr-FR"/>
        </w:rPr>
        <w:t>considérant</w:t>
      </w:r>
    </w:p>
    <w:p w14:paraId="261FFB02" w14:textId="77777777" w:rsidR="006472E3" w:rsidRPr="003A0703" w:rsidRDefault="006472E3" w:rsidP="006472E3">
      <w:pPr>
        <w:rPr>
          <w:lang w:val="fr-FR"/>
        </w:rPr>
      </w:pPr>
      <w:r w:rsidRPr="003A0703">
        <w:rPr>
          <w:i/>
          <w:lang w:val="fr-FR"/>
        </w:rPr>
        <w:t>a)</w:t>
      </w:r>
      <w:r w:rsidRPr="003A0703">
        <w:rPr>
          <w:lang w:val="fr-FR"/>
        </w:rPr>
        <w:tab/>
        <w:t>que le service de recherche spatiale (espace vers Terre) bénéficie d'une attribution à titre primaire dans la bande 37-38 GHz et le service fixe par satellite (SFS) (espace vers Terre) d'une attribution à titre primaire dans la bande 37,5-42,5 GHz, attributions qui se chevauchent dans la bande 37,5-38 GHz;</w:t>
      </w:r>
    </w:p>
    <w:p w14:paraId="33ED4DD9" w14:textId="77777777" w:rsidR="006472E3" w:rsidRPr="003A0703" w:rsidRDefault="006472E3" w:rsidP="006472E3">
      <w:pPr>
        <w:rPr>
          <w:szCs w:val="24"/>
          <w:lang w:val="fr-FR"/>
        </w:rPr>
      </w:pPr>
      <w:r w:rsidRPr="003A0703">
        <w:rPr>
          <w:bCs/>
          <w:i/>
          <w:szCs w:val="24"/>
          <w:lang w:val="fr-FR"/>
        </w:rPr>
        <w:t>b)</w:t>
      </w:r>
      <w:r w:rsidRPr="003A0703">
        <w:rPr>
          <w:szCs w:val="24"/>
          <w:lang w:val="fr-FR"/>
        </w:rPr>
        <w:tab/>
        <w:t>que les critères de protection des liaisons descendantes du service de recherche spatiale dans la bande 37-38 GHz sont donnés dans la Recommandation UIT-R SA.1396;</w:t>
      </w:r>
    </w:p>
    <w:p w14:paraId="31D05AAB" w14:textId="77777777" w:rsidR="006472E3" w:rsidRPr="003A0703" w:rsidRDefault="006472E3" w:rsidP="006472E3">
      <w:pPr>
        <w:rPr>
          <w:szCs w:val="24"/>
          <w:lang w:val="fr-FR"/>
        </w:rPr>
      </w:pPr>
      <w:r w:rsidRPr="003A0703">
        <w:rPr>
          <w:i/>
          <w:szCs w:val="24"/>
          <w:lang w:val="fr-FR"/>
        </w:rPr>
        <w:t>c)</w:t>
      </w:r>
      <w:r w:rsidRPr="003A0703">
        <w:rPr>
          <w:szCs w:val="24"/>
          <w:lang w:val="fr-FR"/>
        </w:rPr>
        <w:tab/>
        <w:t>que le calcul des brouillages causés à une station terrienne du service de recherche spatiale dus aux conditions atmosphériques et aux précipitations devrait être fondé sur les statistiques météorologiques pendant 0,001% du temps pour les missions avec pilote et pendant 0,1% du temps pour les missions sans pilote;</w:t>
      </w:r>
    </w:p>
    <w:p w14:paraId="21332DFC" w14:textId="77777777" w:rsidR="006472E3" w:rsidRPr="003A0703" w:rsidRDefault="006472E3" w:rsidP="006472E3">
      <w:pPr>
        <w:rPr>
          <w:szCs w:val="24"/>
          <w:lang w:val="fr-FR"/>
        </w:rPr>
      </w:pPr>
      <w:r w:rsidRPr="003A0703">
        <w:rPr>
          <w:bCs/>
          <w:i/>
          <w:szCs w:val="24"/>
          <w:lang w:val="fr-FR"/>
        </w:rPr>
        <w:t>d)</w:t>
      </w:r>
      <w:r w:rsidRPr="003A0703">
        <w:rPr>
          <w:szCs w:val="24"/>
          <w:lang w:val="fr-FR"/>
        </w:rPr>
        <w:tab/>
        <w:t>que les liaisons descendantes du service de recherche spatiale depuis l'espace lointain transportent souvent des données d'événements scientifiques uniques qui ne sont pas reproductibles;</w:t>
      </w:r>
    </w:p>
    <w:p w14:paraId="4377EA8C" w14:textId="77777777" w:rsidR="006472E3" w:rsidRPr="003A0703" w:rsidRDefault="006472E3" w:rsidP="006472E3">
      <w:pPr>
        <w:rPr>
          <w:szCs w:val="24"/>
          <w:lang w:val="fr-FR"/>
        </w:rPr>
      </w:pPr>
      <w:r w:rsidRPr="003A0703">
        <w:rPr>
          <w:i/>
          <w:iCs/>
          <w:szCs w:val="24"/>
          <w:lang w:val="fr-FR"/>
        </w:rPr>
        <w:t>e)</w:t>
      </w:r>
      <w:r w:rsidRPr="003A0703">
        <w:rPr>
          <w:szCs w:val="24"/>
          <w:lang w:val="fr-FR"/>
        </w:rPr>
        <w:tab/>
        <w:t>que les émissions sur les liaisons descendantes depuis l'espace lointain présentent généralement une puissance surfacique à la surface de la Terre qui est nettement inférieure à celle de tout autre signal de satellite et sont donc extrêmement sensibles aux brouillages causés par les satellites qui fonctionnent dans la même bande de fréquences;</w:t>
      </w:r>
    </w:p>
    <w:p w14:paraId="6A6DDA11" w14:textId="77777777" w:rsidR="006472E3" w:rsidRPr="003A0703" w:rsidRDefault="006472E3" w:rsidP="006472E3">
      <w:pPr>
        <w:rPr>
          <w:szCs w:val="24"/>
          <w:lang w:val="fr-FR"/>
        </w:rPr>
      </w:pPr>
      <w:r w:rsidRPr="003A0703">
        <w:rPr>
          <w:bCs/>
          <w:i/>
          <w:szCs w:val="24"/>
          <w:lang w:val="fr-FR"/>
        </w:rPr>
        <w:t>f)</w:t>
      </w:r>
      <w:r w:rsidRPr="003A0703">
        <w:rPr>
          <w:szCs w:val="24"/>
          <w:lang w:val="fr-FR"/>
        </w:rPr>
        <w:tab/>
        <w:t>que les critères de brouillage des liaisons descendantes du service de recherche spatiale utilisant l'interférométrie spatiale à très grande base (SVLBI) sont donnés dans le Rapport UIT</w:t>
      </w:r>
      <w:r w:rsidRPr="003A0703">
        <w:rPr>
          <w:szCs w:val="24"/>
          <w:lang w:val="fr-FR"/>
        </w:rPr>
        <w:noBreakHyphen/>
        <w:t>R SA.2065, et que ces liaisons sont susceptibles de pouvoir tolérer des niveaux de brouillage supérieurs à ceux indiqués dans la Recommandation UIT-R SA.1396;</w:t>
      </w:r>
    </w:p>
    <w:p w14:paraId="1353BCE2" w14:textId="77777777" w:rsidR="006472E3" w:rsidRPr="003A0703" w:rsidRDefault="006472E3" w:rsidP="006472E3">
      <w:pPr>
        <w:rPr>
          <w:szCs w:val="24"/>
          <w:lang w:val="fr-FR"/>
        </w:rPr>
      </w:pPr>
      <w:r w:rsidRPr="003A0703">
        <w:rPr>
          <w:i/>
          <w:szCs w:val="24"/>
          <w:lang w:val="fr-FR"/>
        </w:rPr>
        <w:t>g)</w:t>
      </w:r>
      <w:r w:rsidRPr="003A0703">
        <w:rPr>
          <w:szCs w:val="24"/>
          <w:lang w:val="fr-FR"/>
        </w:rPr>
        <w:tab/>
        <w:t>que le Rapport UIT-R SA.2307 présente une étude de la protection des systèmes du service de recherche spatiale et du SFS utilisant en partage la bande 37,5-38 GHz, dont les résultats sont récapitulés dans l'Annexe;</w:t>
      </w:r>
    </w:p>
    <w:p w14:paraId="0E81E380" w14:textId="77777777" w:rsidR="006472E3" w:rsidRPr="003A0703" w:rsidRDefault="006472E3" w:rsidP="006472E3">
      <w:pPr>
        <w:rPr>
          <w:szCs w:val="24"/>
          <w:lang w:val="fr-FR"/>
        </w:rPr>
      </w:pPr>
      <w:r w:rsidRPr="003A0703">
        <w:rPr>
          <w:i/>
          <w:szCs w:val="24"/>
          <w:lang w:val="fr-FR"/>
        </w:rPr>
        <w:lastRenderedPageBreak/>
        <w:t>h)</w:t>
      </w:r>
      <w:r w:rsidRPr="003A0703">
        <w:rPr>
          <w:szCs w:val="24"/>
          <w:lang w:val="fr-FR"/>
        </w:rPr>
        <w:tab/>
        <w:t>que les émissions des systèmes SVLBI et lunaires du service de recherche spatiale présentant des niveaux de p.i.r.e. inférieurs aux limites données dans le Rapport UIT-R SA.2307 respectent les critères de protection des systèmes OSG et HEO du SFS;</w:t>
      </w:r>
    </w:p>
    <w:p w14:paraId="28015E39" w14:textId="77777777" w:rsidR="006472E3" w:rsidRPr="003A0703" w:rsidRDefault="006472E3" w:rsidP="006472E3">
      <w:pPr>
        <w:rPr>
          <w:szCs w:val="24"/>
          <w:lang w:val="fr-FR"/>
        </w:rPr>
      </w:pPr>
      <w:r w:rsidRPr="003A0703">
        <w:rPr>
          <w:i/>
          <w:szCs w:val="24"/>
          <w:lang w:val="fr-FR"/>
        </w:rPr>
        <w:t>i)</w:t>
      </w:r>
      <w:r w:rsidRPr="003A0703">
        <w:rPr>
          <w:szCs w:val="24"/>
          <w:lang w:val="fr-FR"/>
        </w:rPr>
        <w:tab/>
        <w:t>que les émissions des systèmes OSG et HEO du SFS présentant des niveaux de p.i.r.e. inférieurs aux limites données dans la Recommandation UIT-R S.1328 respectent les critères de protection des systèmes SVLBI et lunaires sans pilote du service de recherche spatiale, mais que les émissions du SFS OSG doivent respecter une limite de p.i.r.e. inférieure pour satisfaire au critère de protection applicable aux missions lunaires avec pilote du service de recherche spatiale;</w:t>
      </w:r>
    </w:p>
    <w:p w14:paraId="57887770" w14:textId="77777777" w:rsidR="006472E3" w:rsidRPr="003A0703" w:rsidRDefault="006472E3" w:rsidP="006472E3">
      <w:pPr>
        <w:rPr>
          <w:szCs w:val="24"/>
          <w:lang w:val="fr-FR"/>
        </w:rPr>
      </w:pPr>
      <w:r w:rsidRPr="003A0703">
        <w:rPr>
          <w:i/>
          <w:szCs w:val="24"/>
          <w:lang w:val="fr-FR"/>
        </w:rPr>
        <w:t>j)</w:t>
      </w:r>
      <w:r w:rsidRPr="003A0703">
        <w:rPr>
          <w:szCs w:val="24"/>
          <w:lang w:val="fr-FR"/>
        </w:rPr>
        <w:tab/>
        <w:t xml:space="preserve">que les émissions des systèmes HEO du SFS fonctionnant aux limites de puissance surfacique fixées dans le Tableau </w:t>
      </w:r>
      <w:r w:rsidRPr="003A0703">
        <w:rPr>
          <w:b/>
          <w:bCs/>
          <w:szCs w:val="24"/>
          <w:lang w:val="fr-FR"/>
        </w:rPr>
        <w:t>21-4</w:t>
      </w:r>
      <w:r w:rsidRPr="003A0703">
        <w:rPr>
          <w:szCs w:val="24"/>
          <w:lang w:val="fr-FR"/>
        </w:rPr>
        <w:t xml:space="preserve"> de l'Article </w:t>
      </w:r>
      <w:r w:rsidRPr="003A0703">
        <w:rPr>
          <w:b/>
          <w:szCs w:val="24"/>
          <w:lang w:val="fr-FR"/>
        </w:rPr>
        <w:t>21</w:t>
      </w:r>
      <w:r w:rsidRPr="003A0703">
        <w:rPr>
          <w:szCs w:val="24"/>
          <w:lang w:val="fr-FR"/>
        </w:rPr>
        <w:t xml:space="preserve"> du Règlement des radiocommunications de l'UIT respectent les critères de protection applicables aux missions SVLBI et lunaires du service de recherche spatiale;</w:t>
      </w:r>
    </w:p>
    <w:p w14:paraId="295AEF83" w14:textId="77777777" w:rsidR="006472E3" w:rsidRPr="003A0703" w:rsidRDefault="006472E3" w:rsidP="006472E3">
      <w:pPr>
        <w:rPr>
          <w:szCs w:val="24"/>
          <w:lang w:val="fr-FR"/>
        </w:rPr>
      </w:pPr>
      <w:r w:rsidRPr="003A0703">
        <w:rPr>
          <w:i/>
          <w:szCs w:val="24"/>
          <w:lang w:val="fr-FR"/>
        </w:rPr>
        <w:t>k)</w:t>
      </w:r>
      <w:r w:rsidRPr="003A0703">
        <w:rPr>
          <w:szCs w:val="24"/>
          <w:lang w:val="fr-FR"/>
        </w:rPr>
        <w:tab/>
        <w:t>que les constellations LEO et MEO du SFS qui fonctionnent dans cette bande de fréquences devraient utiliser des faisceaux orientables pour répondre à la demande de trafic;</w:t>
      </w:r>
    </w:p>
    <w:p w14:paraId="20A336AE" w14:textId="77777777" w:rsidR="006472E3" w:rsidRPr="003A0703" w:rsidRDefault="006472E3" w:rsidP="006472E3">
      <w:pPr>
        <w:rPr>
          <w:szCs w:val="24"/>
          <w:lang w:val="fr-FR"/>
        </w:rPr>
      </w:pPr>
      <w:r w:rsidRPr="003A0703">
        <w:rPr>
          <w:i/>
          <w:iCs/>
          <w:szCs w:val="24"/>
          <w:lang w:val="fr-FR"/>
        </w:rPr>
        <w:t>l</w:t>
      </w:r>
      <w:r w:rsidRPr="006020AB">
        <w:rPr>
          <w:i/>
          <w:iCs/>
          <w:szCs w:val="24"/>
          <w:lang w:val="fr-FR"/>
        </w:rPr>
        <w:t>)</w:t>
      </w:r>
      <w:r w:rsidRPr="003A0703">
        <w:rPr>
          <w:szCs w:val="24"/>
          <w:lang w:val="fr-FR"/>
        </w:rPr>
        <w:tab/>
        <w:t>que les autres systèmes non-SVLBI du service de recherche spatiale fonctionnant au voisinage de la Terre, par exemple pour les missions aux points de Lagrange L1/L2, dont la température de bruit du système est faible (environ 60 K), peuvent présenter une sensibilité aux brouillages supérieure d'environ 8 dB à celle des systèmes lunaires ayant une température de bruit de fond liée à la Lune (environ 353 K</w:t>
      </w:r>
      <w:proofErr w:type="gramStart"/>
      <w:r w:rsidRPr="003A0703">
        <w:rPr>
          <w:szCs w:val="24"/>
          <w:lang w:val="fr-FR"/>
        </w:rPr>
        <w:t>);</w:t>
      </w:r>
      <w:proofErr w:type="gramEnd"/>
    </w:p>
    <w:p w14:paraId="30756CA1" w14:textId="77777777" w:rsidR="006472E3" w:rsidRPr="003A0703" w:rsidRDefault="006472E3" w:rsidP="006472E3">
      <w:pPr>
        <w:rPr>
          <w:szCs w:val="24"/>
          <w:lang w:val="fr-FR"/>
        </w:rPr>
      </w:pPr>
      <w:r w:rsidRPr="003A0703">
        <w:rPr>
          <w:i/>
          <w:szCs w:val="24"/>
          <w:lang w:val="fr-FR"/>
        </w:rPr>
        <w:t>m)</w:t>
      </w:r>
      <w:r w:rsidRPr="003A0703">
        <w:rPr>
          <w:szCs w:val="24"/>
          <w:lang w:val="fr-FR"/>
        </w:rPr>
        <w:tab/>
        <w:t>que pendant un faible pourcentage du temps, lorsque les évanouissements entraînent une forte dégradation de la propagation dans la bande des 37 GHz, les systèmes à satellites fonctionnant dans cette bande pourraient augmenter leur densité spectrale de p.i.r.e. pour faire face aux évanouissements,</w:t>
      </w:r>
    </w:p>
    <w:p w14:paraId="23D537E7" w14:textId="77777777" w:rsidR="006472E3" w:rsidRPr="003A0703" w:rsidRDefault="006472E3" w:rsidP="006472E3">
      <w:pPr>
        <w:pStyle w:val="Call"/>
        <w:rPr>
          <w:lang w:val="fr-FR"/>
        </w:rPr>
      </w:pPr>
      <w:r w:rsidRPr="003A0703">
        <w:rPr>
          <w:lang w:val="fr-FR"/>
        </w:rPr>
        <w:t>reconnaissant</w:t>
      </w:r>
    </w:p>
    <w:p w14:paraId="45CE6379" w14:textId="77777777" w:rsidR="006472E3" w:rsidRPr="003A0703" w:rsidRDefault="006472E3" w:rsidP="006472E3">
      <w:pPr>
        <w:rPr>
          <w:color w:val="000000"/>
          <w:szCs w:val="24"/>
          <w:lang w:val="fr-FR"/>
        </w:rPr>
      </w:pPr>
      <w:r w:rsidRPr="003A0703">
        <w:rPr>
          <w:bCs/>
          <w:i/>
          <w:color w:val="000000"/>
          <w:szCs w:val="24"/>
          <w:lang w:val="fr-FR"/>
        </w:rPr>
        <w:t>a)</w:t>
      </w:r>
      <w:r w:rsidRPr="003A0703">
        <w:rPr>
          <w:color w:val="000000"/>
          <w:szCs w:val="24"/>
          <w:lang w:val="fr-FR"/>
        </w:rPr>
        <w:tab/>
        <w:t>que les systèmes à satellites du SFS peuvent utiliser la bande 37,5-38 GHz pour des microstations (mode VSAT) ou pour des passerelles qui utilisent des grandes antennes (mode passerelle);</w:t>
      </w:r>
    </w:p>
    <w:p w14:paraId="19CAE889" w14:textId="77777777" w:rsidR="006472E3" w:rsidRPr="003A0703" w:rsidRDefault="006472E3" w:rsidP="006472E3">
      <w:pPr>
        <w:rPr>
          <w:color w:val="000000"/>
          <w:szCs w:val="24"/>
          <w:lang w:val="fr-FR"/>
        </w:rPr>
      </w:pPr>
      <w:r w:rsidRPr="003A0703">
        <w:rPr>
          <w:i/>
          <w:color w:val="000000"/>
          <w:szCs w:val="24"/>
          <w:lang w:val="fr-FR"/>
        </w:rPr>
        <w:t>b)</w:t>
      </w:r>
      <w:r w:rsidRPr="003A0703">
        <w:rPr>
          <w:color w:val="000000"/>
          <w:szCs w:val="24"/>
          <w:lang w:val="fr-FR"/>
        </w:rPr>
        <w:tab/>
        <w:t>que les systèmes du SFS en mode VSAT peuvent utiliser la bande 37,5-38 GHz lorsqu'ils fonctionnent dans des zones éloignées des stations terriennes du service de recherche spatiale, et une bande de fréquences différente au-dessus de 38 GHz lorsqu'ils fonctionnent dans des zones proches de stations terriennes du service de recherche spatiale;</w:t>
      </w:r>
    </w:p>
    <w:p w14:paraId="18477F80" w14:textId="77777777" w:rsidR="006472E3" w:rsidRPr="003A0703" w:rsidRDefault="006472E3" w:rsidP="006472E3">
      <w:pPr>
        <w:rPr>
          <w:color w:val="000000"/>
          <w:szCs w:val="24"/>
          <w:lang w:val="fr-FR"/>
        </w:rPr>
      </w:pPr>
      <w:r w:rsidRPr="003A0703">
        <w:rPr>
          <w:i/>
          <w:color w:val="000000"/>
          <w:szCs w:val="24"/>
          <w:lang w:val="fr-FR"/>
        </w:rPr>
        <w:t>c)</w:t>
      </w:r>
      <w:r w:rsidRPr="003A0703">
        <w:rPr>
          <w:color w:val="000000"/>
          <w:szCs w:val="24"/>
          <w:lang w:val="fr-FR"/>
        </w:rPr>
        <w:tab/>
        <w:t>que, pour les systèmes du SFS en mode passerelle, les stations passerelles peuvent être situées loin des stations terriennes du service de recherche spatiale,</w:t>
      </w:r>
    </w:p>
    <w:p w14:paraId="09F32007" w14:textId="77777777" w:rsidR="006472E3" w:rsidRPr="003A0703" w:rsidRDefault="006472E3" w:rsidP="006472E3">
      <w:pPr>
        <w:pStyle w:val="Call"/>
        <w:rPr>
          <w:lang w:val="fr-FR"/>
        </w:rPr>
      </w:pPr>
      <w:r w:rsidRPr="003A0703">
        <w:rPr>
          <w:lang w:val="fr-FR"/>
        </w:rPr>
        <w:t>recommande</w:t>
      </w:r>
    </w:p>
    <w:p w14:paraId="4F206DCE" w14:textId="77777777" w:rsidR="006472E3" w:rsidRPr="003A0703" w:rsidRDefault="006472E3" w:rsidP="006472E3">
      <w:pPr>
        <w:rPr>
          <w:szCs w:val="24"/>
          <w:lang w:val="fr-FR"/>
        </w:rPr>
      </w:pPr>
      <w:r w:rsidRPr="003A0703">
        <w:rPr>
          <w:szCs w:val="24"/>
          <w:lang w:val="fr-FR"/>
        </w:rPr>
        <w:t>1</w:t>
      </w:r>
      <w:r w:rsidRPr="003A0703">
        <w:rPr>
          <w:szCs w:val="24"/>
          <w:lang w:val="fr-FR"/>
        </w:rPr>
        <w:tab/>
        <w:t>d'utiliser, dans la mesure du possible, la bande 37-37,5 GHz pour les missions du service de recherche spatiale en espace lointain afin que ces missions soient parfaitement protégées conformément à la Recommandation UIT-R SA.1396;</w:t>
      </w:r>
    </w:p>
    <w:p w14:paraId="2A2159B2" w14:textId="2E295D7E" w:rsidR="006472E3" w:rsidRPr="003A0703" w:rsidRDefault="006472E3" w:rsidP="006472E3">
      <w:pPr>
        <w:rPr>
          <w:szCs w:val="24"/>
          <w:lang w:val="fr-FR"/>
        </w:rPr>
      </w:pPr>
      <w:r w:rsidRPr="003A0703">
        <w:rPr>
          <w:bCs/>
          <w:szCs w:val="24"/>
          <w:lang w:val="fr-FR"/>
        </w:rPr>
        <w:t>2</w:t>
      </w:r>
      <w:r w:rsidRPr="003A0703">
        <w:rPr>
          <w:szCs w:val="24"/>
          <w:lang w:val="fr-FR"/>
        </w:rPr>
        <w:tab/>
        <w:t>d'utiliser, pour les missions lunaires avec pilote du service de recherche spatiale dans la bande 37,5-38 GHz, un pourcentage de 0,1% pour le dépassement du critère de protection vis-à-vis des systèmes du SFS et non de 0,001%;</w:t>
      </w:r>
    </w:p>
    <w:p w14:paraId="6BCBA901" w14:textId="7933E0CF" w:rsidR="006472E3" w:rsidRPr="003A0703" w:rsidRDefault="006472E3" w:rsidP="001B4746">
      <w:pPr>
        <w:spacing w:after="240"/>
        <w:rPr>
          <w:lang w:val="fr-FR"/>
        </w:rPr>
      </w:pPr>
      <w:r w:rsidRPr="003A0703">
        <w:rPr>
          <w:lang w:val="fr-FR"/>
        </w:rPr>
        <w:t>3</w:t>
      </w:r>
      <w:r w:rsidRPr="003A0703">
        <w:rPr>
          <w:lang w:val="fr-FR"/>
        </w:rPr>
        <w:tab/>
        <w:t>que, pour respecter le critère de protection du SFS, les systèmes SVLBI et lunaires du service de recherche spatiale émettant dans la bande 37,5-38 GHz fonctionnent au-dessous des niveaux maximaux de densité spectrale de p.i.r.e. ou au-dessous des niveaux de puissance surfacique indiqués dans le Tableau ci-après, par temps clair, au niveau des stations terriennes du SFS (Note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037"/>
        <w:gridCol w:w="4197"/>
      </w:tblGrid>
      <w:tr w:rsidR="006472E3" w:rsidRPr="006036EE" w14:paraId="2C93C66F" w14:textId="77777777" w:rsidTr="006472E3">
        <w:trPr>
          <w:jc w:val="center"/>
        </w:trPr>
        <w:tc>
          <w:tcPr>
            <w:tcW w:w="2405" w:type="dxa"/>
            <w:tcBorders>
              <w:top w:val="single" w:sz="4" w:space="0" w:color="auto"/>
              <w:left w:val="single" w:sz="4" w:space="0" w:color="auto"/>
              <w:bottom w:val="single" w:sz="4" w:space="0" w:color="auto"/>
              <w:right w:val="single" w:sz="4" w:space="0" w:color="auto"/>
            </w:tcBorders>
            <w:hideMark/>
          </w:tcPr>
          <w:p w14:paraId="7C1D384F" w14:textId="77777777" w:rsidR="006472E3" w:rsidRPr="003A0703" w:rsidRDefault="006472E3">
            <w:pPr>
              <w:pStyle w:val="Tablehead"/>
              <w:rPr>
                <w:lang w:val="fr-FR"/>
              </w:rPr>
            </w:pPr>
            <w:r w:rsidRPr="003A0703">
              <w:rPr>
                <w:lang w:val="fr-FR"/>
              </w:rPr>
              <w:lastRenderedPageBreak/>
              <w:t>Systèmes du service de recherche spatiale</w:t>
            </w:r>
          </w:p>
        </w:tc>
        <w:tc>
          <w:tcPr>
            <w:tcW w:w="3037" w:type="dxa"/>
            <w:tcBorders>
              <w:top w:val="single" w:sz="4" w:space="0" w:color="auto"/>
              <w:left w:val="single" w:sz="4" w:space="0" w:color="auto"/>
              <w:bottom w:val="single" w:sz="4" w:space="0" w:color="auto"/>
              <w:right w:val="single" w:sz="4" w:space="0" w:color="auto"/>
            </w:tcBorders>
            <w:hideMark/>
          </w:tcPr>
          <w:p w14:paraId="08063799" w14:textId="77777777" w:rsidR="006472E3" w:rsidRPr="003A0703" w:rsidRDefault="006472E3">
            <w:pPr>
              <w:pStyle w:val="Tablehead"/>
              <w:rPr>
                <w:lang w:val="fr-FR"/>
              </w:rPr>
            </w:pPr>
            <w:r w:rsidRPr="003A0703">
              <w:rPr>
                <w:lang w:val="fr-FR"/>
              </w:rPr>
              <w:t>Densité spectrale de p.i.r.e. maximale (dBW/MHz)</w:t>
            </w:r>
          </w:p>
        </w:tc>
        <w:tc>
          <w:tcPr>
            <w:tcW w:w="4197" w:type="dxa"/>
            <w:tcBorders>
              <w:top w:val="single" w:sz="4" w:space="0" w:color="auto"/>
              <w:left w:val="single" w:sz="4" w:space="0" w:color="auto"/>
              <w:bottom w:val="single" w:sz="4" w:space="0" w:color="auto"/>
              <w:right w:val="single" w:sz="4" w:space="0" w:color="auto"/>
            </w:tcBorders>
            <w:hideMark/>
          </w:tcPr>
          <w:p w14:paraId="718F96A9" w14:textId="77777777" w:rsidR="006472E3" w:rsidRPr="003A0703" w:rsidRDefault="006472E3">
            <w:pPr>
              <w:pStyle w:val="Tablehead"/>
              <w:rPr>
                <w:lang w:val="fr-FR"/>
              </w:rPr>
            </w:pPr>
            <w:r w:rsidRPr="003A0703">
              <w:rPr>
                <w:lang w:val="fr-FR"/>
              </w:rPr>
              <w:t>Limite de puissance surfacique à la surface de la Terre (dBW/MHz/m</w:t>
            </w:r>
            <w:r w:rsidRPr="003A0703">
              <w:rPr>
                <w:vertAlign w:val="superscript"/>
                <w:lang w:val="fr-FR"/>
              </w:rPr>
              <w:t>2</w:t>
            </w:r>
            <w:r w:rsidRPr="003A0703">
              <w:rPr>
                <w:lang w:val="fr-FR"/>
              </w:rPr>
              <w:t>)</w:t>
            </w:r>
          </w:p>
        </w:tc>
      </w:tr>
      <w:tr w:rsidR="006472E3" w:rsidRPr="003A0703" w14:paraId="00F2420A" w14:textId="77777777" w:rsidTr="006472E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C305FAD" w14:textId="77777777" w:rsidR="006472E3" w:rsidRPr="003A0703" w:rsidRDefault="006472E3">
            <w:pPr>
              <w:pStyle w:val="Tabletext"/>
              <w:jc w:val="center"/>
              <w:rPr>
                <w:b/>
                <w:lang w:val="fr-FR"/>
              </w:rPr>
            </w:pPr>
            <w:r w:rsidRPr="003A0703">
              <w:rPr>
                <w:lang w:val="fr-FR"/>
              </w:rPr>
              <w:t>SVLBI</w:t>
            </w:r>
          </w:p>
        </w:tc>
        <w:tc>
          <w:tcPr>
            <w:tcW w:w="303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D3310A" w14:textId="77777777" w:rsidR="006472E3" w:rsidRPr="003A0703" w:rsidRDefault="006472E3">
            <w:pPr>
              <w:pStyle w:val="Tabletext"/>
              <w:jc w:val="center"/>
              <w:rPr>
                <w:lang w:val="fr-FR"/>
              </w:rPr>
            </w:pPr>
            <w:r w:rsidRPr="003A0703">
              <w:rPr>
                <w:lang w:val="fr-FR"/>
              </w:rPr>
              <w:t>32</w:t>
            </w:r>
          </w:p>
        </w:tc>
        <w:tc>
          <w:tcPr>
            <w:tcW w:w="4197" w:type="dxa"/>
            <w:tcBorders>
              <w:top w:val="single" w:sz="4" w:space="0" w:color="auto"/>
              <w:left w:val="single" w:sz="4" w:space="0" w:color="auto"/>
              <w:bottom w:val="single" w:sz="4" w:space="0" w:color="auto"/>
              <w:right w:val="single" w:sz="4" w:space="0" w:color="auto"/>
            </w:tcBorders>
            <w:hideMark/>
          </w:tcPr>
          <w:p w14:paraId="0F0D0129" w14:textId="77777777" w:rsidR="006472E3" w:rsidRPr="003A0703" w:rsidRDefault="006472E3">
            <w:pPr>
              <w:pStyle w:val="Tabletext"/>
              <w:jc w:val="center"/>
              <w:rPr>
                <w:lang w:val="fr-FR"/>
              </w:rPr>
            </w:pPr>
            <w:r w:rsidRPr="003A0703">
              <w:rPr>
                <w:lang w:val="fr-FR"/>
              </w:rPr>
              <w:t>−127</w:t>
            </w:r>
          </w:p>
        </w:tc>
      </w:tr>
      <w:tr w:rsidR="006472E3" w:rsidRPr="003A0703" w14:paraId="7ED113D4" w14:textId="77777777" w:rsidTr="006472E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DC1953" w14:textId="77777777" w:rsidR="006472E3" w:rsidRPr="003A0703" w:rsidRDefault="006472E3">
            <w:pPr>
              <w:pStyle w:val="Tabletext"/>
              <w:jc w:val="center"/>
              <w:rPr>
                <w:b/>
                <w:lang w:val="fr-FR"/>
              </w:rPr>
            </w:pPr>
            <w:r w:rsidRPr="003A0703">
              <w:rPr>
                <w:lang w:val="fr-FR"/>
              </w:rPr>
              <w:t>Système lunaire</w:t>
            </w:r>
          </w:p>
        </w:tc>
        <w:tc>
          <w:tcPr>
            <w:tcW w:w="303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EC47EFC" w14:textId="77777777" w:rsidR="006472E3" w:rsidRPr="003A0703" w:rsidRDefault="006472E3">
            <w:pPr>
              <w:pStyle w:val="Tabletext"/>
              <w:jc w:val="center"/>
              <w:rPr>
                <w:lang w:val="fr-FR"/>
              </w:rPr>
            </w:pPr>
            <w:r w:rsidRPr="003A0703">
              <w:rPr>
                <w:lang w:val="fr-FR"/>
              </w:rPr>
              <w:t>56</w:t>
            </w:r>
          </w:p>
        </w:tc>
        <w:tc>
          <w:tcPr>
            <w:tcW w:w="4197" w:type="dxa"/>
            <w:tcBorders>
              <w:top w:val="single" w:sz="4" w:space="0" w:color="auto"/>
              <w:left w:val="single" w:sz="4" w:space="0" w:color="auto"/>
              <w:bottom w:val="single" w:sz="4" w:space="0" w:color="auto"/>
              <w:right w:val="single" w:sz="4" w:space="0" w:color="auto"/>
            </w:tcBorders>
            <w:hideMark/>
          </w:tcPr>
          <w:p w14:paraId="33487C30" w14:textId="77777777" w:rsidR="006472E3" w:rsidRPr="003A0703" w:rsidRDefault="006472E3">
            <w:pPr>
              <w:pStyle w:val="Tabletext"/>
              <w:jc w:val="center"/>
              <w:rPr>
                <w:lang w:val="fr-FR"/>
              </w:rPr>
            </w:pPr>
            <w:r w:rsidRPr="003A0703">
              <w:rPr>
                <w:lang w:val="fr-FR"/>
              </w:rPr>
              <w:t>−128</w:t>
            </w:r>
          </w:p>
        </w:tc>
      </w:tr>
    </w:tbl>
    <w:p w14:paraId="44FC0A9C" w14:textId="77777777" w:rsidR="006472E3" w:rsidRPr="003A0703" w:rsidRDefault="006472E3" w:rsidP="001B4746">
      <w:pPr>
        <w:pStyle w:val="Tablefin"/>
        <w:rPr>
          <w:lang w:val="fr-FR"/>
        </w:rPr>
      </w:pPr>
    </w:p>
    <w:p w14:paraId="0B33FEE1" w14:textId="32AC473B" w:rsidR="006472E3" w:rsidRPr="003A0703" w:rsidRDefault="006472E3" w:rsidP="003A3EF6">
      <w:pPr>
        <w:spacing w:after="240"/>
        <w:rPr>
          <w:lang w:val="fr-FR"/>
        </w:rPr>
      </w:pPr>
      <w:r w:rsidRPr="003A0703">
        <w:rPr>
          <w:lang w:val="fr-FR"/>
        </w:rPr>
        <w:t>4</w:t>
      </w:r>
      <w:r w:rsidRPr="003A0703">
        <w:rPr>
          <w:lang w:val="fr-FR"/>
        </w:rPr>
        <w:tab/>
        <w:t>que, pour respecter les critères de brouillage des systèmes SVLBI et lunaires du service de recherche spatiale, les systèmes OSG et HEO du SFS dans la bande 37,5-38 GHz fonctionnent au-dessous des niveaux maximaux de densité spectrale de p.i.r.e. ou des niveaux de puissance surfacique indiqués dans le Tableau ci-après, par temps clair, au niveau des stations terriennes du service de recherche spatiale (Note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982"/>
        <w:gridCol w:w="4252"/>
      </w:tblGrid>
      <w:tr w:rsidR="006472E3" w:rsidRPr="006036EE" w14:paraId="38ED6D52" w14:textId="77777777" w:rsidTr="001B4746">
        <w:trPr>
          <w:jc w:val="center"/>
        </w:trPr>
        <w:tc>
          <w:tcPr>
            <w:tcW w:w="2405" w:type="dxa"/>
            <w:tcBorders>
              <w:top w:val="single" w:sz="4" w:space="0" w:color="auto"/>
              <w:left w:val="single" w:sz="4" w:space="0" w:color="auto"/>
              <w:bottom w:val="single" w:sz="4" w:space="0" w:color="auto"/>
              <w:right w:val="single" w:sz="4" w:space="0" w:color="auto"/>
            </w:tcBorders>
            <w:hideMark/>
          </w:tcPr>
          <w:p w14:paraId="56D4E88B" w14:textId="77777777" w:rsidR="006472E3" w:rsidRPr="003A0703" w:rsidRDefault="006472E3">
            <w:pPr>
              <w:pStyle w:val="Tablehead"/>
              <w:rPr>
                <w:lang w:val="fr-FR"/>
              </w:rPr>
            </w:pPr>
            <w:r w:rsidRPr="003A0703">
              <w:rPr>
                <w:lang w:val="fr-FR"/>
              </w:rPr>
              <w:t>Systèmes du SFS</w:t>
            </w:r>
          </w:p>
        </w:tc>
        <w:tc>
          <w:tcPr>
            <w:tcW w:w="2982" w:type="dxa"/>
            <w:tcBorders>
              <w:top w:val="single" w:sz="4" w:space="0" w:color="auto"/>
              <w:left w:val="single" w:sz="4" w:space="0" w:color="auto"/>
              <w:bottom w:val="single" w:sz="4" w:space="0" w:color="auto"/>
              <w:right w:val="single" w:sz="4" w:space="0" w:color="auto"/>
            </w:tcBorders>
            <w:hideMark/>
          </w:tcPr>
          <w:p w14:paraId="40EA13DB" w14:textId="77777777" w:rsidR="006472E3" w:rsidRPr="003A0703" w:rsidRDefault="006472E3">
            <w:pPr>
              <w:pStyle w:val="Tablehead"/>
              <w:rPr>
                <w:lang w:val="fr-FR"/>
              </w:rPr>
            </w:pPr>
            <w:r w:rsidRPr="003A0703">
              <w:rPr>
                <w:lang w:val="fr-FR"/>
              </w:rPr>
              <w:t>Densité spectrale de p.i.r.e. maximale (dBW/MHz)</w:t>
            </w:r>
          </w:p>
        </w:tc>
        <w:tc>
          <w:tcPr>
            <w:tcW w:w="4252" w:type="dxa"/>
            <w:tcBorders>
              <w:top w:val="single" w:sz="4" w:space="0" w:color="auto"/>
              <w:left w:val="single" w:sz="4" w:space="0" w:color="auto"/>
              <w:bottom w:val="single" w:sz="4" w:space="0" w:color="auto"/>
              <w:right w:val="single" w:sz="4" w:space="0" w:color="auto"/>
            </w:tcBorders>
            <w:hideMark/>
          </w:tcPr>
          <w:p w14:paraId="6F089FF5" w14:textId="77777777" w:rsidR="006472E3" w:rsidRPr="003A0703" w:rsidRDefault="006472E3">
            <w:pPr>
              <w:pStyle w:val="Tablehead"/>
              <w:rPr>
                <w:lang w:val="fr-FR"/>
              </w:rPr>
            </w:pPr>
            <w:r w:rsidRPr="003A0703">
              <w:rPr>
                <w:lang w:val="fr-FR"/>
              </w:rPr>
              <w:t>Limite de puissance surfacique à la surface de la Terre (dBW/MHz/m</w:t>
            </w:r>
            <w:r w:rsidRPr="003A0703">
              <w:rPr>
                <w:vertAlign w:val="superscript"/>
                <w:lang w:val="fr-FR"/>
              </w:rPr>
              <w:t>2</w:t>
            </w:r>
            <w:r w:rsidRPr="003A0703">
              <w:rPr>
                <w:lang w:val="fr-FR"/>
              </w:rPr>
              <w:t>)</w:t>
            </w:r>
          </w:p>
        </w:tc>
      </w:tr>
      <w:tr w:rsidR="006472E3" w:rsidRPr="003A0703" w14:paraId="0EBC03C8" w14:textId="77777777" w:rsidTr="001B4746">
        <w:trPr>
          <w:jc w:val="center"/>
        </w:trPr>
        <w:tc>
          <w:tcPr>
            <w:tcW w:w="2405" w:type="dxa"/>
            <w:tcBorders>
              <w:top w:val="single" w:sz="4" w:space="0" w:color="auto"/>
              <w:left w:val="single" w:sz="4" w:space="0" w:color="auto"/>
              <w:bottom w:val="single" w:sz="4" w:space="0" w:color="auto"/>
              <w:right w:val="single" w:sz="4" w:space="0" w:color="auto"/>
            </w:tcBorders>
            <w:hideMark/>
          </w:tcPr>
          <w:p w14:paraId="0787AB40" w14:textId="77777777" w:rsidR="006472E3" w:rsidRPr="003A0703" w:rsidRDefault="006472E3">
            <w:pPr>
              <w:pStyle w:val="Tabletext"/>
              <w:jc w:val="center"/>
              <w:rPr>
                <w:lang w:val="fr-FR"/>
              </w:rPr>
            </w:pPr>
            <w:r w:rsidRPr="003A0703">
              <w:rPr>
                <w:lang w:val="fr-FR"/>
              </w:rPr>
              <w:t>OSG</w:t>
            </w:r>
          </w:p>
        </w:tc>
        <w:tc>
          <w:tcPr>
            <w:tcW w:w="2982" w:type="dxa"/>
            <w:tcBorders>
              <w:top w:val="single" w:sz="4" w:space="0" w:color="auto"/>
              <w:left w:val="single" w:sz="4" w:space="0" w:color="auto"/>
              <w:bottom w:val="single" w:sz="4" w:space="0" w:color="auto"/>
              <w:right w:val="single" w:sz="4" w:space="0" w:color="auto"/>
            </w:tcBorders>
            <w:hideMark/>
          </w:tcPr>
          <w:p w14:paraId="7AC15C29" w14:textId="77777777" w:rsidR="006472E3" w:rsidRPr="003A0703" w:rsidRDefault="006472E3">
            <w:pPr>
              <w:pStyle w:val="Tabletext"/>
              <w:jc w:val="center"/>
              <w:rPr>
                <w:lang w:val="fr-FR"/>
              </w:rPr>
            </w:pPr>
            <w:r w:rsidRPr="003A0703">
              <w:rPr>
                <w:lang w:val="fr-FR"/>
              </w:rPr>
              <w:t>42</w:t>
            </w:r>
          </w:p>
        </w:tc>
        <w:tc>
          <w:tcPr>
            <w:tcW w:w="4252" w:type="dxa"/>
            <w:tcBorders>
              <w:top w:val="single" w:sz="4" w:space="0" w:color="auto"/>
              <w:left w:val="single" w:sz="4" w:space="0" w:color="auto"/>
              <w:bottom w:val="single" w:sz="4" w:space="0" w:color="auto"/>
              <w:right w:val="single" w:sz="4" w:space="0" w:color="auto"/>
            </w:tcBorders>
            <w:hideMark/>
          </w:tcPr>
          <w:p w14:paraId="66F98DA6" w14:textId="77777777" w:rsidR="006472E3" w:rsidRPr="003A0703" w:rsidRDefault="006472E3">
            <w:pPr>
              <w:pStyle w:val="Tabletext"/>
              <w:jc w:val="center"/>
              <w:rPr>
                <w:lang w:val="fr-FR"/>
              </w:rPr>
            </w:pPr>
            <w:r w:rsidRPr="003A0703">
              <w:rPr>
                <w:lang w:val="fr-FR"/>
              </w:rPr>
              <w:t>−121</w:t>
            </w:r>
          </w:p>
        </w:tc>
      </w:tr>
      <w:tr w:rsidR="006472E3" w:rsidRPr="006036EE" w14:paraId="753476F8" w14:textId="77777777" w:rsidTr="001B4746">
        <w:trPr>
          <w:jc w:val="center"/>
        </w:trPr>
        <w:tc>
          <w:tcPr>
            <w:tcW w:w="2405" w:type="dxa"/>
            <w:tcBorders>
              <w:top w:val="single" w:sz="4" w:space="0" w:color="auto"/>
              <w:left w:val="single" w:sz="4" w:space="0" w:color="auto"/>
              <w:bottom w:val="single" w:sz="4" w:space="0" w:color="auto"/>
              <w:right w:val="single" w:sz="4" w:space="0" w:color="auto"/>
            </w:tcBorders>
            <w:hideMark/>
          </w:tcPr>
          <w:p w14:paraId="5DE9C767" w14:textId="77777777" w:rsidR="006472E3" w:rsidRPr="003A0703" w:rsidRDefault="006472E3">
            <w:pPr>
              <w:pStyle w:val="Tabletext"/>
              <w:jc w:val="center"/>
              <w:rPr>
                <w:lang w:val="fr-FR"/>
              </w:rPr>
            </w:pPr>
            <w:r w:rsidRPr="003A0703">
              <w:rPr>
                <w:lang w:val="fr-FR"/>
              </w:rPr>
              <w:t>HEO</w:t>
            </w:r>
          </w:p>
        </w:tc>
        <w:tc>
          <w:tcPr>
            <w:tcW w:w="2982" w:type="dxa"/>
            <w:tcBorders>
              <w:top w:val="single" w:sz="4" w:space="0" w:color="auto"/>
              <w:left w:val="single" w:sz="4" w:space="0" w:color="auto"/>
              <w:bottom w:val="single" w:sz="4" w:space="0" w:color="auto"/>
              <w:right w:val="single" w:sz="4" w:space="0" w:color="auto"/>
            </w:tcBorders>
            <w:hideMark/>
          </w:tcPr>
          <w:p w14:paraId="6C9399A6" w14:textId="77777777" w:rsidR="006472E3" w:rsidRPr="003A0703" w:rsidRDefault="006472E3">
            <w:pPr>
              <w:pStyle w:val="Tabletext"/>
              <w:jc w:val="center"/>
              <w:rPr>
                <w:lang w:val="fr-FR"/>
              </w:rPr>
            </w:pPr>
            <w:r w:rsidRPr="003A0703">
              <w:rPr>
                <w:lang w:val="fr-FR"/>
              </w:rPr>
              <w:t>48</w:t>
            </w:r>
          </w:p>
        </w:tc>
        <w:tc>
          <w:tcPr>
            <w:tcW w:w="4252" w:type="dxa"/>
            <w:tcBorders>
              <w:top w:val="single" w:sz="4" w:space="0" w:color="auto"/>
              <w:left w:val="single" w:sz="4" w:space="0" w:color="auto"/>
              <w:bottom w:val="single" w:sz="4" w:space="0" w:color="auto"/>
              <w:right w:val="single" w:sz="4" w:space="0" w:color="auto"/>
            </w:tcBorders>
            <w:hideMark/>
          </w:tcPr>
          <w:p w14:paraId="757A7056" w14:textId="77777777" w:rsidR="006472E3" w:rsidRPr="003A0703" w:rsidRDefault="006472E3">
            <w:pPr>
              <w:pStyle w:val="Tabletext"/>
              <w:jc w:val="center"/>
              <w:rPr>
                <w:lang w:val="fr-FR"/>
              </w:rPr>
            </w:pPr>
            <w:r w:rsidRPr="003A0703">
              <w:rPr>
                <w:lang w:val="fr-FR"/>
              </w:rPr>
              <w:t xml:space="preserve">−105 </w:t>
            </w:r>
            <w:r w:rsidRPr="003A0703">
              <w:rPr>
                <w:lang w:val="fr-FR"/>
              </w:rPr>
              <w:br/>
              <w:t xml:space="preserve">(limite fixée dans le Tableau </w:t>
            </w:r>
            <w:r w:rsidRPr="003A0703">
              <w:rPr>
                <w:b/>
                <w:bCs/>
                <w:lang w:val="fr-FR"/>
              </w:rPr>
              <w:t>21-4</w:t>
            </w:r>
            <w:r w:rsidRPr="003A0703">
              <w:rPr>
                <w:lang w:val="fr-FR"/>
              </w:rPr>
              <w:t xml:space="preserve"> du RR)</w:t>
            </w:r>
          </w:p>
        </w:tc>
      </w:tr>
    </w:tbl>
    <w:p w14:paraId="42EB34B9" w14:textId="77777777" w:rsidR="003A3EF6" w:rsidRPr="003A0703" w:rsidRDefault="003A3EF6" w:rsidP="003A3EF6">
      <w:pPr>
        <w:pStyle w:val="Tablefin"/>
        <w:rPr>
          <w:lang w:val="fr-FR"/>
        </w:rPr>
      </w:pPr>
    </w:p>
    <w:p w14:paraId="4E92EE53" w14:textId="580B41E1" w:rsidR="007E01A2" w:rsidRPr="003A0703" w:rsidRDefault="007E01A2" w:rsidP="003A3EF6">
      <w:pPr>
        <w:rPr>
          <w:lang w:val="fr-FR"/>
        </w:rPr>
      </w:pPr>
      <w:r w:rsidRPr="003A0703">
        <w:rPr>
          <w:lang w:val="fr-FR"/>
        </w:rPr>
        <w:t>5</w:t>
      </w:r>
      <w:r w:rsidRPr="003A0703">
        <w:rPr>
          <w:b/>
          <w:lang w:val="fr-FR"/>
        </w:rPr>
        <w:tab/>
      </w:r>
      <w:r w:rsidRPr="003A0703">
        <w:rPr>
          <w:lang w:val="fr-FR"/>
        </w:rPr>
        <w:t>que, pour respecter les critères de brouillage applicables aux systèmes SVLBI du service de recherche spatiale et aux missions lunaires, les satellites LEO et MEO du SFS ne devraient pas pointer leurs faisceaux d'émission fonctionnant dans la bande de fréquences 37,5-38 GHz en direction des emplacements des stations terriennes du service de recherche spatiale;</w:t>
      </w:r>
    </w:p>
    <w:p w14:paraId="75CDC9F4" w14:textId="08DF36A3" w:rsidR="007E01A2" w:rsidRPr="003A0703" w:rsidRDefault="007E01A2" w:rsidP="003A3EF6">
      <w:pPr>
        <w:rPr>
          <w:lang w:val="fr-FR"/>
        </w:rPr>
      </w:pPr>
      <w:r w:rsidRPr="003A0703">
        <w:rPr>
          <w:bCs/>
          <w:lang w:val="fr-FR"/>
        </w:rPr>
        <w:t>6</w:t>
      </w:r>
      <w:r w:rsidRPr="003A0703">
        <w:rPr>
          <w:lang w:val="fr-FR"/>
        </w:rPr>
        <w:tab/>
        <w:t>que les stations terriennes LEO et MEO du SFS et les systèmes OSG et HEO du SFS en mode</w:t>
      </w:r>
      <w:r w:rsidR="002662F2" w:rsidRPr="003A0703">
        <w:rPr>
          <w:lang w:val="fr-FR"/>
        </w:rPr>
        <w:t> </w:t>
      </w:r>
      <w:r w:rsidRPr="003A0703">
        <w:rPr>
          <w:lang w:val="fr-FR"/>
        </w:rPr>
        <w:t>VSAT devraient utiliser des bandes de fréquences au-dessus de 38 GHz dans les zones géographiques proches de stations terriennes du service de recherche spatiale (voir l'Annexe 1);</w:t>
      </w:r>
    </w:p>
    <w:p w14:paraId="72C99F35" w14:textId="77777777" w:rsidR="007E01A2" w:rsidRPr="003A0703" w:rsidRDefault="007E01A2" w:rsidP="007E01A2">
      <w:pPr>
        <w:rPr>
          <w:szCs w:val="24"/>
          <w:lang w:val="fr-FR"/>
        </w:rPr>
      </w:pPr>
      <w:r w:rsidRPr="003A0703">
        <w:rPr>
          <w:bCs/>
          <w:szCs w:val="24"/>
          <w:lang w:val="fr-FR"/>
        </w:rPr>
        <w:t>7</w:t>
      </w:r>
      <w:r w:rsidRPr="003A0703">
        <w:rPr>
          <w:szCs w:val="24"/>
          <w:lang w:val="fr-FR"/>
        </w:rPr>
        <w:tab/>
        <w:t>que la puissance surfacique à la surface de la Terre des systèmes du service de recherche spatiale et du SFS émettant dans la bande 37,5-38 GHz ne soit pas supérieure au(x) niveau(x) nécessaire(s) pour atteindre les objectifs de disponibilité et de qualité de fonctionnement des liaisons pour les applications concernées;</w:t>
      </w:r>
    </w:p>
    <w:p w14:paraId="3BEDA0FA" w14:textId="77777777" w:rsidR="007E01A2" w:rsidRPr="003A0703" w:rsidRDefault="007E01A2" w:rsidP="007E01A2">
      <w:pPr>
        <w:rPr>
          <w:szCs w:val="24"/>
          <w:lang w:val="fr-FR"/>
        </w:rPr>
      </w:pPr>
      <w:r w:rsidRPr="003A0703">
        <w:rPr>
          <w:szCs w:val="24"/>
          <w:lang w:val="fr-FR"/>
        </w:rPr>
        <w:t>8</w:t>
      </w:r>
      <w:r w:rsidRPr="003A0703">
        <w:rPr>
          <w:szCs w:val="24"/>
          <w:lang w:val="fr-FR"/>
        </w:rPr>
        <w:tab/>
        <w:t>que, pour les autres systèmes du service de recherche spatiale fonctionnant au voisinage de la Terre, par exemple pour les missions aux points de Lagrange L1/L2, on envisage de concevoir leurs liaisons descendantes avec une marge de liaison supplémentaire d'environ 8 dB afin d'assurer la compatibilité avec les systèmes du SFS, de la même manière que pour les systèmes lunaires du service de recherche spatiale.</w:t>
      </w:r>
    </w:p>
    <w:p w14:paraId="04011F10" w14:textId="6E665820" w:rsidR="007E01A2" w:rsidRPr="003A0703" w:rsidRDefault="007E01A2" w:rsidP="001521F4">
      <w:pPr>
        <w:rPr>
          <w:lang w:val="fr-FR"/>
        </w:rPr>
      </w:pPr>
      <w:r w:rsidRPr="003A0703">
        <w:rPr>
          <w:lang w:val="fr-FR"/>
        </w:rPr>
        <w:t>NOTE 1 – En présence d'évanouissements excessifs, la densité spectrale de p.i.r.e. indiquée dans les Tableaux ci-dessus peut être dépassée du niveau nécessaire pour maintenir la disponibilité des liaisons tout en respectant les limites de puissance surfacique.</w:t>
      </w:r>
    </w:p>
    <w:p w14:paraId="3A11497B" w14:textId="4B43417B" w:rsidR="007E01A2" w:rsidRPr="003A0703" w:rsidRDefault="007E01A2" w:rsidP="001521F4">
      <w:pPr>
        <w:pStyle w:val="AnnexNotitle0"/>
        <w:outlineLvl w:val="0"/>
        <w:rPr>
          <w:lang w:val="fr-FR"/>
        </w:rPr>
      </w:pPr>
      <w:r w:rsidRPr="003A0703">
        <w:rPr>
          <w:lang w:val="fr-FR"/>
        </w:rPr>
        <w:lastRenderedPageBreak/>
        <w:t>Annexe</w:t>
      </w:r>
      <w:r w:rsidRPr="003A0703">
        <w:rPr>
          <w:lang w:val="fr-FR"/>
        </w:rPr>
        <w:br/>
      </w:r>
      <w:r w:rsidRPr="003A0703">
        <w:rPr>
          <w:lang w:val="fr-FR"/>
        </w:rPr>
        <w:br/>
        <w:t xml:space="preserve">Partage de fréquences entre les systèmes du service de recherche spatiale </w:t>
      </w:r>
      <w:r w:rsidRPr="003A0703">
        <w:rPr>
          <w:lang w:val="fr-FR"/>
        </w:rPr>
        <w:br/>
        <w:t xml:space="preserve">au voisinage de la Terre et les systèmes du SFS </w:t>
      </w:r>
      <w:r w:rsidR="00721F37" w:rsidRPr="003A0703">
        <w:rPr>
          <w:lang w:val="fr-FR"/>
        </w:rPr>
        <w:br/>
      </w:r>
      <w:r w:rsidRPr="003A0703">
        <w:rPr>
          <w:lang w:val="fr-FR"/>
        </w:rPr>
        <w:t>dans la bande 37,5-38 GHz</w:t>
      </w:r>
    </w:p>
    <w:p w14:paraId="443CD504" w14:textId="77777777" w:rsidR="007E01A2" w:rsidRPr="003A0703" w:rsidRDefault="007E01A2" w:rsidP="007E01A2">
      <w:pPr>
        <w:pStyle w:val="Heading1"/>
        <w:rPr>
          <w:lang w:val="fr-FR"/>
        </w:rPr>
      </w:pPr>
      <w:r w:rsidRPr="003A0703">
        <w:rPr>
          <w:lang w:val="fr-FR"/>
        </w:rPr>
        <w:t>1</w:t>
      </w:r>
      <w:r w:rsidRPr="003A0703">
        <w:rPr>
          <w:lang w:val="fr-FR"/>
        </w:rPr>
        <w:tab/>
        <w:t>Introduction</w:t>
      </w:r>
    </w:p>
    <w:p w14:paraId="6CC4D26B" w14:textId="2CC2E1D6" w:rsidR="007E01A2" w:rsidRPr="003A0703" w:rsidRDefault="007E01A2" w:rsidP="003A3EF6">
      <w:pPr>
        <w:keepNext/>
        <w:keepLines/>
        <w:rPr>
          <w:lang w:val="fr-FR"/>
        </w:rPr>
      </w:pPr>
      <w:r w:rsidRPr="003A0703">
        <w:rPr>
          <w:lang w:val="fr-FR"/>
        </w:rPr>
        <w:t>La présente Annexe récapitule les résultats du Rapport UIT-R SA.2307, qui analyse le partage de fréquences entre les systèmes SVLBI et lunaires du service de recherche spatiale et les systèmes du</w:t>
      </w:r>
      <w:r w:rsidR="00721F37" w:rsidRPr="003A0703">
        <w:rPr>
          <w:lang w:val="fr-FR"/>
        </w:rPr>
        <w:t> </w:t>
      </w:r>
      <w:r w:rsidRPr="003A0703">
        <w:rPr>
          <w:lang w:val="fr-FR"/>
        </w:rPr>
        <w:t>SFS. Les brouillages entre les systèmes OSG et HEO du SFS et le service de recherche spatiale sont simulés dans deux cas. Dans le cas 1, on suppose que les systèmes fonctionnent avec les paramètres et les niveaux de densité de p.i.r.e. donnés dans les paragraphes qui suivent. Dans le cas 2, on suppose que les systèmes fonctionnent avec des puissances d'émission supérieures produisant les niveaux maximaux de densité spectrale de puissance surfacique à la surface de la Terre fixés dans le Tableau </w:t>
      </w:r>
      <w:r w:rsidRPr="003A0703">
        <w:rPr>
          <w:b/>
          <w:bCs/>
          <w:lang w:val="fr-FR"/>
        </w:rPr>
        <w:t>21-4</w:t>
      </w:r>
      <w:r w:rsidRPr="003A0703">
        <w:rPr>
          <w:lang w:val="fr-FR"/>
        </w:rPr>
        <w:t xml:space="preserve"> de l'Article </w:t>
      </w:r>
      <w:r w:rsidRPr="003A0703">
        <w:rPr>
          <w:b/>
          <w:bCs/>
          <w:lang w:val="fr-FR"/>
        </w:rPr>
        <w:t>21</w:t>
      </w:r>
      <w:r w:rsidRPr="003A0703">
        <w:rPr>
          <w:lang w:val="fr-FR"/>
        </w:rPr>
        <w:t xml:space="preserve"> du Règlement des radiocommunications. Les constellations LEO et</w:t>
      </w:r>
      <w:r w:rsidR="00721F37" w:rsidRPr="003A0703">
        <w:rPr>
          <w:lang w:val="fr-FR"/>
        </w:rPr>
        <w:t> </w:t>
      </w:r>
      <w:r w:rsidRPr="003A0703">
        <w:rPr>
          <w:lang w:val="fr-FR"/>
        </w:rPr>
        <w:t>MEO du SFS et les stations terriennes du service de recherche spatiale font l'objet d'un complément d'étude.</w:t>
      </w:r>
    </w:p>
    <w:p w14:paraId="55C93626" w14:textId="77777777" w:rsidR="007E01A2" w:rsidRPr="003A0703" w:rsidRDefault="007E01A2" w:rsidP="007E01A2">
      <w:pPr>
        <w:pStyle w:val="Heading1"/>
        <w:rPr>
          <w:lang w:val="fr-FR"/>
        </w:rPr>
      </w:pPr>
      <w:r w:rsidRPr="003A0703">
        <w:rPr>
          <w:lang w:val="fr-FR"/>
        </w:rPr>
        <w:t>2</w:t>
      </w:r>
      <w:r w:rsidRPr="003A0703">
        <w:rPr>
          <w:lang w:val="fr-FR"/>
        </w:rPr>
        <w:tab/>
        <w:t>Systèmes du service de recherche spatiale</w:t>
      </w:r>
    </w:p>
    <w:p w14:paraId="232F4392" w14:textId="77777777" w:rsidR="007E01A2" w:rsidRPr="003A0703" w:rsidRDefault="007E01A2" w:rsidP="007E01A2">
      <w:pPr>
        <w:rPr>
          <w:lang w:val="fr-FR"/>
        </w:rPr>
      </w:pPr>
      <w:r w:rsidRPr="003A0703">
        <w:rPr>
          <w:lang w:val="fr-FR"/>
        </w:rPr>
        <w:t>Les paramètres prévus pour les systèmes SVLBI et lunaires du service de recherche spatiale sont présentés dans le Tableau 1. Ces paramètres sont utilisés pour calculer les niveaux de brouillage entre ces systèmes du service de recherche spatiale et les systèmes OSG et HEO du SFS pour le cas 1.</w:t>
      </w:r>
    </w:p>
    <w:p w14:paraId="674003DD" w14:textId="77777777" w:rsidR="007E01A2" w:rsidRPr="003A0703" w:rsidRDefault="007E01A2" w:rsidP="007E01A2">
      <w:pPr>
        <w:pStyle w:val="TableNo"/>
        <w:rPr>
          <w:lang w:val="fr-FR"/>
        </w:rPr>
      </w:pPr>
      <w:r w:rsidRPr="003A0703">
        <w:rPr>
          <w:lang w:val="fr-FR"/>
        </w:rPr>
        <w:t>TABLEAU 1</w:t>
      </w:r>
    </w:p>
    <w:p w14:paraId="1DE12E99" w14:textId="73DD9FB0" w:rsidR="007E01A2" w:rsidRPr="003A0703" w:rsidRDefault="007E01A2" w:rsidP="007E01A2">
      <w:pPr>
        <w:pStyle w:val="Tabletitle"/>
        <w:rPr>
          <w:lang w:val="fr-FR"/>
        </w:rPr>
      </w:pPr>
      <w:r w:rsidRPr="003A0703">
        <w:rPr>
          <w:lang w:val="fr-FR"/>
        </w:rPr>
        <w:t>Paramètres prévus pour les systèmes SVLBI et lunaires</w:t>
      </w:r>
      <w:r w:rsidR="002662F2" w:rsidRPr="003A0703">
        <w:rPr>
          <w:lang w:val="fr-FR"/>
        </w:rPr>
        <w:br/>
      </w:r>
      <w:r w:rsidRPr="003A0703">
        <w:rPr>
          <w:lang w:val="fr-FR"/>
        </w:rPr>
        <w:t>du service de recherche spatiale (cas 1)</w:t>
      </w:r>
    </w:p>
    <w:tbl>
      <w:tblPr>
        <w:tblStyle w:val="TableGrid"/>
        <w:tblW w:w="5000" w:type="pct"/>
        <w:jc w:val="center"/>
        <w:tblLook w:val="04A0" w:firstRow="1" w:lastRow="0" w:firstColumn="1" w:lastColumn="0" w:noHBand="0" w:noVBand="1"/>
      </w:tblPr>
      <w:tblGrid>
        <w:gridCol w:w="4957"/>
        <w:gridCol w:w="1841"/>
        <w:gridCol w:w="2831"/>
      </w:tblGrid>
      <w:tr w:rsidR="007E01A2" w:rsidRPr="003A0703" w14:paraId="6608DECD"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62C559FA" w14:textId="77777777" w:rsidR="007E01A2" w:rsidRPr="003A0703" w:rsidRDefault="007E01A2" w:rsidP="001B4746">
            <w:pPr>
              <w:pStyle w:val="Tablehead"/>
              <w:rPr>
                <w:rFonts w:ascii="Times New Roman" w:hAnsi="Times New Roman" w:cs="Times New Roman"/>
                <w:lang w:val="fr-FR"/>
              </w:rPr>
            </w:pPr>
            <w:r w:rsidRPr="003A0703">
              <w:rPr>
                <w:rFonts w:ascii="Times New Roman" w:hAnsi="Times New Roman" w:cs="Times New Roman"/>
                <w:lang w:val="fr-FR"/>
              </w:rPr>
              <w:t>Paramètres</w:t>
            </w:r>
          </w:p>
        </w:tc>
        <w:tc>
          <w:tcPr>
            <w:tcW w:w="956" w:type="pct"/>
            <w:tcBorders>
              <w:top w:val="single" w:sz="4" w:space="0" w:color="auto"/>
              <w:left w:val="single" w:sz="4" w:space="0" w:color="auto"/>
              <w:bottom w:val="single" w:sz="4" w:space="0" w:color="auto"/>
              <w:right w:val="single" w:sz="4" w:space="0" w:color="auto"/>
            </w:tcBorders>
            <w:hideMark/>
          </w:tcPr>
          <w:p w14:paraId="4819C714" w14:textId="77777777" w:rsidR="007E01A2" w:rsidRPr="003A0703" w:rsidRDefault="007E01A2" w:rsidP="001B4746">
            <w:pPr>
              <w:pStyle w:val="Tablehead"/>
              <w:rPr>
                <w:rFonts w:ascii="Times New Roman" w:hAnsi="Times New Roman" w:cs="Times New Roman"/>
                <w:lang w:val="fr-FR"/>
              </w:rPr>
            </w:pPr>
            <w:r w:rsidRPr="003A0703">
              <w:rPr>
                <w:rFonts w:ascii="Times New Roman" w:hAnsi="Times New Roman" w:cs="Times New Roman"/>
                <w:lang w:val="fr-FR"/>
              </w:rPr>
              <w:t>SVLBI</w:t>
            </w:r>
          </w:p>
        </w:tc>
        <w:tc>
          <w:tcPr>
            <w:tcW w:w="1470" w:type="pct"/>
            <w:tcBorders>
              <w:top w:val="single" w:sz="4" w:space="0" w:color="auto"/>
              <w:left w:val="single" w:sz="4" w:space="0" w:color="auto"/>
              <w:bottom w:val="single" w:sz="4" w:space="0" w:color="auto"/>
              <w:right w:val="single" w:sz="4" w:space="0" w:color="auto"/>
            </w:tcBorders>
            <w:hideMark/>
          </w:tcPr>
          <w:p w14:paraId="1FF71C64" w14:textId="77777777" w:rsidR="007E01A2" w:rsidRPr="003A0703" w:rsidRDefault="007E01A2" w:rsidP="001B4746">
            <w:pPr>
              <w:pStyle w:val="Tablehead"/>
              <w:rPr>
                <w:rFonts w:ascii="Times New Roman" w:hAnsi="Times New Roman" w:cs="Times New Roman"/>
                <w:lang w:val="fr-FR"/>
              </w:rPr>
            </w:pPr>
            <w:r w:rsidRPr="003A0703">
              <w:rPr>
                <w:rFonts w:ascii="Times New Roman" w:hAnsi="Times New Roman" w:cs="Times New Roman"/>
                <w:lang w:val="fr-FR"/>
              </w:rPr>
              <w:t>Système lunaire</w:t>
            </w:r>
          </w:p>
        </w:tc>
      </w:tr>
      <w:tr w:rsidR="007E01A2" w:rsidRPr="003A0703" w14:paraId="3CC2C33E" w14:textId="77777777" w:rsidTr="00721F3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D583A55" w14:textId="77777777" w:rsidR="007E01A2" w:rsidRPr="003A0703" w:rsidRDefault="007E01A2" w:rsidP="00721F37">
            <w:pPr>
              <w:pStyle w:val="Tablehead"/>
              <w:jc w:val="left"/>
              <w:rPr>
                <w:rFonts w:ascii="Times New Roman" w:hAnsi="Times New Roman" w:cs="Times New Roman"/>
                <w:lang w:val="fr-FR"/>
              </w:rPr>
            </w:pPr>
            <w:r w:rsidRPr="003A0703">
              <w:rPr>
                <w:rFonts w:ascii="Times New Roman" w:hAnsi="Times New Roman" w:cs="Times New Roman"/>
                <w:lang w:val="fr-FR"/>
              </w:rPr>
              <w:t>Paramètres des stations spatiales</w:t>
            </w:r>
          </w:p>
        </w:tc>
      </w:tr>
      <w:tr w:rsidR="007E01A2" w:rsidRPr="003A0703" w14:paraId="6DD835BE"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16C8FED0"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Inclinaison de l'orbite (degrés)</w:t>
            </w:r>
          </w:p>
        </w:tc>
        <w:tc>
          <w:tcPr>
            <w:tcW w:w="956" w:type="pct"/>
            <w:tcBorders>
              <w:top w:val="single" w:sz="4" w:space="0" w:color="auto"/>
              <w:left w:val="single" w:sz="4" w:space="0" w:color="auto"/>
              <w:bottom w:val="single" w:sz="4" w:space="0" w:color="auto"/>
              <w:right w:val="single" w:sz="4" w:space="0" w:color="auto"/>
            </w:tcBorders>
            <w:vAlign w:val="center"/>
            <w:hideMark/>
          </w:tcPr>
          <w:p w14:paraId="37E42A82"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20, 31, 65</w:t>
            </w:r>
          </w:p>
        </w:tc>
        <w:tc>
          <w:tcPr>
            <w:tcW w:w="1470" w:type="pct"/>
            <w:tcBorders>
              <w:top w:val="single" w:sz="4" w:space="0" w:color="auto"/>
              <w:left w:val="single" w:sz="4" w:space="0" w:color="auto"/>
              <w:bottom w:val="single" w:sz="4" w:space="0" w:color="auto"/>
              <w:right w:val="single" w:sz="4" w:space="0" w:color="auto"/>
            </w:tcBorders>
            <w:vAlign w:val="center"/>
            <w:hideMark/>
          </w:tcPr>
          <w:p w14:paraId="473F98DD"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Lune</w:t>
            </w:r>
          </w:p>
        </w:tc>
      </w:tr>
      <w:tr w:rsidR="007E01A2" w:rsidRPr="003A0703" w14:paraId="3C95FB64"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1A92A39A"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Puissance d'émission (dBW)</w:t>
            </w:r>
          </w:p>
        </w:tc>
        <w:tc>
          <w:tcPr>
            <w:tcW w:w="956" w:type="pct"/>
            <w:tcBorders>
              <w:top w:val="single" w:sz="4" w:space="0" w:color="auto"/>
              <w:left w:val="single" w:sz="4" w:space="0" w:color="auto"/>
              <w:bottom w:val="single" w:sz="4" w:space="0" w:color="auto"/>
              <w:right w:val="single" w:sz="4" w:space="0" w:color="auto"/>
            </w:tcBorders>
            <w:vAlign w:val="center"/>
            <w:hideMark/>
          </w:tcPr>
          <w:p w14:paraId="069AFBE1"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3</w:t>
            </w:r>
          </w:p>
        </w:tc>
        <w:tc>
          <w:tcPr>
            <w:tcW w:w="1470" w:type="pct"/>
            <w:tcBorders>
              <w:top w:val="single" w:sz="4" w:space="0" w:color="auto"/>
              <w:left w:val="single" w:sz="4" w:space="0" w:color="auto"/>
              <w:bottom w:val="single" w:sz="4" w:space="0" w:color="auto"/>
              <w:right w:val="single" w:sz="4" w:space="0" w:color="auto"/>
            </w:tcBorders>
            <w:vAlign w:val="center"/>
            <w:hideMark/>
          </w:tcPr>
          <w:p w14:paraId="02BD8B4F"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14,5</w:t>
            </w:r>
          </w:p>
        </w:tc>
      </w:tr>
      <w:tr w:rsidR="007E01A2" w:rsidRPr="003A0703" w14:paraId="637917F9"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60D9ECD1"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Gain de l'antenne (dBi)</w:t>
            </w:r>
          </w:p>
        </w:tc>
        <w:tc>
          <w:tcPr>
            <w:tcW w:w="956" w:type="pct"/>
            <w:tcBorders>
              <w:top w:val="single" w:sz="4" w:space="0" w:color="auto"/>
              <w:left w:val="single" w:sz="4" w:space="0" w:color="auto"/>
              <w:bottom w:val="single" w:sz="4" w:space="0" w:color="auto"/>
              <w:right w:val="single" w:sz="4" w:space="0" w:color="auto"/>
            </w:tcBorders>
            <w:vAlign w:val="center"/>
            <w:hideMark/>
          </w:tcPr>
          <w:p w14:paraId="235EF554"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48,1</w:t>
            </w:r>
          </w:p>
        </w:tc>
        <w:tc>
          <w:tcPr>
            <w:tcW w:w="1470" w:type="pct"/>
            <w:tcBorders>
              <w:top w:val="single" w:sz="4" w:space="0" w:color="auto"/>
              <w:left w:val="single" w:sz="4" w:space="0" w:color="auto"/>
              <w:bottom w:val="single" w:sz="4" w:space="0" w:color="auto"/>
              <w:right w:val="single" w:sz="4" w:space="0" w:color="auto"/>
            </w:tcBorders>
            <w:vAlign w:val="center"/>
            <w:hideMark/>
          </w:tcPr>
          <w:p w14:paraId="0CF66478"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64</w:t>
            </w:r>
          </w:p>
        </w:tc>
      </w:tr>
      <w:tr w:rsidR="007E01A2" w:rsidRPr="003A0703" w14:paraId="5AE6C657"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37999721"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Débit de données (Mbit/s)</w:t>
            </w:r>
          </w:p>
        </w:tc>
        <w:tc>
          <w:tcPr>
            <w:tcW w:w="956" w:type="pct"/>
            <w:tcBorders>
              <w:top w:val="single" w:sz="4" w:space="0" w:color="auto"/>
              <w:left w:val="single" w:sz="4" w:space="0" w:color="auto"/>
              <w:bottom w:val="single" w:sz="4" w:space="0" w:color="auto"/>
              <w:right w:val="single" w:sz="4" w:space="0" w:color="auto"/>
            </w:tcBorders>
            <w:vAlign w:val="center"/>
            <w:hideMark/>
          </w:tcPr>
          <w:p w14:paraId="1A47A781"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500</w:t>
            </w:r>
          </w:p>
        </w:tc>
        <w:tc>
          <w:tcPr>
            <w:tcW w:w="1470" w:type="pct"/>
            <w:tcBorders>
              <w:top w:val="single" w:sz="4" w:space="0" w:color="auto"/>
              <w:left w:val="single" w:sz="4" w:space="0" w:color="auto"/>
              <w:bottom w:val="single" w:sz="4" w:space="0" w:color="auto"/>
              <w:right w:val="single" w:sz="4" w:space="0" w:color="auto"/>
            </w:tcBorders>
            <w:vAlign w:val="center"/>
            <w:hideMark/>
          </w:tcPr>
          <w:p w14:paraId="49F1C386"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250</w:t>
            </w:r>
          </w:p>
        </w:tc>
      </w:tr>
      <w:tr w:rsidR="007E01A2" w:rsidRPr="003A0703" w14:paraId="643D5456"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6253EF90"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Densité de p.i.r.e. maximale à l'émission (dBW/MHz)</w:t>
            </w:r>
          </w:p>
        </w:tc>
        <w:tc>
          <w:tcPr>
            <w:tcW w:w="956" w:type="pct"/>
            <w:tcBorders>
              <w:top w:val="single" w:sz="4" w:space="0" w:color="auto"/>
              <w:left w:val="single" w:sz="4" w:space="0" w:color="auto"/>
              <w:bottom w:val="single" w:sz="4" w:space="0" w:color="auto"/>
              <w:right w:val="single" w:sz="4" w:space="0" w:color="auto"/>
            </w:tcBorders>
            <w:vAlign w:val="center"/>
            <w:hideMark/>
          </w:tcPr>
          <w:p w14:paraId="491A6019"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24,1</w:t>
            </w:r>
          </w:p>
        </w:tc>
        <w:tc>
          <w:tcPr>
            <w:tcW w:w="1470" w:type="pct"/>
            <w:tcBorders>
              <w:top w:val="single" w:sz="4" w:space="0" w:color="auto"/>
              <w:left w:val="single" w:sz="4" w:space="0" w:color="auto"/>
              <w:bottom w:val="single" w:sz="4" w:space="0" w:color="auto"/>
              <w:right w:val="single" w:sz="4" w:space="0" w:color="auto"/>
            </w:tcBorders>
            <w:vAlign w:val="center"/>
            <w:hideMark/>
          </w:tcPr>
          <w:p w14:paraId="13E5716E"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54,5</w:t>
            </w:r>
          </w:p>
        </w:tc>
      </w:tr>
      <w:tr w:rsidR="007E01A2" w:rsidRPr="003A0703" w14:paraId="70D5A3EE" w14:textId="77777777" w:rsidTr="00721F3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FD95D1B" w14:textId="386B9CA5" w:rsidR="007E01A2" w:rsidRPr="003A0703" w:rsidRDefault="007E01A2" w:rsidP="00721F37">
            <w:pPr>
              <w:pStyle w:val="Tablehead"/>
              <w:jc w:val="left"/>
              <w:rPr>
                <w:rFonts w:ascii="Times New Roman" w:hAnsi="Times New Roman" w:cs="Times New Roman"/>
                <w:b w:val="0"/>
                <w:bCs/>
                <w:lang w:val="fr-FR"/>
              </w:rPr>
            </w:pPr>
            <w:r w:rsidRPr="003A0703">
              <w:rPr>
                <w:rFonts w:ascii="Times New Roman" w:hAnsi="Times New Roman" w:cs="Times New Roman"/>
                <w:lang w:val="fr-FR"/>
              </w:rPr>
              <w:t>Paramètres des stations terriennes</w:t>
            </w:r>
          </w:p>
        </w:tc>
      </w:tr>
      <w:tr w:rsidR="007E01A2" w:rsidRPr="003A0703" w14:paraId="2A3ACA59"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4EFEDA78"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Diamètre de l'antenne (m)</w:t>
            </w:r>
          </w:p>
        </w:tc>
        <w:tc>
          <w:tcPr>
            <w:tcW w:w="956" w:type="pct"/>
            <w:tcBorders>
              <w:top w:val="single" w:sz="4" w:space="0" w:color="auto"/>
              <w:left w:val="single" w:sz="4" w:space="0" w:color="auto"/>
              <w:bottom w:val="single" w:sz="4" w:space="0" w:color="auto"/>
              <w:right w:val="single" w:sz="4" w:space="0" w:color="auto"/>
            </w:tcBorders>
            <w:vAlign w:val="center"/>
            <w:hideMark/>
          </w:tcPr>
          <w:p w14:paraId="221014EC"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15, 34</w:t>
            </w:r>
          </w:p>
        </w:tc>
        <w:tc>
          <w:tcPr>
            <w:tcW w:w="1470" w:type="pct"/>
            <w:tcBorders>
              <w:top w:val="single" w:sz="4" w:space="0" w:color="auto"/>
              <w:left w:val="single" w:sz="4" w:space="0" w:color="auto"/>
              <w:bottom w:val="single" w:sz="4" w:space="0" w:color="auto"/>
              <w:right w:val="single" w:sz="4" w:space="0" w:color="auto"/>
            </w:tcBorders>
            <w:vAlign w:val="center"/>
            <w:hideMark/>
          </w:tcPr>
          <w:p w14:paraId="5DFF67B7"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6</w:t>
            </w:r>
          </w:p>
        </w:tc>
      </w:tr>
      <w:tr w:rsidR="007E01A2" w:rsidRPr="003A0703" w14:paraId="60B00DE3"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2C717D45"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 xml:space="preserve">Diagramme de gain </w:t>
            </w:r>
          </w:p>
        </w:tc>
        <w:tc>
          <w:tcPr>
            <w:tcW w:w="956" w:type="pct"/>
            <w:tcBorders>
              <w:top w:val="single" w:sz="4" w:space="0" w:color="auto"/>
              <w:left w:val="single" w:sz="4" w:space="0" w:color="auto"/>
              <w:bottom w:val="single" w:sz="4" w:space="0" w:color="auto"/>
              <w:right w:val="single" w:sz="4" w:space="0" w:color="auto"/>
            </w:tcBorders>
            <w:vAlign w:val="center"/>
            <w:hideMark/>
          </w:tcPr>
          <w:p w14:paraId="18DF77BE"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AP</w:t>
            </w:r>
            <w:r w:rsidRPr="003A0703">
              <w:rPr>
                <w:rFonts w:ascii="Times New Roman" w:hAnsi="Times New Roman" w:cs="Times New Roman"/>
                <w:b/>
                <w:bCs/>
                <w:lang w:val="fr-FR"/>
              </w:rPr>
              <w:t>8-10</w:t>
            </w:r>
            <w:r w:rsidRPr="003A0703">
              <w:rPr>
                <w:rFonts w:ascii="Times New Roman" w:hAnsi="Times New Roman" w:cs="Times New Roman"/>
                <w:lang w:val="fr-FR"/>
              </w:rPr>
              <w:t xml:space="preserve"> du RR</w:t>
            </w:r>
          </w:p>
        </w:tc>
        <w:tc>
          <w:tcPr>
            <w:tcW w:w="1470" w:type="pct"/>
            <w:tcBorders>
              <w:top w:val="single" w:sz="4" w:space="0" w:color="auto"/>
              <w:left w:val="single" w:sz="4" w:space="0" w:color="auto"/>
              <w:bottom w:val="single" w:sz="4" w:space="0" w:color="auto"/>
              <w:right w:val="single" w:sz="4" w:space="0" w:color="auto"/>
            </w:tcBorders>
            <w:vAlign w:val="center"/>
            <w:hideMark/>
          </w:tcPr>
          <w:p w14:paraId="500165ED"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AP</w:t>
            </w:r>
            <w:r w:rsidRPr="003A0703">
              <w:rPr>
                <w:rFonts w:ascii="Times New Roman" w:hAnsi="Times New Roman" w:cs="Times New Roman"/>
                <w:b/>
                <w:bCs/>
                <w:lang w:val="fr-FR"/>
              </w:rPr>
              <w:t>8-10</w:t>
            </w:r>
            <w:r w:rsidRPr="003A0703">
              <w:rPr>
                <w:rFonts w:ascii="Times New Roman" w:hAnsi="Times New Roman" w:cs="Times New Roman"/>
                <w:lang w:val="fr-FR"/>
              </w:rPr>
              <w:t xml:space="preserve"> du RR</w:t>
            </w:r>
          </w:p>
        </w:tc>
      </w:tr>
      <w:tr w:rsidR="007E01A2" w:rsidRPr="003A0703" w14:paraId="5F474978"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5D11A0AB" w14:textId="2419B165" w:rsidR="007E01A2" w:rsidRPr="003A0703" w:rsidRDefault="00721F37" w:rsidP="001B4746">
            <w:pPr>
              <w:pStyle w:val="Tabletext"/>
              <w:rPr>
                <w:rFonts w:ascii="Times New Roman" w:hAnsi="Times New Roman" w:cs="Times New Roman"/>
                <w:lang w:val="fr-FR"/>
              </w:rPr>
            </w:pPr>
            <w:r w:rsidRPr="003A0703">
              <w:rPr>
                <w:rFonts w:ascii="Times New Roman" w:hAnsi="Times New Roman" w:cs="Times New Roman"/>
                <w:lang w:val="fr-FR"/>
              </w:rPr>
              <w:t>Élévation</w:t>
            </w:r>
            <w:r w:rsidR="007E01A2" w:rsidRPr="003A0703">
              <w:rPr>
                <w:rFonts w:ascii="Times New Roman" w:hAnsi="Times New Roman" w:cs="Times New Roman"/>
                <w:lang w:val="fr-FR"/>
              </w:rPr>
              <w:t xml:space="preserve"> la plus faible (degrés)</w:t>
            </w:r>
          </w:p>
        </w:tc>
        <w:tc>
          <w:tcPr>
            <w:tcW w:w="956" w:type="pct"/>
            <w:tcBorders>
              <w:top w:val="single" w:sz="4" w:space="0" w:color="auto"/>
              <w:left w:val="single" w:sz="4" w:space="0" w:color="auto"/>
              <w:bottom w:val="single" w:sz="4" w:space="0" w:color="auto"/>
              <w:right w:val="single" w:sz="4" w:space="0" w:color="auto"/>
            </w:tcBorders>
            <w:vAlign w:val="center"/>
            <w:hideMark/>
          </w:tcPr>
          <w:p w14:paraId="084DACD9"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10</w:t>
            </w:r>
          </w:p>
        </w:tc>
        <w:tc>
          <w:tcPr>
            <w:tcW w:w="1470" w:type="pct"/>
            <w:tcBorders>
              <w:top w:val="single" w:sz="4" w:space="0" w:color="auto"/>
              <w:left w:val="single" w:sz="4" w:space="0" w:color="auto"/>
              <w:bottom w:val="single" w:sz="4" w:space="0" w:color="auto"/>
              <w:right w:val="single" w:sz="4" w:space="0" w:color="auto"/>
            </w:tcBorders>
            <w:vAlign w:val="center"/>
            <w:hideMark/>
          </w:tcPr>
          <w:p w14:paraId="26ECA373"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10</w:t>
            </w:r>
          </w:p>
        </w:tc>
      </w:tr>
      <w:tr w:rsidR="007E01A2" w:rsidRPr="003A0703" w14:paraId="35BA1858"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4CDA6080"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Température de bruit (K)</w:t>
            </w:r>
          </w:p>
        </w:tc>
        <w:tc>
          <w:tcPr>
            <w:tcW w:w="956" w:type="pct"/>
            <w:tcBorders>
              <w:top w:val="single" w:sz="4" w:space="0" w:color="auto"/>
              <w:left w:val="single" w:sz="4" w:space="0" w:color="auto"/>
              <w:bottom w:val="single" w:sz="4" w:space="0" w:color="auto"/>
              <w:right w:val="single" w:sz="4" w:space="0" w:color="auto"/>
            </w:tcBorders>
            <w:vAlign w:val="center"/>
            <w:hideMark/>
          </w:tcPr>
          <w:p w14:paraId="70B4FB85"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150</w:t>
            </w:r>
          </w:p>
        </w:tc>
        <w:tc>
          <w:tcPr>
            <w:tcW w:w="1470" w:type="pct"/>
            <w:tcBorders>
              <w:top w:val="single" w:sz="4" w:space="0" w:color="auto"/>
              <w:left w:val="single" w:sz="4" w:space="0" w:color="auto"/>
              <w:bottom w:val="single" w:sz="4" w:space="0" w:color="auto"/>
              <w:right w:val="single" w:sz="4" w:space="0" w:color="auto"/>
            </w:tcBorders>
            <w:vAlign w:val="center"/>
            <w:hideMark/>
          </w:tcPr>
          <w:p w14:paraId="6A22022B"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353</w:t>
            </w:r>
          </w:p>
        </w:tc>
      </w:tr>
      <w:tr w:rsidR="007E01A2" w:rsidRPr="003A0703" w14:paraId="55793F05"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3F44B0F3"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Critère de protection Io/No (dB)</w:t>
            </w:r>
          </w:p>
        </w:tc>
        <w:tc>
          <w:tcPr>
            <w:tcW w:w="956" w:type="pct"/>
            <w:tcBorders>
              <w:top w:val="single" w:sz="4" w:space="0" w:color="auto"/>
              <w:left w:val="single" w:sz="4" w:space="0" w:color="auto"/>
              <w:bottom w:val="single" w:sz="4" w:space="0" w:color="auto"/>
              <w:right w:val="single" w:sz="4" w:space="0" w:color="auto"/>
            </w:tcBorders>
            <w:vAlign w:val="center"/>
            <w:hideMark/>
          </w:tcPr>
          <w:p w14:paraId="494530F8"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–6</w:t>
            </w:r>
          </w:p>
        </w:tc>
        <w:tc>
          <w:tcPr>
            <w:tcW w:w="1470" w:type="pct"/>
            <w:tcBorders>
              <w:top w:val="single" w:sz="4" w:space="0" w:color="auto"/>
              <w:left w:val="single" w:sz="4" w:space="0" w:color="auto"/>
              <w:bottom w:val="single" w:sz="4" w:space="0" w:color="auto"/>
              <w:right w:val="single" w:sz="4" w:space="0" w:color="auto"/>
            </w:tcBorders>
            <w:vAlign w:val="center"/>
            <w:hideMark/>
          </w:tcPr>
          <w:p w14:paraId="7E747A00"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–6</w:t>
            </w:r>
          </w:p>
        </w:tc>
      </w:tr>
      <w:tr w:rsidR="007E01A2" w:rsidRPr="003A0703" w14:paraId="5B6848E4"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277387BF"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Protection contre les brouillages (dBW/MHz)</w:t>
            </w:r>
          </w:p>
        </w:tc>
        <w:tc>
          <w:tcPr>
            <w:tcW w:w="956" w:type="pct"/>
            <w:tcBorders>
              <w:top w:val="single" w:sz="4" w:space="0" w:color="auto"/>
              <w:left w:val="single" w:sz="4" w:space="0" w:color="auto"/>
              <w:bottom w:val="single" w:sz="4" w:space="0" w:color="auto"/>
              <w:right w:val="single" w:sz="4" w:space="0" w:color="auto"/>
            </w:tcBorders>
            <w:vAlign w:val="center"/>
            <w:hideMark/>
          </w:tcPr>
          <w:p w14:paraId="162B7791"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–153</w:t>
            </w:r>
          </w:p>
        </w:tc>
        <w:tc>
          <w:tcPr>
            <w:tcW w:w="1470" w:type="pct"/>
            <w:tcBorders>
              <w:top w:val="single" w:sz="4" w:space="0" w:color="auto"/>
              <w:left w:val="single" w:sz="4" w:space="0" w:color="auto"/>
              <w:bottom w:val="single" w:sz="4" w:space="0" w:color="auto"/>
              <w:right w:val="single" w:sz="4" w:space="0" w:color="auto"/>
            </w:tcBorders>
            <w:vAlign w:val="center"/>
            <w:hideMark/>
          </w:tcPr>
          <w:p w14:paraId="1C96AC9A"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–149,1</w:t>
            </w:r>
          </w:p>
        </w:tc>
      </w:tr>
      <w:tr w:rsidR="007E01A2" w:rsidRPr="006036EE" w14:paraId="72F9A407" w14:textId="77777777" w:rsidTr="002662F2">
        <w:trPr>
          <w:jc w:val="center"/>
        </w:trPr>
        <w:tc>
          <w:tcPr>
            <w:tcW w:w="2574" w:type="pct"/>
            <w:tcBorders>
              <w:top w:val="single" w:sz="4" w:space="0" w:color="auto"/>
              <w:left w:val="single" w:sz="4" w:space="0" w:color="auto"/>
              <w:bottom w:val="single" w:sz="4" w:space="0" w:color="auto"/>
              <w:right w:val="single" w:sz="4" w:space="0" w:color="auto"/>
            </w:tcBorders>
            <w:vAlign w:val="center"/>
            <w:hideMark/>
          </w:tcPr>
          <w:p w14:paraId="4AC12E77" w14:textId="77777777" w:rsidR="007E01A2" w:rsidRPr="003A0703" w:rsidRDefault="007E01A2" w:rsidP="001B4746">
            <w:pPr>
              <w:pStyle w:val="Tabletext"/>
              <w:rPr>
                <w:rFonts w:ascii="Times New Roman" w:hAnsi="Times New Roman" w:cs="Times New Roman"/>
                <w:lang w:val="fr-FR"/>
              </w:rPr>
            </w:pPr>
            <w:r w:rsidRPr="003A0703">
              <w:rPr>
                <w:rFonts w:ascii="Times New Roman" w:hAnsi="Times New Roman" w:cs="Times New Roman"/>
                <w:lang w:val="fr-FR"/>
              </w:rPr>
              <w:t>Pourcentage de dépassement</w:t>
            </w:r>
          </w:p>
        </w:tc>
        <w:tc>
          <w:tcPr>
            <w:tcW w:w="956" w:type="pct"/>
            <w:tcBorders>
              <w:top w:val="single" w:sz="4" w:space="0" w:color="auto"/>
              <w:left w:val="single" w:sz="4" w:space="0" w:color="auto"/>
              <w:bottom w:val="single" w:sz="4" w:space="0" w:color="auto"/>
              <w:right w:val="single" w:sz="4" w:space="0" w:color="auto"/>
            </w:tcBorders>
            <w:vAlign w:val="center"/>
            <w:hideMark/>
          </w:tcPr>
          <w:p w14:paraId="70206AB0"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2%</w:t>
            </w:r>
          </w:p>
        </w:tc>
        <w:tc>
          <w:tcPr>
            <w:tcW w:w="1470" w:type="pct"/>
            <w:tcBorders>
              <w:top w:val="single" w:sz="4" w:space="0" w:color="auto"/>
              <w:left w:val="single" w:sz="4" w:space="0" w:color="auto"/>
              <w:bottom w:val="single" w:sz="4" w:space="0" w:color="auto"/>
              <w:right w:val="single" w:sz="4" w:space="0" w:color="auto"/>
            </w:tcBorders>
            <w:vAlign w:val="center"/>
            <w:hideMark/>
          </w:tcPr>
          <w:p w14:paraId="26A9CB83"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0,1% (système sans pilote)</w:t>
            </w:r>
          </w:p>
          <w:p w14:paraId="5AF137E1" w14:textId="77777777" w:rsidR="007E01A2" w:rsidRPr="003A0703" w:rsidRDefault="007E01A2" w:rsidP="00721F37">
            <w:pPr>
              <w:pStyle w:val="Tabletext"/>
              <w:jc w:val="center"/>
              <w:rPr>
                <w:rFonts w:ascii="Times New Roman" w:hAnsi="Times New Roman" w:cs="Times New Roman"/>
                <w:lang w:val="fr-FR"/>
              </w:rPr>
            </w:pPr>
            <w:r w:rsidRPr="003A0703">
              <w:rPr>
                <w:rFonts w:ascii="Times New Roman" w:hAnsi="Times New Roman" w:cs="Times New Roman"/>
                <w:lang w:val="fr-FR"/>
              </w:rPr>
              <w:t>0,001% (système avec pilote)</w:t>
            </w:r>
          </w:p>
        </w:tc>
      </w:tr>
    </w:tbl>
    <w:p w14:paraId="7310A8ED" w14:textId="77777777" w:rsidR="007E01A2" w:rsidRPr="003A0703" w:rsidRDefault="007E01A2" w:rsidP="007E01A2">
      <w:pPr>
        <w:rPr>
          <w:lang w:val="fr-FR"/>
        </w:rPr>
      </w:pPr>
      <w:r w:rsidRPr="003A0703">
        <w:rPr>
          <w:lang w:val="fr-FR"/>
        </w:rPr>
        <w:lastRenderedPageBreak/>
        <w:t xml:space="preserve">Pour le cas 2, on suppose que les émissions des systèmes SVLBI et lunaires du service de recherche spatiale satisfont aux limites de puissance surfacique fixées dans le Tableau </w:t>
      </w:r>
      <w:r w:rsidRPr="003A0703">
        <w:rPr>
          <w:b/>
          <w:bCs/>
          <w:lang w:val="fr-FR"/>
        </w:rPr>
        <w:t>21-4</w:t>
      </w:r>
      <w:r w:rsidRPr="003A0703">
        <w:rPr>
          <w:lang w:val="fr-FR"/>
        </w:rPr>
        <w:t xml:space="preserve"> du RR à la surface de la Terre pour la bande 37,5-38 GHz.</w:t>
      </w:r>
    </w:p>
    <w:p w14:paraId="612D89E7" w14:textId="77777777" w:rsidR="007E01A2" w:rsidRPr="003A0703" w:rsidRDefault="007E01A2" w:rsidP="007E01A2">
      <w:pPr>
        <w:rPr>
          <w:lang w:val="fr-FR"/>
        </w:rPr>
      </w:pPr>
      <w:r w:rsidRPr="003A0703">
        <w:rPr>
          <w:lang w:val="fr-FR"/>
        </w:rPr>
        <w:t>Dans le paragraphe présentant les résultats, on désigne par SVLBI-20, SVLBI-31 et SVLBI-65 les systèmes SVLBI en fonction de l'inclinaison de l'orbite.</w:t>
      </w:r>
    </w:p>
    <w:p w14:paraId="2B103BDC" w14:textId="77777777" w:rsidR="007E01A2" w:rsidRPr="003A0703" w:rsidRDefault="007E01A2" w:rsidP="007E01A2">
      <w:pPr>
        <w:pStyle w:val="Heading1"/>
        <w:rPr>
          <w:lang w:val="fr-FR"/>
        </w:rPr>
      </w:pPr>
      <w:r w:rsidRPr="003A0703">
        <w:rPr>
          <w:lang w:val="fr-FR"/>
        </w:rPr>
        <w:t>3</w:t>
      </w:r>
      <w:r w:rsidRPr="003A0703">
        <w:rPr>
          <w:lang w:val="fr-FR"/>
        </w:rPr>
        <w:tab/>
        <w:t>Systèmes du SFS</w:t>
      </w:r>
    </w:p>
    <w:p w14:paraId="28D531B4" w14:textId="77777777" w:rsidR="007E01A2" w:rsidRPr="003A0703" w:rsidRDefault="007E01A2" w:rsidP="007E01A2">
      <w:pPr>
        <w:rPr>
          <w:lang w:val="fr-FR"/>
        </w:rPr>
      </w:pPr>
      <w:r w:rsidRPr="003A0703">
        <w:rPr>
          <w:lang w:val="fr-FR"/>
        </w:rPr>
        <w:t>Les paramètres prévus pour les systèmes OSG et HEO du SFS sont présentés dans le Tableau 2. Ces paramètres sont utilisés pour calculer les niveaux de brouillage entre ces systèmes du SFS et les systèmes SVLBI et lunaires du service de recherche spatiale pour le cas 1.</w:t>
      </w:r>
    </w:p>
    <w:p w14:paraId="15E08482" w14:textId="77777777" w:rsidR="007E01A2" w:rsidRPr="003A0703" w:rsidRDefault="007E01A2" w:rsidP="007E01A2">
      <w:pPr>
        <w:pStyle w:val="TableNo"/>
        <w:rPr>
          <w:lang w:val="fr-FR"/>
        </w:rPr>
      </w:pPr>
      <w:r w:rsidRPr="003A0703">
        <w:rPr>
          <w:lang w:val="fr-FR"/>
        </w:rPr>
        <w:t>TABLEAU 2</w:t>
      </w:r>
    </w:p>
    <w:p w14:paraId="614838F4" w14:textId="77777777" w:rsidR="007E01A2" w:rsidRPr="003A0703" w:rsidRDefault="007E01A2" w:rsidP="007E01A2">
      <w:pPr>
        <w:pStyle w:val="Tabletitle"/>
        <w:rPr>
          <w:lang w:val="fr-FR"/>
        </w:rPr>
      </w:pPr>
      <w:r w:rsidRPr="003A0703">
        <w:rPr>
          <w:lang w:val="fr-FR"/>
        </w:rPr>
        <w:t>Paramètres prévus pour les systèmes OSG et HEO du SFS (cas 1)</w:t>
      </w:r>
    </w:p>
    <w:tbl>
      <w:tblPr>
        <w:tblStyle w:val="TableGrid"/>
        <w:tblW w:w="9645" w:type="dxa"/>
        <w:jc w:val="center"/>
        <w:tblLayout w:type="fixed"/>
        <w:tblLook w:val="04A0" w:firstRow="1" w:lastRow="0" w:firstColumn="1" w:lastColumn="0" w:noHBand="0" w:noVBand="1"/>
      </w:tblPr>
      <w:tblGrid>
        <w:gridCol w:w="3539"/>
        <w:gridCol w:w="3128"/>
        <w:gridCol w:w="2978"/>
      </w:tblGrid>
      <w:tr w:rsidR="007E01A2" w:rsidRPr="003A0703" w14:paraId="5348EC3E"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2ABDDEA8" w14:textId="77777777" w:rsidR="007E01A2" w:rsidRPr="003A0703" w:rsidRDefault="007E01A2">
            <w:pPr>
              <w:pStyle w:val="Tablehead"/>
              <w:rPr>
                <w:rFonts w:asciiTheme="majorBidi" w:hAnsiTheme="majorBidi" w:cstheme="majorBidi"/>
                <w:lang w:val="fr-FR"/>
              </w:rPr>
            </w:pPr>
            <w:r w:rsidRPr="003A0703">
              <w:rPr>
                <w:rFonts w:asciiTheme="majorBidi" w:hAnsiTheme="majorBidi" w:cstheme="majorBidi"/>
                <w:lang w:val="fr-FR"/>
              </w:rPr>
              <w:t>Paramètres</w:t>
            </w:r>
          </w:p>
        </w:tc>
        <w:tc>
          <w:tcPr>
            <w:tcW w:w="3128" w:type="dxa"/>
            <w:tcBorders>
              <w:top w:val="single" w:sz="4" w:space="0" w:color="auto"/>
              <w:left w:val="single" w:sz="4" w:space="0" w:color="auto"/>
              <w:bottom w:val="single" w:sz="4" w:space="0" w:color="auto"/>
              <w:right w:val="single" w:sz="4" w:space="0" w:color="auto"/>
            </w:tcBorders>
            <w:hideMark/>
          </w:tcPr>
          <w:p w14:paraId="511389BA" w14:textId="77777777" w:rsidR="007E01A2" w:rsidRPr="003A0703" w:rsidRDefault="007E01A2">
            <w:pPr>
              <w:pStyle w:val="Tablehead"/>
              <w:rPr>
                <w:rFonts w:asciiTheme="majorBidi" w:hAnsiTheme="majorBidi" w:cstheme="majorBidi"/>
                <w:lang w:val="fr-FR"/>
              </w:rPr>
            </w:pPr>
            <w:r w:rsidRPr="003A0703">
              <w:rPr>
                <w:rFonts w:asciiTheme="majorBidi" w:hAnsiTheme="majorBidi" w:cstheme="majorBidi"/>
                <w:lang w:val="fr-FR"/>
              </w:rPr>
              <w:t>OSG</w:t>
            </w:r>
          </w:p>
        </w:tc>
        <w:tc>
          <w:tcPr>
            <w:tcW w:w="2978" w:type="dxa"/>
            <w:tcBorders>
              <w:top w:val="single" w:sz="4" w:space="0" w:color="auto"/>
              <w:left w:val="single" w:sz="4" w:space="0" w:color="auto"/>
              <w:bottom w:val="single" w:sz="4" w:space="0" w:color="auto"/>
              <w:right w:val="single" w:sz="4" w:space="0" w:color="auto"/>
            </w:tcBorders>
            <w:hideMark/>
          </w:tcPr>
          <w:p w14:paraId="75979556" w14:textId="77777777" w:rsidR="007E01A2" w:rsidRPr="003A0703" w:rsidRDefault="007E01A2">
            <w:pPr>
              <w:pStyle w:val="Tablehead"/>
              <w:rPr>
                <w:rFonts w:asciiTheme="majorBidi" w:hAnsiTheme="majorBidi" w:cstheme="majorBidi"/>
                <w:lang w:val="fr-FR"/>
              </w:rPr>
            </w:pPr>
            <w:r w:rsidRPr="003A0703">
              <w:rPr>
                <w:rFonts w:asciiTheme="majorBidi" w:hAnsiTheme="majorBidi" w:cstheme="majorBidi"/>
                <w:lang w:val="fr-FR"/>
              </w:rPr>
              <w:t>HEO</w:t>
            </w:r>
          </w:p>
        </w:tc>
      </w:tr>
      <w:tr w:rsidR="007E01A2" w:rsidRPr="003A0703" w14:paraId="0AA799B3" w14:textId="77777777" w:rsidTr="00D34853">
        <w:trPr>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2F9BE4DC" w14:textId="77777777" w:rsidR="007E01A2" w:rsidRPr="003A0703" w:rsidRDefault="007E01A2">
            <w:pPr>
              <w:pStyle w:val="Tablehead"/>
              <w:jc w:val="left"/>
              <w:rPr>
                <w:rFonts w:asciiTheme="majorBidi" w:hAnsiTheme="majorBidi" w:cstheme="majorBidi"/>
                <w:bCs/>
                <w:lang w:val="fr-FR"/>
              </w:rPr>
            </w:pPr>
            <w:r w:rsidRPr="003A0703">
              <w:rPr>
                <w:rFonts w:asciiTheme="majorBidi" w:hAnsiTheme="majorBidi" w:cstheme="majorBidi"/>
                <w:bCs/>
                <w:lang w:val="fr-FR"/>
              </w:rPr>
              <w:t>Paramètres des stations spatiales</w:t>
            </w:r>
          </w:p>
        </w:tc>
      </w:tr>
      <w:tr w:rsidR="007E01A2" w:rsidRPr="003A0703" w14:paraId="7D9CA57C"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AC03055"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Nombre de satellites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1A0B1196"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5AE5FC4"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3</w:t>
            </w:r>
          </w:p>
        </w:tc>
      </w:tr>
      <w:tr w:rsidR="007E01A2" w:rsidRPr="003A0703" w14:paraId="6EFE505F"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D858A97"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Puissance d'émission (dBW)</w:t>
            </w:r>
          </w:p>
        </w:tc>
        <w:tc>
          <w:tcPr>
            <w:tcW w:w="3128" w:type="dxa"/>
            <w:tcBorders>
              <w:top w:val="single" w:sz="4" w:space="0" w:color="auto"/>
              <w:left w:val="single" w:sz="4" w:space="0" w:color="auto"/>
              <w:bottom w:val="single" w:sz="4" w:space="0" w:color="auto"/>
              <w:right w:val="single" w:sz="4" w:space="0" w:color="auto"/>
            </w:tcBorders>
            <w:vAlign w:val="center"/>
            <w:hideMark/>
          </w:tcPr>
          <w:p w14:paraId="0722CF80"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11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D7F12BA"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11</w:t>
            </w:r>
          </w:p>
        </w:tc>
      </w:tr>
      <w:tr w:rsidR="007E01A2" w:rsidRPr="003A0703" w14:paraId="6DA08B25"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2D5E2E72"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Gain de l'antenne (dBi)</w:t>
            </w:r>
          </w:p>
        </w:tc>
        <w:tc>
          <w:tcPr>
            <w:tcW w:w="3128" w:type="dxa"/>
            <w:tcBorders>
              <w:top w:val="single" w:sz="4" w:space="0" w:color="auto"/>
              <w:left w:val="single" w:sz="4" w:space="0" w:color="auto"/>
              <w:bottom w:val="single" w:sz="4" w:space="0" w:color="auto"/>
              <w:right w:val="single" w:sz="4" w:space="0" w:color="auto"/>
            </w:tcBorders>
            <w:vAlign w:val="center"/>
            <w:hideMark/>
          </w:tcPr>
          <w:p w14:paraId="11288E7A"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53</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BEEA799"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53</w:t>
            </w:r>
          </w:p>
        </w:tc>
      </w:tr>
      <w:tr w:rsidR="007E01A2" w:rsidRPr="003A0703" w14:paraId="5D30CCC9"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4307003B"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Largeur de bande occupée (MHz)</w:t>
            </w:r>
          </w:p>
        </w:tc>
        <w:tc>
          <w:tcPr>
            <w:tcW w:w="3128" w:type="dxa"/>
            <w:tcBorders>
              <w:top w:val="single" w:sz="4" w:space="0" w:color="auto"/>
              <w:left w:val="single" w:sz="4" w:space="0" w:color="auto"/>
              <w:bottom w:val="single" w:sz="4" w:space="0" w:color="auto"/>
              <w:right w:val="single" w:sz="4" w:space="0" w:color="auto"/>
            </w:tcBorders>
            <w:vAlign w:val="center"/>
            <w:hideMark/>
          </w:tcPr>
          <w:p w14:paraId="7EA09F96"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500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3173A9F"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500</w:t>
            </w:r>
          </w:p>
        </w:tc>
      </w:tr>
      <w:tr w:rsidR="007E01A2" w:rsidRPr="003A0703" w14:paraId="14581293"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42D31EF"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Densité de p.i.r.e. maximale à l'émission (dBW/MHz)</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4E15B6A"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37</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47CD730"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37</w:t>
            </w:r>
          </w:p>
        </w:tc>
      </w:tr>
      <w:tr w:rsidR="007E01A2" w:rsidRPr="003A0703" w14:paraId="0AEF3C61" w14:textId="77777777" w:rsidTr="00D34853">
        <w:trPr>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14:paraId="11CD457B" w14:textId="77777777" w:rsidR="007E01A2" w:rsidRPr="003A0703" w:rsidRDefault="007E01A2">
            <w:pPr>
              <w:pStyle w:val="Tablehead"/>
              <w:jc w:val="left"/>
              <w:rPr>
                <w:rFonts w:asciiTheme="majorBidi" w:hAnsiTheme="majorBidi" w:cstheme="majorBidi"/>
                <w:bCs/>
                <w:lang w:val="fr-FR"/>
              </w:rPr>
            </w:pPr>
            <w:r w:rsidRPr="003A0703">
              <w:rPr>
                <w:rFonts w:asciiTheme="majorBidi" w:hAnsiTheme="majorBidi" w:cstheme="majorBidi"/>
                <w:bCs/>
                <w:lang w:val="fr-FR"/>
              </w:rPr>
              <w:t>Paramètres des stations terriennes</w:t>
            </w:r>
          </w:p>
        </w:tc>
      </w:tr>
      <w:tr w:rsidR="007E01A2" w:rsidRPr="003A0703" w14:paraId="4C1A0CA2"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16EC0DAA"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Gain de l'antenne (dB)</w:t>
            </w:r>
          </w:p>
        </w:tc>
        <w:tc>
          <w:tcPr>
            <w:tcW w:w="3128" w:type="dxa"/>
            <w:tcBorders>
              <w:top w:val="single" w:sz="4" w:space="0" w:color="auto"/>
              <w:left w:val="single" w:sz="4" w:space="0" w:color="auto"/>
              <w:bottom w:val="single" w:sz="4" w:space="0" w:color="auto"/>
              <w:right w:val="single" w:sz="4" w:space="0" w:color="auto"/>
            </w:tcBorders>
            <w:vAlign w:val="center"/>
            <w:hideMark/>
          </w:tcPr>
          <w:p w14:paraId="78D4DD9D"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58,9</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946CC58"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58,9</w:t>
            </w:r>
          </w:p>
        </w:tc>
      </w:tr>
      <w:tr w:rsidR="007E01A2" w:rsidRPr="003A0703" w14:paraId="1D28C9B7"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1E637354"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 xml:space="preserve">Diagramme de gain </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84C1423"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Recommandation UIT-R S.465</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9AD6C83"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Recommandation UIT-R S.465</w:t>
            </w:r>
          </w:p>
        </w:tc>
      </w:tr>
      <w:tr w:rsidR="007E01A2" w:rsidRPr="003A0703" w14:paraId="166C978A"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40CF2914" w14:textId="0EC47033" w:rsidR="007E01A2" w:rsidRPr="003A0703" w:rsidRDefault="00D34853">
            <w:pPr>
              <w:pStyle w:val="Tabletext"/>
              <w:jc w:val="left"/>
              <w:rPr>
                <w:rFonts w:asciiTheme="majorBidi" w:hAnsiTheme="majorBidi" w:cstheme="majorBidi"/>
                <w:lang w:val="fr-FR"/>
              </w:rPr>
            </w:pPr>
            <w:r w:rsidRPr="003A0703">
              <w:rPr>
                <w:rFonts w:asciiTheme="majorBidi" w:hAnsiTheme="majorBidi" w:cstheme="majorBidi"/>
                <w:lang w:val="fr-FR"/>
              </w:rPr>
              <w:t>Élévation</w:t>
            </w:r>
            <w:r w:rsidR="007E01A2" w:rsidRPr="003A0703">
              <w:rPr>
                <w:rFonts w:asciiTheme="majorBidi" w:hAnsiTheme="majorBidi" w:cstheme="majorBidi"/>
                <w:lang w:val="fr-FR"/>
              </w:rPr>
              <w:t xml:space="preserve"> la plus faible (degrés)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667B590"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3AD323A"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10</w:t>
            </w:r>
          </w:p>
        </w:tc>
      </w:tr>
      <w:tr w:rsidR="007E01A2" w:rsidRPr="003A0703" w14:paraId="6F33F746"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EFE5303"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Température de bruit (K)</w:t>
            </w:r>
          </w:p>
        </w:tc>
        <w:tc>
          <w:tcPr>
            <w:tcW w:w="3128" w:type="dxa"/>
            <w:tcBorders>
              <w:top w:val="single" w:sz="4" w:space="0" w:color="auto"/>
              <w:left w:val="single" w:sz="4" w:space="0" w:color="auto"/>
              <w:bottom w:val="single" w:sz="4" w:space="0" w:color="auto"/>
              <w:right w:val="single" w:sz="4" w:space="0" w:color="auto"/>
            </w:tcBorders>
            <w:vAlign w:val="center"/>
            <w:hideMark/>
          </w:tcPr>
          <w:p w14:paraId="5DC377AC"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343</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ED2FCAB"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340</w:t>
            </w:r>
          </w:p>
        </w:tc>
      </w:tr>
      <w:tr w:rsidR="007E01A2" w:rsidRPr="003A0703" w14:paraId="6B5B15FD"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7A21963"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Critère de protection Io/No (dB)</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0B4C69A"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233E168"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0</w:t>
            </w:r>
          </w:p>
        </w:tc>
      </w:tr>
      <w:tr w:rsidR="007E01A2" w:rsidRPr="003A0703" w14:paraId="6E59A411"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2067887E"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Protection contre les brouillages (dBW/MHz)</w:t>
            </w:r>
          </w:p>
        </w:tc>
        <w:tc>
          <w:tcPr>
            <w:tcW w:w="3128" w:type="dxa"/>
            <w:tcBorders>
              <w:top w:val="single" w:sz="4" w:space="0" w:color="auto"/>
              <w:left w:val="single" w:sz="4" w:space="0" w:color="auto"/>
              <w:bottom w:val="single" w:sz="4" w:space="0" w:color="auto"/>
              <w:right w:val="single" w:sz="4" w:space="0" w:color="auto"/>
            </w:tcBorders>
            <w:vAlign w:val="center"/>
            <w:hideMark/>
          </w:tcPr>
          <w:p w14:paraId="3EEC0DBC"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−143</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0D7B579"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−143</w:t>
            </w:r>
          </w:p>
        </w:tc>
      </w:tr>
      <w:tr w:rsidR="007E01A2" w:rsidRPr="003A0703" w14:paraId="3D167896" w14:textId="77777777" w:rsidTr="00D3485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FF81A75" w14:textId="77777777" w:rsidR="007E01A2" w:rsidRPr="003A0703" w:rsidRDefault="007E01A2">
            <w:pPr>
              <w:pStyle w:val="Tabletext"/>
              <w:jc w:val="left"/>
              <w:rPr>
                <w:rFonts w:asciiTheme="majorBidi" w:hAnsiTheme="majorBidi" w:cstheme="majorBidi"/>
                <w:lang w:val="fr-FR"/>
              </w:rPr>
            </w:pPr>
            <w:r w:rsidRPr="003A0703">
              <w:rPr>
                <w:rFonts w:asciiTheme="majorBidi" w:hAnsiTheme="majorBidi" w:cstheme="majorBidi"/>
                <w:lang w:val="fr-FR"/>
              </w:rPr>
              <w:t>Pourcentage de dépassement</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C1BF0AA"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0,005%</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6EC94D6" w14:textId="77777777" w:rsidR="007E01A2" w:rsidRPr="003A0703" w:rsidRDefault="007E01A2">
            <w:pPr>
              <w:pStyle w:val="Tabletext"/>
              <w:jc w:val="center"/>
              <w:rPr>
                <w:rFonts w:asciiTheme="majorBidi" w:hAnsiTheme="majorBidi" w:cstheme="majorBidi"/>
                <w:lang w:val="fr-FR"/>
              </w:rPr>
            </w:pPr>
            <w:r w:rsidRPr="003A0703">
              <w:rPr>
                <w:rFonts w:asciiTheme="majorBidi" w:hAnsiTheme="majorBidi" w:cstheme="majorBidi"/>
                <w:lang w:val="fr-FR"/>
              </w:rPr>
              <w:t>0,005%</w:t>
            </w:r>
          </w:p>
        </w:tc>
      </w:tr>
    </w:tbl>
    <w:p w14:paraId="221CD7BA" w14:textId="77777777" w:rsidR="007E01A2" w:rsidRPr="003A0703" w:rsidRDefault="007E01A2" w:rsidP="007E01A2">
      <w:pPr>
        <w:pStyle w:val="Tablefin"/>
        <w:rPr>
          <w:lang w:val="fr-FR"/>
        </w:rPr>
      </w:pPr>
    </w:p>
    <w:p w14:paraId="434AA1FC" w14:textId="77777777" w:rsidR="00721F37" w:rsidRPr="003A0703" w:rsidRDefault="007E01A2" w:rsidP="001B4746">
      <w:pPr>
        <w:rPr>
          <w:lang w:val="fr-FR"/>
        </w:rPr>
      </w:pPr>
      <w:r w:rsidRPr="003A0703">
        <w:rPr>
          <w:lang w:val="fr-FR"/>
        </w:rPr>
        <w:t xml:space="preserve">Pour le cas 2, on suppose que les émissions des systèmes OSG et HEO du SFS satisfont aux limites de puissance surfacique fixées dans le Tableau </w:t>
      </w:r>
      <w:r w:rsidRPr="003A0703">
        <w:rPr>
          <w:b/>
          <w:bCs/>
          <w:lang w:val="fr-FR"/>
        </w:rPr>
        <w:t>21-4</w:t>
      </w:r>
      <w:r w:rsidRPr="003A0703">
        <w:rPr>
          <w:lang w:val="fr-FR"/>
        </w:rPr>
        <w:t xml:space="preserve"> du RR à la surface de la Terre pour la bande 37,5</w:t>
      </w:r>
      <w:r w:rsidRPr="003A0703">
        <w:rPr>
          <w:lang w:val="fr-FR"/>
        </w:rPr>
        <w:noBreakHyphen/>
        <w:t>38 GHz.</w:t>
      </w:r>
    </w:p>
    <w:p w14:paraId="54751980" w14:textId="77777777" w:rsidR="007E01A2" w:rsidRPr="003A0703" w:rsidRDefault="007E01A2" w:rsidP="00D34853">
      <w:pPr>
        <w:pStyle w:val="TableNo"/>
        <w:keepLines/>
        <w:rPr>
          <w:lang w:val="fr-FR"/>
        </w:rPr>
      </w:pPr>
      <w:r w:rsidRPr="003A0703">
        <w:rPr>
          <w:lang w:val="fr-FR"/>
        </w:rPr>
        <w:lastRenderedPageBreak/>
        <w:t>TABLEAU 3</w:t>
      </w:r>
    </w:p>
    <w:p w14:paraId="2B6018B2" w14:textId="77777777" w:rsidR="007E01A2" w:rsidRPr="003A0703" w:rsidRDefault="007E01A2" w:rsidP="00D34853">
      <w:pPr>
        <w:pStyle w:val="Tabletitle"/>
        <w:keepLines/>
        <w:rPr>
          <w:lang w:val="fr-FR"/>
        </w:rPr>
      </w:pPr>
      <w:bookmarkStart w:id="18" w:name="_Toc82701999"/>
      <w:bookmarkStart w:id="19" w:name="_Toc82702183"/>
      <w:r w:rsidRPr="003A0703">
        <w:rPr>
          <w:lang w:val="fr-FR"/>
        </w:rPr>
        <w:t xml:space="preserve">Caractéristiques orbitales prévues pour les systèmes LEO et MEO </w:t>
      </w:r>
      <w:bookmarkEnd w:id="18"/>
      <w:bookmarkEnd w:id="19"/>
      <w:r w:rsidRPr="003A0703">
        <w:rPr>
          <w:lang w:val="fr-FR"/>
        </w:rPr>
        <w:t>du SFS</w:t>
      </w:r>
    </w:p>
    <w:tbl>
      <w:tblPr>
        <w:tblW w:w="9645" w:type="dxa"/>
        <w:jc w:val="center"/>
        <w:tblLayout w:type="fixed"/>
        <w:tblCellMar>
          <w:left w:w="57" w:type="dxa"/>
          <w:right w:w="57" w:type="dxa"/>
        </w:tblCellMar>
        <w:tblLook w:val="04A0" w:firstRow="1" w:lastRow="0" w:firstColumn="1" w:lastColumn="0" w:noHBand="0" w:noVBand="1"/>
      </w:tblPr>
      <w:tblGrid>
        <w:gridCol w:w="2689"/>
        <w:gridCol w:w="1275"/>
        <w:gridCol w:w="993"/>
        <w:gridCol w:w="2126"/>
        <w:gridCol w:w="1275"/>
        <w:gridCol w:w="1287"/>
      </w:tblGrid>
      <w:tr w:rsidR="00D34853" w:rsidRPr="003A0703" w14:paraId="7E948D4F" w14:textId="77777777" w:rsidTr="00D34853">
        <w:trPr>
          <w:tblHeader/>
          <w:jc w:val="center"/>
        </w:trPr>
        <w:tc>
          <w:tcPr>
            <w:tcW w:w="1394" w:type="pct"/>
            <w:tcBorders>
              <w:top w:val="single" w:sz="4" w:space="0" w:color="auto"/>
              <w:left w:val="single" w:sz="4" w:space="0" w:color="auto"/>
              <w:bottom w:val="single" w:sz="4" w:space="0" w:color="auto"/>
              <w:right w:val="single" w:sz="4" w:space="0" w:color="auto"/>
            </w:tcBorders>
            <w:vAlign w:val="center"/>
            <w:hideMark/>
          </w:tcPr>
          <w:p w14:paraId="20A02C4C" w14:textId="77777777" w:rsidR="007E01A2" w:rsidRPr="003A0703" w:rsidRDefault="007E01A2" w:rsidP="00D34853">
            <w:pPr>
              <w:pStyle w:val="Tablehead"/>
              <w:keepLines/>
              <w:rPr>
                <w:szCs w:val="22"/>
                <w:lang w:val="fr-FR"/>
              </w:rPr>
            </w:pPr>
            <w:r w:rsidRPr="003A0703">
              <w:rPr>
                <w:szCs w:val="22"/>
                <w:lang w:val="fr-FR"/>
              </w:rPr>
              <w:t>Constellation</w:t>
            </w:r>
          </w:p>
        </w:tc>
        <w:tc>
          <w:tcPr>
            <w:tcW w:w="661" w:type="pct"/>
            <w:tcBorders>
              <w:top w:val="single" w:sz="4" w:space="0" w:color="auto"/>
              <w:left w:val="single" w:sz="4" w:space="0" w:color="auto"/>
              <w:bottom w:val="single" w:sz="4" w:space="0" w:color="auto"/>
              <w:right w:val="single" w:sz="4" w:space="0" w:color="auto"/>
            </w:tcBorders>
            <w:vAlign w:val="center"/>
            <w:hideMark/>
          </w:tcPr>
          <w:p w14:paraId="3BD02BF6" w14:textId="77777777" w:rsidR="007E01A2" w:rsidRPr="003A0703" w:rsidRDefault="007E01A2" w:rsidP="00D34853">
            <w:pPr>
              <w:pStyle w:val="Tablehead"/>
              <w:keepLines/>
              <w:rPr>
                <w:szCs w:val="22"/>
                <w:lang w:val="fr-FR"/>
              </w:rPr>
            </w:pPr>
            <w:r w:rsidRPr="003A0703">
              <w:rPr>
                <w:szCs w:val="22"/>
                <w:lang w:val="fr-FR"/>
              </w:rPr>
              <w:t xml:space="preserve">Inclinaison </w:t>
            </w:r>
            <w:r w:rsidRPr="003A0703">
              <w:rPr>
                <w:szCs w:val="22"/>
                <w:lang w:val="fr-FR"/>
              </w:rPr>
              <w:br/>
              <w:t>(degrés)</w:t>
            </w:r>
          </w:p>
        </w:tc>
        <w:tc>
          <w:tcPr>
            <w:tcW w:w="515" w:type="pct"/>
            <w:tcBorders>
              <w:top w:val="single" w:sz="4" w:space="0" w:color="auto"/>
              <w:left w:val="single" w:sz="4" w:space="0" w:color="auto"/>
              <w:bottom w:val="single" w:sz="4" w:space="0" w:color="auto"/>
              <w:right w:val="single" w:sz="4" w:space="0" w:color="auto"/>
            </w:tcBorders>
            <w:vAlign w:val="center"/>
            <w:hideMark/>
          </w:tcPr>
          <w:p w14:paraId="3C3359BA" w14:textId="77777777" w:rsidR="007E01A2" w:rsidRPr="003A0703" w:rsidRDefault="007E01A2" w:rsidP="00D34853">
            <w:pPr>
              <w:pStyle w:val="Tablehead"/>
              <w:keepLines/>
              <w:rPr>
                <w:szCs w:val="22"/>
                <w:lang w:val="fr-FR"/>
              </w:rPr>
            </w:pPr>
            <w:r w:rsidRPr="003A0703">
              <w:rPr>
                <w:szCs w:val="22"/>
                <w:lang w:val="fr-FR"/>
              </w:rPr>
              <w:t xml:space="preserve">Altitude </w:t>
            </w:r>
            <w:r w:rsidRPr="003A0703">
              <w:rPr>
                <w:szCs w:val="22"/>
                <w:lang w:val="fr-FR"/>
              </w:rPr>
              <w:br/>
              <w:t>(km)</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9061ADA" w14:textId="77777777" w:rsidR="007E01A2" w:rsidRPr="003A0703" w:rsidRDefault="007E01A2" w:rsidP="00D34853">
            <w:pPr>
              <w:pStyle w:val="Tablehead"/>
              <w:keepLines/>
              <w:rPr>
                <w:szCs w:val="22"/>
                <w:lang w:val="fr-FR"/>
              </w:rPr>
            </w:pPr>
            <w:r w:rsidRPr="003A0703">
              <w:rPr>
                <w:szCs w:val="22"/>
                <w:lang w:val="fr-FR"/>
              </w:rPr>
              <w:t>Nombre de plans</w:t>
            </w:r>
          </w:p>
        </w:tc>
        <w:tc>
          <w:tcPr>
            <w:tcW w:w="661" w:type="pct"/>
            <w:tcBorders>
              <w:top w:val="single" w:sz="4" w:space="0" w:color="auto"/>
              <w:left w:val="single" w:sz="4" w:space="0" w:color="auto"/>
              <w:bottom w:val="single" w:sz="4" w:space="0" w:color="auto"/>
              <w:right w:val="single" w:sz="4" w:space="0" w:color="auto"/>
            </w:tcBorders>
            <w:vAlign w:val="center"/>
            <w:hideMark/>
          </w:tcPr>
          <w:p w14:paraId="1A40CE5A" w14:textId="77777777" w:rsidR="007E01A2" w:rsidRPr="003A0703" w:rsidRDefault="007E01A2" w:rsidP="00D34853">
            <w:pPr>
              <w:pStyle w:val="Tablehead"/>
              <w:keepLines/>
              <w:rPr>
                <w:szCs w:val="22"/>
                <w:lang w:val="fr-FR"/>
              </w:rPr>
            </w:pPr>
            <w:r w:rsidRPr="003A0703">
              <w:rPr>
                <w:szCs w:val="22"/>
                <w:lang w:val="fr-FR"/>
              </w:rPr>
              <w:t>Nombre de satellites/</w:t>
            </w:r>
            <w:r w:rsidRPr="003A0703">
              <w:rPr>
                <w:szCs w:val="22"/>
                <w:lang w:val="fr-FR"/>
              </w:rPr>
              <w:br/>
              <w:t>plan</w:t>
            </w:r>
          </w:p>
        </w:tc>
        <w:tc>
          <w:tcPr>
            <w:tcW w:w="667" w:type="pct"/>
            <w:tcBorders>
              <w:top w:val="single" w:sz="4" w:space="0" w:color="auto"/>
              <w:left w:val="single" w:sz="4" w:space="0" w:color="auto"/>
              <w:bottom w:val="single" w:sz="4" w:space="0" w:color="auto"/>
              <w:right w:val="single" w:sz="4" w:space="0" w:color="auto"/>
            </w:tcBorders>
            <w:vAlign w:val="center"/>
            <w:hideMark/>
          </w:tcPr>
          <w:p w14:paraId="43390C2A" w14:textId="77777777" w:rsidR="007E01A2" w:rsidRPr="003A0703" w:rsidRDefault="007E01A2" w:rsidP="00D34853">
            <w:pPr>
              <w:pStyle w:val="Tablehead"/>
              <w:keepLines/>
              <w:rPr>
                <w:szCs w:val="22"/>
                <w:lang w:val="fr-FR"/>
              </w:rPr>
            </w:pPr>
            <w:r w:rsidRPr="003A0703">
              <w:rPr>
                <w:szCs w:val="22"/>
                <w:lang w:val="fr-FR"/>
              </w:rPr>
              <w:t>Nombre total de satellites</w:t>
            </w:r>
          </w:p>
        </w:tc>
      </w:tr>
      <w:tr w:rsidR="00D34853" w:rsidRPr="003A0703" w14:paraId="328EA50B" w14:textId="77777777" w:rsidTr="00D34853">
        <w:trPr>
          <w:jc w:val="center"/>
        </w:trPr>
        <w:tc>
          <w:tcPr>
            <w:tcW w:w="1394" w:type="pct"/>
            <w:vMerge w:val="restart"/>
            <w:tcBorders>
              <w:top w:val="single" w:sz="4" w:space="0" w:color="auto"/>
              <w:left w:val="single" w:sz="4" w:space="0" w:color="auto"/>
              <w:bottom w:val="single" w:sz="4" w:space="0" w:color="auto"/>
              <w:right w:val="single" w:sz="4" w:space="0" w:color="auto"/>
            </w:tcBorders>
            <w:vAlign w:val="center"/>
            <w:hideMark/>
          </w:tcPr>
          <w:p w14:paraId="23FDF8AD" w14:textId="2A471656" w:rsidR="007E01A2" w:rsidRPr="003A0703" w:rsidRDefault="007E01A2" w:rsidP="00D34853">
            <w:pPr>
              <w:pStyle w:val="Tabletext"/>
              <w:keepNext/>
              <w:keepLines/>
              <w:jc w:val="left"/>
              <w:rPr>
                <w:szCs w:val="22"/>
                <w:lang w:val="fr-FR"/>
              </w:rPr>
            </w:pPr>
            <w:r w:rsidRPr="003A0703">
              <w:rPr>
                <w:szCs w:val="22"/>
                <w:lang w:val="fr-FR"/>
              </w:rPr>
              <w:t>N</w:t>
            </w:r>
            <w:r w:rsidR="003A3EF6" w:rsidRPr="003A0703">
              <w:rPr>
                <w:szCs w:val="22"/>
                <w:lang w:val="fr-FR"/>
              </w:rPr>
              <w:t>° </w:t>
            </w:r>
            <w:r w:rsidRPr="003A0703">
              <w:rPr>
                <w:szCs w:val="22"/>
                <w:lang w:val="fr-FR"/>
              </w:rPr>
              <w:t>1 (LEO à 1 200 km)</w:t>
            </w:r>
          </w:p>
        </w:tc>
        <w:tc>
          <w:tcPr>
            <w:tcW w:w="661" w:type="pct"/>
            <w:tcBorders>
              <w:top w:val="single" w:sz="4" w:space="0" w:color="auto"/>
              <w:left w:val="single" w:sz="4" w:space="0" w:color="auto"/>
              <w:bottom w:val="single" w:sz="4" w:space="0" w:color="auto"/>
              <w:right w:val="single" w:sz="4" w:space="0" w:color="auto"/>
            </w:tcBorders>
            <w:vAlign w:val="center"/>
            <w:hideMark/>
          </w:tcPr>
          <w:p w14:paraId="6139CAC1" w14:textId="77777777" w:rsidR="007E01A2" w:rsidRPr="003A0703" w:rsidRDefault="007E01A2" w:rsidP="00D34853">
            <w:pPr>
              <w:pStyle w:val="Tabletext"/>
              <w:keepNext/>
              <w:keepLines/>
              <w:jc w:val="center"/>
              <w:rPr>
                <w:szCs w:val="22"/>
                <w:lang w:val="fr-FR"/>
              </w:rPr>
            </w:pPr>
            <w:r w:rsidRPr="003A0703">
              <w:rPr>
                <w:szCs w:val="22"/>
                <w:lang w:val="fr-FR"/>
              </w:rPr>
              <w:t>87,9</w:t>
            </w:r>
          </w:p>
        </w:tc>
        <w:tc>
          <w:tcPr>
            <w:tcW w:w="515" w:type="pct"/>
            <w:tcBorders>
              <w:top w:val="single" w:sz="4" w:space="0" w:color="auto"/>
              <w:left w:val="single" w:sz="4" w:space="0" w:color="auto"/>
              <w:bottom w:val="single" w:sz="4" w:space="0" w:color="auto"/>
              <w:right w:val="single" w:sz="4" w:space="0" w:color="auto"/>
            </w:tcBorders>
            <w:vAlign w:val="center"/>
            <w:hideMark/>
          </w:tcPr>
          <w:p w14:paraId="01243A04" w14:textId="77777777" w:rsidR="007E01A2" w:rsidRPr="003A0703" w:rsidRDefault="007E01A2" w:rsidP="00D34853">
            <w:pPr>
              <w:pStyle w:val="Tabletext"/>
              <w:keepNext/>
              <w:keepLines/>
              <w:jc w:val="center"/>
              <w:rPr>
                <w:szCs w:val="22"/>
                <w:lang w:val="fr-FR"/>
              </w:rPr>
            </w:pPr>
            <w:r w:rsidRPr="003A0703">
              <w:rPr>
                <w:szCs w:val="22"/>
                <w:lang w:val="fr-FR"/>
              </w:rPr>
              <w:t>1 200</w:t>
            </w:r>
          </w:p>
        </w:tc>
        <w:tc>
          <w:tcPr>
            <w:tcW w:w="1102" w:type="pct"/>
            <w:tcBorders>
              <w:top w:val="single" w:sz="4" w:space="0" w:color="auto"/>
              <w:left w:val="single" w:sz="4" w:space="0" w:color="auto"/>
              <w:bottom w:val="single" w:sz="4" w:space="0" w:color="auto"/>
              <w:right w:val="single" w:sz="4" w:space="0" w:color="auto"/>
            </w:tcBorders>
            <w:vAlign w:val="center"/>
            <w:hideMark/>
          </w:tcPr>
          <w:p w14:paraId="65D24E25" w14:textId="77777777" w:rsidR="007E01A2" w:rsidRPr="003A0703" w:rsidRDefault="007E01A2" w:rsidP="00D34853">
            <w:pPr>
              <w:pStyle w:val="Tabletext"/>
              <w:keepNext/>
              <w:keepLines/>
              <w:jc w:val="center"/>
              <w:rPr>
                <w:szCs w:val="22"/>
                <w:lang w:val="fr-FR"/>
              </w:rPr>
            </w:pPr>
            <w:r w:rsidRPr="003A0703">
              <w:rPr>
                <w:szCs w:val="22"/>
                <w:lang w:val="fr-FR"/>
              </w:rPr>
              <w:t>36 (répartis sur 180°)</w:t>
            </w:r>
          </w:p>
        </w:tc>
        <w:tc>
          <w:tcPr>
            <w:tcW w:w="661" w:type="pct"/>
            <w:tcBorders>
              <w:top w:val="single" w:sz="4" w:space="0" w:color="auto"/>
              <w:left w:val="single" w:sz="4" w:space="0" w:color="auto"/>
              <w:bottom w:val="single" w:sz="4" w:space="0" w:color="auto"/>
              <w:right w:val="single" w:sz="4" w:space="0" w:color="auto"/>
            </w:tcBorders>
            <w:vAlign w:val="center"/>
            <w:hideMark/>
          </w:tcPr>
          <w:p w14:paraId="500CBF1A" w14:textId="77777777" w:rsidR="007E01A2" w:rsidRPr="003A0703" w:rsidRDefault="007E01A2" w:rsidP="00D34853">
            <w:pPr>
              <w:pStyle w:val="Tabletext"/>
              <w:keepNext/>
              <w:keepLines/>
              <w:jc w:val="center"/>
              <w:rPr>
                <w:szCs w:val="22"/>
                <w:lang w:val="fr-FR"/>
              </w:rPr>
            </w:pPr>
            <w:r w:rsidRPr="003A0703">
              <w:rPr>
                <w:szCs w:val="22"/>
                <w:lang w:val="fr-FR"/>
              </w:rPr>
              <w:t>49</w:t>
            </w:r>
          </w:p>
        </w:tc>
        <w:tc>
          <w:tcPr>
            <w:tcW w:w="667" w:type="pct"/>
            <w:tcBorders>
              <w:top w:val="single" w:sz="4" w:space="0" w:color="auto"/>
              <w:left w:val="single" w:sz="4" w:space="0" w:color="auto"/>
              <w:bottom w:val="single" w:sz="4" w:space="0" w:color="auto"/>
              <w:right w:val="single" w:sz="4" w:space="0" w:color="auto"/>
            </w:tcBorders>
            <w:vAlign w:val="center"/>
            <w:hideMark/>
          </w:tcPr>
          <w:p w14:paraId="140C2FB3" w14:textId="77777777" w:rsidR="007E01A2" w:rsidRPr="003A0703" w:rsidRDefault="007E01A2" w:rsidP="00D34853">
            <w:pPr>
              <w:pStyle w:val="Tabletext"/>
              <w:keepNext/>
              <w:keepLines/>
              <w:jc w:val="center"/>
              <w:rPr>
                <w:szCs w:val="22"/>
                <w:lang w:val="fr-FR"/>
              </w:rPr>
            </w:pPr>
            <w:r w:rsidRPr="003A0703">
              <w:rPr>
                <w:szCs w:val="22"/>
                <w:lang w:val="fr-FR"/>
              </w:rPr>
              <w:t>1 764</w:t>
            </w:r>
          </w:p>
        </w:tc>
      </w:tr>
      <w:tr w:rsidR="00D34853" w:rsidRPr="003A0703" w14:paraId="11EF9A26" w14:textId="77777777" w:rsidTr="00D34853">
        <w:trPr>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14:paraId="255E679F" w14:textId="77777777" w:rsidR="007E01A2" w:rsidRPr="003A0703" w:rsidRDefault="007E01A2" w:rsidP="00D34853">
            <w:pPr>
              <w:pStyle w:val="Tabletext"/>
              <w:keepNext/>
              <w:keepLines/>
              <w:jc w:val="left"/>
              <w:rPr>
                <w:szCs w:val="22"/>
                <w:lang w:val="fr-FR"/>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1BA0353" w14:textId="77777777" w:rsidR="007E01A2" w:rsidRPr="003A0703" w:rsidRDefault="007E01A2" w:rsidP="00D34853">
            <w:pPr>
              <w:pStyle w:val="Tabletext"/>
              <w:keepNext/>
              <w:keepLines/>
              <w:jc w:val="center"/>
              <w:rPr>
                <w:szCs w:val="22"/>
                <w:lang w:val="fr-FR"/>
              </w:rPr>
            </w:pPr>
            <w:r w:rsidRPr="003A0703">
              <w:rPr>
                <w:szCs w:val="22"/>
                <w:lang w:val="fr-FR"/>
              </w:rPr>
              <w:t>55</w:t>
            </w:r>
          </w:p>
        </w:tc>
        <w:tc>
          <w:tcPr>
            <w:tcW w:w="515" w:type="pct"/>
            <w:tcBorders>
              <w:top w:val="single" w:sz="4" w:space="0" w:color="auto"/>
              <w:left w:val="single" w:sz="4" w:space="0" w:color="auto"/>
              <w:bottom w:val="single" w:sz="4" w:space="0" w:color="auto"/>
              <w:right w:val="single" w:sz="4" w:space="0" w:color="auto"/>
            </w:tcBorders>
            <w:vAlign w:val="center"/>
            <w:hideMark/>
          </w:tcPr>
          <w:p w14:paraId="481E4258" w14:textId="77777777" w:rsidR="007E01A2" w:rsidRPr="003A0703" w:rsidRDefault="007E01A2" w:rsidP="00D34853">
            <w:pPr>
              <w:pStyle w:val="Tabletext"/>
              <w:keepNext/>
              <w:keepLines/>
              <w:jc w:val="center"/>
              <w:rPr>
                <w:szCs w:val="22"/>
                <w:lang w:val="fr-FR"/>
              </w:rPr>
            </w:pPr>
            <w:r w:rsidRPr="003A0703">
              <w:rPr>
                <w:szCs w:val="22"/>
                <w:lang w:val="fr-FR"/>
              </w:rPr>
              <w:t>1 200</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BE416D7" w14:textId="77777777" w:rsidR="007E01A2" w:rsidRPr="003A0703" w:rsidRDefault="007E01A2" w:rsidP="00D34853">
            <w:pPr>
              <w:pStyle w:val="Tabletext"/>
              <w:keepNext/>
              <w:keepLines/>
              <w:jc w:val="center"/>
              <w:rPr>
                <w:szCs w:val="22"/>
                <w:lang w:val="fr-FR"/>
              </w:rPr>
            </w:pPr>
            <w:r w:rsidRPr="003A0703">
              <w:rPr>
                <w:szCs w:val="22"/>
                <w:lang w:val="fr-FR"/>
              </w:rPr>
              <w:t>32 (répartis sur 360°)</w:t>
            </w:r>
          </w:p>
        </w:tc>
        <w:tc>
          <w:tcPr>
            <w:tcW w:w="661" w:type="pct"/>
            <w:tcBorders>
              <w:top w:val="single" w:sz="4" w:space="0" w:color="auto"/>
              <w:left w:val="single" w:sz="4" w:space="0" w:color="auto"/>
              <w:bottom w:val="single" w:sz="4" w:space="0" w:color="auto"/>
              <w:right w:val="single" w:sz="4" w:space="0" w:color="auto"/>
            </w:tcBorders>
            <w:vAlign w:val="center"/>
            <w:hideMark/>
          </w:tcPr>
          <w:p w14:paraId="084D0D07" w14:textId="77777777" w:rsidR="007E01A2" w:rsidRPr="003A0703" w:rsidRDefault="007E01A2" w:rsidP="00D34853">
            <w:pPr>
              <w:pStyle w:val="Tabletext"/>
              <w:keepNext/>
              <w:keepLines/>
              <w:jc w:val="center"/>
              <w:rPr>
                <w:szCs w:val="22"/>
                <w:lang w:val="fr-FR"/>
              </w:rPr>
            </w:pPr>
            <w:r w:rsidRPr="003A0703">
              <w:rPr>
                <w:szCs w:val="22"/>
                <w:lang w:val="fr-FR"/>
              </w:rPr>
              <w:t>50</w:t>
            </w:r>
          </w:p>
        </w:tc>
        <w:tc>
          <w:tcPr>
            <w:tcW w:w="667" w:type="pct"/>
            <w:tcBorders>
              <w:top w:val="single" w:sz="4" w:space="0" w:color="auto"/>
              <w:left w:val="single" w:sz="4" w:space="0" w:color="auto"/>
              <w:bottom w:val="single" w:sz="4" w:space="0" w:color="auto"/>
              <w:right w:val="single" w:sz="4" w:space="0" w:color="auto"/>
            </w:tcBorders>
            <w:vAlign w:val="center"/>
            <w:hideMark/>
          </w:tcPr>
          <w:p w14:paraId="0EF96DA2" w14:textId="77777777" w:rsidR="007E01A2" w:rsidRPr="003A0703" w:rsidRDefault="007E01A2" w:rsidP="00D34853">
            <w:pPr>
              <w:pStyle w:val="Tabletext"/>
              <w:keepNext/>
              <w:keepLines/>
              <w:jc w:val="center"/>
              <w:rPr>
                <w:szCs w:val="22"/>
                <w:lang w:val="fr-FR"/>
              </w:rPr>
            </w:pPr>
            <w:r w:rsidRPr="003A0703">
              <w:rPr>
                <w:szCs w:val="22"/>
                <w:lang w:val="fr-FR"/>
              </w:rPr>
              <w:t>1 600</w:t>
            </w:r>
          </w:p>
        </w:tc>
      </w:tr>
      <w:tr w:rsidR="00D34853" w:rsidRPr="003A0703" w14:paraId="0DA3872C" w14:textId="77777777" w:rsidTr="00D34853">
        <w:trPr>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14:paraId="2FF9636C" w14:textId="77777777" w:rsidR="007E01A2" w:rsidRPr="003A0703" w:rsidRDefault="007E01A2" w:rsidP="00D34853">
            <w:pPr>
              <w:pStyle w:val="Tabletext"/>
              <w:keepNext/>
              <w:keepLines/>
              <w:jc w:val="left"/>
              <w:rPr>
                <w:szCs w:val="22"/>
                <w:lang w:val="fr-FR"/>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0D67E1E1" w14:textId="77777777" w:rsidR="007E01A2" w:rsidRPr="003A0703" w:rsidRDefault="007E01A2" w:rsidP="00D34853">
            <w:pPr>
              <w:pStyle w:val="Tabletext"/>
              <w:keepNext/>
              <w:keepLines/>
              <w:jc w:val="center"/>
              <w:rPr>
                <w:szCs w:val="22"/>
                <w:lang w:val="fr-FR"/>
              </w:rPr>
            </w:pPr>
            <w:r w:rsidRPr="003A0703">
              <w:rPr>
                <w:szCs w:val="22"/>
                <w:lang w:val="fr-FR"/>
              </w:rPr>
              <w:t>40</w:t>
            </w:r>
          </w:p>
        </w:tc>
        <w:tc>
          <w:tcPr>
            <w:tcW w:w="515" w:type="pct"/>
            <w:tcBorders>
              <w:top w:val="single" w:sz="4" w:space="0" w:color="auto"/>
              <w:left w:val="single" w:sz="4" w:space="0" w:color="auto"/>
              <w:bottom w:val="single" w:sz="4" w:space="0" w:color="auto"/>
              <w:right w:val="single" w:sz="4" w:space="0" w:color="auto"/>
            </w:tcBorders>
            <w:vAlign w:val="center"/>
            <w:hideMark/>
          </w:tcPr>
          <w:p w14:paraId="65513EB1" w14:textId="77777777" w:rsidR="007E01A2" w:rsidRPr="003A0703" w:rsidRDefault="007E01A2" w:rsidP="00D34853">
            <w:pPr>
              <w:pStyle w:val="Tabletext"/>
              <w:keepNext/>
              <w:keepLines/>
              <w:jc w:val="center"/>
              <w:rPr>
                <w:szCs w:val="22"/>
                <w:lang w:val="fr-FR"/>
              </w:rPr>
            </w:pPr>
            <w:r w:rsidRPr="003A0703">
              <w:rPr>
                <w:szCs w:val="22"/>
                <w:lang w:val="fr-FR"/>
              </w:rPr>
              <w:t>1 200</w:t>
            </w:r>
          </w:p>
        </w:tc>
        <w:tc>
          <w:tcPr>
            <w:tcW w:w="1102" w:type="pct"/>
            <w:tcBorders>
              <w:top w:val="single" w:sz="4" w:space="0" w:color="auto"/>
              <w:left w:val="single" w:sz="4" w:space="0" w:color="auto"/>
              <w:bottom w:val="single" w:sz="4" w:space="0" w:color="auto"/>
              <w:right w:val="single" w:sz="4" w:space="0" w:color="auto"/>
            </w:tcBorders>
            <w:vAlign w:val="center"/>
            <w:hideMark/>
          </w:tcPr>
          <w:p w14:paraId="78DEF0DA" w14:textId="77777777" w:rsidR="007E01A2" w:rsidRPr="003A0703" w:rsidRDefault="007E01A2" w:rsidP="00D34853">
            <w:pPr>
              <w:pStyle w:val="Tabletext"/>
              <w:keepNext/>
              <w:keepLines/>
              <w:jc w:val="center"/>
              <w:rPr>
                <w:szCs w:val="22"/>
                <w:lang w:val="fr-FR"/>
              </w:rPr>
            </w:pPr>
            <w:r w:rsidRPr="003A0703">
              <w:rPr>
                <w:szCs w:val="22"/>
                <w:lang w:val="fr-FR"/>
              </w:rPr>
              <w:t>32 (répartis sur 360°)</w:t>
            </w:r>
          </w:p>
        </w:tc>
        <w:tc>
          <w:tcPr>
            <w:tcW w:w="661" w:type="pct"/>
            <w:tcBorders>
              <w:top w:val="single" w:sz="4" w:space="0" w:color="auto"/>
              <w:left w:val="single" w:sz="4" w:space="0" w:color="auto"/>
              <w:bottom w:val="single" w:sz="4" w:space="0" w:color="auto"/>
              <w:right w:val="single" w:sz="4" w:space="0" w:color="auto"/>
            </w:tcBorders>
            <w:vAlign w:val="center"/>
            <w:hideMark/>
          </w:tcPr>
          <w:p w14:paraId="1BCAD242" w14:textId="77777777" w:rsidR="007E01A2" w:rsidRPr="003A0703" w:rsidRDefault="007E01A2" w:rsidP="00D34853">
            <w:pPr>
              <w:pStyle w:val="Tabletext"/>
              <w:keepNext/>
              <w:keepLines/>
              <w:jc w:val="center"/>
              <w:rPr>
                <w:szCs w:val="22"/>
                <w:lang w:val="fr-FR"/>
              </w:rPr>
            </w:pPr>
            <w:r w:rsidRPr="003A0703">
              <w:rPr>
                <w:szCs w:val="22"/>
                <w:lang w:val="fr-FR"/>
              </w:rPr>
              <w:t>50</w:t>
            </w:r>
          </w:p>
        </w:tc>
        <w:tc>
          <w:tcPr>
            <w:tcW w:w="667" w:type="pct"/>
            <w:tcBorders>
              <w:top w:val="single" w:sz="4" w:space="0" w:color="auto"/>
              <w:left w:val="single" w:sz="4" w:space="0" w:color="auto"/>
              <w:bottom w:val="single" w:sz="4" w:space="0" w:color="auto"/>
              <w:right w:val="single" w:sz="4" w:space="0" w:color="auto"/>
            </w:tcBorders>
            <w:vAlign w:val="center"/>
            <w:hideMark/>
          </w:tcPr>
          <w:p w14:paraId="4EF0F994" w14:textId="77777777" w:rsidR="007E01A2" w:rsidRPr="003A0703" w:rsidRDefault="007E01A2" w:rsidP="00D34853">
            <w:pPr>
              <w:pStyle w:val="Tabletext"/>
              <w:keepNext/>
              <w:keepLines/>
              <w:jc w:val="center"/>
              <w:rPr>
                <w:szCs w:val="22"/>
                <w:lang w:val="fr-FR"/>
              </w:rPr>
            </w:pPr>
            <w:r w:rsidRPr="003A0703">
              <w:rPr>
                <w:szCs w:val="22"/>
                <w:lang w:val="fr-FR"/>
              </w:rPr>
              <w:t>1 600</w:t>
            </w:r>
          </w:p>
        </w:tc>
      </w:tr>
      <w:tr w:rsidR="00D34853" w:rsidRPr="003A0703" w14:paraId="673BC98E" w14:textId="77777777" w:rsidTr="00D34853">
        <w:trPr>
          <w:jc w:val="center"/>
        </w:trPr>
        <w:tc>
          <w:tcPr>
            <w:tcW w:w="1394" w:type="pct"/>
            <w:vMerge w:val="restart"/>
            <w:tcBorders>
              <w:top w:val="single" w:sz="4" w:space="0" w:color="auto"/>
              <w:left w:val="single" w:sz="4" w:space="0" w:color="auto"/>
              <w:bottom w:val="single" w:sz="4" w:space="0" w:color="auto"/>
              <w:right w:val="single" w:sz="4" w:space="0" w:color="auto"/>
            </w:tcBorders>
            <w:vAlign w:val="center"/>
            <w:hideMark/>
          </w:tcPr>
          <w:p w14:paraId="558565BF" w14:textId="5CC73778" w:rsidR="007E01A2" w:rsidRPr="003A0703" w:rsidRDefault="007E01A2" w:rsidP="00D34853">
            <w:pPr>
              <w:pStyle w:val="Tabletext"/>
              <w:keepNext/>
              <w:keepLines/>
              <w:tabs>
                <w:tab w:val="clear" w:pos="2552"/>
              </w:tabs>
              <w:jc w:val="left"/>
              <w:rPr>
                <w:szCs w:val="22"/>
                <w:lang w:val="fr-FR"/>
              </w:rPr>
            </w:pPr>
            <w:r w:rsidRPr="003A0703">
              <w:rPr>
                <w:szCs w:val="22"/>
                <w:lang w:val="fr-FR"/>
              </w:rPr>
              <w:t>N</w:t>
            </w:r>
            <w:r w:rsidR="003A3EF6" w:rsidRPr="003A0703">
              <w:rPr>
                <w:szCs w:val="22"/>
                <w:lang w:val="fr-FR"/>
              </w:rPr>
              <w:t>° </w:t>
            </w:r>
            <w:r w:rsidRPr="003A0703">
              <w:rPr>
                <w:szCs w:val="22"/>
                <w:lang w:val="fr-FR"/>
              </w:rPr>
              <w:t>2 (LEO à environ 600 km)</w:t>
            </w:r>
          </w:p>
        </w:tc>
        <w:tc>
          <w:tcPr>
            <w:tcW w:w="661" w:type="pct"/>
            <w:tcBorders>
              <w:top w:val="single" w:sz="4" w:space="0" w:color="auto"/>
              <w:left w:val="single" w:sz="4" w:space="0" w:color="auto"/>
              <w:bottom w:val="single" w:sz="4" w:space="0" w:color="auto"/>
              <w:right w:val="single" w:sz="4" w:space="0" w:color="auto"/>
            </w:tcBorders>
            <w:vAlign w:val="center"/>
            <w:hideMark/>
          </w:tcPr>
          <w:p w14:paraId="799D2427" w14:textId="77777777" w:rsidR="007E01A2" w:rsidRPr="003A0703" w:rsidRDefault="007E01A2" w:rsidP="00D34853">
            <w:pPr>
              <w:pStyle w:val="Tabletext"/>
              <w:keepNext/>
              <w:keepLines/>
              <w:jc w:val="center"/>
              <w:rPr>
                <w:szCs w:val="22"/>
                <w:lang w:val="fr-FR"/>
              </w:rPr>
            </w:pPr>
            <w:r w:rsidRPr="003A0703">
              <w:rPr>
                <w:szCs w:val="22"/>
                <w:lang w:val="fr-FR"/>
              </w:rPr>
              <w:t>51,9</w:t>
            </w:r>
          </w:p>
        </w:tc>
        <w:tc>
          <w:tcPr>
            <w:tcW w:w="515" w:type="pct"/>
            <w:tcBorders>
              <w:top w:val="single" w:sz="4" w:space="0" w:color="auto"/>
              <w:left w:val="single" w:sz="4" w:space="0" w:color="auto"/>
              <w:bottom w:val="single" w:sz="4" w:space="0" w:color="auto"/>
              <w:right w:val="single" w:sz="4" w:space="0" w:color="auto"/>
            </w:tcBorders>
            <w:vAlign w:val="center"/>
            <w:hideMark/>
          </w:tcPr>
          <w:p w14:paraId="1C80EF38" w14:textId="77777777" w:rsidR="007E01A2" w:rsidRPr="003A0703" w:rsidRDefault="007E01A2" w:rsidP="00D34853">
            <w:pPr>
              <w:pStyle w:val="Tabletext"/>
              <w:keepNext/>
              <w:keepLines/>
              <w:jc w:val="center"/>
              <w:rPr>
                <w:szCs w:val="22"/>
                <w:lang w:val="fr-FR"/>
              </w:rPr>
            </w:pPr>
            <w:r w:rsidRPr="003A0703">
              <w:rPr>
                <w:szCs w:val="22"/>
                <w:lang w:val="fr-FR"/>
              </w:rPr>
              <w:t>630</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9660559" w14:textId="77777777" w:rsidR="007E01A2" w:rsidRPr="003A0703" w:rsidRDefault="007E01A2" w:rsidP="00D34853">
            <w:pPr>
              <w:pStyle w:val="Tabletext"/>
              <w:keepNext/>
              <w:keepLines/>
              <w:jc w:val="center"/>
              <w:rPr>
                <w:szCs w:val="22"/>
                <w:lang w:val="fr-FR"/>
              </w:rPr>
            </w:pPr>
            <w:r w:rsidRPr="003A0703">
              <w:rPr>
                <w:szCs w:val="22"/>
                <w:lang w:val="fr-FR"/>
              </w:rPr>
              <w:t>34 (répartis sur 360°)</w:t>
            </w:r>
          </w:p>
        </w:tc>
        <w:tc>
          <w:tcPr>
            <w:tcW w:w="661" w:type="pct"/>
            <w:tcBorders>
              <w:top w:val="single" w:sz="4" w:space="0" w:color="auto"/>
              <w:left w:val="single" w:sz="4" w:space="0" w:color="auto"/>
              <w:bottom w:val="single" w:sz="4" w:space="0" w:color="auto"/>
              <w:right w:val="single" w:sz="4" w:space="0" w:color="auto"/>
            </w:tcBorders>
            <w:vAlign w:val="center"/>
            <w:hideMark/>
          </w:tcPr>
          <w:p w14:paraId="79E7DE2D" w14:textId="77777777" w:rsidR="007E01A2" w:rsidRPr="003A0703" w:rsidRDefault="007E01A2" w:rsidP="00D34853">
            <w:pPr>
              <w:pStyle w:val="Tabletext"/>
              <w:keepNext/>
              <w:keepLines/>
              <w:jc w:val="center"/>
              <w:rPr>
                <w:szCs w:val="22"/>
                <w:lang w:val="fr-FR"/>
              </w:rPr>
            </w:pPr>
            <w:r w:rsidRPr="003A0703">
              <w:rPr>
                <w:szCs w:val="22"/>
                <w:lang w:val="fr-FR"/>
              </w:rPr>
              <w:t>34</w:t>
            </w:r>
          </w:p>
        </w:tc>
        <w:tc>
          <w:tcPr>
            <w:tcW w:w="667" w:type="pct"/>
            <w:tcBorders>
              <w:top w:val="single" w:sz="4" w:space="0" w:color="auto"/>
              <w:left w:val="single" w:sz="4" w:space="0" w:color="auto"/>
              <w:bottom w:val="single" w:sz="4" w:space="0" w:color="auto"/>
              <w:right w:val="single" w:sz="4" w:space="0" w:color="auto"/>
            </w:tcBorders>
            <w:vAlign w:val="center"/>
            <w:hideMark/>
          </w:tcPr>
          <w:p w14:paraId="4F43630D" w14:textId="77777777" w:rsidR="007E01A2" w:rsidRPr="003A0703" w:rsidRDefault="007E01A2" w:rsidP="00D34853">
            <w:pPr>
              <w:pStyle w:val="Tabletext"/>
              <w:keepNext/>
              <w:keepLines/>
              <w:jc w:val="center"/>
              <w:rPr>
                <w:szCs w:val="22"/>
                <w:lang w:val="fr-FR"/>
              </w:rPr>
            </w:pPr>
            <w:r w:rsidRPr="003A0703">
              <w:rPr>
                <w:szCs w:val="22"/>
                <w:lang w:val="fr-FR"/>
              </w:rPr>
              <w:t>1 156</w:t>
            </w:r>
          </w:p>
        </w:tc>
      </w:tr>
      <w:tr w:rsidR="00D34853" w:rsidRPr="003A0703" w14:paraId="1A2A01BC" w14:textId="77777777" w:rsidTr="00D34853">
        <w:trPr>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14:paraId="7BB032A3" w14:textId="77777777" w:rsidR="007E01A2" w:rsidRPr="003A0703" w:rsidRDefault="007E01A2" w:rsidP="00D34853">
            <w:pPr>
              <w:pStyle w:val="Tabletext"/>
              <w:keepNext/>
              <w:keepLines/>
              <w:jc w:val="left"/>
              <w:rPr>
                <w:szCs w:val="22"/>
                <w:lang w:val="fr-FR"/>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1938031" w14:textId="77777777" w:rsidR="007E01A2" w:rsidRPr="003A0703" w:rsidRDefault="007E01A2" w:rsidP="00D34853">
            <w:pPr>
              <w:pStyle w:val="Tabletext"/>
              <w:keepNext/>
              <w:keepLines/>
              <w:jc w:val="center"/>
              <w:rPr>
                <w:szCs w:val="22"/>
                <w:lang w:val="fr-FR"/>
              </w:rPr>
            </w:pPr>
            <w:r w:rsidRPr="003A0703">
              <w:rPr>
                <w:szCs w:val="22"/>
                <w:lang w:val="fr-FR"/>
              </w:rPr>
              <w:t>42</w:t>
            </w:r>
          </w:p>
        </w:tc>
        <w:tc>
          <w:tcPr>
            <w:tcW w:w="515" w:type="pct"/>
            <w:tcBorders>
              <w:top w:val="single" w:sz="4" w:space="0" w:color="auto"/>
              <w:left w:val="single" w:sz="4" w:space="0" w:color="auto"/>
              <w:bottom w:val="single" w:sz="4" w:space="0" w:color="auto"/>
              <w:right w:val="single" w:sz="4" w:space="0" w:color="auto"/>
            </w:tcBorders>
            <w:vAlign w:val="center"/>
            <w:hideMark/>
          </w:tcPr>
          <w:p w14:paraId="02A99DB7" w14:textId="77777777" w:rsidR="007E01A2" w:rsidRPr="003A0703" w:rsidRDefault="007E01A2" w:rsidP="00D34853">
            <w:pPr>
              <w:pStyle w:val="Tabletext"/>
              <w:keepNext/>
              <w:keepLines/>
              <w:jc w:val="center"/>
              <w:rPr>
                <w:szCs w:val="22"/>
                <w:lang w:val="fr-FR"/>
              </w:rPr>
            </w:pPr>
            <w:r w:rsidRPr="003A0703">
              <w:rPr>
                <w:szCs w:val="22"/>
                <w:lang w:val="fr-FR"/>
              </w:rPr>
              <w:t>610</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01414A7" w14:textId="77777777" w:rsidR="007E01A2" w:rsidRPr="003A0703" w:rsidRDefault="007E01A2" w:rsidP="00D34853">
            <w:pPr>
              <w:pStyle w:val="Tabletext"/>
              <w:keepNext/>
              <w:keepLines/>
              <w:jc w:val="center"/>
              <w:rPr>
                <w:szCs w:val="22"/>
                <w:lang w:val="fr-FR"/>
              </w:rPr>
            </w:pPr>
            <w:r w:rsidRPr="003A0703">
              <w:rPr>
                <w:szCs w:val="22"/>
                <w:lang w:val="fr-FR"/>
              </w:rPr>
              <w:t>36 (répartis sur 360°)</w:t>
            </w:r>
          </w:p>
        </w:tc>
        <w:tc>
          <w:tcPr>
            <w:tcW w:w="661" w:type="pct"/>
            <w:tcBorders>
              <w:top w:val="single" w:sz="4" w:space="0" w:color="auto"/>
              <w:left w:val="single" w:sz="4" w:space="0" w:color="auto"/>
              <w:bottom w:val="single" w:sz="4" w:space="0" w:color="auto"/>
              <w:right w:val="single" w:sz="4" w:space="0" w:color="auto"/>
            </w:tcBorders>
            <w:vAlign w:val="center"/>
            <w:hideMark/>
          </w:tcPr>
          <w:p w14:paraId="5D6913B9" w14:textId="77777777" w:rsidR="007E01A2" w:rsidRPr="003A0703" w:rsidRDefault="007E01A2" w:rsidP="00D34853">
            <w:pPr>
              <w:pStyle w:val="Tabletext"/>
              <w:keepNext/>
              <w:keepLines/>
              <w:jc w:val="center"/>
              <w:rPr>
                <w:szCs w:val="22"/>
                <w:lang w:val="fr-FR"/>
              </w:rPr>
            </w:pPr>
            <w:r w:rsidRPr="003A0703">
              <w:rPr>
                <w:szCs w:val="22"/>
                <w:lang w:val="fr-FR"/>
              </w:rPr>
              <w:t>36</w:t>
            </w:r>
          </w:p>
        </w:tc>
        <w:tc>
          <w:tcPr>
            <w:tcW w:w="667" w:type="pct"/>
            <w:tcBorders>
              <w:top w:val="single" w:sz="4" w:space="0" w:color="auto"/>
              <w:left w:val="single" w:sz="4" w:space="0" w:color="auto"/>
              <w:bottom w:val="single" w:sz="4" w:space="0" w:color="auto"/>
              <w:right w:val="single" w:sz="4" w:space="0" w:color="auto"/>
            </w:tcBorders>
            <w:vAlign w:val="center"/>
            <w:hideMark/>
          </w:tcPr>
          <w:p w14:paraId="232694DF" w14:textId="77777777" w:rsidR="007E01A2" w:rsidRPr="003A0703" w:rsidRDefault="007E01A2" w:rsidP="00D34853">
            <w:pPr>
              <w:pStyle w:val="Tabletext"/>
              <w:keepNext/>
              <w:keepLines/>
              <w:jc w:val="center"/>
              <w:rPr>
                <w:szCs w:val="22"/>
                <w:lang w:val="fr-FR"/>
              </w:rPr>
            </w:pPr>
            <w:r w:rsidRPr="003A0703">
              <w:rPr>
                <w:szCs w:val="22"/>
                <w:lang w:val="fr-FR"/>
              </w:rPr>
              <w:t>1 296</w:t>
            </w:r>
          </w:p>
        </w:tc>
      </w:tr>
      <w:tr w:rsidR="00D34853" w:rsidRPr="003A0703" w14:paraId="744D01BE" w14:textId="77777777" w:rsidTr="00D34853">
        <w:trPr>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14:paraId="58915127" w14:textId="77777777" w:rsidR="007E01A2" w:rsidRPr="003A0703" w:rsidRDefault="007E01A2" w:rsidP="00D34853">
            <w:pPr>
              <w:pStyle w:val="Tabletext"/>
              <w:keepNext/>
              <w:keepLines/>
              <w:jc w:val="left"/>
              <w:rPr>
                <w:szCs w:val="22"/>
                <w:lang w:val="fr-FR"/>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59E3266C" w14:textId="77777777" w:rsidR="007E01A2" w:rsidRPr="003A0703" w:rsidRDefault="007E01A2" w:rsidP="00D34853">
            <w:pPr>
              <w:pStyle w:val="Tabletext"/>
              <w:keepNext/>
              <w:keepLines/>
              <w:jc w:val="center"/>
              <w:rPr>
                <w:szCs w:val="22"/>
                <w:lang w:val="fr-FR"/>
              </w:rPr>
            </w:pPr>
            <w:r w:rsidRPr="003A0703">
              <w:rPr>
                <w:szCs w:val="22"/>
                <w:lang w:val="fr-FR"/>
              </w:rPr>
              <w:t>33</w:t>
            </w:r>
          </w:p>
        </w:tc>
        <w:tc>
          <w:tcPr>
            <w:tcW w:w="515" w:type="pct"/>
            <w:tcBorders>
              <w:top w:val="single" w:sz="4" w:space="0" w:color="auto"/>
              <w:left w:val="single" w:sz="4" w:space="0" w:color="auto"/>
              <w:bottom w:val="single" w:sz="4" w:space="0" w:color="auto"/>
              <w:right w:val="single" w:sz="4" w:space="0" w:color="auto"/>
            </w:tcBorders>
            <w:vAlign w:val="center"/>
            <w:hideMark/>
          </w:tcPr>
          <w:p w14:paraId="7A45F498" w14:textId="77777777" w:rsidR="007E01A2" w:rsidRPr="003A0703" w:rsidRDefault="007E01A2" w:rsidP="00D34853">
            <w:pPr>
              <w:pStyle w:val="Tabletext"/>
              <w:keepNext/>
              <w:keepLines/>
              <w:jc w:val="center"/>
              <w:rPr>
                <w:szCs w:val="22"/>
                <w:lang w:val="fr-FR"/>
              </w:rPr>
            </w:pPr>
            <w:r w:rsidRPr="003A0703">
              <w:rPr>
                <w:szCs w:val="22"/>
                <w:lang w:val="fr-FR"/>
              </w:rPr>
              <w:t>590</w:t>
            </w:r>
          </w:p>
        </w:tc>
        <w:tc>
          <w:tcPr>
            <w:tcW w:w="1102" w:type="pct"/>
            <w:tcBorders>
              <w:top w:val="single" w:sz="4" w:space="0" w:color="auto"/>
              <w:left w:val="single" w:sz="4" w:space="0" w:color="auto"/>
              <w:bottom w:val="single" w:sz="4" w:space="0" w:color="auto"/>
              <w:right w:val="single" w:sz="4" w:space="0" w:color="auto"/>
            </w:tcBorders>
            <w:vAlign w:val="center"/>
            <w:hideMark/>
          </w:tcPr>
          <w:p w14:paraId="68C5529E" w14:textId="77777777" w:rsidR="007E01A2" w:rsidRPr="003A0703" w:rsidRDefault="007E01A2" w:rsidP="00D34853">
            <w:pPr>
              <w:pStyle w:val="Tabletext"/>
              <w:keepNext/>
              <w:keepLines/>
              <w:jc w:val="center"/>
              <w:rPr>
                <w:szCs w:val="22"/>
                <w:lang w:val="fr-FR"/>
              </w:rPr>
            </w:pPr>
            <w:r w:rsidRPr="003A0703">
              <w:rPr>
                <w:szCs w:val="22"/>
                <w:lang w:val="fr-FR"/>
              </w:rPr>
              <w:t>28 (répartis sur 360°)</w:t>
            </w:r>
          </w:p>
        </w:tc>
        <w:tc>
          <w:tcPr>
            <w:tcW w:w="661" w:type="pct"/>
            <w:tcBorders>
              <w:top w:val="single" w:sz="4" w:space="0" w:color="auto"/>
              <w:left w:val="single" w:sz="4" w:space="0" w:color="auto"/>
              <w:bottom w:val="single" w:sz="4" w:space="0" w:color="auto"/>
              <w:right w:val="single" w:sz="4" w:space="0" w:color="auto"/>
            </w:tcBorders>
            <w:vAlign w:val="center"/>
            <w:hideMark/>
          </w:tcPr>
          <w:p w14:paraId="74FF6AB6" w14:textId="77777777" w:rsidR="007E01A2" w:rsidRPr="003A0703" w:rsidRDefault="007E01A2" w:rsidP="00D34853">
            <w:pPr>
              <w:pStyle w:val="Tabletext"/>
              <w:keepNext/>
              <w:keepLines/>
              <w:jc w:val="center"/>
              <w:rPr>
                <w:szCs w:val="22"/>
                <w:lang w:val="fr-FR"/>
              </w:rPr>
            </w:pPr>
            <w:r w:rsidRPr="003A0703">
              <w:rPr>
                <w:szCs w:val="22"/>
                <w:lang w:val="fr-FR"/>
              </w:rPr>
              <w:t>28</w:t>
            </w:r>
          </w:p>
        </w:tc>
        <w:tc>
          <w:tcPr>
            <w:tcW w:w="667" w:type="pct"/>
            <w:tcBorders>
              <w:top w:val="single" w:sz="4" w:space="0" w:color="auto"/>
              <w:left w:val="single" w:sz="4" w:space="0" w:color="auto"/>
              <w:bottom w:val="single" w:sz="4" w:space="0" w:color="auto"/>
              <w:right w:val="single" w:sz="4" w:space="0" w:color="auto"/>
            </w:tcBorders>
            <w:vAlign w:val="center"/>
            <w:hideMark/>
          </w:tcPr>
          <w:p w14:paraId="05ADB6DD" w14:textId="77777777" w:rsidR="007E01A2" w:rsidRPr="003A0703" w:rsidRDefault="007E01A2" w:rsidP="00D34853">
            <w:pPr>
              <w:pStyle w:val="Tabletext"/>
              <w:keepNext/>
              <w:keepLines/>
              <w:jc w:val="center"/>
              <w:rPr>
                <w:szCs w:val="22"/>
                <w:lang w:val="fr-FR"/>
              </w:rPr>
            </w:pPr>
            <w:r w:rsidRPr="003A0703">
              <w:rPr>
                <w:szCs w:val="22"/>
                <w:lang w:val="fr-FR"/>
              </w:rPr>
              <w:t>784</w:t>
            </w:r>
          </w:p>
        </w:tc>
      </w:tr>
      <w:tr w:rsidR="00D34853" w:rsidRPr="003A0703" w14:paraId="2E3BA8C3" w14:textId="77777777" w:rsidTr="00D34853">
        <w:trPr>
          <w:jc w:val="center"/>
        </w:trPr>
        <w:tc>
          <w:tcPr>
            <w:tcW w:w="1394" w:type="pct"/>
            <w:vMerge w:val="restart"/>
            <w:tcBorders>
              <w:top w:val="single" w:sz="4" w:space="0" w:color="auto"/>
              <w:left w:val="single" w:sz="4" w:space="0" w:color="auto"/>
              <w:bottom w:val="single" w:sz="4" w:space="0" w:color="auto"/>
              <w:right w:val="single" w:sz="4" w:space="0" w:color="auto"/>
            </w:tcBorders>
            <w:vAlign w:val="center"/>
            <w:hideMark/>
          </w:tcPr>
          <w:p w14:paraId="4948BE79" w14:textId="64546DC3" w:rsidR="007E01A2" w:rsidRPr="003A0703" w:rsidRDefault="007E01A2" w:rsidP="00D34853">
            <w:pPr>
              <w:pStyle w:val="Tabletext"/>
              <w:keepNext/>
              <w:keepLines/>
              <w:jc w:val="left"/>
              <w:rPr>
                <w:szCs w:val="22"/>
                <w:lang w:val="fr-FR"/>
              </w:rPr>
            </w:pPr>
            <w:r w:rsidRPr="003A0703">
              <w:rPr>
                <w:szCs w:val="22"/>
                <w:lang w:val="fr-FR"/>
              </w:rPr>
              <w:t>N</w:t>
            </w:r>
            <w:r w:rsidR="003A3EF6" w:rsidRPr="003A0703">
              <w:rPr>
                <w:szCs w:val="22"/>
                <w:lang w:val="fr-FR"/>
              </w:rPr>
              <w:t>° </w:t>
            </w:r>
            <w:r w:rsidRPr="003A0703">
              <w:rPr>
                <w:szCs w:val="22"/>
                <w:lang w:val="fr-FR"/>
              </w:rPr>
              <w:t>3 (MEO)</w:t>
            </w:r>
          </w:p>
        </w:tc>
        <w:tc>
          <w:tcPr>
            <w:tcW w:w="661" w:type="pct"/>
            <w:tcBorders>
              <w:top w:val="single" w:sz="4" w:space="0" w:color="auto"/>
              <w:left w:val="single" w:sz="4" w:space="0" w:color="auto"/>
              <w:bottom w:val="single" w:sz="4" w:space="0" w:color="auto"/>
              <w:right w:val="single" w:sz="4" w:space="0" w:color="auto"/>
            </w:tcBorders>
            <w:vAlign w:val="center"/>
            <w:hideMark/>
          </w:tcPr>
          <w:p w14:paraId="06C009E4" w14:textId="77777777" w:rsidR="007E01A2" w:rsidRPr="003A0703" w:rsidRDefault="007E01A2" w:rsidP="00D34853">
            <w:pPr>
              <w:pStyle w:val="Tabletext"/>
              <w:keepNext/>
              <w:keepLines/>
              <w:jc w:val="center"/>
              <w:rPr>
                <w:szCs w:val="22"/>
                <w:lang w:val="fr-FR"/>
              </w:rPr>
            </w:pPr>
            <w:r w:rsidRPr="003A0703">
              <w:rPr>
                <w:szCs w:val="22"/>
                <w:lang w:val="fr-FR"/>
              </w:rPr>
              <w:t>0</w:t>
            </w:r>
          </w:p>
        </w:tc>
        <w:tc>
          <w:tcPr>
            <w:tcW w:w="515" w:type="pct"/>
            <w:tcBorders>
              <w:top w:val="single" w:sz="4" w:space="0" w:color="auto"/>
              <w:left w:val="single" w:sz="4" w:space="0" w:color="auto"/>
              <w:bottom w:val="single" w:sz="4" w:space="0" w:color="auto"/>
              <w:right w:val="single" w:sz="4" w:space="0" w:color="auto"/>
            </w:tcBorders>
            <w:vAlign w:val="center"/>
            <w:hideMark/>
          </w:tcPr>
          <w:p w14:paraId="104832D1" w14:textId="77777777" w:rsidR="007E01A2" w:rsidRPr="003A0703" w:rsidRDefault="007E01A2" w:rsidP="00D34853">
            <w:pPr>
              <w:pStyle w:val="Tabletext"/>
              <w:keepNext/>
              <w:keepLines/>
              <w:jc w:val="center"/>
              <w:rPr>
                <w:szCs w:val="22"/>
                <w:lang w:val="fr-FR"/>
              </w:rPr>
            </w:pPr>
            <w:r w:rsidRPr="003A0703">
              <w:rPr>
                <w:szCs w:val="22"/>
                <w:lang w:val="fr-FR"/>
              </w:rPr>
              <w:t>8 062</w:t>
            </w:r>
          </w:p>
        </w:tc>
        <w:tc>
          <w:tcPr>
            <w:tcW w:w="1102" w:type="pct"/>
            <w:tcBorders>
              <w:top w:val="single" w:sz="4" w:space="0" w:color="auto"/>
              <w:left w:val="single" w:sz="4" w:space="0" w:color="auto"/>
              <w:bottom w:val="single" w:sz="4" w:space="0" w:color="auto"/>
              <w:right w:val="single" w:sz="4" w:space="0" w:color="auto"/>
            </w:tcBorders>
            <w:vAlign w:val="center"/>
            <w:hideMark/>
          </w:tcPr>
          <w:p w14:paraId="3CD23E3D" w14:textId="77777777" w:rsidR="007E01A2" w:rsidRPr="003A0703" w:rsidRDefault="007E01A2" w:rsidP="00D34853">
            <w:pPr>
              <w:pStyle w:val="Tabletext"/>
              <w:keepNext/>
              <w:keepLines/>
              <w:jc w:val="center"/>
              <w:rPr>
                <w:szCs w:val="22"/>
                <w:lang w:val="fr-FR"/>
              </w:rPr>
            </w:pPr>
            <w:r w:rsidRPr="003A0703">
              <w:rPr>
                <w:szCs w:val="22"/>
                <w:lang w:val="fr-FR"/>
              </w:rPr>
              <w:t>1</w:t>
            </w:r>
          </w:p>
        </w:tc>
        <w:tc>
          <w:tcPr>
            <w:tcW w:w="661" w:type="pct"/>
            <w:tcBorders>
              <w:top w:val="single" w:sz="4" w:space="0" w:color="auto"/>
              <w:left w:val="single" w:sz="4" w:space="0" w:color="auto"/>
              <w:bottom w:val="single" w:sz="4" w:space="0" w:color="auto"/>
              <w:right w:val="single" w:sz="4" w:space="0" w:color="auto"/>
            </w:tcBorders>
            <w:vAlign w:val="center"/>
            <w:hideMark/>
          </w:tcPr>
          <w:p w14:paraId="68AA7A7B" w14:textId="77777777" w:rsidR="007E01A2" w:rsidRPr="003A0703" w:rsidRDefault="007E01A2" w:rsidP="00D34853">
            <w:pPr>
              <w:pStyle w:val="Tabletext"/>
              <w:keepNext/>
              <w:keepLines/>
              <w:jc w:val="center"/>
              <w:rPr>
                <w:szCs w:val="22"/>
                <w:lang w:val="fr-FR"/>
              </w:rPr>
            </w:pPr>
            <w:r w:rsidRPr="003A0703">
              <w:rPr>
                <w:szCs w:val="22"/>
                <w:lang w:val="fr-FR"/>
              </w:rPr>
              <w:t>48</w:t>
            </w:r>
          </w:p>
        </w:tc>
        <w:tc>
          <w:tcPr>
            <w:tcW w:w="667" w:type="pct"/>
            <w:tcBorders>
              <w:top w:val="single" w:sz="4" w:space="0" w:color="auto"/>
              <w:left w:val="single" w:sz="4" w:space="0" w:color="auto"/>
              <w:bottom w:val="single" w:sz="4" w:space="0" w:color="auto"/>
              <w:right w:val="single" w:sz="4" w:space="0" w:color="auto"/>
            </w:tcBorders>
            <w:vAlign w:val="center"/>
            <w:hideMark/>
          </w:tcPr>
          <w:p w14:paraId="6F29B618" w14:textId="77777777" w:rsidR="007E01A2" w:rsidRPr="003A0703" w:rsidRDefault="007E01A2" w:rsidP="00D34853">
            <w:pPr>
              <w:pStyle w:val="Tabletext"/>
              <w:keepNext/>
              <w:keepLines/>
              <w:jc w:val="center"/>
              <w:rPr>
                <w:szCs w:val="22"/>
                <w:lang w:val="fr-FR"/>
              </w:rPr>
            </w:pPr>
            <w:r w:rsidRPr="003A0703">
              <w:rPr>
                <w:szCs w:val="22"/>
                <w:lang w:val="fr-FR"/>
              </w:rPr>
              <w:t>48</w:t>
            </w:r>
          </w:p>
        </w:tc>
      </w:tr>
      <w:tr w:rsidR="00D34853" w:rsidRPr="003A0703" w14:paraId="5FE2B87A" w14:textId="77777777" w:rsidTr="00D34853">
        <w:trPr>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14:paraId="41C60600" w14:textId="77777777" w:rsidR="007E01A2" w:rsidRPr="003A0703" w:rsidRDefault="007E01A2" w:rsidP="00721F37">
            <w:pPr>
              <w:pStyle w:val="Tabletext"/>
              <w:rPr>
                <w:szCs w:val="22"/>
                <w:lang w:val="fr-FR"/>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64E0FA93" w14:textId="77777777" w:rsidR="007E01A2" w:rsidRPr="003A0703" w:rsidRDefault="007E01A2" w:rsidP="00721F37">
            <w:pPr>
              <w:pStyle w:val="Tabletext"/>
              <w:jc w:val="center"/>
              <w:rPr>
                <w:szCs w:val="22"/>
                <w:lang w:val="fr-FR"/>
              </w:rPr>
            </w:pPr>
            <w:r w:rsidRPr="003A0703">
              <w:rPr>
                <w:szCs w:val="22"/>
                <w:lang w:val="fr-FR"/>
              </w:rPr>
              <w:t>70</w:t>
            </w:r>
          </w:p>
        </w:tc>
        <w:tc>
          <w:tcPr>
            <w:tcW w:w="515" w:type="pct"/>
            <w:tcBorders>
              <w:top w:val="single" w:sz="4" w:space="0" w:color="auto"/>
              <w:left w:val="single" w:sz="4" w:space="0" w:color="auto"/>
              <w:bottom w:val="single" w:sz="4" w:space="0" w:color="auto"/>
              <w:right w:val="single" w:sz="4" w:space="0" w:color="auto"/>
            </w:tcBorders>
            <w:vAlign w:val="center"/>
            <w:hideMark/>
          </w:tcPr>
          <w:p w14:paraId="25F9CBAB" w14:textId="77777777" w:rsidR="007E01A2" w:rsidRPr="003A0703" w:rsidRDefault="007E01A2" w:rsidP="00721F37">
            <w:pPr>
              <w:pStyle w:val="Tabletext"/>
              <w:jc w:val="center"/>
              <w:rPr>
                <w:szCs w:val="22"/>
                <w:lang w:val="fr-FR"/>
              </w:rPr>
            </w:pPr>
            <w:r w:rsidRPr="003A0703">
              <w:rPr>
                <w:szCs w:val="22"/>
                <w:lang w:val="fr-FR"/>
              </w:rPr>
              <w:t>8 062</w:t>
            </w:r>
          </w:p>
        </w:tc>
        <w:tc>
          <w:tcPr>
            <w:tcW w:w="1102" w:type="pct"/>
            <w:tcBorders>
              <w:top w:val="single" w:sz="4" w:space="0" w:color="auto"/>
              <w:left w:val="single" w:sz="4" w:space="0" w:color="auto"/>
              <w:bottom w:val="single" w:sz="4" w:space="0" w:color="auto"/>
              <w:right w:val="single" w:sz="4" w:space="0" w:color="auto"/>
            </w:tcBorders>
            <w:vAlign w:val="center"/>
            <w:hideMark/>
          </w:tcPr>
          <w:p w14:paraId="7B073908" w14:textId="77777777" w:rsidR="007E01A2" w:rsidRPr="003A0703" w:rsidRDefault="007E01A2" w:rsidP="00721F37">
            <w:pPr>
              <w:pStyle w:val="Tabletext"/>
              <w:jc w:val="center"/>
              <w:rPr>
                <w:szCs w:val="22"/>
                <w:lang w:val="fr-FR"/>
              </w:rPr>
            </w:pPr>
            <w:r w:rsidRPr="003A0703">
              <w:rPr>
                <w:szCs w:val="22"/>
                <w:lang w:val="fr-FR"/>
              </w:rPr>
              <w:t>4 (répartis sur 360°)</w:t>
            </w:r>
          </w:p>
        </w:tc>
        <w:tc>
          <w:tcPr>
            <w:tcW w:w="661" w:type="pct"/>
            <w:tcBorders>
              <w:top w:val="single" w:sz="4" w:space="0" w:color="auto"/>
              <w:left w:val="single" w:sz="4" w:space="0" w:color="auto"/>
              <w:bottom w:val="single" w:sz="4" w:space="0" w:color="auto"/>
              <w:right w:val="single" w:sz="4" w:space="0" w:color="auto"/>
            </w:tcBorders>
            <w:vAlign w:val="center"/>
            <w:hideMark/>
          </w:tcPr>
          <w:p w14:paraId="5F23E6E8" w14:textId="77777777" w:rsidR="007E01A2" w:rsidRPr="003A0703" w:rsidRDefault="007E01A2" w:rsidP="00721F37">
            <w:pPr>
              <w:pStyle w:val="Tabletext"/>
              <w:jc w:val="center"/>
              <w:rPr>
                <w:szCs w:val="22"/>
                <w:lang w:val="fr-FR"/>
              </w:rPr>
            </w:pPr>
            <w:r w:rsidRPr="003A0703">
              <w:rPr>
                <w:szCs w:val="22"/>
                <w:lang w:val="fr-FR"/>
              </w:rPr>
              <w:t>12</w:t>
            </w:r>
          </w:p>
        </w:tc>
        <w:tc>
          <w:tcPr>
            <w:tcW w:w="667" w:type="pct"/>
            <w:tcBorders>
              <w:top w:val="single" w:sz="4" w:space="0" w:color="auto"/>
              <w:left w:val="single" w:sz="4" w:space="0" w:color="auto"/>
              <w:bottom w:val="single" w:sz="4" w:space="0" w:color="auto"/>
              <w:right w:val="single" w:sz="4" w:space="0" w:color="auto"/>
            </w:tcBorders>
            <w:vAlign w:val="center"/>
            <w:hideMark/>
          </w:tcPr>
          <w:p w14:paraId="7F5E4DFC" w14:textId="77777777" w:rsidR="007E01A2" w:rsidRPr="003A0703" w:rsidRDefault="007E01A2" w:rsidP="00721F37">
            <w:pPr>
              <w:pStyle w:val="Tabletext"/>
              <w:jc w:val="center"/>
              <w:rPr>
                <w:szCs w:val="22"/>
                <w:lang w:val="fr-FR"/>
              </w:rPr>
            </w:pPr>
            <w:r w:rsidRPr="003A0703">
              <w:rPr>
                <w:szCs w:val="22"/>
                <w:lang w:val="fr-FR"/>
              </w:rPr>
              <w:t>48</w:t>
            </w:r>
          </w:p>
        </w:tc>
      </w:tr>
      <w:tr w:rsidR="00D34853" w:rsidRPr="003A0703" w14:paraId="0F74E8DA" w14:textId="77777777" w:rsidTr="00D34853">
        <w:trPr>
          <w:jc w:val="center"/>
        </w:trPr>
        <w:tc>
          <w:tcPr>
            <w:tcW w:w="1394" w:type="pct"/>
            <w:vMerge/>
            <w:tcBorders>
              <w:top w:val="single" w:sz="4" w:space="0" w:color="auto"/>
              <w:left w:val="single" w:sz="4" w:space="0" w:color="auto"/>
              <w:bottom w:val="single" w:sz="4" w:space="0" w:color="auto"/>
              <w:right w:val="single" w:sz="4" w:space="0" w:color="auto"/>
            </w:tcBorders>
            <w:vAlign w:val="center"/>
            <w:hideMark/>
          </w:tcPr>
          <w:p w14:paraId="17CC0AF2" w14:textId="77777777" w:rsidR="007E01A2" w:rsidRPr="003A0703" w:rsidRDefault="007E01A2" w:rsidP="00721F37">
            <w:pPr>
              <w:pStyle w:val="Tabletext"/>
              <w:rPr>
                <w:szCs w:val="22"/>
                <w:lang w:val="fr-FR"/>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09CCAB9A" w14:textId="77777777" w:rsidR="007E01A2" w:rsidRPr="003A0703" w:rsidRDefault="007E01A2" w:rsidP="00721F37">
            <w:pPr>
              <w:pStyle w:val="Tabletext"/>
              <w:jc w:val="center"/>
              <w:rPr>
                <w:szCs w:val="22"/>
                <w:lang w:val="fr-FR"/>
              </w:rPr>
            </w:pPr>
            <w:r w:rsidRPr="003A0703">
              <w:rPr>
                <w:szCs w:val="22"/>
                <w:lang w:val="fr-FR"/>
              </w:rPr>
              <w:t>90</w:t>
            </w:r>
          </w:p>
        </w:tc>
        <w:tc>
          <w:tcPr>
            <w:tcW w:w="515" w:type="pct"/>
            <w:tcBorders>
              <w:top w:val="single" w:sz="4" w:space="0" w:color="auto"/>
              <w:left w:val="single" w:sz="4" w:space="0" w:color="auto"/>
              <w:bottom w:val="single" w:sz="4" w:space="0" w:color="auto"/>
              <w:right w:val="single" w:sz="4" w:space="0" w:color="auto"/>
            </w:tcBorders>
            <w:vAlign w:val="center"/>
            <w:hideMark/>
          </w:tcPr>
          <w:p w14:paraId="0BDFE394" w14:textId="77777777" w:rsidR="007E01A2" w:rsidRPr="003A0703" w:rsidRDefault="007E01A2" w:rsidP="00721F37">
            <w:pPr>
              <w:pStyle w:val="Tabletext"/>
              <w:jc w:val="center"/>
              <w:rPr>
                <w:szCs w:val="22"/>
                <w:lang w:val="fr-FR"/>
              </w:rPr>
            </w:pPr>
            <w:r w:rsidRPr="003A0703">
              <w:rPr>
                <w:szCs w:val="22"/>
                <w:lang w:val="fr-FR"/>
              </w:rPr>
              <w:t>8 062</w:t>
            </w:r>
          </w:p>
        </w:tc>
        <w:tc>
          <w:tcPr>
            <w:tcW w:w="1102" w:type="pct"/>
            <w:tcBorders>
              <w:top w:val="single" w:sz="4" w:space="0" w:color="auto"/>
              <w:left w:val="single" w:sz="4" w:space="0" w:color="auto"/>
              <w:bottom w:val="single" w:sz="4" w:space="0" w:color="auto"/>
              <w:right w:val="single" w:sz="4" w:space="0" w:color="auto"/>
            </w:tcBorders>
            <w:vAlign w:val="center"/>
            <w:hideMark/>
          </w:tcPr>
          <w:p w14:paraId="272A53D3" w14:textId="77777777" w:rsidR="007E01A2" w:rsidRPr="003A0703" w:rsidRDefault="007E01A2" w:rsidP="00721F37">
            <w:pPr>
              <w:pStyle w:val="Tabletext"/>
              <w:jc w:val="center"/>
              <w:rPr>
                <w:szCs w:val="22"/>
                <w:lang w:val="fr-FR"/>
              </w:rPr>
            </w:pPr>
            <w:r w:rsidRPr="003A0703">
              <w:rPr>
                <w:szCs w:val="22"/>
                <w:lang w:val="fr-FR"/>
              </w:rPr>
              <w:t>4 (répartis sur 180°)</w:t>
            </w:r>
          </w:p>
        </w:tc>
        <w:tc>
          <w:tcPr>
            <w:tcW w:w="661" w:type="pct"/>
            <w:tcBorders>
              <w:top w:val="single" w:sz="4" w:space="0" w:color="auto"/>
              <w:left w:val="single" w:sz="4" w:space="0" w:color="auto"/>
              <w:bottom w:val="single" w:sz="4" w:space="0" w:color="auto"/>
              <w:right w:val="single" w:sz="4" w:space="0" w:color="auto"/>
            </w:tcBorders>
            <w:vAlign w:val="center"/>
            <w:hideMark/>
          </w:tcPr>
          <w:p w14:paraId="1DDE7BD4" w14:textId="77777777" w:rsidR="007E01A2" w:rsidRPr="003A0703" w:rsidRDefault="007E01A2" w:rsidP="00721F37">
            <w:pPr>
              <w:pStyle w:val="Tabletext"/>
              <w:jc w:val="center"/>
              <w:rPr>
                <w:szCs w:val="22"/>
                <w:lang w:val="fr-FR"/>
              </w:rPr>
            </w:pPr>
            <w:r w:rsidRPr="003A0703">
              <w:rPr>
                <w:szCs w:val="22"/>
                <w:lang w:val="fr-FR"/>
              </w:rPr>
              <w:t>12</w:t>
            </w:r>
          </w:p>
        </w:tc>
        <w:tc>
          <w:tcPr>
            <w:tcW w:w="667" w:type="pct"/>
            <w:tcBorders>
              <w:top w:val="single" w:sz="4" w:space="0" w:color="auto"/>
              <w:left w:val="single" w:sz="4" w:space="0" w:color="auto"/>
              <w:bottom w:val="single" w:sz="4" w:space="0" w:color="auto"/>
              <w:right w:val="single" w:sz="4" w:space="0" w:color="auto"/>
            </w:tcBorders>
            <w:vAlign w:val="center"/>
            <w:hideMark/>
          </w:tcPr>
          <w:p w14:paraId="7B413400" w14:textId="77777777" w:rsidR="007E01A2" w:rsidRPr="003A0703" w:rsidRDefault="007E01A2" w:rsidP="00721F37">
            <w:pPr>
              <w:pStyle w:val="Tabletext"/>
              <w:jc w:val="center"/>
              <w:rPr>
                <w:szCs w:val="22"/>
                <w:lang w:val="fr-FR"/>
              </w:rPr>
            </w:pPr>
            <w:r w:rsidRPr="003A0703">
              <w:rPr>
                <w:szCs w:val="22"/>
                <w:lang w:val="fr-FR"/>
              </w:rPr>
              <w:t>48</w:t>
            </w:r>
          </w:p>
        </w:tc>
      </w:tr>
    </w:tbl>
    <w:p w14:paraId="1315A89F" w14:textId="77777777" w:rsidR="007E01A2" w:rsidRPr="003A0703" w:rsidRDefault="007E01A2" w:rsidP="003A3EF6">
      <w:pPr>
        <w:pStyle w:val="Tablefin"/>
        <w:rPr>
          <w:lang w:val="fr-FR"/>
        </w:rPr>
      </w:pPr>
    </w:p>
    <w:p w14:paraId="40F2A2CB" w14:textId="77777777" w:rsidR="007E01A2" w:rsidRPr="003A0703" w:rsidRDefault="007E01A2" w:rsidP="003A3EF6">
      <w:pPr>
        <w:pStyle w:val="TableNo"/>
        <w:rPr>
          <w:lang w:val="fr-FR"/>
        </w:rPr>
      </w:pPr>
      <w:r w:rsidRPr="003A0703">
        <w:rPr>
          <w:lang w:val="fr-FR"/>
        </w:rPr>
        <w:t>TABLEAU 4</w:t>
      </w:r>
    </w:p>
    <w:p w14:paraId="375C2714" w14:textId="77777777" w:rsidR="007E01A2" w:rsidRPr="003A0703" w:rsidRDefault="007E01A2" w:rsidP="003A3EF6">
      <w:pPr>
        <w:pStyle w:val="Tabletitle"/>
        <w:rPr>
          <w:lang w:val="fr-FR"/>
        </w:rPr>
      </w:pPr>
      <w:bookmarkStart w:id="20" w:name="_Toc82702000"/>
      <w:bookmarkStart w:id="21" w:name="_Toc82702184"/>
      <w:r w:rsidRPr="003A0703">
        <w:rPr>
          <w:lang w:val="fr-FR"/>
        </w:rPr>
        <w:t xml:space="preserve">Paramètres d'émission prévus pour les systèmes LEO et MEO </w:t>
      </w:r>
      <w:bookmarkEnd w:id="20"/>
      <w:bookmarkEnd w:id="21"/>
      <w:r w:rsidRPr="003A0703">
        <w:rPr>
          <w:lang w:val="fr-FR"/>
        </w:rPr>
        <w:t>du SFS</w:t>
      </w:r>
    </w:p>
    <w:tbl>
      <w:tblPr>
        <w:tblW w:w="9645" w:type="dxa"/>
        <w:jc w:val="center"/>
        <w:tblLayout w:type="fixed"/>
        <w:tblCellMar>
          <w:left w:w="28" w:type="dxa"/>
          <w:right w:w="28" w:type="dxa"/>
        </w:tblCellMar>
        <w:tblLook w:val="04A0" w:firstRow="1" w:lastRow="0" w:firstColumn="1" w:lastColumn="0" w:noHBand="0" w:noVBand="1"/>
      </w:tblPr>
      <w:tblGrid>
        <w:gridCol w:w="3680"/>
        <w:gridCol w:w="1844"/>
        <w:gridCol w:w="2267"/>
        <w:gridCol w:w="1854"/>
      </w:tblGrid>
      <w:tr w:rsidR="007E01A2" w:rsidRPr="003A0703" w14:paraId="1ABD7D85"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6554023B" w14:textId="77777777" w:rsidR="007E01A2" w:rsidRPr="003A0703" w:rsidRDefault="007E01A2" w:rsidP="003A3EF6">
            <w:pPr>
              <w:pStyle w:val="Tablehead"/>
              <w:rPr>
                <w:lang w:val="fr-FR"/>
              </w:rPr>
            </w:pPr>
            <w:r w:rsidRPr="003A0703">
              <w:rPr>
                <w:lang w:val="fr-FR"/>
              </w:rPr>
              <w:t>Constellation</w:t>
            </w:r>
          </w:p>
        </w:tc>
        <w:tc>
          <w:tcPr>
            <w:tcW w:w="956" w:type="pct"/>
            <w:tcBorders>
              <w:top w:val="single" w:sz="4" w:space="0" w:color="auto"/>
              <w:left w:val="single" w:sz="4" w:space="0" w:color="auto"/>
              <w:bottom w:val="single" w:sz="4" w:space="0" w:color="auto"/>
              <w:right w:val="single" w:sz="4" w:space="0" w:color="auto"/>
            </w:tcBorders>
            <w:hideMark/>
          </w:tcPr>
          <w:p w14:paraId="62E674B6" w14:textId="320099F2" w:rsidR="007E01A2" w:rsidRPr="003A0703" w:rsidRDefault="007E01A2" w:rsidP="00D34853">
            <w:pPr>
              <w:pStyle w:val="Tablehead"/>
              <w:rPr>
                <w:lang w:val="fr-FR"/>
              </w:rPr>
            </w:pPr>
            <w:r w:rsidRPr="003A0703">
              <w:rPr>
                <w:lang w:val="fr-FR"/>
              </w:rPr>
              <w:t>(N</w:t>
            </w:r>
            <w:r w:rsidR="00D34853" w:rsidRPr="003A0703">
              <w:rPr>
                <w:lang w:val="fr-FR"/>
              </w:rPr>
              <w:t>°</w:t>
            </w:r>
            <w:r w:rsidRPr="003A0703">
              <w:rPr>
                <w:vertAlign w:val="superscript"/>
                <w:lang w:val="fr-FR"/>
              </w:rPr>
              <w:t> </w:t>
            </w:r>
            <w:r w:rsidRPr="003A0703">
              <w:rPr>
                <w:lang w:val="fr-FR"/>
              </w:rPr>
              <w:t>1) LEO</w:t>
            </w:r>
          </w:p>
        </w:tc>
        <w:tc>
          <w:tcPr>
            <w:tcW w:w="1175" w:type="pct"/>
            <w:tcBorders>
              <w:top w:val="single" w:sz="4" w:space="0" w:color="auto"/>
              <w:left w:val="single" w:sz="4" w:space="0" w:color="auto"/>
              <w:bottom w:val="single" w:sz="4" w:space="0" w:color="auto"/>
              <w:right w:val="single" w:sz="4" w:space="0" w:color="auto"/>
            </w:tcBorders>
            <w:hideMark/>
          </w:tcPr>
          <w:p w14:paraId="3E185DCF" w14:textId="1ECB1E29" w:rsidR="007E01A2" w:rsidRPr="003A0703" w:rsidRDefault="007E01A2" w:rsidP="00D34853">
            <w:pPr>
              <w:pStyle w:val="Tablehead"/>
              <w:rPr>
                <w:lang w:val="fr-FR"/>
              </w:rPr>
            </w:pPr>
            <w:r w:rsidRPr="003A0703">
              <w:rPr>
                <w:lang w:val="fr-FR"/>
              </w:rPr>
              <w:t>(N</w:t>
            </w:r>
            <w:r w:rsidR="00D34853" w:rsidRPr="003A0703">
              <w:rPr>
                <w:lang w:val="fr-FR"/>
              </w:rPr>
              <w:t>°</w:t>
            </w:r>
            <w:r w:rsidRPr="003A0703">
              <w:rPr>
                <w:vertAlign w:val="superscript"/>
                <w:lang w:val="fr-FR"/>
              </w:rPr>
              <w:t> </w:t>
            </w:r>
            <w:r w:rsidRPr="003A0703">
              <w:rPr>
                <w:lang w:val="fr-FR"/>
              </w:rPr>
              <w:t>2) LEO</w:t>
            </w:r>
          </w:p>
        </w:tc>
        <w:tc>
          <w:tcPr>
            <w:tcW w:w="961" w:type="pct"/>
            <w:tcBorders>
              <w:top w:val="single" w:sz="4" w:space="0" w:color="auto"/>
              <w:left w:val="single" w:sz="4" w:space="0" w:color="auto"/>
              <w:bottom w:val="single" w:sz="4" w:space="0" w:color="auto"/>
              <w:right w:val="single" w:sz="4" w:space="0" w:color="auto"/>
            </w:tcBorders>
            <w:hideMark/>
          </w:tcPr>
          <w:p w14:paraId="47D3930F" w14:textId="44EE4E4B" w:rsidR="007E01A2" w:rsidRPr="003A0703" w:rsidRDefault="007E01A2" w:rsidP="00D34853">
            <w:pPr>
              <w:pStyle w:val="Tablehead"/>
              <w:rPr>
                <w:lang w:val="fr-FR"/>
              </w:rPr>
            </w:pPr>
            <w:r w:rsidRPr="003A0703">
              <w:rPr>
                <w:lang w:val="fr-FR"/>
              </w:rPr>
              <w:t>(N</w:t>
            </w:r>
            <w:r w:rsidR="00D34853" w:rsidRPr="003A0703">
              <w:rPr>
                <w:lang w:val="fr-FR"/>
              </w:rPr>
              <w:t>°</w:t>
            </w:r>
            <w:r w:rsidRPr="003A0703">
              <w:rPr>
                <w:vertAlign w:val="superscript"/>
                <w:lang w:val="fr-FR"/>
              </w:rPr>
              <w:t> </w:t>
            </w:r>
            <w:r w:rsidRPr="003A0703">
              <w:rPr>
                <w:lang w:val="fr-FR"/>
              </w:rPr>
              <w:t>3) MEO</w:t>
            </w:r>
          </w:p>
        </w:tc>
      </w:tr>
      <w:tr w:rsidR="007E01A2" w:rsidRPr="003A0703" w14:paraId="755D9B05" w14:textId="77777777" w:rsidTr="007E01A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2850D56" w14:textId="77777777" w:rsidR="007E01A2" w:rsidRPr="003A0703" w:rsidRDefault="007E01A2" w:rsidP="00D34853">
            <w:pPr>
              <w:pStyle w:val="Tablehead"/>
              <w:jc w:val="left"/>
              <w:rPr>
                <w:lang w:val="fr-FR"/>
              </w:rPr>
            </w:pPr>
            <w:r w:rsidRPr="003A0703">
              <w:rPr>
                <w:lang w:val="fr-FR"/>
              </w:rPr>
              <w:t>Satellite</w:t>
            </w:r>
          </w:p>
        </w:tc>
      </w:tr>
      <w:tr w:rsidR="007E01A2" w:rsidRPr="003A0703" w14:paraId="2F1ADB87"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2310F58C" w14:textId="77777777" w:rsidR="007E01A2" w:rsidRPr="003A0703" w:rsidRDefault="007E01A2" w:rsidP="00D34853">
            <w:pPr>
              <w:pStyle w:val="Tabletext"/>
              <w:ind w:left="169"/>
              <w:jc w:val="left"/>
              <w:rPr>
                <w:lang w:val="fr-FR"/>
              </w:rPr>
            </w:pPr>
            <w:r w:rsidRPr="003A0703">
              <w:rPr>
                <w:lang w:val="fr-FR"/>
              </w:rPr>
              <w:t>Gain de l'antenne (dBi)</w:t>
            </w:r>
          </w:p>
        </w:tc>
        <w:tc>
          <w:tcPr>
            <w:tcW w:w="956" w:type="pct"/>
            <w:tcBorders>
              <w:top w:val="single" w:sz="4" w:space="0" w:color="auto"/>
              <w:left w:val="single" w:sz="4" w:space="0" w:color="auto"/>
              <w:bottom w:val="single" w:sz="4" w:space="0" w:color="auto"/>
              <w:right w:val="single" w:sz="4" w:space="0" w:color="auto"/>
            </w:tcBorders>
            <w:hideMark/>
          </w:tcPr>
          <w:p w14:paraId="5CA8B088" w14:textId="1579639D" w:rsidR="007E01A2" w:rsidRPr="003A0703" w:rsidRDefault="007E01A2" w:rsidP="00D34853">
            <w:pPr>
              <w:pStyle w:val="Tabletext"/>
              <w:jc w:val="center"/>
              <w:rPr>
                <w:lang w:val="fr-FR"/>
              </w:rPr>
            </w:pPr>
            <w:r w:rsidRPr="003A0703">
              <w:rPr>
                <w:lang w:val="fr-FR"/>
              </w:rPr>
              <w:t>34,1</w:t>
            </w:r>
            <w:r w:rsidR="00D34853" w:rsidRPr="003A0703">
              <w:rPr>
                <w:lang w:val="fr-FR"/>
              </w:rPr>
              <w:t>;</w:t>
            </w:r>
            <w:r w:rsidRPr="003A0703">
              <w:rPr>
                <w:lang w:val="fr-FR"/>
              </w:rPr>
              <w:t xml:space="preserve"> 42,6</w:t>
            </w:r>
            <w:r w:rsidR="00D34853" w:rsidRPr="003A0703">
              <w:rPr>
                <w:lang w:val="fr-FR"/>
              </w:rPr>
              <w:t>;</w:t>
            </w:r>
            <w:r w:rsidRPr="003A0703">
              <w:rPr>
                <w:lang w:val="fr-FR"/>
              </w:rPr>
              <w:t xml:space="preserve"> 50,6</w:t>
            </w:r>
          </w:p>
        </w:tc>
        <w:tc>
          <w:tcPr>
            <w:tcW w:w="1175" w:type="pct"/>
            <w:tcBorders>
              <w:top w:val="single" w:sz="4" w:space="0" w:color="auto"/>
              <w:left w:val="single" w:sz="4" w:space="0" w:color="auto"/>
              <w:bottom w:val="single" w:sz="4" w:space="0" w:color="auto"/>
              <w:right w:val="single" w:sz="4" w:space="0" w:color="auto"/>
            </w:tcBorders>
            <w:hideMark/>
          </w:tcPr>
          <w:p w14:paraId="4E8945D8" w14:textId="58D5C361" w:rsidR="007E01A2" w:rsidRPr="003A0703" w:rsidRDefault="007E01A2" w:rsidP="00D34853">
            <w:pPr>
              <w:pStyle w:val="Tabletext"/>
              <w:jc w:val="center"/>
              <w:rPr>
                <w:lang w:val="fr-FR"/>
              </w:rPr>
            </w:pPr>
            <w:r w:rsidRPr="003A0703">
              <w:rPr>
                <w:lang w:val="fr-FR"/>
              </w:rPr>
              <w:t>47,8</w:t>
            </w:r>
            <w:r w:rsidR="00D34853" w:rsidRPr="003A0703">
              <w:rPr>
                <w:lang w:val="fr-FR"/>
              </w:rPr>
              <w:t>;</w:t>
            </w:r>
            <w:r w:rsidRPr="003A0703">
              <w:rPr>
                <w:lang w:val="fr-FR"/>
              </w:rPr>
              <w:t xml:space="preserve"> 51,9</w:t>
            </w:r>
            <w:r w:rsidR="00D34853" w:rsidRPr="003A0703">
              <w:rPr>
                <w:lang w:val="fr-FR"/>
              </w:rPr>
              <w:t>;</w:t>
            </w:r>
            <w:r w:rsidRPr="003A0703">
              <w:rPr>
                <w:lang w:val="fr-FR"/>
              </w:rPr>
              <w:t xml:space="preserve"> 55,5</w:t>
            </w:r>
          </w:p>
        </w:tc>
        <w:tc>
          <w:tcPr>
            <w:tcW w:w="961" w:type="pct"/>
            <w:tcBorders>
              <w:top w:val="single" w:sz="4" w:space="0" w:color="auto"/>
              <w:left w:val="single" w:sz="4" w:space="0" w:color="auto"/>
              <w:bottom w:val="single" w:sz="4" w:space="0" w:color="auto"/>
              <w:right w:val="single" w:sz="4" w:space="0" w:color="auto"/>
            </w:tcBorders>
            <w:hideMark/>
          </w:tcPr>
          <w:p w14:paraId="034953A7" w14:textId="77EC58C1" w:rsidR="007E01A2" w:rsidRPr="003A0703" w:rsidRDefault="007E01A2" w:rsidP="00D34853">
            <w:pPr>
              <w:pStyle w:val="Tabletext"/>
              <w:jc w:val="center"/>
              <w:rPr>
                <w:lang w:val="fr-FR"/>
              </w:rPr>
            </w:pPr>
            <w:r w:rsidRPr="003A0703">
              <w:rPr>
                <w:lang w:val="fr-FR"/>
              </w:rPr>
              <w:t>25</w:t>
            </w:r>
            <w:r w:rsidR="00D34853" w:rsidRPr="003A0703">
              <w:rPr>
                <w:lang w:val="fr-FR"/>
              </w:rPr>
              <w:t>;</w:t>
            </w:r>
            <w:r w:rsidRPr="003A0703">
              <w:rPr>
                <w:lang w:val="fr-FR"/>
              </w:rPr>
              <w:t xml:space="preserve"> 35</w:t>
            </w:r>
            <w:r w:rsidR="00D34853" w:rsidRPr="003A0703">
              <w:rPr>
                <w:lang w:val="fr-FR"/>
              </w:rPr>
              <w:t>;</w:t>
            </w:r>
            <w:r w:rsidRPr="003A0703">
              <w:rPr>
                <w:lang w:val="fr-FR"/>
              </w:rPr>
              <w:t xml:space="preserve"> 45</w:t>
            </w:r>
          </w:p>
        </w:tc>
      </w:tr>
      <w:tr w:rsidR="007E01A2" w:rsidRPr="006036EE" w14:paraId="614A2486"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346483D1" w14:textId="77777777" w:rsidR="007E01A2" w:rsidRPr="003A0703" w:rsidRDefault="007E01A2" w:rsidP="00D34853">
            <w:pPr>
              <w:pStyle w:val="Tabletext"/>
              <w:ind w:left="169"/>
              <w:jc w:val="left"/>
              <w:rPr>
                <w:lang w:val="fr-FR"/>
              </w:rPr>
            </w:pPr>
            <w:r w:rsidRPr="003A0703">
              <w:rPr>
                <w:lang w:val="fr-FR"/>
              </w:rPr>
              <w:t>Diagramme d'antenne</w:t>
            </w:r>
          </w:p>
        </w:tc>
        <w:tc>
          <w:tcPr>
            <w:tcW w:w="956" w:type="pct"/>
            <w:tcBorders>
              <w:top w:val="single" w:sz="4" w:space="0" w:color="auto"/>
              <w:left w:val="single" w:sz="4" w:space="0" w:color="auto"/>
              <w:bottom w:val="single" w:sz="4" w:space="0" w:color="auto"/>
              <w:right w:val="single" w:sz="4" w:space="0" w:color="auto"/>
            </w:tcBorders>
            <w:hideMark/>
          </w:tcPr>
          <w:p w14:paraId="0F21B522" w14:textId="77777777" w:rsidR="007E01A2" w:rsidRPr="003A0703" w:rsidRDefault="007E01A2" w:rsidP="00D34853">
            <w:pPr>
              <w:pStyle w:val="Tabletext"/>
              <w:jc w:val="center"/>
              <w:rPr>
                <w:lang w:val="fr-FR"/>
              </w:rPr>
            </w:pPr>
            <w:r w:rsidRPr="003A0703">
              <w:rPr>
                <w:lang w:val="fr-FR"/>
              </w:rPr>
              <w:t xml:space="preserve">Rec. UIT-R S.1528 </w:t>
            </w:r>
            <w:r w:rsidRPr="003A0703">
              <w:rPr>
                <w:lang w:val="fr-FR"/>
              </w:rPr>
              <w:br/>
            </w:r>
            <w:r w:rsidRPr="003A0703">
              <w:rPr>
                <w:i/>
                <w:iCs/>
                <w:lang w:val="fr-FR"/>
              </w:rPr>
              <w:t>L</w:t>
            </w:r>
            <w:r w:rsidRPr="003A0703">
              <w:rPr>
                <w:i/>
                <w:iCs/>
                <w:vertAlign w:val="subscript"/>
                <w:lang w:val="fr-FR"/>
              </w:rPr>
              <w:t>s</w:t>
            </w:r>
            <w:r w:rsidRPr="003A0703">
              <w:rPr>
                <w:lang w:val="fr-FR"/>
              </w:rPr>
              <w:t xml:space="preserve"> = −25</w:t>
            </w:r>
          </w:p>
        </w:tc>
        <w:tc>
          <w:tcPr>
            <w:tcW w:w="1175" w:type="pct"/>
            <w:tcBorders>
              <w:top w:val="single" w:sz="4" w:space="0" w:color="auto"/>
              <w:left w:val="single" w:sz="4" w:space="0" w:color="auto"/>
              <w:bottom w:val="single" w:sz="4" w:space="0" w:color="auto"/>
              <w:right w:val="single" w:sz="4" w:space="0" w:color="auto"/>
            </w:tcBorders>
            <w:hideMark/>
          </w:tcPr>
          <w:p w14:paraId="1B2E826A" w14:textId="0C8C3985" w:rsidR="007E01A2" w:rsidRPr="003A0703" w:rsidRDefault="007E01A2" w:rsidP="00D34853">
            <w:pPr>
              <w:pStyle w:val="Tabletext"/>
              <w:jc w:val="center"/>
              <w:rPr>
                <w:lang w:val="fr-FR"/>
              </w:rPr>
            </w:pPr>
            <w:r w:rsidRPr="003A0703">
              <w:rPr>
                <w:lang w:val="fr-FR"/>
              </w:rPr>
              <w:t>Rec. UIT-R</w:t>
            </w:r>
            <w:r w:rsidR="00E343BA" w:rsidRPr="003A0703">
              <w:rPr>
                <w:lang w:val="fr-FR"/>
              </w:rPr>
              <w:t xml:space="preserve"> </w:t>
            </w:r>
            <w:r w:rsidRPr="003A0703">
              <w:rPr>
                <w:lang w:val="fr-FR"/>
              </w:rPr>
              <w:t xml:space="preserve">S.1528 </w:t>
            </w:r>
            <w:r w:rsidRPr="003A0703">
              <w:rPr>
                <w:lang w:val="fr-FR"/>
              </w:rPr>
              <w:br/>
            </w:r>
            <w:r w:rsidRPr="003A0703">
              <w:rPr>
                <w:i/>
                <w:iCs/>
                <w:lang w:val="fr-FR"/>
              </w:rPr>
              <w:t>L</w:t>
            </w:r>
            <w:r w:rsidRPr="003A0703">
              <w:rPr>
                <w:i/>
                <w:iCs/>
                <w:vertAlign w:val="subscript"/>
                <w:lang w:val="fr-FR"/>
              </w:rPr>
              <w:t>s</w:t>
            </w:r>
            <w:r w:rsidRPr="003A0703">
              <w:rPr>
                <w:lang w:val="fr-FR"/>
              </w:rPr>
              <w:t xml:space="preserve"> = −25</w:t>
            </w:r>
          </w:p>
        </w:tc>
        <w:tc>
          <w:tcPr>
            <w:tcW w:w="961" w:type="pct"/>
            <w:tcBorders>
              <w:top w:val="single" w:sz="4" w:space="0" w:color="auto"/>
              <w:left w:val="single" w:sz="4" w:space="0" w:color="auto"/>
              <w:bottom w:val="single" w:sz="4" w:space="0" w:color="auto"/>
              <w:right w:val="single" w:sz="4" w:space="0" w:color="auto"/>
            </w:tcBorders>
            <w:hideMark/>
          </w:tcPr>
          <w:p w14:paraId="624DE4A9" w14:textId="77777777" w:rsidR="007E01A2" w:rsidRPr="003A0703" w:rsidRDefault="007E01A2" w:rsidP="00D34853">
            <w:pPr>
              <w:pStyle w:val="Tabletext"/>
              <w:jc w:val="center"/>
              <w:rPr>
                <w:lang w:val="fr-FR"/>
              </w:rPr>
            </w:pPr>
            <w:r w:rsidRPr="003A0703">
              <w:rPr>
                <w:lang w:val="fr-FR"/>
              </w:rPr>
              <w:t xml:space="preserve">Rec. UIT-R S.1528 </w:t>
            </w:r>
            <w:r w:rsidRPr="003A0703">
              <w:rPr>
                <w:lang w:val="fr-FR"/>
              </w:rPr>
              <w:br/>
              <w:t>(</w:t>
            </w:r>
            <w:r w:rsidRPr="003A0703">
              <w:rPr>
                <w:i/>
                <w:iCs/>
                <w:lang w:val="fr-FR"/>
              </w:rPr>
              <w:t>L</w:t>
            </w:r>
            <w:r w:rsidRPr="003A0703">
              <w:rPr>
                <w:i/>
                <w:iCs/>
                <w:vertAlign w:val="subscript"/>
                <w:lang w:val="fr-FR"/>
              </w:rPr>
              <w:t>s</w:t>
            </w:r>
            <w:r w:rsidRPr="003A0703">
              <w:rPr>
                <w:lang w:val="fr-FR"/>
              </w:rPr>
              <w:t xml:space="preserve"> = −25)</w:t>
            </w:r>
          </w:p>
        </w:tc>
      </w:tr>
      <w:tr w:rsidR="007E01A2" w:rsidRPr="003A0703" w14:paraId="0EB442A3"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74680F8E" w14:textId="77777777" w:rsidR="007E01A2" w:rsidRPr="003A0703" w:rsidRDefault="007E01A2" w:rsidP="00D34853">
            <w:pPr>
              <w:pStyle w:val="Tabletext"/>
              <w:ind w:left="169"/>
              <w:jc w:val="left"/>
              <w:rPr>
                <w:lang w:val="fr-FR"/>
              </w:rPr>
            </w:pPr>
            <w:r w:rsidRPr="003A0703">
              <w:rPr>
                <w:lang w:val="fr-FR"/>
              </w:rPr>
              <w:t>Densité de puissance de crête (dBW/Hz)</w:t>
            </w:r>
          </w:p>
        </w:tc>
        <w:tc>
          <w:tcPr>
            <w:tcW w:w="956" w:type="pct"/>
            <w:tcBorders>
              <w:top w:val="single" w:sz="4" w:space="0" w:color="auto"/>
              <w:left w:val="single" w:sz="4" w:space="0" w:color="auto"/>
              <w:bottom w:val="single" w:sz="4" w:space="0" w:color="auto"/>
              <w:right w:val="single" w:sz="4" w:space="0" w:color="auto"/>
            </w:tcBorders>
            <w:hideMark/>
          </w:tcPr>
          <w:p w14:paraId="5729A37C" w14:textId="77777777" w:rsidR="007E01A2" w:rsidRPr="003A0703" w:rsidRDefault="007E01A2" w:rsidP="00D34853">
            <w:pPr>
              <w:pStyle w:val="Tabletext"/>
              <w:jc w:val="center"/>
              <w:rPr>
                <w:lang w:val="fr-FR"/>
              </w:rPr>
            </w:pPr>
            <w:r w:rsidRPr="003A0703">
              <w:rPr>
                <w:lang w:val="fr-FR"/>
              </w:rPr>
              <w:t>−67</w:t>
            </w:r>
          </w:p>
        </w:tc>
        <w:tc>
          <w:tcPr>
            <w:tcW w:w="1175" w:type="pct"/>
            <w:tcBorders>
              <w:top w:val="single" w:sz="4" w:space="0" w:color="auto"/>
              <w:left w:val="single" w:sz="4" w:space="0" w:color="auto"/>
              <w:bottom w:val="single" w:sz="4" w:space="0" w:color="auto"/>
              <w:right w:val="single" w:sz="4" w:space="0" w:color="auto"/>
            </w:tcBorders>
            <w:hideMark/>
          </w:tcPr>
          <w:p w14:paraId="7371B146" w14:textId="77777777" w:rsidR="007E01A2" w:rsidRPr="003A0703" w:rsidRDefault="007E01A2" w:rsidP="00D34853">
            <w:pPr>
              <w:pStyle w:val="Tabletext"/>
              <w:jc w:val="center"/>
              <w:rPr>
                <w:lang w:val="fr-FR"/>
              </w:rPr>
            </w:pPr>
            <w:r w:rsidRPr="003A0703">
              <w:rPr>
                <w:lang w:val="fr-FR"/>
              </w:rPr>
              <w:t>−67,6</w:t>
            </w:r>
          </w:p>
        </w:tc>
        <w:tc>
          <w:tcPr>
            <w:tcW w:w="961" w:type="pct"/>
            <w:tcBorders>
              <w:top w:val="single" w:sz="4" w:space="0" w:color="auto"/>
              <w:left w:val="single" w:sz="4" w:space="0" w:color="auto"/>
              <w:bottom w:val="single" w:sz="4" w:space="0" w:color="auto"/>
              <w:right w:val="single" w:sz="4" w:space="0" w:color="auto"/>
            </w:tcBorders>
            <w:hideMark/>
          </w:tcPr>
          <w:p w14:paraId="6BAAB37A" w14:textId="77777777" w:rsidR="007E01A2" w:rsidRPr="003A0703" w:rsidRDefault="007E01A2" w:rsidP="00D34853">
            <w:pPr>
              <w:pStyle w:val="Tabletext"/>
              <w:jc w:val="center"/>
              <w:rPr>
                <w:lang w:val="fr-FR"/>
              </w:rPr>
            </w:pPr>
            <w:r w:rsidRPr="003A0703">
              <w:rPr>
                <w:lang w:val="fr-FR"/>
              </w:rPr>
              <w:t>−62,1</w:t>
            </w:r>
          </w:p>
        </w:tc>
      </w:tr>
      <w:tr w:rsidR="007E01A2" w:rsidRPr="003A0703" w14:paraId="59AFDF85"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346D2FAC" w14:textId="77777777" w:rsidR="007E01A2" w:rsidRPr="003A0703" w:rsidRDefault="007E01A2" w:rsidP="00D34853">
            <w:pPr>
              <w:pStyle w:val="Tabletext"/>
              <w:ind w:left="169"/>
              <w:jc w:val="left"/>
              <w:rPr>
                <w:lang w:val="fr-FR"/>
              </w:rPr>
            </w:pPr>
            <w:r w:rsidRPr="003A0703">
              <w:rPr>
                <w:lang w:val="fr-FR"/>
              </w:rPr>
              <w:t>p.i.r.e. (dBW)</w:t>
            </w:r>
          </w:p>
        </w:tc>
        <w:tc>
          <w:tcPr>
            <w:tcW w:w="956" w:type="pct"/>
            <w:tcBorders>
              <w:top w:val="single" w:sz="4" w:space="0" w:color="auto"/>
              <w:left w:val="single" w:sz="4" w:space="0" w:color="auto"/>
              <w:bottom w:val="single" w:sz="4" w:space="0" w:color="auto"/>
              <w:right w:val="single" w:sz="4" w:space="0" w:color="auto"/>
            </w:tcBorders>
            <w:hideMark/>
          </w:tcPr>
          <w:p w14:paraId="5BCAA5C3" w14:textId="4F7BE744" w:rsidR="007E01A2" w:rsidRPr="003A0703" w:rsidRDefault="007E01A2" w:rsidP="00D34853">
            <w:pPr>
              <w:pStyle w:val="Tabletext"/>
              <w:jc w:val="center"/>
              <w:rPr>
                <w:lang w:val="fr-FR"/>
              </w:rPr>
            </w:pPr>
            <w:r w:rsidRPr="003A0703">
              <w:rPr>
                <w:lang w:val="fr-FR"/>
              </w:rPr>
              <w:t>54,1</w:t>
            </w:r>
            <w:r w:rsidR="00D34853" w:rsidRPr="003A0703">
              <w:rPr>
                <w:lang w:val="fr-FR"/>
              </w:rPr>
              <w:t>;</w:t>
            </w:r>
            <w:r w:rsidRPr="003A0703">
              <w:rPr>
                <w:lang w:val="fr-FR"/>
              </w:rPr>
              <w:t xml:space="preserve"> 62,6</w:t>
            </w:r>
            <w:r w:rsidR="00D34853" w:rsidRPr="003A0703">
              <w:rPr>
                <w:lang w:val="fr-FR"/>
              </w:rPr>
              <w:t>;</w:t>
            </w:r>
            <w:r w:rsidRPr="003A0703">
              <w:rPr>
                <w:lang w:val="fr-FR"/>
              </w:rPr>
              <w:t xml:space="preserve"> 70,6</w:t>
            </w:r>
          </w:p>
        </w:tc>
        <w:tc>
          <w:tcPr>
            <w:tcW w:w="1175" w:type="pct"/>
            <w:tcBorders>
              <w:top w:val="single" w:sz="4" w:space="0" w:color="auto"/>
              <w:left w:val="single" w:sz="4" w:space="0" w:color="auto"/>
              <w:bottom w:val="single" w:sz="4" w:space="0" w:color="auto"/>
              <w:right w:val="single" w:sz="4" w:space="0" w:color="auto"/>
            </w:tcBorders>
            <w:hideMark/>
          </w:tcPr>
          <w:p w14:paraId="0846003C" w14:textId="416784AA" w:rsidR="007E01A2" w:rsidRPr="003A0703" w:rsidRDefault="007E01A2" w:rsidP="00D34853">
            <w:pPr>
              <w:pStyle w:val="Tabletext"/>
              <w:jc w:val="center"/>
              <w:rPr>
                <w:lang w:val="fr-FR"/>
              </w:rPr>
            </w:pPr>
            <w:r w:rsidRPr="003A0703">
              <w:rPr>
                <w:lang w:val="fr-FR"/>
              </w:rPr>
              <w:t>54</w:t>
            </w:r>
            <w:r w:rsidR="00D34853" w:rsidRPr="003A0703">
              <w:rPr>
                <w:lang w:val="fr-FR"/>
              </w:rPr>
              <w:t>;</w:t>
            </w:r>
            <w:r w:rsidRPr="003A0703">
              <w:rPr>
                <w:lang w:val="fr-FR"/>
              </w:rPr>
              <w:t xml:space="preserve"> 60,7</w:t>
            </w:r>
          </w:p>
        </w:tc>
        <w:tc>
          <w:tcPr>
            <w:tcW w:w="961" w:type="pct"/>
            <w:tcBorders>
              <w:top w:val="single" w:sz="4" w:space="0" w:color="auto"/>
              <w:left w:val="single" w:sz="4" w:space="0" w:color="auto"/>
              <w:bottom w:val="single" w:sz="4" w:space="0" w:color="auto"/>
              <w:right w:val="single" w:sz="4" w:space="0" w:color="auto"/>
            </w:tcBorders>
            <w:hideMark/>
          </w:tcPr>
          <w:p w14:paraId="0083C1D6" w14:textId="3276AA7F" w:rsidR="007E01A2" w:rsidRPr="003A0703" w:rsidRDefault="007E01A2" w:rsidP="00D34853">
            <w:pPr>
              <w:pStyle w:val="Tabletext"/>
              <w:jc w:val="center"/>
              <w:rPr>
                <w:lang w:val="fr-FR"/>
              </w:rPr>
            </w:pPr>
            <w:r w:rsidRPr="003A0703">
              <w:rPr>
                <w:lang w:val="fr-FR"/>
              </w:rPr>
              <w:t>46,9</w:t>
            </w:r>
            <w:r w:rsidR="00D34853" w:rsidRPr="003A0703">
              <w:rPr>
                <w:lang w:val="fr-FR"/>
              </w:rPr>
              <w:t>;</w:t>
            </w:r>
            <w:r w:rsidRPr="003A0703">
              <w:rPr>
                <w:lang w:val="fr-FR"/>
              </w:rPr>
              <w:t xml:space="preserve"> 56,9</w:t>
            </w:r>
            <w:r w:rsidR="00D34853" w:rsidRPr="003A0703">
              <w:rPr>
                <w:lang w:val="fr-FR"/>
              </w:rPr>
              <w:t>;</w:t>
            </w:r>
            <w:r w:rsidRPr="003A0703">
              <w:rPr>
                <w:lang w:val="fr-FR"/>
              </w:rPr>
              <w:t xml:space="preserve"> 66,9</w:t>
            </w:r>
          </w:p>
        </w:tc>
      </w:tr>
      <w:tr w:rsidR="007E01A2" w:rsidRPr="003A0703" w14:paraId="78D1AA3D" w14:textId="77777777" w:rsidTr="007E01A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B1ED4AC" w14:textId="77777777" w:rsidR="007E01A2" w:rsidRPr="003A0703" w:rsidRDefault="007E01A2" w:rsidP="00D34853">
            <w:pPr>
              <w:pStyle w:val="Tablehead"/>
              <w:jc w:val="left"/>
              <w:rPr>
                <w:b w:val="0"/>
                <w:bCs/>
                <w:lang w:val="fr-FR"/>
              </w:rPr>
            </w:pPr>
            <w:r w:rsidRPr="003A0703">
              <w:rPr>
                <w:lang w:val="fr-FR"/>
              </w:rPr>
              <w:t>Station terrienne</w:t>
            </w:r>
          </w:p>
        </w:tc>
      </w:tr>
      <w:tr w:rsidR="007E01A2" w:rsidRPr="003A0703" w14:paraId="4A62FFA8"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1E7CEB9C" w14:textId="77777777" w:rsidR="007E01A2" w:rsidRPr="003A0703" w:rsidRDefault="007E01A2" w:rsidP="00D34853">
            <w:pPr>
              <w:pStyle w:val="Tabletext"/>
              <w:ind w:left="169"/>
              <w:jc w:val="left"/>
              <w:rPr>
                <w:lang w:val="fr-FR"/>
              </w:rPr>
            </w:pPr>
            <w:r w:rsidRPr="003A0703">
              <w:rPr>
                <w:lang w:val="fr-FR"/>
              </w:rPr>
              <w:t>Gain de l'antenne (dBi)</w:t>
            </w:r>
          </w:p>
        </w:tc>
        <w:tc>
          <w:tcPr>
            <w:tcW w:w="956" w:type="pct"/>
            <w:tcBorders>
              <w:top w:val="single" w:sz="4" w:space="0" w:color="auto"/>
              <w:left w:val="single" w:sz="4" w:space="0" w:color="auto"/>
              <w:bottom w:val="single" w:sz="4" w:space="0" w:color="auto"/>
              <w:right w:val="single" w:sz="4" w:space="0" w:color="auto"/>
            </w:tcBorders>
            <w:hideMark/>
          </w:tcPr>
          <w:p w14:paraId="3967867B" w14:textId="6C54BD95" w:rsidR="007E01A2" w:rsidRPr="003A0703" w:rsidRDefault="007E01A2" w:rsidP="00D34853">
            <w:pPr>
              <w:pStyle w:val="Tabletext"/>
              <w:jc w:val="center"/>
              <w:rPr>
                <w:lang w:val="fr-FR"/>
              </w:rPr>
            </w:pPr>
            <w:r w:rsidRPr="003A0703">
              <w:rPr>
                <w:lang w:val="fr-FR"/>
              </w:rPr>
              <w:t>36,6</w:t>
            </w:r>
            <w:r w:rsidR="00D34853" w:rsidRPr="003A0703">
              <w:rPr>
                <w:lang w:val="fr-FR"/>
              </w:rPr>
              <w:t>;</w:t>
            </w:r>
            <w:r w:rsidRPr="003A0703">
              <w:rPr>
                <w:lang w:val="fr-FR"/>
              </w:rPr>
              <w:t xml:space="preserve"> 42,6</w:t>
            </w:r>
            <w:r w:rsidR="00D34853" w:rsidRPr="003A0703">
              <w:rPr>
                <w:lang w:val="fr-FR"/>
              </w:rPr>
              <w:t>;</w:t>
            </w:r>
            <w:r w:rsidRPr="003A0703">
              <w:rPr>
                <w:lang w:val="fr-FR"/>
              </w:rPr>
              <w:t xml:space="preserve"> 48,6</w:t>
            </w:r>
            <w:r w:rsidR="00D34853" w:rsidRPr="003A0703">
              <w:rPr>
                <w:lang w:val="fr-FR"/>
              </w:rPr>
              <w:t>;</w:t>
            </w:r>
            <w:r w:rsidRPr="003A0703">
              <w:rPr>
                <w:lang w:val="fr-FR"/>
              </w:rPr>
              <w:t xml:space="preserve"> 55,7</w:t>
            </w:r>
            <w:r w:rsidR="00D34853" w:rsidRPr="003A0703">
              <w:rPr>
                <w:lang w:val="fr-FR"/>
              </w:rPr>
              <w:t>;</w:t>
            </w:r>
            <w:r w:rsidRPr="003A0703">
              <w:rPr>
                <w:lang w:val="fr-FR"/>
              </w:rPr>
              <w:t xml:space="preserve"> 61,9</w:t>
            </w:r>
          </w:p>
        </w:tc>
        <w:tc>
          <w:tcPr>
            <w:tcW w:w="1175" w:type="pct"/>
            <w:tcBorders>
              <w:top w:val="single" w:sz="4" w:space="0" w:color="auto"/>
              <w:left w:val="single" w:sz="4" w:space="0" w:color="auto"/>
              <w:bottom w:val="single" w:sz="4" w:space="0" w:color="auto"/>
              <w:right w:val="single" w:sz="4" w:space="0" w:color="auto"/>
            </w:tcBorders>
            <w:hideMark/>
          </w:tcPr>
          <w:p w14:paraId="539EE91C" w14:textId="0DA5717B" w:rsidR="007E01A2" w:rsidRPr="003A0703" w:rsidRDefault="007E01A2" w:rsidP="00D34853">
            <w:pPr>
              <w:pStyle w:val="Tabletext"/>
              <w:jc w:val="center"/>
              <w:rPr>
                <w:lang w:val="fr-FR"/>
              </w:rPr>
            </w:pPr>
            <w:r w:rsidRPr="003A0703">
              <w:rPr>
                <w:lang w:val="fr-FR"/>
              </w:rPr>
              <w:t>47,8</w:t>
            </w:r>
            <w:r w:rsidR="00D34853" w:rsidRPr="003A0703">
              <w:rPr>
                <w:lang w:val="fr-FR"/>
              </w:rPr>
              <w:t>;</w:t>
            </w:r>
            <w:r w:rsidRPr="003A0703">
              <w:rPr>
                <w:lang w:val="fr-FR"/>
              </w:rPr>
              <w:t xml:space="preserve"> 51,9</w:t>
            </w:r>
            <w:r w:rsidR="00D34853" w:rsidRPr="003A0703">
              <w:rPr>
                <w:lang w:val="fr-FR"/>
              </w:rPr>
              <w:t>;</w:t>
            </w:r>
            <w:r w:rsidRPr="003A0703">
              <w:rPr>
                <w:lang w:val="fr-FR"/>
              </w:rPr>
              <w:t xml:space="preserve"> 55,5</w:t>
            </w:r>
          </w:p>
        </w:tc>
        <w:tc>
          <w:tcPr>
            <w:tcW w:w="961" w:type="pct"/>
            <w:tcBorders>
              <w:top w:val="single" w:sz="4" w:space="0" w:color="auto"/>
              <w:left w:val="single" w:sz="4" w:space="0" w:color="auto"/>
              <w:bottom w:val="single" w:sz="4" w:space="0" w:color="auto"/>
              <w:right w:val="single" w:sz="4" w:space="0" w:color="auto"/>
            </w:tcBorders>
            <w:hideMark/>
          </w:tcPr>
          <w:p w14:paraId="1261BB81" w14:textId="37809FBE" w:rsidR="007E01A2" w:rsidRPr="003A0703" w:rsidRDefault="007E01A2" w:rsidP="00D34853">
            <w:pPr>
              <w:pStyle w:val="Tabletext"/>
              <w:jc w:val="center"/>
              <w:rPr>
                <w:lang w:val="fr-FR"/>
              </w:rPr>
            </w:pPr>
            <w:r w:rsidRPr="003A0703">
              <w:rPr>
                <w:lang w:val="fr-FR"/>
              </w:rPr>
              <w:t>31,6</w:t>
            </w:r>
            <w:r w:rsidR="00D34853" w:rsidRPr="003A0703">
              <w:rPr>
                <w:lang w:val="fr-FR"/>
              </w:rPr>
              <w:t>;</w:t>
            </w:r>
            <w:r w:rsidRPr="003A0703">
              <w:rPr>
                <w:lang w:val="fr-FR"/>
              </w:rPr>
              <w:t xml:space="preserve"> 41,1</w:t>
            </w:r>
            <w:r w:rsidR="00D34853" w:rsidRPr="003A0703">
              <w:rPr>
                <w:lang w:val="fr-FR"/>
              </w:rPr>
              <w:t>;</w:t>
            </w:r>
            <w:r w:rsidRPr="003A0703">
              <w:rPr>
                <w:lang w:val="fr-FR"/>
              </w:rPr>
              <w:t xml:space="preserve"> 51,6</w:t>
            </w:r>
            <w:r w:rsidR="00D34853" w:rsidRPr="003A0703">
              <w:rPr>
                <w:lang w:val="fr-FR"/>
              </w:rPr>
              <w:t>;</w:t>
            </w:r>
            <w:r w:rsidRPr="003A0703">
              <w:rPr>
                <w:lang w:val="fr-FR"/>
              </w:rPr>
              <w:t xml:space="preserve"> 56,7</w:t>
            </w:r>
            <w:r w:rsidR="00D34853" w:rsidRPr="003A0703">
              <w:rPr>
                <w:lang w:val="fr-FR"/>
              </w:rPr>
              <w:t>;</w:t>
            </w:r>
            <w:r w:rsidRPr="003A0703">
              <w:rPr>
                <w:lang w:val="fr-FR"/>
              </w:rPr>
              <w:t xml:space="preserve"> 59,2</w:t>
            </w:r>
            <w:r w:rsidR="00D34853" w:rsidRPr="003A0703">
              <w:rPr>
                <w:lang w:val="fr-FR"/>
              </w:rPr>
              <w:t>;</w:t>
            </w:r>
            <w:r w:rsidRPr="003A0703">
              <w:rPr>
                <w:lang w:val="fr-FR"/>
              </w:rPr>
              <w:t xml:space="preserve"> 63</w:t>
            </w:r>
            <w:r w:rsidR="00D34853" w:rsidRPr="003A0703">
              <w:rPr>
                <w:lang w:val="fr-FR"/>
              </w:rPr>
              <w:t>;</w:t>
            </w:r>
            <w:r w:rsidRPr="003A0703">
              <w:rPr>
                <w:lang w:val="fr-FR"/>
              </w:rPr>
              <w:t xml:space="preserve"> 64,7</w:t>
            </w:r>
            <w:r w:rsidR="00D34853" w:rsidRPr="003A0703">
              <w:rPr>
                <w:lang w:val="fr-FR"/>
              </w:rPr>
              <w:t>;</w:t>
            </w:r>
            <w:r w:rsidR="00E343BA" w:rsidRPr="003A0703">
              <w:rPr>
                <w:lang w:val="fr-FR"/>
              </w:rPr>
              <w:t> </w:t>
            </w:r>
            <w:r w:rsidRPr="003A0703">
              <w:rPr>
                <w:lang w:val="fr-FR"/>
              </w:rPr>
              <w:t>68,9</w:t>
            </w:r>
            <w:r w:rsidR="00D34853" w:rsidRPr="003A0703">
              <w:rPr>
                <w:lang w:val="fr-FR"/>
              </w:rPr>
              <w:t>;</w:t>
            </w:r>
            <w:r w:rsidRPr="003A0703">
              <w:rPr>
                <w:lang w:val="fr-FR"/>
              </w:rPr>
              <w:t xml:space="preserve"> 71,6</w:t>
            </w:r>
          </w:p>
        </w:tc>
      </w:tr>
      <w:tr w:rsidR="007E01A2" w:rsidRPr="003A0703" w14:paraId="0117D751"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52F6A7EC" w14:textId="77777777" w:rsidR="007E01A2" w:rsidRPr="003A0703" w:rsidRDefault="007E01A2" w:rsidP="00D34853">
            <w:pPr>
              <w:pStyle w:val="Tabletext"/>
              <w:ind w:left="169"/>
              <w:jc w:val="left"/>
              <w:rPr>
                <w:lang w:val="fr-FR"/>
              </w:rPr>
            </w:pPr>
            <w:r w:rsidRPr="003A0703">
              <w:rPr>
                <w:lang w:val="fr-FR"/>
              </w:rPr>
              <w:t>Diagramme d'antenne</w:t>
            </w:r>
          </w:p>
        </w:tc>
        <w:tc>
          <w:tcPr>
            <w:tcW w:w="956" w:type="pct"/>
            <w:tcBorders>
              <w:top w:val="single" w:sz="4" w:space="0" w:color="auto"/>
              <w:left w:val="single" w:sz="4" w:space="0" w:color="auto"/>
              <w:bottom w:val="single" w:sz="4" w:space="0" w:color="auto"/>
              <w:right w:val="single" w:sz="4" w:space="0" w:color="auto"/>
            </w:tcBorders>
            <w:hideMark/>
          </w:tcPr>
          <w:p w14:paraId="5B94E50B" w14:textId="41CD0F74" w:rsidR="007E01A2" w:rsidRPr="003A0703" w:rsidRDefault="007E01A2" w:rsidP="00D34853">
            <w:pPr>
              <w:pStyle w:val="Tabletext"/>
              <w:jc w:val="center"/>
              <w:rPr>
                <w:lang w:val="fr-FR"/>
              </w:rPr>
            </w:pPr>
            <w:r w:rsidRPr="003A0703">
              <w:rPr>
                <w:lang w:val="fr-FR"/>
              </w:rPr>
              <w:t xml:space="preserve">Appendice </w:t>
            </w:r>
            <w:r w:rsidRPr="003A0703">
              <w:rPr>
                <w:b/>
                <w:bCs/>
                <w:lang w:val="fr-FR"/>
              </w:rPr>
              <w:t>8</w:t>
            </w:r>
            <w:r w:rsidRPr="003A0703">
              <w:rPr>
                <w:lang w:val="fr-FR"/>
              </w:rPr>
              <w:t xml:space="preserve"> du</w:t>
            </w:r>
            <w:r w:rsidR="00D34853" w:rsidRPr="003A0703">
              <w:rPr>
                <w:lang w:val="fr-FR"/>
              </w:rPr>
              <w:t> </w:t>
            </w:r>
            <w:r w:rsidRPr="003A0703">
              <w:rPr>
                <w:lang w:val="fr-FR"/>
              </w:rPr>
              <w:t>RR</w:t>
            </w:r>
          </w:p>
        </w:tc>
        <w:tc>
          <w:tcPr>
            <w:tcW w:w="1175" w:type="pct"/>
            <w:tcBorders>
              <w:top w:val="single" w:sz="4" w:space="0" w:color="auto"/>
              <w:left w:val="single" w:sz="4" w:space="0" w:color="auto"/>
              <w:bottom w:val="single" w:sz="4" w:space="0" w:color="auto"/>
              <w:right w:val="single" w:sz="4" w:space="0" w:color="auto"/>
            </w:tcBorders>
            <w:hideMark/>
          </w:tcPr>
          <w:p w14:paraId="7A23CECE" w14:textId="77777777" w:rsidR="007E01A2" w:rsidRPr="003A0703" w:rsidRDefault="007E01A2" w:rsidP="00D34853">
            <w:pPr>
              <w:pStyle w:val="Tabletext"/>
              <w:jc w:val="center"/>
              <w:rPr>
                <w:lang w:val="fr-FR"/>
              </w:rPr>
            </w:pPr>
            <w:r w:rsidRPr="003A0703">
              <w:rPr>
                <w:lang w:val="fr-FR"/>
              </w:rPr>
              <w:t xml:space="preserve">Appendice </w:t>
            </w:r>
            <w:r w:rsidRPr="003A0703">
              <w:rPr>
                <w:b/>
                <w:bCs/>
                <w:lang w:val="fr-FR"/>
              </w:rPr>
              <w:t>8</w:t>
            </w:r>
            <w:r w:rsidRPr="003A0703">
              <w:rPr>
                <w:lang w:val="fr-FR"/>
              </w:rPr>
              <w:t xml:space="preserve"> du RR</w:t>
            </w:r>
          </w:p>
        </w:tc>
        <w:tc>
          <w:tcPr>
            <w:tcW w:w="961" w:type="pct"/>
            <w:tcBorders>
              <w:top w:val="single" w:sz="4" w:space="0" w:color="auto"/>
              <w:left w:val="single" w:sz="4" w:space="0" w:color="auto"/>
              <w:bottom w:val="single" w:sz="4" w:space="0" w:color="auto"/>
              <w:right w:val="single" w:sz="4" w:space="0" w:color="auto"/>
            </w:tcBorders>
            <w:hideMark/>
          </w:tcPr>
          <w:p w14:paraId="4AC19FAF" w14:textId="77777777" w:rsidR="007E01A2" w:rsidRPr="003A0703" w:rsidRDefault="007E01A2" w:rsidP="00D34853">
            <w:pPr>
              <w:pStyle w:val="Tabletext"/>
              <w:jc w:val="center"/>
              <w:rPr>
                <w:lang w:val="fr-FR"/>
              </w:rPr>
            </w:pPr>
            <w:r w:rsidRPr="003A0703">
              <w:rPr>
                <w:lang w:val="fr-FR"/>
              </w:rPr>
              <w:t xml:space="preserve">Appendice </w:t>
            </w:r>
            <w:r w:rsidRPr="003A0703">
              <w:rPr>
                <w:b/>
                <w:bCs/>
                <w:lang w:val="fr-FR"/>
              </w:rPr>
              <w:t>8</w:t>
            </w:r>
            <w:r w:rsidRPr="003A0703">
              <w:rPr>
                <w:lang w:val="fr-FR"/>
              </w:rPr>
              <w:t xml:space="preserve"> du RR</w:t>
            </w:r>
          </w:p>
        </w:tc>
      </w:tr>
      <w:tr w:rsidR="007E01A2" w:rsidRPr="003A0703" w14:paraId="0BF2F9BD"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0AABF0A2" w14:textId="77777777" w:rsidR="007E01A2" w:rsidRPr="003A0703" w:rsidRDefault="007E01A2" w:rsidP="00D34853">
            <w:pPr>
              <w:pStyle w:val="Tabletext"/>
              <w:ind w:left="169"/>
              <w:jc w:val="left"/>
              <w:rPr>
                <w:lang w:val="fr-FR"/>
              </w:rPr>
            </w:pPr>
            <w:r w:rsidRPr="003A0703">
              <w:rPr>
                <w:lang w:val="fr-FR"/>
              </w:rPr>
              <w:t>Température de bruit (K)</w:t>
            </w:r>
          </w:p>
        </w:tc>
        <w:tc>
          <w:tcPr>
            <w:tcW w:w="956" w:type="pct"/>
            <w:tcBorders>
              <w:top w:val="single" w:sz="4" w:space="0" w:color="auto"/>
              <w:left w:val="single" w:sz="4" w:space="0" w:color="auto"/>
              <w:bottom w:val="single" w:sz="4" w:space="0" w:color="auto"/>
              <w:right w:val="single" w:sz="4" w:space="0" w:color="auto"/>
            </w:tcBorders>
            <w:hideMark/>
          </w:tcPr>
          <w:p w14:paraId="013B1ECB" w14:textId="77777777" w:rsidR="007E01A2" w:rsidRPr="003A0703" w:rsidRDefault="007E01A2" w:rsidP="00D34853">
            <w:pPr>
              <w:pStyle w:val="Tabletext"/>
              <w:jc w:val="center"/>
              <w:rPr>
                <w:lang w:val="fr-FR"/>
              </w:rPr>
            </w:pPr>
            <w:r w:rsidRPr="003A0703">
              <w:rPr>
                <w:lang w:val="fr-FR"/>
              </w:rPr>
              <w:t>150</w:t>
            </w:r>
          </w:p>
        </w:tc>
        <w:tc>
          <w:tcPr>
            <w:tcW w:w="1175" w:type="pct"/>
            <w:tcBorders>
              <w:top w:val="single" w:sz="4" w:space="0" w:color="auto"/>
              <w:left w:val="single" w:sz="4" w:space="0" w:color="auto"/>
              <w:bottom w:val="single" w:sz="4" w:space="0" w:color="auto"/>
              <w:right w:val="single" w:sz="4" w:space="0" w:color="auto"/>
            </w:tcBorders>
            <w:hideMark/>
          </w:tcPr>
          <w:p w14:paraId="5419099B" w14:textId="77777777" w:rsidR="007E01A2" w:rsidRPr="003A0703" w:rsidRDefault="007E01A2" w:rsidP="00D34853">
            <w:pPr>
              <w:pStyle w:val="Tabletext"/>
              <w:jc w:val="center"/>
              <w:rPr>
                <w:lang w:val="fr-FR"/>
              </w:rPr>
            </w:pPr>
            <w:r w:rsidRPr="003A0703">
              <w:rPr>
                <w:lang w:val="fr-FR"/>
              </w:rPr>
              <w:t>251</w:t>
            </w:r>
          </w:p>
        </w:tc>
        <w:tc>
          <w:tcPr>
            <w:tcW w:w="961" w:type="pct"/>
            <w:tcBorders>
              <w:top w:val="single" w:sz="4" w:space="0" w:color="auto"/>
              <w:left w:val="single" w:sz="4" w:space="0" w:color="auto"/>
              <w:bottom w:val="single" w:sz="4" w:space="0" w:color="auto"/>
              <w:right w:val="single" w:sz="4" w:space="0" w:color="auto"/>
            </w:tcBorders>
            <w:hideMark/>
          </w:tcPr>
          <w:p w14:paraId="5F9255D0" w14:textId="77777777" w:rsidR="007E01A2" w:rsidRPr="003A0703" w:rsidRDefault="007E01A2" w:rsidP="00D34853">
            <w:pPr>
              <w:pStyle w:val="Tabletext"/>
              <w:jc w:val="center"/>
              <w:rPr>
                <w:lang w:val="fr-FR"/>
              </w:rPr>
            </w:pPr>
            <w:r w:rsidRPr="003A0703">
              <w:rPr>
                <w:lang w:val="fr-FR"/>
              </w:rPr>
              <w:t>120</w:t>
            </w:r>
          </w:p>
        </w:tc>
      </w:tr>
      <w:tr w:rsidR="007E01A2" w:rsidRPr="003A0703" w14:paraId="1875368A" w14:textId="77777777" w:rsidTr="007E01A2">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3636DBA" w14:textId="77777777" w:rsidR="007E01A2" w:rsidRPr="003A0703" w:rsidRDefault="007E01A2" w:rsidP="00D34853">
            <w:pPr>
              <w:pStyle w:val="Tablehead"/>
              <w:jc w:val="left"/>
              <w:rPr>
                <w:lang w:val="fr-FR"/>
              </w:rPr>
            </w:pPr>
            <w:r w:rsidRPr="003A0703">
              <w:rPr>
                <w:lang w:val="fr-FR"/>
              </w:rPr>
              <w:t>Liaison</w:t>
            </w:r>
          </w:p>
        </w:tc>
      </w:tr>
      <w:tr w:rsidR="007E01A2" w:rsidRPr="003A0703" w14:paraId="22432305"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63BA07EC" w14:textId="77777777" w:rsidR="007E01A2" w:rsidRPr="003A0703" w:rsidRDefault="007E01A2" w:rsidP="00D34853">
            <w:pPr>
              <w:pStyle w:val="Tabletext"/>
              <w:ind w:left="169"/>
              <w:jc w:val="left"/>
              <w:rPr>
                <w:lang w:val="fr-FR"/>
              </w:rPr>
            </w:pPr>
            <w:r w:rsidRPr="003A0703">
              <w:rPr>
                <w:lang w:val="fr-FR"/>
              </w:rPr>
              <w:t>Fréquence centrale (MHz)</w:t>
            </w:r>
          </w:p>
        </w:tc>
        <w:tc>
          <w:tcPr>
            <w:tcW w:w="956" w:type="pct"/>
            <w:tcBorders>
              <w:top w:val="single" w:sz="4" w:space="0" w:color="auto"/>
              <w:left w:val="single" w:sz="4" w:space="0" w:color="auto"/>
              <w:bottom w:val="single" w:sz="4" w:space="0" w:color="auto"/>
              <w:right w:val="single" w:sz="4" w:space="0" w:color="auto"/>
            </w:tcBorders>
            <w:hideMark/>
          </w:tcPr>
          <w:p w14:paraId="72CEE6FC" w14:textId="77777777" w:rsidR="007E01A2" w:rsidRPr="003A0703" w:rsidRDefault="007E01A2" w:rsidP="00D34853">
            <w:pPr>
              <w:pStyle w:val="Tabletext"/>
              <w:jc w:val="center"/>
              <w:rPr>
                <w:lang w:val="fr-FR"/>
              </w:rPr>
            </w:pPr>
            <w:r w:rsidRPr="003A0703">
              <w:rPr>
                <w:lang w:val="fr-FR"/>
              </w:rPr>
              <w:t>37 750</w:t>
            </w:r>
          </w:p>
        </w:tc>
        <w:tc>
          <w:tcPr>
            <w:tcW w:w="1175" w:type="pct"/>
            <w:tcBorders>
              <w:top w:val="single" w:sz="4" w:space="0" w:color="auto"/>
              <w:left w:val="single" w:sz="4" w:space="0" w:color="auto"/>
              <w:bottom w:val="single" w:sz="4" w:space="0" w:color="auto"/>
              <w:right w:val="single" w:sz="4" w:space="0" w:color="auto"/>
            </w:tcBorders>
            <w:hideMark/>
          </w:tcPr>
          <w:p w14:paraId="0680543A" w14:textId="77777777" w:rsidR="007E01A2" w:rsidRPr="003A0703" w:rsidRDefault="007E01A2" w:rsidP="00D34853">
            <w:pPr>
              <w:pStyle w:val="Tabletext"/>
              <w:jc w:val="center"/>
              <w:rPr>
                <w:lang w:val="fr-FR"/>
              </w:rPr>
            </w:pPr>
            <w:r w:rsidRPr="003A0703">
              <w:rPr>
                <w:lang w:val="fr-FR"/>
              </w:rPr>
              <w:t>37 750</w:t>
            </w:r>
          </w:p>
        </w:tc>
        <w:tc>
          <w:tcPr>
            <w:tcW w:w="961" w:type="pct"/>
            <w:tcBorders>
              <w:top w:val="single" w:sz="4" w:space="0" w:color="auto"/>
              <w:left w:val="single" w:sz="4" w:space="0" w:color="auto"/>
              <w:bottom w:val="single" w:sz="4" w:space="0" w:color="auto"/>
              <w:right w:val="single" w:sz="4" w:space="0" w:color="auto"/>
            </w:tcBorders>
            <w:hideMark/>
          </w:tcPr>
          <w:p w14:paraId="042BE028" w14:textId="6DDB0EFF" w:rsidR="007E01A2" w:rsidRPr="003A0703" w:rsidRDefault="007E01A2" w:rsidP="00D34853">
            <w:pPr>
              <w:pStyle w:val="Tabletext"/>
              <w:jc w:val="center"/>
              <w:rPr>
                <w:lang w:val="fr-FR"/>
              </w:rPr>
            </w:pPr>
            <w:r w:rsidRPr="003A0703">
              <w:rPr>
                <w:lang w:val="fr-FR"/>
              </w:rPr>
              <w:t>37 625</w:t>
            </w:r>
            <w:r w:rsidR="00D34853" w:rsidRPr="003A0703">
              <w:rPr>
                <w:lang w:val="fr-FR"/>
              </w:rPr>
              <w:t>;</w:t>
            </w:r>
            <w:r w:rsidRPr="003A0703">
              <w:rPr>
                <w:lang w:val="fr-FR"/>
              </w:rPr>
              <w:t xml:space="preserve"> 37 875</w:t>
            </w:r>
          </w:p>
        </w:tc>
      </w:tr>
      <w:tr w:rsidR="007E01A2" w:rsidRPr="003A0703" w14:paraId="48B6839F"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hideMark/>
          </w:tcPr>
          <w:p w14:paraId="04A32B0C" w14:textId="77777777" w:rsidR="007E01A2" w:rsidRPr="003A0703" w:rsidRDefault="007E01A2" w:rsidP="00D34853">
            <w:pPr>
              <w:pStyle w:val="Tabletext"/>
              <w:ind w:left="169"/>
              <w:jc w:val="left"/>
              <w:rPr>
                <w:lang w:val="fr-FR"/>
              </w:rPr>
            </w:pPr>
            <w:r w:rsidRPr="003A0703">
              <w:rPr>
                <w:lang w:val="fr-FR"/>
              </w:rPr>
              <w:t>Largeur de bande maximale (MHz)</w:t>
            </w:r>
          </w:p>
        </w:tc>
        <w:tc>
          <w:tcPr>
            <w:tcW w:w="956" w:type="pct"/>
            <w:tcBorders>
              <w:top w:val="single" w:sz="4" w:space="0" w:color="auto"/>
              <w:left w:val="single" w:sz="4" w:space="0" w:color="auto"/>
              <w:bottom w:val="single" w:sz="4" w:space="0" w:color="auto"/>
              <w:right w:val="single" w:sz="4" w:space="0" w:color="auto"/>
            </w:tcBorders>
            <w:hideMark/>
          </w:tcPr>
          <w:p w14:paraId="02B70FA1" w14:textId="77777777" w:rsidR="007E01A2" w:rsidRPr="003A0703" w:rsidRDefault="007E01A2" w:rsidP="00D34853">
            <w:pPr>
              <w:pStyle w:val="Tabletext"/>
              <w:jc w:val="center"/>
              <w:rPr>
                <w:lang w:val="fr-FR"/>
              </w:rPr>
            </w:pPr>
            <w:r w:rsidRPr="003A0703">
              <w:rPr>
                <w:lang w:val="fr-FR"/>
              </w:rPr>
              <w:t>500</w:t>
            </w:r>
          </w:p>
        </w:tc>
        <w:tc>
          <w:tcPr>
            <w:tcW w:w="1175" w:type="pct"/>
            <w:tcBorders>
              <w:top w:val="single" w:sz="4" w:space="0" w:color="auto"/>
              <w:left w:val="single" w:sz="4" w:space="0" w:color="auto"/>
              <w:bottom w:val="single" w:sz="4" w:space="0" w:color="auto"/>
              <w:right w:val="single" w:sz="4" w:space="0" w:color="auto"/>
            </w:tcBorders>
            <w:hideMark/>
          </w:tcPr>
          <w:p w14:paraId="43DF43AB" w14:textId="77777777" w:rsidR="007E01A2" w:rsidRPr="003A0703" w:rsidRDefault="007E01A2" w:rsidP="00D34853">
            <w:pPr>
              <w:pStyle w:val="Tabletext"/>
              <w:jc w:val="center"/>
              <w:rPr>
                <w:lang w:val="fr-FR"/>
              </w:rPr>
            </w:pPr>
            <w:r w:rsidRPr="003A0703">
              <w:rPr>
                <w:lang w:val="fr-FR"/>
              </w:rPr>
              <w:t>475</w:t>
            </w:r>
          </w:p>
        </w:tc>
        <w:tc>
          <w:tcPr>
            <w:tcW w:w="961" w:type="pct"/>
            <w:tcBorders>
              <w:top w:val="single" w:sz="4" w:space="0" w:color="auto"/>
              <w:left w:val="single" w:sz="4" w:space="0" w:color="auto"/>
              <w:bottom w:val="single" w:sz="4" w:space="0" w:color="auto"/>
              <w:right w:val="single" w:sz="4" w:space="0" w:color="auto"/>
            </w:tcBorders>
            <w:hideMark/>
          </w:tcPr>
          <w:p w14:paraId="6733C918" w14:textId="77777777" w:rsidR="007E01A2" w:rsidRPr="003A0703" w:rsidRDefault="007E01A2" w:rsidP="00D34853">
            <w:pPr>
              <w:pStyle w:val="Tabletext"/>
              <w:jc w:val="center"/>
              <w:rPr>
                <w:lang w:val="fr-FR"/>
              </w:rPr>
            </w:pPr>
            <w:r w:rsidRPr="003A0703">
              <w:rPr>
                <w:lang w:val="fr-FR"/>
              </w:rPr>
              <w:t>250</w:t>
            </w:r>
          </w:p>
        </w:tc>
      </w:tr>
      <w:tr w:rsidR="007E01A2" w:rsidRPr="003A0703" w14:paraId="489A9C33" w14:textId="77777777" w:rsidTr="00D34853">
        <w:trPr>
          <w:jc w:val="center"/>
        </w:trPr>
        <w:tc>
          <w:tcPr>
            <w:tcW w:w="1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445CD" w14:textId="77777777" w:rsidR="007E01A2" w:rsidRPr="003A0703" w:rsidRDefault="007E01A2" w:rsidP="00D34853">
            <w:pPr>
              <w:pStyle w:val="Tabletext"/>
              <w:ind w:left="169"/>
              <w:jc w:val="left"/>
              <w:rPr>
                <w:lang w:val="fr-FR"/>
              </w:rPr>
            </w:pPr>
            <w:r w:rsidRPr="003A0703">
              <w:rPr>
                <w:lang w:val="fr-FR"/>
              </w:rPr>
              <w:t>Nombre de faisceaux utilisant la même fréquence (Nco)</w:t>
            </w:r>
          </w:p>
        </w:tc>
        <w:tc>
          <w:tcPr>
            <w:tcW w:w="9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6978B" w14:textId="77777777" w:rsidR="007E01A2" w:rsidRPr="003A0703" w:rsidRDefault="007E01A2" w:rsidP="00D34853">
            <w:pPr>
              <w:pStyle w:val="Tabletext"/>
              <w:jc w:val="center"/>
              <w:rPr>
                <w:lang w:val="fr-FR"/>
              </w:rPr>
            </w:pPr>
            <w:r w:rsidRPr="003A0703">
              <w:rPr>
                <w:lang w:val="fr-FR"/>
              </w:rPr>
              <w:t>10</w:t>
            </w:r>
          </w:p>
        </w:tc>
        <w:tc>
          <w:tcPr>
            <w:tcW w:w="1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0BA0A" w14:textId="77777777" w:rsidR="007E01A2" w:rsidRPr="003A0703" w:rsidRDefault="007E01A2" w:rsidP="00D34853">
            <w:pPr>
              <w:pStyle w:val="Tabletext"/>
              <w:jc w:val="center"/>
              <w:rPr>
                <w:lang w:val="fr-FR"/>
              </w:rPr>
            </w:pPr>
            <w:r w:rsidRPr="003A0703">
              <w:rPr>
                <w:lang w:val="fr-FR"/>
              </w:rPr>
              <w:t>4</w:t>
            </w:r>
          </w:p>
        </w:tc>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DE5EE" w14:textId="77777777" w:rsidR="007E01A2" w:rsidRPr="003A0703" w:rsidRDefault="007E01A2" w:rsidP="00D34853">
            <w:pPr>
              <w:pStyle w:val="Tabletext"/>
              <w:jc w:val="center"/>
              <w:rPr>
                <w:lang w:val="fr-FR"/>
              </w:rPr>
            </w:pPr>
            <w:r w:rsidRPr="003A0703">
              <w:rPr>
                <w:lang w:val="fr-FR"/>
              </w:rPr>
              <w:t>1</w:t>
            </w:r>
          </w:p>
        </w:tc>
      </w:tr>
    </w:tbl>
    <w:p w14:paraId="6E6727F7" w14:textId="77777777" w:rsidR="007E01A2" w:rsidRPr="003A0703" w:rsidRDefault="007E01A2" w:rsidP="003A3EF6">
      <w:pPr>
        <w:pStyle w:val="Tablefin"/>
        <w:rPr>
          <w:lang w:val="fr-FR"/>
        </w:rPr>
      </w:pPr>
    </w:p>
    <w:p w14:paraId="06752DF6" w14:textId="77777777" w:rsidR="007E01A2" w:rsidRPr="003A0703" w:rsidRDefault="007E01A2" w:rsidP="007E01A2">
      <w:pPr>
        <w:pStyle w:val="Heading1"/>
        <w:rPr>
          <w:lang w:val="fr-FR"/>
        </w:rPr>
      </w:pPr>
      <w:r w:rsidRPr="003A0703">
        <w:rPr>
          <w:lang w:val="fr-FR"/>
        </w:rPr>
        <w:t>4</w:t>
      </w:r>
      <w:r w:rsidRPr="003A0703">
        <w:rPr>
          <w:lang w:val="fr-FR"/>
        </w:rPr>
        <w:tab/>
        <w:t>Résultats pour les systèmes OSG et HEO du SFS</w:t>
      </w:r>
    </w:p>
    <w:p w14:paraId="5870FA53" w14:textId="7FFCFC69" w:rsidR="007E01A2" w:rsidRPr="003A0703" w:rsidRDefault="007E01A2" w:rsidP="007E01A2">
      <w:pPr>
        <w:rPr>
          <w:lang w:val="fr-FR"/>
        </w:rPr>
      </w:pPr>
      <w:r w:rsidRPr="003A0703">
        <w:rPr>
          <w:lang w:val="fr-FR"/>
        </w:rPr>
        <w:t>Pour le cas 1, le Tableau 5 donne le dépassement des niveaux de brouillage observé au niveau des stations terriennes du service de recherche spatiale et du SFS.</w:t>
      </w:r>
    </w:p>
    <w:p w14:paraId="014038B1" w14:textId="77777777" w:rsidR="007E01A2" w:rsidRPr="003A0703" w:rsidRDefault="007E01A2" w:rsidP="007E01A2">
      <w:pPr>
        <w:pStyle w:val="TableNo"/>
        <w:rPr>
          <w:lang w:val="fr-FR"/>
        </w:rPr>
      </w:pPr>
      <w:bookmarkStart w:id="22" w:name="_Toc269882325"/>
      <w:r w:rsidRPr="003A0703">
        <w:rPr>
          <w:lang w:val="fr-FR"/>
        </w:rPr>
        <w:lastRenderedPageBreak/>
        <w:t>TABLEAU 5</w:t>
      </w:r>
    </w:p>
    <w:p w14:paraId="17CB9F6B" w14:textId="77777777" w:rsidR="007E01A2" w:rsidRPr="003A0703" w:rsidRDefault="007E01A2" w:rsidP="007E01A2">
      <w:pPr>
        <w:pStyle w:val="Tabletitle"/>
        <w:rPr>
          <w:lang w:val="fr-FR"/>
        </w:rPr>
      </w:pPr>
      <w:r w:rsidRPr="003A0703">
        <w:rPr>
          <w:lang w:val="fr-FR"/>
        </w:rPr>
        <w:t xml:space="preserve">Dépassement des critères de protection des systèmes du service de recherche spatiale et du SFS lorsqu'on utilise les niveaux prévus de densité de p.i.r.e. </w:t>
      </w:r>
      <w:bookmarkEnd w:id="22"/>
      <w:r w:rsidRPr="003A0703">
        <w:rPr>
          <w:lang w:val="fr-FR"/>
        </w:rPr>
        <w:br/>
        <w:t>dans la bande 37,5-38 GHz (cas 1)</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7"/>
        <w:gridCol w:w="1277"/>
        <w:gridCol w:w="1274"/>
        <w:gridCol w:w="1417"/>
        <w:gridCol w:w="1418"/>
        <w:gridCol w:w="709"/>
        <w:gridCol w:w="708"/>
        <w:gridCol w:w="1715"/>
      </w:tblGrid>
      <w:tr w:rsidR="007E01A2" w:rsidRPr="003A0703" w14:paraId="0F234E59" w14:textId="77777777" w:rsidTr="00E343BA">
        <w:trPr>
          <w:trHeight w:val="246"/>
          <w:jc w:val="center"/>
        </w:trPr>
        <w:tc>
          <w:tcPr>
            <w:tcW w:w="2404"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9AF796D" w14:textId="5B3AA563" w:rsidR="007E01A2" w:rsidRPr="003A0703" w:rsidRDefault="007E01A2">
            <w:pPr>
              <w:pStyle w:val="Tablehead"/>
              <w:rPr>
                <w:lang w:val="fr-FR"/>
              </w:rPr>
            </w:pPr>
            <w:r w:rsidRPr="003A0703">
              <w:rPr>
                <w:lang w:val="fr-FR"/>
              </w:rPr>
              <w:t>Cas 1</w:t>
            </w:r>
            <w:r w:rsidRPr="003A0703">
              <w:rPr>
                <w:lang w:val="fr-FR"/>
              </w:rPr>
              <w:br/>
              <w:t xml:space="preserve">p.i.r.e. </w:t>
            </w:r>
            <w:r w:rsidRPr="003A0703">
              <w:rPr>
                <w:lang w:val="fr-FR"/>
              </w:rPr>
              <w:br/>
            </w:r>
            <w:r w:rsidRPr="003A0703">
              <w:rPr>
                <w:lang w:val="fr-FR"/>
              </w:rPr>
              <w:br/>
              <w:t xml:space="preserve">Systèmes </w:t>
            </w:r>
            <w:r w:rsidRPr="003A0703">
              <w:rPr>
                <w:lang w:val="fr-FR"/>
              </w:rPr>
              <w:br/>
              <w:t>brouilleurs</w:t>
            </w:r>
          </w:p>
        </w:tc>
        <w:tc>
          <w:tcPr>
            <w:tcW w:w="5526" w:type="dxa"/>
            <w:gridSpan w:val="5"/>
            <w:tcBorders>
              <w:top w:val="single" w:sz="6" w:space="0" w:color="auto"/>
              <w:left w:val="single" w:sz="6" w:space="0" w:color="auto"/>
              <w:bottom w:val="single" w:sz="4" w:space="0" w:color="auto"/>
              <w:right w:val="single" w:sz="4" w:space="0" w:color="auto"/>
            </w:tcBorders>
            <w:hideMark/>
          </w:tcPr>
          <w:p w14:paraId="5BD240B9" w14:textId="77777777" w:rsidR="007E01A2" w:rsidRPr="003A0703" w:rsidRDefault="007E01A2">
            <w:pPr>
              <w:pStyle w:val="Tablehead"/>
              <w:rPr>
                <w:lang w:val="fr-FR"/>
              </w:rPr>
            </w:pPr>
            <w:r w:rsidRPr="003A0703">
              <w:rPr>
                <w:lang w:val="fr-FR"/>
              </w:rPr>
              <w:t>(Systèmes brouillés)</w:t>
            </w:r>
            <w:r w:rsidRPr="003A0703">
              <w:rPr>
                <w:lang w:val="fr-FR"/>
              </w:rPr>
              <w:br/>
              <w:t xml:space="preserve">Dépassement des critères de protection </w:t>
            </w:r>
            <w:r w:rsidRPr="003A0703">
              <w:rPr>
                <w:lang w:val="fr-FR"/>
              </w:rPr>
              <w:br/>
              <w:t>(dB)</w:t>
            </w:r>
          </w:p>
        </w:tc>
        <w:tc>
          <w:tcPr>
            <w:tcW w:w="1715" w:type="dxa"/>
            <w:vMerge w:val="restart"/>
            <w:tcBorders>
              <w:top w:val="single" w:sz="6" w:space="0" w:color="auto"/>
              <w:left w:val="single" w:sz="4" w:space="0" w:color="auto"/>
              <w:bottom w:val="single" w:sz="6" w:space="0" w:color="auto"/>
              <w:right w:val="single" w:sz="6" w:space="0" w:color="auto"/>
            </w:tcBorders>
            <w:vAlign w:val="center"/>
            <w:hideMark/>
          </w:tcPr>
          <w:p w14:paraId="2C09CDA7" w14:textId="77777777" w:rsidR="007E01A2" w:rsidRPr="003A0703" w:rsidRDefault="007E01A2">
            <w:pPr>
              <w:pStyle w:val="Tablehead"/>
              <w:rPr>
                <w:lang w:val="fr-FR"/>
              </w:rPr>
            </w:pPr>
            <w:r w:rsidRPr="003A0703">
              <w:rPr>
                <w:lang w:val="fr-FR"/>
              </w:rPr>
              <w:t xml:space="preserve">Dépassement </w:t>
            </w:r>
            <w:r w:rsidRPr="003A0703">
              <w:rPr>
                <w:lang w:val="fr-FR"/>
              </w:rPr>
              <w:br/>
              <w:t xml:space="preserve">max. </w:t>
            </w:r>
            <w:r w:rsidRPr="003A0703">
              <w:rPr>
                <w:lang w:val="fr-FR"/>
              </w:rPr>
              <w:br/>
              <w:t>(dB)</w:t>
            </w:r>
          </w:p>
        </w:tc>
      </w:tr>
      <w:tr w:rsidR="007E01A2" w:rsidRPr="003A0703" w14:paraId="0BAB392C" w14:textId="77777777" w:rsidTr="00E343BA">
        <w:trPr>
          <w:trHeight w:val="246"/>
          <w:jc w:val="center"/>
        </w:trPr>
        <w:tc>
          <w:tcPr>
            <w:tcW w:w="2404" w:type="dxa"/>
            <w:gridSpan w:val="2"/>
            <w:vMerge/>
            <w:tcBorders>
              <w:top w:val="single" w:sz="6" w:space="0" w:color="auto"/>
              <w:left w:val="single" w:sz="6" w:space="0" w:color="auto"/>
              <w:bottom w:val="single" w:sz="6" w:space="0" w:color="auto"/>
              <w:right w:val="single" w:sz="6" w:space="0" w:color="auto"/>
            </w:tcBorders>
            <w:vAlign w:val="center"/>
            <w:hideMark/>
          </w:tcPr>
          <w:p w14:paraId="5881552B"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c>
          <w:tcPr>
            <w:tcW w:w="4109" w:type="dxa"/>
            <w:gridSpan w:val="3"/>
            <w:tcBorders>
              <w:top w:val="single" w:sz="4" w:space="0" w:color="auto"/>
              <w:left w:val="single" w:sz="4" w:space="0" w:color="auto"/>
              <w:bottom w:val="single" w:sz="4" w:space="0" w:color="auto"/>
              <w:right w:val="single" w:sz="6" w:space="0" w:color="auto"/>
            </w:tcBorders>
            <w:vAlign w:val="center"/>
            <w:hideMark/>
          </w:tcPr>
          <w:p w14:paraId="74AD2C3C" w14:textId="77777777" w:rsidR="007E01A2" w:rsidRPr="003A0703" w:rsidRDefault="007E01A2">
            <w:pPr>
              <w:pStyle w:val="Tablehead"/>
              <w:rPr>
                <w:lang w:val="fr-FR"/>
              </w:rPr>
            </w:pPr>
            <w:r w:rsidRPr="003A0703">
              <w:rPr>
                <w:lang w:val="fr-FR"/>
              </w:rPr>
              <w:t>Service de recherche spatiale</w:t>
            </w:r>
          </w:p>
        </w:tc>
        <w:tc>
          <w:tcPr>
            <w:tcW w:w="1417" w:type="dxa"/>
            <w:gridSpan w:val="2"/>
            <w:tcBorders>
              <w:top w:val="single" w:sz="4" w:space="0" w:color="auto"/>
              <w:left w:val="single" w:sz="6" w:space="0" w:color="auto"/>
              <w:bottom w:val="single" w:sz="4" w:space="0" w:color="auto"/>
              <w:right w:val="single" w:sz="4" w:space="0" w:color="auto"/>
            </w:tcBorders>
            <w:vAlign w:val="center"/>
            <w:hideMark/>
          </w:tcPr>
          <w:p w14:paraId="3286DCEE" w14:textId="77777777" w:rsidR="007E01A2" w:rsidRPr="003A0703" w:rsidRDefault="007E01A2">
            <w:pPr>
              <w:pStyle w:val="Tablehead"/>
              <w:rPr>
                <w:lang w:val="fr-FR"/>
              </w:rPr>
            </w:pPr>
            <w:r w:rsidRPr="003A0703">
              <w:rPr>
                <w:lang w:val="fr-FR"/>
              </w:rPr>
              <w:t>SFS</w:t>
            </w:r>
          </w:p>
        </w:tc>
        <w:tc>
          <w:tcPr>
            <w:tcW w:w="1715" w:type="dxa"/>
            <w:vMerge/>
            <w:tcBorders>
              <w:top w:val="single" w:sz="6" w:space="0" w:color="auto"/>
              <w:left w:val="single" w:sz="4" w:space="0" w:color="auto"/>
              <w:bottom w:val="single" w:sz="6" w:space="0" w:color="auto"/>
              <w:right w:val="single" w:sz="6" w:space="0" w:color="auto"/>
            </w:tcBorders>
            <w:vAlign w:val="center"/>
            <w:hideMark/>
          </w:tcPr>
          <w:p w14:paraId="7AD655EC"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r>
      <w:tr w:rsidR="007E01A2" w:rsidRPr="003A0703" w14:paraId="63BC7ED0" w14:textId="77777777" w:rsidTr="00E343BA">
        <w:trPr>
          <w:trHeight w:val="255"/>
          <w:jc w:val="center"/>
        </w:trPr>
        <w:tc>
          <w:tcPr>
            <w:tcW w:w="2404" w:type="dxa"/>
            <w:gridSpan w:val="2"/>
            <w:vMerge/>
            <w:tcBorders>
              <w:top w:val="single" w:sz="6" w:space="0" w:color="auto"/>
              <w:left w:val="single" w:sz="6" w:space="0" w:color="auto"/>
              <w:bottom w:val="single" w:sz="6" w:space="0" w:color="auto"/>
              <w:right w:val="single" w:sz="6" w:space="0" w:color="auto"/>
            </w:tcBorders>
            <w:vAlign w:val="center"/>
            <w:hideMark/>
          </w:tcPr>
          <w:p w14:paraId="42BCF8F8"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c>
          <w:tcPr>
            <w:tcW w:w="1274" w:type="dxa"/>
            <w:tcBorders>
              <w:top w:val="single" w:sz="4" w:space="0" w:color="auto"/>
              <w:left w:val="single" w:sz="6" w:space="0" w:color="auto"/>
              <w:bottom w:val="single" w:sz="6" w:space="0" w:color="auto"/>
              <w:right w:val="single" w:sz="4" w:space="0" w:color="auto"/>
            </w:tcBorders>
            <w:vAlign w:val="center"/>
            <w:hideMark/>
          </w:tcPr>
          <w:p w14:paraId="66A80D78" w14:textId="77777777" w:rsidR="007E01A2" w:rsidRPr="003A0703" w:rsidRDefault="007E01A2">
            <w:pPr>
              <w:pStyle w:val="Tablehead"/>
              <w:rPr>
                <w:lang w:val="fr-FR"/>
              </w:rPr>
            </w:pPr>
            <w:r w:rsidRPr="003A0703">
              <w:rPr>
                <w:lang w:val="fr-FR"/>
              </w:rPr>
              <w:t>SVLBI-20</w:t>
            </w:r>
            <w:r w:rsidRPr="003A0703">
              <w:rPr>
                <w:lang w:val="fr-FR"/>
              </w:rPr>
              <w:br/>
              <w:t>SVLBI-31</w:t>
            </w:r>
            <w:r w:rsidRPr="003A0703">
              <w:rPr>
                <w:lang w:val="fr-FR"/>
              </w:rPr>
              <w:br/>
              <w:t>SVLBI-65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19AA74" w14:textId="77777777" w:rsidR="007E01A2" w:rsidRPr="003A0703" w:rsidRDefault="007E01A2">
            <w:pPr>
              <w:pStyle w:val="Tablehead"/>
              <w:rPr>
                <w:lang w:val="fr-FR"/>
              </w:rPr>
            </w:pPr>
            <w:r w:rsidRPr="003A0703">
              <w:rPr>
                <w:lang w:val="fr-FR"/>
              </w:rPr>
              <w:t xml:space="preserve">Système lunaire </w:t>
            </w:r>
            <w:r w:rsidRPr="003A0703">
              <w:rPr>
                <w:lang w:val="fr-FR"/>
              </w:rPr>
              <w:br/>
              <w:t>(sans pilote)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AD19A0" w14:textId="77777777" w:rsidR="007E01A2" w:rsidRPr="003A0703" w:rsidRDefault="007E01A2">
            <w:pPr>
              <w:pStyle w:val="Tablehead"/>
              <w:rPr>
                <w:lang w:val="fr-FR"/>
              </w:rPr>
            </w:pPr>
            <w:r w:rsidRPr="003A0703">
              <w:rPr>
                <w:lang w:val="fr-FR"/>
              </w:rPr>
              <w:t xml:space="preserve">Système lunaire </w:t>
            </w:r>
            <w:r w:rsidRPr="003A0703">
              <w:rPr>
                <w:lang w:val="fr-FR"/>
              </w:rPr>
              <w:br/>
              <w:t>(avec pilote)</w:t>
            </w:r>
          </w:p>
        </w:tc>
        <w:tc>
          <w:tcPr>
            <w:tcW w:w="709" w:type="dxa"/>
            <w:tcBorders>
              <w:top w:val="nil"/>
              <w:left w:val="single" w:sz="4" w:space="0" w:color="auto"/>
              <w:bottom w:val="single" w:sz="4" w:space="0" w:color="auto"/>
              <w:right w:val="single" w:sz="4" w:space="0" w:color="auto"/>
            </w:tcBorders>
            <w:vAlign w:val="center"/>
            <w:hideMark/>
          </w:tcPr>
          <w:p w14:paraId="6ABD0822" w14:textId="77777777" w:rsidR="007E01A2" w:rsidRPr="003A0703" w:rsidRDefault="007E01A2">
            <w:pPr>
              <w:pStyle w:val="Tablehead"/>
              <w:rPr>
                <w:lang w:val="fr-FR"/>
              </w:rPr>
            </w:pPr>
            <w:r w:rsidRPr="003A0703">
              <w:rPr>
                <w:lang w:val="fr-FR"/>
              </w:rPr>
              <w:t>OSG</w:t>
            </w:r>
          </w:p>
        </w:tc>
        <w:tc>
          <w:tcPr>
            <w:tcW w:w="708" w:type="dxa"/>
            <w:tcBorders>
              <w:top w:val="nil"/>
              <w:left w:val="single" w:sz="4" w:space="0" w:color="auto"/>
              <w:bottom w:val="single" w:sz="4" w:space="0" w:color="auto"/>
              <w:right w:val="single" w:sz="4" w:space="0" w:color="auto"/>
            </w:tcBorders>
            <w:vAlign w:val="center"/>
            <w:hideMark/>
          </w:tcPr>
          <w:p w14:paraId="70EDE7AD" w14:textId="77777777" w:rsidR="007E01A2" w:rsidRPr="003A0703" w:rsidRDefault="007E01A2">
            <w:pPr>
              <w:pStyle w:val="Tablehead"/>
              <w:rPr>
                <w:lang w:val="fr-FR"/>
              </w:rPr>
            </w:pPr>
            <w:r w:rsidRPr="003A0703">
              <w:rPr>
                <w:lang w:val="fr-FR"/>
              </w:rPr>
              <w:t>HEO</w:t>
            </w:r>
          </w:p>
        </w:tc>
        <w:tc>
          <w:tcPr>
            <w:tcW w:w="1715" w:type="dxa"/>
            <w:vMerge/>
            <w:tcBorders>
              <w:top w:val="single" w:sz="6" w:space="0" w:color="auto"/>
              <w:left w:val="single" w:sz="4" w:space="0" w:color="auto"/>
              <w:bottom w:val="single" w:sz="6" w:space="0" w:color="auto"/>
              <w:right w:val="single" w:sz="6" w:space="0" w:color="auto"/>
            </w:tcBorders>
            <w:vAlign w:val="center"/>
            <w:hideMark/>
          </w:tcPr>
          <w:p w14:paraId="71DDC431"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r>
      <w:tr w:rsidR="007E01A2" w:rsidRPr="003A0703" w14:paraId="1416C283" w14:textId="77777777" w:rsidTr="00E343BA">
        <w:trPr>
          <w:jc w:val="center"/>
        </w:trPr>
        <w:tc>
          <w:tcPr>
            <w:tcW w:w="1127" w:type="dxa"/>
            <w:vMerge w:val="restart"/>
            <w:tcBorders>
              <w:top w:val="single" w:sz="6" w:space="0" w:color="auto"/>
              <w:left w:val="single" w:sz="6" w:space="0" w:color="auto"/>
              <w:bottom w:val="single" w:sz="6" w:space="0" w:color="auto"/>
              <w:right w:val="single" w:sz="6" w:space="0" w:color="auto"/>
            </w:tcBorders>
            <w:vAlign w:val="center"/>
            <w:hideMark/>
          </w:tcPr>
          <w:p w14:paraId="5159EADF" w14:textId="77777777" w:rsidR="007E01A2" w:rsidRPr="003A0703" w:rsidRDefault="007E01A2" w:rsidP="00721F37">
            <w:pPr>
              <w:pStyle w:val="Tabletext"/>
              <w:jc w:val="left"/>
              <w:rPr>
                <w:lang w:val="fr-FR"/>
              </w:rPr>
            </w:pPr>
            <w:r w:rsidRPr="003A0703">
              <w:rPr>
                <w:lang w:val="fr-FR"/>
              </w:rPr>
              <w:t>Service de recherche spatiale</w:t>
            </w:r>
          </w:p>
        </w:tc>
        <w:tc>
          <w:tcPr>
            <w:tcW w:w="1277" w:type="dxa"/>
            <w:tcBorders>
              <w:top w:val="single" w:sz="6" w:space="0" w:color="auto"/>
              <w:left w:val="single" w:sz="6" w:space="0" w:color="auto"/>
              <w:bottom w:val="single" w:sz="6" w:space="0" w:color="auto"/>
              <w:right w:val="single" w:sz="6" w:space="0" w:color="auto"/>
            </w:tcBorders>
            <w:vAlign w:val="center"/>
            <w:hideMark/>
          </w:tcPr>
          <w:p w14:paraId="019449C7" w14:textId="77777777" w:rsidR="007E01A2" w:rsidRPr="003A0703" w:rsidRDefault="007E01A2" w:rsidP="00721F37">
            <w:pPr>
              <w:pStyle w:val="Tabletext"/>
              <w:jc w:val="left"/>
              <w:rPr>
                <w:lang w:val="fr-FR"/>
              </w:rPr>
            </w:pPr>
            <w:r w:rsidRPr="003A0703">
              <w:rPr>
                <w:lang w:val="fr-FR"/>
              </w:rPr>
              <w:t>SVLBI-20</w:t>
            </w:r>
          </w:p>
          <w:p w14:paraId="30DF05D3" w14:textId="77777777" w:rsidR="007E01A2" w:rsidRPr="003A0703" w:rsidRDefault="007E01A2" w:rsidP="00721F37">
            <w:pPr>
              <w:pStyle w:val="Tabletext"/>
              <w:jc w:val="left"/>
              <w:rPr>
                <w:lang w:val="fr-FR"/>
              </w:rPr>
            </w:pPr>
            <w:r w:rsidRPr="003A0703">
              <w:rPr>
                <w:lang w:val="fr-FR"/>
              </w:rPr>
              <w:t>SVLBI-31</w:t>
            </w:r>
          </w:p>
          <w:p w14:paraId="76EF41C6" w14:textId="77777777" w:rsidR="007E01A2" w:rsidRPr="003A0703" w:rsidRDefault="007E01A2" w:rsidP="00721F37">
            <w:pPr>
              <w:pStyle w:val="Tabletext"/>
              <w:jc w:val="left"/>
              <w:rPr>
                <w:lang w:val="fr-FR"/>
              </w:rPr>
            </w:pPr>
            <w:r w:rsidRPr="003A0703">
              <w:rPr>
                <w:lang w:val="fr-FR"/>
              </w:rPr>
              <w:t>SVLBI-65</w:t>
            </w:r>
          </w:p>
        </w:tc>
        <w:tc>
          <w:tcPr>
            <w:tcW w:w="1274" w:type="dxa"/>
            <w:tcBorders>
              <w:top w:val="single" w:sz="6" w:space="0" w:color="auto"/>
              <w:left w:val="single" w:sz="6" w:space="0" w:color="auto"/>
              <w:bottom w:val="single" w:sz="6" w:space="0" w:color="auto"/>
              <w:right w:val="single" w:sz="6" w:space="0" w:color="auto"/>
            </w:tcBorders>
            <w:vAlign w:val="center"/>
          </w:tcPr>
          <w:p w14:paraId="53BB3144" w14:textId="77777777" w:rsidR="007E01A2" w:rsidRPr="003A0703" w:rsidRDefault="007E01A2">
            <w:pPr>
              <w:pStyle w:val="Tabletext"/>
              <w:jc w:val="center"/>
              <w:rPr>
                <w:lang w:val="fr-FR"/>
              </w:rPr>
            </w:pPr>
            <w:r w:rsidRPr="003A0703">
              <w:rPr>
                <w:lang w:val="fr-FR"/>
              </w:rPr>
              <w:t>&gt;&lt;</w:t>
            </w:r>
          </w:p>
        </w:tc>
        <w:tc>
          <w:tcPr>
            <w:tcW w:w="1417" w:type="dxa"/>
            <w:tcBorders>
              <w:top w:val="single" w:sz="4" w:space="0" w:color="auto"/>
              <w:left w:val="single" w:sz="6" w:space="0" w:color="auto"/>
              <w:bottom w:val="single" w:sz="6" w:space="0" w:color="auto"/>
              <w:right w:val="single" w:sz="6" w:space="0" w:color="auto"/>
            </w:tcBorders>
            <w:vAlign w:val="center"/>
            <w:hideMark/>
          </w:tcPr>
          <w:p w14:paraId="4F5DE853" w14:textId="77777777" w:rsidR="007E01A2" w:rsidRPr="003A0703" w:rsidRDefault="007E01A2">
            <w:pPr>
              <w:pStyle w:val="Tabletext"/>
              <w:jc w:val="center"/>
              <w:rPr>
                <w:lang w:val="fr-FR"/>
              </w:rPr>
            </w:pPr>
            <w:r w:rsidRPr="003A0703">
              <w:rPr>
                <w:lang w:val="fr-FR"/>
              </w:rPr>
              <w:t>−17</w:t>
            </w:r>
          </w:p>
          <w:p w14:paraId="60A6A433" w14:textId="77777777" w:rsidR="007E01A2" w:rsidRPr="003A0703" w:rsidRDefault="007E01A2">
            <w:pPr>
              <w:pStyle w:val="Tabletext"/>
              <w:jc w:val="center"/>
              <w:rPr>
                <w:lang w:val="fr-FR"/>
              </w:rPr>
            </w:pPr>
            <w:r w:rsidRPr="003A0703">
              <w:rPr>
                <w:lang w:val="fr-FR"/>
              </w:rPr>
              <w:t>−16</w:t>
            </w:r>
          </w:p>
          <w:p w14:paraId="73F60F84" w14:textId="77777777" w:rsidR="007E01A2" w:rsidRPr="003A0703" w:rsidRDefault="007E01A2">
            <w:pPr>
              <w:pStyle w:val="Tabletext"/>
              <w:jc w:val="center"/>
              <w:rPr>
                <w:lang w:val="fr-FR"/>
              </w:rPr>
            </w:pPr>
            <w:r w:rsidRPr="003A0703">
              <w:rPr>
                <w:lang w:val="fr-FR"/>
              </w:rPr>
              <w:t>−22</w:t>
            </w:r>
          </w:p>
        </w:tc>
        <w:tc>
          <w:tcPr>
            <w:tcW w:w="1418" w:type="dxa"/>
            <w:tcBorders>
              <w:top w:val="single" w:sz="4" w:space="0" w:color="auto"/>
              <w:left w:val="single" w:sz="6" w:space="0" w:color="auto"/>
              <w:bottom w:val="single" w:sz="6" w:space="0" w:color="auto"/>
              <w:right w:val="single" w:sz="6" w:space="0" w:color="auto"/>
            </w:tcBorders>
            <w:vAlign w:val="center"/>
          </w:tcPr>
          <w:p w14:paraId="41BE36BC" w14:textId="77777777" w:rsidR="007E01A2" w:rsidRPr="003A0703" w:rsidRDefault="007E01A2">
            <w:pPr>
              <w:pStyle w:val="Tabletext"/>
              <w:jc w:val="center"/>
              <w:rPr>
                <w:lang w:val="fr-FR"/>
              </w:rPr>
            </w:pPr>
            <w:r w:rsidRPr="003A0703">
              <w:rPr>
                <w:lang w:val="fr-FR"/>
              </w:rPr>
              <w:t>&gt;&lt;</w:t>
            </w:r>
          </w:p>
        </w:tc>
        <w:tc>
          <w:tcPr>
            <w:tcW w:w="709" w:type="dxa"/>
            <w:tcBorders>
              <w:top w:val="single" w:sz="4" w:space="0" w:color="auto"/>
              <w:left w:val="single" w:sz="6" w:space="0" w:color="auto"/>
              <w:bottom w:val="single" w:sz="6" w:space="0" w:color="auto"/>
              <w:right w:val="single" w:sz="6" w:space="0" w:color="auto"/>
            </w:tcBorders>
            <w:vAlign w:val="center"/>
            <w:hideMark/>
          </w:tcPr>
          <w:p w14:paraId="3946A6D6" w14:textId="77777777" w:rsidR="007E01A2" w:rsidRPr="003A0703" w:rsidRDefault="007E01A2">
            <w:pPr>
              <w:pStyle w:val="Tabletext"/>
              <w:jc w:val="center"/>
              <w:rPr>
                <w:lang w:val="fr-FR"/>
              </w:rPr>
            </w:pPr>
            <w:r w:rsidRPr="003A0703">
              <w:rPr>
                <w:lang w:val="fr-FR"/>
              </w:rPr>
              <w:t>−8</w:t>
            </w:r>
          </w:p>
          <w:p w14:paraId="667B1FBB" w14:textId="77777777" w:rsidR="007E01A2" w:rsidRPr="003A0703" w:rsidRDefault="007E01A2">
            <w:pPr>
              <w:pStyle w:val="Tabletext"/>
              <w:jc w:val="center"/>
              <w:rPr>
                <w:lang w:val="fr-FR"/>
              </w:rPr>
            </w:pPr>
            <w:r w:rsidRPr="003A0703">
              <w:rPr>
                <w:lang w:val="fr-FR"/>
              </w:rPr>
              <w:t>−10</w:t>
            </w:r>
          </w:p>
          <w:p w14:paraId="1C7D276C" w14:textId="77777777" w:rsidR="007E01A2" w:rsidRPr="003A0703" w:rsidRDefault="007E01A2">
            <w:pPr>
              <w:pStyle w:val="Tabletext"/>
              <w:jc w:val="center"/>
              <w:rPr>
                <w:lang w:val="fr-FR"/>
              </w:rPr>
            </w:pPr>
            <w:r w:rsidRPr="003A0703">
              <w:rPr>
                <w:lang w:val="fr-FR"/>
              </w:rPr>
              <w:t>−14</w:t>
            </w:r>
          </w:p>
        </w:tc>
        <w:tc>
          <w:tcPr>
            <w:tcW w:w="708" w:type="dxa"/>
            <w:tcBorders>
              <w:top w:val="single" w:sz="4" w:space="0" w:color="auto"/>
              <w:left w:val="single" w:sz="6" w:space="0" w:color="auto"/>
              <w:bottom w:val="single" w:sz="6" w:space="0" w:color="auto"/>
              <w:right w:val="single" w:sz="4" w:space="0" w:color="auto"/>
            </w:tcBorders>
            <w:vAlign w:val="center"/>
            <w:hideMark/>
          </w:tcPr>
          <w:p w14:paraId="085E0F96" w14:textId="77777777" w:rsidR="007E01A2" w:rsidRPr="003A0703" w:rsidRDefault="007E01A2">
            <w:pPr>
              <w:pStyle w:val="Tabletext"/>
              <w:jc w:val="center"/>
              <w:rPr>
                <w:lang w:val="fr-FR"/>
              </w:rPr>
            </w:pPr>
            <w:r w:rsidRPr="003A0703">
              <w:rPr>
                <w:lang w:val="fr-FR"/>
              </w:rPr>
              <w:t>−36</w:t>
            </w:r>
          </w:p>
          <w:p w14:paraId="1B88AD8F" w14:textId="77777777" w:rsidR="007E01A2" w:rsidRPr="003A0703" w:rsidRDefault="007E01A2">
            <w:pPr>
              <w:pStyle w:val="Tabletext"/>
              <w:jc w:val="center"/>
              <w:rPr>
                <w:lang w:val="fr-FR"/>
              </w:rPr>
            </w:pPr>
            <w:r w:rsidRPr="003A0703">
              <w:rPr>
                <w:lang w:val="fr-FR"/>
              </w:rPr>
              <w:t>−34</w:t>
            </w:r>
          </w:p>
          <w:p w14:paraId="65770609" w14:textId="77777777" w:rsidR="007E01A2" w:rsidRPr="003A0703" w:rsidRDefault="007E01A2">
            <w:pPr>
              <w:pStyle w:val="Tabletext"/>
              <w:jc w:val="center"/>
              <w:rPr>
                <w:lang w:val="fr-FR"/>
              </w:rPr>
            </w:pPr>
            <w:r w:rsidRPr="003A0703">
              <w:rPr>
                <w:lang w:val="fr-FR"/>
              </w:rPr>
              <w:t>−8</w:t>
            </w:r>
          </w:p>
        </w:tc>
        <w:tc>
          <w:tcPr>
            <w:tcW w:w="1715" w:type="dxa"/>
            <w:tcBorders>
              <w:top w:val="single" w:sz="6" w:space="0" w:color="auto"/>
              <w:left w:val="single" w:sz="4" w:space="0" w:color="auto"/>
              <w:bottom w:val="single" w:sz="6" w:space="0" w:color="auto"/>
              <w:right w:val="single" w:sz="6" w:space="0" w:color="auto"/>
            </w:tcBorders>
            <w:vAlign w:val="center"/>
            <w:hideMark/>
          </w:tcPr>
          <w:p w14:paraId="222F853A" w14:textId="77777777" w:rsidR="007E01A2" w:rsidRPr="003A0703" w:rsidRDefault="007E01A2">
            <w:pPr>
              <w:pStyle w:val="Tabletext"/>
              <w:jc w:val="center"/>
              <w:rPr>
                <w:lang w:val="fr-FR"/>
              </w:rPr>
            </w:pPr>
            <w:r w:rsidRPr="003A0703">
              <w:rPr>
                <w:lang w:val="fr-FR"/>
              </w:rPr>
              <w:t>−8</w:t>
            </w:r>
          </w:p>
        </w:tc>
      </w:tr>
      <w:tr w:rsidR="007E01A2" w:rsidRPr="003A0703" w14:paraId="52C1809D" w14:textId="77777777" w:rsidTr="00E343BA">
        <w:trPr>
          <w:jc w:val="center"/>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4830D728" w14:textId="77777777" w:rsidR="007E01A2" w:rsidRPr="003A0703" w:rsidRDefault="007E01A2" w:rsidP="00721F37">
            <w:pPr>
              <w:tabs>
                <w:tab w:val="clear" w:pos="794"/>
                <w:tab w:val="clear" w:pos="1191"/>
                <w:tab w:val="clear" w:pos="1588"/>
                <w:tab w:val="clear" w:pos="1985"/>
              </w:tabs>
              <w:overflowPunct/>
              <w:autoSpaceDE/>
              <w:autoSpaceDN/>
              <w:adjustRightInd/>
              <w:spacing w:before="0"/>
              <w:jc w:val="left"/>
              <w:rPr>
                <w:sz w:val="22"/>
                <w:lang w:val="fr-FR"/>
              </w:rPr>
            </w:pPr>
          </w:p>
        </w:tc>
        <w:tc>
          <w:tcPr>
            <w:tcW w:w="1277" w:type="dxa"/>
            <w:tcBorders>
              <w:top w:val="single" w:sz="6" w:space="0" w:color="auto"/>
              <w:left w:val="single" w:sz="6" w:space="0" w:color="auto"/>
              <w:bottom w:val="single" w:sz="6" w:space="0" w:color="auto"/>
              <w:right w:val="single" w:sz="6" w:space="0" w:color="auto"/>
            </w:tcBorders>
            <w:vAlign w:val="center"/>
            <w:hideMark/>
          </w:tcPr>
          <w:p w14:paraId="14BB02E2" w14:textId="77777777" w:rsidR="007E01A2" w:rsidRPr="003A0703" w:rsidRDefault="007E01A2" w:rsidP="00721F37">
            <w:pPr>
              <w:pStyle w:val="Tabletext"/>
              <w:jc w:val="left"/>
              <w:rPr>
                <w:lang w:val="fr-FR"/>
              </w:rPr>
            </w:pPr>
            <w:r w:rsidRPr="003A0703">
              <w:rPr>
                <w:lang w:val="fr-FR"/>
              </w:rPr>
              <w:t>Système lunaire</w:t>
            </w:r>
          </w:p>
        </w:tc>
        <w:tc>
          <w:tcPr>
            <w:tcW w:w="1274" w:type="dxa"/>
            <w:tcBorders>
              <w:top w:val="single" w:sz="6" w:space="0" w:color="auto"/>
              <w:left w:val="single" w:sz="6" w:space="0" w:color="auto"/>
              <w:bottom w:val="single" w:sz="6" w:space="0" w:color="auto"/>
              <w:right w:val="single" w:sz="6" w:space="0" w:color="auto"/>
            </w:tcBorders>
            <w:vAlign w:val="center"/>
            <w:hideMark/>
          </w:tcPr>
          <w:p w14:paraId="656A5A69" w14:textId="77777777" w:rsidR="007E01A2" w:rsidRPr="003A0703" w:rsidRDefault="007E01A2">
            <w:pPr>
              <w:pStyle w:val="Tabletext"/>
              <w:jc w:val="center"/>
              <w:rPr>
                <w:lang w:val="fr-FR"/>
              </w:rPr>
            </w:pPr>
            <w:r w:rsidRPr="003A0703">
              <w:rPr>
                <w:lang w:val="fr-FR"/>
              </w:rPr>
              <w:t>−22</w:t>
            </w:r>
          </w:p>
          <w:p w14:paraId="3C1B64D5" w14:textId="77777777" w:rsidR="007E01A2" w:rsidRPr="003A0703" w:rsidRDefault="007E01A2">
            <w:pPr>
              <w:pStyle w:val="Tabletext"/>
              <w:jc w:val="center"/>
              <w:rPr>
                <w:lang w:val="fr-FR"/>
              </w:rPr>
            </w:pPr>
            <w:r w:rsidRPr="003A0703">
              <w:rPr>
                <w:lang w:val="fr-FR"/>
              </w:rPr>
              <w:t>−19</w:t>
            </w:r>
          </w:p>
          <w:p w14:paraId="01F80E6F" w14:textId="77777777" w:rsidR="007E01A2" w:rsidRPr="003A0703" w:rsidRDefault="007E01A2">
            <w:pPr>
              <w:pStyle w:val="Tabletext"/>
              <w:jc w:val="center"/>
              <w:rPr>
                <w:lang w:val="fr-FR"/>
              </w:rPr>
            </w:pPr>
            <w:r w:rsidRPr="003A0703">
              <w:rPr>
                <w:lang w:val="fr-FR"/>
              </w:rPr>
              <w:t>−29</w:t>
            </w:r>
          </w:p>
        </w:tc>
        <w:tc>
          <w:tcPr>
            <w:tcW w:w="1417" w:type="dxa"/>
            <w:tcBorders>
              <w:top w:val="single" w:sz="6" w:space="0" w:color="auto"/>
              <w:left w:val="single" w:sz="6" w:space="0" w:color="auto"/>
              <w:bottom w:val="single" w:sz="6" w:space="0" w:color="auto"/>
              <w:right w:val="single" w:sz="6" w:space="0" w:color="auto"/>
            </w:tcBorders>
            <w:vAlign w:val="center"/>
          </w:tcPr>
          <w:p w14:paraId="244E5DA4" w14:textId="77777777" w:rsidR="007E01A2" w:rsidRPr="003A0703" w:rsidRDefault="007E01A2">
            <w:pPr>
              <w:pStyle w:val="Tabletext"/>
              <w:jc w:val="center"/>
              <w:rPr>
                <w:lang w:val="fr-FR"/>
              </w:rPr>
            </w:pPr>
            <w:r w:rsidRPr="003A0703">
              <w:rPr>
                <w:lang w:val="fr-FR"/>
              </w:rPr>
              <w:t>&gt;&lt;</w:t>
            </w:r>
          </w:p>
        </w:tc>
        <w:tc>
          <w:tcPr>
            <w:tcW w:w="1418" w:type="dxa"/>
            <w:tcBorders>
              <w:top w:val="single" w:sz="6" w:space="0" w:color="auto"/>
              <w:left w:val="single" w:sz="6" w:space="0" w:color="auto"/>
              <w:bottom w:val="single" w:sz="6" w:space="0" w:color="auto"/>
              <w:right w:val="single" w:sz="6" w:space="0" w:color="auto"/>
            </w:tcBorders>
            <w:vAlign w:val="center"/>
          </w:tcPr>
          <w:p w14:paraId="6D6B2196" w14:textId="77777777" w:rsidR="007E01A2" w:rsidRPr="003A0703" w:rsidRDefault="007E01A2">
            <w:pPr>
              <w:pStyle w:val="Tabletext"/>
              <w:jc w:val="center"/>
              <w:rPr>
                <w:lang w:val="fr-FR"/>
              </w:rPr>
            </w:pPr>
            <w:r w:rsidRPr="003A0703">
              <w:rPr>
                <w:lang w:val="fr-FR"/>
              </w:rPr>
              <w:t>&gt;&lt;</w:t>
            </w:r>
          </w:p>
        </w:tc>
        <w:tc>
          <w:tcPr>
            <w:tcW w:w="709" w:type="dxa"/>
            <w:tcBorders>
              <w:top w:val="single" w:sz="6" w:space="0" w:color="auto"/>
              <w:left w:val="single" w:sz="6" w:space="0" w:color="auto"/>
              <w:bottom w:val="single" w:sz="6" w:space="0" w:color="auto"/>
              <w:right w:val="single" w:sz="6" w:space="0" w:color="auto"/>
            </w:tcBorders>
            <w:vAlign w:val="center"/>
            <w:hideMark/>
          </w:tcPr>
          <w:p w14:paraId="41F47380" w14:textId="77777777" w:rsidR="007E01A2" w:rsidRPr="003A0703" w:rsidRDefault="007E01A2">
            <w:pPr>
              <w:pStyle w:val="Tabletext"/>
              <w:jc w:val="center"/>
              <w:rPr>
                <w:lang w:val="fr-FR"/>
              </w:rPr>
            </w:pPr>
            <w:r w:rsidRPr="003A0703">
              <w:rPr>
                <w:lang w:val="fr-FR"/>
              </w:rPr>
              <w:t>−2</w:t>
            </w:r>
          </w:p>
        </w:tc>
        <w:tc>
          <w:tcPr>
            <w:tcW w:w="708" w:type="dxa"/>
            <w:tcBorders>
              <w:top w:val="single" w:sz="6" w:space="0" w:color="auto"/>
              <w:left w:val="single" w:sz="6" w:space="0" w:color="auto"/>
              <w:bottom w:val="single" w:sz="6" w:space="0" w:color="auto"/>
              <w:right w:val="single" w:sz="4" w:space="0" w:color="auto"/>
            </w:tcBorders>
            <w:vAlign w:val="center"/>
            <w:hideMark/>
          </w:tcPr>
          <w:p w14:paraId="59FFC0A7" w14:textId="77777777" w:rsidR="007E01A2" w:rsidRPr="003A0703" w:rsidRDefault="007E01A2">
            <w:pPr>
              <w:pStyle w:val="Tabletext"/>
              <w:jc w:val="center"/>
              <w:rPr>
                <w:lang w:val="fr-FR"/>
              </w:rPr>
            </w:pPr>
            <w:r w:rsidRPr="003A0703">
              <w:rPr>
                <w:lang w:val="fr-FR"/>
              </w:rPr>
              <w:t>−41</w:t>
            </w:r>
          </w:p>
        </w:tc>
        <w:tc>
          <w:tcPr>
            <w:tcW w:w="1715" w:type="dxa"/>
            <w:tcBorders>
              <w:top w:val="single" w:sz="6" w:space="0" w:color="auto"/>
              <w:left w:val="single" w:sz="4" w:space="0" w:color="auto"/>
              <w:bottom w:val="single" w:sz="6" w:space="0" w:color="auto"/>
              <w:right w:val="single" w:sz="6" w:space="0" w:color="auto"/>
            </w:tcBorders>
            <w:vAlign w:val="center"/>
            <w:hideMark/>
          </w:tcPr>
          <w:p w14:paraId="438EA7A0" w14:textId="77777777" w:rsidR="007E01A2" w:rsidRPr="003A0703" w:rsidRDefault="007E01A2">
            <w:pPr>
              <w:pStyle w:val="Tabletext"/>
              <w:jc w:val="center"/>
              <w:rPr>
                <w:lang w:val="fr-FR"/>
              </w:rPr>
            </w:pPr>
            <w:r w:rsidRPr="003A0703">
              <w:rPr>
                <w:lang w:val="fr-FR"/>
              </w:rPr>
              <w:t>−2</w:t>
            </w:r>
          </w:p>
        </w:tc>
      </w:tr>
      <w:tr w:rsidR="007E01A2" w:rsidRPr="006036EE" w14:paraId="66B78F07" w14:textId="77777777" w:rsidTr="00E343BA">
        <w:trPr>
          <w:jc w:val="center"/>
        </w:trPr>
        <w:tc>
          <w:tcPr>
            <w:tcW w:w="1127" w:type="dxa"/>
            <w:vMerge w:val="restart"/>
            <w:tcBorders>
              <w:top w:val="single" w:sz="6" w:space="0" w:color="auto"/>
              <w:left w:val="single" w:sz="6" w:space="0" w:color="auto"/>
              <w:bottom w:val="single" w:sz="6" w:space="0" w:color="auto"/>
              <w:right w:val="single" w:sz="6" w:space="0" w:color="auto"/>
            </w:tcBorders>
            <w:vAlign w:val="center"/>
            <w:hideMark/>
          </w:tcPr>
          <w:p w14:paraId="646FD88E" w14:textId="77777777" w:rsidR="007E01A2" w:rsidRPr="003A0703" w:rsidRDefault="007E01A2" w:rsidP="00721F37">
            <w:pPr>
              <w:pStyle w:val="Tabletext"/>
              <w:jc w:val="left"/>
              <w:rPr>
                <w:lang w:val="fr-FR"/>
              </w:rPr>
            </w:pPr>
            <w:r w:rsidRPr="003A0703">
              <w:rPr>
                <w:lang w:val="fr-FR"/>
              </w:rPr>
              <w:t>SFS</w:t>
            </w:r>
          </w:p>
        </w:tc>
        <w:tc>
          <w:tcPr>
            <w:tcW w:w="1277" w:type="dxa"/>
            <w:tcBorders>
              <w:top w:val="single" w:sz="6" w:space="0" w:color="auto"/>
              <w:left w:val="single" w:sz="6" w:space="0" w:color="auto"/>
              <w:bottom w:val="single" w:sz="6" w:space="0" w:color="auto"/>
              <w:right w:val="single" w:sz="6" w:space="0" w:color="auto"/>
            </w:tcBorders>
            <w:vAlign w:val="center"/>
            <w:hideMark/>
          </w:tcPr>
          <w:p w14:paraId="31D3B167" w14:textId="77777777" w:rsidR="007E01A2" w:rsidRPr="003A0703" w:rsidRDefault="007E01A2" w:rsidP="00721F37">
            <w:pPr>
              <w:pStyle w:val="Tabletext"/>
              <w:jc w:val="left"/>
              <w:rPr>
                <w:lang w:val="fr-FR"/>
              </w:rPr>
            </w:pPr>
            <w:r w:rsidRPr="003A0703">
              <w:rPr>
                <w:lang w:val="fr-FR"/>
              </w:rPr>
              <w:t>OSG</w:t>
            </w:r>
          </w:p>
        </w:tc>
        <w:tc>
          <w:tcPr>
            <w:tcW w:w="1274" w:type="dxa"/>
            <w:tcBorders>
              <w:top w:val="single" w:sz="6" w:space="0" w:color="auto"/>
              <w:left w:val="single" w:sz="6" w:space="0" w:color="auto"/>
              <w:bottom w:val="single" w:sz="6" w:space="0" w:color="auto"/>
              <w:right w:val="single" w:sz="6" w:space="0" w:color="auto"/>
            </w:tcBorders>
            <w:vAlign w:val="center"/>
            <w:hideMark/>
          </w:tcPr>
          <w:p w14:paraId="214992E3" w14:textId="77777777" w:rsidR="007E01A2" w:rsidRPr="003A0703" w:rsidRDefault="007E01A2">
            <w:pPr>
              <w:pStyle w:val="Tabletext"/>
              <w:jc w:val="center"/>
              <w:rPr>
                <w:lang w:val="fr-FR"/>
              </w:rPr>
            </w:pPr>
            <w:r w:rsidRPr="003A0703">
              <w:rPr>
                <w:lang w:val="fr-FR"/>
              </w:rPr>
              <w:t>−16</w:t>
            </w:r>
          </w:p>
          <w:p w14:paraId="1E94D978" w14:textId="77777777" w:rsidR="007E01A2" w:rsidRPr="003A0703" w:rsidRDefault="007E01A2">
            <w:pPr>
              <w:pStyle w:val="Tabletext"/>
              <w:jc w:val="center"/>
              <w:rPr>
                <w:lang w:val="fr-FR"/>
              </w:rPr>
            </w:pPr>
            <w:r w:rsidRPr="003A0703">
              <w:rPr>
                <w:lang w:val="fr-FR"/>
              </w:rPr>
              <w:t>−18</w:t>
            </w:r>
          </w:p>
          <w:p w14:paraId="4F67A39D" w14:textId="77777777" w:rsidR="007E01A2" w:rsidRPr="003A0703" w:rsidRDefault="007E01A2">
            <w:pPr>
              <w:pStyle w:val="Tabletext"/>
              <w:jc w:val="center"/>
              <w:rPr>
                <w:lang w:val="fr-FR"/>
              </w:rPr>
            </w:pPr>
            <w:r w:rsidRPr="003A0703">
              <w:rPr>
                <w:lang w:val="fr-FR"/>
              </w:rPr>
              <w:t>−20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5FCA1C4" w14:textId="77777777" w:rsidR="007E01A2" w:rsidRPr="003A0703" w:rsidRDefault="007E01A2">
            <w:pPr>
              <w:pStyle w:val="Tabletext"/>
              <w:jc w:val="center"/>
              <w:rPr>
                <w:lang w:val="fr-FR"/>
              </w:rPr>
            </w:pPr>
            <w:r w:rsidRPr="003A0703">
              <w:rPr>
                <w:lang w:val="fr-FR"/>
              </w:rPr>
              <w:t>−5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7D6ACFA" w14:textId="77777777" w:rsidR="007E01A2" w:rsidRPr="003A0703" w:rsidRDefault="007E01A2">
            <w:pPr>
              <w:pStyle w:val="Tabletext"/>
              <w:jc w:val="center"/>
              <w:rPr>
                <w:lang w:val="fr-FR"/>
              </w:rPr>
            </w:pPr>
            <w:r w:rsidRPr="003A0703">
              <w:rPr>
                <w:lang w:val="fr-FR"/>
              </w:rPr>
              <w:t>25</w:t>
            </w:r>
          </w:p>
        </w:tc>
        <w:tc>
          <w:tcPr>
            <w:tcW w:w="709" w:type="dxa"/>
            <w:tcBorders>
              <w:top w:val="single" w:sz="6" w:space="0" w:color="auto"/>
              <w:left w:val="single" w:sz="6" w:space="0" w:color="auto"/>
              <w:bottom w:val="single" w:sz="6" w:space="0" w:color="auto"/>
              <w:right w:val="single" w:sz="6" w:space="0" w:color="auto"/>
            </w:tcBorders>
            <w:vAlign w:val="center"/>
          </w:tcPr>
          <w:p w14:paraId="61B6C551" w14:textId="77777777" w:rsidR="007E01A2" w:rsidRPr="003A0703" w:rsidRDefault="007E01A2">
            <w:pPr>
              <w:pStyle w:val="Tabletext"/>
              <w:jc w:val="center"/>
              <w:rPr>
                <w:lang w:val="fr-FR"/>
              </w:rPr>
            </w:pPr>
            <w:r w:rsidRPr="003A0703">
              <w:rPr>
                <w:lang w:val="fr-FR"/>
              </w:rPr>
              <w:t>&gt;&lt;</w:t>
            </w:r>
          </w:p>
        </w:tc>
        <w:tc>
          <w:tcPr>
            <w:tcW w:w="708" w:type="dxa"/>
            <w:tcBorders>
              <w:top w:val="single" w:sz="6" w:space="0" w:color="auto"/>
              <w:left w:val="single" w:sz="6" w:space="0" w:color="auto"/>
              <w:bottom w:val="single" w:sz="6" w:space="0" w:color="auto"/>
              <w:right w:val="single" w:sz="4" w:space="0" w:color="auto"/>
            </w:tcBorders>
            <w:vAlign w:val="center"/>
            <w:hideMark/>
          </w:tcPr>
          <w:p w14:paraId="3BBC8DBE" w14:textId="77777777" w:rsidR="007E01A2" w:rsidRPr="003A0703" w:rsidRDefault="007E01A2">
            <w:pPr>
              <w:pStyle w:val="Tabletext"/>
              <w:jc w:val="center"/>
              <w:rPr>
                <w:lang w:val="fr-FR"/>
              </w:rPr>
            </w:pPr>
            <w:r w:rsidRPr="003A0703">
              <w:rPr>
                <w:lang w:val="fr-FR"/>
              </w:rPr>
              <w:t>−46</w:t>
            </w:r>
          </w:p>
        </w:tc>
        <w:tc>
          <w:tcPr>
            <w:tcW w:w="1715" w:type="dxa"/>
            <w:tcBorders>
              <w:top w:val="single" w:sz="6" w:space="0" w:color="auto"/>
              <w:left w:val="single" w:sz="4" w:space="0" w:color="auto"/>
              <w:bottom w:val="single" w:sz="6" w:space="0" w:color="auto"/>
              <w:right w:val="single" w:sz="6" w:space="0" w:color="auto"/>
            </w:tcBorders>
            <w:vAlign w:val="center"/>
            <w:hideMark/>
          </w:tcPr>
          <w:p w14:paraId="4B967948" w14:textId="77777777" w:rsidR="007E01A2" w:rsidRPr="003A0703" w:rsidRDefault="007E01A2">
            <w:pPr>
              <w:pStyle w:val="Tabletext"/>
              <w:jc w:val="center"/>
              <w:rPr>
                <w:lang w:val="fr-FR"/>
              </w:rPr>
            </w:pPr>
            <w:r w:rsidRPr="003A0703">
              <w:rPr>
                <w:lang w:val="fr-FR"/>
              </w:rPr>
              <w:t>–5</w:t>
            </w:r>
            <w:r w:rsidRPr="003A0703">
              <w:rPr>
                <w:lang w:val="fr-FR"/>
              </w:rPr>
              <w:br/>
              <w:t>(système lunaire sans pilote)</w:t>
            </w:r>
            <w:r w:rsidRPr="003A0703">
              <w:rPr>
                <w:lang w:val="fr-FR"/>
              </w:rPr>
              <w:br/>
              <w:t>25</w:t>
            </w:r>
            <w:r w:rsidRPr="003A0703">
              <w:rPr>
                <w:lang w:val="fr-FR"/>
              </w:rPr>
              <w:br/>
              <w:t>(système lunaire avec pilote)</w:t>
            </w:r>
          </w:p>
        </w:tc>
      </w:tr>
      <w:tr w:rsidR="007E01A2" w:rsidRPr="003A0703" w14:paraId="0366B0EC" w14:textId="77777777" w:rsidTr="00E343BA">
        <w:trPr>
          <w:trHeight w:val="201"/>
          <w:jc w:val="center"/>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2AF6F183" w14:textId="77777777" w:rsidR="007E01A2" w:rsidRPr="003A0703" w:rsidRDefault="007E01A2" w:rsidP="00721F37">
            <w:pPr>
              <w:tabs>
                <w:tab w:val="clear" w:pos="794"/>
                <w:tab w:val="clear" w:pos="1191"/>
                <w:tab w:val="clear" w:pos="1588"/>
                <w:tab w:val="clear" w:pos="1985"/>
              </w:tabs>
              <w:overflowPunct/>
              <w:autoSpaceDE/>
              <w:autoSpaceDN/>
              <w:adjustRightInd/>
              <w:spacing w:before="0"/>
              <w:jc w:val="left"/>
              <w:rPr>
                <w:sz w:val="22"/>
                <w:lang w:val="fr-FR"/>
              </w:rPr>
            </w:pPr>
          </w:p>
        </w:tc>
        <w:tc>
          <w:tcPr>
            <w:tcW w:w="1277" w:type="dxa"/>
            <w:tcBorders>
              <w:top w:val="single" w:sz="6" w:space="0" w:color="auto"/>
              <w:left w:val="single" w:sz="6" w:space="0" w:color="auto"/>
              <w:bottom w:val="single" w:sz="6" w:space="0" w:color="auto"/>
              <w:right w:val="single" w:sz="6" w:space="0" w:color="auto"/>
            </w:tcBorders>
            <w:vAlign w:val="center"/>
            <w:hideMark/>
          </w:tcPr>
          <w:p w14:paraId="5E9BECA1" w14:textId="77777777" w:rsidR="007E01A2" w:rsidRPr="003A0703" w:rsidRDefault="007E01A2" w:rsidP="00721F37">
            <w:pPr>
              <w:pStyle w:val="Tabletext"/>
              <w:jc w:val="left"/>
              <w:rPr>
                <w:lang w:val="fr-FR"/>
              </w:rPr>
            </w:pPr>
            <w:r w:rsidRPr="003A0703">
              <w:rPr>
                <w:lang w:val="fr-FR"/>
              </w:rPr>
              <w:t>HEO</w:t>
            </w:r>
          </w:p>
        </w:tc>
        <w:tc>
          <w:tcPr>
            <w:tcW w:w="1274" w:type="dxa"/>
            <w:tcBorders>
              <w:top w:val="single" w:sz="6" w:space="0" w:color="auto"/>
              <w:left w:val="single" w:sz="6" w:space="0" w:color="auto"/>
              <w:bottom w:val="single" w:sz="6" w:space="0" w:color="auto"/>
              <w:right w:val="single" w:sz="6" w:space="0" w:color="auto"/>
            </w:tcBorders>
            <w:vAlign w:val="center"/>
            <w:hideMark/>
          </w:tcPr>
          <w:p w14:paraId="1ED1C59D" w14:textId="77777777" w:rsidR="007E01A2" w:rsidRPr="003A0703" w:rsidRDefault="007E01A2">
            <w:pPr>
              <w:pStyle w:val="Tabletext"/>
              <w:jc w:val="center"/>
              <w:rPr>
                <w:lang w:val="fr-FR"/>
              </w:rPr>
            </w:pPr>
            <w:r w:rsidRPr="003A0703">
              <w:rPr>
                <w:lang w:val="fr-FR"/>
              </w:rPr>
              <w:t>−31</w:t>
            </w:r>
          </w:p>
          <w:p w14:paraId="7096EBCD" w14:textId="77777777" w:rsidR="007E01A2" w:rsidRPr="003A0703" w:rsidRDefault="007E01A2">
            <w:pPr>
              <w:pStyle w:val="Tabletext"/>
              <w:jc w:val="center"/>
              <w:rPr>
                <w:lang w:val="fr-FR"/>
              </w:rPr>
            </w:pPr>
            <w:r w:rsidRPr="003A0703">
              <w:rPr>
                <w:lang w:val="fr-FR"/>
              </w:rPr>
              <w:t>−28</w:t>
            </w:r>
          </w:p>
          <w:p w14:paraId="68E11A85" w14:textId="77777777" w:rsidR="007E01A2" w:rsidRPr="003A0703" w:rsidRDefault="007E01A2">
            <w:pPr>
              <w:pStyle w:val="Tabletext"/>
              <w:jc w:val="center"/>
              <w:rPr>
                <w:lang w:val="fr-FR"/>
              </w:rPr>
            </w:pPr>
            <w:r w:rsidRPr="003A0703">
              <w:rPr>
                <w:lang w:val="fr-FR"/>
              </w:rPr>
              <w:t>−11</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EC354AF" w14:textId="77777777" w:rsidR="007E01A2" w:rsidRPr="003A0703" w:rsidRDefault="007E01A2">
            <w:pPr>
              <w:pStyle w:val="Tabletext"/>
              <w:jc w:val="center"/>
              <w:rPr>
                <w:lang w:val="fr-FR"/>
              </w:rPr>
            </w:pPr>
            <w:r w:rsidRPr="003A0703">
              <w:rPr>
                <w:lang w:val="fr-FR"/>
              </w:rPr>
              <w:t>−29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694746C" w14:textId="77777777" w:rsidR="007E01A2" w:rsidRPr="003A0703" w:rsidRDefault="007E01A2">
            <w:pPr>
              <w:pStyle w:val="Tabletext"/>
              <w:jc w:val="center"/>
              <w:rPr>
                <w:lang w:val="fr-FR"/>
              </w:rPr>
            </w:pPr>
            <w:r w:rsidRPr="003A0703">
              <w:rPr>
                <w:lang w:val="fr-FR"/>
              </w:rPr>
              <w:t>−27</w:t>
            </w:r>
          </w:p>
        </w:tc>
        <w:tc>
          <w:tcPr>
            <w:tcW w:w="709" w:type="dxa"/>
            <w:tcBorders>
              <w:top w:val="single" w:sz="6" w:space="0" w:color="auto"/>
              <w:left w:val="single" w:sz="6" w:space="0" w:color="auto"/>
              <w:bottom w:val="single" w:sz="6" w:space="0" w:color="auto"/>
              <w:right w:val="single" w:sz="6" w:space="0" w:color="auto"/>
            </w:tcBorders>
            <w:vAlign w:val="center"/>
            <w:hideMark/>
          </w:tcPr>
          <w:p w14:paraId="48432B93" w14:textId="77777777" w:rsidR="007E01A2" w:rsidRPr="003A0703" w:rsidRDefault="007E01A2">
            <w:pPr>
              <w:pStyle w:val="Tabletext"/>
              <w:jc w:val="center"/>
              <w:rPr>
                <w:lang w:val="fr-FR"/>
              </w:rPr>
            </w:pPr>
            <w:r w:rsidRPr="003A0703">
              <w:rPr>
                <w:lang w:val="fr-FR"/>
              </w:rPr>
              <w:t>−41</w:t>
            </w:r>
          </w:p>
        </w:tc>
        <w:tc>
          <w:tcPr>
            <w:tcW w:w="708" w:type="dxa"/>
            <w:tcBorders>
              <w:top w:val="single" w:sz="6" w:space="0" w:color="auto"/>
              <w:left w:val="single" w:sz="6" w:space="0" w:color="auto"/>
              <w:bottom w:val="single" w:sz="6" w:space="0" w:color="auto"/>
              <w:right w:val="single" w:sz="4" w:space="0" w:color="auto"/>
            </w:tcBorders>
            <w:vAlign w:val="center"/>
          </w:tcPr>
          <w:p w14:paraId="53EB8629" w14:textId="77777777" w:rsidR="007E01A2" w:rsidRPr="003A0703" w:rsidRDefault="007E01A2">
            <w:pPr>
              <w:pStyle w:val="Tabletext"/>
              <w:jc w:val="center"/>
              <w:rPr>
                <w:lang w:val="fr-FR"/>
              </w:rPr>
            </w:pPr>
            <w:r w:rsidRPr="003A0703">
              <w:rPr>
                <w:lang w:val="fr-FR"/>
              </w:rPr>
              <w:t>&gt;&lt;</w:t>
            </w:r>
          </w:p>
        </w:tc>
        <w:tc>
          <w:tcPr>
            <w:tcW w:w="1715" w:type="dxa"/>
            <w:tcBorders>
              <w:top w:val="single" w:sz="6" w:space="0" w:color="auto"/>
              <w:left w:val="single" w:sz="4" w:space="0" w:color="auto"/>
              <w:bottom w:val="single" w:sz="6" w:space="0" w:color="auto"/>
              <w:right w:val="single" w:sz="6" w:space="0" w:color="auto"/>
            </w:tcBorders>
            <w:vAlign w:val="center"/>
            <w:hideMark/>
          </w:tcPr>
          <w:p w14:paraId="0D86B1FB" w14:textId="77777777" w:rsidR="007E01A2" w:rsidRPr="003A0703" w:rsidRDefault="007E01A2">
            <w:pPr>
              <w:pStyle w:val="Tabletext"/>
              <w:jc w:val="center"/>
              <w:rPr>
                <w:lang w:val="fr-FR"/>
              </w:rPr>
            </w:pPr>
            <w:r w:rsidRPr="003A0703">
              <w:rPr>
                <w:lang w:val="fr-FR"/>
              </w:rPr>
              <w:t>−11</w:t>
            </w:r>
          </w:p>
        </w:tc>
      </w:tr>
    </w:tbl>
    <w:p w14:paraId="159DECD5" w14:textId="77777777" w:rsidR="007E01A2" w:rsidRPr="003A0703" w:rsidRDefault="007E01A2" w:rsidP="007E01A2">
      <w:pPr>
        <w:pStyle w:val="Tablefin"/>
        <w:rPr>
          <w:lang w:val="fr-FR"/>
        </w:rPr>
      </w:pPr>
    </w:p>
    <w:p w14:paraId="66936977" w14:textId="75323143" w:rsidR="007E01A2" w:rsidRPr="003A0703" w:rsidRDefault="007E01A2" w:rsidP="007E01A2">
      <w:pPr>
        <w:rPr>
          <w:lang w:val="fr-FR"/>
        </w:rPr>
      </w:pPr>
      <w:r w:rsidRPr="003A0703">
        <w:rPr>
          <w:lang w:val="fr-FR"/>
        </w:rPr>
        <w:t>Il est à noter que les niveaux de brouillage produits par les systèmes du service de recherche spatiale (systèmes SVLBI et lunaires sans pilote) et du SFS (OSG et HEO) lorsqu'on utilise les paramètres prévus pour les systèmes satisfont aux critères de protection de ces systèmes. Toutefois, les brouillages causés par les systèmes OSG du SFS aux systèmes lunaires avec pilote du service de recherche spatiale dépassent le critère de protection du service de recherche spatiale de 25 dB. Par</w:t>
      </w:r>
      <w:r w:rsidR="00745533" w:rsidRPr="003A0703">
        <w:rPr>
          <w:lang w:val="fr-FR"/>
        </w:rPr>
        <w:t> </w:t>
      </w:r>
      <w:r w:rsidRPr="003A0703">
        <w:rPr>
          <w:lang w:val="fr-FR"/>
        </w:rPr>
        <w:t>conséquent, le partage de fréquences entre les systèmes du service de recherche spatiale (systèmes</w:t>
      </w:r>
      <w:r w:rsidR="00745533" w:rsidRPr="003A0703">
        <w:rPr>
          <w:lang w:val="fr-FR"/>
        </w:rPr>
        <w:t> </w:t>
      </w:r>
      <w:r w:rsidRPr="003A0703">
        <w:rPr>
          <w:lang w:val="fr-FR"/>
        </w:rPr>
        <w:t>SVLBI et lunaires sans pilote) et du SFS (OSG et HEO) dans la bande 37,5-38 GHz est possible. Le partage de fréquences reste possible même si ces systèmes augmentent leurs densités de</w:t>
      </w:r>
      <w:r w:rsidR="00745533" w:rsidRPr="003A0703">
        <w:rPr>
          <w:lang w:val="fr-FR"/>
        </w:rPr>
        <w:t> </w:t>
      </w:r>
      <w:r w:rsidRPr="003A0703">
        <w:rPr>
          <w:lang w:val="fr-FR"/>
        </w:rPr>
        <w:t>p.i.r.e. du niveau de dépassement maximal. Ces systèmes peuvent fonctionner à ces niveaux de densité de p.i.r.e. pendant 100% du temps sans que les uns causent des brouillages préjudiciables aux autres. Pour le partage entre les systèmes OSG du SFS et les systèmes lunaires avec pilote du service de recherche spatiale, des méthodes d'atténuation sont nécessaires pour ramener les brouillages à des niveaux acceptables.</w:t>
      </w:r>
    </w:p>
    <w:p w14:paraId="4041DC03" w14:textId="2D127147" w:rsidR="007E01A2" w:rsidRPr="003A0703" w:rsidRDefault="007E01A2" w:rsidP="007E01A2">
      <w:pPr>
        <w:rPr>
          <w:lang w:val="fr-FR"/>
        </w:rPr>
      </w:pPr>
      <w:r w:rsidRPr="003A0703">
        <w:rPr>
          <w:lang w:val="fr-FR"/>
        </w:rPr>
        <w:t>Pour le cas 2, lorsque les systèmes du service de recherche spatiale et du SFS fonctionnent avec la densité spectrale de puissance surfacique maximale à la surface de la Terre de</w:t>
      </w:r>
      <w:r w:rsidR="00745533" w:rsidRPr="003A0703">
        <w:rPr>
          <w:lang w:val="fr-FR"/>
        </w:rPr>
        <w:t> </w:t>
      </w:r>
      <w:r w:rsidRPr="003A0703">
        <w:rPr>
          <w:lang w:val="fr-FR"/>
        </w:rPr>
        <w:t>−105 dB(W/(m</w:t>
      </w:r>
      <w:r w:rsidRPr="003A0703">
        <w:rPr>
          <w:vertAlign w:val="superscript"/>
          <w:lang w:val="fr-FR"/>
        </w:rPr>
        <w:t>2</w:t>
      </w:r>
      <w:r w:rsidRPr="003A0703">
        <w:rPr>
          <w:lang w:val="fr-FR"/>
        </w:rPr>
        <w:t> · MHz)), les brouillages causés par les uns aux autres dépasseront les critères de protection correspondants lorsqu'on utilise les affaiblissements atmosphériques par temps clair. Les niveaux de dépassement sont indiqués dans le Tableau 6.</w:t>
      </w:r>
    </w:p>
    <w:p w14:paraId="39A23A81" w14:textId="77777777" w:rsidR="007E01A2" w:rsidRPr="003A0703" w:rsidRDefault="007E01A2" w:rsidP="003A3EF6">
      <w:pPr>
        <w:pStyle w:val="TableNo"/>
        <w:rPr>
          <w:lang w:val="fr-FR"/>
        </w:rPr>
      </w:pPr>
      <w:bookmarkStart w:id="23" w:name="_Toc269882326"/>
      <w:r w:rsidRPr="003A0703">
        <w:rPr>
          <w:lang w:val="fr-FR"/>
        </w:rPr>
        <w:lastRenderedPageBreak/>
        <w:t>TABLEAU 6</w:t>
      </w:r>
    </w:p>
    <w:p w14:paraId="1FAB316B" w14:textId="7FE66AF7" w:rsidR="007E01A2" w:rsidRPr="003A0703" w:rsidRDefault="007E01A2" w:rsidP="007E01A2">
      <w:pPr>
        <w:pStyle w:val="Tabletitle"/>
        <w:rPr>
          <w:lang w:val="fr-FR"/>
        </w:rPr>
      </w:pPr>
      <w:r w:rsidRPr="003A0703">
        <w:rPr>
          <w:lang w:val="fr-FR"/>
        </w:rPr>
        <w:t>Dépassement des critères de protection des systèmes du service de recherche spatiale</w:t>
      </w:r>
      <w:r w:rsidR="00077BB1" w:rsidRPr="003A0703">
        <w:rPr>
          <w:lang w:val="fr-FR"/>
        </w:rPr>
        <w:br/>
      </w:r>
      <w:r w:rsidRPr="003A0703">
        <w:rPr>
          <w:lang w:val="fr-FR"/>
        </w:rPr>
        <w:t>et du</w:t>
      </w:r>
      <w:r w:rsidR="003A0703" w:rsidRPr="003A0703">
        <w:rPr>
          <w:lang w:val="fr-FR"/>
        </w:rPr>
        <w:t xml:space="preserve"> </w:t>
      </w:r>
      <w:r w:rsidRPr="003A0703">
        <w:rPr>
          <w:lang w:val="fr-FR"/>
        </w:rPr>
        <w:t>SFS lorsqu'on utilise les limites de densité spectrale de</w:t>
      </w:r>
      <w:r w:rsidR="00077BB1" w:rsidRPr="003A0703">
        <w:rPr>
          <w:lang w:val="fr-FR"/>
        </w:rPr>
        <w:t xml:space="preserve"> </w:t>
      </w:r>
      <w:r w:rsidRPr="003A0703">
        <w:rPr>
          <w:lang w:val="fr-FR"/>
        </w:rPr>
        <w:t>puissance</w:t>
      </w:r>
      <w:r w:rsidR="00077BB1" w:rsidRPr="003A0703">
        <w:rPr>
          <w:lang w:val="fr-FR"/>
        </w:rPr>
        <w:br/>
      </w:r>
      <w:r w:rsidRPr="003A0703">
        <w:rPr>
          <w:lang w:val="fr-FR"/>
        </w:rPr>
        <w:t xml:space="preserve">surfacique </w:t>
      </w:r>
      <w:bookmarkEnd w:id="23"/>
      <w:r w:rsidRPr="003A0703">
        <w:rPr>
          <w:lang w:val="fr-FR"/>
        </w:rPr>
        <w:t>dans la bande 37,5-38 GHz (cas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6"/>
        <w:gridCol w:w="1176"/>
        <w:gridCol w:w="1232"/>
        <w:gridCol w:w="1370"/>
        <w:gridCol w:w="1377"/>
        <w:gridCol w:w="687"/>
        <w:gridCol w:w="711"/>
        <w:gridCol w:w="1960"/>
      </w:tblGrid>
      <w:tr w:rsidR="007E01A2" w:rsidRPr="003A0703" w14:paraId="6F45BABB" w14:textId="77777777" w:rsidTr="00E343BA">
        <w:trPr>
          <w:trHeight w:val="246"/>
          <w:jc w:val="center"/>
        </w:trPr>
        <w:tc>
          <w:tcPr>
            <w:tcW w:w="2302"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593A573" w14:textId="77777777" w:rsidR="007E01A2" w:rsidRPr="003A0703" w:rsidRDefault="007E01A2">
            <w:pPr>
              <w:pStyle w:val="Tablehead"/>
              <w:rPr>
                <w:lang w:val="fr-FR"/>
              </w:rPr>
            </w:pPr>
            <w:r w:rsidRPr="003A0703">
              <w:rPr>
                <w:lang w:val="fr-FR"/>
              </w:rPr>
              <w:t xml:space="preserve">Cas 2: </w:t>
            </w:r>
            <w:r w:rsidRPr="003A0703">
              <w:rPr>
                <w:lang w:val="fr-FR"/>
              </w:rPr>
              <w:br/>
              <w:t>puissance surfacique</w:t>
            </w:r>
          </w:p>
          <w:p w14:paraId="0C3EDC83" w14:textId="77777777" w:rsidR="007E01A2" w:rsidRPr="003A0703" w:rsidRDefault="007E01A2">
            <w:pPr>
              <w:pStyle w:val="Tablehead"/>
              <w:rPr>
                <w:lang w:val="fr-FR"/>
              </w:rPr>
            </w:pPr>
            <w:r w:rsidRPr="003A0703">
              <w:rPr>
                <w:lang w:val="fr-FR"/>
              </w:rPr>
              <w:br/>
              <w:t xml:space="preserve">Systèmes </w:t>
            </w:r>
            <w:r w:rsidRPr="003A0703">
              <w:rPr>
                <w:lang w:val="fr-FR"/>
              </w:rPr>
              <w:br/>
              <w:t>brouilleurs</w:t>
            </w:r>
          </w:p>
        </w:tc>
        <w:tc>
          <w:tcPr>
            <w:tcW w:w="5379" w:type="dxa"/>
            <w:gridSpan w:val="5"/>
            <w:tcBorders>
              <w:top w:val="single" w:sz="6" w:space="0" w:color="auto"/>
              <w:left w:val="single" w:sz="6" w:space="0" w:color="auto"/>
              <w:bottom w:val="single" w:sz="4" w:space="0" w:color="auto"/>
              <w:right w:val="single" w:sz="4" w:space="0" w:color="auto"/>
            </w:tcBorders>
            <w:hideMark/>
          </w:tcPr>
          <w:p w14:paraId="629E35C0" w14:textId="77777777" w:rsidR="007E01A2" w:rsidRPr="003A0703" w:rsidRDefault="007E01A2">
            <w:pPr>
              <w:pStyle w:val="Tablehead"/>
              <w:rPr>
                <w:lang w:val="fr-FR"/>
              </w:rPr>
            </w:pPr>
            <w:r w:rsidRPr="003A0703">
              <w:rPr>
                <w:lang w:val="fr-FR"/>
              </w:rPr>
              <w:t>Systèmes brouillés:</w:t>
            </w:r>
            <w:r w:rsidRPr="003A0703">
              <w:rPr>
                <w:lang w:val="fr-FR"/>
              </w:rPr>
              <w:br/>
              <w:t xml:space="preserve">Dépassement des critères de protection </w:t>
            </w:r>
            <w:r w:rsidRPr="003A0703">
              <w:rPr>
                <w:lang w:val="fr-FR"/>
              </w:rPr>
              <w:br/>
              <w:t>(dB)</w:t>
            </w:r>
          </w:p>
        </w:tc>
        <w:tc>
          <w:tcPr>
            <w:tcW w:w="1958" w:type="dxa"/>
            <w:vMerge w:val="restart"/>
            <w:tcBorders>
              <w:top w:val="single" w:sz="6" w:space="0" w:color="auto"/>
              <w:left w:val="single" w:sz="4" w:space="0" w:color="auto"/>
              <w:bottom w:val="single" w:sz="6" w:space="0" w:color="auto"/>
              <w:right w:val="single" w:sz="6" w:space="0" w:color="auto"/>
            </w:tcBorders>
            <w:vAlign w:val="center"/>
            <w:hideMark/>
          </w:tcPr>
          <w:p w14:paraId="6A80EE60" w14:textId="77777777" w:rsidR="007E01A2" w:rsidRPr="003A0703" w:rsidRDefault="007E01A2">
            <w:pPr>
              <w:pStyle w:val="Tablehead"/>
              <w:rPr>
                <w:lang w:val="fr-FR"/>
              </w:rPr>
            </w:pPr>
            <w:r w:rsidRPr="003A0703">
              <w:rPr>
                <w:lang w:val="fr-FR"/>
              </w:rPr>
              <w:t xml:space="preserve">Dépassement </w:t>
            </w:r>
            <w:r w:rsidRPr="003A0703">
              <w:rPr>
                <w:lang w:val="fr-FR"/>
              </w:rPr>
              <w:br/>
              <w:t xml:space="preserve">max. </w:t>
            </w:r>
            <w:r w:rsidRPr="003A0703">
              <w:rPr>
                <w:lang w:val="fr-FR"/>
              </w:rPr>
              <w:br/>
              <w:t>(dB)</w:t>
            </w:r>
          </w:p>
        </w:tc>
      </w:tr>
      <w:tr w:rsidR="007E01A2" w:rsidRPr="003A0703" w14:paraId="458D139D" w14:textId="77777777" w:rsidTr="00E343BA">
        <w:trPr>
          <w:trHeight w:val="246"/>
          <w:jc w:val="center"/>
        </w:trPr>
        <w:tc>
          <w:tcPr>
            <w:tcW w:w="2302" w:type="dxa"/>
            <w:gridSpan w:val="2"/>
            <w:vMerge/>
            <w:tcBorders>
              <w:top w:val="single" w:sz="6" w:space="0" w:color="auto"/>
              <w:left w:val="single" w:sz="6" w:space="0" w:color="auto"/>
              <w:bottom w:val="single" w:sz="6" w:space="0" w:color="auto"/>
              <w:right w:val="single" w:sz="6" w:space="0" w:color="auto"/>
            </w:tcBorders>
            <w:vAlign w:val="center"/>
            <w:hideMark/>
          </w:tcPr>
          <w:p w14:paraId="61197A50"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c>
          <w:tcPr>
            <w:tcW w:w="3982" w:type="dxa"/>
            <w:gridSpan w:val="3"/>
            <w:tcBorders>
              <w:top w:val="single" w:sz="4" w:space="0" w:color="auto"/>
              <w:left w:val="single" w:sz="6" w:space="0" w:color="auto"/>
              <w:bottom w:val="single" w:sz="4" w:space="0" w:color="auto"/>
              <w:right w:val="single" w:sz="6" w:space="0" w:color="auto"/>
            </w:tcBorders>
            <w:vAlign w:val="center"/>
            <w:hideMark/>
          </w:tcPr>
          <w:p w14:paraId="29763BEF" w14:textId="77777777" w:rsidR="007E01A2" w:rsidRPr="003A0703" w:rsidRDefault="007E01A2">
            <w:pPr>
              <w:pStyle w:val="Tablehead"/>
              <w:rPr>
                <w:lang w:val="fr-FR"/>
              </w:rPr>
            </w:pPr>
            <w:r w:rsidRPr="003A0703">
              <w:rPr>
                <w:lang w:val="fr-FR"/>
              </w:rPr>
              <w:t>Service de recherche spatiale</w:t>
            </w:r>
          </w:p>
        </w:tc>
        <w:tc>
          <w:tcPr>
            <w:tcW w:w="1396" w:type="dxa"/>
            <w:gridSpan w:val="2"/>
            <w:tcBorders>
              <w:top w:val="single" w:sz="4" w:space="0" w:color="auto"/>
              <w:left w:val="single" w:sz="6" w:space="0" w:color="auto"/>
              <w:bottom w:val="single" w:sz="4" w:space="0" w:color="auto"/>
              <w:right w:val="single" w:sz="4" w:space="0" w:color="auto"/>
            </w:tcBorders>
            <w:vAlign w:val="center"/>
            <w:hideMark/>
          </w:tcPr>
          <w:p w14:paraId="37E616BE" w14:textId="77777777" w:rsidR="007E01A2" w:rsidRPr="003A0703" w:rsidRDefault="007E01A2">
            <w:pPr>
              <w:pStyle w:val="Tablehead"/>
              <w:rPr>
                <w:lang w:val="fr-FR"/>
              </w:rPr>
            </w:pPr>
            <w:r w:rsidRPr="003A0703">
              <w:rPr>
                <w:lang w:val="fr-FR"/>
              </w:rPr>
              <w:t>SFS</w:t>
            </w:r>
          </w:p>
        </w:tc>
        <w:tc>
          <w:tcPr>
            <w:tcW w:w="1959" w:type="dxa"/>
            <w:vMerge/>
            <w:tcBorders>
              <w:top w:val="single" w:sz="6" w:space="0" w:color="auto"/>
              <w:left w:val="single" w:sz="4" w:space="0" w:color="auto"/>
              <w:bottom w:val="single" w:sz="6" w:space="0" w:color="auto"/>
              <w:right w:val="single" w:sz="6" w:space="0" w:color="auto"/>
            </w:tcBorders>
            <w:vAlign w:val="center"/>
            <w:hideMark/>
          </w:tcPr>
          <w:p w14:paraId="1103457A"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r>
      <w:tr w:rsidR="00745533" w:rsidRPr="003A0703" w14:paraId="7E7DA052" w14:textId="77777777" w:rsidTr="00E343BA">
        <w:trPr>
          <w:trHeight w:val="255"/>
          <w:jc w:val="center"/>
        </w:trPr>
        <w:tc>
          <w:tcPr>
            <w:tcW w:w="2302" w:type="dxa"/>
            <w:gridSpan w:val="2"/>
            <w:vMerge/>
            <w:tcBorders>
              <w:top w:val="single" w:sz="6" w:space="0" w:color="auto"/>
              <w:left w:val="single" w:sz="6" w:space="0" w:color="auto"/>
              <w:bottom w:val="single" w:sz="6" w:space="0" w:color="auto"/>
              <w:right w:val="single" w:sz="6" w:space="0" w:color="auto"/>
            </w:tcBorders>
            <w:vAlign w:val="center"/>
            <w:hideMark/>
          </w:tcPr>
          <w:p w14:paraId="50365403"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c>
          <w:tcPr>
            <w:tcW w:w="1233" w:type="dxa"/>
            <w:tcBorders>
              <w:top w:val="single" w:sz="4" w:space="0" w:color="auto"/>
              <w:left w:val="single" w:sz="6" w:space="0" w:color="auto"/>
              <w:bottom w:val="single" w:sz="6" w:space="0" w:color="auto"/>
              <w:right w:val="single" w:sz="4" w:space="0" w:color="auto"/>
            </w:tcBorders>
            <w:vAlign w:val="center"/>
            <w:hideMark/>
          </w:tcPr>
          <w:p w14:paraId="4F41D918" w14:textId="77777777" w:rsidR="007E01A2" w:rsidRPr="003A0703" w:rsidRDefault="007E01A2">
            <w:pPr>
              <w:pStyle w:val="Tablehead"/>
              <w:rPr>
                <w:lang w:val="fr-FR"/>
              </w:rPr>
            </w:pPr>
            <w:r w:rsidRPr="003A0703">
              <w:rPr>
                <w:lang w:val="fr-FR"/>
              </w:rPr>
              <w:t>SVLBI-20</w:t>
            </w:r>
            <w:r w:rsidRPr="003A0703">
              <w:rPr>
                <w:lang w:val="fr-FR"/>
              </w:rPr>
              <w:br/>
              <w:t>SVLBI-31</w:t>
            </w:r>
            <w:r w:rsidRPr="003A0703">
              <w:rPr>
                <w:lang w:val="fr-FR"/>
              </w:rPr>
              <w:br/>
              <w:t>SVLBI-65</w:t>
            </w:r>
          </w:p>
        </w:tc>
        <w:tc>
          <w:tcPr>
            <w:tcW w:w="1371" w:type="dxa"/>
            <w:tcBorders>
              <w:top w:val="single" w:sz="4" w:space="0" w:color="auto"/>
              <w:left w:val="single" w:sz="4" w:space="0" w:color="auto"/>
              <w:bottom w:val="single" w:sz="6" w:space="0" w:color="auto"/>
              <w:right w:val="single" w:sz="4" w:space="0" w:color="auto"/>
            </w:tcBorders>
            <w:vAlign w:val="center"/>
            <w:hideMark/>
          </w:tcPr>
          <w:p w14:paraId="2C325E0A" w14:textId="77777777" w:rsidR="007E01A2" w:rsidRPr="003A0703" w:rsidRDefault="007E01A2">
            <w:pPr>
              <w:pStyle w:val="Tablehead"/>
              <w:rPr>
                <w:lang w:val="fr-FR"/>
              </w:rPr>
            </w:pPr>
            <w:r w:rsidRPr="003A0703">
              <w:rPr>
                <w:lang w:val="fr-FR"/>
              </w:rPr>
              <w:t xml:space="preserve">Système lunaire </w:t>
            </w:r>
            <w:r w:rsidRPr="003A0703">
              <w:rPr>
                <w:lang w:val="fr-FR"/>
              </w:rPr>
              <w:br/>
              <w:t>(sans pilote)</w:t>
            </w:r>
          </w:p>
        </w:tc>
        <w:tc>
          <w:tcPr>
            <w:tcW w:w="1374" w:type="dxa"/>
            <w:tcBorders>
              <w:top w:val="single" w:sz="4" w:space="0" w:color="auto"/>
              <w:left w:val="single" w:sz="4" w:space="0" w:color="auto"/>
              <w:bottom w:val="single" w:sz="6" w:space="0" w:color="auto"/>
              <w:right w:val="single" w:sz="6" w:space="0" w:color="auto"/>
            </w:tcBorders>
            <w:vAlign w:val="center"/>
            <w:hideMark/>
          </w:tcPr>
          <w:p w14:paraId="234E63D3" w14:textId="77777777" w:rsidR="007E01A2" w:rsidRPr="003A0703" w:rsidRDefault="007E01A2">
            <w:pPr>
              <w:pStyle w:val="Tablehead"/>
              <w:rPr>
                <w:lang w:val="fr-FR"/>
              </w:rPr>
            </w:pPr>
            <w:r w:rsidRPr="003A0703">
              <w:rPr>
                <w:lang w:val="fr-FR"/>
              </w:rPr>
              <w:t xml:space="preserve">Système lunaire </w:t>
            </w:r>
            <w:r w:rsidRPr="003A0703">
              <w:rPr>
                <w:lang w:val="fr-FR"/>
              </w:rPr>
              <w:br/>
              <w:t>(avec pilote)</w:t>
            </w:r>
          </w:p>
        </w:tc>
        <w:tc>
          <w:tcPr>
            <w:tcW w:w="687" w:type="dxa"/>
            <w:tcBorders>
              <w:top w:val="nil"/>
              <w:left w:val="single" w:sz="6" w:space="0" w:color="auto"/>
              <w:bottom w:val="single" w:sz="6" w:space="0" w:color="auto"/>
              <w:right w:val="single" w:sz="4" w:space="0" w:color="auto"/>
            </w:tcBorders>
            <w:vAlign w:val="center"/>
            <w:hideMark/>
          </w:tcPr>
          <w:p w14:paraId="1158665A" w14:textId="77777777" w:rsidR="007E01A2" w:rsidRPr="003A0703" w:rsidRDefault="007E01A2">
            <w:pPr>
              <w:pStyle w:val="Tablehead"/>
              <w:rPr>
                <w:lang w:val="fr-FR"/>
              </w:rPr>
            </w:pPr>
            <w:r w:rsidRPr="003A0703">
              <w:rPr>
                <w:lang w:val="fr-FR"/>
              </w:rPr>
              <w:t>OSG</w:t>
            </w:r>
          </w:p>
        </w:tc>
        <w:tc>
          <w:tcPr>
            <w:tcW w:w="711" w:type="dxa"/>
            <w:tcBorders>
              <w:top w:val="nil"/>
              <w:left w:val="single" w:sz="4" w:space="0" w:color="auto"/>
              <w:bottom w:val="single" w:sz="6" w:space="0" w:color="auto"/>
              <w:right w:val="single" w:sz="4" w:space="0" w:color="auto"/>
            </w:tcBorders>
            <w:vAlign w:val="center"/>
            <w:hideMark/>
          </w:tcPr>
          <w:p w14:paraId="075B563A" w14:textId="77777777" w:rsidR="007E01A2" w:rsidRPr="003A0703" w:rsidRDefault="007E01A2">
            <w:pPr>
              <w:pStyle w:val="Tablehead"/>
              <w:rPr>
                <w:lang w:val="fr-FR"/>
              </w:rPr>
            </w:pPr>
            <w:r w:rsidRPr="003A0703">
              <w:rPr>
                <w:lang w:val="fr-FR"/>
              </w:rPr>
              <w:t>HEO</w:t>
            </w:r>
          </w:p>
        </w:tc>
        <w:tc>
          <w:tcPr>
            <w:tcW w:w="1961" w:type="dxa"/>
            <w:vMerge/>
            <w:tcBorders>
              <w:top w:val="single" w:sz="6" w:space="0" w:color="auto"/>
              <w:left w:val="single" w:sz="4" w:space="0" w:color="auto"/>
              <w:bottom w:val="single" w:sz="6" w:space="0" w:color="auto"/>
              <w:right w:val="single" w:sz="6" w:space="0" w:color="auto"/>
            </w:tcBorders>
            <w:vAlign w:val="center"/>
            <w:hideMark/>
          </w:tcPr>
          <w:p w14:paraId="5607A624" w14:textId="77777777" w:rsidR="007E01A2" w:rsidRPr="003A0703" w:rsidRDefault="007E01A2">
            <w:pPr>
              <w:tabs>
                <w:tab w:val="clear" w:pos="794"/>
                <w:tab w:val="clear" w:pos="1191"/>
                <w:tab w:val="clear" w:pos="1588"/>
                <w:tab w:val="clear" w:pos="1985"/>
              </w:tabs>
              <w:overflowPunct/>
              <w:autoSpaceDE/>
              <w:autoSpaceDN/>
              <w:adjustRightInd/>
              <w:spacing w:before="0"/>
              <w:jc w:val="left"/>
              <w:rPr>
                <w:b/>
                <w:sz w:val="22"/>
                <w:lang w:val="fr-FR"/>
              </w:rPr>
            </w:pPr>
          </w:p>
        </w:tc>
      </w:tr>
      <w:tr w:rsidR="00745533" w:rsidRPr="003A0703" w14:paraId="739E7299" w14:textId="77777777" w:rsidTr="00E343BA">
        <w:trPr>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347C638C" w14:textId="77777777" w:rsidR="007E01A2" w:rsidRPr="003A0703" w:rsidRDefault="007E01A2" w:rsidP="00745533">
            <w:pPr>
              <w:pStyle w:val="Tabletext"/>
              <w:jc w:val="left"/>
              <w:rPr>
                <w:lang w:val="fr-FR"/>
              </w:rPr>
            </w:pPr>
            <w:r w:rsidRPr="003A0703">
              <w:rPr>
                <w:lang w:val="fr-FR"/>
              </w:rPr>
              <w:t>Service de recherche spatiale</w:t>
            </w:r>
          </w:p>
        </w:tc>
        <w:tc>
          <w:tcPr>
            <w:tcW w:w="1176" w:type="dxa"/>
            <w:tcBorders>
              <w:top w:val="single" w:sz="6" w:space="0" w:color="auto"/>
              <w:left w:val="single" w:sz="6" w:space="0" w:color="auto"/>
              <w:bottom w:val="single" w:sz="6" w:space="0" w:color="auto"/>
              <w:right w:val="single" w:sz="6" w:space="0" w:color="auto"/>
            </w:tcBorders>
            <w:vAlign w:val="center"/>
            <w:hideMark/>
          </w:tcPr>
          <w:p w14:paraId="2303D225" w14:textId="77777777" w:rsidR="007E01A2" w:rsidRPr="003A0703" w:rsidRDefault="007E01A2" w:rsidP="00745533">
            <w:pPr>
              <w:pStyle w:val="Tabletext"/>
              <w:jc w:val="left"/>
              <w:rPr>
                <w:lang w:val="fr-FR"/>
              </w:rPr>
            </w:pPr>
            <w:r w:rsidRPr="003A0703">
              <w:rPr>
                <w:lang w:val="fr-FR"/>
              </w:rPr>
              <w:t>SVLBI-20</w:t>
            </w:r>
          </w:p>
          <w:p w14:paraId="64A19893" w14:textId="77777777" w:rsidR="007E01A2" w:rsidRPr="003A0703" w:rsidRDefault="007E01A2" w:rsidP="00745533">
            <w:pPr>
              <w:pStyle w:val="Tabletext"/>
              <w:jc w:val="left"/>
              <w:rPr>
                <w:lang w:val="fr-FR"/>
              </w:rPr>
            </w:pPr>
            <w:r w:rsidRPr="003A0703">
              <w:rPr>
                <w:lang w:val="fr-FR"/>
              </w:rPr>
              <w:t>SVLBI-31</w:t>
            </w:r>
          </w:p>
          <w:p w14:paraId="26673604" w14:textId="77777777" w:rsidR="007E01A2" w:rsidRPr="003A0703" w:rsidRDefault="007E01A2" w:rsidP="00745533">
            <w:pPr>
              <w:pStyle w:val="Tabletext"/>
              <w:jc w:val="left"/>
              <w:rPr>
                <w:lang w:val="fr-FR"/>
              </w:rPr>
            </w:pPr>
            <w:r w:rsidRPr="003A0703">
              <w:rPr>
                <w:lang w:val="fr-FR"/>
              </w:rPr>
              <w:t>SVLBI-65</w:t>
            </w:r>
          </w:p>
        </w:tc>
        <w:tc>
          <w:tcPr>
            <w:tcW w:w="1233" w:type="dxa"/>
            <w:tcBorders>
              <w:top w:val="single" w:sz="6" w:space="0" w:color="auto"/>
              <w:left w:val="single" w:sz="6" w:space="0" w:color="auto"/>
              <w:bottom w:val="single" w:sz="6" w:space="0" w:color="auto"/>
              <w:right w:val="single" w:sz="6" w:space="0" w:color="auto"/>
            </w:tcBorders>
            <w:vAlign w:val="center"/>
          </w:tcPr>
          <w:p w14:paraId="608FFF88" w14:textId="77777777" w:rsidR="007E01A2" w:rsidRPr="003A0703" w:rsidRDefault="007E01A2">
            <w:pPr>
              <w:pStyle w:val="Tabletext"/>
              <w:jc w:val="center"/>
              <w:rPr>
                <w:lang w:val="fr-FR"/>
              </w:rPr>
            </w:pPr>
            <w:r w:rsidRPr="003A0703">
              <w:rPr>
                <w:lang w:val="fr-FR"/>
              </w:rPr>
              <w:t>&gt;&lt;</w:t>
            </w:r>
          </w:p>
        </w:tc>
        <w:tc>
          <w:tcPr>
            <w:tcW w:w="1371" w:type="dxa"/>
            <w:tcBorders>
              <w:top w:val="single" w:sz="6" w:space="0" w:color="auto"/>
              <w:left w:val="single" w:sz="6" w:space="0" w:color="auto"/>
              <w:bottom w:val="single" w:sz="6" w:space="0" w:color="auto"/>
              <w:right w:val="single" w:sz="6" w:space="0" w:color="auto"/>
            </w:tcBorders>
            <w:vAlign w:val="center"/>
            <w:hideMark/>
          </w:tcPr>
          <w:p w14:paraId="0F4AFA92" w14:textId="77777777" w:rsidR="007E01A2" w:rsidRPr="003A0703" w:rsidRDefault="007E01A2">
            <w:pPr>
              <w:pStyle w:val="Tabletext"/>
              <w:jc w:val="center"/>
              <w:rPr>
                <w:lang w:val="fr-FR"/>
              </w:rPr>
            </w:pPr>
            <w:r w:rsidRPr="003A0703">
              <w:rPr>
                <w:lang w:val="fr-FR"/>
              </w:rPr>
              <w:t>12</w:t>
            </w:r>
          </w:p>
          <w:p w14:paraId="4A7B77AC" w14:textId="77777777" w:rsidR="007E01A2" w:rsidRPr="003A0703" w:rsidRDefault="007E01A2">
            <w:pPr>
              <w:pStyle w:val="Tabletext"/>
              <w:jc w:val="center"/>
              <w:rPr>
                <w:lang w:val="fr-FR"/>
              </w:rPr>
            </w:pPr>
            <w:r w:rsidRPr="003A0703">
              <w:rPr>
                <w:lang w:val="fr-FR"/>
              </w:rPr>
              <w:t>13</w:t>
            </w:r>
          </w:p>
          <w:p w14:paraId="7DAAEA02" w14:textId="77777777" w:rsidR="007E01A2" w:rsidRPr="003A0703" w:rsidRDefault="007E01A2">
            <w:pPr>
              <w:pStyle w:val="Tabletext"/>
              <w:jc w:val="center"/>
              <w:rPr>
                <w:lang w:val="fr-FR"/>
              </w:rPr>
            </w:pPr>
            <w:r w:rsidRPr="003A0703">
              <w:rPr>
                <w:lang w:val="fr-FR"/>
              </w:rPr>
              <w:t>1</w:t>
            </w:r>
          </w:p>
        </w:tc>
        <w:tc>
          <w:tcPr>
            <w:tcW w:w="1374" w:type="dxa"/>
            <w:tcBorders>
              <w:top w:val="single" w:sz="6" w:space="0" w:color="auto"/>
              <w:left w:val="single" w:sz="6" w:space="0" w:color="auto"/>
              <w:bottom w:val="single" w:sz="6" w:space="0" w:color="auto"/>
              <w:right w:val="single" w:sz="6" w:space="0" w:color="auto"/>
            </w:tcBorders>
            <w:vAlign w:val="center"/>
          </w:tcPr>
          <w:p w14:paraId="20E0377B" w14:textId="77777777" w:rsidR="007E01A2" w:rsidRPr="003A0703" w:rsidRDefault="007E01A2">
            <w:pPr>
              <w:pStyle w:val="Tabletext"/>
              <w:jc w:val="center"/>
              <w:rPr>
                <w:lang w:val="fr-FR"/>
              </w:rPr>
            </w:pPr>
            <w:r w:rsidRPr="003A0703">
              <w:rPr>
                <w:lang w:val="fr-FR"/>
              </w:rPr>
              <w:t>&gt;&lt;</w:t>
            </w:r>
          </w:p>
        </w:tc>
        <w:tc>
          <w:tcPr>
            <w:tcW w:w="687" w:type="dxa"/>
            <w:tcBorders>
              <w:top w:val="single" w:sz="6" w:space="0" w:color="auto"/>
              <w:left w:val="single" w:sz="6" w:space="0" w:color="auto"/>
              <w:bottom w:val="single" w:sz="6" w:space="0" w:color="auto"/>
              <w:right w:val="single" w:sz="6" w:space="0" w:color="auto"/>
            </w:tcBorders>
            <w:vAlign w:val="center"/>
            <w:hideMark/>
          </w:tcPr>
          <w:p w14:paraId="54BD1AC3" w14:textId="77777777" w:rsidR="007E01A2" w:rsidRPr="003A0703" w:rsidRDefault="007E01A2">
            <w:pPr>
              <w:pStyle w:val="Tabletext"/>
              <w:jc w:val="center"/>
              <w:rPr>
                <w:lang w:val="fr-FR"/>
              </w:rPr>
            </w:pPr>
            <w:r w:rsidRPr="003A0703">
              <w:rPr>
                <w:lang w:val="fr-FR"/>
              </w:rPr>
              <w:t>21</w:t>
            </w:r>
          </w:p>
          <w:p w14:paraId="75B883B4" w14:textId="77777777" w:rsidR="007E01A2" w:rsidRPr="003A0703" w:rsidRDefault="007E01A2">
            <w:pPr>
              <w:pStyle w:val="Tabletext"/>
              <w:jc w:val="center"/>
              <w:rPr>
                <w:lang w:val="fr-FR"/>
              </w:rPr>
            </w:pPr>
            <w:r w:rsidRPr="003A0703">
              <w:rPr>
                <w:lang w:val="fr-FR"/>
              </w:rPr>
              <w:t>22</w:t>
            </w:r>
          </w:p>
          <w:p w14:paraId="42A17A90" w14:textId="77777777" w:rsidR="007E01A2" w:rsidRPr="003A0703" w:rsidRDefault="007E01A2">
            <w:pPr>
              <w:pStyle w:val="Tabletext"/>
              <w:jc w:val="center"/>
              <w:rPr>
                <w:lang w:val="fr-FR"/>
              </w:rPr>
            </w:pPr>
            <w:r w:rsidRPr="003A0703">
              <w:rPr>
                <w:lang w:val="fr-FR"/>
              </w:rPr>
              <w:t>9</w:t>
            </w:r>
          </w:p>
        </w:tc>
        <w:tc>
          <w:tcPr>
            <w:tcW w:w="711" w:type="dxa"/>
            <w:tcBorders>
              <w:top w:val="single" w:sz="6" w:space="0" w:color="auto"/>
              <w:left w:val="single" w:sz="6" w:space="0" w:color="auto"/>
              <w:bottom w:val="single" w:sz="6" w:space="0" w:color="auto"/>
              <w:right w:val="single" w:sz="4" w:space="0" w:color="auto"/>
            </w:tcBorders>
            <w:vAlign w:val="center"/>
            <w:hideMark/>
          </w:tcPr>
          <w:p w14:paraId="47E7CEFD" w14:textId="77777777" w:rsidR="007E01A2" w:rsidRPr="003A0703" w:rsidRDefault="007E01A2">
            <w:pPr>
              <w:pStyle w:val="Tabletext"/>
              <w:jc w:val="center"/>
              <w:rPr>
                <w:lang w:val="fr-FR"/>
              </w:rPr>
            </w:pPr>
            <w:r w:rsidRPr="003A0703">
              <w:rPr>
                <w:lang w:val="fr-FR"/>
              </w:rPr>
              <w:t>−35</w:t>
            </w:r>
          </w:p>
          <w:p w14:paraId="22FC903C" w14:textId="77777777" w:rsidR="007E01A2" w:rsidRPr="003A0703" w:rsidRDefault="007E01A2">
            <w:pPr>
              <w:pStyle w:val="Tabletext"/>
              <w:jc w:val="center"/>
              <w:rPr>
                <w:lang w:val="fr-FR"/>
              </w:rPr>
            </w:pPr>
            <w:r w:rsidRPr="003A0703">
              <w:rPr>
                <w:lang w:val="fr-FR"/>
              </w:rPr>
              <w:t>−31</w:t>
            </w:r>
          </w:p>
          <w:p w14:paraId="4E361CD8" w14:textId="77777777" w:rsidR="007E01A2" w:rsidRPr="003A0703" w:rsidRDefault="007E01A2">
            <w:pPr>
              <w:pStyle w:val="Tabletext"/>
              <w:jc w:val="center"/>
              <w:rPr>
                <w:lang w:val="fr-FR"/>
              </w:rPr>
            </w:pPr>
            <w:r w:rsidRPr="003A0703">
              <w:rPr>
                <w:lang w:val="fr-FR"/>
              </w:rPr>
              <w:t>11</w:t>
            </w:r>
          </w:p>
        </w:tc>
        <w:tc>
          <w:tcPr>
            <w:tcW w:w="1961" w:type="dxa"/>
            <w:tcBorders>
              <w:top w:val="single" w:sz="6" w:space="0" w:color="auto"/>
              <w:left w:val="single" w:sz="4" w:space="0" w:color="auto"/>
              <w:bottom w:val="single" w:sz="6" w:space="0" w:color="auto"/>
              <w:right w:val="single" w:sz="6" w:space="0" w:color="auto"/>
            </w:tcBorders>
            <w:vAlign w:val="center"/>
            <w:hideMark/>
          </w:tcPr>
          <w:p w14:paraId="0CFD7C83" w14:textId="77777777" w:rsidR="007E01A2" w:rsidRPr="003A0703" w:rsidRDefault="007E01A2">
            <w:pPr>
              <w:pStyle w:val="Tabletext"/>
              <w:jc w:val="center"/>
              <w:rPr>
                <w:lang w:val="fr-FR"/>
              </w:rPr>
            </w:pPr>
            <w:r w:rsidRPr="003A0703">
              <w:rPr>
                <w:lang w:val="fr-FR"/>
              </w:rPr>
              <w:t>22</w:t>
            </w:r>
          </w:p>
        </w:tc>
      </w:tr>
      <w:tr w:rsidR="00745533" w:rsidRPr="003A0703" w14:paraId="36DAE20D" w14:textId="77777777" w:rsidTr="00E343BA">
        <w:trPr>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209F3C96" w14:textId="77777777" w:rsidR="007E01A2" w:rsidRPr="003A0703" w:rsidRDefault="007E01A2" w:rsidP="00745533">
            <w:pPr>
              <w:tabs>
                <w:tab w:val="clear" w:pos="794"/>
                <w:tab w:val="clear" w:pos="1191"/>
                <w:tab w:val="clear" w:pos="1588"/>
                <w:tab w:val="clear" w:pos="1985"/>
              </w:tabs>
              <w:overflowPunct/>
              <w:autoSpaceDE/>
              <w:autoSpaceDN/>
              <w:adjustRightInd/>
              <w:spacing w:before="0"/>
              <w:jc w:val="left"/>
              <w:rPr>
                <w:sz w:val="22"/>
                <w:lang w:val="fr-FR"/>
              </w:rPr>
            </w:pPr>
          </w:p>
        </w:tc>
        <w:tc>
          <w:tcPr>
            <w:tcW w:w="1176" w:type="dxa"/>
            <w:tcBorders>
              <w:top w:val="single" w:sz="6" w:space="0" w:color="auto"/>
              <w:left w:val="single" w:sz="6" w:space="0" w:color="auto"/>
              <w:bottom w:val="single" w:sz="6" w:space="0" w:color="auto"/>
              <w:right w:val="single" w:sz="6" w:space="0" w:color="auto"/>
            </w:tcBorders>
            <w:vAlign w:val="center"/>
            <w:hideMark/>
          </w:tcPr>
          <w:p w14:paraId="17E41AA4" w14:textId="77777777" w:rsidR="007E01A2" w:rsidRPr="003A0703" w:rsidRDefault="007E01A2" w:rsidP="00745533">
            <w:pPr>
              <w:pStyle w:val="Tabletext"/>
              <w:jc w:val="left"/>
              <w:rPr>
                <w:lang w:val="fr-FR"/>
              </w:rPr>
            </w:pPr>
            <w:r w:rsidRPr="003A0703">
              <w:rPr>
                <w:lang w:val="fr-FR"/>
              </w:rPr>
              <w:t>Système lunaire</w:t>
            </w:r>
          </w:p>
        </w:tc>
        <w:tc>
          <w:tcPr>
            <w:tcW w:w="1233" w:type="dxa"/>
            <w:tcBorders>
              <w:top w:val="single" w:sz="6" w:space="0" w:color="auto"/>
              <w:left w:val="single" w:sz="6" w:space="0" w:color="auto"/>
              <w:bottom w:val="single" w:sz="6" w:space="0" w:color="auto"/>
              <w:right w:val="single" w:sz="6" w:space="0" w:color="auto"/>
            </w:tcBorders>
            <w:vAlign w:val="center"/>
            <w:hideMark/>
          </w:tcPr>
          <w:p w14:paraId="24DEB862" w14:textId="77777777" w:rsidR="007E01A2" w:rsidRPr="003A0703" w:rsidRDefault="007E01A2">
            <w:pPr>
              <w:pStyle w:val="Tabletext"/>
              <w:jc w:val="center"/>
              <w:rPr>
                <w:lang w:val="fr-FR"/>
              </w:rPr>
            </w:pPr>
            <w:r w:rsidRPr="003A0703">
              <w:rPr>
                <w:lang w:val="fr-FR"/>
              </w:rPr>
              <w:t>5</w:t>
            </w:r>
          </w:p>
          <w:p w14:paraId="0F5440ED" w14:textId="77777777" w:rsidR="007E01A2" w:rsidRPr="003A0703" w:rsidRDefault="007E01A2">
            <w:pPr>
              <w:pStyle w:val="Tabletext"/>
              <w:jc w:val="center"/>
              <w:rPr>
                <w:lang w:val="fr-FR"/>
              </w:rPr>
            </w:pPr>
            <w:r w:rsidRPr="003A0703">
              <w:rPr>
                <w:lang w:val="fr-FR"/>
              </w:rPr>
              <w:t>6</w:t>
            </w:r>
          </w:p>
          <w:p w14:paraId="2E4B75DA" w14:textId="77777777" w:rsidR="007E01A2" w:rsidRPr="003A0703" w:rsidRDefault="007E01A2">
            <w:pPr>
              <w:pStyle w:val="Tabletext"/>
              <w:jc w:val="center"/>
              <w:rPr>
                <w:lang w:val="fr-FR"/>
              </w:rPr>
            </w:pPr>
            <w:r w:rsidRPr="003A0703">
              <w:rPr>
                <w:lang w:val="fr-FR"/>
              </w:rPr>
              <w:t>2</w:t>
            </w:r>
          </w:p>
        </w:tc>
        <w:tc>
          <w:tcPr>
            <w:tcW w:w="1371" w:type="dxa"/>
            <w:tcBorders>
              <w:top w:val="single" w:sz="6" w:space="0" w:color="auto"/>
              <w:left w:val="single" w:sz="6" w:space="0" w:color="auto"/>
              <w:bottom w:val="single" w:sz="6" w:space="0" w:color="auto"/>
              <w:right w:val="single" w:sz="6" w:space="0" w:color="auto"/>
            </w:tcBorders>
            <w:vAlign w:val="center"/>
          </w:tcPr>
          <w:p w14:paraId="1FF4F70D" w14:textId="77777777" w:rsidR="007E01A2" w:rsidRPr="003A0703" w:rsidRDefault="007E01A2">
            <w:pPr>
              <w:pStyle w:val="Tabletext"/>
              <w:jc w:val="center"/>
              <w:rPr>
                <w:lang w:val="fr-FR"/>
              </w:rPr>
            </w:pPr>
            <w:r w:rsidRPr="003A0703">
              <w:rPr>
                <w:lang w:val="fr-FR"/>
              </w:rPr>
              <w:t>&gt;&lt;</w:t>
            </w:r>
          </w:p>
        </w:tc>
        <w:tc>
          <w:tcPr>
            <w:tcW w:w="1374" w:type="dxa"/>
            <w:tcBorders>
              <w:top w:val="single" w:sz="6" w:space="0" w:color="auto"/>
              <w:left w:val="single" w:sz="6" w:space="0" w:color="auto"/>
              <w:bottom w:val="single" w:sz="6" w:space="0" w:color="auto"/>
              <w:right w:val="single" w:sz="6" w:space="0" w:color="auto"/>
            </w:tcBorders>
            <w:vAlign w:val="center"/>
          </w:tcPr>
          <w:p w14:paraId="13B672CF" w14:textId="77777777" w:rsidR="007E01A2" w:rsidRPr="003A0703" w:rsidRDefault="007E01A2">
            <w:pPr>
              <w:pStyle w:val="Tabletext"/>
              <w:jc w:val="center"/>
              <w:rPr>
                <w:lang w:val="fr-FR"/>
              </w:rPr>
            </w:pPr>
            <w:r w:rsidRPr="003A0703">
              <w:rPr>
                <w:lang w:val="fr-FR"/>
              </w:rPr>
              <w:t>&gt;&lt;</w:t>
            </w:r>
          </w:p>
        </w:tc>
        <w:tc>
          <w:tcPr>
            <w:tcW w:w="687" w:type="dxa"/>
            <w:tcBorders>
              <w:top w:val="single" w:sz="6" w:space="0" w:color="auto"/>
              <w:left w:val="single" w:sz="6" w:space="0" w:color="auto"/>
              <w:bottom w:val="single" w:sz="6" w:space="0" w:color="auto"/>
              <w:right w:val="single" w:sz="6" w:space="0" w:color="auto"/>
            </w:tcBorders>
            <w:vAlign w:val="center"/>
            <w:hideMark/>
          </w:tcPr>
          <w:p w14:paraId="595F34CE" w14:textId="77777777" w:rsidR="007E01A2" w:rsidRPr="003A0703" w:rsidRDefault="007E01A2">
            <w:pPr>
              <w:pStyle w:val="Tabletext"/>
              <w:jc w:val="center"/>
              <w:rPr>
                <w:lang w:val="fr-FR"/>
              </w:rPr>
            </w:pPr>
            <w:r w:rsidRPr="003A0703">
              <w:rPr>
                <w:lang w:val="fr-FR"/>
              </w:rPr>
              <w:t>23</w:t>
            </w:r>
          </w:p>
        </w:tc>
        <w:tc>
          <w:tcPr>
            <w:tcW w:w="711" w:type="dxa"/>
            <w:tcBorders>
              <w:top w:val="single" w:sz="6" w:space="0" w:color="auto"/>
              <w:left w:val="single" w:sz="6" w:space="0" w:color="auto"/>
              <w:bottom w:val="single" w:sz="6" w:space="0" w:color="auto"/>
              <w:right w:val="single" w:sz="4" w:space="0" w:color="auto"/>
            </w:tcBorders>
            <w:vAlign w:val="center"/>
            <w:hideMark/>
          </w:tcPr>
          <w:p w14:paraId="3479B939" w14:textId="77777777" w:rsidR="007E01A2" w:rsidRPr="003A0703" w:rsidRDefault="007E01A2">
            <w:pPr>
              <w:pStyle w:val="Tabletext"/>
              <w:jc w:val="center"/>
              <w:rPr>
                <w:lang w:val="fr-FR"/>
              </w:rPr>
            </w:pPr>
            <w:r w:rsidRPr="003A0703">
              <w:rPr>
                <w:lang w:val="fr-FR"/>
              </w:rPr>
              <w:t>−32</w:t>
            </w:r>
          </w:p>
        </w:tc>
        <w:tc>
          <w:tcPr>
            <w:tcW w:w="1961" w:type="dxa"/>
            <w:tcBorders>
              <w:top w:val="single" w:sz="6" w:space="0" w:color="auto"/>
              <w:left w:val="single" w:sz="4" w:space="0" w:color="auto"/>
              <w:bottom w:val="single" w:sz="6" w:space="0" w:color="auto"/>
              <w:right w:val="single" w:sz="6" w:space="0" w:color="auto"/>
            </w:tcBorders>
            <w:vAlign w:val="center"/>
            <w:hideMark/>
          </w:tcPr>
          <w:p w14:paraId="3CC3993F" w14:textId="77777777" w:rsidR="007E01A2" w:rsidRPr="003A0703" w:rsidRDefault="007E01A2">
            <w:pPr>
              <w:pStyle w:val="Tabletext"/>
              <w:jc w:val="center"/>
              <w:rPr>
                <w:lang w:val="fr-FR"/>
              </w:rPr>
            </w:pPr>
            <w:r w:rsidRPr="003A0703">
              <w:rPr>
                <w:lang w:val="fr-FR"/>
              </w:rPr>
              <w:t>23</w:t>
            </w:r>
          </w:p>
        </w:tc>
      </w:tr>
      <w:tr w:rsidR="00745533" w:rsidRPr="006036EE" w14:paraId="47DCF30C" w14:textId="77777777" w:rsidTr="00E343BA">
        <w:trPr>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061ED03D" w14:textId="77777777" w:rsidR="007E01A2" w:rsidRPr="003A0703" w:rsidRDefault="007E01A2" w:rsidP="00745533">
            <w:pPr>
              <w:pStyle w:val="Tabletext"/>
              <w:jc w:val="left"/>
              <w:rPr>
                <w:lang w:val="fr-FR"/>
              </w:rPr>
            </w:pPr>
            <w:r w:rsidRPr="003A0703">
              <w:rPr>
                <w:lang w:val="fr-FR"/>
              </w:rPr>
              <w:t>SFS</w:t>
            </w:r>
          </w:p>
        </w:tc>
        <w:tc>
          <w:tcPr>
            <w:tcW w:w="1176" w:type="dxa"/>
            <w:tcBorders>
              <w:top w:val="single" w:sz="6" w:space="0" w:color="auto"/>
              <w:left w:val="single" w:sz="6" w:space="0" w:color="auto"/>
              <w:bottom w:val="single" w:sz="6" w:space="0" w:color="auto"/>
              <w:right w:val="single" w:sz="6" w:space="0" w:color="auto"/>
            </w:tcBorders>
            <w:vAlign w:val="center"/>
            <w:hideMark/>
          </w:tcPr>
          <w:p w14:paraId="67275A85" w14:textId="77777777" w:rsidR="007E01A2" w:rsidRPr="003A0703" w:rsidRDefault="007E01A2" w:rsidP="00745533">
            <w:pPr>
              <w:pStyle w:val="Tabletext"/>
              <w:jc w:val="left"/>
              <w:rPr>
                <w:lang w:val="fr-FR"/>
              </w:rPr>
            </w:pPr>
            <w:r w:rsidRPr="003A0703">
              <w:rPr>
                <w:lang w:val="fr-FR"/>
              </w:rPr>
              <w:t>OSG</w:t>
            </w:r>
          </w:p>
        </w:tc>
        <w:tc>
          <w:tcPr>
            <w:tcW w:w="1233" w:type="dxa"/>
            <w:tcBorders>
              <w:top w:val="single" w:sz="6" w:space="0" w:color="auto"/>
              <w:left w:val="single" w:sz="6" w:space="0" w:color="auto"/>
              <w:bottom w:val="single" w:sz="6" w:space="0" w:color="auto"/>
              <w:right w:val="single" w:sz="6" w:space="0" w:color="auto"/>
            </w:tcBorders>
            <w:vAlign w:val="center"/>
            <w:hideMark/>
          </w:tcPr>
          <w:p w14:paraId="6BC8A084" w14:textId="77777777" w:rsidR="007E01A2" w:rsidRPr="003A0703" w:rsidRDefault="007E01A2">
            <w:pPr>
              <w:pStyle w:val="Tabletext"/>
              <w:jc w:val="center"/>
              <w:rPr>
                <w:lang w:val="fr-FR"/>
              </w:rPr>
            </w:pPr>
            <w:r w:rsidRPr="003A0703">
              <w:rPr>
                <w:lang w:val="fr-FR"/>
              </w:rPr>
              <w:t>4</w:t>
            </w:r>
          </w:p>
          <w:p w14:paraId="0AC2DFFE" w14:textId="77777777" w:rsidR="007E01A2" w:rsidRPr="003A0703" w:rsidRDefault="007E01A2">
            <w:pPr>
              <w:pStyle w:val="Tabletext"/>
              <w:jc w:val="center"/>
              <w:rPr>
                <w:lang w:val="fr-FR"/>
              </w:rPr>
            </w:pPr>
            <w:r w:rsidRPr="003A0703">
              <w:rPr>
                <w:lang w:val="fr-FR"/>
              </w:rPr>
              <w:t>2</w:t>
            </w:r>
          </w:p>
          <w:p w14:paraId="7117C672" w14:textId="77777777" w:rsidR="007E01A2" w:rsidRPr="003A0703" w:rsidRDefault="007E01A2">
            <w:pPr>
              <w:pStyle w:val="Tabletext"/>
              <w:jc w:val="center"/>
              <w:rPr>
                <w:lang w:val="fr-FR"/>
              </w:rPr>
            </w:pPr>
            <w:r w:rsidRPr="003A0703">
              <w:rPr>
                <w:lang w:val="fr-FR"/>
              </w:rPr>
              <w:t>1</w:t>
            </w:r>
          </w:p>
        </w:tc>
        <w:tc>
          <w:tcPr>
            <w:tcW w:w="1371" w:type="dxa"/>
            <w:tcBorders>
              <w:top w:val="single" w:sz="6" w:space="0" w:color="auto"/>
              <w:left w:val="single" w:sz="6" w:space="0" w:color="auto"/>
              <w:bottom w:val="single" w:sz="6" w:space="0" w:color="auto"/>
              <w:right w:val="single" w:sz="6" w:space="0" w:color="auto"/>
            </w:tcBorders>
            <w:vAlign w:val="center"/>
            <w:hideMark/>
          </w:tcPr>
          <w:p w14:paraId="382505F1" w14:textId="77777777" w:rsidR="007E01A2" w:rsidRPr="003A0703" w:rsidRDefault="007E01A2">
            <w:pPr>
              <w:pStyle w:val="Tabletext"/>
              <w:jc w:val="center"/>
              <w:rPr>
                <w:lang w:val="fr-FR"/>
              </w:rPr>
            </w:pPr>
            <w:r w:rsidRPr="003A0703">
              <w:rPr>
                <w:lang w:val="fr-FR"/>
              </w:rPr>
              <w:t>16</w:t>
            </w:r>
          </w:p>
        </w:tc>
        <w:tc>
          <w:tcPr>
            <w:tcW w:w="1374" w:type="dxa"/>
            <w:tcBorders>
              <w:top w:val="single" w:sz="6" w:space="0" w:color="auto"/>
              <w:left w:val="single" w:sz="6" w:space="0" w:color="auto"/>
              <w:bottom w:val="single" w:sz="6" w:space="0" w:color="auto"/>
              <w:right w:val="single" w:sz="6" w:space="0" w:color="auto"/>
            </w:tcBorders>
            <w:vAlign w:val="center"/>
            <w:hideMark/>
          </w:tcPr>
          <w:p w14:paraId="7F61B235" w14:textId="77777777" w:rsidR="007E01A2" w:rsidRPr="003A0703" w:rsidRDefault="007E01A2">
            <w:pPr>
              <w:pStyle w:val="Tabletext"/>
              <w:jc w:val="center"/>
              <w:rPr>
                <w:lang w:val="fr-FR"/>
              </w:rPr>
            </w:pPr>
            <w:r w:rsidRPr="003A0703">
              <w:rPr>
                <w:lang w:val="fr-FR"/>
              </w:rPr>
              <w:t>44</w:t>
            </w:r>
          </w:p>
        </w:tc>
        <w:tc>
          <w:tcPr>
            <w:tcW w:w="687" w:type="dxa"/>
            <w:tcBorders>
              <w:top w:val="single" w:sz="6" w:space="0" w:color="auto"/>
              <w:left w:val="single" w:sz="6" w:space="0" w:color="auto"/>
              <w:bottom w:val="single" w:sz="6" w:space="0" w:color="auto"/>
              <w:right w:val="single" w:sz="6" w:space="0" w:color="auto"/>
            </w:tcBorders>
            <w:vAlign w:val="center"/>
          </w:tcPr>
          <w:p w14:paraId="61FE9C47" w14:textId="77777777" w:rsidR="007E01A2" w:rsidRPr="003A0703" w:rsidRDefault="007E01A2">
            <w:pPr>
              <w:pStyle w:val="Tabletext"/>
              <w:jc w:val="center"/>
              <w:rPr>
                <w:lang w:val="fr-FR"/>
              </w:rPr>
            </w:pPr>
            <w:r w:rsidRPr="003A0703">
              <w:rPr>
                <w:lang w:val="fr-FR"/>
              </w:rPr>
              <w:t>&gt;&lt;</w:t>
            </w:r>
          </w:p>
        </w:tc>
        <w:tc>
          <w:tcPr>
            <w:tcW w:w="711" w:type="dxa"/>
            <w:tcBorders>
              <w:top w:val="single" w:sz="6" w:space="0" w:color="auto"/>
              <w:left w:val="single" w:sz="6" w:space="0" w:color="auto"/>
              <w:bottom w:val="single" w:sz="6" w:space="0" w:color="auto"/>
              <w:right w:val="single" w:sz="4" w:space="0" w:color="auto"/>
            </w:tcBorders>
            <w:vAlign w:val="center"/>
            <w:hideMark/>
          </w:tcPr>
          <w:p w14:paraId="7FBE47E6" w14:textId="77777777" w:rsidR="007E01A2" w:rsidRPr="003A0703" w:rsidRDefault="007E01A2">
            <w:pPr>
              <w:pStyle w:val="Tabletext"/>
              <w:jc w:val="center"/>
              <w:rPr>
                <w:lang w:val="fr-FR"/>
              </w:rPr>
            </w:pPr>
            <w:r w:rsidRPr="003A0703">
              <w:rPr>
                <w:lang w:val="fr-FR"/>
              </w:rPr>
              <w:t>−25</w:t>
            </w:r>
          </w:p>
        </w:tc>
        <w:tc>
          <w:tcPr>
            <w:tcW w:w="1961" w:type="dxa"/>
            <w:tcBorders>
              <w:top w:val="single" w:sz="6" w:space="0" w:color="auto"/>
              <w:left w:val="single" w:sz="4" w:space="0" w:color="auto"/>
              <w:bottom w:val="single" w:sz="6" w:space="0" w:color="auto"/>
              <w:right w:val="single" w:sz="6" w:space="0" w:color="auto"/>
            </w:tcBorders>
            <w:vAlign w:val="center"/>
            <w:hideMark/>
          </w:tcPr>
          <w:p w14:paraId="41D94947" w14:textId="77777777" w:rsidR="007E01A2" w:rsidRPr="003A0703" w:rsidRDefault="007E01A2">
            <w:pPr>
              <w:pStyle w:val="Tabletext"/>
              <w:jc w:val="center"/>
              <w:rPr>
                <w:lang w:val="fr-FR"/>
              </w:rPr>
            </w:pPr>
            <w:r w:rsidRPr="003A0703">
              <w:rPr>
                <w:lang w:val="fr-FR"/>
              </w:rPr>
              <w:t>16</w:t>
            </w:r>
            <w:r w:rsidRPr="003A0703">
              <w:rPr>
                <w:lang w:val="fr-FR"/>
              </w:rPr>
              <w:br/>
              <w:t>(système lunaire sans pilote)</w:t>
            </w:r>
            <w:r w:rsidRPr="003A0703">
              <w:rPr>
                <w:lang w:val="fr-FR"/>
              </w:rPr>
              <w:br/>
              <w:t>44</w:t>
            </w:r>
            <w:r w:rsidRPr="003A0703">
              <w:rPr>
                <w:lang w:val="fr-FR"/>
              </w:rPr>
              <w:br/>
              <w:t>(système lunaire avec pilote)</w:t>
            </w:r>
          </w:p>
        </w:tc>
      </w:tr>
      <w:tr w:rsidR="00745533" w:rsidRPr="003A0703" w14:paraId="3002D53F" w14:textId="77777777" w:rsidTr="00E343BA">
        <w:trPr>
          <w:trHeight w:val="201"/>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264ED6D" w14:textId="77777777" w:rsidR="007E01A2" w:rsidRPr="003A0703" w:rsidRDefault="007E01A2">
            <w:pPr>
              <w:tabs>
                <w:tab w:val="clear" w:pos="794"/>
                <w:tab w:val="clear" w:pos="1191"/>
                <w:tab w:val="clear" w:pos="1588"/>
                <w:tab w:val="clear" w:pos="1985"/>
              </w:tabs>
              <w:overflowPunct/>
              <w:autoSpaceDE/>
              <w:autoSpaceDN/>
              <w:adjustRightInd/>
              <w:spacing w:before="0"/>
              <w:jc w:val="left"/>
              <w:rPr>
                <w:sz w:val="22"/>
                <w:lang w:val="fr-FR"/>
              </w:rPr>
            </w:pPr>
          </w:p>
        </w:tc>
        <w:tc>
          <w:tcPr>
            <w:tcW w:w="1176" w:type="dxa"/>
            <w:tcBorders>
              <w:top w:val="single" w:sz="6" w:space="0" w:color="auto"/>
              <w:left w:val="single" w:sz="6" w:space="0" w:color="auto"/>
              <w:bottom w:val="single" w:sz="6" w:space="0" w:color="auto"/>
              <w:right w:val="single" w:sz="6" w:space="0" w:color="auto"/>
            </w:tcBorders>
            <w:vAlign w:val="center"/>
            <w:hideMark/>
          </w:tcPr>
          <w:p w14:paraId="74F52ECF" w14:textId="77777777" w:rsidR="007E01A2" w:rsidRPr="003A0703" w:rsidRDefault="007E01A2" w:rsidP="00745533">
            <w:pPr>
              <w:pStyle w:val="Tabletext"/>
              <w:jc w:val="left"/>
              <w:rPr>
                <w:lang w:val="fr-FR"/>
              </w:rPr>
            </w:pPr>
            <w:r w:rsidRPr="003A0703">
              <w:rPr>
                <w:lang w:val="fr-FR"/>
              </w:rPr>
              <w:t>HEO</w:t>
            </w:r>
          </w:p>
        </w:tc>
        <w:tc>
          <w:tcPr>
            <w:tcW w:w="1233" w:type="dxa"/>
            <w:tcBorders>
              <w:top w:val="single" w:sz="6" w:space="0" w:color="auto"/>
              <w:left w:val="single" w:sz="6" w:space="0" w:color="auto"/>
              <w:bottom w:val="single" w:sz="6" w:space="0" w:color="auto"/>
              <w:right w:val="single" w:sz="6" w:space="0" w:color="auto"/>
            </w:tcBorders>
            <w:vAlign w:val="center"/>
            <w:hideMark/>
          </w:tcPr>
          <w:p w14:paraId="7D11AE96" w14:textId="77777777" w:rsidR="007E01A2" w:rsidRPr="003A0703" w:rsidRDefault="007E01A2">
            <w:pPr>
              <w:pStyle w:val="Tabletext"/>
              <w:jc w:val="center"/>
              <w:rPr>
                <w:lang w:val="fr-FR"/>
              </w:rPr>
            </w:pPr>
            <w:r w:rsidRPr="003A0703">
              <w:rPr>
                <w:lang w:val="fr-FR"/>
              </w:rPr>
              <w:t>−28</w:t>
            </w:r>
          </w:p>
          <w:p w14:paraId="2A63BD49" w14:textId="77777777" w:rsidR="007E01A2" w:rsidRPr="003A0703" w:rsidRDefault="007E01A2">
            <w:pPr>
              <w:pStyle w:val="Tabletext"/>
              <w:jc w:val="center"/>
              <w:rPr>
                <w:lang w:val="fr-FR"/>
              </w:rPr>
            </w:pPr>
            <w:r w:rsidRPr="003A0703">
              <w:rPr>
                <w:lang w:val="fr-FR"/>
              </w:rPr>
              <w:t>−25</w:t>
            </w:r>
          </w:p>
          <w:p w14:paraId="4F6158AF" w14:textId="77777777" w:rsidR="007E01A2" w:rsidRPr="003A0703" w:rsidRDefault="007E01A2">
            <w:pPr>
              <w:pStyle w:val="Tabletext"/>
              <w:jc w:val="center"/>
              <w:rPr>
                <w:lang w:val="fr-FR"/>
              </w:rPr>
            </w:pPr>
            <w:r w:rsidRPr="003A0703">
              <w:rPr>
                <w:lang w:val="fr-FR"/>
              </w:rPr>
              <w:t>−6</w:t>
            </w:r>
          </w:p>
        </w:tc>
        <w:tc>
          <w:tcPr>
            <w:tcW w:w="1371" w:type="dxa"/>
            <w:tcBorders>
              <w:top w:val="single" w:sz="6" w:space="0" w:color="auto"/>
              <w:left w:val="single" w:sz="6" w:space="0" w:color="auto"/>
              <w:bottom w:val="single" w:sz="6" w:space="0" w:color="auto"/>
              <w:right w:val="single" w:sz="6" w:space="0" w:color="auto"/>
            </w:tcBorders>
            <w:vAlign w:val="center"/>
            <w:hideMark/>
          </w:tcPr>
          <w:p w14:paraId="64941022" w14:textId="77777777" w:rsidR="007E01A2" w:rsidRPr="003A0703" w:rsidRDefault="007E01A2">
            <w:pPr>
              <w:pStyle w:val="Tabletext"/>
              <w:jc w:val="center"/>
              <w:rPr>
                <w:lang w:val="fr-FR"/>
              </w:rPr>
            </w:pPr>
            <w:r w:rsidRPr="003A0703">
              <w:rPr>
                <w:lang w:val="fr-FR"/>
              </w:rPr>
              <w:t>−27</w:t>
            </w:r>
          </w:p>
        </w:tc>
        <w:tc>
          <w:tcPr>
            <w:tcW w:w="1374" w:type="dxa"/>
            <w:tcBorders>
              <w:top w:val="single" w:sz="6" w:space="0" w:color="auto"/>
              <w:left w:val="single" w:sz="6" w:space="0" w:color="auto"/>
              <w:bottom w:val="single" w:sz="6" w:space="0" w:color="auto"/>
              <w:right w:val="single" w:sz="6" w:space="0" w:color="auto"/>
            </w:tcBorders>
            <w:vAlign w:val="center"/>
            <w:hideMark/>
          </w:tcPr>
          <w:p w14:paraId="1F3BCB09" w14:textId="77777777" w:rsidR="007E01A2" w:rsidRPr="003A0703" w:rsidRDefault="007E01A2">
            <w:pPr>
              <w:pStyle w:val="Tabletext"/>
              <w:jc w:val="center"/>
              <w:rPr>
                <w:lang w:val="fr-FR"/>
              </w:rPr>
            </w:pPr>
            <w:r w:rsidRPr="003A0703">
              <w:rPr>
                <w:lang w:val="fr-FR"/>
              </w:rPr>
              <w:t>−26</w:t>
            </w:r>
          </w:p>
        </w:tc>
        <w:tc>
          <w:tcPr>
            <w:tcW w:w="687" w:type="dxa"/>
            <w:tcBorders>
              <w:top w:val="single" w:sz="6" w:space="0" w:color="auto"/>
              <w:left w:val="single" w:sz="6" w:space="0" w:color="auto"/>
              <w:bottom w:val="single" w:sz="6" w:space="0" w:color="auto"/>
              <w:right w:val="single" w:sz="6" w:space="0" w:color="auto"/>
            </w:tcBorders>
            <w:vAlign w:val="center"/>
            <w:hideMark/>
          </w:tcPr>
          <w:p w14:paraId="53E8D436" w14:textId="77777777" w:rsidR="007E01A2" w:rsidRPr="003A0703" w:rsidRDefault="007E01A2">
            <w:pPr>
              <w:pStyle w:val="Tabletext"/>
              <w:jc w:val="center"/>
              <w:rPr>
                <w:lang w:val="fr-FR"/>
              </w:rPr>
            </w:pPr>
            <w:r w:rsidRPr="003A0703">
              <w:rPr>
                <w:lang w:val="fr-FR"/>
              </w:rPr>
              <w:t>−25</w:t>
            </w:r>
          </w:p>
        </w:tc>
        <w:tc>
          <w:tcPr>
            <w:tcW w:w="711" w:type="dxa"/>
            <w:tcBorders>
              <w:top w:val="single" w:sz="6" w:space="0" w:color="auto"/>
              <w:left w:val="single" w:sz="6" w:space="0" w:color="auto"/>
              <w:bottom w:val="single" w:sz="6" w:space="0" w:color="auto"/>
              <w:right w:val="single" w:sz="4" w:space="0" w:color="auto"/>
            </w:tcBorders>
            <w:vAlign w:val="center"/>
          </w:tcPr>
          <w:p w14:paraId="26220172" w14:textId="77777777" w:rsidR="007E01A2" w:rsidRPr="003A0703" w:rsidRDefault="007E01A2">
            <w:pPr>
              <w:pStyle w:val="Tabletext"/>
              <w:jc w:val="center"/>
              <w:rPr>
                <w:lang w:val="fr-FR"/>
              </w:rPr>
            </w:pPr>
            <w:r w:rsidRPr="003A0703">
              <w:rPr>
                <w:lang w:val="fr-FR"/>
              </w:rPr>
              <w:t>&gt;&lt;</w:t>
            </w:r>
          </w:p>
        </w:tc>
        <w:tc>
          <w:tcPr>
            <w:tcW w:w="1961" w:type="dxa"/>
            <w:tcBorders>
              <w:top w:val="single" w:sz="6" w:space="0" w:color="auto"/>
              <w:left w:val="single" w:sz="4" w:space="0" w:color="auto"/>
              <w:bottom w:val="single" w:sz="6" w:space="0" w:color="auto"/>
              <w:right w:val="single" w:sz="6" w:space="0" w:color="auto"/>
            </w:tcBorders>
            <w:vAlign w:val="center"/>
            <w:hideMark/>
          </w:tcPr>
          <w:p w14:paraId="019E467D" w14:textId="77777777" w:rsidR="007E01A2" w:rsidRPr="003A0703" w:rsidRDefault="007E01A2">
            <w:pPr>
              <w:pStyle w:val="Tabletext"/>
              <w:jc w:val="center"/>
              <w:rPr>
                <w:lang w:val="fr-FR"/>
              </w:rPr>
            </w:pPr>
            <w:r w:rsidRPr="003A0703">
              <w:rPr>
                <w:lang w:val="fr-FR"/>
              </w:rPr>
              <w:t>−6</w:t>
            </w:r>
          </w:p>
        </w:tc>
      </w:tr>
    </w:tbl>
    <w:p w14:paraId="71766CC1" w14:textId="0DC1ECAF" w:rsidR="007E01A2" w:rsidRPr="003A0703" w:rsidRDefault="007E01A2" w:rsidP="00E343BA">
      <w:pPr>
        <w:pStyle w:val="Normalaftertitle0"/>
        <w:jc w:val="both"/>
        <w:rPr>
          <w:lang w:val="fr-FR"/>
        </w:rPr>
      </w:pPr>
      <w:r w:rsidRPr="003A0703">
        <w:rPr>
          <w:lang w:val="fr-FR"/>
        </w:rPr>
        <w:t>Il est toutefois à noter qu'il n'est pas prévu que les systèmes du service de recherche spatiale et du SFS utilisent ces niveaux élevés de densité de p.i.r.e. pendant 100% du temps, mais uniquement lorsque les conditions météorologiques sont mauvaises et que l'affaiblissement atmosphérique est excessif. Dans ce cas, si la proximité des stations terriennes du service de recherche spatiale et du</w:t>
      </w:r>
      <w:r w:rsidR="00745533" w:rsidRPr="003A0703">
        <w:rPr>
          <w:lang w:val="fr-FR"/>
        </w:rPr>
        <w:t> </w:t>
      </w:r>
      <w:r w:rsidRPr="003A0703">
        <w:rPr>
          <w:lang w:val="fr-FR"/>
        </w:rPr>
        <w:t>SFS est telle que les conditions météorologiques sont les mêmes, les brouillages seront nettement inférieurs aux niveaux prévus en raison des affaiblissements atmosphériques, et seront probablement inférieurs aux critères de protection. Si toutefois les stations terriennes du service de recherche spatiale et du SFS sont très espacées, les conditions météorologiques pourraient être différentes. Si les brouillages ont lieu par temps clair, l'affaiblissement atmosphérique pourrait être faible. Dans ce cas toutefois, l'antenne d'émission aura un gain plus faible en dehors de l'axe de visée, et la densité spectrale de p.i.r.e. en direction de la station terrienne brouillée sera réduite. Par exemple, pour un système OSG du SFS, si les stations terriennes du service de recherche spatiale et du SFS sont espacées de 100 km, la densité de p.i.r.e. des brouillages vue par la station terrienne brouillée serait réduite de 3 dB, et si elles sont espacées de 200 km, la réduction serait de 10 dB.</w:t>
      </w:r>
    </w:p>
    <w:p w14:paraId="67372B9C" w14:textId="1A2F4D87" w:rsidR="007E01A2" w:rsidRPr="003A0703" w:rsidRDefault="007E01A2" w:rsidP="00E343BA">
      <w:pPr>
        <w:widowControl w:val="0"/>
        <w:rPr>
          <w:lang w:val="fr-FR"/>
        </w:rPr>
      </w:pPr>
      <w:r w:rsidRPr="003A0703">
        <w:rPr>
          <w:lang w:val="fr-FR"/>
        </w:rPr>
        <w:t>Si les systèmes du SFS ne peuvent pas respecter les limites fixées de densité spectrale de puissance surfacique, alors ils devraient opter pour des bandes de fréquences au-dessus de 38 GHz lorsqu'ils fonctionnent à proximité de stations terriennes du service de recherche spatiale, et n'utiliser la bande 37,5-38 GHz que lorsqu'ils fonctionnent loin de ces stations. Les systèmes du SFS utilisant des faisceaux ponctuels devraient pouvoir satisfaire à cette condition facilement. Les systèmes du service de recherche spatiale n'utilisant pas de faisceaux ponctuels devront fonctionner aux niveaux fixés de densité de p.i.r.e. pour éviter de brouiller le SFS.</w:t>
      </w:r>
    </w:p>
    <w:p w14:paraId="4A90F77B" w14:textId="77777777" w:rsidR="007E01A2" w:rsidRPr="003A0703" w:rsidRDefault="007E01A2" w:rsidP="007E01A2">
      <w:pPr>
        <w:rPr>
          <w:lang w:val="fr-FR"/>
        </w:rPr>
      </w:pPr>
      <w:r w:rsidRPr="003A0703">
        <w:rPr>
          <w:lang w:val="fr-FR"/>
        </w:rPr>
        <w:lastRenderedPageBreak/>
        <w:t>Il ressort des résultats ci-dessus que, dans la bande 37,5-38 GHz, le partage entre le service de recherche spatiale (systèmes SVLBI et lunaires sans pilote) et le SFS (systèmes OSG et HEO) est possible lorsqu'on utilise les paramètres prévus pour les systèmes. Si les brouillages dépassent les critères de protection des systèmes du service de recherche spatiale ou du SFS, il existe alors des méthodes d'atténuation permettant de ramener les brouillages à un niveau acceptable.</w:t>
      </w:r>
    </w:p>
    <w:p w14:paraId="36731488" w14:textId="77777777" w:rsidR="007E01A2" w:rsidRPr="003A0703" w:rsidRDefault="007E01A2" w:rsidP="003A3EF6">
      <w:pPr>
        <w:pStyle w:val="Heading1"/>
        <w:rPr>
          <w:lang w:val="fr-FR"/>
        </w:rPr>
      </w:pPr>
      <w:r w:rsidRPr="003A0703">
        <w:rPr>
          <w:lang w:val="fr-FR"/>
        </w:rPr>
        <w:t>5</w:t>
      </w:r>
      <w:r w:rsidRPr="003A0703">
        <w:rPr>
          <w:lang w:val="fr-FR"/>
        </w:rPr>
        <w:tab/>
        <w:t>Résultats pour les constellations MEO et LEO du SFS</w:t>
      </w:r>
    </w:p>
    <w:p w14:paraId="77E77FFE" w14:textId="77777777" w:rsidR="007E01A2" w:rsidRPr="003A0703" w:rsidRDefault="007E01A2" w:rsidP="007E01A2">
      <w:pPr>
        <w:rPr>
          <w:lang w:val="fr-FR"/>
        </w:rPr>
      </w:pPr>
      <w:r w:rsidRPr="003A0703">
        <w:rPr>
          <w:lang w:val="fr-FR"/>
        </w:rPr>
        <w:t>En supposant que les satellites des constellations LEO et MEO utilisent des faisceaux ponctuels dans la bande de fréquences 37,5-38 GHz, le présent rapport montre qu'aucune limite de puissance ne sera exigée pour les émissions des satellites du SFS, à condition de garantir une distance de séparation entre les stations terriennes du SFS et les stations terriennes du service de recherche spatiale. Cette distance, qui dépend des caractéristiques de la constellation de satellites LEO ou MEO et des modes d'exploitation, serait de l'ordre de 35 à 70 km pour les stations passerelles et de 40 à 70 km pour les stations d'utilisateur.</w:t>
      </w:r>
    </w:p>
    <w:p w14:paraId="07262445" w14:textId="176B4199" w:rsidR="007E01A2" w:rsidRPr="003A0703" w:rsidRDefault="007E01A2" w:rsidP="007E01A2">
      <w:pPr>
        <w:rPr>
          <w:lang w:val="fr-FR"/>
        </w:rPr>
      </w:pPr>
      <w:r w:rsidRPr="003A0703">
        <w:rPr>
          <w:lang w:val="fr-FR"/>
        </w:rPr>
        <w:t>Compte tenu du faible nombre de stations terriennes du service de recherche spatiale actuellement exploitées dans la bande de fréquences 37,5-38 GHz à l'échelle mondiale et étant donné que ces stations sont normalement situées dans des zones isolées, la coexistence pourrait en principe être possible. Dans d</w:t>
      </w:r>
      <w:r w:rsidR="00CE6587" w:rsidRPr="003A0703">
        <w:rPr>
          <w:lang w:val="fr-FR"/>
        </w:rPr>
        <w:t>'</w:t>
      </w:r>
      <w:r w:rsidRPr="003A0703">
        <w:rPr>
          <w:lang w:val="fr-FR"/>
        </w:rPr>
        <w:t>autres conditions opérationnelles, la coexistence devrait être traitée au cas par cas.</w:t>
      </w:r>
    </w:p>
    <w:p w14:paraId="5D4A1B3E" w14:textId="77777777" w:rsidR="007E01A2" w:rsidRPr="003A0703" w:rsidRDefault="007E01A2" w:rsidP="007E01A2">
      <w:pPr>
        <w:rPr>
          <w:lang w:val="fr-FR"/>
        </w:rPr>
      </w:pPr>
      <w:r w:rsidRPr="003A0703">
        <w:rPr>
          <w:lang w:val="fr-FR"/>
        </w:rPr>
        <w:t>Les stations terriennes du SFS fonctionnant à une distance inférieure à la plage de 40 à 70 km des stations terriennes de réception du service de recherche spatiale peuvent toujours utiliser des fréquences au-dessus de 38 GHz.</w:t>
      </w:r>
    </w:p>
    <w:p w14:paraId="7F0411DB" w14:textId="32A4022E" w:rsidR="007E01A2" w:rsidRPr="003A0703" w:rsidRDefault="007E01A2" w:rsidP="007E01A2">
      <w:pPr>
        <w:rPr>
          <w:lang w:val="fr-FR"/>
        </w:rPr>
      </w:pPr>
      <w:r w:rsidRPr="003A0703">
        <w:rPr>
          <w:lang w:val="fr-FR"/>
        </w:rPr>
        <w:t>Il convient de mentionner qu'une certaine assurance devra être fournie pour que l'hypothèse susmentionnée puisse être réalisée.</w:t>
      </w:r>
    </w:p>
    <w:p w14:paraId="6B81AC18" w14:textId="5599FCB8" w:rsidR="007E01A2" w:rsidRPr="003A0703" w:rsidRDefault="007E01A2" w:rsidP="00BF3F8A">
      <w:pPr>
        <w:pStyle w:val="Line"/>
        <w:rPr>
          <w:lang w:val="fr-FR"/>
        </w:rPr>
      </w:pPr>
    </w:p>
    <w:sectPr w:rsidR="007E01A2" w:rsidRPr="003A0703" w:rsidSect="006036EE">
      <w:headerReference w:type="even" r:id="rId16"/>
      <w:headerReference w:type="default" r:id="rId1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39B9" w14:textId="77777777" w:rsidR="00580D4B" w:rsidRDefault="00580D4B">
      <w:pPr>
        <w:spacing w:before="0"/>
      </w:pPr>
      <w:r>
        <w:separator/>
      </w:r>
    </w:p>
  </w:endnote>
  <w:endnote w:type="continuationSeparator" w:id="0">
    <w:p w14:paraId="22A7063C" w14:textId="77777777" w:rsidR="00580D4B" w:rsidRDefault="00580D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8EED" w14:textId="77777777" w:rsidR="00580D4B" w:rsidRDefault="00580D4B">
      <w:r>
        <w:separator/>
      </w:r>
    </w:p>
  </w:footnote>
  <w:footnote w:type="continuationSeparator" w:id="0">
    <w:p w14:paraId="71978710" w14:textId="77777777" w:rsidR="00580D4B" w:rsidRDefault="00580D4B">
      <w:r>
        <w:continuationSeparator/>
      </w:r>
    </w:p>
  </w:footnote>
  <w:footnote w:type="continuationNotice" w:id="1">
    <w:p w14:paraId="7E9BCD26" w14:textId="77777777" w:rsidR="00580D4B" w:rsidRDefault="00580D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Pr>
              <w:rFonts w:asciiTheme="minorBidi" w:hAnsiTheme="minorBidi"/>
              <w:b/>
              <w:spacing w:val="4"/>
              <w:szCs w:val="24"/>
            </w:rPr>
            <w:t>i</w:t>
          </w:r>
          <w:r w:rsidR="00D25C67">
            <w:rPr>
              <w:rFonts w:asciiTheme="minorBidi" w:hAnsiTheme="minorBidi"/>
              <w:b/>
              <w:spacing w:val="4"/>
              <w:szCs w:val="24"/>
            </w:rPr>
            <w:t>nternationale</w:t>
          </w:r>
          <w:r>
            <w:rPr>
              <w:rFonts w:asciiTheme="minorBidi" w:hAnsiTheme="minorBidi"/>
              <w:b/>
              <w:spacing w:val="4"/>
              <w:szCs w:val="24"/>
            </w:rPr>
            <w:t xml:space="preserve"> des </w:t>
          </w:r>
          <w:r w:rsidR="00B72356">
            <w:rPr>
              <w:rFonts w:asciiTheme="minorBidi" w:hAnsiTheme="minorBidi"/>
              <w:b/>
              <w:spacing w:val="4"/>
              <w:szCs w:val="24"/>
            </w:rPr>
            <w:t>télécommunications</w:t>
          </w:r>
        </w:p>
      </w:tc>
    </w:tr>
    <w:tr w:rsidR="00FF4734" w14:paraId="5D0A05A1" w14:textId="77777777" w:rsidTr="000B7708">
      <w:tc>
        <w:tcPr>
          <w:tcW w:w="4634" w:type="dxa"/>
          <w:vAlign w:val="center"/>
        </w:tcPr>
        <w:p w14:paraId="76BE7169" w14:textId="13750A85" w:rsidR="00FF4734" w:rsidRPr="00260B24" w:rsidRDefault="00863267" w:rsidP="00744F8B">
          <w:pPr>
            <w:pStyle w:val="Header"/>
            <w:jc w:val="left"/>
            <w:rPr>
              <w:rFonts w:asciiTheme="minorBidi" w:hAnsiTheme="minorBidi"/>
              <w:spacing w:val="4"/>
              <w:sz w:val="21"/>
              <w:szCs w:val="21"/>
            </w:rPr>
          </w:pPr>
          <w:bookmarkStart w:id="3" w:name="lt_pId001"/>
          <w:r w:rsidRPr="00863267">
            <w:rPr>
              <w:rFonts w:asciiTheme="minorBidi" w:hAnsiTheme="minorBidi"/>
              <w:spacing w:val="4"/>
              <w:szCs w:val="24"/>
            </w:rPr>
            <w:t>Recomma</w:t>
          </w:r>
          <w:r w:rsidR="00FF4734" w:rsidRPr="00863267">
            <w:rPr>
              <w:rFonts w:asciiTheme="minorBidi" w:hAnsiTheme="minorBidi"/>
              <w:spacing w:val="4"/>
              <w:szCs w:val="24"/>
            </w:rPr>
            <w:t>ndations</w:t>
          </w:r>
          <w:bookmarkEnd w:id="3"/>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6646B3A">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alt="Header separator line" style="width:595.3pt;height:18.6pt;margin-top:94.2pt;margin-left:0;mso-position-horizontal-relative:page;mso-position-vertical-relative:page;position:absolute;z-index:251663360" coordorigin="0,1884" coordsize="11906,372">
              <v:rect id="docshape7" o:spid="_x0000_s2051" alt="Header separator line" style="width:11906;height:312;mso-wrap-style:square;position:absolute;top:1944;visibility:visible;v-text-anchor:top" fillcolor="#009cd6" strokecolor="#009cd6"/>
              <v:shape id="docshape8" o:spid="_x0000_s2052" alt="Header separator line"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AF59" w14:textId="1A4A3535" w:rsidR="00FF4734" w:rsidRPr="00997EDA" w:rsidRDefault="00FF4734" w:rsidP="00D72623">
    <w:pPr>
      <w:pStyle w:val="Header"/>
      <w:jc w:val="left"/>
      <w:rPr>
        <w:lang w:val="fr-CH"/>
      </w:rPr>
    </w:pPr>
    <w:r>
      <w:rPr>
        <w:rStyle w:val="PageNumber"/>
        <w:b/>
        <w:bCs/>
      </w:rPr>
      <w:fldChar w:fldCharType="begin"/>
    </w:r>
    <w:r w:rsidRPr="006036EE">
      <w:rPr>
        <w:rStyle w:val="PageNumber"/>
        <w:b/>
        <w:bCs/>
        <w:lang w:val="fr-CH"/>
      </w:rPr>
      <w:instrText xml:space="preserve"> PAGE </w:instrText>
    </w:r>
    <w:r>
      <w:rPr>
        <w:rStyle w:val="PageNumber"/>
        <w:b/>
        <w:bCs/>
      </w:rPr>
      <w:fldChar w:fldCharType="separate"/>
    </w:r>
    <w:r w:rsidR="00873B3C" w:rsidRPr="006036EE">
      <w:rPr>
        <w:rStyle w:val="PageNumber"/>
        <w:b/>
        <w:bCs/>
        <w:noProof/>
        <w:lang w:val="fr-CH"/>
      </w:rPr>
      <w:t>i</w:t>
    </w:r>
    <w:r w:rsidR="00873B3C" w:rsidRPr="00997EDA">
      <w:rPr>
        <w:rStyle w:val="PageNumber"/>
        <w:b/>
        <w:bCs/>
        <w:noProof/>
        <w:lang w:val="fr-CH"/>
      </w:rPr>
      <w:t>i</w:t>
    </w:r>
    <w:r>
      <w:rPr>
        <w:rStyle w:val="PageNumber"/>
        <w:b/>
        <w:bCs/>
      </w:rPr>
      <w:fldChar w:fldCharType="end"/>
    </w:r>
    <w:r w:rsidRPr="00997EDA">
      <w:rPr>
        <w:lang w:val="fr-CH"/>
      </w:rPr>
      <w:tab/>
    </w:r>
    <w:r>
      <w:rPr>
        <w:b/>
        <w:bCs/>
        <w:lang w:val="en-US"/>
      </w:rPr>
      <w:fldChar w:fldCharType="begin"/>
    </w:r>
    <w:r w:rsidRPr="00997EDA">
      <w:rPr>
        <w:b/>
        <w:bCs/>
        <w:lang w:val="fr-CH"/>
      </w:rPr>
      <w:instrText xml:space="preserve"> DOCPROPERTY "Header" \* MERGEFORMAT </w:instrText>
    </w:r>
    <w:r>
      <w:rPr>
        <w:b/>
        <w:bCs/>
        <w:lang w:val="en-US"/>
      </w:rPr>
      <w:fldChar w:fldCharType="separate"/>
    </w:r>
    <w:r w:rsidR="00CA7E42">
      <w:rPr>
        <w:b/>
        <w:bCs/>
        <w:lang w:val="fr-CH"/>
      </w:rPr>
      <w:t xml:space="preserve">Rec. </w:t>
    </w:r>
    <w:r>
      <w:rPr>
        <w:b/>
        <w:bCs/>
        <w:lang w:val="en-US"/>
      </w:rPr>
      <w:fldChar w:fldCharType="end"/>
    </w:r>
    <w:r w:rsidR="009C2919" w:rsidRPr="00997EDA">
      <w:rPr>
        <w:b/>
        <w:bCs/>
        <w:lang w:val="fr-CH"/>
      </w:rPr>
      <w:t xml:space="preserve">UIT-R </w:t>
    </w:r>
    <w:r w:rsidR="006472E3" w:rsidRPr="00997EDA">
      <w:rPr>
        <w:b/>
        <w:bCs/>
        <w:lang w:val="fr-CH"/>
      </w:rPr>
      <w:t>SA.2079-1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140E" w14:textId="25EE1EC0"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CA7E4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A7E42">
      <w:rPr>
        <w:b/>
        <w:bCs/>
        <w:noProof/>
      </w:rPr>
      <w:t>UIT-R SA.2079-1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FB99" w14:textId="17F2DD57" w:rsidR="00BF3F8A" w:rsidRDefault="004E6FF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18</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CA7E42">
      <w:rPr>
        <w:b/>
        <w:bCs/>
        <w:lang w:val="en-US"/>
      </w:rPr>
      <w:t xml:space="preserve">Rec. </w:t>
    </w:r>
    <w:r>
      <w:rPr>
        <w:b/>
        <w:bCs/>
      </w:rPr>
      <w:fldChar w:fldCharType="end"/>
    </w:r>
    <w:r w:rsidR="006472E3">
      <w:rPr>
        <w:b/>
        <w:bCs/>
      </w:rPr>
      <w:t>UIT-R</w:t>
    </w:r>
    <w:r w:rsidR="006472E3" w:rsidRPr="006472E3">
      <w:rPr>
        <w:b/>
        <w:bCs/>
      </w:rPr>
      <w:t xml:space="preserve"> SA.2079-1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4D3" w14:textId="4358C4EA" w:rsidR="00BF3F8A" w:rsidRDefault="004E6FF9" w:rsidP="00421267">
    <w:pPr>
      <w:pStyle w:val="Header"/>
      <w:jc w:val="left"/>
    </w:pPr>
    <w:r>
      <w:tab/>
    </w:r>
    <w:r>
      <w:rPr>
        <w:b/>
        <w:bCs/>
      </w:rPr>
      <w:fldChar w:fldCharType="begin"/>
    </w:r>
    <w:r>
      <w:rPr>
        <w:b/>
        <w:bCs/>
        <w:lang w:val="en-US"/>
      </w:rPr>
      <w:instrText xml:space="preserve"> DOCPROPERTY "Header" \* MERGEFORMAT </w:instrText>
    </w:r>
    <w:r>
      <w:rPr>
        <w:b/>
        <w:bCs/>
      </w:rPr>
      <w:fldChar w:fldCharType="separate"/>
    </w:r>
    <w:r w:rsidR="00CA7E42">
      <w:rPr>
        <w:b/>
        <w:bCs/>
        <w:lang w:val="en-US"/>
      </w:rPr>
      <w:t xml:space="preserve">Rec. </w:t>
    </w:r>
    <w:r>
      <w:rPr>
        <w:b/>
        <w:bCs/>
      </w:rPr>
      <w:fldChar w:fldCharType="end"/>
    </w:r>
    <w:r w:rsidR="00421267">
      <w:rPr>
        <w:b/>
        <w:bCs/>
      </w:rPr>
      <w:t xml:space="preserve">UIT-R </w:t>
    </w:r>
    <w:r w:rsidR="006472E3" w:rsidRPr="006472E3">
      <w:rPr>
        <w:b/>
        <w:bCs/>
      </w:rPr>
      <w:t>SA.2079-1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DC1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3A97"/>
    <w:multiLevelType w:val="hybridMultilevel"/>
    <w:tmpl w:val="F59C28AA"/>
    <w:lvl w:ilvl="0" w:tplc="EE9A462A">
      <w:start w:val="1"/>
      <w:numFmt w:val="lowerRoman"/>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283E1A"/>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07BA2C2C"/>
    <w:multiLevelType w:val="hybridMultilevel"/>
    <w:tmpl w:val="9958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EA576F"/>
    <w:multiLevelType w:val="hybridMultilevel"/>
    <w:tmpl w:val="955081F4"/>
    <w:lvl w:ilvl="0" w:tplc="5AC8412E">
      <w:start w:val="8"/>
      <w:numFmt w:val="bullet"/>
      <w:lvlText w:val="-"/>
      <w:lvlJc w:val="left"/>
      <w:pPr>
        <w:ind w:left="720" w:hanging="360"/>
      </w:pPr>
      <w:rPr>
        <w:rFonts w:ascii="Times New Roman" w:eastAsia="Times New Roman" w:hAnsi="Times New Roman" w:cs="Times New Roman" w:hint="default"/>
      </w:rPr>
    </w:lvl>
    <w:lvl w:ilvl="1" w:tplc="E9D2A062" w:tentative="1">
      <w:start w:val="1"/>
      <w:numFmt w:val="bullet"/>
      <w:lvlText w:val="o"/>
      <w:lvlJc w:val="left"/>
      <w:pPr>
        <w:ind w:left="1440" w:hanging="360"/>
      </w:pPr>
      <w:rPr>
        <w:rFonts w:ascii="Courier New" w:hAnsi="Courier New" w:cs="Courier New" w:hint="default"/>
      </w:rPr>
    </w:lvl>
    <w:lvl w:ilvl="2" w:tplc="5EAE901E" w:tentative="1">
      <w:start w:val="1"/>
      <w:numFmt w:val="bullet"/>
      <w:lvlText w:val=""/>
      <w:lvlJc w:val="left"/>
      <w:pPr>
        <w:ind w:left="2160" w:hanging="360"/>
      </w:pPr>
      <w:rPr>
        <w:rFonts w:ascii="Wingdings" w:hAnsi="Wingdings" w:hint="default"/>
      </w:rPr>
    </w:lvl>
    <w:lvl w:ilvl="3" w:tplc="7928836C" w:tentative="1">
      <w:start w:val="1"/>
      <w:numFmt w:val="bullet"/>
      <w:lvlText w:val=""/>
      <w:lvlJc w:val="left"/>
      <w:pPr>
        <w:ind w:left="2880" w:hanging="360"/>
      </w:pPr>
      <w:rPr>
        <w:rFonts w:ascii="Symbol" w:hAnsi="Symbol" w:hint="default"/>
      </w:rPr>
    </w:lvl>
    <w:lvl w:ilvl="4" w:tplc="5BD0BB86" w:tentative="1">
      <w:start w:val="1"/>
      <w:numFmt w:val="bullet"/>
      <w:lvlText w:val="o"/>
      <w:lvlJc w:val="left"/>
      <w:pPr>
        <w:ind w:left="3600" w:hanging="360"/>
      </w:pPr>
      <w:rPr>
        <w:rFonts w:ascii="Courier New" w:hAnsi="Courier New" w:cs="Courier New" w:hint="default"/>
      </w:rPr>
    </w:lvl>
    <w:lvl w:ilvl="5" w:tplc="8990FF1A" w:tentative="1">
      <w:start w:val="1"/>
      <w:numFmt w:val="bullet"/>
      <w:lvlText w:val=""/>
      <w:lvlJc w:val="left"/>
      <w:pPr>
        <w:ind w:left="4320" w:hanging="360"/>
      </w:pPr>
      <w:rPr>
        <w:rFonts w:ascii="Wingdings" w:hAnsi="Wingdings" w:hint="default"/>
      </w:rPr>
    </w:lvl>
    <w:lvl w:ilvl="6" w:tplc="308E41A0" w:tentative="1">
      <w:start w:val="1"/>
      <w:numFmt w:val="bullet"/>
      <w:lvlText w:val=""/>
      <w:lvlJc w:val="left"/>
      <w:pPr>
        <w:ind w:left="5040" w:hanging="360"/>
      </w:pPr>
      <w:rPr>
        <w:rFonts w:ascii="Symbol" w:hAnsi="Symbol" w:hint="default"/>
      </w:rPr>
    </w:lvl>
    <w:lvl w:ilvl="7" w:tplc="E256A9CE" w:tentative="1">
      <w:start w:val="1"/>
      <w:numFmt w:val="bullet"/>
      <w:lvlText w:val="o"/>
      <w:lvlJc w:val="left"/>
      <w:pPr>
        <w:ind w:left="5760" w:hanging="360"/>
      </w:pPr>
      <w:rPr>
        <w:rFonts w:ascii="Courier New" w:hAnsi="Courier New" w:cs="Courier New" w:hint="default"/>
      </w:rPr>
    </w:lvl>
    <w:lvl w:ilvl="8" w:tplc="E7EA8832" w:tentative="1">
      <w:start w:val="1"/>
      <w:numFmt w:val="bullet"/>
      <w:lvlText w:val=""/>
      <w:lvlJc w:val="left"/>
      <w:pPr>
        <w:ind w:left="6480" w:hanging="360"/>
      </w:pPr>
      <w:rPr>
        <w:rFonts w:ascii="Wingdings" w:hAnsi="Wingdings" w:hint="default"/>
      </w:rPr>
    </w:lvl>
  </w:abstractNum>
  <w:abstractNum w:abstractNumId="14" w15:restartNumberingAfterBreak="0">
    <w:nsid w:val="0D495346"/>
    <w:multiLevelType w:val="hybridMultilevel"/>
    <w:tmpl w:val="D918F792"/>
    <w:lvl w:ilvl="0" w:tplc="F3EC4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D55A9B"/>
    <w:multiLevelType w:val="hybridMultilevel"/>
    <w:tmpl w:val="FFAC1B8E"/>
    <w:lvl w:ilvl="0" w:tplc="C14AB4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3048D"/>
    <w:multiLevelType w:val="multilevel"/>
    <w:tmpl w:val="8DE4C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4617F81"/>
    <w:multiLevelType w:val="hybridMultilevel"/>
    <w:tmpl w:val="ECB8E7AA"/>
    <w:lvl w:ilvl="0" w:tplc="6486F8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18590F"/>
    <w:multiLevelType w:val="hybridMultilevel"/>
    <w:tmpl w:val="E1B2F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5602D"/>
    <w:multiLevelType w:val="hybridMultilevel"/>
    <w:tmpl w:val="3EDE1774"/>
    <w:lvl w:ilvl="0" w:tplc="2C88BD14">
      <w:start w:val="1"/>
      <w:numFmt w:val="lowerLetter"/>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21" w15:restartNumberingAfterBreak="0">
    <w:nsid w:val="22EC712A"/>
    <w:multiLevelType w:val="hybridMultilevel"/>
    <w:tmpl w:val="3D7663C2"/>
    <w:lvl w:ilvl="0" w:tplc="60EA4E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B71F66"/>
    <w:multiLevelType w:val="hybridMultilevel"/>
    <w:tmpl w:val="12F46ACA"/>
    <w:lvl w:ilvl="0" w:tplc="934EB19A">
      <w:start w:val="1"/>
      <w:numFmt w:val="lowerLetter"/>
      <w:lvlText w:val="(%1)"/>
      <w:lvlJc w:val="left"/>
      <w:pPr>
        <w:ind w:left="3060" w:hanging="360"/>
      </w:pPr>
      <w:rPr>
        <w:rFonts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23" w15:restartNumberingAfterBreak="0">
    <w:nsid w:val="25FE3EC3"/>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EB059F0"/>
    <w:multiLevelType w:val="hybridMultilevel"/>
    <w:tmpl w:val="99421B0E"/>
    <w:lvl w:ilvl="0" w:tplc="037E4BE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E95961"/>
    <w:multiLevelType w:val="hybridMultilevel"/>
    <w:tmpl w:val="31561EAA"/>
    <w:lvl w:ilvl="0" w:tplc="A42CCFD2">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7" w15:restartNumberingAfterBreak="0">
    <w:nsid w:val="37502D8C"/>
    <w:multiLevelType w:val="hybridMultilevel"/>
    <w:tmpl w:val="BCF2150E"/>
    <w:lvl w:ilvl="0" w:tplc="9514C964">
      <w:start w:val="1"/>
      <w:numFmt w:val="lowerLetter"/>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28" w15:restartNumberingAfterBreak="0">
    <w:nsid w:val="39DF4FB9"/>
    <w:multiLevelType w:val="hybridMultilevel"/>
    <w:tmpl w:val="09B26DD0"/>
    <w:lvl w:ilvl="0" w:tplc="59B60D1A">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F9621DE"/>
    <w:multiLevelType w:val="hybridMultilevel"/>
    <w:tmpl w:val="3E6E940A"/>
    <w:lvl w:ilvl="0" w:tplc="A23C84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45463E"/>
    <w:multiLevelType w:val="hybridMultilevel"/>
    <w:tmpl w:val="1AE294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40B6B6E"/>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9AB30FA"/>
    <w:multiLevelType w:val="hybridMultilevel"/>
    <w:tmpl w:val="7376E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A75A9"/>
    <w:multiLevelType w:val="hybridMultilevel"/>
    <w:tmpl w:val="8166A322"/>
    <w:lvl w:ilvl="0" w:tplc="16228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6D47AC"/>
    <w:multiLevelType w:val="hybridMultilevel"/>
    <w:tmpl w:val="85C2F4B2"/>
    <w:lvl w:ilvl="0" w:tplc="C7000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411EB1"/>
    <w:multiLevelType w:val="hybridMultilevel"/>
    <w:tmpl w:val="48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441DDF"/>
    <w:multiLevelType w:val="hybridMultilevel"/>
    <w:tmpl w:val="6FA4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AA39B7"/>
    <w:multiLevelType w:val="hybridMultilevel"/>
    <w:tmpl w:val="B792CE2C"/>
    <w:lvl w:ilvl="0" w:tplc="5FDAAF62">
      <w:start w:val="1"/>
      <w:numFmt w:val="lowerLetter"/>
      <w:lvlText w:val="(%1)"/>
      <w:lvlJc w:val="left"/>
      <w:pPr>
        <w:ind w:left="360" w:hanging="360"/>
      </w:pPr>
      <w:rPr>
        <w:rFonts w:ascii="Times New Roman Bold" w:hAnsi="Times New Roman Bold"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E92A45"/>
    <w:multiLevelType w:val="hybridMultilevel"/>
    <w:tmpl w:val="00EA8EE2"/>
    <w:lvl w:ilvl="0" w:tplc="B18A67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FF35097"/>
    <w:multiLevelType w:val="hybridMultilevel"/>
    <w:tmpl w:val="8CB46BA4"/>
    <w:lvl w:ilvl="0" w:tplc="4CA4C0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993419">
    <w:abstractNumId w:val="9"/>
  </w:num>
  <w:num w:numId="2" w16cid:durableId="1833446731">
    <w:abstractNumId w:val="7"/>
  </w:num>
  <w:num w:numId="3" w16cid:durableId="1060136255">
    <w:abstractNumId w:val="6"/>
  </w:num>
  <w:num w:numId="4" w16cid:durableId="1604993772">
    <w:abstractNumId w:val="5"/>
  </w:num>
  <w:num w:numId="5" w16cid:durableId="1201943188">
    <w:abstractNumId w:val="4"/>
  </w:num>
  <w:num w:numId="6" w16cid:durableId="1866481429">
    <w:abstractNumId w:val="8"/>
  </w:num>
  <w:num w:numId="7" w16cid:durableId="1375420599">
    <w:abstractNumId w:val="3"/>
  </w:num>
  <w:num w:numId="8" w16cid:durableId="171263312">
    <w:abstractNumId w:val="2"/>
  </w:num>
  <w:num w:numId="9" w16cid:durableId="1557429515">
    <w:abstractNumId w:val="1"/>
  </w:num>
  <w:num w:numId="10" w16cid:durableId="1566597930">
    <w:abstractNumId w:val="0"/>
  </w:num>
  <w:num w:numId="11" w16cid:durableId="1549342545">
    <w:abstractNumId w:val="13"/>
  </w:num>
  <w:num w:numId="12" w16cid:durableId="1449083564">
    <w:abstractNumId w:val="24"/>
  </w:num>
  <w:num w:numId="13" w16cid:durableId="622493095">
    <w:abstractNumId w:val="38"/>
  </w:num>
  <w:num w:numId="14" w16cid:durableId="1145507503">
    <w:abstractNumId w:val="31"/>
  </w:num>
  <w:num w:numId="15" w16cid:durableId="2075154205">
    <w:abstractNumId w:val="12"/>
  </w:num>
  <w:num w:numId="16" w16cid:durableId="1248617674">
    <w:abstractNumId w:val="10"/>
  </w:num>
  <w:num w:numId="17" w16cid:durableId="1538860130">
    <w:abstractNumId w:val="39"/>
  </w:num>
  <w:num w:numId="18" w16cid:durableId="162480201">
    <w:abstractNumId w:val="32"/>
  </w:num>
  <w:num w:numId="19" w16cid:durableId="1627619027">
    <w:abstractNumId w:val="41"/>
  </w:num>
  <w:num w:numId="20" w16cid:durableId="831071148">
    <w:abstractNumId w:val="37"/>
  </w:num>
  <w:num w:numId="21" w16cid:durableId="738525695">
    <w:abstractNumId w:val="14"/>
  </w:num>
  <w:num w:numId="22" w16cid:durableId="965240720">
    <w:abstractNumId w:val="21"/>
  </w:num>
  <w:num w:numId="23" w16cid:durableId="1369334705">
    <w:abstractNumId w:val="30"/>
  </w:num>
  <w:num w:numId="24" w16cid:durableId="1263562395">
    <w:abstractNumId w:val="27"/>
  </w:num>
  <w:num w:numId="25" w16cid:durableId="1889143839">
    <w:abstractNumId w:val="36"/>
  </w:num>
  <w:num w:numId="26" w16cid:durableId="760418383">
    <w:abstractNumId w:val="40"/>
  </w:num>
  <w:num w:numId="27" w16cid:durableId="1372682427">
    <w:abstractNumId w:val="26"/>
  </w:num>
  <w:num w:numId="28" w16cid:durableId="1895847508">
    <w:abstractNumId w:val="17"/>
  </w:num>
  <w:num w:numId="29" w16cid:durableId="212237142">
    <w:abstractNumId w:val="28"/>
  </w:num>
  <w:num w:numId="30" w16cid:durableId="2020428395">
    <w:abstractNumId w:val="15"/>
  </w:num>
  <w:num w:numId="31" w16cid:durableId="491995973">
    <w:abstractNumId w:val="20"/>
  </w:num>
  <w:num w:numId="32" w16cid:durableId="1746219518">
    <w:abstractNumId w:val="22"/>
  </w:num>
  <w:num w:numId="33" w16cid:durableId="700932394">
    <w:abstractNumId w:val="35"/>
  </w:num>
  <w:num w:numId="34" w16cid:durableId="1297222342">
    <w:abstractNumId w:val="29"/>
  </w:num>
  <w:num w:numId="35" w16cid:durableId="2090494517">
    <w:abstractNumId w:val="16"/>
  </w:num>
  <w:num w:numId="36" w16cid:durableId="1246646336">
    <w:abstractNumId w:val="25"/>
  </w:num>
  <w:num w:numId="37" w16cid:durableId="1920746195">
    <w:abstractNumId w:val="33"/>
  </w:num>
  <w:num w:numId="38" w16cid:durableId="1432622325">
    <w:abstractNumId w:val="11"/>
  </w:num>
  <w:num w:numId="39" w16cid:durableId="591016853">
    <w:abstractNumId w:val="23"/>
  </w:num>
  <w:num w:numId="40" w16cid:durableId="1367026353">
    <w:abstractNumId w:val="34"/>
  </w:num>
  <w:num w:numId="41" w16cid:durableId="94911475">
    <w:abstractNumId w:val="19"/>
  </w:num>
  <w:num w:numId="42" w16cid:durableId="524171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10A61"/>
    <w:rsid w:val="00022BF1"/>
    <w:rsid w:val="0002385A"/>
    <w:rsid w:val="00036EE3"/>
    <w:rsid w:val="0004645C"/>
    <w:rsid w:val="0005036D"/>
    <w:rsid w:val="0005481B"/>
    <w:rsid w:val="00056935"/>
    <w:rsid w:val="0006125F"/>
    <w:rsid w:val="00061C28"/>
    <w:rsid w:val="00067378"/>
    <w:rsid w:val="00073C91"/>
    <w:rsid w:val="00077BB1"/>
    <w:rsid w:val="000802A5"/>
    <w:rsid w:val="000874EA"/>
    <w:rsid w:val="0009191C"/>
    <w:rsid w:val="00094065"/>
    <w:rsid w:val="00094218"/>
    <w:rsid w:val="000A2B0B"/>
    <w:rsid w:val="000A5FEE"/>
    <w:rsid w:val="000A6C32"/>
    <w:rsid w:val="000B1B8F"/>
    <w:rsid w:val="000B3CF3"/>
    <w:rsid w:val="000B7708"/>
    <w:rsid w:val="000C1751"/>
    <w:rsid w:val="000C358B"/>
    <w:rsid w:val="000F46A0"/>
    <w:rsid w:val="000F7121"/>
    <w:rsid w:val="00101CBA"/>
    <w:rsid w:val="00110F46"/>
    <w:rsid w:val="00114EEC"/>
    <w:rsid w:val="0013472D"/>
    <w:rsid w:val="00134EC9"/>
    <w:rsid w:val="001466C5"/>
    <w:rsid w:val="00146733"/>
    <w:rsid w:val="001521F4"/>
    <w:rsid w:val="00157E93"/>
    <w:rsid w:val="00160A1C"/>
    <w:rsid w:val="00165B2F"/>
    <w:rsid w:val="00175FB7"/>
    <w:rsid w:val="00182B46"/>
    <w:rsid w:val="00192E38"/>
    <w:rsid w:val="0019676A"/>
    <w:rsid w:val="001B164E"/>
    <w:rsid w:val="001B215E"/>
    <w:rsid w:val="001B2269"/>
    <w:rsid w:val="001B4746"/>
    <w:rsid w:val="001C3605"/>
    <w:rsid w:val="001C56AB"/>
    <w:rsid w:val="001D2E08"/>
    <w:rsid w:val="001D7C4C"/>
    <w:rsid w:val="001E2024"/>
    <w:rsid w:val="001F7892"/>
    <w:rsid w:val="002152F4"/>
    <w:rsid w:val="00217A74"/>
    <w:rsid w:val="00217EBF"/>
    <w:rsid w:val="00220FFA"/>
    <w:rsid w:val="00240840"/>
    <w:rsid w:val="00242AEE"/>
    <w:rsid w:val="00250B54"/>
    <w:rsid w:val="00260B24"/>
    <w:rsid w:val="002662F2"/>
    <w:rsid w:val="002722F2"/>
    <w:rsid w:val="0027286E"/>
    <w:rsid w:val="00280CC4"/>
    <w:rsid w:val="002820E6"/>
    <w:rsid w:val="002871CF"/>
    <w:rsid w:val="002A5109"/>
    <w:rsid w:val="002B3C81"/>
    <w:rsid w:val="002C1DBF"/>
    <w:rsid w:val="002C4696"/>
    <w:rsid w:val="002C4C2C"/>
    <w:rsid w:val="002C5EAA"/>
    <w:rsid w:val="002D5AA7"/>
    <w:rsid w:val="002D63CA"/>
    <w:rsid w:val="002D76C4"/>
    <w:rsid w:val="002E1796"/>
    <w:rsid w:val="002E1A57"/>
    <w:rsid w:val="002E4E55"/>
    <w:rsid w:val="002F35D5"/>
    <w:rsid w:val="002F5199"/>
    <w:rsid w:val="002F63D0"/>
    <w:rsid w:val="00311D0B"/>
    <w:rsid w:val="00326B2F"/>
    <w:rsid w:val="00333D61"/>
    <w:rsid w:val="00335AAA"/>
    <w:rsid w:val="00336F39"/>
    <w:rsid w:val="00355256"/>
    <w:rsid w:val="003575BB"/>
    <w:rsid w:val="00392849"/>
    <w:rsid w:val="003A0703"/>
    <w:rsid w:val="003A3EF6"/>
    <w:rsid w:val="003A53C3"/>
    <w:rsid w:val="003A6460"/>
    <w:rsid w:val="003B1578"/>
    <w:rsid w:val="003C4B4D"/>
    <w:rsid w:val="003D13EB"/>
    <w:rsid w:val="003D49FA"/>
    <w:rsid w:val="003E106A"/>
    <w:rsid w:val="003E6F1E"/>
    <w:rsid w:val="003F1CFA"/>
    <w:rsid w:val="004051A0"/>
    <w:rsid w:val="00411BA4"/>
    <w:rsid w:val="004177D5"/>
    <w:rsid w:val="00420AB4"/>
    <w:rsid w:val="00421267"/>
    <w:rsid w:val="00427033"/>
    <w:rsid w:val="00440230"/>
    <w:rsid w:val="00450404"/>
    <w:rsid w:val="00465CC4"/>
    <w:rsid w:val="00470E28"/>
    <w:rsid w:val="004753A1"/>
    <w:rsid w:val="0047772E"/>
    <w:rsid w:val="00484AD1"/>
    <w:rsid w:val="0048732F"/>
    <w:rsid w:val="00491671"/>
    <w:rsid w:val="00496DA5"/>
    <w:rsid w:val="004A581D"/>
    <w:rsid w:val="004A61CD"/>
    <w:rsid w:val="004A6FEB"/>
    <w:rsid w:val="004C039A"/>
    <w:rsid w:val="004C4BDF"/>
    <w:rsid w:val="004C7DFC"/>
    <w:rsid w:val="004D5DC9"/>
    <w:rsid w:val="004E6FF9"/>
    <w:rsid w:val="004F47F7"/>
    <w:rsid w:val="004F75FE"/>
    <w:rsid w:val="00503E1A"/>
    <w:rsid w:val="00504051"/>
    <w:rsid w:val="00512A00"/>
    <w:rsid w:val="00522E39"/>
    <w:rsid w:val="0052529D"/>
    <w:rsid w:val="005279BB"/>
    <w:rsid w:val="00536F61"/>
    <w:rsid w:val="005373E0"/>
    <w:rsid w:val="005435BD"/>
    <w:rsid w:val="00555AC6"/>
    <w:rsid w:val="0055654D"/>
    <w:rsid w:val="00566A98"/>
    <w:rsid w:val="00567B98"/>
    <w:rsid w:val="00571B08"/>
    <w:rsid w:val="00580D4B"/>
    <w:rsid w:val="0058254E"/>
    <w:rsid w:val="00583F93"/>
    <w:rsid w:val="00586BBD"/>
    <w:rsid w:val="00586EF8"/>
    <w:rsid w:val="00587A38"/>
    <w:rsid w:val="00591DE4"/>
    <w:rsid w:val="00594FDB"/>
    <w:rsid w:val="005B0371"/>
    <w:rsid w:val="005C5E5A"/>
    <w:rsid w:val="005E6218"/>
    <w:rsid w:val="005F1AF5"/>
    <w:rsid w:val="006020AB"/>
    <w:rsid w:val="006036EE"/>
    <w:rsid w:val="00607D68"/>
    <w:rsid w:val="0061362C"/>
    <w:rsid w:val="0061591E"/>
    <w:rsid w:val="00616D29"/>
    <w:rsid w:val="00620241"/>
    <w:rsid w:val="00622A04"/>
    <w:rsid w:val="0063016C"/>
    <w:rsid w:val="00634FEB"/>
    <w:rsid w:val="00643721"/>
    <w:rsid w:val="006449F6"/>
    <w:rsid w:val="006472E3"/>
    <w:rsid w:val="0065530E"/>
    <w:rsid w:val="00661AC7"/>
    <w:rsid w:val="00667EDB"/>
    <w:rsid w:val="00677763"/>
    <w:rsid w:val="006B4335"/>
    <w:rsid w:val="006C5CD0"/>
    <w:rsid w:val="006C650E"/>
    <w:rsid w:val="006E2880"/>
    <w:rsid w:val="006E5EEC"/>
    <w:rsid w:val="006F19D4"/>
    <w:rsid w:val="006F3EBE"/>
    <w:rsid w:val="00705A2A"/>
    <w:rsid w:val="0071075A"/>
    <w:rsid w:val="007162CA"/>
    <w:rsid w:val="00721F37"/>
    <w:rsid w:val="00727852"/>
    <w:rsid w:val="00734B2B"/>
    <w:rsid w:val="00743E6F"/>
    <w:rsid w:val="00744F8B"/>
    <w:rsid w:val="00745533"/>
    <w:rsid w:val="007468DA"/>
    <w:rsid w:val="00760081"/>
    <w:rsid w:val="007629FC"/>
    <w:rsid w:val="00773F61"/>
    <w:rsid w:val="00782BED"/>
    <w:rsid w:val="007A0566"/>
    <w:rsid w:val="007A0685"/>
    <w:rsid w:val="007A0C25"/>
    <w:rsid w:val="007A4FE9"/>
    <w:rsid w:val="007A5ECF"/>
    <w:rsid w:val="007B26C9"/>
    <w:rsid w:val="007B5C4D"/>
    <w:rsid w:val="007B7A55"/>
    <w:rsid w:val="007D23A8"/>
    <w:rsid w:val="007E01A2"/>
    <w:rsid w:val="007E1163"/>
    <w:rsid w:val="007E1B16"/>
    <w:rsid w:val="007F2A0A"/>
    <w:rsid w:val="007F4AA9"/>
    <w:rsid w:val="007F5E99"/>
    <w:rsid w:val="007F6B7E"/>
    <w:rsid w:val="008030EF"/>
    <w:rsid w:val="00807CAD"/>
    <w:rsid w:val="008103D5"/>
    <w:rsid w:val="0081122F"/>
    <w:rsid w:val="0082340D"/>
    <w:rsid w:val="0083144D"/>
    <w:rsid w:val="00836AC0"/>
    <w:rsid w:val="008400EC"/>
    <w:rsid w:val="008404A5"/>
    <w:rsid w:val="00841BB7"/>
    <w:rsid w:val="00844AF8"/>
    <w:rsid w:val="0084737F"/>
    <w:rsid w:val="00863267"/>
    <w:rsid w:val="008706E9"/>
    <w:rsid w:val="00873B3C"/>
    <w:rsid w:val="0089301D"/>
    <w:rsid w:val="008B0C2D"/>
    <w:rsid w:val="008B12FB"/>
    <w:rsid w:val="008B597A"/>
    <w:rsid w:val="008B684F"/>
    <w:rsid w:val="008B68DF"/>
    <w:rsid w:val="008C56CF"/>
    <w:rsid w:val="008D143D"/>
    <w:rsid w:val="008E261A"/>
    <w:rsid w:val="008F186C"/>
    <w:rsid w:val="008F2165"/>
    <w:rsid w:val="008F6826"/>
    <w:rsid w:val="009014D4"/>
    <w:rsid w:val="00906589"/>
    <w:rsid w:val="009109E6"/>
    <w:rsid w:val="009156F1"/>
    <w:rsid w:val="00920C83"/>
    <w:rsid w:val="00921C75"/>
    <w:rsid w:val="00926D88"/>
    <w:rsid w:val="009325A0"/>
    <w:rsid w:val="00937C57"/>
    <w:rsid w:val="0094055B"/>
    <w:rsid w:val="00952D24"/>
    <w:rsid w:val="0096676A"/>
    <w:rsid w:val="009677BF"/>
    <w:rsid w:val="009834E5"/>
    <w:rsid w:val="0099009D"/>
    <w:rsid w:val="00997EDA"/>
    <w:rsid w:val="009A4F0F"/>
    <w:rsid w:val="009A6AF1"/>
    <w:rsid w:val="009B1517"/>
    <w:rsid w:val="009B1C4A"/>
    <w:rsid w:val="009B6BC8"/>
    <w:rsid w:val="009C2919"/>
    <w:rsid w:val="009C3C5F"/>
    <w:rsid w:val="009D22AE"/>
    <w:rsid w:val="009E00A8"/>
    <w:rsid w:val="009E7E49"/>
    <w:rsid w:val="009F015B"/>
    <w:rsid w:val="009F228D"/>
    <w:rsid w:val="009F5BFA"/>
    <w:rsid w:val="009F64B9"/>
    <w:rsid w:val="00A0553D"/>
    <w:rsid w:val="00A11333"/>
    <w:rsid w:val="00A15D62"/>
    <w:rsid w:val="00A16749"/>
    <w:rsid w:val="00A25116"/>
    <w:rsid w:val="00A4173A"/>
    <w:rsid w:val="00A55F47"/>
    <w:rsid w:val="00A55F5E"/>
    <w:rsid w:val="00A6555D"/>
    <w:rsid w:val="00A6617B"/>
    <w:rsid w:val="00A67743"/>
    <w:rsid w:val="00A75C75"/>
    <w:rsid w:val="00A77449"/>
    <w:rsid w:val="00A84406"/>
    <w:rsid w:val="00A915BB"/>
    <w:rsid w:val="00A95604"/>
    <w:rsid w:val="00AA3E8C"/>
    <w:rsid w:val="00AA756C"/>
    <w:rsid w:val="00AB0DC8"/>
    <w:rsid w:val="00AB70E5"/>
    <w:rsid w:val="00AE63EC"/>
    <w:rsid w:val="00AF1B48"/>
    <w:rsid w:val="00B0719B"/>
    <w:rsid w:val="00B21143"/>
    <w:rsid w:val="00B2200E"/>
    <w:rsid w:val="00B26086"/>
    <w:rsid w:val="00B42170"/>
    <w:rsid w:val="00B44E24"/>
    <w:rsid w:val="00B455BB"/>
    <w:rsid w:val="00B467EC"/>
    <w:rsid w:val="00B50280"/>
    <w:rsid w:val="00B52954"/>
    <w:rsid w:val="00B5778A"/>
    <w:rsid w:val="00B7071A"/>
    <w:rsid w:val="00B714F3"/>
    <w:rsid w:val="00B71938"/>
    <w:rsid w:val="00B72356"/>
    <w:rsid w:val="00B76D85"/>
    <w:rsid w:val="00B77DC3"/>
    <w:rsid w:val="00B874C6"/>
    <w:rsid w:val="00B87559"/>
    <w:rsid w:val="00B87D61"/>
    <w:rsid w:val="00B9032B"/>
    <w:rsid w:val="00B905E9"/>
    <w:rsid w:val="00B9169E"/>
    <w:rsid w:val="00B95C58"/>
    <w:rsid w:val="00B960FE"/>
    <w:rsid w:val="00BA4EC3"/>
    <w:rsid w:val="00BA5757"/>
    <w:rsid w:val="00BA5A0F"/>
    <w:rsid w:val="00BB670C"/>
    <w:rsid w:val="00BC3104"/>
    <w:rsid w:val="00BC4EF5"/>
    <w:rsid w:val="00BE1AD1"/>
    <w:rsid w:val="00BE4304"/>
    <w:rsid w:val="00BF3ADB"/>
    <w:rsid w:val="00BF3F8A"/>
    <w:rsid w:val="00BF487A"/>
    <w:rsid w:val="00C10511"/>
    <w:rsid w:val="00C22E40"/>
    <w:rsid w:val="00C23055"/>
    <w:rsid w:val="00C32523"/>
    <w:rsid w:val="00C342F3"/>
    <w:rsid w:val="00C3732D"/>
    <w:rsid w:val="00C45AD3"/>
    <w:rsid w:val="00C465D2"/>
    <w:rsid w:val="00C50409"/>
    <w:rsid w:val="00C5667B"/>
    <w:rsid w:val="00C67E9C"/>
    <w:rsid w:val="00C729D7"/>
    <w:rsid w:val="00C8293D"/>
    <w:rsid w:val="00C83770"/>
    <w:rsid w:val="00C91F18"/>
    <w:rsid w:val="00C97278"/>
    <w:rsid w:val="00CA6462"/>
    <w:rsid w:val="00CA7E42"/>
    <w:rsid w:val="00CC427E"/>
    <w:rsid w:val="00CE0A43"/>
    <w:rsid w:val="00CE6587"/>
    <w:rsid w:val="00CF6A68"/>
    <w:rsid w:val="00D00B59"/>
    <w:rsid w:val="00D0310C"/>
    <w:rsid w:val="00D15F79"/>
    <w:rsid w:val="00D20A63"/>
    <w:rsid w:val="00D25C67"/>
    <w:rsid w:val="00D33C00"/>
    <w:rsid w:val="00D34853"/>
    <w:rsid w:val="00D45E17"/>
    <w:rsid w:val="00D4799E"/>
    <w:rsid w:val="00D60E52"/>
    <w:rsid w:val="00D72623"/>
    <w:rsid w:val="00D7759F"/>
    <w:rsid w:val="00D847F5"/>
    <w:rsid w:val="00D87972"/>
    <w:rsid w:val="00D917E1"/>
    <w:rsid w:val="00D9323C"/>
    <w:rsid w:val="00D95FA0"/>
    <w:rsid w:val="00DA7A49"/>
    <w:rsid w:val="00DB6317"/>
    <w:rsid w:val="00DC0794"/>
    <w:rsid w:val="00DC2B47"/>
    <w:rsid w:val="00DC7DDC"/>
    <w:rsid w:val="00DE1224"/>
    <w:rsid w:val="00DE2FCC"/>
    <w:rsid w:val="00DE344A"/>
    <w:rsid w:val="00DF268E"/>
    <w:rsid w:val="00DF4176"/>
    <w:rsid w:val="00DF4C2F"/>
    <w:rsid w:val="00E059A1"/>
    <w:rsid w:val="00E21F56"/>
    <w:rsid w:val="00E2418B"/>
    <w:rsid w:val="00E25C26"/>
    <w:rsid w:val="00E31FC3"/>
    <w:rsid w:val="00E343BA"/>
    <w:rsid w:val="00E37D45"/>
    <w:rsid w:val="00E4722D"/>
    <w:rsid w:val="00E5715A"/>
    <w:rsid w:val="00E711C0"/>
    <w:rsid w:val="00E75BCD"/>
    <w:rsid w:val="00E820CD"/>
    <w:rsid w:val="00E835F0"/>
    <w:rsid w:val="00E86460"/>
    <w:rsid w:val="00E94B30"/>
    <w:rsid w:val="00EA0FE9"/>
    <w:rsid w:val="00EC3EB6"/>
    <w:rsid w:val="00ED44B2"/>
    <w:rsid w:val="00EE2D9F"/>
    <w:rsid w:val="00EE4E3F"/>
    <w:rsid w:val="00F2306C"/>
    <w:rsid w:val="00F335DC"/>
    <w:rsid w:val="00F60D4C"/>
    <w:rsid w:val="00F62EE7"/>
    <w:rsid w:val="00F7440C"/>
    <w:rsid w:val="00F82FFE"/>
    <w:rsid w:val="00F85465"/>
    <w:rsid w:val="00F90C05"/>
    <w:rsid w:val="00F936DE"/>
    <w:rsid w:val="00FA0E5D"/>
    <w:rsid w:val="00FA40C9"/>
    <w:rsid w:val="00FC1C3D"/>
    <w:rsid w:val="00FC24B7"/>
    <w:rsid w:val="00FD03B7"/>
    <w:rsid w:val="00FD545A"/>
    <w:rsid w:val="00FD6CB5"/>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aliases w:val="encabezado"/>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Blanc">
    <w:name w:val="Blanc"/>
    <w:basedOn w:val="Normal"/>
    <w:next w:val="Tabletext"/>
    <w:link w:val="BlancChar"/>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Footnote Reference/,Appel note de bas de p,Style 12,(NECG) Footnote Reference,Style 124,Footnote Reference/... + 12 pt,Bol..."/>
    <w:basedOn w:val="DefaultParagraphFont"/>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qFormat/>
    <w:pPr>
      <w:keepLines/>
      <w:tabs>
        <w:tab w:val="left" w:pos="255"/>
      </w:tabs>
      <w:ind w:left="255" w:hanging="255"/>
    </w:pPr>
    <w:rPr>
      <w:sz w:val="22"/>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link w:val="RestitleChar"/>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uiPriority w:val="39"/>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aliases w:val="encabezado Char"/>
    <w:basedOn w:val="DefaultParagraphFont"/>
    <w:link w:val="Header"/>
    <w:uiPriority w:val="99"/>
    <w:rsid w:val="00F335DC"/>
    <w:rPr>
      <w:sz w:val="24"/>
      <w:lang w:val="en-GB" w:eastAsia="en-US"/>
    </w:r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qFormat/>
    <w:rsid w:val="00F335DC"/>
    <w:rPr>
      <w:noProof/>
      <w:sz w:val="18"/>
      <w:lang w:val="en-GB" w:eastAsia="en-US"/>
    </w:rPr>
  </w:style>
  <w:style w:type="character" w:styleId="Hyperlink">
    <w:name w:val="Hyperlink"/>
    <w:basedOn w:val="DefaultParagraphFont"/>
    <w:uiPriority w:val="99"/>
    <w:rsid w:val="00F335DC"/>
    <w:rPr>
      <w:color w:val="0000FF"/>
      <w:u w:val="single"/>
    </w:rPr>
  </w:style>
  <w:style w:type="table" w:styleId="TableGrid">
    <w:name w:val="Table Grid"/>
    <w:basedOn w:val="TableNormal"/>
    <w:uiPriority w:val="59"/>
    <w:qFormat/>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link w:val="AnnexNoChar"/>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qFormat/>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unhideWhenUsed/>
    <w:qFormat/>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rsid w:val="008030EF"/>
    <w:rPr>
      <w:color w:val="808080"/>
    </w:rPr>
  </w:style>
  <w:style w:type="character" w:styleId="CommentReference">
    <w:name w:val="annotation reference"/>
    <w:basedOn w:val="DefaultParagraphFont"/>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unhideWhenUsed/>
    <w:rsid w:val="008030EF"/>
    <w:rPr>
      <w:b/>
      <w:bCs/>
    </w:rPr>
  </w:style>
  <w:style w:type="character" w:customStyle="1" w:styleId="CommentSubjectChar">
    <w:name w:val="Comment Subject Char"/>
    <w:basedOn w:val="CommentTextChar"/>
    <w:link w:val="CommentSubject"/>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qFormat/>
    <w:rsid w:val="008030EF"/>
    <w:rPr>
      <w:i/>
      <w:iCs/>
    </w:rPr>
  </w:style>
  <w:style w:type="paragraph" w:styleId="ListParagraph">
    <w:name w:val="List Paragraph"/>
    <w:basedOn w:val="Normal"/>
    <w:link w:val="ListParagraphChar"/>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character" w:customStyle="1" w:styleId="NoteChar">
    <w:name w:val="Note Char"/>
    <w:basedOn w:val="DefaultParagraphFont"/>
    <w:link w:val="Note"/>
    <w:locked/>
    <w:rsid w:val="00B9032B"/>
    <w:rPr>
      <w:sz w:val="22"/>
      <w:lang w:val="en-GB" w:eastAsia="en-US"/>
    </w:rPr>
  </w:style>
  <w:style w:type="character" w:customStyle="1" w:styleId="CallChar">
    <w:name w:val="Call Char"/>
    <w:link w:val="Call"/>
    <w:locked/>
    <w:rsid w:val="00B9032B"/>
    <w:rPr>
      <w:i/>
      <w:sz w:val="24"/>
      <w:lang w:val="en-GB" w:eastAsia="en-US"/>
    </w:rPr>
  </w:style>
  <w:style w:type="character" w:customStyle="1" w:styleId="RecNoChar">
    <w:name w:val="Rec_No Char"/>
    <w:link w:val="RecNo"/>
    <w:locked/>
    <w:rsid w:val="00B9032B"/>
    <w:rPr>
      <w:sz w:val="28"/>
      <w:lang w:val="en-GB" w:eastAsia="en-US"/>
    </w:rPr>
  </w:style>
  <w:style w:type="paragraph" w:customStyle="1" w:styleId="Before">
    <w:name w:val="Before"/>
    <w:basedOn w:val="RecNo"/>
    <w:rsid w:val="00B9032B"/>
    <w:pPr>
      <w:spacing w:before="0"/>
    </w:pPr>
    <w:rPr>
      <w:lang w:val="fr-FR"/>
    </w:rPr>
  </w:style>
  <w:style w:type="paragraph" w:customStyle="1" w:styleId="CoverDate">
    <w:name w:val="Cover Date"/>
    <w:basedOn w:val="Normal"/>
    <w:qFormat/>
    <w:rsid w:val="00B9032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B9032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B9032B"/>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locked/>
    <w:rsid w:val="00B9032B"/>
    <w:rPr>
      <w:b/>
      <w:sz w:val="22"/>
      <w:lang w:val="en-GB" w:eastAsia="en-US"/>
    </w:rPr>
  </w:style>
  <w:style w:type="character" w:customStyle="1" w:styleId="TableNoChar">
    <w:name w:val="Table_No Char"/>
    <w:link w:val="TableNo"/>
    <w:rsid w:val="00B9032B"/>
    <w:rPr>
      <w:sz w:val="24"/>
      <w:lang w:val="en-GB" w:eastAsia="en-US"/>
    </w:rPr>
  </w:style>
  <w:style w:type="character" w:customStyle="1" w:styleId="TabletextChar">
    <w:name w:val="Table_text Char"/>
    <w:link w:val="Tabletext"/>
    <w:locked/>
    <w:rsid w:val="00B9032B"/>
    <w:rPr>
      <w:sz w:val="22"/>
      <w:lang w:val="en-GB" w:eastAsia="en-US"/>
    </w:rPr>
  </w:style>
  <w:style w:type="character" w:customStyle="1" w:styleId="TabletitleChar">
    <w:name w:val="Table_title Char"/>
    <w:link w:val="Tabletitle"/>
    <w:qFormat/>
    <w:rsid w:val="00B9032B"/>
    <w:rPr>
      <w:b/>
      <w:sz w:val="24"/>
      <w:lang w:val="en-GB" w:eastAsia="en-US"/>
    </w:rPr>
  </w:style>
  <w:style w:type="character" w:customStyle="1" w:styleId="FigureChar">
    <w:name w:val="Figure Char"/>
    <w:aliases w:val="fig Char"/>
    <w:link w:val="Figure"/>
    <w:rsid w:val="00B9032B"/>
    <w:rPr>
      <w:caps/>
      <w:sz w:val="18"/>
      <w:lang w:val="en-GB" w:eastAsia="en-US"/>
    </w:rPr>
  </w:style>
  <w:style w:type="character" w:customStyle="1" w:styleId="FigureNo0">
    <w:name w:val="Figure_No (文字)"/>
    <w:link w:val="FigureNo"/>
    <w:rsid w:val="00B9032B"/>
    <w:rPr>
      <w:caps/>
      <w:sz w:val="18"/>
      <w:lang w:val="en-GB" w:eastAsia="en-US"/>
    </w:rPr>
  </w:style>
  <w:style w:type="character" w:customStyle="1" w:styleId="TablelegendChar">
    <w:name w:val="Table_legend Char"/>
    <w:link w:val="Tablelegend"/>
    <w:locked/>
    <w:rsid w:val="00B9032B"/>
    <w:rPr>
      <w:sz w:val="22"/>
      <w:lang w:val="en-GB" w:eastAsia="en-US"/>
    </w:rPr>
  </w:style>
  <w:style w:type="paragraph" w:styleId="Title">
    <w:name w:val="Title"/>
    <w:basedOn w:val="Normal"/>
    <w:link w:val="TitleChar"/>
    <w:uiPriority w:val="99"/>
    <w:qFormat/>
    <w:rsid w:val="00B9032B"/>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B9032B"/>
    <w:rPr>
      <w:rFonts w:eastAsia="MS Mincho"/>
      <w:b/>
      <w:bCs/>
      <w:sz w:val="24"/>
      <w:szCs w:val="24"/>
      <w:lang w:eastAsia="en-US"/>
    </w:rPr>
  </w:style>
  <w:style w:type="paragraph" w:styleId="BodyText">
    <w:name w:val="Body Text"/>
    <w:basedOn w:val="Normal"/>
    <w:link w:val="BodyTextChar"/>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B9032B"/>
    <w:rPr>
      <w:rFonts w:eastAsia="MS Mincho"/>
      <w:b/>
      <w:bCs/>
      <w:sz w:val="24"/>
      <w:szCs w:val="24"/>
      <w:lang w:eastAsia="en-US"/>
    </w:rPr>
  </w:style>
  <w:style w:type="paragraph" w:styleId="Subtitle">
    <w:name w:val="Subtitle"/>
    <w:basedOn w:val="Normal"/>
    <w:link w:val="SubtitleChar"/>
    <w:uiPriority w:val="99"/>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9032B"/>
    <w:rPr>
      <w:rFonts w:eastAsia="MS Mincho"/>
      <w:sz w:val="24"/>
      <w:szCs w:val="24"/>
      <w:u w:val="single"/>
      <w:lang w:eastAsia="en-US"/>
    </w:rPr>
  </w:style>
  <w:style w:type="paragraph" w:styleId="BlockText">
    <w:name w:val="Block Text"/>
    <w:basedOn w:val="Normal"/>
    <w:uiPriority w:val="99"/>
    <w:rsid w:val="00B9032B"/>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B9032B"/>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B9032B"/>
    <w:rPr>
      <w:rFonts w:ascii="Arial" w:eastAsia="MS Mincho" w:hAnsi="Arial" w:cs="Arial"/>
      <w:sz w:val="22"/>
      <w:szCs w:val="24"/>
      <w:lang w:eastAsia="en-US"/>
    </w:rPr>
  </w:style>
  <w:style w:type="paragraph" w:styleId="BodyText3">
    <w:name w:val="Body Text 3"/>
    <w:basedOn w:val="Normal"/>
    <w:link w:val="BodyText3Char"/>
    <w:rsid w:val="00B9032B"/>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B9032B"/>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9032B"/>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9032B"/>
    <w:rPr>
      <w:rFonts w:ascii="Arial" w:eastAsia="MS Mincho" w:hAnsi="Arial" w:cs="Arial"/>
      <w:sz w:val="22"/>
      <w:szCs w:val="24"/>
      <w:lang w:eastAsia="en-US"/>
    </w:rPr>
  </w:style>
  <w:style w:type="paragraph" w:styleId="BodyTextIndent2">
    <w:name w:val="Body Text Indent 2"/>
    <w:basedOn w:val="Normal"/>
    <w:link w:val="BodyTextIndent2Char"/>
    <w:uiPriority w:val="99"/>
    <w:rsid w:val="00B9032B"/>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9032B"/>
    <w:rPr>
      <w:rFonts w:eastAsia="MS Mincho"/>
      <w:sz w:val="24"/>
      <w:szCs w:val="24"/>
      <w:lang w:eastAsia="en-US"/>
    </w:rPr>
  </w:style>
  <w:style w:type="paragraph" w:customStyle="1" w:styleId="TableTitle0">
    <w:name w:val="Table_Title"/>
    <w:basedOn w:val="Normal"/>
    <w:next w:val="Normal"/>
    <w:uiPriority w:val="99"/>
    <w:rsid w:val="00B9032B"/>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9032B"/>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9032B"/>
    <w:rPr>
      <w:rFonts w:ascii="Century" w:eastAsia="MS Mincho" w:hAnsi="Century"/>
      <w:kern w:val="2"/>
      <w:sz w:val="21"/>
      <w:szCs w:val="24"/>
      <w:lang w:eastAsia="ja-JP"/>
    </w:rPr>
  </w:style>
  <w:style w:type="paragraph" w:styleId="PlainText">
    <w:name w:val="Plain Text"/>
    <w:basedOn w:val="Normal"/>
    <w:link w:val="PlainTextChar"/>
    <w:uiPriority w:val="99"/>
    <w:rsid w:val="00B9032B"/>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9032B"/>
    <w:rPr>
      <w:rFonts w:ascii="Courier New" w:eastAsia="MS Mincho" w:hAnsi="Courier New"/>
      <w:lang w:eastAsia="en-US"/>
    </w:rPr>
  </w:style>
  <w:style w:type="character" w:styleId="Strong">
    <w:name w:val="Strong"/>
    <w:qFormat/>
    <w:rsid w:val="00B9032B"/>
    <w:rPr>
      <w:rFonts w:cs="Times New Roman"/>
      <w:b/>
      <w:bCs/>
    </w:rPr>
  </w:style>
  <w:style w:type="paragraph" w:styleId="Date">
    <w:name w:val="Date"/>
    <w:basedOn w:val="Normal"/>
    <w:next w:val="Normal"/>
    <w:link w:val="DateChar"/>
    <w:uiPriority w:val="99"/>
    <w:rsid w:val="00B9032B"/>
    <w:pPr>
      <w:jc w:val="left"/>
    </w:pPr>
    <w:rPr>
      <w:rFonts w:eastAsia="MS Mincho"/>
    </w:rPr>
  </w:style>
  <w:style w:type="character" w:customStyle="1" w:styleId="DateChar">
    <w:name w:val="Date Char"/>
    <w:basedOn w:val="DefaultParagraphFont"/>
    <w:link w:val="Date"/>
    <w:uiPriority w:val="99"/>
    <w:rsid w:val="00B9032B"/>
    <w:rPr>
      <w:rFonts w:eastAsia="MS Mincho"/>
      <w:sz w:val="24"/>
      <w:lang w:val="en-GB" w:eastAsia="en-US"/>
    </w:rPr>
  </w:style>
  <w:style w:type="paragraph" w:styleId="HTMLPreformatted">
    <w:name w:val="HTML Preformatted"/>
    <w:basedOn w:val="Normal"/>
    <w:link w:val="HTMLPreformattedChar"/>
    <w:uiPriority w:val="99"/>
    <w:rsid w:val="00B9032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9032B"/>
    <w:rPr>
      <w:rFonts w:ascii="MS Gothic" w:eastAsia="MS Gothic" w:hAnsi="MS Gothic" w:cs="MS Gothic"/>
      <w:sz w:val="24"/>
      <w:szCs w:val="24"/>
      <w:lang w:eastAsia="ja-JP"/>
    </w:rPr>
  </w:style>
  <w:style w:type="paragraph" w:styleId="TOC9">
    <w:name w:val="toc 9"/>
    <w:basedOn w:val="Normal"/>
    <w:next w:val="Normal"/>
    <w:uiPriority w:val="99"/>
    <w:rsid w:val="00B9032B"/>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9032B"/>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9032B"/>
    <w:rPr>
      <w:rFonts w:ascii="Tahoma" w:eastAsia="MS Mincho" w:hAnsi="Tahoma" w:cs="Tahoma"/>
      <w:shd w:val="clear" w:color="auto" w:fill="000080"/>
      <w:lang w:eastAsia="en-US"/>
    </w:rPr>
  </w:style>
  <w:style w:type="paragraph" w:customStyle="1" w:styleId="Revision1">
    <w:name w:val="Revision1"/>
    <w:hidden/>
    <w:uiPriority w:val="99"/>
    <w:semiHidden/>
    <w:rsid w:val="00B9032B"/>
    <w:rPr>
      <w:rFonts w:ascii="Times" w:eastAsia="MS Mincho" w:hAnsi="Times"/>
      <w:lang w:eastAsia="en-US"/>
    </w:rPr>
  </w:style>
  <w:style w:type="paragraph" w:styleId="EndnoteText">
    <w:name w:val="endnote text"/>
    <w:basedOn w:val="Normal"/>
    <w:link w:val="EndnoteTextChar"/>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9032B"/>
    <w:rPr>
      <w:rFonts w:ascii="Times" w:eastAsia="MS Mincho" w:hAnsi="Times"/>
      <w:lang w:eastAsia="en-US"/>
    </w:rPr>
  </w:style>
  <w:style w:type="paragraph" w:styleId="List">
    <w:name w:val="List"/>
    <w:basedOn w:val="Normal"/>
    <w:rsid w:val="00B9032B"/>
    <w:pPr>
      <w:ind w:left="283" w:hanging="283"/>
      <w:jc w:val="left"/>
    </w:pPr>
    <w:rPr>
      <w:rFonts w:eastAsia="MS Mincho"/>
    </w:rPr>
  </w:style>
  <w:style w:type="character" w:customStyle="1" w:styleId="AnnexNoChar">
    <w:name w:val="Annex_No Char"/>
    <w:link w:val="AnnexNo"/>
    <w:locked/>
    <w:rsid w:val="00B9032B"/>
    <w:rPr>
      <w:caps/>
      <w:sz w:val="28"/>
      <w:lang w:val="en-GB" w:eastAsia="en-US"/>
    </w:rPr>
  </w:style>
  <w:style w:type="numbering" w:styleId="111111">
    <w:name w:val="Outline List 2"/>
    <w:basedOn w:val="NoList"/>
    <w:uiPriority w:val="99"/>
    <w:unhideWhenUsed/>
    <w:rsid w:val="00B9032B"/>
    <w:pPr>
      <w:numPr>
        <w:numId w:val="12"/>
      </w:numPr>
    </w:pPr>
  </w:style>
  <w:style w:type="character" w:customStyle="1" w:styleId="CaptionChar1">
    <w:name w:val="Caption Char1"/>
    <w:aliases w:val="cap Char,cap1 Char,cap2 Char,cap11 Char,Caption Char Char,Caption Char1 Char Char,cap Char Char1 Char,Caption Char Char1 Char Char,cap Char2 Char"/>
    <w:link w:val="Caption"/>
    <w:rsid w:val="00B9032B"/>
    <w:rPr>
      <w:i/>
      <w:iCs/>
      <w:color w:val="1F497D" w:themeColor="text2"/>
      <w:sz w:val="18"/>
      <w:szCs w:val="18"/>
      <w:lang w:val="en-GB" w:eastAsia="en-US"/>
    </w:rPr>
  </w:style>
  <w:style w:type="character" w:customStyle="1" w:styleId="HeadingiChar">
    <w:name w:val="Heading_i Char"/>
    <w:basedOn w:val="DefaultParagraphFont"/>
    <w:link w:val="Headingi"/>
    <w:locked/>
    <w:rsid w:val="00B9032B"/>
    <w:rPr>
      <w:i/>
      <w:sz w:val="24"/>
      <w:lang w:val="en-GB" w:eastAsia="en-US"/>
    </w:rPr>
  </w:style>
  <w:style w:type="character" w:customStyle="1" w:styleId="ArttitleChar">
    <w:name w:val="Art_title Char"/>
    <w:basedOn w:val="DefaultParagraphFont"/>
    <w:link w:val="Arttitle"/>
    <w:locked/>
    <w:rsid w:val="00B9032B"/>
    <w:rPr>
      <w:b/>
      <w:sz w:val="28"/>
      <w:lang w:val="en-GB" w:eastAsia="en-US"/>
    </w:rPr>
  </w:style>
  <w:style w:type="character" w:customStyle="1" w:styleId="RestitleChar">
    <w:name w:val="Res_title Char"/>
    <w:basedOn w:val="DefaultParagraphFont"/>
    <w:link w:val="Restitle"/>
    <w:locked/>
    <w:rsid w:val="00B9032B"/>
    <w:rPr>
      <w:b/>
      <w:sz w:val="28"/>
      <w:lang w:val="en-GB" w:eastAsia="en-US"/>
    </w:rPr>
  </w:style>
  <w:style w:type="paragraph" w:customStyle="1" w:styleId="1">
    <w:name w:val="変更箇所1"/>
    <w:hidden/>
    <w:semiHidden/>
    <w:rsid w:val="00B9032B"/>
    <w:rPr>
      <w:rFonts w:eastAsia="SimSun"/>
      <w:sz w:val="24"/>
      <w:lang w:val="en-GB" w:eastAsia="en-US"/>
    </w:rPr>
  </w:style>
  <w:style w:type="character" w:customStyle="1" w:styleId="NormalIndentChar">
    <w:name w:val="Normal Indent Char"/>
    <w:basedOn w:val="DefaultParagraphFont"/>
    <w:link w:val="NormalIndent"/>
    <w:rsid w:val="00B9032B"/>
    <w:rPr>
      <w:sz w:val="24"/>
      <w:lang w:val="en-GB" w:eastAsia="en-US"/>
    </w:rPr>
  </w:style>
  <w:style w:type="character" w:customStyle="1" w:styleId="ListParagraphChar">
    <w:name w:val="List Paragraph Char"/>
    <w:basedOn w:val="DefaultParagraphFont"/>
    <w:link w:val="ListParagraph"/>
    <w:uiPriority w:val="34"/>
    <w:rsid w:val="00B9032B"/>
    <w:rPr>
      <w:sz w:val="24"/>
      <w:lang w:val="en-GB" w:eastAsia="en-US"/>
    </w:rPr>
  </w:style>
  <w:style w:type="paragraph" w:styleId="BodyTextFirstIndent">
    <w:name w:val="Body Text First Indent"/>
    <w:basedOn w:val="BodyText"/>
    <w:link w:val="BodyTextFirstIndentChar"/>
    <w:rsid w:val="00B9032B"/>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9032B"/>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B9032B"/>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B9032B"/>
    <w:rPr>
      <w:sz w:val="24"/>
      <w:lang w:val="en-GB" w:eastAsia="en-US"/>
    </w:rPr>
  </w:style>
  <w:style w:type="character" w:customStyle="1" w:styleId="EquationlegendChar">
    <w:name w:val="Equation_legend Char"/>
    <w:basedOn w:val="DefaultParagraphFont"/>
    <w:link w:val="Equationlegend"/>
    <w:locked/>
    <w:rsid w:val="00B9032B"/>
    <w:rPr>
      <w:sz w:val="24"/>
      <w:lang w:eastAsia="en-US"/>
    </w:rPr>
  </w:style>
  <w:style w:type="character" w:customStyle="1" w:styleId="EquationChar">
    <w:name w:val="Equation Char"/>
    <w:link w:val="Equation"/>
    <w:locked/>
    <w:rsid w:val="00B9032B"/>
    <w:rPr>
      <w:sz w:val="24"/>
      <w:lang w:val="en-GB" w:eastAsia="en-US"/>
    </w:rPr>
  </w:style>
  <w:style w:type="character" w:customStyle="1" w:styleId="BlancChar">
    <w:name w:val="Blanc Char"/>
    <w:basedOn w:val="DefaultParagraphFont"/>
    <w:link w:val="Blanc"/>
    <w:rsid w:val="00B9032B"/>
    <w:rPr>
      <w:sz w:val="16"/>
      <w:lang w:val="en-GB" w:eastAsia="en-US"/>
    </w:rPr>
  </w:style>
  <w:style w:type="character" w:customStyle="1" w:styleId="FigureNoChar">
    <w:name w:val="Figure_No Char"/>
    <w:locked/>
    <w:rsid w:val="00B9032B"/>
    <w:rPr>
      <w:caps/>
      <w:sz w:val="18"/>
      <w:lang w:val="fr-FR" w:eastAsia="en-US"/>
    </w:rPr>
  </w:style>
  <w:style w:type="character" w:customStyle="1" w:styleId="CommentSubjectChar1">
    <w:name w:val="Comment Subject Char1"/>
    <w:basedOn w:val="CommentTextChar"/>
    <w:rsid w:val="00B9032B"/>
    <w:rPr>
      <w:rFonts w:ascii="Times New Roman" w:eastAsia="MS Mincho" w:hAnsi="Times New Roman"/>
      <w:b/>
      <w:bCs/>
      <w:lang w:val="en-GB" w:eastAsia="en-US"/>
    </w:rPr>
  </w:style>
  <w:style w:type="character" w:customStyle="1" w:styleId="PlainTextChar1">
    <w:name w:val="Plain Text Char1"/>
    <w:basedOn w:val="DefaultParagraphFont"/>
    <w:uiPriority w:val="99"/>
    <w:rsid w:val="00B9032B"/>
    <w:rPr>
      <w:rFonts w:ascii="Courier New" w:eastAsia="MS Mincho" w:hAnsi="Courier New"/>
      <w:lang w:eastAsia="en-US"/>
    </w:rPr>
  </w:style>
  <w:style w:type="table" w:customStyle="1" w:styleId="TableGrid1">
    <w:name w:val="Table Grid1"/>
    <w:basedOn w:val="TableNormal"/>
    <w:next w:val="TableGrid"/>
    <w:uiPriority w:val="99"/>
    <w:rsid w:val="00B9032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B9032B"/>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B9032B"/>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B9032B"/>
    <w:rPr>
      <w:rFonts w:ascii="Tahoma" w:eastAsia="MS Mincho" w:hAnsi="Tahoma" w:cs="Tahoma"/>
      <w:shd w:val="clear" w:color="auto" w:fill="000080"/>
      <w:lang w:eastAsia="en-US"/>
    </w:rPr>
  </w:style>
  <w:style w:type="paragraph" w:styleId="TableofFigures">
    <w:name w:val="table of figures"/>
    <w:basedOn w:val="Normal"/>
    <w:next w:val="Normal"/>
    <w:uiPriority w:val="99"/>
    <w:rsid w:val="00B9032B"/>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B9032B"/>
    <w:rPr>
      <w:rFonts w:ascii="Times" w:eastAsia="MS Mincho" w:hAnsi="Times"/>
      <w:lang w:eastAsia="en-US"/>
    </w:rPr>
  </w:style>
  <w:style w:type="table" w:styleId="LightShading-Accent1">
    <w:name w:val="Light Shading Accent 1"/>
    <w:basedOn w:val="TableNormal"/>
    <w:uiPriority w:val="60"/>
    <w:rsid w:val="00B9032B"/>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B9032B"/>
    <w:rPr>
      <w:color w:val="605E5C"/>
      <w:shd w:val="clear" w:color="auto" w:fill="E1DFDD"/>
    </w:rPr>
  </w:style>
  <w:style w:type="character" w:customStyle="1" w:styleId="AnnexNoTitleChar">
    <w:name w:val="Annex_NoTitle Char"/>
    <w:basedOn w:val="DefaultParagraphFont"/>
    <w:link w:val="AnnexNoTitle"/>
    <w:locked/>
    <w:rsid w:val="00B9032B"/>
    <w:rPr>
      <w:b/>
      <w:sz w:val="28"/>
      <w:lang w:val="en-GB" w:eastAsia="en-US"/>
    </w:rPr>
  </w:style>
  <w:style w:type="character" w:customStyle="1" w:styleId="TableNo0">
    <w:name w:val="Table_No Знак"/>
    <w:locked/>
    <w:rsid w:val="00B9032B"/>
    <w:rPr>
      <w:rFonts w:ascii="Times New Roman" w:hAnsi="Times New Roman"/>
      <w:caps/>
      <w:lang w:val="en-GB" w:eastAsia="en-US"/>
    </w:rPr>
  </w:style>
  <w:style w:type="character" w:customStyle="1" w:styleId="Tabletitle1">
    <w:name w:val="Table_title Знак"/>
    <w:locked/>
    <w:rsid w:val="00B9032B"/>
    <w:rPr>
      <w:rFonts w:ascii="Times New Roman Bold" w:hAnsi="Times New Roman Bold"/>
      <w:b/>
      <w:lang w:val="en-GB" w:eastAsia="en-US"/>
    </w:rPr>
  </w:style>
  <w:style w:type="paragraph" w:customStyle="1" w:styleId="text">
    <w:name w:val="text"/>
    <w:basedOn w:val="Normal"/>
    <w:rsid w:val="00B9032B"/>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B9032B"/>
    <w:rPr>
      <w:sz w:val="24"/>
      <w:lang w:val="en-GB" w:eastAsia="en-US"/>
    </w:rPr>
  </w:style>
  <w:style w:type="paragraph" w:customStyle="1" w:styleId="MTDisplayEquation">
    <w:name w:val="MTDisplayEquation"/>
    <w:basedOn w:val="Normal"/>
    <w:next w:val="Normal"/>
    <w:link w:val="MTDisplayEquationChar"/>
    <w:rsid w:val="00B9032B"/>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B9032B"/>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B9032B"/>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B9032B"/>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B9032B"/>
    <w:rPr>
      <w:rFonts w:ascii="Times New Roman" w:hAnsi="Times New Roman"/>
      <w:b/>
      <w:sz w:val="28"/>
      <w:lang w:val="en-GB" w:eastAsia="en-US"/>
    </w:rPr>
  </w:style>
  <w:style w:type="paragraph" w:customStyle="1" w:styleId="xl24">
    <w:name w:val="xl24"/>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B9032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B9032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B9032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B9032B"/>
    <w:rPr>
      <w:rFonts w:cs="Times New Roman"/>
      <w:lang w:val="en-US" w:eastAsia="en-US" w:bidi="ar-SA"/>
    </w:rPr>
  </w:style>
  <w:style w:type="paragraph" w:customStyle="1" w:styleId="Style0">
    <w:name w:val="Style0"/>
    <w:uiPriority w:val="99"/>
    <w:rsid w:val="00B9032B"/>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B9032B"/>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B9032B"/>
    <w:pPr>
      <w:spacing w:before="100" w:after="100" w:line="190" w:lineRule="exact"/>
      <w:ind w:left="0" w:right="0"/>
    </w:pPr>
  </w:style>
  <w:style w:type="paragraph" w:customStyle="1" w:styleId="TableLegend0">
    <w:name w:val="Table_Legend"/>
    <w:basedOn w:val="Normal"/>
    <w:next w:val="Normal"/>
    <w:uiPriority w:val="99"/>
    <w:rsid w:val="00B9032B"/>
    <w:pPr>
      <w:keepNext/>
      <w:spacing w:before="86" w:line="199" w:lineRule="exact"/>
      <w:ind w:left="-85" w:right="-85"/>
    </w:pPr>
    <w:rPr>
      <w:rFonts w:eastAsia="MS Mincho"/>
      <w:sz w:val="18"/>
    </w:rPr>
  </w:style>
  <w:style w:type="paragraph" w:customStyle="1" w:styleId="headingb0">
    <w:name w:val="heading_b"/>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B9032B"/>
    <w:pPr>
      <w:keepNext/>
      <w:keepLines/>
      <w:spacing w:before="480"/>
      <w:jc w:val="center"/>
    </w:pPr>
    <w:rPr>
      <w:rFonts w:eastAsia="MS Mincho"/>
      <w:caps/>
      <w:sz w:val="28"/>
    </w:rPr>
  </w:style>
  <w:style w:type="character" w:customStyle="1" w:styleId="Title1Carattere">
    <w:name w:val="Title 1 Carattere"/>
    <w:basedOn w:val="SourceCarattere"/>
    <w:locked/>
    <w:rsid w:val="00B9032B"/>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B9032B"/>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B9032B"/>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B9032B"/>
    <w:rPr>
      <w:rFonts w:ascii="Times New Roman" w:hAnsi="Times New Roman" w:cs="Times New Roman"/>
      <w:b/>
      <w:sz w:val="24"/>
      <w:lang w:val="en-GB" w:eastAsia="en-US"/>
    </w:rPr>
  </w:style>
  <w:style w:type="character" w:customStyle="1" w:styleId="Heading7Char1">
    <w:name w:val="Heading 7 Char1"/>
    <w:uiPriority w:val="99"/>
    <w:locked/>
    <w:rsid w:val="00B9032B"/>
    <w:rPr>
      <w:rFonts w:ascii="Times New Roman" w:hAnsi="Times New Roman" w:cs="Times New Roman"/>
      <w:b/>
      <w:sz w:val="24"/>
      <w:lang w:val="en-GB" w:eastAsia="en-US"/>
    </w:rPr>
  </w:style>
  <w:style w:type="character" w:customStyle="1" w:styleId="Heading8Char1">
    <w:name w:val="Heading 8 Char1"/>
    <w:uiPriority w:val="99"/>
    <w:locked/>
    <w:rsid w:val="00B9032B"/>
    <w:rPr>
      <w:rFonts w:ascii="Times New Roman" w:hAnsi="Times New Roman" w:cs="Times New Roman"/>
      <w:b/>
      <w:sz w:val="24"/>
      <w:lang w:val="en-GB" w:eastAsia="en-US"/>
    </w:rPr>
  </w:style>
  <w:style w:type="character" w:customStyle="1" w:styleId="Heading9Char1">
    <w:name w:val="Heading 9 Char1"/>
    <w:uiPriority w:val="99"/>
    <w:locked/>
    <w:rsid w:val="00B9032B"/>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B9032B"/>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B9032B"/>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B9032B"/>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B9032B"/>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B9032B"/>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B9032B"/>
    <w:pPr>
      <w:jc w:val="left"/>
    </w:pPr>
  </w:style>
  <w:style w:type="paragraph" w:customStyle="1" w:styleId="FigureRemark">
    <w:name w:val="Figure_Remark"/>
    <w:basedOn w:val="TableLegend0"/>
    <w:uiPriority w:val="99"/>
    <w:rsid w:val="00B9032B"/>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B9032B"/>
  </w:style>
  <w:style w:type="paragraph" w:customStyle="1" w:styleId="FigureTitle0">
    <w:name w:val="Figure_Title"/>
    <w:basedOn w:val="TableTitle0"/>
    <w:next w:val="FigureLegend0"/>
    <w:uiPriority w:val="99"/>
    <w:rsid w:val="00B9032B"/>
    <w:pPr>
      <w:spacing w:after="240"/>
    </w:pPr>
  </w:style>
  <w:style w:type="paragraph" w:customStyle="1" w:styleId="Annex">
    <w:name w:val="Annex_#"/>
    <w:basedOn w:val="Normal"/>
    <w:next w:val="AnnexRef0"/>
    <w:uiPriority w:val="99"/>
    <w:rsid w:val="00B9032B"/>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B9032B"/>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B9032B"/>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B9032B"/>
  </w:style>
  <w:style w:type="paragraph" w:customStyle="1" w:styleId="AppendixRef0">
    <w:name w:val="Appendix_Ref"/>
    <w:basedOn w:val="AnnexRef0"/>
    <w:next w:val="AppendixTitle0"/>
    <w:uiPriority w:val="99"/>
    <w:rsid w:val="00B9032B"/>
  </w:style>
  <w:style w:type="paragraph" w:customStyle="1" w:styleId="AppendixTitle0">
    <w:name w:val="Appendix_Title"/>
    <w:basedOn w:val="AnnexTitle0"/>
    <w:next w:val="Normal"/>
    <w:uiPriority w:val="99"/>
    <w:rsid w:val="00B9032B"/>
  </w:style>
  <w:style w:type="paragraph" w:customStyle="1" w:styleId="RefTitle0">
    <w:name w:val="Ref_Title"/>
    <w:basedOn w:val="Normal"/>
    <w:next w:val="RefText0"/>
    <w:uiPriority w:val="99"/>
    <w:rsid w:val="00B9032B"/>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B9032B"/>
    <w:pPr>
      <w:spacing w:before="136"/>
      <w:ind w:left="567" w:hanging="567"/>
    </w:pPr>
    <w:rPr>
      <w:rFonts w:eastAsia="MS Mincho"/>
      <w:sz w:val="18"/>
    </w:rPr>
  </w:style>
  <w:style w:type="paragraph" w:customStyle="1" w:styleId="listitem">
    <w:name w:val="listitem"/>
    <w:basedOn w:val="Normal"/>
    <w:uiPriority w:val="99"/>
    <w:rsid w:val="00B9032B"/>
    <w:pPr>
      <w:keepLines/>
      <w:spacing w:before="0"/>
      <w:jc w:val="left"/>
    </w:pPr>
    <w:rPr>
      <w:rFonts w:eastAsia="MS Mincho"/>
      <w:sz w:val="20"/>
    </w:rPr>
  </w:style>
  <w:style w:type="paragraph" w:customStyle="1" w:styleId="Rec">
    <w:name w:val="Rec_#"/>
    <w:basedOn w:val="Normal"/>
    <w:next w:val="RecTitle0"/>
    <w:uiPriority w:val="99"/>
    <w:rsid w:val="00B9032B"/>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B9032B"/>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B9032B"/>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B9032B"/>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B9032B"/>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B9032B"/>
    <w:pPr>
      <w:spacing w:before="136"/>
    </w:pPr>
    <w:rPr>
      <w:rFonts w:eastAsia="MS Mincho"/>
      <w:sz w:val="20"/>
    </w:rPr>
  </w:style>
  <w:style w:type="paragraph" w:customStyle="1" w:styleId="Section">
    <w:name w:val="Section #"/>
    <w:basedOn w:val="Normal"/>
    <w:next w:val="Sectiontitle0"/>
    <w:uiPriority w:val="99"/>
    <w:rsid w:val="00B9032B"/>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B9032B"/>
    <w:pPr>
      <w:tabs>
        <w:tab w:val="clear" w:pos="1985"/>
      </w:tabs>
      <w:spacing w:before="313"/>
      <w:outlineLvl w:val="9"/>
    </w:pPr>
    <w:rPr>
      <w:rFonts w:eastAsia="MS Mincho"/>
      <w:sz w:val="22"/>
    </w:rPr>
  </w:style>
  <w:style w:type="paragraph" w:customStyle="1" w:styleId="Line1">
    <w:name w:val="Line_1"/>
    <w:basedOn w:val="Normal"/>
    <w:next w:val="Normal"/>
    <w:uiPriority w:val="99"/>
    <w:rsid w:val="00B9032B"/>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B9032B"/>
  </w:style>
  <w:style w:type="paragraph" w:customStyle="1" w:styleId="PartRef0">
    <w:name w:val="Part_Ref"/>
    <w:basedOn w:val="AnnexRef0"/>
    <w:uiPriority w:val="99"/>
    <w:rsid w:val="00B9032B"/>
  </w:style>
  <w:style w:type="paragraph" w:customStyle="1" w:styleId="PartTitle0">
    <w:name w:val="Part_Title"/>
    <w:basedOn w:val="AnnexTitle0"/>
    <w:next w:val="Normalaftertitle0"/>
    <w:uiPriority w:val="99"/>
    <w:rsid w:val="00B9032B"/>
  </w:style>
  <w:style w:type="paragraph" w:customStyle="1" w:styleId="Rep">
    <w:name w:val="Rep_#"/>
    <w:basedOn w:val="Rec"/>
    <w:next w:val="Rep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B9032B"/>
  </w:style>
  <w:style w:type="paragraph" w:customStyle="1" w:styleId="RefDoc">
    <w:name w:val="Ref_Doc"/>
    <w:basedOn w:val="RefText0"/>
    <w:next w:val="RefText0"/>
    <w:uiPriority w:val="99"/>
    <w:rsid w:val="00B9032B"/>
    <w:pPr>
      <w:spacing w:before="227"/>
    </w:pPr>
    <w:rPr>
      <w:i/>
    </w:rPr>
  </w:style>
  <w:style w:type="paragraph" w:customStyle="1" w:styleId="Question">
    <w:name w:val="Question_#"/>
    <w:basedOn w:val="Rec"/>
    <w:next w:val="Question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B9032B"/>
  </w:style>
  <w:style w:type="paragraph" w:customStyle="1" w:styleId="Res">
    <w:name w:val="Res_#"/>
    <w:basedOn w:val="Rec"/>
    <w:next w:val="Res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B9032B"/>
  </w:style>
  <w:style w:type="paragraph" w:customStyle="1" w:styleId="Style">
    <w:name w:val="Style"/>
    <w:basedOn w:val="Normal"/>
    <w:uiPriority w:val="99"/>
    <w:rsid w:val="00B9032B"/>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B9032B"/>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B9032B"/>
    <w:pPr>
      <w:keepLines w:val="0"/>
      <w:spacing w:before="136" w:after="0"/>
    </w:pPr>
    <w:rPr>
      <w:rFonts w:eastAsia="MS Mincho"/>
      <w:caps w:val="0"/>
      <w:sz w:val="20"/>
      <w:lang w:val="en-US"/>
    </w:rPr>
  </w:style>
  <w:style w:type="paragraph" w:customStyle="1" w:styleId="Fig0">
    <w:name w:val="Fig_#"/>
    <w:basedOn w:val="Fig"/>
    <w:next w:val="Normal"/>
    <w:uiPriority w:val="99"/>
    <w:rsid w:val="00B9032B"/>
    <w:pPr>
      <w:jc w:val="left"/>
    </w:pPr>
    <w:rPr>
      <w:color w:val="FFFFFF"/>
    </w:rPr>
  </w:style>
  <w:style w:type="paragraph" w:customStyle="1" w:styleId="heading13">
    <w:name w:val="heading 13"/>
    <w:basedOn w:val="Heading3"/>
    <w:uiPriority w:val="99"/>
    <w:rsid w:val="00B9032B"/>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B9032B"/>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B9032B"/>
    <w:pPr>
      <w:tabs>
        <w:tab w:val="left" w:pos="7371"/>
      </w:tabs>
      <w:spacing w:after="560"/>
    </w:pPr>
  </w:style>
  <w:style w:type="paragraph" w:customStyle="1" w:styleId="foot">
    <w:name w:val="foot"/>
    <w:basedOn w:val="headfoot"/>
    <w:uiPriority w:val="99"/>
    <w:rsid w:val="00B9032B"/>
    <w:rPr>
      <w:lang w:val="fr-FR"/>
    </w:rPr>
  </w:style>
  <w:style w:type="paragraph" w:customStyle="1" w:styleId="TableHead0">
    <w:name w:val="Table_Head"/>
    <w:basedOn w:val="TableText0"/>
    <w:uiPriority w:val="99"/>
    <w:rsid w:val="00B903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B9032B"/>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B9032B"/>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B9032B"/>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B9032B"/>
    <w:pPr>
      <w:tabs>
        <w:tab w:val="clear" w:pos="1191"/>
        <w:tab w:val="clear" w:pos="1588"/>
      </w:tabs>
      <w:ind w:left="794" w:hanging="794"/>
      <w:jc w:val="left"/>
    </w:pPr>
    <w:rPr>
      <w:rFonts w:eastAsia="MS Mincho"/>
      <w:lang w:val="fr-FR"/>
    </w:rPr>
  </w:style>
  <w:style w:type="paragraph" w:customStyle="1" w:styleId="WP">
    <w:name w:val="WP"/>
    <w:next w:val="Normal"/>
    <w:uiPriority w:val="99"/>
    <w:rsid w:val="00B9032B"/>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B9032B"/>
    <w:rPr>
      <w:rFonts w:ascii="Times New Roman" w:eastAsia="MS Mincho" w:hAnsi="Times New Roman"/>
      <w:caps/>
      <w:lang w:val="en-GB" w:eastAsia="en-US"/>
    </w:rPr>
  </w:style>
  <w:style w:type="character" w:customStyle="1" w:styleId="NormalaftertitleCharChar">
    <w:name w:val="Normal_after_title Char Char"/>
    <w:uiPriority w:val="99"/>
    <w:locked/>
    <w:rsid w:val="00B9032B"/>
    <w:rPr>
      <w:rFonts w:cs="Times New Roman"/>
      <w:sz w:val="24"/>
      <w:lang w:val="en-GB" w:eastAsia="en-US" w:bidi="ar-SA"/>
    </w:rPr>
  </w:style>
  <w:style w:type="character" w:customStyle="1" w:styleId="enumlev1CharChar">
    <w:name w:val="enumlev1 Char Char"/>
    <w:uiPriority w:val="99"/>
    <w:locked/>
    <w:rsid w:val="00B9032B"/>
    <w:rPr>
      <w:rFonts w:cs="Times New Roman"/>
      <w:sz w:val="24"/>
      <w:lang w:val="en-GB" w:eastAsia="en-US" w:bidi="ar-SA"/>
    </w:rPr>
  </w:style>
  <w:style w:type="character" w:customStyle="1" w:styleId="CommentTextChar1">
    <w:name w:val="Comment Text Char1"/>
    <w:locked/>
    <w:rsid w:val="00B9032B"/>
    <w:rPr>
      <w:rFonts w:ascii="Times New Roman" w:hAnsi="Times New Roman" w:cs="Times New Roman"/>
      <w:lang w:val="en-GB" w:eastAsia="en-US"/>
    </w:rPr>
  </w:style>
  <w:style w:type="paragraph" w:customStyle="1" w:styleId="1CharChar">
    <w:name w:val="(文字) (文字)1 Char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B9032B"/>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B9032B"/>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B9032B"/>
    <w:rPr>
      <w:rFonts w:ascii="Century" w:hAnsi="Century" w:cs="Times New Roman"/>
      <w:kern w:val="2"/>
      <w:sz w:val="24"/>
      <w:szCs w:val="24"/>
      <w:lang w:eastAsia="ja-JP"/>
    </w:rPr>
  </w:style>
  <w:style w:type="character" w:customStyle="1" w:styleId="FootnoteCharacters">
    <w:name w:val="Footnote Characters"/>
    <w:uiPriority w:val="99"/>
    <w:rsid w:val="00B9032B"/>
    <w:rPr>
      <w:vertAlign w:val="superscript"/>
    </w:rPr>
  </w:style>
  <w:style w:type="paragraph" w:customStyle="1" w:styleId="MEP">
    <w:name w:val="MEP"/>
    <w:basedOn w:val="Normal"/>
    <w:uiPriority w:val="99"/>
    <w:rsid w:val="00B9032B"/>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B9032B"/>
    <w:rPr>
      <w:rFonts w:ascii="Arial" w:hAnsi="Arial" w:cs="Times New Roman"/>
      <w:color w:val="000000"/>
      <w:sz w:val="16"/>
      <w:lang w:eastAsia="en-US"/>
    </w:rPr>
  </w:style>
  <w:style w:type="character" w:customStyle="1" w:styleId="BodyText3Char1">
    <w:name w:val="Body Text 3 Char1"/>
    <w:uiPriority w:val="99"/>
    <w:locked/>
    <w:rsid w:val="00B9032B"/>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B9032B"/>
    <w:pPr>
      <w:keepNext/>
      <w:keepLines/>
      <w:spacing w:before="480"/>
      <w:jc w:val="center"/>
    </w:pPr>
    <w:rPr>
      <w:rFonts w:eastAsia="MS Mincho"/>
      <w:b/>
      <w:sz w:val="28"/>
    </w:rPr>
  </w:style>
  <w:style w:type="paragraph" w:customStyle="1" w:styleId="1CarCar">
    <w:name w:val="(文字) (文字)1 Car Car (文字) (文字)"/>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B9032B"/>
    <w:pPr>
      <w:autoSpaceDE w:val="0"/>
      <w:autoSpaceDN w:val="0"/>
      <w:adjustRightInd w:val="0"/>
    </w:pPr>
    <w:rPr>
      <w:rFonts w:eastAsia="SimSun"/>
      <w:color w:val="000000"/>
      <w:sz w:val="24"/>
      <w:szCs w:val="24"/>
    </w:rPr>
  </w:style>
  <w:style w:type="character" w:customStyle="1" w:styleId="2">
    <w:name w:val="(文字) (文字)2"/>
    <w:uiPriority w:val="99"/>
    <w:rsid w:val="00B9032B"/>
    <w:rPr>
      <w:rFonts w:cs="Times New Roman"/>
      <w:b/>
      <w:sz w:val="24"/>
      <w:lang w:val="en-GB" w:eastAsia="en-US" w:bidi="ar-SA"/>
    </w:rPr>
  </w:style>
  <w:style w:type="paragraph" w:customStyle="1" w:styleId="CharChar3">
    <w:name w:val="Char Char3"/>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9032B"/>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9032B"/>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B9032B"/>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B9032B"/>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B9032B"/>
    <w:pPr>
      <w:tabs>
        <w:tab w:val="clear" w:pos="2347"/>
        <w:tab w:val="num" w:pos="2880"/>
      </w:tabs>
      <w:ind w:left="2880" w:hanging="533"/>
      <w:outlineLvl w:val="4"/>
    </w:pPr>
  </w:style>
  <w:style w:type="paragraph" w:customStyle="1" w:styleId="CharChar3Char">
    <w:name w:val="Char Char3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B9032B"/>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B9032B"/>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B9032B"/>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B9032B"/>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B9032B"/>
    <w:rPr>
      <w:color w:val="0000FF"/>
    </w:rPr>
  </w:style>
  <w:style w:type="character" w:customStyle="1" w:styleId="TitleChar1">
    <w:name w:val="Title Char1"/>
    <w:uiPriority w:val="99"/>
    <w:locked/>
    <w:rsid w:val="00B9032B"/>
    <w:rPr>
      <w:rFonts w:ascii="Arial" w:hAnsi="Arial" w:cs="Times New Roman"/>
      <w:b/>
      <w:bCs/>
      <w:sz w:val="22"/>
      <w:lang w:eastAsia="en-US"/>
    </w:rPr>
  </w:style>
  <w:style w:type="paragraph" w:customStyle="1" w:styleId="covertext">
    <w:name w:val="cover text"/>
    <w:basedOn w:val="Normal"/>
    <w:uiPriority w:val="99"/>
    <w:rsid w:val="00B9032B"/>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B9032B"/>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B9032B"/>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B9032B"/>
    <w:rPr>
      <w:rFonts w:ascii="Arial" w:hAnsi="Arial" w:cs="Times New Roman"/>
      <w:b/>
      <w:bCs/>
      <w:i/>
      <w:iCs/>
      <w:sz w:val="28"/>
    </w:rPr>
  </w:style>
  <w:style w:type="paragraph" w:customStyle="1" w:styleId="picture">
    <w:name w:val="picture"/>
    <w:basedOn w:val="Normal"/>
    <w:uiPriority w:val="99"/>
    <w:rsid w:val="00B9032B"/>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B9032B"/>
    <w:pPr>
      <w:spacing w:after="120"/>
      <w:ind w:firstLine="720"/>
      <w:jc w:val="both"/>
    </w:pPr>
    <w:rPr>
      <w:i/>
      <w:lang w:val="ru-RU" w:eastAsia="ru-RU"/>
    </w:rPr>
  </w:style>
  <w:style w:type="character" w:customStyle="1" w:styleId="BodyTextItalicChar">
    <w:name w:val="Body Text Italic Char"/>
    <w:uiPriority w:val="99"/>
    <w:rsid w:val="00B9032B"/>
    <w:rPr>
      <w:rFonts w:cs="Times New Roman"/>
      <w:b/>
      <w:bCs/>
      <w:i/>
      <w:sz w:val="24"/>
      <w:szCs w:val="24"/>
      <w:lang w:val="ru-RU" w:eastAsia="ru-RU" w:bidi="ar-SA"/>
    </w:rPr>
  </w:style>
  <w:style w:type="paragraph" w:customStyle="1" w:styleId="BodyTextNoIndent">
    <w:name w:val="Body Text No Indent"/>
    <w:basedOn w:val="BodyText"/>
    <w:uiPriority w:val="99"/>
    <w:rsid w:val="00B9032B"/>
    <w:pPr>
      <w:spacing w:after="120"/>
      <w:jc w:val="both"/>
    </w:pPr>
    <w:rPr>
      <w:b w:val="0"/>
      <w:bCs w:val="0"/>
    </w:rPr>
  </w:style>
  <w:style w:type="paragraph" w:customStyle="1" w:styleId="equation0">
    <w:name w:val="equation"/>
    <w:basedOn w:val="BodyText"/>
    <w:uiPriority w:val="99"/>
    <w:rsid w:val="00B9032B"/>
    <w:pPr>
      <w:tabs>
        <w:tab w:val="center" w:pos="4680"/>
        <w:tab w:val="right" w:pos="9360"/>
      </w:tabs>
      <w:spacing w:before="120" w:after="120"/>
    </w:pPr>
    <w:rPr>
      <w:lang w:val="ru-RU" w:eastAsia="ru-RU"/>
    </w:rPr>
  </w:style>
  <w:style w:type="character" w:customStyle="1" w:styleId="equationChar0">
    <w:name w:val="equation Char"/>
    <w:uiPriority w:val="99"/>
    <w:rsid w:val="00B9032B"/>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B9032B"/>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B9032B"/>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B9032B"/>
    <w:pPr>
      <w:spacing w:before="120" w:after="240"/>
      <w:jc w:val="both"/>
    </w:pPr>
    <w:rPr>
      <w:rFonts w:ascii="Arial" w:hAnsi="Arial"/>
      <w:b w:val="0"/>
      <w:bCs w:val="0"/>
      <w:sz w:val="20"/>
    </w:rPr>
  </w:style>
  <w:style w:type="character" w:customStyle="1" w:styleId="FigurecaptionChar">
    <w:name w:val="Figure caption Char"/>
    <w:uiPriority w:val="99"/>
    <w:rsid w:val="00B9032B"/>
    <w:rPr>
      <w:rFonts w:ascii="Arial" w:hAnsi="Arial" w:cs="Times New Roman"/>
      <w:b/>
      <w:bCs/>
      <w:sz w:val="24"/>
      <w:szCs w:val="24"/>
      <w:lang w:val="en-US" w:eastAsia="en-US" w:bidi="ar-SA"/>
    </w:rPr>
  </w:style>
  <w:style w:type="paragraph" w:customStyle="1" w:styleId="ReferencesText">
    <w:name w:val="References Text"/>
    <w:basedOn w:val="BodyText"/>
    <w:uiPriority w:val="99"/>
    <w:rsid w:val="00B9032B"/>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B9032B"/>
    <w:pPr>
      <w:jc w:val="center"/>
    </w:pPr>
    <w:rPr>
      <w:rFonts w:ascii="Arial" w:hAnsi="Arial" w:cs="Arial"/>
    </w:rPr>
  </w:style>
  <w:style w:type="paragraph" w:customStyle="1" w:styleId="Char">
    <w:name w:val="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B9032B"/>
    <w:rPr>
      <w:rFonts w:cs="Times New Roman"/>
      <w:b/>
      <w:sz w:val="24"/>
      <w:lang w:val="en-GB" w:eastAsia="en-US" w:bidi="ar-SA"/>
    </w:rPr>
  </w:style>
  <w:style w:type="character" w:customStyle="1" w:styleId="TableTextChar0">
    <w:name w:val="Table_Text Char"/>
    <w:uiPriority w:val="99"/>
    <w:rsid w:val="00B9032B"/>
    <w:rPr>
      <w:rFonts w:eastAsia="MS Mincho" w:cs="Times New Roman"/>
      <w:sz w:val="22"/>
      <w:lang w:val="en-GB" w:eastAsia="en-US" w:bidi="ar-SA"/>
    </w:rPr>
  </w:style>
  <w:style w:type="paragraph" w:customStyle="1" w:styleId="CarattereCarattere">
    <w:name w:val="Carattere Carattere"/>
    <w:uiPriority w:val="99"/>
    <w:semiHidden/>
    <w:rsid w:val="00B9032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B9032B"/>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B9032B"/>
    <w:rPr>
      <w:rFonts w:cs="Times New Roman"/>
    </w:rPr>
  </w:style>
  <w:style w:type="paragraph" w:customStyle="1" w:styleId="listitem0">
    <w:name w:val="list item"/>
    <w:basedOn w:val="Normal"/>
    <w:uiPriority w:val="99"/>
    <w:rsid w:val="00B9032B"/>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9032B"/>
    <w:pPr>
      <w:ind w:left="1080"/>
    </w:pPr>
  </w:style>
  <w:style w:type="paragraph" w:customStyle="1" w:styleId="listitem3">
    <w:name w:val="list item 3"/>
    <w:basedOn w:val="listitem2"/>
    <w:uiPriority w:val="99"/>
    <w:rsid w:val="00B9032B"/>
    <w:pPr>
      <w:ind w:left="1620"/>
    </w:pPr>
  </w:style>
  <w:style w:type="paragraph" w:customStyle="1" w:styleId="ListParagraph1">
    <w:name w:val="List Paragraph1"/>
    <w:basedOn w:val="listitem0"/>
    <w:next w:val="listitem0"/>
    <w:uiPriority w:val="99"/>
    <w:rsid w:val="00B9032B"/>
    <w:pPr>
      <w:spacing w:before="200"/>
      <w:ind w:firstLine="0"/>
    </w:pPr>
  </w:style>
  <w:style w:type="paragraph" w:customStyle="1" w:styleId="listparagraph2">
    <w:name w:val="list paragraph 2"/>
    <w:basedOn w:val="listitem2"/>
    <w:next w:val="listitem2"/>
    <w:uiPriority w:val="99"/>
    <w:rsid w:val="00B9032B"/>
    <w:pPr>
      <w:spacing w:before="200"/>
      <w:ind w:firstLine="0"/>
    </w:pPr>
  </w:style>
  <w:style w:type="paragraph" w:customStyle="1" w:styleId="listparagraph3">
    <w:name w:val="list paragraph 3"/>
    <w:basedOn w:val="listitem3"/>
    <w:next w:val="listitem3"/>
    <w:uiPriority w:val="99"/>
    <w:rsid w:val="00B9032B"/>
  </w:style>
  <w:style w:type="paragraph" w:customStyle="1" w:styleId="note0">
    <w:name w:val="note"/>
    <w:basedOn w:val="Normal"/>
    <w:next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B9032B"/>
    <w:pPr>
      <w:spacing w:before="0" w:after="0"/>
      <w:jc w:val="both"/>
    </w:pPr>
  </w:style>
  <w:style w:type="paragraph" w:customStyle="1" w:styleId="computercode">
    <w:name w:val="computer code"/>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B9032B"/>
    <w:pPr>
      <w:ind w:left="900" w:hanging="900"/>
    </w:pPr>
  </w:style>
  <w:style w:type="paragraph" w:customStyle="1" w:styleId="Caption1">
    <w:name w:val="Caption1"/>
    <w:basedOn w:val="Normal"/>
    <w:link w:val="captionChar"/>
    <w:uiPriority w:val="99"/>
    <w:rsid w:val="00B9032B"/>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B9032B"/>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B9032B"/>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B9032B"/>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B9032B"/>
    <w:rPr>
      <w:rFonts w:eastAsia="Batang" w:cs="Times New Roman"/>
      <w:b/>
      <w:sz w:val="24"/>
      <w:lang w:val="en-GB" w:eastAsia="en-US" w:bidi="ar-SA"/>
    </w:rPr>
  </w:style>
  <w:style w:type="character" w:customStyle="1" w:styleId="pagetitle">
    <w:name w:val="pagetitle"/>
    <w:uiPriority w:val="99"/>
    <w:rsid w:val="00B9032B"/>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B9032B"/>
    <w:rPr>
      <w:rFonts w:cs="Times New Roman"/>
      <w:sz w:val="22"/>
      <w:lang w:val="en-GB" w:eastAsia="en-US" w:bidi="ar-SA"/>
    </w:rPr>
  </w:style>
  <w:style w:type="character" w:customStyle="1" w:styleId="Teletype">
    <w:name w:val="Teletype"/>
    <w:uiPriority w:val="99"/>
    <w:rsid w:val="00B9032B"/>
    <w:rPr>
      <w:rFonts w:ascii="Courier" w:hAnsi="Courier"/>
      <w:sz w:val="20"/>
    </w:rPr>
  </w:style>
  <w:style w:type="character" w:customStyle="1" w:styleId="captionChar">
    <w:name w:val="caption Char"/>
    <w:link w:val="Caption1"/>
    <w:uiPriority w:val="99"/>
    <w:locked/>
    <w:rsid w:val="00B9032B"/>
    <w:rPr>
      <w:rFonts w:ascii="Helvetica" w:eastAsia="MS Mincho" w:hAnsi="Helvetica"/>
      <w:b/>
      <w:lang w:eastAsia="en-US"/>
    </w:rPr>
  </w:style>
  <w:style w:type="paragraph" w:customStyle="1" w:styleId="DefTerm">
    <w:name w:val="Def Term"/>
    <w:basedOn w:val="Normal"/>
    <w:next w:val="Definition0"/>
    <w:uiPriority w:val="99"/>
    <w:rsid w:val="00B9032B"/>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B9032B"/>
    <w:rPr>
      <w:b/>
    </w:rPr>
  </w:style>
  <w:style w:type="paragraph" w:customStyle="1" w:styleId="IEEEStdsParagraph">
    <w:name w:val="IEEEStds Paragraph"/>
    <w:link w:val="IEEEStdsParagraphChar"/>
    <w:uiPriority w:val="99"/>
    <w:rsid w:val="00B9032B"/>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B9032B"/>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B9032B"/>
    <w:rPr>
      <w:rFonts w:eastAsia="MS Mincho"/>
      <w:lang w:eastAsia="en-US"/>
    </w:rPr>
  </w:style>
  <w:style w:type="character" w:customStyle="1" w:styleId="IEEEStdsParagraphChar">
    <w:name w:val="IEEEStds Paragraph Char"/>
    <w:link w:val="IEEEStdsParagraph"/>
    <w:uiPriority w:val="99"/>
    <w:locked/>
    <w:rsid w:val="00B9032B"/>
    <w:rPr>
      <w:rFonts w:eastAsia="MS Mincho"/>
      <w:sz w:val="24"/>
      <w:lang w:eastAsia="en-US"/>
    </w:rPr>
  </w:style>
  <w:style w:type="paragraph" w:customStyle="1" w:styleId="ecmsonormal">
    <w:name w:val="ec_msonormal"/>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B9032B"/>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9032B"/>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9032B"/>
    <w:rPr>
      <w:rFonts w:ascii="Arial" w:eastAsia="MS Mincho" w:hAnsi="Arial"/>
      <w:lang w:eastAsia="en-US"/>
    </w:rPr>
  </w:style>
  <w:style w:type="paragraph" w:customStyle="1" w:styleId="IEEEStdsKeywords">
    <w:name w:val="IEEEStds Keywords"/>
    <w:next w:val="IEEEStdsParagraph"/>
    <w:uiPriority w:val="99"/>
    <w:rsid w:val="00B9032B"/>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9032B"/>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B9032B"/>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9032B"/>
    <w:rPr>
      <w:b/>
    </w:rPr>
  </w:style>
  <w:style w:type="character" w:customStyle="1" w:styleId="IEEEStdsAbstractHeader">
    <w:name w:val="IEEEStds Abstract Header"/>
    <w:uiPriority w:val="99"/>
    <w:rsid w:val="00B9032B"/>
    <w:rPr>
      <w:b/>
    </w:rPr>
  </w:style>
  <w:style w:type="character" w:customStyle="1" w:styleId="IEEEStdsAbstractBodyChar">
    <w:name w:val="IEEEStds Abstract Body Char"/>
    <w:link w:val="IEEEStdsAbstractBody"/>
    <w:uiPriority w:val="99"/>
    <w:locked/>
    <w:rsid w:val="00B9032B"/>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B9032B"/>
    <w:rPr>
      <w:rFonts w:ascii="Arial" w:eastAsia="MS Mincho" w:hAnsi="Arial"/>
      <w:b/>
      <w:noProof/>
      <w:sz w:val="24"/>
      <w:lang w:eastAsia="en-US"/>
    </w:rPr>
  </w:style>
  <w:style w:type="paragraph" w:customStyle="1" w:styleId="IEEEStdsCopyrightPage3">
    <w:name w:val="IEEEStds Copyright Page 3"/>
    <w:basedOn w:val="Normal"/>
    <w:uiPriority w:val="99"/>
    <w:rsid w:val="00B9032B"/>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B9032B"/>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B9032B"/>
    <w:rPr>
      <w:rFonts w:eastAsia="MS Mincho"/>
      <w:sz w:val="18"/>
      <w:szCs w:val="18"/>
      <w:lang w:eastAsia="en-US"/>
    </w:rPr>
  </w:style>
  <w:style w:type="paragraph" w:customStyle="1" w:styleId="IEEEStdsParticipantsList">
    <w:name w:val="IEEEStds Participants List"/>
    <w:uiPriority w:val="99"/>
    <w:rsid w:val="00B9032B"/>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9032B"/>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9032B"/>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B9032B"/>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B9032B"/>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B9032B"/>
    <w:rPr>
      <w:rFonts w:ascii="Arial" w:hAnsi="Arial" w:cs="Arial"/>
      <w:color w:val="000000"/>
      <w:spacing w:val="0"/>
      <w:sz w:val="15"/>
      <w:szCs w:val="15"/>
    </w:rPr>
  </w:style>
  <w:style w:type="character" w:customStyle="1" w:styleId="enumlev10">
    <w:name w:val="enumlev1 Знак"/>
    <w:uiPriority w:val="99"/>
    <w:locked/>
    <w:rsid w:val="00B9032B"/>
    <w:rPr>
      <w:rFonts w:cs="Times New Roman"/>
      <w:sz w:val="24"/>
      <w:lang w:val="en-GB" w:eastAsia="en-US" w:bidi="ar-SA"/>
    </w:rPr>
  </w:style>
  <w:style w:type="character" w:customStyle="1" w:styleId="alias1">
    <w:name w:val="alias1"/>
    <w:uiPriority w:val="99"/>
    <w:rsid w:val="00B9032B"/>
    <w:rPr>
      <w:rFonts w:cs="Times New Roman"/>
      <w:sz w:val="20"/>
      <w:szCs w:val="20"/>
    </w:rPr>
  </w:style>
  <w:style w:type="paragraph" w:customStyle="1" w:styleId="a">
    <w:name w:val="文献"/>
    <w:basedOn w:val="BodyText"/>
    <w:uiPriority w:val="99"/>
    <w:rsid w:val="00B9032B"/>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B9032B"/>
    <w:rPr>
      <w:rFonts w:cs="Times New Roman"/>
    </w:rPr>
  </w:style>
  <w:style w:type="paragraph" w:customStyle="1" w:styleId="ListParagraph20">
    <w:name w:val="List Paragraph2"/>
    <w:basedOn w:val="listitem0"/>
    <w:next w:val="listitem0"/>
    <w:uiPriority w:val="99"/>
    <w:rsid w:val="00B9032B"/>
    <w:pPr>
      <w:spacing w:before="200"/>
      <w:ind w:firstLine="0"/>
    </w:pPr>
  </w:style>
  <w:style w:type="paragraph" w:customStyle="1" w:styleId="Title20">
    <w:name w:val="Title2"/>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B9032B"/>
    <w:pPr>
      <w:numPr>
        <w:numId w:val="18"/>
      </w:numPr>
    </w:pPr>
  </w:style>
  <w:style w:type="paragraph" w:customStyle="1" w:styleId="a0">
    <w:name w:val="+"/>
    <w:basedOn w:val="Normal"/>
    <w:rsid w:val="00B9032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B9032B"/>
    <w:rPr>
      <w:b/>
      <w:sz w:val="28"/>
      <w:lang w:val="fr-FR" w:eastAsia="en-US"/>
    </w:rPr>
  </w:style>
  <w:style w:type="paragraph" w:customStyle="1" w:styleId="a1">
    <w:name w:val="바탕글"/>
    <w:basedOn w:val="Normal"/>
    <w:rsid w:val="00B9032B"/>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B9032B"/>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B9032B"/>
    <w:rPr>
      <w:rFonts w:eastAsia="SimSun"/>
      <w:sz w:val="24"/>
      <w:szCs w:val="24"/>
      <w:lang w:val="en-AU" w:eastAsia="en-US"/>
    </w:rPr>
  </w:style>
  <w:style w:type="table" w:customStyle="1" w:styleId="5">
    <w:name w:val="网格型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B9032B"/>
    <w:rPr>
      <w:vanish w:val="0"/>
      <w:color w:val="FF0000"/>
    </w:rPr>
  </w:style>
  <w:style w:type="paragraph" w:customStyle="1" w:styleId="Paragraph0">
    <w:name w:val="Paragraph"/>
    <w:basedOn w:val="Normal"/>
    <w:autoRedefine/>
    <w:rsid w:val="00B9032B"/>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B9032B"/>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B9032B"/>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B9032B"/>
    <w:rPr>
      <w:lang w:val="fr-FR"/>
    </w:rPr>
  </w:style>
  <w:style w:type="paragraph" w:customStyle="1" w:styleId="FigureNotitle">
    <w:name w:val="Figure_No &amp; title"/>
    <w:basedOn w:val="Normal"/>
    <w:next w:val="Normalaftertitle"/>
    <w:rsid w:val="00B9032B"/>
    <w:pPr>
      <w:keepLines/>
      <w:spacing w:before="240" w:after="120"/>
      <w:jc w:val="center"/>
    </w:pPr>
    <w:rPr>
      <w:rFonts w:eastAsia="MS Mincho"/>
      <w:b/>
      <w:lang w:val="fr-FR"/>
    </w:rPr>
  </w:style>
  <w:style w:type="paragraph" w:customStyle="1" w:styleId="TableNotitle">
    <w:name w:val="Table_No &amp; title"/>
    <w:basedOn w:val="Normal"/>
    <w:next w:val="Tablehead"/>
    <w:rsid w:val="00B9032B"/>
    <w:pPr>
      <w:keepNext/>
      <w:keepLines/>
      <w:spacing w:before="360" w:after="120"/>
      <w:jc w:val="center"/>
    </w:pPr>
    <w:rPr>
      <w:rFonts w:eastAsia="MS Mincho"/>
      <w:b/>
      <w:lang w:val="fr-FR"/>
    </w:rPr>
  </w:style>
  <w:style w:type="paragraph" w:customStyle="1" w:styleId="FooterQP">
    <w:name w:val="Footer_QP"/>
    <w:basedOn w:val="Normal"/>
    <w:rsid w:val="00B9032B"/>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B9032B"/>
    <w:rPr>
      <w:lang w:val="fr-FR"/>
    </w:rPr>
  </w:style>
  <w:style w:type="paragraph" w:customStyle="1" w:styleId="ResNoBR">
    <w:name w:val="Res_No_BR"/>
    <w:basedOn w:val="RecNoBR"/>
    <w:next w:val="Restitle"/>
    <w:rsid w:val="00B9032B"/>
    <w:rPr>
      <w:lang w:val="fr-FR"/>
    </w:rPr>
  </w:style>
  <w:style w:type="paragraph" w:customStyle="1" w:styleId="TableNoBR">
    <w:name w:val="Table_No_BR"/>
    <w:basedOn w:val="Normal"/>
    <w:next w:val="TabletitleBR"/>
    <w:rsid w:val="00B9032B"/>
    <w:pPr>
      <w:keepNext/>
      <w:spacing w:before="560" w:after="120"/>
      <w:jc w:val="center"/>
    </w:pPr>
    <w:rPr>
      <w:rFonts w:eastAsia="MS Mincho"/>
      <w:caps/>
      <w:lang w:val="fr-FR"/>
    </w:rPr>
  </w:style>
  <w:style w:type="paragraph" w:customStyle="1" w:styleId="TabletitleBR">
    <w:name w:val="Table_title_BR"/>
    <w:basedOn w:val="Normal"/>
    <w:next w:val="Tablehead"/>
    <w:rsid w:val="00B9032B"/>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B9032B"/>
    <w:pPr>
      <w:keepNext w:val="0"/>
      <w:spacing w:after="480"/>
    </w:pPr>
  </w:style>
  <w:style w:type="paragraph" w:customStyle="1" w:styleId="FigureNoBR">
    <w:name w:val="Figure_No_BR"/>
    <w:basedOn w:val="Normal"/>
    <w:next w:val="FiguretitleBR"/>
    <w:rsid w:val="00B9032B"/>
    <w:pPr>
      <w:keepNext/>
      <w:keepLines/>
      <w:spacing w:before="480" w:after="120"/>
      <w:jc w:val="center"/>
    </w:pPr>
    <w:rPr>
      <w:rFonts w:eastAsia="MS Mincho"/>
      <w:caps/>
      <w:lang w:val="fr-FR"/>
    </w:rPr>
  </w:style>
  <w:style w:type="paragraph" w:customStyle="1" w:styleId="TextBody">
    <w:name w:val="Text Body"/>
    <w:basedOn w:val="Normal"/>
    <w:rsid w:val="00B9032B"/>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B9032B"/>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B9032B"/>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B9032B"/>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B9032B"/>
    <w:rPr>
      <w:sz w:val="24"/>
      <w:lang w:val="fr-FR" w:eastAsia="en-US"/>
    </w:rPr>
  </w:style>
  <w:style w:type="character" w:customStyle="1" w:styleId="EndnoteTextChar1">
    <w:name w:val="Endnote Text Char1"/>
    <w:basedOn w:val="DefaultParagraphFont"/>
    <w:semiHidden/>
    <w:rsid w:val="00B9032B"/>
    <w:rPr>
      <w:lang w:val="fr-FR" w:eastAsia="en-US"/>
    </w:rPr>
  </w:style>
  <w:style w:type="paragraph" w:customStyle="1" w:styleId="body">
    <w:name w:val="body"/>
    <w:basedOn w:val="Normal"/>
    <w:rsid w:val="00B9032B"/>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B9032B"/>
    <w:pPr>
      <w:numPr>
        <w:numId w:val="34"/>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B9032B"/>
  </w:style>
  <w:style w:type="paragraph" w:customStyle="1" w:styleId="StyleTabletext8ptRight-01cmBefore1ptAfter1">
    <w:name w:val="Style Table_text + 8 pt Right:  -0.1 cm Before:  1 pt After:  1 ..."/>
    <w:basedOn w:val="Tabletext"/>
    <w:rsid w:val="00B9032B"/>
    <w:pPr>
      <w:spacing w:before="20" w:after="20" w:line="200" w:lineRule="exact"/>
      <w:ind w:right="-57"/>
      <w:jc w:val="left"/>
    </w:pPr>
    <w:rPr>
      <w:sz w:val="16"/>
    </w:rPr>
  </w:style>
  <w:style w:type="paragraph" w:customStyle="1" w:styleId="StyleTabletext8pt">
    <w:name w:val="Style Table_text + 8 pt"/>
    <w:basedOn w:val="Tabletext"/>
    <w:rsid w:val="00B9032B"/>
    <w:pPr>
      <w:jc w:val="left"/>
    </w:pPr>
    <w:rPr>
      <w:sz w:val="16"/>
    </w:rPr>
  </w:style>
  <w:style w:type="paragraph" w:customStyle="1" w:styleId="StyleTabletext8ptBefore1ptAfter1ptLinespacing">
    <w:name w:val="Style Table_text + 8 pt Before:  1 pt After:  1 pt Line spacing:..."/>
    <w:basedOn w:val="Tabletext"/>
    <w:rsid w:val="00B9032B"/>
    <w:pPr>
      <w:spacing w:before="20" w:after="20" w:line="200" w:lineRule="exact"/>
      <w:jc w:val="left"/>
    </w:pPr>
    <w:rPr>
      <w:sz w:val="16"/>
    </w:rPr>
  </w:style>
  <w:style w:type="character" w:customStyle="1" w:styleId="EquationeqChar">
    <w:name w:val="Equation.eq Char"/>
    <w:basedOn w:val="DefaultParagraphFont"/>
    <w:locked/>
    <w:rsid w:val="00B9032B"/>
    <w:rPr>
      <w:sz w:val="24"/>
      <w:lang w:val="fr-FR" w:eastAsia="en-US"/>
    </w:rPr>
  </w:style>
  <w:style w:type="paragraph" w:styleId="ListBullet">
    <w:name w:val="List Bullet"/>
    <w:basedOn w:val="Normal"/>
    <w:rsid w:val="002722F2"/>
    <w:pPr>
      <w:tabs>
        <w:tab w:val="num" w:pos="360"/>
      </w:tabs>
      <w:ind w:left="360" w:hanging="360"/>
      <w:contextualSpacing/>
    </w:pPr>
    <w:rPr>
      <w:lang w:val="fr-FR"/>
    </w:rPr>
  </w:style>
  <w:style w:type="paragraph" w:customStyle="1" w:styleId="StyleAnnexNotitleAsianSimSun">
    <w:name w:val="Style Annex_No &amp; title + (Asian) SimSun"/>
    <w:basedOn w:val="Heading1"/>
    <w:autoRedefine/>
    <w:rsid w:val="007E01A2"/>
    <w:pPr>
      <w:tabs>
        <w:tab w:val="clear" w:pos="794"/>
      </w:tabs>
      <w:ind w:left="0" w:firstLine="0"/>
      <w:jc w:val="center"/>
      <w:textAlignment w:val="auto"/>
    </w:pPr>
    <w:rPr>
      <w:rFonts w:eastAsia="SimSun"/>
      <w:sz w:val="28"/>
      <w:lang w:val="fr-FR"/>
    </w:rPr>
  </w:style>
  <w:style w:type="paragraph" w:customStyle="1" w:styleId="tbalef">
    <w:name w:val="tbale_f"/>
    <w:basedOn w:val="Normal"/>
    <w:rsid w:val="003A3EF6"/>
    <w:pPr>
      <w:spacing w:before="240"/>
    </w:pPr>
    <w:rPr>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38388">
      <w:bodyDiv w:val="1"/>
      <w:marLeft w:val="0"/>
      <w:marRight w:val="0"/>
      <w:marTop w:val="0"/>
      <w:marBottom w:val="0"/>
      <w:divBdr>
        <w:top w:val="none" w:sz="0" w:space="0" w:color="auto"/>
        <w:left w:val="none" w:sz="0" w:space="0" w:color="auto"/>
        <w:bottom w:val="none" w:sz="0" w:space="0" w:color="auto"/>
        <w:right w:val="none" w:sz="0" w:space="0" w:color="auto"/>
      </w:divBdr>
    </w:div>
    <w:div w:id="820537630">
      <w:bodyDiv w:val="1"/>
      <w:marLeft w:val="0"/>
      <w:marRight w:val="0"/>
      <w:marTop w:val="0"/>
      <w:marBottom w:val="0"/>
      <w:divBdr>
        <w:top w:val="none" w:sz="0" w:space="0" w:color="auto"/>
        <w:left w:val="none" w:sz="0" w:space="0" w:color="auto"/>
        <w:bottom w:val="none" w:sz="0" w:space="0" w:color="auto"/>
        <w:right w:val="none" w:sz="0" w:space="0" w:color="auto"/>
      </w:divBdr>
    </w:div>
    <w:div w:id="917055124">
      <w:bodyDiv w:val="1"/>
      <w:marLeft w:val="0"/>
      <w:marRight w:val="0"/>
      <w:marTop w:val="0"/>
      <w:marBottom w:val="0"/>
      <w:divBdr>
        <w:top w:val="none" w:sz="0" w:space="0" w:color="auto"/>
        <w:left w:val="none" w:sz="0" w:space="0" w:color="auto"/>
        <w:bottom w:val="none" w:sz="0" w:space="0" w:color="auto"/>
        <w:right w:val="none" w:sz="0" w:space="0" w:color="auto"/>
      </w:divBdr>
    </w:div>
    <w:div w:id="1099719082">
      <w:bodyDiv w:val="1"/>
      <w:marLeft w:val="0"/>
      <w:marRight w:val="0"/>
      <w:marTop w:val="0"/>
      <w:marBottom w:val="0"/>
      <w:divBdr>
        <w:top w:val="none" w:sz="0" w:space="0" w:color="auto"/>
        <w:left w:val="none" w:sz="0" w:space="0" w:color="auto"/>
        <w:bottom w:val="none" w:sz="0" w:space="0" w:color="auto"/>
        <w:right w:val="none" w:sz="0" w:space="0" w:color="auto"/>
      </w:divBdr>
    </w:div>
    <w:div w:id="1949464750">
      <w:bodyDiv w:val="1"/>
      <w:marLeft w:val="0"/>
      <w:marRight w:val="0"/>
      <w:marTop w:val="0"/>
      <w:marBottom w:val="0"/>
      <w:divBdr>
        <w:top w:val="none" w:sz="0" w:space="0" w:color="auto"/>
        <w:left w:val="none" w:sz="0" w:space="0" w:color="auto"/>
        <w:bottom w:val="none" w:sz="0" w:space="0" w:color="auto"/>
        <w:right w:val="none" w:sz="0" w:space="0" w:color="auto"/>
      </w:divBdr>
    </w:div>
    <w:div w:id="20139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C/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Props1.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3.xml><?xml version="1.0" encoding="utf-8"?>
<ds:datastoreItem xmlns:ds="http://schemas.openxmlformats.org/officeDocument/2006/customXml" ds:itemID="{6703F4BC-4B28-4A94-BF77-AB38BDFCD837}">
  <ds:schemaRefs>
    <ds:schemaRef ds:uri="http://schemas.openxmlformats.org/officeDocument/2006/bibliography"/>
  </ds:schemaRefs>
</ds:datastoreItem>
</file>

<file path=customXml/itemProps4.xml><?xml version="1.0" encoding="utf-8"?>
<ds:datastoreItem xmlns:ds="http://schemas.openxmlformats.org/officeDocument/2006/customXml" ds:itemID="{41142CDF-5493-48E3-B693-B2DD2F957573}">
  <ds:schemaRefs>
    <ds:schemaRef ds:uri="4c6a61cb-1973-4fc6-92ae-f4d7a4471404"/>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cb6b58c-b914-4d07-b93f-e162996dcb8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BR_Rec_2005.dotm</Template>
  <TotalTime>25</TotalTime>
  <Pages>11</Pages>
  <Words>3822</Words>
  <Characters>20580</Characters>
  <Application>Microsoft Office Word</Application>
  <DocSecurity>0</DocSecurity>
  <Lines>935</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Recommendation UIT-R BT.2163-0 (11/2023) - Algorithme de mesure objective pour l'évaluation de la brillance de la télévision à grande plage dynamique</vt:lpstr>
      <vt:lpstr>Recommendation ITU-R BT.2163-0 (11/2023) - Objective measurement algorithm for evaluation of the brightness of high dynamic range television</vt:lpstr>
    </vt:vector>
  </TitlesOfParts>
  <Company>ITU</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SA.2079-1 (12/2023) - Partage de fréquences entre les systèmes du service de recherche spatiale et du service fixe par satellite (espace vers Terre) dans la bande 37,5 38 GHz</dc:title>
  <dc:creator>Gachet, Christelle</dc:creator>
  <cp:lastModifiedBy>Gachet, Christelle</cp:lastModifiedBy>
  <cp:revision>11</cp:revision>
  <cp:lastPrinted>2024-11-19T12:19:00Z</cp:lastPrinted>
  <dcterms:created xsi:type="dcterms:W3CDTF">2024-11-19T11:49:00Z</dcterms:created>
  <dcterms:modified xsi:type="dcterms:W3CDTF">2024-11-19T12:20:00Z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