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B0750" w:rsidRDefault="00FE79FE">
      <w:pPr>
        <w:rPr>
          <w:lang w:val="ru-RU"/>
        </w:rPr>
      </w:pPr>
    </w:p>
    <w:p w:rsidR="00FE79FE" w:rsidRPr="004B0750" w:rsidRDefault="00FE79FE">
      <w:pPr>
        <w:rPr>
          <w:lang w:val="ru-RU"/>
        </w:rPr>
      </w:pPr>
    </w:p>
    <w:p w:rsidR="00FE79FE" w:rsidRPr="004B0750" w:rsidRDefault="00FE79FE">
      <w:pPr>
        <w:rPr>
          <w:lang w:val="ru-RU"/>
        </w:rPr>
      </w:pPr>
    </w:p>
    <w:p w:rsidR="00FE79FE" w:rsidRPr="004B0750" w:rsidRDefault="00FE79FE">
      <w:pPr>
        <w:rPr>
          <w:lang w:val="ru-RU"/>
        </w:rPr>
      </w:pPr>
    </w:p>
    <w:p w:rsidR="00FE79FE" w:rsidRPr="004B0750" w:rsidRDefault="00FE79FE">
      <w:pPr>
        <w:rPr>
          <w:lang w:val="ru-RU"/>
        </w:rPr>
      </w:pPr>
    </w:p>
    <w:p w:rsidR="00013002" w:rsidRPr="004B0750" w:rsidRDefault="00013002">
      <w:pPr>
        <w:rPr>
          <w:lang w:val="ru-RU"/>
        </w:rPr>
      </w:pPr>
    </w:p>
    <w:p w:rsidR="00013002" w:rsidRPr="004B0750" w:rsidRDefault="00013002">
      <w:pPr>
        <w:rPr>
          <w:lang w:val="ru-RU"/>
        </w:rPr>
      </w:pPr>
    </w:p>
    <w:p w:rsidR="00013002" w:rsidRPr="004B0750" w:rsidRDefault="00013002">
      <w:pPr>
        <w:rPr>
          <w:lang w:val="ru-RU"/>
        </w:rPr>
      </w:pPr>
    </w:p>
    <w:p w:rsidR="00FE79FE" w:rsidRPr="004B0750" w:rsidRDefault="00FE79FE">
      <w:pPr>
        <w:rPr>
          <w:lang w:val="ru-RU"/>
        </w:rPr>
      </w:pPr>
    </w:p>
    <w:p w:rsidR="00FE79FE" w:rsidRPr="004B0750" w:rsidRDefault="00FE79FE">
      <w:pPr>
        <w:rPr>
          <w:lang w:val="ru-RU"/>
        </w:rPr>
      </w:pPr>
    </w:p>
    <w:p w:rsidR="00FE79FE" w:rsidRPr="004B0750" w:rsidRDefault="00FE79FE">
      <w:pPr>
        <w:rPr>
          <w:lang w:val="ru-RU"/>
        </w:rPr>
      </w:pPr>
    </w:p>
    <w:tbl>
      <w:tblPr>
        <w:tblW w:w="10089" w:type="dxa"/>
        <w:tblLook w:val="01E0" w:firstRow="1" w:lastRow="1" w:firstColumn="1" w:lastColumn="1" w:noHBand="0" w:noVBand="0"/>
      </w:tblPr>
      <w:tblGrid>
        <w:gridCol w:w="10089"/>
      </w:tblGrid>
      <w:tr w:rsidR="00FE79FE" w:rsidRPr="004B0750">
        <w:tc>
          <w:tcPr>
            <w:tcW w:w="10089" w:type="dxa"/>
          </w:tcPr>
          <w:p w:rsidR="00276D21" w:rsidRPr="004B0750" w:rsidRDefault="00276D21" w:rsidP="00013002">
            <w:pPr>
              <w:spacing w:before="380" w:line="280" w:lineRule="exact"/>
              <w:jc w:val="right"/>
              <w:rPr>
                <w:rFonts w:ascii="Tahoma" w:hAnsi="Tahoma" w:cs="Tahoma"/>
                <w:b/>
                <w:bCs/>
                <w:iCs/>
                <w:color w:val="243285"/>
                <w:sz w:val="32"/>
                <w:szCs w:val="32"/>
                <w:lang w:val="ru-RU"/>
              </w:rPr>
            </w:pPr>
          </w:p>
          <w:p w:rsidR="00FE79FE" w:rsidRPr="006C7EE5" w:rsidRDefault="00131900" w:rsidP="00FC4C8B">
            <w:pPr>
              <w:spacing w:before="380" w:line="280" w:lineRule="exact"/>
              <w:jc w:val="right"/>
              <w:rPr>
                <w:rFonts w:ascii="Tahoma" w:hAnsi="Tahoma" w:cs="Tahoma"/>
                <w:b/>
                <w:bCs/>
                <w:iCs/>
                <w:color w:val="243285"/>
                <w:sz w:val="36"/>
                <w:szCs w:val="36"/>
                <w:lang w:val="en-US"/>
              </w:rPr>
            </w:pPr>
            <w:r w:rsidRPr="004B0750">
              <w:rPr>
                <w:rFonts w:ascii="Tahoma" w:hAnsi="Tahoma" w:cs="Tahoma"/>
                <w:b/>
                <w:bCs/>
                <w:iCs/>
                <w:color w:val="243285"/>
                <w:sz w:val="36"/>
                <w:szCs w:val="36"/>
                <w:lang w:val="ru-RU"/>
              </w:rPr>
              <w:t>Рекомендация  МСЭ</w:t>
            </w:r>
            <w:r w:rsidR="00FE79FE" w:rsidRPr="004B0750">
              <w:rPr>
                <w:rFonts w:ascii="Tahoma" w:hAnsi="Tahoma" w:cs="Tahoma"/>
                <w:b/>
                <w:bCs/>
                <w:iCs/>
                <w:color w:val="243285"/>
                <w:sz w:val="36"/>
                <w:szCs w:val="36"/>
                <w:lang w:val="ru-RU"/>
              </w:rPr>
              <w:t xml:space="preserve">-R  </w:t>
            </w:r>
            <w:r w:rsidR="00123EC7" w:rsidRPr="004B0750">
              <w:rPr>
                <w:rFonts w:ascii="Tahoma" w:hAnsi="Tahoma" w:cs="Tahoma"/>
                <w:b/>
                <w:bCs/>
                <w:iCs/>
                <w:color w:val="243285"/>
                <w:sz w:val="36"/>
                <w:szCs w:val="36"/>
                <w:lang w:val="ru-RU"/>
              </w:rPr>
              <w:t>SA.2045</w:t>
            </w:r>
            <w:r w:rsidR="006C7EE5">
              <w:rPr>
                <w:rFonts w:ascii="Tahoma" w:hAnsi="Tahoma" w:cs="Tahoma"/>
                <w:b/>
                <w:bCs/>
                <w:iCs/>
                <w:color w:val="243285"/>
                <w:sz w:val="36"/>
                <w:szCs w:val="36"/>
                <w:lang w:val="en-US"/>
              </w:rPr>
              <w:t>-0</w:t>
            </w:r>
          </w:p>
          <w:p w:rsidR="00FE79FE" w:rsidRPr="00FC01C1" w:rsidRDefault="00FE79FE" w:rsidP="006114CA">
            <w:pPr>
              <w:spacing w:before="80" w:line="280" w:lineRule="exact"/>
              <w:jc w:val="right"/>
              <w:rPr>
                <w:rFonts w:ascii="Tahoma" w:hAnsi="Tahoma" w:cs="Tahoma"/>
                <w:b/>
                <w:bCs/>
                <w:iCs/>
                <w:color w:val="243285"/>
                <w:sz w:val="24"/>
                <w:szCs w:val="24"/>
                <w:lang w:val="ru-RU"/>
              </w:rPr>
            </w:pPr>
            <w:r w:rsidRPr="00FC01C1">
              <w:rPr>
                <w:rFonts w:ascii="Tahoma" w:hAnsi="Tahoma" w:cs="Tahoma"/>
                <w:b/>
                <w:bCs/>
                <w:iCs/>
                <w:color w:val="243285"/>
                <w:sz w:val="24"/>
                <w:szCs w:val="24"/>
                <w:lang w:val="ru-RU"/>
              </w:rPr>
              <w:t>(</w:t>
            </w:r>
            <w:r w:rsidR="00123EC7" w:rsidRPr="00FC01C1">
              <w:rPr>
                <w:rFonts w:ascii="Tahoma" w:hAnsi="Tahoma" w:cs="Tahoma"/>
                <w:b/>
                <w:bCs/>
                <w:iCs/>
                <w:color w:val="243285"/>
                <w:sz w:val="24"/>
                <w:szCs w:val="24"/>
                <w:lang w:val="ru-RU"/>
              </w:rPr>
              <w:t>12/2013</w:t>
            </w:r>
            <w:r w:rsidRPr="00FC01C1">
              <w:rPr>
                <w:rFonts w:ascii="Tahoma" w:hAnsi="Tahoma" w:cs="Tahoma"/>
                <w:b/>
                <w:bCs/>
                <w:iCs/>
                <w:color w:val="243285"/>
                <w:sz w:val="24"/>
                <w:szCs w:val="24"/>
                <w:lang w:val="ru-RU"/>
              </w:rPr>
              <w:t>)</w:t>
            </w:r>
          </w:p>
        </w:tc>
      </w:tr>
      <w:tr w:rsidR="00FE79FE" w:rsidRPr="003C78DD">
        <w:tc>
          <w:tcPr>
            <w:tcW w:w="10089" w:type="dxa"/>
          </w:tcPr>
          <w:p w:rsidR="00013002" w:rsidRPr="004B0750" w:rsidRDefault="00013002" w:rsidP="00FE79FE">
            <w:pPr>
              <w:spacing w:before="80" w:line="500" w:lineRule="exact"/>
              <w:jc w:val="right"/>
              <w:rPr>
                <w:rFonts w:ascii="Tahoma" w:hAnsi="Tahoma" w:cs="Tahoma"/>
                <w:b/>
                <w:bCs/>
                <w:iCs/>
                <w:color w:val="243285"/>
                <w:sz w:val="44"/>
                <w:szCs w:val="44"/>
                <w:lang w:val="ru-RU"/>
              </w:rPr>
            </w:pPr>
          </w:p>
          <w:p w:rsidR="00FE79FE" w:rsidRPr="00FC01C1" w:rsidRDefault="00123EC7" w:rsidP="00F76900">
            <w:pPr>
              <w:spacing w:before="80" w:line="500" w:lineRule="exact"/>
              <w:jc w:val="right"/>
              <w:rPr>
                <w:rFonts w:ascii="Tahoma" w:hAnsi="Tahoma" w:cs="Tahoma"/>
                <w:b/>
                <w:bCs/>
                <w:iCs/>
                <w:color w:val="243285"/>
                <w:sz w:val="44"/>
                <w:szCs w:val="44"/>
                <w:lang w:val="ru-RU"/>
              </w:rPr>
            </w:pPr>
            <w:r w:rsidRPr="00FC01C1">
              <w:rPr>
                <w:rFonts w:ascii="Tahoma" w:hAnsi="Tahoma" w:cs="Tahoma"/>
                <w:b/>
                <w:bCs/>
                <w:iCs/>
                <w:color w:val="243285"/>
                <w:sz w:val="44"/>
                <w:szCs w:val="44"/>
                <w:lang w:val="ru-RU"/>
              </w:rPr>
              <w:t xml:space="preserve">Базовое общее разделение и </w:t>
            </w:r>
            <w:r w:rsidR="00FC01C1">
              <w:rPr>
                <w:rFonts w:ascii="Tahoma" w:hAnsi="Tahoma" w:cs="Tahoma"/>
                <w:b/>
                <w:bCs/>
                <w:iCs/>
                <w:color w:val="243285"/>
                <w:sz w:val="44"/>
                <w:szCs w:val="44"/>
                <w:lang w:val="ru-RU"/>
              </w:rPr>
              <w:br/>
            </w:r>
            <w:r w:rsidRPr="00FC01C1">
              <w:rPr>
                <w:rFonts w:ascii="Tahoma" w:hAnsi="Tahoma" w:cs="Tahoma"/>
                <w:b/>
                <w:bCs/>
                <w:iCs/>
                <w:color w:val="243285"/>
                <w:sz w:val="44"/>
                <w:szCs w:val="44"/>
                <w:lang w:val="ru-RU"/>
              </w:rPr>
              <w:t xml:space="preserve">условия совместного использования </w:t>
            </w:r>
            <w:r w:rsidR="00FC01C1">
              <w:rPr>
                <w:rFonts w:ascii="Tahoma" w:hAnsi="Tahoma" w:cs="Tahoma"/>
                <w:b/>
                <w:bCs/>
                <w:iCs/>
                <w:color w:val="243285"/>
                <w:sz w:val="44"/>
                <w:szCs w:val="44"/>
                <w:lang w:val="ru-RU"/>
              </w:rPr>
              <w:br/>
            </w:r>
            <w:r w:rsidRPr="00FC01C1">
              <w:rPr>
                <w:rFonts w:ascii="Tahoma" w:hAnsi="Tahoma" w:cs="Tahoma"/>
                <w:b/>
                <w:bCs/>
                <w:iCs/>
                <w:color w:val="243285"/>
                <w:sz w:val="44"/>
                <w:szCs w:val="44"/>
                <w:lang w:val="ru-RU"/>
              </w:rPr>
              <w:t>полосы 401−403 МГц для будущего долгосрочного скоординированного применения систем сбора данных на геостационарных и негеостационарных системах МетСат и спутниковой службы исследования Земли</w:t>
            </w:r>
          </w:p>
          <w:p w:rsidR="00A62A14" w:rsidRPr="004B0750" w:rsidRDefault="00A62A14" w:rsidP="00FE79FE">
            <w:pPr>
              <w:spacing w:before="80" w:line="500" w:lineRule="exact"/>
              <w:jc w:val="right"/>
              <w:rPr>
                <w:rFonts w:ascii="Tahoma" w:hAnsi="Tahoma" w:cs="Tahoma"/>
                <w:b/>
                <w:bCs/>
                <w:iCs/>
                <w:color w:val="243285"/>
                <w:sz w:val="40"/>
                <w:szCs w:val="40"/>
                <w:lang w:val="ru-RU"/>
              </w:rPr>
            </w:pPr>
          </w:p>
        </w:tc>
      </w:tr>
      <w:tr w:rsidR="00FE79FE" w:rsidRPr="003C78DD">
        <w:tc>
          <w:tcPr>
            <w:tcW w:w="10089" w:type="dxa"/>
          </w:tcPr>
          <w:p w:rsidR="00276D21" w:rsidRPr="004B0750" w:rsidRDefault="00276D21" w:rsidP="00013002">
            <w:pPr>
              <w:spacing w:before="80" w:after="180" w:line="360" w:lineRule="exact"/>
              <w:jc w:val="right"/>
              <w:rPr>
                <w:rFonts w:ascii="Tahoma" w:hAnsi="Tahoma" w:cs="Tahoma"/>
                <w:b/>
                <w:bCs/>
                <w:iCs/>
                <w:color w:val="243285"/>
                <w:sz w:val="36"/>
                <w:szCs w:val="36"/>
                <w:lang w:val="ru-RU"/>
              </w:rPr>
            </w:pPr>
          </w:p>
          <w:p w:rsidR="00013002" w:rsidRPr="004B0750" w:rsidRDefault="00131900" w:rsidP="006114CA">
            <w:pPr>
              <w:spacing w:before="80" w:after="180" w:line="360" w:lineRule="exact"/>
              <w:jc w:val="right"/>
              <w:rPr>
                <w:rFonts w:ascii="Tahoma" w:hAnsi="Tahoma" w:cs="Tahoma"/>
                <w:b/>
                <w:bCs/>
                <w:iCs/>
                <w:color w:val="243285"/>
                <w:sz w:val="36"/>
                <w:szCs w:val="36"/>
                <w:lang w:val="ru-RU"/>
              </w:rPr>
            </w:pPr>
            <w:r w:rsidRPr="004B0750">
              <w:rPr>
                <w:rFonts w:ascii="Tahoma" w:hAnsi="Tahoma" w:cs="Tahoma"/>
                <w:b/>
                <w:bCs/>
                <w:iCs/>
                <w:color w:val="243285"/>
                <w:sz w:val="36"/>
                <w:szCs w:val="36"/>
                <w:lang w:val="ru-RU"/>
              </w:rPr>
              <w:t xml:space="preserve">Серия </w:t>
            </w:r>
            <w:r w:rsidR="00A62A14" w:rsidRPr="004B0750">
              <w:rPr>
                <w:rFonts w:ascii="Tahoma" w:hAnsi="Tahoma" w:cs="Tahoma"/>
                <w:b/>
                <w:bCs/>
                <w:iCs/>
                <w:color w:val="243285"/>
                <w:sz w:val="36"/>
                <w:szCs w:val="36"/>
                <w:lang w:val="ru-RU"/>
              </w:rPr>
              <w:t>S</w:t>
            </w:r>
            <w:r w:rsidR="006114CA" w:rsidRPr="004B0750">
              <w:rPr>
                <w:rFonts w:ascii="Tahoma" w:hAnsi="Tahoma" w:cs="Tahoma"/>
                <w:b/>
                <w:bCs/>
                <w:iCs/>
                <w:color w:val="243285"/>
                <w:sz w:val="36"/>
                <w:szCs w:val="36"/>
                <w:lang w:val="ru-RU"/>
              </w:rPr>
              <w:t>A</w:t>
            </w:r>
          </w:p>
          <w:p w:rsidR="00FE79FE" w:rsidRPr="004B0750" w:rsidRDefault="006114CA" w:rsidP="006114CA">
            <w:pPr>
              <w:spacing w:before="80" w:after="180" w:line="360" w:lineRule="exact"/>
              <w:jc w:val="right"/>
              <w:rPr>
                <w:rFonts w:ascii="Tahoma" w:hAnsi="Tahoma" w:cs="Tahoma"/>
                <w:b/>
                <w:bCs/>
                <w:iCs/>
                <w:color w:val="243285"/>
                <w:sz w:val="36"/>
                <w:szCs w:val="36"/>
                <w:lang w:val="ru-RU"/>
              </w:rPr>
            </w:pPr>
            <w:r w:rsidRPr="004B0750">
              <w:rPr>
                <w:rFonts w:ascii="Tahoma" w:hAnsi="Tahoma" w:cs="Tahoma"/>
                <w:b/>
                <w:bCs/>
                <w:iCs/>
                <w:color w:val="243285"/>
                <w:sz w:val="36"/>
                <w:szCs w:val="36"/>
                <w:lang w:val="ru-RU"/>
              </w:rPr>
              <w:t>Космические применения и метеорология</w:t>
            </w:r>
          </w:p>
          <w:p w:rsidR="00FE79FE" w:rsidRPr="004B0750" w:rsidRDefault="00FE79FE" w:rsidP="00FE79FE">
            <w:pPr>
              <w:spacing w:before="80" w:line="360" w:lineRule="exact"/>
              <w:jc w:val="right"/>
              <w:rPr>
                <w:rFonts w:ascii="Tahoma" w:hAnsi="Tahoma" w:cs="Tahoma"/>
                <w:b/>
                <w:bCs/>
                <w:iCs/>
                <w:color w:val="243285"/>
                <w:sz w:val="32"/>
                <w:szCs w:val="32"/>
                <w:lang w:val="ru-RU"/>
              </w:rPr>
            </w:pPr>
          </w:p>
        </w:tc>
      </w:tr>
    </w:tbl>
    <w:p w:rsidR="00FE79FE" w:rsidRPr="004B0750" w:rsidRDefault="00FE79FE" w:rsidP="00CD659B">
      <w:pPr>
        <w:spacing w:before="80"/>
        <w:rPr>
          <w:i/>
          <w:lang w:val="ru-RU"/>
        </w:rPr>
      </w:pPr>
    </w:p>
    <w:p w:rsidR="00A71FE5" w:rsidRPr="004B0750" w:rsidRDefault="00A71FE5" w:rsidP="00CD659B">
      <w:pPr>
        <w:spacing w:before="80"/>
        <w:rPr>
          <w:i/>
          <w:lang w:val="ru-RU"/>
        </w:rPr>
      </w:pPr>
    </w:p>
    <w:p w:rsidR="00CD659B" w:rsidRPr="004B075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B0750">
          <w:headerReference w:type="even" r:id="rId8"/>
          <w:headerReference w:type="default" r:id="rId9"/>
          <w:pgSz w:w="11907" w:h="16840" w:code="9"/>
          <w:pgMar w:top="1089" w:right="1089" w:bottom="284" w:left="1089" w:header="567" w:footer="284" w:gutter="0"/>
          <w:pgNumType w:start="1"/>
          <w:cols w:space="720"/>
        </w:sectPr>
      </w:pPr>
    </w:p>
    <w:p w:rsidR="00F05137" w:rsidRPr="004B0750" w:rsidRDefault="00F05137" w:rsidP="00F05137">
      <w:pPr>
        <w:spacing w:before="0"/>
        <w:jc w:val="center"/>
        <w:rPr>
          <w:b/>
          <w:bCs/>
          <w:szCs w:val="22"/>
          <w:lang w:val="ru-RU"/>
        </w:rPr>
      </w:pPr>
      <w:bookmarkStart w:id="0" w:name="c2tope"/>
      <w:bookmarkEnd w:id="0"/>
      <w:r w:rsidRPr="004B0750">
        <w:rPr>
          <w:b/>
          <w:bCs/>
          <w:szCs w:val="22"/>
          <w:lang w:val="ru-RU"/>
        </w:rPr>
        <w:lastRenderedPageBreak/>
        <w:t>Предисловие</w:t>
      </w:r>
    </w:p>
    <w:p w:rsidR="00F05137" w:rsidRPr="004B0750" w:rsidRDefault="00F05137" w:rsidP="00F05137">
      <w:pPr>
        <w:rPr>
          <w:sz w:val="20"/>
          <w:lang w:val="ru-RU"/>
        </w:rPr>
      </w:pPr>
      <w:r w:rsidRPr="004B075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4B0750" w:rsidRDefault="00F05137" w:rsidP="00F05137">
      <w:pPr>
        <w:rPr>
          <w:sz w:val="20"/>
          <w:lang w:val="ru-RU"/>
        </w:rPr>
      </w:pPr>
      <w:r w:rsidRPr="004B075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05137" w:rsidRPr="004B0750" w:rsidRDefault="00F05137" w:rsidP="00F05137">
      <w:pPr>
        <w:spacing w:before="360"/>
        <w:jc w:val="center"/>
        <w:rPr>
          <w:b/>
          <w:bCs/>
          <w:szCs w:val="22"/>
          <w:lang w:val="ru-RU"/>
        </w:rPr>
      </w:pPr>
      <w:r w:rsidRPr="004B0750">
        <w:rPr>
          <w:b/>
          <w:bCs/>
          <w:szCs w:val="22"/>
          <w:lang w:val="ru-RU"/>
        </w:rPr>
        <w:t>Политика в области прав интеллектуальной собственности (ПИС)</w:t>
      </w:r>
    </w:p>
    <w:p w:rsidR="00F05137" w:rsidRPr="004B0750" w:rsidRDefault="00F05137" w:rsidP="0094477C">
      <w:pPr>
        <w:rPr>
          <w:sz w:val="20"/>
          <w:lang w:val="ru-RU"/>
        </w:rPr>
      </w:pPr>
      <w:r w:rsidRPr="004B075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4477C" w:rsidRPr="004B0750">
        <w:rPr>
          <w:sz w:val="20"/>
          <w:lang w:val="ru-RU"/>
        </w:rPr>
        <w:t xml:space="preserve"> 1</w:t>
      </w:r>
      <w:r w:rsidRPr="004B075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B0750">
          <w:rPr>
            <w:rStyle w:val="Hyperlink"/>
            <w:rFonts w:eastAsia="SimSun"/>
            <w:sz w:val="20"/>
            <w:lang w:val="ru-RU"/>
          </w:rPr>
          <w:t>http://www.itu.int/ITU-R/go/patents/en</w:t>
        </w:r>
      </w:hyperlink>
      <w:r w:rsidRPr="004B075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4B0750"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3C78DD" w:rsidTr="00D40BEE">
        <w:trPr>
          <w:jc w:val="center"/>
        </w:trPr>
        <w:tc>
          <w:tcPr>
            <w:tcW w:w="8856" w:type="dxa"/>
            <w:gridSpan w:val="2"/>
          </w:tcPr>
          <w:p w:rsidR="00F05137" w:rsidRPr="004B0750" w:rsidRDefault="00F05137" w:rsidP="00D40BEE">
            <w:pPr>
              <w:spacing w:before="180"/>
              <w:jc w:val="center"/>
              <w:rPr>
                <w:b/>
                <w:bCs/>
                <w:szCs w:val="22"/>
                <w:lang w:val="ru-RU"/>
              </w:rPr>
            </w:pPr>
            <w:r w:rsidRPr="004B0750">
              <w:rPr>
                <w:b/>
                <w:bCs/>
                <w:szCs w:val="22"/>
                <w:lang w:val="ru-RU"/>
              </w:rPr>
              <w:t>Серии Рекомендаций МСЭ-R</w:t>
            </w:r>
          </w:p>
          <w:p w:rsidR="00F05137" w:rsidRPr="004B0750" w:rsidRDefault="00F05137" w:rsidP="00D40BEE">
            <w:pPr>
              <w:spacing w:after="240"/>
              <w:jc w:val="center"/>
              <w:rPr>
                <w:rFonts w:eastAsia="SimSun"/>
                <w:sz w:val="18"/>
                <w:szCs w:val="18"/>
                <w:lang w:val="ru-RU" w:eastAsia="zh-CN"/>
              </w:rPr>
            </w:pPr>
            <w:r w:rsidRPr="004B0750">
              <w:rPr>
                <w:sz w:val="18"/>
                <w:szCs w:val="18"/>
                <w:lang w:val="ru-RU"/>
              </w:rPr>
              <w:t xml:space="preserve">(Представлены также в онлайновой форме по адресу: </w:t>
            </w:r>
            <w:hyperlink r:id="rId11" w:history="1">
              <w:r w:rsidRPr="004B0750">
                <w:rPr>
                  <w:rStyle w:val="Hyperlink"/>
                  <w:sz w:val="18"/>
                  <w:lang w:val="ru-RU"/>
                </w:rPr>
                <w:t>http://www.itu.int/publ/R-REC/en</w:t>
              </w:r>
            </w:hyperlink>
            <w:r w:rsidRPr="004B0750">
              <w:rPr>
                <w:sz w:val="18"/>
                <w:szCs w:val="18"/>
                <w:lang w:val="ru-RU"/>
              </w:rPr>
              <w:t>.)</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Серия</w:t>
            </w:r>
          </w:p>
        </w:tc>
        <w:tc>
          <w:tcPr>
            <w:tcW w:w="7668" w:type="dxa"/>
          </w:tcPr>
          <w:p w:rsidR="00F05137" w:rsidRPr="004B0750" w:rsidRDefault="00F05137" w:rsidP="00D40BEE">
            <w:pPr>
              <w:spacing w:before="40" w:after="40"/>
              <w:jc w:val="center"/>
              <w:rPr>
                <w:b/>
                <w:bCs/>
                <w:sz w:val="20"/>
                <w:lang w:val="ru-RU"/>
              </w:rPr>
            </w:pPr>
            <w:r w:rsidRPr="004B0750">
              <w:rPr>
                <w:b/>
                <w:bCs/>
                <w:sz w:val="20"/>
                <w:lang w:val="ru-RU"/>
              </w:rPr>
              <w:t>Название</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BO</w:t>
            </w:r>
          </w:p>
        </w:tc>
        <w:tc>
          <w:tcPr>
            <w:tcW w:w="7668" w:type="dxa"/>
          </w:tcPr>
          <w:p w:rsidR="00F05137" w:rsidRPr="004B0750" w:rsidRDefault="00F05137" w:rsidP="00FC4C8B">
            <w:pPr>
              <w:spacing w:before="40" w:after="40"/>
              <w:jc w:val="left"/>
              <w:rPr>
                <w:sz w:val="20"/>
                <w:lang w:val="ru-RU"/>
              </w:rPr>
            </w:pPr>
            <w:r w:rsidRPr="004B0750">
              <w:rPr>
                <w:sz w:val="20"/>
                <w:lang w:val="ru-RU"/>
              </w:rPr>
              <w:t>Спутниковое радиовещание</w:t>
            </w:r>
          </w:p>
        </w:tc>
      </w:tr>
      <w:tr w:rsidR="00F05137" w:rsidRPr="003C78DD" w:rsidTr="00F05137">
        <w:trPr>
          <w:jc w:val="center"/>
        </w:trPr>
        <w:tc>
          <w:tcPr>
            <w:tcW w:w="1188" w:type="dxa"/>
            <w:tcBorders>
              <w:bottom w:val="nil"/>
            </w:tcBorders>
          </w:tcPr>
          <w:p w:rsidR="00F05137" w:rsidRPr="004B0750" w:rsidRDefault="00F05137" w:rsidP="00D40BEE">
            <w:pPr>
              <w:spacing w:before="40" w:after="40"/>
              <w:rPr>
                <w:b/>
                <w:bCs/>
                <w:sz w:val="20"/>
                <w:lang w:val="ru-RU"/>
              </w:rPr>
            </w:pPr>
            <w:r w:rsidRPr="004B0750">
              <w:rPr>
                <w:b/>
                <w:bCs/>
                <w:sz w:val="20"/>
                <w:lang w:val="ru-RU"/>
              </w:rPr>
              <w:t>BR</w:t>
            </w:r>
          </w:p>
        </w:tc>
        <w:tc>
          <w:tcPr>
            <w:tcW w:w="7668" w:type="dxa"/>
            <w:tcBorders>
              <w:bottom w:val="nil"/>
            </w:tcBorders>
          </w:tcPr>
          <w:p w:rsidR="00F05137" w:rsidRPr="004B0750" w:rsidRDefault="00F05137" w:rsidP="00FC4C8B">
            <w:pPr>
              <w:spacing w:before="40" w:after="40"/>
              <w:jc w:val="left"/>
              <w:rPr>
                <w:sz w:val="20"/>
                <w:lang w:val="ru-RU"/>
              </w:rPr>
            </w:pPr>
            <w:r w:rsidRPr="004B0750">
              <w:rPr>
                <w:sz w:val="20"/>
                <w:lang w:val="ru-RU"/>
              </w:rPr>
              <w:t>Запись для производства, архивирования и воспроизведения; пленки для телевидения</w:t>
            </w:r>
          </w:p>
        </w:tc>
      </w:tr>
      <w:tr w:rsidR="00F05137" w:rsidRPr="004B0750" w:rsidTr="00F05137">
        <w:trPr>
          <w:jc w:val="center"/>
        </w:trPr>
        <w:tc>
          <w:tcPr>
            <w:tcW w:w="1188" w:type="dxa"/>
            <w:tcBorders>
              <w:top w:val="nil"/>
              <w:bottom w:val="nil"/>
            </w:tcBorders>
            <w:shd w:val="clear" w:color="auto" w:fill="FFFFFF" w:themeFill="background1"/>
          </w:tcPr>
          <w:p w:rsidR="00F05137" w:rsidRPr="004B0750" w:rsidRDefault="00F05137" w:rsidP="00D40BEE">
            <w:pPr>
              <w:spacing w:before="40" w:after="40"/>
              <w:rPr>
                <w:rFonts w:ascii="Times New Roman Bold" w:hAnsi="Times New Roman Bold" w:cs="Times New Roman Bold"/>
                <w:b/>
                <w:bCs/>
                <w:color w:val="000080"/>
                <w:sz w:val="20"/>
                <w:lang w:val="ru-RU"/>
              </w:rPr>
            </w:pPr>
            <w:r w:rsidRPr="004B0750">
              <w:rPr>
                <w:b/>
                <w:bCs/>
                <w:sz w:val="20"/>
                <w:lang w:val="ru-RU"/>
              </w:rPr>
              <w:t>BS</w:t>
            </w:r>
          </w:p>
        </w:tc>
        <w:tc>
          <w:tcPr>
            <w:tcW w:w="7668" w:type="dxa"/>
            <w:tcBorders>
              <w:top w:val="nil"/>
              <w:bottom w:val="nil"/>
            </w:tcBorders>
            <w:shd w:val="clear" w:color="auto" w:fill="FFFFFF" w:themeFill="background1"/>
          </w:tcPr>
          <w:p w:rsidR="00F05137" w:rsidRPr="004B0750" w:rsidRDefault="00F05137" w:rsidP="00FC4C8B">
            <w:pPr>
              <w:spacing w:before="40" w:after="40"/>
              <w:jc w:val="left"/>
              <w:rPr>
                <w:rFonts w:ascii="Times New Roman Bold" w:hAnsi="Times New Roman Bold" w:cs="Times New Roman Bold"/>
                <w:b/>
                <w:bCs/>
                <w:color w:val="000080"/>
                <w:sz w:val="20"/>
                <w:lang w:val="ru-RU"/>
              </w:rPr>
            </w:pPr>
            <w:r w:rsidRPr="004B0750">
              <w:rPr>
                <w:sz w:val="20"/>
                <w:lang w:val="ru-RU"/>
              </w:rPr>
              <w:t>Радиовещательная служба (звуковая)</w:t>
            </w:r>
          </w:p>
        </w:tc>
      </w:tr>
      <w:tr w:rsidR="00F05137" w:rsidRPr="004B0750" w:rsidTr="00F05137">
        <w:trPr>
          <w:jc w:val="center"/>
        </w:trPr>
        <w:tc>
          <w:tcPr>
            <w:tcW w:w="1188" w:type="dxa"/>
            <w:tcBorders>
              <w:top w:val="nil"/>
            </w:tcBorders>
          </w:tcPr>
          <w:p w:rsidR="00F05137" w:rsidRPr="004B0750" w:rsidRDefault="00F05137" w:rsidP="00D40BEE">
            <w:pPr>
              <w:spacing w:before="40" w:after="40"/>
              <w:rPr>
                <w:b/>
                <w:bCs/>
                <w:sz w:val="20"/>
                <w:lang w:val="ru-RU"/>
              </w:rPr>
            </w:pPr>
            <w:r w:rsidRPr="004B0750">
              <w:rPr>
                <w:b/>
                <w:bCs/>
                <w:sz w:val="20"/>
                <w:lang w:val="ru-RU"/>
              </w:rPr>
              <w:t>BT</w:t>
            </w:r>
          </w:p>
        </w:tc>
        <w:tc>
          <w:tcPr>
            <w:tcW w:w="7668" w:type="dxa"/>
            <w:tcBorders>
              <w:top w:val="nil"/>
            </w:tcBorders>
          </w:tcPr>
          <w:p w:rsidR="00F05137" w:rsidRPr="004B0750" w:rsidRDefault="00F05137" w:rsidP="00FC4C8B">
            <w:pPr>
              <w:spacing w:before="40" w:after="40"/>
              <w:jc w:val="left"/>
              <w:rPr>
                <w:sz w:val="20"/>
                <w:lang w:val="ru-RU"/>
              </w:rPr>
            </w:pPr>
            <w:r w:rsidRPr="004B0750">
              <w:rPr>
                <w:sz w:val="20"/>
                <w:lang w:val="ru-RU"/>
              </w:rPr>
              <w:t>Радиовещательная служба (телевизионная)</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F</w:t>
            </w:r>
          </w:p>
        </w:tc>
        <w:tc>
          <w:tcPr>
            <w:tcW w:w="7668" w:type="dxa"/>
          </w:tcPr>
          <w:p w:rsidR="00F05137" w:rsidRPr="004B0750" w:rsidRDefault="00F05137" w:rsidP="00FC4C8B">
            <w:pPr>
              <w:spacing w:before="40" w:after="40"/>
              <w:jc w:val="left"/>
              <w:rPr>
                <w:sz w:val="20"/>
                <w:lang w:val="ru-RU"/>
              </w:rPr>
            </w:pPr>
            <w:r w:rsidRPr="004B0750">
              <w:rPr>
                <w:sz w:val="20"/>
                <w:lang w:val="ru-RU"/>
              </w:rPr>
              <w:t>Фиксированная служба</w:t>
            </w:r>
          </w:p>
        </w:tc>
      </w:tr>
      <w:tr w:rsidR="00F05137" w:rsidRPr="003C78DD" w:rsidTr="00D40BEE">
        <w:trPr>
          <w:jc w:val="center"/>
        </w:trPr>
        <w:tc>
          <w:tcPr>
            <w:tcW w:w="1188" w:type="dxa"/>
            <w:shd w:val="clear" w:color="auto" w:fill="FFFFFF"/>
          </w:tcPr>
          <w:p w:rsidR="00F05137" w:rsidRPr="004B0750" w:rsidRDefault="00F05137" w:rsidP="00D40BEE">
            <w:pPr>
              <w:spacing w:before="40" w:after="40"/>
              <w:rPr>
                <w:b/>
                <w:bCs/>
                <w:sz w:val="20"/>
                <w:lang w:val="ru-RU"/>
              </w:rPr>
            </w:pPr>
            <w:r w:rsidRPr="004B0750">
              <w:rPr>
                <w:b/>
                <w:bCs/>
                <w:sz w:val="20"/>
                <w:lang w:val="ru-RU"/>
              </w:rPr>
              <w:t>M</w:t>
            </w:r>
          </w:p>
        </w:tc>
        <w:tc>
          <w:tcPr>
            <w:tcW w:w="7668" w:type="dxa"/>
            <w:shd w:val="clear" w:color="auto" w:fill="FFFFFF"/>
          </w:tcPr>
          <w:p w:rsidR="00F05137" w:rsidRPr="004B0750" w:rsidRDefault="00F05137" w:rsidP="00FC4C8B">
            <w:pPr>
              <w:spacing w:before="40" w:after="40"/>
              <w:jc w:val="left"/>
              <w:rPr>
                <w:sz w:val="20"/>
                <w:lang w:val="ru-RU"/>
              </w:rPr>
            </w:pPr>
            <w:r w:rsidRPr="004B075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05137" w:rsidRPr="004B0750" w:rsidTr="00D40BEE">
        <w:trPr>
          <w:jc w:val="center"/>
        </w:trPr>
        <w:tc>
          <w:tcPr>
            <w:tcW w:w="1188" w:type="dxa"/>
            <w:shd w:val="clear" w:color="auto" w:fill="FFFFFF" w:themeFill="background1"/>
          </w:tcPr>
          <w:p w:rsidR="00F05137" w:rsidRPr="004B0750" w:rsidRDefault="00F05137" w:rsidP="00D40BEE">
            <w:pPr>
              <w:spacing w:before="40" w:after="40"/>
              <w:rPr>
                <w:b/>
                <w:bCs/>
                <w:sz w:val="20"/>
                <w:lang w:val="ru-RU"/>
              </w:rPr>
            </w:pPr>
            <w:r w:rsidRPr="004B0750">
              <w:rPr>
                <w:b/>
                <w:bCs/>
                <w:sz w:val="20"/>
                <w:lang w:val="ru-RU"/>
              </w:rPr>
              <w:t>P</w:t>
            </w:r>
          </w:p>
        </w:tc>
        <w:tc>
          <w:tcPr>
            <w:tcW w:w="7668" w:type="dxa"/>
            <w:shd w:val="clear" w:color="auto" w:fill="FFFFFF" w:themeFill="background1"/>
          </w:tcPr>
          <w:p w:rsidR="00F05137" w:rsidRPr="004B0750" w:rsidRDefault="00F05137" w:rsidP="00FC4C8B">
            <w:pPr>
              <w:spacing w:before="40" w:after="40"/>
              <w:jc w:val="left"/>
              <w:rPr>
                <w:sz w:val="20"/>
                <w:lang w:val="ru-RU"/>
              </w:rPr>
            </w:pPr>
            <w:r w:rsidRPr="004B0750">
              <w:rPr>
                <w:sz w:val="20"/>
                <w:lang w:val="ru-RU"/>
              </w:rPr>
              <w:t>Распространение радиоволн</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RA</w:t>
            </w:r>
          </w:p>
        </w:tc>
        <w:tc>
          <w:tcPr>
            <w:tcW w:w="7668" w:type="dxa"/>
          </w:tcPr>
          <w:p w:rsidR="00F05137" w:rsidRPr="004B0750" w:rsidRDefault="00F05137" w:rsidP="00FC4C8B">
            <w:pPr>
              <w:spacing w:before="40" w:after="40"/>
              <w:jc w:val="left"/>
              <w:rPr>
                <w:sz w:val="20"/>
                <w:lang w:val="ru-RU"/>
              </w:rPr>
            </w:pPr>
            <w:r w:rsidRPr="004B0750">
              <w:rPr>
                <w:sz w:val="20"/>
                <w:lang w:val="ru-RU"/>
              </w:rPr>
              <w:t>Радиоастрономия</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RS</w:t>
            </w:r>
          </w:p>
        </w:tc>
        <w:tc>
          <w:tcPr>
            <w:tcW w:w="7668" w:type="dxa"/>
          </w:tcPr>
          <w:p w:rsidR="00F05137" w:rsidRPr="004B0750" w:rsidRDefault="00F05137" w:rsidP="00FC4C8B">
            <w:pPr>
              <w:spacing w:before="40" w:after="40"/>
              <w:jc w:val="left"/>
              <w:rPr>
                <w:sz w:val="20"/>
                <w:lang w:val="ru-RU"/>
              </w:rPr>
            </w:pPr>
            <w:r w:rsidRPr="004B0750">
              <w:rPr>
                <w:sz w:val="20"/>
                <w:lang w:val="ru-RU"/>
              </w:rPr>
              <w:t>Системы дистанционного зондирования</w:t>
            </w:r>
          </w:p>
        </w:tc>
      </w:tr>
      <w:tr w:rsidR="00F05137" w:rsidRPr="004B0750" w:rsidTr="00F05137">
        <w:trPr>
          <w:jc w:val="center"/>
        </w:trPr>
        <w:tc>
          <w:tcPr>
            <w:tcW w:w="1188" w:type="dxa"/>
            <w:tcBorders>
              <w:bottom w:val="nil"/>
            </w:tcBorders>
          </w:tcPr>
          <w:p w:rsidR="00F05137" w:rsidRPr="004B0750" w:rsidRDefault="00F05137" w:rsidP="00D40BEE">
            <w:pPr>
              <w:spacing w:before="40" w:after="40"/>
              <w:rPr>
                <w:b/>
                <w:bCs/>
                <w:sz w:val="20"/>
                <w:lang w:val="ru-RU"/>
              </w:rPr>
            </w:pPr>
            <w:r w:rsidRPr="004B0750">
              <w:rPr>
                <w:b/>
                <w:bCs/>
                <w:sz w:val="20"/>
                <w:lang w:val="ru-RU"/>
              </w:rPr>
              <w:t>S</w:t>
            </w:r>
          </w:p>
        </w:tc>
        <w:tc>
          <w:tcPr>
            <w:tcW w:w="7668" w:type="dxa"/>
            <w:tcBorders>
              <w:bottom w:val="nil"/>
            </w:tcBorders>
          </w:tcPr>
          <w:p w:rsidR="00F05137" w:rsidRPr="004B0750" w:rsidRDefault="00F05137" w:rsidP="00FC4C8B">
            <w:pPr>
              <w:spacing w:before="40" w:after="40"/>
              <w:jc w:val="left"/>
              <w:rPr>
                <w:sz w:val="20"/>
                <w:lang w:val="ru-RU"/>
              </w:rPr>
            </w:pPr>
            <w:r w:rsidRPr="004B0750">
              <w:rPr>
                <w:sz w:val="20"/>
                <w:lang w:val="ru-RU"/>
              </w:rPr>
              <w:t>Фиксированная спутниковая служба</w:t>
            </w:r>
          </w:p>
        </w:tc>
      </w:tr>
      <w:tr w:rsidR="00F05137" w:rsidRPr="004B0750" w:rsidTr="00F05137">
        <w:trPr>
          <w:jc w:val="center"/>
        </w:trPr>
        <w:tc>
          <w:tcPr>
            <w:tcW w:w="1188" w:type="dxa"/>
            <w:tcBorders>
              <w:top w:val="nil"/>
              <w:bottom w:val="nil"/>
            </w:tcBorders>
            <w:shd w:val="clear" w:color="auto" w:fill="F2F2F2" w:themeFill="background1" w:themeFillShade="F2"/>
          </w:tcPr>
          <w:p w:rsidR="00F05137" w:rsidRPr="004B0750" w:rsidRDefault="00F05137" w:rsidP="00D40BEE">
            <w:pPr>
              <w:spacing w:before="40" w:after="40"/>
              <w:rPr>
                <w:b/>
                <w:bCs/>
                <w:color w:val="000080"/>
                <w:sz w:val="20"/>
                <w:lang w:val="ru-RU"/>
              </w:rPr>
            </w:pPr>
            <w:r w:rsidRPr="004B0750">
              <w:rPr>
                <w:b/>
                <w:bCs/>
                <w:color w:val="000080"/>
                <w:sz w:val="20"/>
                <w:lang w:val="ru-RU"/>
              </w:rPr>
              <w:t>SA</w:t>
            </w:r>
          </w:p>
        </w:tc>
        <w:tc>
          <w:tcPr>
            <w:tcW w:w="7668" w:type="dxa"/>
            <w:tcBorders>
              <w:top w:val="nil"/>
              <w:bottom w:val="nil"/>
            </w:tcBorders>
            <w:shd w:val="clear" w:color="auto" w:fill="F2F2F2" w:themeFill="background1" w:themeFillShade="F2"/>
          </w:tcPr>
          <w:p w:rsidR="00F05137" w:rsidRPr="004B0750" w:rsidRDefault="00F05137" w:rsidP="00FC4C8B">
            <w:pPr>
              <w:spacing w:before="40" w:after="40"/>
              <w:jc w:val="left"/>
              <w:rPr>
                <w:b/>
                <w:bCs/>
                <w:color w:val="000080"/>
                <w:sz w:val="20"/>
                <w:lang w:val="ru-RU"/>
              </w:rPr>
            </w:pPr>
            <w:r w:rsidRPr="004B0750">
              <w:rPr>
                <w:b/>
                <w:bCs/>
                <w:color w:val="000080"/>
                <w:sz w:val="20"/>
                <w:lang w:val="ru-RU"/>
              </w:rPr>
              <w:t>Космические применения и метеорология</w:t>
            </w:r>
          </w:p>
        </w:tc>
      </w:tr>
      <w:tr w:rsidR="00F05137" w:rsidRPr="003C78DD" w:rsidTr="00F05137">
        <w:trPr>
          <w:jc w:val="center"/>
        </w:trPr>
        <w:tc>
          <w:tcPr>
            <w:tcW w:w="1188" w:type="dxa"/>
            <w:tcBorders>
              <w:top w:val="nil"/>
            </w:tcBorders>
          </w:tcPr>
          <w:p w:rsidR="00F05137" w:rsidRPr="004B0750" w:rsidRDefault="00F05137" w:rsidP="00D40BEE">
            <w:pPr>
              <w:spacing w:before="40" w:after="40"/>
              <w:rPr>
                <w:b/>
                <w:bCs/>
                <w:sz w:val="20"/>
                <w:lang w:val="ru-RU"/>
              </w:rPr>
            </w:pPr>
            <w:r w:rsidRPr="004B0750">
              <w:rPr>
                <w:b/>
                <w:bCs/>
                <w:sz w:val="20"/>
                <w:lang w:val="ru-RU"/>
              </w:rPr>
              <w:t>SF</w:t>
            </w:r>
          </w:p>
        </w:tc>
        <w:tc>
          <w:tcPr>
            <w:tcW w:w="7668" w:type="dxa"/>
            <w:tcBorders>
              <w:top w:val="nil"/>
            </w:tcBorders>
          </w:tcPr>
          <w:p w:rsidR="00F05137" w:rsidRPr="004B0750" w:rsidRDefault="00F05137" w:rsidP="00FC4C8B">
            <w:pPr>
              <w:spacing w:before="40" w:after="40"/>
              <w:jc w:val="left"/>
              <w:rPr>
                <w:sz w:val="20"/>
                <w:lang w:val="ru-RU"/>
              </w:rPr>
            </w:pPr>
            <w:r w:rsidRPr="004B075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4B0750" w:rsidTr="00D40BEE">
        <w:trPr>
          <w:jc w:val="center"/>
        </w:trPr>
        <w:tc>
          <w:tcPr>
            <w:tcW w:w="1188" w:type="dxa"/>
            <w:shd w:val="clear" w:color="auto" w:fill="auto"/>
          </w:tcPr>
          <w:p w:rsidR="00F05137" w:rsidRPr="004B0750" w:rsidRDefault="00F05137" w:rsidP="00D40BEE">
            <w:pPr>
              <w:spacing w:before="40" w:after="40"/>
              <w:rPr>
                <w:b/>
                <w:bCs/>
                <w:sz w:val="20"/>
                <w:lang w:val="ru-RU"/>
              </w:rPr>
            </w:pPr>
            <w:r w:rsidRPr="004B0750">
              <w:rPr>
                <w:b/>
                <w:bCs/>
                <w:sz w:val="20"/>
                <w:lang w:val="ru-RU"/>
              </w:rPr>
              <w:t>SM</w:t>
            </w:r>
          </w:p>
        </w:tc>
        <w:tc>
          <w:tcPr>
            <w:tcW w:w="7668" w:type="dxa"/>
            <w:shd w:val="clear" w:color="auto" w:fill="auto"/>
          </w:tcPr>
          <w:p w:rsidR="00F05137" w:rsidRPr="004B0750" w:rsidRDefault="00F05137" w:rsidP="00FC4C8B">
            <w:pPr>
              <w:spacing w:before="40" w:after="40"/>
              <w:jc w:val="left"/>
              <w:rPr>
                <w:sz w:val="20"/>
                <w:lang w:val="ru-RU"/>
              </w:rPr>
            </w:pPr>
            <w:r w:rsidRPr="004B0750">
              <w:rPr>
                <w:sz w:val="20"/>
                <w:lang w:val="ru-RU"/>
              </w:rPr>
              <w:t>Управление использованием спектра</w:t>
            </w:r>
          </w:p>
        </w:tc>
      </w:tr>
      <w:tr w:rsidR="00F05137" w:rsidRPr="004B0750"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SNG</w:t>
            </w:r>
          </w:p>
        </w:tc>
        <w:tc>
          <w:tcPr>
            <w:tcW w:w="7668" w:type="dxa"/>
          </w:tcPr>
          <w:p w:rsidR="00F05137" w:rsidRPr="004B0750" w:rsidRDefault="00F05137" w:rsidP="00FC4C8B">
            <w:pPr>
              <w:spacing w:before="40" w:after="40"/>
              <w:jc w:val="left"/>
              <w:rPr>
                <w:sz w:val="20"/>
                <w:lang w:val="ru-RU"/>
              </w:rPr>
            </w:pPr>
            <w:r w:rsidRPr="004B0750">
              <w:rPr>
                <w:sz w:val="20"/>
                <w:lang w:val="ru-RU"/>
              </w:rPr>
              <w:t>Спутниковый сбор новостей</w:t>
            </w:r>
          </w:p>
        </w:tc>
      </w:tr>
      <w:tr w:rsidR="00F05137" w:rsidRPr="003C78DD" w:rsidTr="00D40BEE">
        <w:trPr>
          <w:jc w:val="center"/>
        </w:trPr>
        <w:tc>
          <w:tcPr>
            <w:tcW w:w="1188" w:type="dxa"/>
          </w:tcPr>
          <w:p w:rsidR="00F05137" w:rsidRPr="004B0750" w:rsidRDefault="00F05137" w:rsidP="00D40BEE">
            <w:pPr>
              <w:spacing w:before="40" w:after="40"/>
              <w:rPr>
                <w:b/>
                <w:bCs/>
                <w:sz w:val="20"/>
                <w:lang w:val="ru-RU"/>
              </w:rPr>
            </w:pPr>
            <w:r w:rsidRPr="004B0750">
              <w:rPr>
                <w:b/>
                <w:bCs/>
                <w:sz w:val="20"/>
                <w:lang w:val="ru-RU"/>
              </w:rPr>
              <w:t>TF</w:t>
            </w:r>
          </w:p>
        </w:tc>
        <w:tc>
          <w:tcPr>
            <w:tcW w:w="7668" w:type="dxa"/>
          </w:tcPr>
          <w:p w:rsidR="00F05137" w:rsidRPr="004B0750" w:rsidRDefault="00F05137" w:rsidP="00FC4C8B">
            <w:pPr>
              <w:spacing w:before="40" w:after="40"/>
              <w:jc w:val="left"/>
              <w:rPr>
                <w:sz w:val="20"/>
                <w:lang w:val="ru-RU"/>
              </w:rPr>
            </w:pPr>
            <w:r w:rsidRPr="004B0750">
              <w:rPr>
                <w:sz w:val="20"/>
                <w:lang w:val="ru-RU"/>
              </w:rPr>
              <w:t>Передача сигналов времени и эталонных частот</w:t>
            </w:r>
          </w:p>
        </w:tc>
      </w:tr>
      <w:tr w:rsidR="00F05137" w:rsidRPr="003C78DD" w:rsidTr="00D40BEE">
        <w:trPr>
          <w:jc w:val="center"/>
        </w:trPr>
        <w:tc>
          <w:tcPr>
            <w:tcW w:w="1188" w:type="dxa"/>
          </w:tcPr>
          <w:p w:rsidR="00F05137" w:rsidRPr="004B0750" w:rsidRDefault="00F05137" w:rsidP="00D40BEE">
            <w:pPr>
              <w:spacing w:before="40" w:after="180"/>
              <w:rPr>
                <w:b/>
                <w:bCs/>
                <w:sz w:val="20"/>
                <w:lang w:val="ru-RU"/>
              </w:rPr>
            </w:pPr>
            <w:r w:rsidRPr="004B0750">
              <w:rPr>
                <w:b/>
                <w:bCs/>
                <w:sz w:val="20"/>
                <w:lang w:val="ru-RU"/>
              </w:rPr>
              <w:t>V</w:t>
            </w:r>
          </w:p>
        </w:tc>
        <w:tc>
          <w:tcPr>
            <w:tcW w:w="7668" w:type="dxa"/>
          </w:tcPr>
          <w:p w:rsidR="00F05137" w:rsidRPr="004B0750" w:rsidRDefault="00F05137" w:rsidP="00FC4C8B">
            <w:pPr>
              <w:spacing w:before="40" w:after="180"/>
              <w:jc w:val="left"/>
              <w:rPr>
                <w:sz w:val="20"/>
                <w:lang w:val="ru-RU"/>
              </w:rPr>
            </w:pPr>
            <w:r w:rsidRPr="004B0750">
              <w:rPr>
                <w:sz w:val="20"/>
                <w:lang w:val="ru-RU"/>
              </w:rPr>
              <w:t>Словарь и связанные с ним вопросы</w:t>
            </w:r>
          </w:p>
        </w:tc>
      </w:tr>
    </w:tbl>
    <w:p w:rsidR="00F05137" w:rsidRPr="004B0750"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3C78DD" w:rsidTr="00D40BEE">
        <w:trPr>
          <w:jc w:val="center"/>
        </w:trPr>
        <w:tc>
          <w:tcPr>
            <w:tcW w:w="8856" w:type="dxa"/>
          </w:tcPr>
          <w:p w:rsidR="00F05137" w:rsidRPr="004B0750" w:rsidRDefault="00F05137" w:rsidP="0094477C">
            <w:pPr>
              <w:spacing w:after="120"/>
              <w:jc w:val="left"/>
              <w:rPr>
                <w:rFonts w:eastAsia="SimSun"/>
                <w:i/>
                <w:iCs/>
                <w:sz w:val="20"/>
                <w:lang w:val="ru-RU" w:eastAsia="zh-CN"/>
              </w:rPr>
            </w:pPr>
            <w:r w:rsidRPr="004B0750">
              <w:rPr>
                <w:b/>
                <w:bCs/>
                <w:i/>
                <w:iCs/>
                <w:sz w:val="20"/>
                <w:lang w:val="ru-RU"/>
              </w:rPr>
              <w:t>Примечание</w:t>
            </w:r>
            <w:r w:rsidRPr="004B0750">
              <w:rPr>
                <w:i/>
                <w:iCs/>
                <w:sz w:val="20"/>
                <w:lang w:val="ru-RU"/>
              </w:rPr>
              <w:t>. – Настоящая Рекомендация МСЭ-R утверждена на английском языке в</w:t>
            </w:r>
            <w:r w:rsidR="00FC4C8B" w:rsidRPr="004B0750">
              <w:rPr>
                <w:i/>
                <w:iCs/>
                <w:sz w:val="20"/>
                <w:lang w:val="ru-RU"/>
              </w:rPr>
              <w:t> </w:t>
            </w:r>
            <w:r w:rsidRPr="004B0750">
              <w:rPr>
                <w:i/>
                <w:iCs/>
                <w:sz w:val="20"/>
                <w:lang w:val="ru-RU"/>
              </w:rPr>
              <w:t>соответствии с процедурой, изложенной в Резолюции МСЭ-R</w:t>
            </w:r>
            <w:r w:rsidR="0094477C" w:rsidRPr="004B0750">
              <w:rPr>
                <w:i/>
                <w:iCs/>
                <w:sz w:val="20"/>
                <w:lang w:val="ru-RU"/>
              </w:rPr>
              <w:t xml:space="preserve"> 1</w:t>
            </w:r>
            <w:r w:rsidRPr="004B0750">
              <w:rPr>
                <w:i/>
                <w:iCs/>
                <w:sz w:val="20"/>
                <w:lang w:val="ru-RU"/>
              </w:rPr>
              <w:t>.</w:t>
            </w:r>
          </w:p>
        </w:tc>
      </w:tr>
    </w:tbl>
    <w:p w:rsidR="00F05137" w:rsidRPr="004B0750" w:rsidRDefault="00F05137" w:rsidP="002A59D3">
      <w:pPr>
        <w:spacing w:before="360"/>
        <w:jc w:val="right"/>
        <w:rPr>
          <w:sz w:val="20"/>
          <w:lang w:val="ru-RU"/>
        </w:rPr>
      </w:pPr>
      <w:r w:rsidRPr="004B0750">
        <w:rPr>
          <w:i/>
          <w:iCs/>
          <w:sz w:val="20"/>
          <w:lang w:val="ru-RU"/>
        </w:rPr>
        <w:t>Электронная публикация</w:t>
      </w:r>
      <w:r w:rsidRPr="004B0750">
        <w:rPr>
          <w:i/>
          <w:iCs/>
          <w:sz w:val="20"/>
          <w:lang w:val="ru-RU"/>
        </w:rPr>
        <w:br/>
      </w:r>
      <w:r w:rsidRPr="004B0750">
        <w:rPr>
          <w:sz w:val="20"/>
          <w:lang w:val="ru-RU"/>
        </w:rPr>
        <w:t>Женева, 201</w:t>
      </w:r>
      <w:r w:rsidR="002A59D3" w:rsidRPr="004B0750">
        <w:rPr>
          <w:sz w:val="20"/>
          <w:lang w:val="ru-RU"/>
        </w:rPr>
        <w:t>4</w:t>
      </w:r>
      <w:r w:rsidRPr="004B0750">
        <w:rPr>
          <w:sz w:val="20"/>
          <w:lang w:val="ru-RU"/>
        </w:rPr>
        <w:t xml:space="preserve"> г.</w:t>
      </w:r>
    </w:p>
    <w:p w:rsidR="00F05137" w:rsidRPr="004B0750" w:rsidRDefault="00E60DAA" w:rsidP="002A59D3">
      <w:pPr>
        <w:spacing w:before="480" w:after="120"/>
        <w:jc w:val="center"/>
        <w:rPr>
          <w:rFonts w:eastAsia="SimSun"/>
          <w:sz w:val="20"/>
          <w:lang w:val="ru-RU" w:eastAsia="zh-CN"/>
        </w:rPr>
      </w:pPr>
      <w:r w:rsidRPr="004B0750">
        <w:rPr>
          <w:sz w:val="20"/>
          <w:lang w:val="ru-RU"/>
        </w:rPr>
        <w:sym w:font="Symbol" w:char="F0E3"/>
      </w:r>
      <w:r w:rsidRPr="004B0750">
        <w:rPr>
          <w:sz w:val="20"/>
          <w:lang w:val="ru-RU"/>
        </w:rPr>
        <w:t xml:space="preserve"> ITU </w:t>
      </w:r>
      <w:bookmarkStart w:id="1" w:name="iiannee"/>
      <w:bookmarkEnd w:id="1"/>
      <w:r w:rsidRPr="004B0750">
        <w:rPr>
          <w:sz w:val="20"/>
          <w:lang w:val="ru-RU"/>
        </w:rPr>
        <w:t>201</w:t>
      </w:r>
      <w:r w:rsidR="002A59D3" w:rsidRPr="004B0750">
        <w:rPr>
          <w:sz w:val="20"/>
          <w:lang w:val="ru-RU"/>
        </w:rPr>
        <w:t>4</w:t>
      </w:r>
    </w:p>
    <w:p w:rsidR="00E60DAA" w:rsidRPr="004B0750" w:rsidRDefault="00F05137" w:rsidP="00E60DAA">
      <w:pPr>
        <w:rPr>
          <w:sz w:val="18"/>
          <w:szCs w:val="18"/>
          <w:lang w:val="ru-RU"/>
        </w:rPr>
      </w:pPr>
      <w:r w:rsidRPr="004B075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4B0750" w:rsidRDefault="00E60DAA" w:rsidP="00E60DAA">
      <w:pPr>
        <w:spacing w:before="160"/>
        <w:rPr>
          <w:i/>
          <w:sz w:val="20"/>
          <w:lang w:val="ru-RU"/>
        </w:rPr>
        <w:sectPr w:rsidR="00E60DAA" w:rsidRPr="004B075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23EC7" w:rsidRPr="006C7EE5" w:rsidRDefault="00123EC7" w:rsidP="00815246">
      <w:pPr>
        <w:pStyle w:val="RecNo"/>
        <w:spacing w:before="0"/>
        <w:rPr>
          <w:lang w:val="en-US"/>
        </w:rPr>
      </w:pPr>
      <w:bookmarkStart w:id="2" w:name="irecnoe"/>
      <w:bookmarkEnd w:id="2"/>
      <w:r w:rsidRPr="003C78DD">
        <w:rPr>
          <w:lang w:val="ru-RU"/>
        </w:rPr>
        <w:lastRenderedPageBreak/>
        <w:t xml:space="preserve">РЕКОМЕНДАЦИЯ  </w:t>
      </w:r>
      <w:r w:rsidRPr="003C78DD">
        <w:rPr>
          <w:rStyle w:val="href"/>
          <w:lang w:val="ru-RU"/>
        </w:rPr>
        <w:t>МСЭ-</w:t>
      </w:r>
      <w:r w:rsidRPr="005105EA">
        <w:rPr>
          <w:rStyle w:val="href"/>
        </w:rPr>
        <w:t>R</w:t>
      </w:r>
      <w:r w:rsidRPr="003C78DD">
        <w:rPr>
          <w:rStyle w:val="href"/>
          <w:lang w:val="ru-RU"/>
        </w:rPr>
        <w:t xml:space="preserve">  </w:t>
      </w:r>
      <w:r w:rsidRPr="005105EA">
        <w:rPr>
          <w:rStyle w:val="href"/>
        </w:rPr>
        <w:t>SA</w:t>
      </w:r>
      <w:r w:rsidRPr="003C78DD">
        <w:rPr>
          <w:rStyle w:val="href"/>
          <w:lang w:val="ru-RU"/>
        </w:rPr>
        <w:t>.2045</w:t>
      </w:r>
      <w:r w:rsidR="006C7EE5">
        <w:rPr>
          <w:rStyle w:val="href"/>
          <w:lang w:val="en-US"/>
        </w:rPr>
        <w:t>-0</w:t>
      </w:r>
    </w:p>
    <w:p w:rsidR="00123EC7" w:rsidRPr="004B0750" w:rsidRDefault="00123EC7" w:rsidP="00443EB0">
      <w:pPr>
        <w:pStyle w:val="Rectitle"/>
        <w:rPr>
          <w:snapToGrid w:val="0"/>
          <w:lang w:val="ru-RU"/>
        </w:rPr>
      </w:pPr>
      <w:r w:rsidRPr="004B0750">
        <w:rPr>
          <w:snapToGrid w:val="0"/>
          <w:lang w:val="ru-RU"/>
        </w:rPr>
        <w:t xml:space="preserve">Базовое общее разделение и условия совместного использования </w:t>
      </w:r>
      <w:r w:rsidR="00443EB0">
        <w:rPr>
          <w:snapToGrid w:val="0"/>
          <w:lang w:val="ru-RU"/>
        </w:rPr>
        <w:br/>
      </w:r>
      <w:r w:rsidRPr="004B0750">
        <w:rPr>
          <w:snapToGrid w:val="0"/>
          <w:lang w:val="ru-RU"/>
        </w:rPr>
        <w:t xml:space="preserve">полосы 401−403 МГц для будущего долгосрочного скоординированного применения систем сбора </w:t>
      </w:r>
      <w:r w:rsidRPr="004B0750">
        <w:rPr>
          <w:lang w:val="ru-RU"/>
        </w:rPr>
        <w:t>данных</w:t>
      </w:r>
      <w:r w:rsidRPr="004B0750">
        <w:rPr>
          <w:snapToGrid w:val="0"/>
          <w:lang w:val="ru-RU"/>
        </w:rPr>
        <w:t xml:space="preserve"> на геостационарных и негеостационарных системах МетСат и спутниковой службы исследования Земли</w:t>
      </w:r>
    </w:p>
    <w:p w:rsidR="00123EC7" w:rsidRPr="004B0750" w:rsidRDefault="00123EC7" w:rsidP="00123EC7">
      <w:pPr>
        <w:pStyle w:val="Recdate"/>
        <w:rPr>
          <w:lang w:val="ru-RU"/>
        </w:rPr>
      </w:pPr>
      <w:r w:rsidRPr="004B0750">
        <w:rPr>
          <w:lang w:val="ru-RU"/>
        </w:rPr>
        <w:t>(2013)</w:t>
      </w:r>
    </w:p>
    <w:p w:rsidR="00123EC7" w:rsidRPr="004B0750" w:rsidRDefault="00123EC7" w:rsidP="00123EC7">
      <w:pPr>
        <w:pStyle w:val="HeadingSum"/>
        <w:rPr>
          <w:lang w:val="ru-RU"/>
        </w:rPr>
      </w:pPr>
      <w:r w:rsidRPr="004B0750">
        <w:rPr>
          <w:lang w:val="ru-RU"/>
        </w:rPr>
        <w:t xml:space="preserve">Сфера применения </w:t>
      </w:r>
    </w:p>
    <w:p w:rsidR="006C7EE5" w:rsidRDefault="006C7EE5" w:rsidP="006C7EE5">
      <w:pPr>
        <w:pStyle w:val="Summary"/>
        <w:rPr>
          <w:lang w:val="ru-RU"/>
        </w:rPr>
      </w:pPr>
      <w:bookmarkStart w:id="3" w:name="dbreak"/>
      <w:bookmarkEnd w:id="3"/>
      <w:r>
        <w:rPr>
          <w:lang w:val="ru-RU"/>
        </w:rPr>
        <w:t>В настоящей Рекомендации приводится информация о текущем и будущем использовании НГСО систем сбора данных (DCS) в полосе 401–403 МГц, а также о делении полосы для предоставления всем системам DCS равного доступа к спектру.</w:t>
      </w:r>
    </w:p>
    <w:p w:rsidR="00123EC7" w:rsidRPr="004B0750" w:rsidRDefault="00123EC7" w:rsidP="00123EC7">
      <w:pPr>
        <w:pStyle w:val="Normalaftertitle"/>
        <w:rPr>
          <w:lang w:val="ru-RU"/>
        </w:rPr>
      </w:pPr>
      <w:bookmarkStart w:id="4" w:name="_GoBack"/>
      <w:bookmarkEnd w:id="4"/>
      <w:r w:rsidRPr="004B0750">
        <w:rPr>
          <w:lang w:val="ru-RU"/>
        </w:rPr>
        <w:t>Ассамблеи радиосвязи МСЭ,</w:t>
      </w:r>
    </w:p>
    <w:p w:rsidR="00123EC7" w:rsidRPr="004B0750" w:rsidRDefault="00123EC7" w:rsidP="00123EC7">
      <w:pPr>
        <w:pStyle w:val="Call"/>
        <w:rPr>
          <w:lang w:val="ru-RU"/>
        </w:rPr>
      </w:pPr>
      <w:r w:rsidRPr="004B0750">
        <w:rPr>
          <w:lang w:val="ru-RU"/>
        </w:rPr>
        <w:t>учитывая</w:t>
      </w:r>
      <w:r w:rsidRPr="004B0750">
        <w:rPr>
          <w:i w:val="0"/>
          <w:lang w:val="ru-RU"/>
        </w:rPr>
        <w:t>,</w:t>
      </w:r>
    </w:p>
    <w:p w:rsidR="00123EC7" w:rsidRPr="004B0750" w:rsidRDefault="00123EC7" w:rsidP="00123EC7">
      <w:pPr>
        <w:rPr>
          <w:lang w:val="ru-RU"/>
        </w:rPr>
      </w:pPr>
      <w:r w:rsidRPr="004B0750">
        <w:rPr>
          <w:i/>
          <w:lang w:val="ru-RU"/>
        </w:rPr>
        <w:t>a)</w:t>
      </w:r>
      <w:r w:rsidRPr="004B0750">
        <w:rPr>
          <w:lang w:val="ru-RU"/>
        </w:rPr>
        <w:tab/>
        <w:t>что системы сбора данных</w:t>
      </w:r>
      <w:r w:rsidRPr="004B0750">
        <w:rPr>
          <w:snapToGrid w:val="0"/>
          <w:lang w:val="ru-RU"/>
        </w:rPr>
        <w:t xml:space="preserve"> (DCS) работают на основе негеостационарных систем МетСат и спутниковой службы исследования Земли (ССИЗ) в полосе частот </w:t>
      </w:r>
      <w:r w:rsidRPr="004B0750">
        <w:rPr>
          <w:lang w:val="ru-RU"/>
        </w:rPr>
        <w:t>401−403 МГц</w:t>
      </w:r>
      <w:r w:rsidRPr="004B0750">
        <w:rPr>
          <w:snapToGrid w:val="0"/>
          <w:lang w:val="ru-RU"/>
        </w:rPr>
        <w:t>;</w:t>
      </w:r>
    </w:p>
    <w:p w:rsidR="00123EC7" w:rsidRPr="004B0750" w:rsidRDefault="00123EC7" w:rsidP="00123EC7">
      <w:pPr>
        <w:rPr>
          <w:lang w:val="ru-RU"/>
        </w:rPr>
      </w:pPr>
      <w:r w:rsidRPr="004B0750">
        <w:rPr>
          <w:i/>
          <w:lang w:val="ru-RU"/>
        </w:rPr>
        <w:t>b)</w:t>
      </w:r>
      <w:r w:rsidRPr="004B0750">
        <w:rPr>
          <w:lang w:val="ru-RU"/>
        </w:rPr>
        <w:tab/>
        <w:t xml:space="preserve">что </w:t>
      </w:r>
      <w:r w:rsidRPr="004B0750">
        <w:rPr>
          <w:snapToGrid w:val="0"/>
          <w:lang w:val="ru-RU"/>
        </w:rPr>
        <w:t>существенно повысились</w:t>
      </w:r>
      <w:r w:rsidRPr="004B0750">
        <w:rPr>
          <w:lang w:val="ru-RU"/>
        </w:rPr>
        <w:t xml:space="preserve"> требования к ширине полосы систем </w:t>
      </w:r>
      <w:r w:rsidRPr="004B0750">
        <w:rPr>
          <w:snapToGrid w:val="0"/>
          <w:lang w:val="ru-RU"/>
        </w:rPr>
        <w:t xml:space="preserve">DCS </w:t>
      </w:r>
      <w:r w:rsidRPr="004B0750">
        <w:rPr>
          <w:lang w:val="ru-RU"/>
        </w:rPr>
        <w:t xml:space="preserve">следующего поколения </w:t>
      </w:r>
      <w:r w:rsidRPr="004B0750">
        <w:rPr>
          <w:snapToGrid w:val="0"/>
          <w:lang w:val="ru-RU"/>
        </w:rPr>
        <w:t>на геостационарных и негеостационарных системах МетСат и ССИЗ</w:t>
      </w:r>
      <w:r w:rsidRPr="004B0750">
        <w:rPr>
          <w:lang w:val="ru-RU"/>
        </w:rPr>
        <w:t>;</w:t>
      </w:r>
    </w:p>
    <w:p w:rsidR="00123EC7" w:rsidRPr="004B0750" w:rsidRDefault="00123EC7" w:rsidP="00123EC7">
      <w:pPr>
        <w:rPr>
          <w:lang w:val="ru-RU"/>
        </w:rPr>
      </w:pPr>
      <w:r w:rsidRPr="004B0750">
        <w:rPr>
          <w:i/>
          <w:lang w:val="ru-RU"/>
        </w:rPr>
        <w:t>c)</w:t>
      </w:r>
      <w:r w:rsidRPr="004B0750">
        <w:rPr>
          <w:lang w:val="ru-RU"/>
        </w:rPr>
        <w:tab/>
        <w:t>что в связи с повышенными требованиями к спектру геостационарных и негеостационарных систем МетСат и ССИЗ необходимо, чтобы применительно к существующим и будущим системам DCS все операторы соблюдали базовое общее разделение полосы 401−403 МГц, а также условия совместного использования частот,</w:t>
      </w:r>
    </w:p>
    <w:p w:rsidR="00123EC7" w:rsidRPr="004B0750" w:rsidRDefault="00123EC7" w:rsidP="00123EC7">
      <w:pPr>
        <w:pStyle w:val="Call"/>
        <w:rPr>
          <w:lang w:val="ru-RU"/>
        </w:rPr>
      </w:pPr>
      <w:r w:rsidRPr="004B0750">
        <w:rPr>
          <w:lang w:val="ru-RU"/>
        </w:rPr>
        <w:t>рекомендует</w:t>
      </w:r>
      <w:r w:rsidRPr="004B0750">
        <w:rPr>
          <w:i w:val="0"/>
          <w:lang w:val="ru-RU"/>
        </w:rPr>
        <w:t>,</w:t>
      </w:r>
    </w:p>
    <w:p w:rsidR="00123EC7" w:rsidRPr="004B0750" w:rsidRDefault="00123EC7" w:rsidP="00123EC7">
      <w:pPr>
        <w:rPr>
          <w:lang w:val="ru-RU"/>
        </w:rPr>
      </w:pPr>
      <w:r w:rsidRPr="004B0750">
        <w:rPr>
          <w:b/>
          <w:bCs/>
          <w:lang w:val="ru-RU"/>
        </w:rPr>
        <w:t>1</w:t>
      </w:r>
      <w:r w:rsidRPr="004B0750">
        <w:rPr>
          <w:b/>
          <w:bCs/>
          <w:lang w:val="ru-RU"/>
        </w:rPr>
        <w:tab/>
      </w:r>
      <w:r w:rsidRPr="004B0750">
        <w:rPr>
          <w:lang w:val="ru-RU"/>
        </w:rPr>
        <w:t xml:space="preserve">чтобы операторы существующих и будущих систем DCS на геостационарных и негеостационарных спутниках МетСат и ССИЗ планировали использование частот в соответствии с базовым общим разделением полосы 401−403 МГц, как показано в Приложении, с учетом условий совместного использования частот, приведенных ниже в пунктах 2–7 раздела </w:t>
      </w:r>
      <w:r w:rsidRPr="004B0750">
        <w:rPr>
          <w:i/>
          <w:iCs/>
          <w:lang w:val="ru-RU"/>
        </w:rPr>
        <w:t>рекомендует</w:t>
      </w:r>
      <w:r w:rsidRPr="004B0750">
        <w:rPr>
          <w:lang w:val="ru-RU"/>
        </w:rPr>
        <w:t>;</w:t>
      </w:r>
    </w:p>
    <w:p w:rsidR="00123EC7" w:rsidRPr="004B0750" w:rsidRDefault="00123EC7" w:rsidP="00012EAC">
      <w:pPr>
        <w:rPr>
          <w:lang w:val="ru-RU"/>
        </w:rPr>
      </w:pPr>
      <w:r w:rsidRPr="004B0750">
        <w:rPr>
          <w:b/>
          <w:bCs/>
          <w:lang w:val="ru-RU"/>
        </w:rPr>
        <w:t>2</w:t>
      </w:r>
      <w:r w:rsidRPr="004B0750">
        <w:rPr>
          <w:b/>
          <w:bCs/>
          <w:lang w:val="ru-RU"/>
        </w:rPr>
        <w:tab/>
      </w:r>
      <w:r w:rsidR="00815246">
        <w:rPr>
          <w:lang w:val="ru-RU"/>
        </w:rPr>
        <w:t>чтобы полоса 401,7−402,435</w:t>
      </w:r>
      <w:r w:rsidR="00815246">
        <w:rPr>
          <w:lang w:val="en-US"/>
        </w:rPr>
        <w:t> </w:t>
      </w:r>
      <w:r w:rsidRPr="004B0750">
        <w:rPr>
          <w:lang w:val="ru-RU"/>
        </w:rPr>
        <w:t>МГц оставалась доступной только для систем DCS на геостационарных системах МетСат. Вместе с тем в пределах данного диапазона частот негеостационарная система МетСат "Метеор-3М", которую планируется использовать в полосе 401,899−401,998 МГц, будет работать только над территорией Российской Федерации;</w:t>
      </w:r>
    </w:p>
    <w:p w:rsidR="00123EC7" w:rsidRPr="004B0750" w:rsidRDefault="00123EC7" w:rsidP="00123EC7">
      <w:pPr>
        <w:rPr>
          <w:lang w:val="ru-RU"/>
        </w:rPr>
      </w:pPr>
      <w:r w:rsidRPr="004B0750">
        <w:rPr>
          <w:b/>
          <w:bCs/>
          <w:lang w:val="ru-RU"/>
        </w:rPr>
        <w:t>3</w:t>
      </w:r>
      <w:r w:rsidRPr="004B0750">
        <w:rPr>
          <w:b/>
          <w:bCs/>
          <w:lang w:val="ru-RU"/>
        </w:rPr>
        <w:tab/>
      </w:r>
      <w:r w:rsidRPr="004B0750">
        <w:rPr>
          <w:lang w:val="ru-RU"/>
        </w:rPr>
        <w:t>что полоса 402,435−402,850 МГц используется только для систем DCS на геостационарных системах МетСат;</w:t>
      </w:r>
    </w:p>
    <w:p w:rsidR="00123EC7" w:rsidRPr="004B0750" w:rsidRDefault="00123EC7" w:rsidP="00012EAC">
      <w:pPr>
        <w:rPr>
          <w:lang w:val="ru-RU"/>
        </w:rPr>
      </w:pPr>
      <w:r w:rsidRPr="004B0750">
        <w:rPr>
          <w:b/>
          <w:bCs/>
          <w:lang w:val="ru-RU"/>
        </w:rPr>
        <w:t>4</w:t>
      </w:r>
      <w:r w:rsidRPr="004B0750">
        <w:rPr>
          <w:b/>
          <w:bCs/>
          <w:lang w:val="ru-RU"/>
        </w:rPr>
        <w:tab/>
      </w:r>
      <w:r w:rsidRPr="004B0750">
        <w:rPr>
          <w:lang w:val="ru-RU"/>
        </w:rPr>
        <w:t>что полоса 401,1</w:t>
      </w:r>
      <w:r w:rsidR="00815246" w:rsidRPr="00815246">
        <w:rPr>
          <w:lang w:val="ru-RU"/>
        </w:rPr>
        <w:t>–</w:t>
      </w:r>
      <w:r w:rsidRPr="004B0750">
        <w:rPr>
          <w:lang w:val="ru-RU"/>
        </w:rPr>
        <w:t>401,4 МГц используется для систем DCS на геостационарных системах МетСат. Вместе с тем в пределах данного диап</w:t>
      </w:r>
      <w:r w:rsidR="00012EAC">
        <w:rPr>
          <w:lang w:val="ru-RU"/>
        </w:rPr>
        <w:t>азона частот полосы 401,1</w:t>
      </w:r>
      <w:r w:rsidR="00012EAC" w:rsidRPr="00012EAC">
        <w:rPr>
          <w:lang w:val="ru-RU"/>
        </w:rPr>
        <w:t>–</w:t>
      </w:r>
      <w:r w:rsidR="00012EAC">
        <w:rPr>
          <w:lang w:val="ru-RU"/>
        </w:rPr>
        <w:t>401,2</w:t>
      </w:r>
      <w:r w:rsidR="00012EAC">
        <w:rPr>
          <w:lang w:val="en-US"/>
        </w:rPr>
        <w:t> </w:t>
      </w:r>
      <w:r w:rsidRPr="004B0750">
        <w:rPr>
          <w:lang w:val="ru-RU"/>
        </w:rPr>
        <w:t>МГц и 401,3−401,4 МГц могут также использоваться для платформ глобальной спутниковой системы сбора данных и определения местоположения (ARGOS) на следующих условиях:</w:t>
      </w:r>
    </w:p>
    <w:p w:rsidR="00123EC7" w:rsidRPr="004B0750" w:rsidRDefault="00123EC7" w:rsidP="00815246">
      <w:pPr>
        <w:pStyle w:val="enumlev1"/>
        <w:rPr>
          <w:lang w:val="ru-RU"/>
        </w:rPr>
      </w:pPr>
      <w:r w:rsidRPr="004B0750">
        <w:rPr>
          <w:lang w:val="ru-RU"/>
        </w:rPr>
        <w:t>–</w:t>
      </w:r>
      <w:r w:rsidRPr="004B0750">
        <w:rPr>
          <w:lang w:val="ru-RU"/>
        </w:rPr>
        <w:tab/>
        <w:t xml:space="preserve">максимальная э.и.и.м. равна </w:t>
      </w:r>
      <w:r w:rsidR="00815246" w:rsidRPr="00012EAC">
        <w:rPr>
          <w:lang w:val="ru-RU"/>
        </w:rPr>
        <w:t>–</w:t>
      </w:r>
      <w:r w:rsidRPr="004B0750">
        <w:rPr>
          <w:lang w:val="ru-RU"/>
        </w:rPr>
        <w:t>3 дБВт;</w:t>
      </w:r>
    </w:p>
    <w:p w:rsidR="00123EC7" w:rsidRPr="004B0750" w:rsidRDefault="00123EC7" w:rsidP="00123EC7">
      <w:pPr>
        <w:pStyle w:val="enumlev1"/>
        <w:rPr>
          <w:lang w:val="ru-RU"/>
        </w:rPr>
      </w:pPr>
      <w:r w:rsidRPr="004B0750">
        <w:rPr>
          <w:lang w:val="ru-RU"/>
        </w:rPr>
        <w:t>–</w:t>
      </w:r>
      <w:r w:rsidRPr="004B0750">
        <w:rPr>
          <w:lang w:val="ru-RU"/>
        </w:rPr>
        <w:tab/>
        <w:t>максимальное количество активных платформ ARGOS, подлежащих развертыванию в каждом из этих двух поддиапазонов, не должно превышать 1000 в круге видимости спутников серий FY-2 и FYGEOSAT;</w:t>
      </w:r>
    </w:p>
    <w:p w:rsidR="00123EC7" w:rsidRPr="004B0750" w:rsidRDefault="00123EC7" w:rsidP="00123EC7">
      <w:pPr>
        <w:pStyle w:val="enumlev1"/>
        <w:rPr>
          <w:lang w:val="ru-RU"/>
        </w:rPr>
      </w:pPr>
      <w:r w:rsidRPr="004B0750">
        <w:rPr>
          <w:lang w:val="ru-RU"/>
        </w:rPr>
        <w:t>–</w:t>
      </w:r>
      <w:r w:rsidRPr="004B0750">
        <w:rPr>
          <w:lang w:val="ru-RU"/>
        </w:rPr>
        <w:tab/>
        <w:t>максимальный коэффициент заполнения импульсов (от</w:t>
      </w:r>
      <w:r w:rsidR="00433D04">
        <w:rPr>
          <w:lang w:val="ru-RU"/>
        </w:rPr>
        <w:t>ношение длительности передачи к </w:t>
      </w:r>
      <w:r w:rsidRPr="004B0750">
        <w:rPr>
          <w:lang w:val="ru-RU"/>
        </w:rPr>
        <w:t>периоду повторения) каждой платформы не должен превышать 0</w:t>
      </w:r>
      <w:r w:rsidR="00A36629">
        <w:rPr>
          <w:lang w:val="ru-RU"/>
        </w:rPr>
        <w:t>,01 (в сре</w:t>
      </w:r>
      <w:r w:rsidR="00433D04">
        <w:rPr>
          <w:lang w:val="ru-RU"/>
        </w:rPr>
        <w:t>днем, 0,6 с в </w:t>
      </w:r>
      <w:r w:rsidR="00A36629">
        <w:rPr>
          <w:lang w:val="ru-RU"/>
        </w:rPr>
        <w:t>течение </w:t>
      </w:r>
      <w:r w:rsidRPr="004B0750">
        <w:rPr>
          <w:lang w:val="ru-RU"/>
        </w:rPr>
        <w:t>60 с);</w:t>
      </w:r>
    </w:p>
    <w:p w:rsidR="00123EC7" w:rsidRPr="004B0750" w:rsidRDefault="00123EC7" w:rsidP="00A36629">
      <w:pPr>
        <w:keepNext/>
        <w:keepLines/>
        <w:rPr>
          <w:lang w:val="ru-RU"/>
        </w:rPr>
      </w:pPr>
      <w:r w:rsidRPr="004B0750">
        <w:rPr>
          <w:b/>
          <w:bCs/>
          <w:lang w:val="ru-RU"/>
        </w:rPr>
        <w:lastRenderedPageBreak/>
        <w:t>5</w:t>
      </w:r>
      <w:r w:rsidRPr="004B0750">
        <w:rPr>
          <w:b/>
          <w:bCs/>
          <w:lang w:val="ru-RU"/>
        </w:rPr>
        <w:tab/>
      </w:r>
      <w:r w:rsidRPr="004B0750">
        <w:rPr>
          <w:lang w:val="ru-RU"/>
        </w:rPr>
        <w:t>что полосы 401−401,1 МГц, 401,4−401,7 МГц и 402,850−403 МГц предназначены для негеостационарных систем, таких как ARGOS. Вместе с тем поддиапазон 401,5−401,7 МГц может также использоваться платформой сбора данных (DCP) на геостационарных системах Российской Федерации с учетом того, что в поддиапазоне 401,58−401,7 МГц эти системы должны быть ограничены работой над территорией Российской Федерации при максимальной э.и.и.м., равной 16 дБВт;</w:t>
      </w:r>
    </w:p>
    <w:p w:rsidR="00123EC7" w:rsidRPr="004B0750" w:rsidRDefault="00123EC7" w:rsidP="00123EC7">
      <w:pPr>
        <w:rPr>
          <w:b/>
          <w:lang w:val="ru-RU"/>
        </w:rPr>
      </w:pPr>
      <w:r w:rsidRPr="004B0750">
        <w:rPr>
          <w:b/>
          <w:lang w:val="ru-RU"/>
        </w:rPr>
        <w:t>6</w:t>
      </w:r>
      <w:r w:rsidRPr="004B0750">
        <w:rPr>
          <w:b/>
          <w:lang w:val="ru-RU"/>
        </w:rPr>
        <w:tab/>
      </w:r>
      <w:r w:rsidRPr="004B0750">
        <w:rPr>
          <w:lang w:val="ru-RU"/>
        </w:rPr>
        <w:t>что полоса 401,605−401,665 МГц предназначена также для использования НГСО системой DCS Бразилии над территорией Южной Америки;</w:t>
      </w:r>
    </w:p>
    <w:p w:rsidR="00123EC7" w:rsidRPr="004B0750" w:rsidRDefault="00123EC7" w:rsidP="00123EC7">
      <w:pPr>
        <w:rPr>
          <w:lang w:val="ru-RU"/>
        </w:rPr>
      </w:pPr>
      <w:r w:rsidRPr="004B0750">
        <w:rPr>
          <w:b/>
          <w:bCs/>
          <w:lang w:val="ru-RU"/>
        </w:rPr>
        <w:t>7</w:t>
      </w:r>
      <w:r w:rsidRPr="004B0750">
        <w:rPr>
          <w:b/>
          <w:bCs/>
          <w:lang w:val="ru-RU"/>
        </w:rPr>
        <w:tab/>
      </w:r>
      <w:r w:rsidRPr="004B0750">
        <w:rPr>
          <w:lang w:val="ru-RU"/>
        </w:rPr>
        <w:t xml:space="preserve">что полоса </w:t>
      </w:r>
      <w:r w:rsidRPr="004B0750">
        <w:rPr>
          <w:snapToGrid w:val="0"/>
          <w:lang w:val="ru-RU"/>
        </w:rPr>
        <w:t xml:space="preserve">402,034−402,067 МГц выделена международным системам сбора данных (IDCS). </w:t>
      </w:r>
    </w:p>
    <w:p w:rsidR="00123EC7" w:rsidRPr="004B0750" w:rsidRDefault="00123EC7" w:rsidP="00123EC7">
      <w:pPr>
        <w:rPr>
          <w:lang w:val="ru-RU"/>
        </w:rPr>
      </w:pPr>
    </w:p>
    <w:p w:rsidR="00123EC7" w:rsidRPr="004B0750" w:rsidRDefault="00123EC7" w:rsidP="00123EC7">
      <w:pPr>
        <w:rPr>
          <w:lang w:val="ru-RU"/>
        </w:rPr>
      </w:pPr>
    </w:p>
    <w:p w:rsidR="00123EC7" w:rsidRPr="004B0750" w:rsidRDefault="00123EC7" w:rsidP="00123EC7">
      <w:pPr>
        <w:pStyle w:val="AnnexNoTitle"/>
        <w:spacing w:after="480"/>
        <w:rPr>
          <w:lang w:val="ru-RU"/>
        </w:rPr>
      </w:pPr>
      <w:r w:rsidRPr="004B0750">
        <w:rPr>
          <w:lang w:val="ru-RU"/>
        </w:rPr>
        <w:t>Приложение</w:t>
      </w:r>
      <w:r w:rsidRPr="004B0750">
        <w:rPr>
          <w:lang w:val="ru-RU"/>
        </w:rPr>
        <w:br/>
      </w:r>
      <w:r w:rsidRPr="004B0750">
        <w:rPr>
          <w:lang w:val="ru-RU"/>
        </w:rPr>
        <w:br/>
        <w:t xml:space="preserve">Базовое общее разделение полосы 401−403 МГц </w:t>
      </w:r>
      <w:r w:rsidRPr="004B0750">
        <w:rPr>
          <w:snapToGrid w:val="0"/>
          <w:lang w:val="ru-RU"/>
        </w:rPr>
        <w:t>для будущего долгосрочного скоординированного применения систем DCS на геостационарных и негеостационарных системах МетСат и ССИЗ</w:t>
      </w:r>
    </w:p>
    <w:p w:rsidR="00123EC7" w:rsidRPr="004B0750" w:rsidRDefault="00123EC7" w:rsidP="00123EC7">
      <w:pPr>
        <w:pStyle w:val="Headingb"/>
        <w:rPr>
          <w:lang w:val="ru-RU"/>
        </w:rPr>
      </w:pPr>
      <w:r w:rsidRPr="004B0750">
        <w:rPr>
          <w:lang w:val="ru-RU"/>
        </w:rPr>
        <w:t xml:space="preserve">Базовая информация о системах сбора данных </w:t>
      </w:r>
    </w:p>
    <w:p w:rsidR="00123EC7" w:rsidRPr="004B0750" w:rsidRDefault="00123EC7" w:rsidP="00A36629">
      <w:pPr>
        <w:rPr>
          <w:color w:val="000000"/>
          <w:lang w:val="ru-RU" w:eastAsia="fr-FR"/>
        </w:rPr>
      </w:pPr>
      <w:r w:rsidRPr="004B0750">
        <w:rPr>
          <w:lang w:val="ru-RU"/>
        </w:rPr>
        <w:t xml:space="preserve">Один из видов использования ССИЗ/МетСат включает деятельность по сбору информации платформами сбора данных, связанную с Землей, природоохранным и научным применением, наблюдением за погодой и окружающей средой. Данные, собираемые наземными платформами, передаются на соответствующие спутники, которые ретранслируют полученную информацию специализированным земным станциям. Система </w:t>
      </w:r>
      <w:r w:rsidRPr="004B0750">
        <w:rPr>
          <w:color w:val="000000"/>
          <w:lang w:val="ru-RU" w:eastAsia="fr-FR"/>
        </w:rPr>
        <w:t>DCS особенно эффективна для сбора данных из удаленных и неблагоприятных мест, где она может обеспечить единственную возможность ретрансляции данных. Тем не менее эта система имеет множество областей применения в регионах с высоко развитой инфраструктурой. Установки, необходимые для ретрансляции данных, как правило, являются недорогими, незаметными и обычно без труда вписываются в местную окружающую среду.</w:t>
      </w:r>
    </w:p>
    <w:p w:rsidR="00123EC7" w:rsidRPr="004B0750" w:rsidRDefault="00123EC7" w:rsidP="00123EC7">
      <w:pPr>
        <w:rPr>
          <w:lang w:val="ru-RU" w:eastAsia="fr-FR"/>
        </w:rPr>
      </w:pPr>
      <w:r w:rsidRPr="004B0750">
        <w:rPr>
          <w:lang w:val="ru-RU"/>
        </w:rPr>
        <w:t>Существует два вида систем сбора данных: геостационарные системы, которые, как правило, работают в рамках радиослужбы МетСат, и негеостационарные системы, которые, как правило, работают в рамках спутниковой радиослужбы исследования Земли.</w:t>
      </w:r>
    </w:p>
    <w:p w:rsidR="00123EC7" w:rsidRPr="004B0750" w:rsidRDefault="00123EC7" w:rsidP="00123EC7">
      <w:pPr>
        <w:rPr>
          <w:lang w:val="ru-RU"/>
        </w:rPr>
      </w:pPr>
      <w:r w:rsidRPr="004B0750">
        <w:rPr>
          <w:lang w:val="ru-RU"/>
        </w:rPr>
        <w:t>Например, геостационарные спутники на протяжении многих лет эксплуатируются метеорологическими учреждениями, и системы DCS предоставляются несколькими операторами метеорологических спутников, обеспечивая практически полное покрытие поверхности Земли, за исключением полярных районов.</w:t>
      </w:r>
    </w:p>
    <w:p w:rsidR="00123EC7" w:rsidRPr="004B0750" w:rsidRDefault="00123EC7" w:rsidP="00123EC7">
      <w:pPr>
        <w:rPr>
          <w:lang w:val="ru-RU"/>
        </w:rPr>
      </w:pPr>
      <w:r w:rsidRPr="004B0750">
        <w:rPr>
          <w:lang w:val="ru-RU"/>
        </w:rPr>
        <w:t>Что касается негеостационарных спутников, одним из примеров является спутниковая система определения местоположения и DCS ARGOS: эта система позволяет ученым собирать информацию на любой платформе, оборудованной соответствующим передатчиком, где бы она ни находилась. Сообщения передатчиков системы ARGOS записываются группировкой спутников, оснащенных приборами ARGOS, и далее ретранслируются в специализированные центры обработки данных.</w:t>
      </w:r>
    </w:p>
    <w:p w:rsidR="00123EC7" w:rsidRPr="004B0750" w:rsidRDefault="00123EC7" w:rsidP="00123EC7">
      <w:pPr>
        <w:rPr>
          <w:lang w:val="ru-RU"/>
        </w:rPr>
      </w:pPr>
      <w:r w:rsidRPr="004B0750">
        <w:rPr>
          <w:lang w:val="ru-RU"/>
        </w:rPr>
        <w:t>Системы IDCS включают одиннадцать каналов, которые предназначены для платформы DCP, установленной на воздушном судне, морском судне, дрейфующем океаническом буе или аэростате, для непрерывной передачи данных об окружающей среде. Эти передачи принимаются ближайшим геостационарным метеорологическим спутником, ретранслируются на его главную наземную станцию и далее распределяются сообществу соответствующих пользователей.</w:t>
      </w:r>
    </w:p>
    <w:p w:rsidR="00123EC7" w:rsidRPr="004B0750" w:rsidRDefault="00123EC7" w:rsidP="00123EC7">
      <w:pPr>
        <w:rPr>
          <w:lang w:val="ru-RU"/>
        </w:rPr>
      </w:pPr>
    </w:p>
    <w:p w:rsidR="00123EC7" w:rsidRPr="004B0750" w:rsidRDefault="00123EC7" w:rsidP="00123EC7">
      <w:pPr>
        <w:widowControl w:val="0"/>
        <w:ind w:left="360"/>
        <w:rPr>
          <w:szCs w:val="24"/>
          <w:lang w:val="ru-RU"/>
        </w:rPr>
        <w:sectPr w:rsidR="00123EC7" w:rsidRPr="004B0750" w:rsidSect="00B94276">
          <w:footerReference w:type="default" r:id="rId14"/>
          <w:headerReference w:type="first" r:id="rId15"/>
          <w:footerReference w:type="first" r:id="rId16"/>
          <w:pgSz w:w="11907" w:h="16834" w:code="9"/>
          <w:pgMar w:top="1418" w:right="1134" w:bottom="1134" w:left="1134" w:header="720" w:footer="329" w:gutter="0"/>
          <w:pgNumType w:start="1"/>
          <w:cols w:space="720"/>
          <w:titlePg/>
        </w:sectPr>
      </w:pPr>
    </w:p>
    <w:p w:rsidR="00123EC7" w:rsidRPr="004B0750" w:rsidRDefault="00123EC7" w:rsidP="00123EC7">
      <w:pPr>
        <w:pStyle w:val="Headingb"/>
        <w:rPr>
          <w:lang w:val="ru-RU"/>
        </w:rPr>
      </w:pPr>
      <w:r w:rsidRPr="004B0750">
        <w:rPr>
          <w:lang w:val="ru-RU"/>
        </w:rPr>
        <w:lastRenderedPageBreak/>
        <w:t>Общее использование полосы 401−403 МГц</w:t>
      </w:r>
    </w:p>
    <w:bookmarkStart w:id="5" w:name="_MON_1471353387"/>
    <w:bookmarkEnd w:id="5"/>
    <w:p w:rsidR="00BB73A9" w:rsidRPr="004B0750" w:rsidRDefault="00BB73A9" w:rsidP="00BB73A9">
      <w:pPr>
        <w:rPr>
          <w:lang w:val="ru-RU"/>
        </w:rPr>
      </w:pPr>
      <w:r w:rsidRPr="004B0750">
        <w:rPr>
          <w:lang w:val="ru-RU" w:eastAsia="zh-CN"/>
        </w:rPr>
        <w:object w:dxaOrig="14282"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77.75pt" o:ole="">
            <v:imagedata r:id="rId17" o:title=""/>
          </v:shape>
          <o:OLEObject Type="Embed" ProgID="Word.Document.12" ShapeID="_x0000_i1025" DrawAspect="Content" ObjectID="_1598446586" r:id="rId18">
            <o:FieldCodes>\s</o:FieldCodes>
          </o:OLEObject>
        </w:object>
      </w:r>
    </w:p>
    <w:p w:rsidR="00123EC7" w:rsidRPr="004B0750" w:rsidRDefault="00123EC7" w:rsidP="00123EC7">
      <w:pPr>
        <w:pStyle w:val="enumlev1"/>
        <w:rPr>
          <w:sz w:val="20"/>
          <w:lang w:val="ru-RU"/>
        </w:rPr>
      </w:pPr>
      <w:r w:rsidRPr="004B0750">
        <w:rPr>
          <w:sz w:val="20"/>
          <w:vertAlign w:val="superscript"/>
          <w:lang w:val="ru-RU"/>
        </w:rPr>
        <w:t>(1)</w:t>
      </w:r>
      <w:r w:rsidRPr="004B0750">
        <w:rPr>
          <w:sz w:val="20"/>
          <w:lang w:val="ru-RU"/>
        </w:rPr>
        <w:tab/>
        <w:t xml:space="preserve">В пункте 2 раздела </w:t>
      </w:r>
      <w:r w:rsidRPr="004B0750">
        <w:rPr>
          <w:i/>
          <w:iCs/>
          <w:sz w:val="20"/>
          <w:lang w:val="ru-RU"/>
        </w:rPr>
        <w:t xml:space="preserve">рекомендует </w:t>
      </w:r>
      <w:r w:rsidRPr="004B0750">
        <w:rPr>
          <w:sz w:val="20"/>
          <w:lang w:val="ru-RU"/>
        </w:rPr>
        <w:t>содержатся следующие условия: в полосе 401,899−401,998 МГц негеостационарная система МетСат "Метеор-3M" будет работать только над территорией Российской Федерации.</w:t>
      </w:r>
    </w:p>
    <w:p w:rsidR="00123EC7" w:rsidRPr="004B0750" w:rsidRDefault="00123EC7" w:rsidP="00123EC7">
      <w:pPr>
        <w:pStyle w:val="enumlev1"/>
        <w:rPr>
          <w:sz w:val="20"/>
          <w:lang w:val="ru-RU"/>
        </w:rPr>
      </w:pPr>
      <w:r w:rsidRPr="004B0750">
        <w:rPr>
          <w:sz w:val="20"/>
          <w:vertAlign w:val="superscript"/>
          <w:lang w:val="ru-RU"/>
        </w:rPr>
        <w:t>(2)</w:t>
      </w:r>
      <w:r w:rsidRPr="004B0750">
        <w:rPr>
          <w:sz w:val="20"/>
          <w:lang w:val="ru-RU"/>
        </w:rPr>
        <w:tab/>
        <w:t xml:space="preserve">В отношении использования полос 401,1−401,2 МГц и 401,3−401,4 МГц платформами ARGOS действуют следующие условия, содержащиеся пункте 4 раздела </w:t>
      </w:r>
      <w:r w:rsidRPr="004B0750">
        <w:rPr>
          <w:i/>
          <w:iCs/>
          <w:sz w:val="20"/>
          <w:lang w:val="ru-RU"/>
        </w:rPr>
        <w:t>рекомендует</w:t>
      </w:r>
      <w:r w:rsidRPr="004B0750">
        <w:rPr>
          <w:sz w:val="20"/>
          <w:lang w:val="ru-RU"/>
        </w:rPr>
        <w:t>:</w:t>
      </w:r>
    </w:p>
    <w:p w:rsidR="00123EC7" w:rsidRPr="004B0750" w:rsidRDefault="00123EC7" w:rsidP="00123EC7">
      <w:pPr>
        <w:pStyle w:val="enumlev2"/>
        <w:rPr>
          <w:sz w:val="20"/>
          <w:lang w:val="ru-RU"/>
        </w:rPr>
      </w:pPr>
      <w:r w:rsidRPr="004B0750">
        <w:rPr>
          <w:sz w:val="20"/>
          <w:lang w:val="ru-RU"/>
        </w:rPr>
        <w:t>–</w:t>
      </w:r>
      <w:r w:rsidRPr="004B0750">
        <w:rPr>
          <w:sz w:val="20"/>
          <w:lang w:val="ru-RU"/>
        </w:rPr>
        <w:tab/>
        <w:t>максимальная э.и.и.м. равна −3 дБВт;</w:t>
      </w:r>
    </w:p>
    <w:p w:rsidR="00123EC7" w:rsidRPr="004B0750" w:rsidRDefault="00123EC7" w:rsidP="00123EC7">
      <w:pPr>
        <w:pStyle w:val="enumlev2"/>
        <w:rPr>
          <w:sz w:val="20"/>
          <w:lang w:val="ru-RU"/>
        </w:rPr>
      </w:pPr>
      <w:r w:rsidRPr="004B0750">
        <w:rPr>
          <w:sz w:val="20"/>
          <w:lang w:val="ru-RU"/>
        </w:rPr>
        <w:t>–</w:t>
      </w:r>
      <w:r w:rsidRPr="004B0750">
        <w:rPr>
          <w:sz w:val="20"/>
          <w:lang w:val="ru-RU"/>
        </w:rPr>
        <w:tab/>
        <w:t>максимальное количество активных платформ ARGOS, подлежащих развертыванию в каждом из этих двух поддиапазонов, не должно превышать 1000 в круге видимости спутников серий FY-2 и FYGEOSAT;</w:t>
      </w:r>
    </w:p>
    <w:p w:rsidR="00123EC7" w:rsidRPr="004B0750" w:rsidRDefault="00123EC7" w:rsidP="00123EC7">
      <w:pPr>
        <w:pStyle w:val="enumlev2"/>
        <w:rPr>
          <w:sz w:val="20"/>
          <w:lang w:val="ru-RU"/>
        </w:rPr>
      </w:pPr>
      <w:r w:rsidRPr="004B0750">
        <w:rPr>
          <w:sz w:val="20"/>
          <w:lang w:val="ru-RU"/>
        </w:rPr>
        <w:t>–</w:t>
      </w:r>
      <w:r w:rsidRPr="004B0750">
        <w:rPr>
          <w:sz w:val="20"/>
          <w:lang w:val="ru-RU"/>
        </w:rPr>
        <w:tab/>
        <w:t>максимальный коэффициент заполнения импульсов (отношение длительности передачи к периоду повторения) каждой платформы не должен превышать 0,01 (в среднем, 0,6 с в течение 60 с).</w:t>
      </w:r>
    </w:p>
    <w:p w:rsidR="00123EC7" w:rsidRPr="004B0750" w:rsidRDefault="00123EC7" w:rsidP="00123EC7">
      <w:pPr>
        <w:pStyle w:val="enumlev1"/>
        <w:rPr>
          <w:sz w:val="20"/>
          <w:lang w:val="ru-RU"/>
        </w:rPr>
      </w:pPr>
      <w:r w:rsidRPr="004B0750">
        <w:rPr>
          <w:sz w:val="20"/>
          <w:vertAlign w:val="superscript"/>
          <w:lang w:val="ru-RU"/>
        </w:rPr>
        <w:t>(3)</w:t>
      </w:r>
      <w:r w:rsidRPr="004B0750">
        <w:rPr>
          <w:sz w:val="20"/>
          <w:lang w:val="ru-RU"/>
        </w:rPr>
        <w:tab/>
        <w:t xml:space="preserve">В пункте 5 раздела </w:t>
      </w:r>
      <w:r w:rsidRPr="004B0750">
        <w:rPr>
          <w:i/>
          <w:iCs/>
          <w:sz w:val="20"/>
          <w:lang w:val="ru-RU"/>
        </w:rPr>
        <w:t xml:space="preserve">рекомендует </w:t>
      </w:r>
      <w:r w:rsidRPr="004B0750">
        <w:rPr>
          <w:sz w:val="20"/>
          <w:lang w:val="ru-RU"/>
        </w:rPr>
        <w:t>содержатся следующие условия: полоса 401,5−401,7 МГц может также использоваться DCP на геостационарных системах Российской Федерации с учетом того, что в поддиапазоне 401,58−401,7 МГц эти системы должны быть ограничены работой над территорией Российской Федерации при максимальной э.и.и.м., равной 16 дБВт.</w:t>
      </w:r>
    </w:p>
    <w:p w:rsidR="00934ED7" w:rsidRPr="004B0750" w:rsidRDefault="00123EC7" w:rsidP="00A36629">
      <w:pPr>
        <w:spacing w:before="720"/>
        <w:jc w:val="center"/>
        <w:rPr>
          <w:lang w:val="ru-RU" w:eastAsia="zh-CN"/>
        </w:rPr>
      </w:pPr>
      <w:r w:rsidRPr="004B0750">
        <w:rPr>
          <w:lang w:val="ru-RU" w:eastAsia="zh-CN"/>
        </w:rPr>
        <w:t>______________</w:t>
      </w:r>
    </w:p>
    <w:sectPr w:rsidR="00934ED7" w:rsidRPr="004B0750" w:rsidSect="00624C6C">
      <w:headerReference w:type="default" r:id="rId19"/>
      <w:pgSz w:w="16834" w:h="11907" w:orient="landscape" w:code="9"/>
      <w:pgMar w:top="1134" w:right="1099"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EC7" w:rsidRPr="00CE2E6D" w:rsidRDefault="00123EC7" w:rsidP="00CE2E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EC7" w:rsidRPr="00CE2E6D" w:rsidRDefault="00123EC7" w:rsidP="00CE2E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499E">
      <w:rPr>
        <w:rStyle w:val="PageNumber"/>
        <w:b/>
        <w:bCs/>
        <w:noProof/>
        <w:lang w:val="en-US"/>
      </w:rPr>
      <w:t>ii</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79499E">
      <w:rPr>
        <w:b/>
        <w:bCs/>
        <w:noProof/>
        <w:szCs w:val="22"/>
        <w:lang w:val="en-US"/>
      </w:rPr>
      <w:t>МСЭ-R  SA.2045-0</w:t>
    </w:r>
    <w:r w:rsidR="00B713CA"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pPr>
      <w:pStyle w:val="Header"/>
    </w:pPr>
    <w:r>
      <w:tab/>
    </w:r>
    <w:r w:rsidR="0079499E">
      <w:fldChar w:fldCharType="begin"/>
    </w:r>
    <w:r w:rsidR="0079499E">
      <w:instrText xml:space="preserve"> DOCPROPERTY "Header" \* MERGEFORMAT </w:instrText>
    </w:r>
    <w:r w:rsidR="0079499E">
      <w:fldChar w:fldCharType="separate"/>
    </w:r>
    <w:r w:rsidR="0079499E" w:rsidRPr="0079499E">
      <w:rPr>
        <w:b/>
        <w:bCs/>
      </w:rPr>
      <w:t xml:space="preserve">Rec. </w:t>
    </w:r>
    <w:r w:rsidR="0079499E">
      <w:rPr>
        <w:b/>
        <w:bCs/>
      </w:rPr>
      <w:fldChar w:fldCharType="end"/>
    </w:r>
    <w:r>
      <w:rPr>
        <w:b/>
        <w:bCs/>
      </w:rPr>
      <w:t xml:space="preserve"> </w:t>
    </w:r>
    <w:r>
      <w:rPr>
        <w:b/>
        <w:bCs/>
      </w:rPr>
      <w:fldChar w:fldCharType="begin"/>
    </w:r>
    <w:r>
      <w:rPr>
        <w:b/>
        <w:bCs/>
      </w:rPr>
      <w:instrText>styleref href</w:instrText>
    </w:r>
    <w:r>
      <w:rPr>
        <w:b/>
        <w:bCs/>
      </w:rPr>
      <w:fldChar w:fldCharType="separate"/>
    </w:r>
    <w:r w:rsidR="0079499E">
      <w:rPr>
        <w:b/>
        <w:bCs/>
        <w:noProof/>
      </w:rPr>
      <w:t>МСЭ-R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EC7" w:rsidRPr="000959AE" w:rsidRDefault="00123EC7" w:rsidP="00B94276">
    <w:pPr>
      <w:pStyle w:val="Header"/>
      <w:tabs>
        <w:tab w:val="center" w:pos="9696"/>
      </w:tabs>
      <w:rPr>
        <w:b/>
        <w:szCs w:val="22"/>
      </w:rPr>
    </w:pPr>
    <w:r w:rsidRPr="000959AE">
      <w:rPr>
        <w:b/>
        <w:szCs w:val="22"/>
      </w:rPr>
      <w:tab/>
    </w:r>
    <w:r w:rsidRPr="000959AE">
      <w:rPr>
        <w:b/>
        <w:szCs w:val="22"/>
        <w:lang w:val="ru-RU"/>
      </w:rPr>
      <w:t>Рек.</w:t>
    </w:r>
    <w:r>
      <w:rPr>
        <w:b/>
        <w:szCs w:val="22"/>
        <w:lang w:val="ru-RU"/>
      </w:rPr>
      <w:t xml:space="preserve"> </w:t>
    </w:r>
    <w:r w:rsidR="005105EA">
      <w:rPr>
        <w:b/>
        <w:szCs w:val="22"/>
        <w:lang w:val="ru-RU"/>
      </w:rPr>
      <w:t xml:space="preserve"> </w:t>
    </w:r>
    <w:r w:rsidRPr="000959AE">
      <w:rPr>
        <w:b/>
        <w:bCs/>
        <w:szCs w:val="22"/>
      </w:rPr>
      <w:fldChar w:fldCharType="begin"/>
    </w:r>
    <w:r w:rsidRPr="000959AE">
      <w:rPr>
        <w:b/>
        <w:bCs/>
        <w:szCs w:val="22"/>
        <w:lang w:val="en-US"/>
      </w:rPr>
      <w:instrText>styleref href</w:instrText>
    </w:r>
    <w:r w:rsidRPr="000959AE">
      <w:rPr>
        <w:b/>
        <w:bCs/>
        <w:szCs w:val="22"/>
      </w:rPr>
      <w:fldChar w:fldCharType="separate"/>
    </w:r>
    <w:r w:rsidR="0079499E">
      <w:rPr>
        <w:b/>
        <w:bCs/>
        <w:noProof/>
        <w:szCs w:val="22"/>
      </w:rPr>
      <w:t>МСЭ-R  SA.2045-0</w:t>
    </w:r>
    <w:r w:rsidRPr="000959AE">
      <w:rPr>
        <w:b/>
        <w:bCs/>
        <w:szCs w:val="22"/>
      </w:rPr>
      <w:fldChar w:fldCharType="end"/>
    </w:r>
    <w:r w:rsidRPr="000959AE">
      <w:rPr>
        <w:b/>
        <w:bCs/>
        <w:szCs w:val="22"/>
      </w:rPr>
      <w:tab/>
    </w:r>
    <w:r w:rsidRPr="000959AE">
      <w:rPr>
        <w:rStyle w:val="PageNumber"/>
        <w:b/>
        <w:bCs/>
        <w:szCs w:val="22"/>
      </w:rPr>
      <w:fldChar w:fldCharType="begin"/>
    </w:r>
    <w:r w:rsidRPr="000959AE">
      <w:rPr>
        <w:rStyle w:val="PageNumber"/>
        <w:b/>
        <w:bCs/>
        <w:szCs w:val="22"/>
        <w:lang w:val="en-US"/>
      </w:rPr>
      <w:instrText xml:space="preserve"> PAGE </w:instrText>
    </w:r>
    <w:r w:rsidRPr="000959AE">
      <w:rPr>
        <w:rStyle w:val="PageNumber"/>
        <w:b/>
        <w:bCs/>
        <w:szCs w:val="22"/>
      </w:rPr>
      <w:fldChar w:fldCharType="separate"/>
    </w:r>
    <w:r w:rsidR="0079499E">
      <w:rPr>
        <w:rStyle w:val="PageNumber"/>
        <w:b/>
        <w:bCs/>
        <w:noProof/>
        <w:szCs w:val="22"/>
        <w:lang w:val="en-US"/>
      </w:rPr>
      <w:t>1</w:t>
    </w:r>
    <w:r w:rsidRPr="000959AE">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46B" w:rsidRPr="0046546B" w:rsidRDefault="00E73FF1" w:rsidP="0046546B">
    <w:pPr>
      <w:pStyle w:val="Header"/>
      <w:tabs>
        <w:tab w:val="clear" w:pos="4848"/>
        <w:tab w:val="clear" w:pos="9696"/>
        <w:tab w:val="center" w:pos="7088"/>
        <w:tab w:val="right" w:pos="14282"/>
      </w:tabs>
      <w:rPr>
        <w:b/>
        <w:szCs w:val="22"/>
      </w:rPr>
    </w:pPr>
    <w:r w:rsidRPr="000959AE">
      <w:rPr>
        <w:b/>
        <w:szCs w:val="22"/>
      </w:rPr>
      <w:tab/>
    </w:r>
    <w:r w:rsidRPr="000959AE">
      <w:rPr>
        <w:b/>
        <w:szCs w:val="22"/>
        <w:lang w:val="ru-RU"/>
      </w:rPr>
      <w:t>Рек.</w:t>
    </w:r>
    <w:r>
      <w:rPr>
        <w:b/>
        <w:szCs w:val="22"/>
        <w:lang w:val="ru-RU"/>
      </w:rPr>
      <w:t xml:space="preserve"> </w:t>
    </w:r>
    <w:r w:rsidRPr="000959AE">
      <w:rPr>
        <w:b/>
        <w:szCs w:val="22"/>
        <w:lang w:val="ru-RU"/>
      </w:rPr>
      <w:t xml:space="preserve"> МСЭ</w:t>
    </w:r>
    <w:r w:rsidRPr="000959AE">
      <w:rPr>
        <w:b/>
        <w:bCs/>
        <w:szCs w:val="22"/>
      </w:rPr>
      <w:fldChar w:fldCharType="begin"/>
    </w:r>
    <w:r w:rsidRPr="000959AE">
      <w:rPr>
        <w:b/>
        <w:bCs/>
        <w:szCs w:val="22"/>
        <w:lang w:val="en-US"/>
      </w:rPr>
      <w:instrText>styleref href</w:instrText>
    </w:r>
    <w:r w:rsidRPr="000959AE">
      <w:rPr>
        <w:b/>
        <w:bCs/>
        <w:szCs w:val="22"/>
      </w:rPr>
      <w:fldChar w:fldCharType="separate"/>
    </w:r>
    <w:r w:rsidR="0079499E">
      <w:rPr>
        <w:b/>
        <w:bCs/>
        <w:noProof/>
        <w:szCs w:val="22"/>
      </w:rPr>
      <w:t>МСЭ-R  SA.2045-0</w:t>
    </w:r>
    <w:r w:rsidRPr="000959AE">
      <w:rPr>
        <w:b/>
        <w:bCs/>
        <w:szCs w:val="22"/>
      </w:rPr>
      <w:fldChar w:fldCharType="end"/>
    </w:r>
    <w:r w:rsidRPr="000959AE">
      <w:rPr>
        <w:b/>
        <w:bCs/>
        <w:szCs w:val="22"/>
      </w:rPr>
      <w:tab/>
    </w:r>
    <w:r w:rsidRPr="000959AE">
      <w:rPr>
        <w:rStyle w:val="PageNumber"/>
        <w:b/>
        <w:bCs/>
        <w:szCs w:val="22"/>
      </w:rPr>
      <w:fldChar w:fldCharType="begin"/>
    </w:r>
    <w:r w:rsidRPr="000959AE">
      <w:rPr>
        <w:rStyle w:val="PageNumber"/>
        <w:b/>
        <w:bCs/>
        <w:szCs w:val="22"/>
        <w:lang w:val="en-US"/>
      </w:rPr>
      <w:instrText xml:space="preserve"> PAGE </w:instrText>
    </w:r>
    <w:r w:rsidRPr="000959AE">
      <w:rPr>
        <w:rStyle w:val="PageNumber"/>
        <w:b/>
        <w:bCs/>
        <w:szCs w:val="22"/>
      </w:rPr>
      <w:fldChar w:fldCharType="separate"/>
    </w:r>
    <w:r w:rsidR="0079499E">
      <w:rPr>
        <w:rStyle w:val="PageNumber"/>
        <w:b/>
        <w:bCs/>
        <w:noProof/>
        <w:szCs w:val="22"/>
        <w:lang w:val="en-US"/>
      </w:rPr>
      <w:t>3</w:t>
    </w:r>
    <w:r w:rsidRPr="000959AE">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EAC"/>
    <w:rsid w:val="00013002"/>
    <w:rsid w:val="0002102A"/>
    <w:rsid w:val="00036EE3"/>
    <w:rsid w:val="000570B8"/>
    <w:rsid w:val="00072484"/>
    <w:rsid w:val="00096612"/>
    <w:rsid w:val="000B3FC0"/>
    <w:rsid w:val="000B7683"/>
    <w:rsid w:val="000D0677"/>
    <w:rsid w:val="000E6A6E"/>
    <w:rsid w:val="00102934"/>
    <w:rsid w:val="00123EC7"/>
    <w:rsid w:val="00131900"/>
    <w:rsid w:val="00147110"/>
    <w:rsid w:val="001511A6"/>
    <w:rsid w:val="001978E6"/>
    <w:rsid w:val="00197B47"/>
    <w:rsid w:val="001D407F"/>
    <w:rsid w:val="002058CE"/>
    <w:rsid w:val="002165F1"/>
    <w:rsid w:val="00276D21"/>
    <w:rsid w:val="00296D7F"/>
    <w:rsid w:val="002A59D3"/>
    <w:rsid w:val="002B3CF6"/>
    <w:rsid w:val="002C768A"/>
    <w:rsid w:val="002D76C4"/>
    <w:rsid w:val="002F5199"/>
    <w:rsid w:val="00305A41"/>
    <w:rsid w:val="0032521D"/>
    <w:rsid w:val="00356B5D"/>
    <w:rsid w:val="003646F2"/>
    <w:rsid w:val="003B2791"/>
    <w:rsid w:val="003C38BA"/>
    <w:rsid w:val="003C78DD"/>
    <w:rsid w:val="00420DFD"/>
    <w:rsid w:val="00433D04"/>
    <w:rsid w:val="00437A76"/>
    <w:rsid w:val="00443EB0"/>
    <w:rsid w:val="00467C4F"/>
    <w:rsid w:val="00470E28"/>
    <w:rsid w:val="004934C5"/>
    <w:rsid w:val="004B0750"/>
    <w:rsid w:val="005105EA"/>
    <w:rsid w:val="00556548"/>
    <w:rsid w:val="00561F86"/>
    <w:rsid w:val="00571788"/>
    <w:rsid w:val="00586EF8"/>
    <w:rsid w:val="005A127F"/>
    <w:rsid w:val="005B49AB"/>
    <w:rsid w:val="005B50E7"/>
    <w:rsid w:val="005E7B4F"/>
    <w:rsid w:val="00601882"/>
    <w:rsid w:val="00607D68"/>
    <w:rsid w:val="006114CA"/>
    <w:rsid w:val="00613212"/>
    <w:rsid w:val="006149B1"/>
    <w:rsid w:val="00637F12"/>
    <w:rsid w:val="00680D2B"/>
    <w:rsid w:val="00681B32"/>
    <w:rsid w:val="006B1D2B"/>
    <w:rsid w:val="006C7EE5"/>
    <w:rsid w:val="006E1131"/>
    <w:rsid w:val="006E2037"/>
    <w:rsid w:val="006E6199"/>
    <w:rsid w:val="00712870"/>
    <w:rsid w:val="00743D85"/>
    <w:rsid w:val="00753CF4"/>
    <w:rsid w:val="007565CC"/>
    <w:rsid w:val="00763B9A"/>
    <w:rsid w:val="00771723"/>
    <w:rsid w:val="0079499E"/>
    <w:rsid w:val="007A6AA8"/>
    <w:rsid w:val="00815246"/>
    <w:rsid w:val="008310C9"/>
    <w:rsid w:val="00853CC5"/>
    <w:rsid w:val="00870848"/>
    <w:rsid w:val="008C7848"/>
    <w:rsid w:val="00906589"/>
    <w:rsid w:val="00906AD6"/>
    <w:rsid w:val="00917AF2"/>
    <w:rsid w:val="0092418A"/>
    <w:rsid w:val="00934ED7"/>
    <w:rsid w:val="0094477C"/>
    <w:rsid w:val="009543C3"/>
    <w:rsid w:val="00966E1B"/>
    <w:rsid w:val="009947C0"/>
    <w:rsid w:val="009C27C2"/>
    <w:rsid w:val="009E3058"/>
    <w:rsid w:val="009F2D2C"/>
    <w:rsid w:val="00A25DEC"/>
    <w:rsid w:val="00A31928"/>
    <w:rsid w:val="00A36629"/>
    <w:rsid w:val="00A62A14"/>
    <w:rsid w:val="00A6617B"/>
    <w:rsid w:val="00A71FE5"/>
    <w:rsid w:val="00A971A1"/>
    <w:rsid w:val="00AA3AD8"/>
    <w:rsid w:val="00AB0DC8"/>
    <w:rsid w:val="00AC3B0C"/>
    <w:rsid w:val="00AF302B"/>
    <w:rsid w:val="00B033C8"/>
    <w:rsid w:val="00B33425"/>
    <w:rsid w:val="00B44E24"/>
    <w:rsid w:val="00B54ECC"/>
    <w:rsid w:val="00B713CA"/>
    <w:rsid w:val="00B714F3"/>
    <w:rsid w:val="00B81D7F"/>
    <w:rsid w:val="00B87B6B"/>
    <w:rsid w:val="00BB283C"/>
    <w:rsid w:val="00BB73A9"/>
    <w:rsid w:val="00BC5D77"/>
    <w:rsid w:val="00BF0366"/>
    <w:rsid w:val="00BF487A"/>
    <w:rsid w:val="00C46BD9"/>
    <w:rsid w:val="00C55258"/>
    <w:rsid w:val="00C70D4D"/>
    <w:rsid w:val="00C73560"/>
    <w:rsid w:val="00CB0F14"/>
    <w:rsid w:val="00CD659B"/>
    <w:rsid w:val="00CE0A43"/>
    <w:rsid w:val="00D25ACB"/>
    <w:rsid w:val="00D54BEC"/>
    <w:rsid w:val="00D83556"/>
    <w:rsid w:val="00DF4176"/>
    <w:rsid w:val="00E17240"/>
    <w:rsid w:val="00E60DAA"/>
    <w:rsid w:val="00E7185E"/>
    <w:rsid w:val="00E73FF1"/>
    <w:rsid w:val="00E74595"/>
    <w:rsid w:val="00EB7C57"/>
    <w:rsid w:val="00ED2695"/>
    <w:rsid w:val="00F05137"/>
    <w:rsid w:val="00F074C2"/>
    <w:rsid w:val="00F30C9B"/>
    <w:rsid w:val="00F32A0B"/>
    <w:rsid w:val="00F335AF"/>
    <w:rsid w:val="00F354B1"/>
    <w:rsid w:val="00F41CFD"/>
    <w:rsid w:val="00F67DDE"/>
    <w:rsid w:val="00F76900"/>
    <w:rsid w:val="00FA5A91"/>
    <w:rsid w:val="00FB0E4E"/>
    <w:rsid w:val="00FC01C1"/>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5A1D32F8-9B15-4109-A6E7-11136D71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uiPriority w:val="99"/>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Normal"/>
    <w:next w:val="Normalaftertitle"/>
    <w:rsid w:val="0094477C"/>
    <w:pPr>
      <w:keepNext/>
      <w:keepLines/>
      <w:spacing w:before="480" w:after="80"/>
      <w:jc w:val="center"/>
    </w:pPr>
    <w:rPr>
      <w:b/>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link w:val="enumlev1Char"/>
    <w:uiPriority w:val="99"/>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4477C"/>
    <w:pPr>
      <w:keepNext/>
      <w:spacing w:before="360" w:after="120"/>
      <w:jc w:val="center"/>
    </w:pPr>
  </w:style>
  <w:style w:type="paragraph" w:customStyle="1" w:styleId="Tabletext">
    <w:name w:val="Table_text"/>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477C"/>
    <w:pPr>
      <w:keepNext/>
      <w:keepLines/>
      <w:spacing w:before="480" w:after="80"/>
      <w:jc w:val="center"/>
    </w:pPr>
    <w:rPr>
      <w:caps/>
      <w:sz w:val="18"/>
    </w:rPr>
  </w:style>
  <w:style w:type="paragraph" w:customStyle="1" w:styleId="Figuretitle">
    <w:name w:val="Figure_title"/>
    <w:basedOn w:val="Normal"/>
    <w:next w:val="Figure"/>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aliases w:val="ho Char"/>
    <w:basedOn w:val="DefaultParagraphFont"/>
    <w:link w:val="Header"/>
    <w:uiPriority w:val="99"/>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character" w:customStyle="1" w:styleId="enumlev1Char">
    <w:name w:val="enumlev1 Char"/>
    <w:link w:val="enumlev1"/>
    <w:uiPriority w:val="99"/>
    <w:locked/>
    <w:rsid w:val="00123EC7"/>
    <w:rPr>
      <w:sz w:val="22"/>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123EC7"/>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9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BF9DE-B88F-482B-AAA6-90AA032E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316</TotalTime>
  <Pages>5</Pages>
  <Words>1181</Words>
  <Characters>8582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9744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SA.2045 (12/2013) - Базовое общее разделение и условия совместного использования полосы 401−403 МГц для будущего долгосрочного скоординированного применения систем сбора данных на геостационарных и негеостационарных системах МетСат и спутниковой службы исследования Земли</dc:title>
  <dc:subject/>
  <dc:creator>POOL</dc:creator>
  <cp:keywords/>
  <dc:description>Edition                       1.11.07      SP_x000d_
corr. editeur: 14.2.08/KJ_x000d_
REV - 18-02-08 - HB_x000d_
Récup + PDF: 2.7.09/KJ</dc:description>
  <cp:lastModifiedBy>Sikacheva, Violetta</cp:lastModifiedBy>
  <cp:revision>23</cp:revision>
  <cp:lastPrinted>2018-09-14T14:09:00Z</cp:lastPrinted>
  <dcterms:created xsi:type="dcterms:W3CDTF">2014-09-04T13:35:00Z</dcterms:created>
  <dcterms:modified xsi:type="dcterms:W3CDTF">2018-09-14T14:09:00Z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