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p w:rsidR="00A107EF" w:rsidRPr="00CB01E2" w:rsidRDefault="00A107EF">
      <w:pPr>
        <w:rPr>
          <w:lang w:val="fr-CH"/>
        </w:rPr>
      </w:pPr>
    </w:p>
    <w:tbl>
      <w:tblPr>
        <w:tblW w:w="10089" w:type="dxa"/>
        <w:tblLook w:val="01E0"/>
      </w:tblPr>
      <w:tblGrid>
        <w:gridCol w:w="10089"/>
      </w:tblGrid>
      <w:tr w:rsidR="00A107EF" w:rsidRPr="00CB01E2">
        <w:tc>
          <w:tcPr>
            <w:tcW w:w="10089" w:type="dxa"/>
          </w:tcPr>
          <w:p w:rsidR="00A107EF" w:rsidRPr="00CB01E2" w:rsidRDefault="00A107EF" w:rsidP="00013002">
            <w:pPr>
              <w:spacing w:before="380" w:line="280" w:lineRule="exact"/>
              <w:jc w:val="right"/>
              <w:rPr>
                <w:rFonts w:ascii="Tahoma" w:hAnsi="Tahoma" w:cs="Tahoma"/>
                <w:b/>
                <w:bCs/>
                <w:iCs/>
                <w:color w:val="243285"/>
                <w:sz w:val="32"/>
                <w:szCs w:val="32"/>
                <w:lang w:val="fr-CH"/>
              </w:rPr>
            </w:pPr>
          </w:p>
          <w:p w:rsidR="00A107EF" w:rsidRPr="00CB01E2" w:rsidRDefault="00A107EF" w:rsidP="00084A33">
            <w:pPr>
              <w:spacing w:before="380" w:line="280" w:lineRule="exact"/>
              <w:jc w:val="right"/>
              <w:rPr>
                <w:rFonts w:ascii="Tahoma" w:hAnsi="Tahoma" w:cs="Tahoma"/>
                <w:b/>
                <w:bCs/>
                <w:iCs/>
                <w:color w:val="243285"/>
                <w:sz w:val="36"/>
                <w:szCs w:val="36"/>
                <w:lang w:val="fr-CH"/>
              </w:rPr>
            </w:pPr>
            <w:r w:rsidRPr="00CB01E2">
              <w:rPr>
                <w:rFonts w:ascii="Tahoma" w:hAnsi="Tahoma" w:cs="Tahoma"/>
                <w:b/>
                <w:bCs/>
                <w:iCs/>
                <w:color w:val="243285"/>
                <w:sz w:val="36"/>
                <w:szCs w:val="36"/>
                <w:lang w:val="fr-CH"/>
              </w:rPr>
              <w:t xml:space="preserve">Recommandation </w:t>
            </w:r>
            <w:r w:rsidR="00084A33" w:rsidRPr="00CB01E2">
              <w:rPr>
                <w:rFonts w:ascii="Tahoma" w:hAnsi="Tahoma" w:cs="Tahoma"/>
                <w:b/>
                <w:bCs/>
                <w:iCs/>
                <w:color w:val="243285"/>
                <w:sz w:val="36"/>
                <w:szCs w:val="36"/>
                <w:lang w:val="fr-CH"/>
              </w:rPr>
              <w:t xml:space="preserve"> </w:t>
            </w:r>
            <w:r w:rsidRPr="00CB01E2">
              <w:rPr>
                <w:rFonts w:ascii="Tahoma" w:hAnsi="Tahoma" w:cs="Tahoma"/>
                <w:b/>
                <w:bCs/>
                <w:iCs/>
                <w:color w:val="243285"/>
                <w:sz w:val="36"/>
                <w:szCs w:val="36"/>
                <w:lang w:val="fr-CH"/>
              </w:rPr>
              <w:t>UIT-R  SA.1863</w:t>
            </w:r>
          </w:p>
          <w:p w:rsidR="00A107EF" w:rsidRPr="00CB01E2" w:rsidRDefault="00A107EF" w:rsidP="00FC580C">
            <w:pPr>
              <w:spacing w:before="80" w:line="280" w:lineRule="exact"/>
              <w:jc w:val="right"/>
              <w:rPr>
                <w:rFonts w:ascii="Tahoma" w:hAnsi="Tahoma" w:cs="Tahoma"/>
                <w:b/>
                <w:bCs/>
                <w:iCs/>
                <w:color w:val="243285"/>
                <w:szCs w:val="24"/>
                <w:lang w:val="fr-CH"/>
              </w:rPr>
            </w:pPr>
            <w:r w:rsidRPr="00CB01E2">
              <w:rPr>
                <w:rFonts w:ascii="Tahoma" w:hAnsi="Tahoma" w:cs="Tahoma"/>
                <w:b/>
                <w:bCs/>
                <w:iCs/>
                <w:color w:val="243285"/>
                <w:szCs w:val="24"/>
                <w:lang w:val="fr-CH"/>
              </w:rPr>
              <w:t>(0</w:t>
            </w:r>
            <w:r w:rsidR="00FC580C" w:rsidRPr="00CB01E2">
              <w:rPr>
                <w:rFonts w:ascii="Tahoma" w:hAnsi="Tahoma" w:cs="Tahoma"/>
                <w:b/>
                <w:bCs/>
                <w:iCs/>
                <w:color w:val="243285"/>
                <w:szCs w:val="24"/>
                <w:lang w:val="fr-CH"/>
              </w:rPr>
              <w:t>1</w:t>
            </w:r>
            <w:r w:rsidRPr="00CB01E2">
              <w:rPr>
                <w:rFonts w:ascii="Tahoma" w:hAnsi="Tahoma" w:cs="Tahoma"/>
                <w:b/>
                <w:bCs/>
                <w:iCs/>
                <w:color w:val="243285"/>
                <w:szCs w:val="24"/>
                <w:lang w:val="fr-CH"/>
              </w:rPr>
              <w:t>/</w:t>
            </w:r>
            <w:r w:rsidR="00FC580C" w:rsidRPr="00CB01E2">
              <w:rPr>
                <w:rFonts w:ascii="Tahoma" w:hAnsi="Tahoma" w:cs="Tahoma"/>
                <w:b/>
                <w:bCs/>
                <w:iCs/>
                <w:color w:val="243285"/>
                <w:szCs w:val="24"/>
                <w:lang w:val="fr-CH"/>
              </w:rPr>
              <w:t>2010</w:t>
            </w:r>
            <w:r w:rsidRPr="00CB01E2">
              <w:rPr>
                <w:rFonts w:ascii="Tahoma" w:hAnsi="Tahoma" w:cs="Tahoma"/>
                <w:b/>
                <w:bCs/>
                <w:iCs/>
                <w:color w:val="243285"/>
                <w:szCs w:val="24"/>
                <w:lang w:val="fr-CH"/>
              </w:rPr>
              <w:t>)</w:t>
            </w:r>
          </w:p>
        </w:tc>
      </w:tr>
      <w:tr w:rsidR="00A107EF" w:rsidRPr="00CB01E2">
        <w:tc>
          <w:tcPr>
            <w:tcW w:w="10089" w:type="dxa"/>
          </w:tcPr>
          <w:p w:rsidR="00A107EF" w:rsidRPr="00CB01E2" w:rsidRDefault="00A107EF" w:rsidP="00123FD5">
            <w:pPr>
              <w:spacing w:before="80" w:line="500" w:lineRule="exact"/>
              <w:jc w:val="right"/>
              <w:rPr>
                <w:rFonts w:ascii="Tahoma" w:hAnsi="Tahoma" w:cs="Tahoma"/>
                <w:b/>
                <w:bCs/>
                <w:iCs/>
                <w:color w:val="243285"/>
                <w:sz w:val="44"/>
                <w:szCs w:val="44"/>
                <w:lang w:val="fr-CH"/>
              </w:rPr>
            </w:pPr>
          </w:p>
          <w:p w:rsidR="00A107EF" w:rsidRPr="00CB01E2" w:rsidRDefault="00C90A33" w:rsidP="00123FD5">
            <w:pPr>
              <w:spacing w:before="80" w:line="500" w:lineRule="exact"/>
              <w:jc w:val="right"/>
              <w:rPr>
                <w:rFonts w:ascii="Tahoma" w:hAnsi="Tahoma" w:cs="Tahoma"/>
                <w:b/>
                <w:bCs/>
                <w:iCs/>
                <w:color w:val="243285"/>
                <w:sz w:val="44"/>
                <w:szCs w:val="44"/>
                <w:lang w:val="fr-CH"/>
              </w:rPr>
            </w:pPr>
            <w:r w:rsidRPr="00CB01E2">
              <w:rPr>
                <w:rFonts w:ascii="Tahoma" w:hAnsi="Tahoma" w:cs="Tahoma"/>
                <w:b/>
                <w:bCs/>
                <w:iCs/>
                <w:color w:val="243285"/>
                <w:sz w:val="44"/>
                <w:szCs w:val="44"/>
                <w:lang w:val="fr-CH"/>
              </w:rPr>
              <w:t>Radiocommunications utilisées en situation d'urgence dans des vols spatiaux habités</w:t>
            </w:r>
          </w:p>
          <w:p w:rsidR="00A107EF" w:rsidRPr="00CB01E2" w:rsidRDefault="00A107EF" w:rsidP="00FE79FE">
            <w:pPr>
              <w:spacing w:before="80" w:line="500" w:lineRule="exact"/>
              <w:jc w:val="right"/>
              <w:rPr>
                <w:rFonts w:ascii="Tahoma" w:hAnsi="Tahoma" w:cs="Tahoma"/>
                <w:b/>
                <w:bCs/>
                <w:iCs/>
                <w:color w:val="243285"/>
                <w:sz w:val="44"/>
                <w:szCs w:val="44"/>
                <w:lang w:val="fr-CH"/>
              </w:rPr>
            </w:pPr>
          </w:p>
        </w:tc>
      </w:tr>
      <w:tr w:rsidR="00A107EF" w:rsidRPr="00CB01E2">
        <w:tc>
          <w:tcPr>
            <w:tcW w:w="10089" w:type="dxa"/>
          </w:tcPr>
          <w:p w:rsidR="00A107EF" w:rsidRPr="00CB01E2" w:rsidRDefault="00A107EF" w:rsidP="00AD267B">
            <w:pPr>
              <w:spacing w:before="80" w:line="280" w:lineRule="exact"/>
              <w:ind w:right="640"/>
              <w:rPr>
                <w:rFonts w:ascii="Tahoma" w:hAnsi="Tahoma" w:cs="Tahoma"/>
                <w:b/>
                <w:bCs/>
                <w:iCs/>
                <w:color w:val="243285"/>
                <w:sz w:val="32"/>
                <w:szCs w:val="32"/>
                <w:lang w:val="fr-CH"/>
              </w:rPr>
            </w:pPr>
          </w:p>
          <w:p w:rsidR="00A107EF" w:rsidRPr="00CB01E2" w:rsidRDefault="00A107EF" w:rsidP="00AD267B">
            <w:pPr>
              <w:spacing w:before="80" w:line="280" w:lineRule="exact"/>
              <w:ind w:right="640"/>
              <w:rPr>
                <w:rFonts w:ascii="Tahoma" w:hAnsi="Tahoma" w:cs="Tahoma"/>
                <w:b/>
                <w:bCs/>
                <w:iCs/>
                <w:color w:val="243285"/>
                <w:sz w:val="32"/>
                <w:szCs w:val="32"/>
                <w:lang w:val="fr-CH"/>
              </w:rPr>
            </w:pPr>
          </w:p>
          <w:p w:rsidR="00A107EF" w:rsidRPr="00CB01E2" w:rsidRDefault="00A107EF" w:rsidP="004A4D65">
            <w:pPr>
              <w:spacing w:before="80" w:after="180" w:line="360" w:lineRule="exact"/>
              <w:ind w:right="720"/>
              <w:rPr>
                <w:rFonts w:ascii="Tahoma" w:hAnsi="Tahoma" w:cs="Tahoma"/>
                <w:b/>
                <w:bCs/>
                <w:iCs/>
                <w:color w:val="243285"/>
                <w:sz w:val="36"/>
                <w:szCs w:val="36"/>
                <w:lang w:val="fr-CH"/>
              </w:rPr>
            </w:pPr>
          </w:p>
          <w:p w:rsidR="00A107EF" w:rsidRPr="00CB01E2" w:rsidRDefault="00A107EF" w:rsidP="00326525">
            <w:pPr>
              <w:spacing w:before="80" w:after="180" w:line="360" w:lineRule="exact"/>
              <w:jc w:val="right"/>
              <w:rPr>
                <w:rFonts w:ascii="Tahoma" w:hAnsi="Tahoma" w:cs="Tahoma"/>
                <w:b/>
                <w:bCs/>
                <w:iCs/>
                <w:color w:val="243285"/>
                <w:sz w:val="36"/>
                <w:szCs w:val="36"/>
                <w:lang w:val="fr-CH"/>
              </w:rPr>
            </w:pPr>
            <w:r w:rsidRPr="00CB01E2">
              <w:rPr>
                <w:rFonts w:ascii="Tahoma" w:hAnsi="Tahoma" w:cs="Tahoma"/>
                <w:b/>
                <w:bCs/>
                <w:iCs/>
                <w:color w:val="243285"/>
                <w:sz w:val="36"/>
                <w:szCs w:val="36"/>
                <w:lang w:val="fr-CH"/>
              </w:rPr>
              <w:t>Série SA</w:t>
            </w:r>
          </w:p>
          <w:p w:rsidR="00A107EF" w:rsidRPr="00CB01E2" w:rsidRDefault="00A107EF" w:rsidP="00AD267B">
            <w:pPr>
              <w:spacing w:before="80" w:line="420" w:lineRule="exact"/>
              <w:jc w:val="right"/>
              <w:rPr>
                <w:rFonts w:ascii="Tahoma" w:hAnsi="Tahoma" w:cs="Tahoma"/>
                <w:b/>
                <w:bCs/>
                <w:iCs/>
                <w:color w:val="243285"/>
                <w:sz w:val="36"/>
                <w:szCs w:val="36"/>
                <w:lang w:val="fr-CH"/>
              </w:rPr>
            </w:pPr>
            <w:r w:rsidRPr="00CB01E2">
              <w:rPr>
                <w:rFonts w:ascii="Tahoma" w:hAnsi="Tahoma" w:cs="Tahoma"/>
                <w:b/>
                <w:bCs/>
                <w:iCs/>
                <w:color w:val="243285"/>
                <w:sz w:val="36"/>
                <w:szCs w:val="36"/>
                <w:lang w:val="fr-CH"/>
              </w:rPr>
              <w:t>Applications spatiales et météorologie</w:t>
            </w:r>
          </w:p>
        </w:tc>
      </w:tr>
    </w:tbl>
    <w:p w:rsidR="00A107EF" w:rsidRPr="00CB01E2" w:rsidRDefault="00A107EF" w:rsidP="00CD659B">
      <w:pPr>
        <w:spacing w:before="80"/>
        <w:rPr>
          <w:i/>
          <w:sz w:val="22"/>
          <w:lang w:val="fr-CH"/>
        </w:rPr>
      </w:pPr>
    </w:p>
    <w:p w:rsidR="00A107EF" w:rsidRPr="00CB01E2" w:rsidRDefault="00A107EF" w:rsidP="00CD659B">
      <w:pPr>
        <w:spacing w:before="80"/>
        <w:rPr>
          <w:i/>
          <w:sz w:val="22"/>
          <w:lang w:val="fr-CH"/>
        </w:rPr>
      </w:pPr>
    </w:p>
    <w:p w:rsidR="00A107EF" w:rsidRPr="00CB01E2" w:rsidRDefault="00A107EF" w:rsidP="00CD659B">
      <w:pPr>
        <w:spacing w:before="80"/>
        <w:rPr>
          <w:i/>
          <w:sz w:val="22"/>
          <w:lang w:val="fr-CH"/>
        </w:rPr>
      </w:pPr>
    </w:p>
    <w:p w:rsidR="00A107EF" w:rsidRPr="00CB01E2" w:rsidRDefault="00A107EF" w:rsidP="00CD659B">
      <w:pPr>
        <w:spacing w:before="80"/>
        <w:rPr>
          <w:i/>
          <w:sz w:val="22"/>
          <w:lang w:val="fr-CH"/>
        </w:rPr>
      </w:pPr>
    </w:p>
    <w:p w:rsidR="00A107EF" w:rsidRPr="00CB01E2" w:rsidRDefault="00A107EF" w:rsidP="00CD659B">
      <w:pPr>
        <w:spacing w:before="80"/>
        <w:rPr>
          <w:i/>
          <w:sz w:val="22"/>
          <w:lang w:val="fr-CH"/>
        </w:rPr>
      </w:pPr>
    </w:p>
    <w:p w:rsidR="00A107EF" w:rsidRPr="00CB01E2" w:rsidRDefault="00A107EF" w:rsidP="00CD659B">
      <w:pPr>
        <w:spacing w:before="80"/>
        <w:rPr>
          <w:i/>
          <w:sz w:val="22"/>
          <w:lang w:val="fr-CH"/>
        </w:rPr>
      </w:pPr>
    </w:p>
    <w:p w:rsidR="00A107EF" w:rsidRPr="00CB01E2" w:rsidRDefault="00A107EF" w:rsidP="00CD659B">
      <w:pPr>
        <w:pStyle w:val="Equation"/>
        <w:tabs>
          <w:tab w:val="clear" w:pos="4820"/>
          <w:tab w:val="clear" w:pos="9639"/>
          <w:tab w:val="left" w:pos="1191"/>
          <w:tab w:val="left" w:pos="1588"/>
          <w:tab w:val="left" w:pos="1985"/>
        </w:tabs>
        <w:rPr>
          <w:rFonts w:ascii="Palatino Linotype" w:hAnsi="Palatino Linotype"/>
          <w:lang w:val="fr-CH"/>
        </w:rPr>
        <w:sectPr w:rsidR="00A107EF" w:rsidRPr="00CB01E2" w:rsidSect="000C054F">
          <w:headerReference w:type="even" r:id="rId7"/>
          <w:headerReference w:type="default" r:id="rId8"/>
          <w:pgSz w:w="11907" w:h="16834" w:code="9"/>
          <w:pgMar w:top="1418" w:right="1134" w:bottom="1134" w:left="1134" w:header="720" w:footer="482" w:gutter="0"/>
          <w:paperSrc w:first="15" w:other="15"/>
          <w:cols w:space="720"/>
        </w:sectPr>
      </w:pPr>
    </w:p>
    <w:p w:rsidR="00A107EF" w:rsidRPr="00CB01E2" w:rsidRDefault="00A107EF"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CB01E2">
        <w:rPr>
          <w:bCs/>
          <w:sz w:val="24"/>
          <w:szCs w:val="24"/>
          <w:lang w:val="fr-CH"/>
        </w:rPr>
        <w:lastRenderedPageBreak/>
        <w:t>Avant-propos</w:t>
      </w:r>
    </w:p>
    <w:p w:rsidR="00A107EF" w:rsidRPr="00CB01E2" w:rsidRDefault="00A107EF" w:rsidP="00F54FBD">
      <w:pPr>
        <w:spacing w:before="240"/>
        <w:rPr>
          <w:sz w:val="20"/>
          <w:lang w:val="fr-CH"/>
        </w:rPr>
      </w:pPr>
      <w:r w:rsidRPr="00CB01E2">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107EF" w:rsidRPr="00CB01E2" w:rsidRDefault="00A107EF" w:rsidP="00F54FBD">
      <w:pPr>
        <w:rPr>
          <w:sz w:val="20"/>
          <w:lang w:val="fr-CH"/>
        </w:rPr>
      </w:pPr>
      <w:r w:rsidRPr="00CB01E2">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A107EF" w:rsidRPr="00CB01E2" w:rsidRDefault="00A107EF" w:rsidP="00614CC6">
      <w:pPr>
        <w:pStyle w:val="Heading1"/>
        <w:spacing w:before="360"/>
        <w:jc w:val="center"/>
        <w:rPr>
          <w:szCs w:val="24"/>
          <w:lang w:val="fr-CH"/>
        </w:rPr>
      </w:pPr>
      <w:r w:rsidRPr="00CB01E2">
        <w:rPr>
          <w:szCs w:val="24"/>
          <w:lang w:val="fr-CH"/>
        </w:rPr>
        <w:t>Politique en matière de droits de propriété intellectuelle (IPR)</w:t>
      </w:r>
    </w:p>
    <w:p w:rsidR="00A107EF" w:rsidRPr="00CB01E2" w:rsidRDefault="00A107EF" w:rsidP="00E44CBB">
      <w:pPr>
        <w:spacing w:before="240"/>
        <w:rPr>
          <w:sz w:val="20"/>
          <w:lang w:val="fr-CH"/>
        </w:rPr>
      </w:pPr>
      <w:r w:rsidRPr="00CB01E2">
        <w:rPr>
          <w:sz w:val="20"/>
          <w:lang w:val="fr-CH"/>
        </w:rPr>
        <w:t>La politique de l'UIT</w:t>
      </w:r>
      <w:r w:rsidRPr="00CB01E2">
        <w:rPr>
          <w:sz w:val="20"/>
          <w:lang w:val="fr-CH"/>
        </w:rPr>
        <w:noBreakHyphen/>
        <w:t>R en matière de droits de propriété intellectuelle est décrite dans la «Politique commune de l'UIT</w:t>
      </w:r>
      <w:r w:rsidRPr="00CB01E2">
        <w:rPr>
          <w:sz w:val="20"/>
          <w:lang w:val="fr-CH"/>
        </w:rPr>
        <w:noBreakHyphen/>
        <w:t>T, l'UIT</w:t>
      </w:r>
      <w:r w:rsidRPr="00CB01E2">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CB01E2">
          <w:rPr>
            <w:rStyle w:val="Hyperlink"/>
            <w:sz w:val="20"/>
            <w:lang w:val="fr-CH"/>
          </w:rPr>
          <w:t>http://www.itu.int/ITU-R/go/patents/fr</w:t>
        </w:r>
      </w:hyperlink>
      <w:r w:rsidRPr="00CB01E2">
        <w:rPr>
          <w:sz w:val="20"/>
          <w:lang w:val="fr-CH"/>
        </w:rPr>
        <w:t>, où l'on trouvera également les Lignes directrices pour la mise en oeuvre de la politique commune en matière de brevets de l'UIT</w:t>
      </w:r>
      <w:r w:rsidRPr="00CB01E2">
        <w:rPr>
          <w:sz w:val="20"/>
          <w:lang w:val="fr-CH"/>
        </w:rPr>
        <w:noBreakHyphen/>
        <w:t>T, l'UIT</w:t>
      </w:r>
      <w:r w:rsidRPr="00CB01E2">
        <w:rPr>
          <w:sz w:val="20"/>
          <w:lang w:val="fr-CH"/>
        </w:rPr>
        <w:noBreakHyphen/>
        <w:t>R, l'ISO et la CEI</w:t>
      </w:r>
      <w:r w:rsidRPr="00CB01E2" w:rsidDel="0061025C">
        <w:rPr>
          <w:sz w:val="20"/>
          <w:lang w:val="fr-CH"/>
        </w:rPr>
        <w:t xml:space="preserve"> </w:t>
      </w:r>
      <w:r w:rsidRPr="00CB01E2">
        <w:rPr>
          <w:sz w:val="20"/>
          <w:lang w:val="fr-CH"/>
        </w:rPr>
        <w:t>et la base de données en matière de brevets de l'UIT-R.</w:t>
      </w:r>
    </w:p>
    <w:p w:rsidR="00A107EF" w:rsidRPr="00CB01E2" w:rsidRDefault="00A107EF"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A107EF" w:rsidRPr="00CB01E2">
        <w:tc>
          <w:tcPr>
            <w:tcW w:w="9360" w:type="dxa"/>
            <w:gridSpan w:val="2"/>
          </w:tcPr>
          <w:p w:rsidR="00A107EF" w:rsidRPr="00CB01E2" w:rsidRDefault="00A107EF"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CB01E2">
              <w:rPr>
                <w:sz w:val="22"/>
                <w:szCs w:val="22"/>
                <w:lang w:val="fr-CH"/>
              </w:rPr>
              <w:t xml:space="preserve">Séries des Recommandations UIT-R </w:t>
            </w:r>
          </w:p>
          <w:p w:rsidR="00A107EF" w:rsidRPr="00CB01E2" w:rsidRDefault="00A107E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B01E2">
              <w:rPr>
                <w:b w:val="0"/>
                <w:sz w:val="18"/>
                <w:szCs w:val="18"/>
                <w:lang w:val="fr-CH"/>
              </w:rPr>
              <w:t xml:space="preserve">(Egalement disponible en ligne: </w:t>
            </w:r>
            <w:hyperlink r:id="rId10" w:history="1">
              <w:r w:rsidRPr="00CB01E2">
                <w:rPr>
                  <w:rStyle w:val="Hyperlink"/>
                  <w:b w:val="0"/>
                  <w:bCs/>
                  <w:sz w:val="18"/>
                  <w:szCs w:val="18"/>
                  <w:lang w:val="fr-CH"/>
                </w:rPr>
                <w:t>http://www.itu.int/publ/R-REC/fr</w:t>
              </w:r>
            </w:hyperlink>
            <w:r w:rsidRPr="00CB01E2">
              <w:rPr>
                <w:b w:val="0"/>
                <w:bCs/>
                <w:sz w:val="18"/>
                <w:szCs w:val="18"/>
                <w:lang w:val="fr-CH"/>
              </w:rPr>
              <w:t>)</w:t>
            </w:r>
          </w:p>
        </w:tc>
      </w:tr>
      <w:tr w:rsidR="00A107EF" w:rsidRPr="00CB01E2" w:rsidTr="005E427C">
        <w:tc>
          <w:tcPr>
            <w:tcW w:w="1140" w:type="dxa"/>
            <w:tcBorders>
              <w:bottom w:val="nil"/>
            </w:tcBorders>
          </w:tcPr>
          <w:p w:rsidR="00A107EF" w:rsidRPr="00CB01E2" w:rsidRDefault="00A107EF" w:rsidP="00614CC6">
            <w:pPr>
              <w:spacing w:before="90" w:after="100"/>
              <w:ind w:left="57"/>
              <w:rPr>
                <w:b/>
                <w:bCs/>
                <w:sz w:val="20"/>
                <w:lang w:val="fr-CH"/>
              </w:rPr>
            </w:pPr>
            <w:r w:rsidRPr="00CB01E2">
              <w:rPr>
                <w:b/>
                <w:bCs/>
                <w:sz w:val="20"/>
                <w:lang w:val="fr-CH"/>
              </w:rPr>
              <w:t>Séries</w:t>
            </w:r>
          </w:p>
        </w:tc>
        <w:tc>
          <w:tcPr>
            <w:tcW w:w="8220" w:type="dxa"/>
            <w:tcBorders>
              <w:bottom w:val="nil"/>
            </w:tcBorders>
          </w:tcPr>
          <w:p w:rsidR="00A107EF" w:rsidRPr="00CB01E2" w:rsidRDefault="00A107EF"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B01E2">
              <w:rPr>
                <w:bCs/>
                <w:sz w:val="20"/>
                <w:lang w:val="fr-CH"/>
              </w:rPr>
              <w:t>Titre</w:t>
            </w:r>
          </w:p>
        </w:tc>
      </w:tr>
      <w:tr w:rsidR="00A107EF" w:rsidRPr="00CB01E2" w:rsidTr="005E427C">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BO</w:t>
            </w:r>
          </w:p>
        </w:tc>
        <w:tc>
          <w:tcPr>
            <w:tcW w:w="8220" w:type="dxa"/>
            <w:tcBorders>
              <w:top w:val="nil"/>
              <w:bottom w:val="nil"/>
            </w:tcBorders>
            <w:shd w:val="clear" w:color="auto" w:fill="auto"/>
          </w:tcPr>
          <w:p w:rsidR="00A107EF" w:rsidRPr="00CB01E2" w:rsidRDefault="00A107E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B01E2">
              <w:rPr>
                <w:b w:val="0"/>
                <w:sz w:val="20"/>
                <w:lang w:val="fr-CH"/>
              </w:rPr>
              <w:t>Diffusion par satellite</w:t>
            </w:r>
          </w:p>
        </w:tc>
      </w:tr>
      <w:tr w:rsidR="00A107EF" w:rsidRPr="00CB01E2" w:rsidTr="00E80F1D">
        <w:tc>
          <w:tcPr>
            <w:tcW w:w="1140" w:type="dxa"/>
            <w:tcBorders>
              <w:top w:val="nil"/>
              <w:bottom w:val="nil"/>
            </w:tcBorders>
          </w:tcPr>
          <w:p w:rsidR="00A107EF" w:rsidRPr="00CB01E2" w:rsidRDefault="00A107EF" w:rsidP="00F336CC">
            <w:pPr>
              <w:spacing w:before="30" w:after="30"/>
              <w:ind w:left="57"/>
              <w:jc w:val="left"/>
              <w:rPr>
                <w:b/>
                <w:bCs/>
                <w:sz w:val="20"/>
                <w:lang w:val="fr-CH"/>
              </w:rPr>
            </w:pPr>
            <w:r w:rsidRPr="00CB01E2">
              <w:rPr>
                <w:b/>
                <w:bCs/>
                <w:sz w:val="20"/>
                <w:lang w:val="fr-CH"/>
              </w:rPr>
              <w:t>BR</w:t>
            </w:r>
          </w:p>
        </w:tc>
        <w:tc>
          <w:tcPr>
            <w:tcW w:w="8220" w:type="dxa"/>
            <w:tcBorders>
              <w:top w:val="nil"/>
              <w:bottom w:val="nil"/>
            </w:tcBorders>
          </w:tcPr>
          <w:p w:rsidR="00A107EF" w:rsidRPr="00CB01E2" w:rsidRDefault="00A107E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B01E2">
              <w:rPr>
                <w:b w:val="0"/>
                <w:bCs/>
                <w:sz w:val="20"/>
                <w:lang w:val="fr-CH"/>
              </w:rPr>
              <w:t>Enregistrement pour la production, l'archivage et la diffusion; films pour la télévision</w:t>
            </w:r>
          </w:p>
        </w:tc>
      </w:tr>
      <w:tr w:rsidR="00A107EF" w:rsidRPr="00CB01E2" w:rsidTr="00E80F1D">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BS</w:t>
            </w:r>
          </w:p>
        </w:tc>
        <w:tc>
          <w:tcPr>
            <w:tcW w:w="8220" w:type="dxa"/>
            <w:tcBorders>
              <w:top w:val="nil"/>
              <w:bottom w:val="nil"/>
            </w:tcBorders>
            <w:shd w:val="clear" w:color="auto" w:fill="auto"/>
          </w:tcPr>
          <w:p w:rsidR="00A107EF" w:rsidRPr="00CB01E2" w:rsidRDefault="00A107E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B01E2">
              <w:rPr>
                <w:b w:val="0"/>
                <w:sz w:val="20"/>
                <w:lang w:val="fr-CH"/>
              </w:rPr>
              <w:t>Service de radiodiffusion sonore</w:t>
            </w:r>
          </w:p>
        </w:tc>
      </w:tr>
      <w:tr w:rsidR="00A107EF" w:rsidRPr="00CB01E2" w:rsidTr="00DE5EA2">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BT</w:t>
            </w:r>
          </w:p>
        </w:tc>
        <w:tc>
          <w:tcPr>
            <w:tcW w:w="8220" w:type="dxa"/>
            <w:tcBorders>
              <w:top w:val="nil"/>
              <w:bottom w:val="nil"/>
            </w:tcBorders>
            <w:shd w:val="clear" w:color="auto" w:fill="auto"/>
          </w:tcPr>
          <w:p w:rsidR="00A107EF" w:rsidRPr="00CB01E2" w:rsidRDefault="00A107E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B01E2">
              <w:rPr>
                <w:b w:val="0"/>
                <w:bCs/>
                <w:sz w:val="20"/>
                <w:lang w:val="fr-CH"/>
              </w:rPr>
              <w:t>Service de radiodiffusion télévisuelle</w:t>
            </w:r>
          </w:p>
        </w:tc>
      </w:tr>
      <w:tr w:rsidR="00A107EF" w:rsidRPr="00CB01E2" w:rsidTr="00DE5EA2">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F</w:t>
            </w:r>
          </w:p>
        </w:tc>
        <w:tc>
          <w:tcPr>
            <w:tcW w:w="8220" w:type="dxa"/>
            <w:tcBorders>
              <w:top w:val="nil"/>
              <w:bottom w:val="nil"/>
            </w:tcBorders>
            <w:shd w:val="clear" w:color="auto" w:fill="auto"/>
          </w:tcPr>
          <w:p w:rsidR="00A107EF" w:rsidRPr="00CB01E2" w:rsidRDefault="00A107E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B01E2">
              <w:rPr>
                <w:sz w:val="20"/>
                <w:lang w:val="fr-CH"/>
              </w:rPr>
              <w:t>Service fixe</w:t>
            </w:r>
          </w:p>
        </w:tc>
      </w:tr>
      <w:tr w:rsidR="00A107EF" w:rsidRPr="00CB01E2" w:rsidTr="00EC361D">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M</w:t>
            </w:r>
          </w:p>
        </w:tc>
        <w:tc>
          <w:tcPr>
            <w:tcW w:w="8220" w:type="dxa"/>
            <w:tcBorders>
              <w:top w:val="nil"/>
              <w:bottom w:val="nil"/>
            </w:tcBorders>
            <w:shd w:val="clear" w:color="auto" w:fill="auto"/>
          </w:tcPr>
          <w:p w:rsidR="00A107EF" w:rsidRPr="00CB01E2" w:rsidRDefault="00A107E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B01E2">
              <w:rPr>
                <w:b w:val="0"/>
                <w:sz w:val="20"/>
                <w:lang w:val="fr-CH"/>
              </w:rPr>
              <w:t>Services mobile, de radiorepérage et d'amateur y compris les services par satellite associés</w:t>
            </w:r>
          </w:p>
        </w:tc>
      </w:tr>
      <w:tr w:rsidR="00A107EF" w:rsidRPr="00CB01E2" w:rsidTr="004822EF">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P</w:t>
            </w:r>
          </w:p>
        </w:tc>
        <w:tc>
          <w:tcPr>
            <w:tcW w:w="8220" w:type="dxa"/>
            <w:tcBorders>
              <w:top w:val="nil"/>
              <w:bottom w:val="nil"/>
            </w:tcBorders>
            <w:shd w:val="clear" w:color="auto" w:fill="auto"/>
          </w:tcPr>
          <w:p w:rsidR="00A107EF" w:rsidRPr="00CB01E2" w:rsidRDefault="00A107EF" w:rsidP="00F336CC">
            <w:pPr>
              <w:spacing w:before="30" w:after="30"/>
              <w:jc w:val="left"/>
              <w:rPr>
                <w:sz w:val="20"/>
                <w:lang w:val="fr-CH"/>
              </w:rPr>
            </w:pPr>
            <w:r w:rsidRPr="00CB01E2">
              <w:rPr>
                <w:sz w:val="20"/>
                <w:lang w:val="fr-CH"/>
              </w:rPr>
              <w:t>Propagation des ondes radioélectriques</w:t>
            </w:r>
          </w:p>
        </w:tc>
      </w:tr>
      <w:tr w:rsidR="00A107EF" w:rsidRPr="00CB01E2" w:rsidTr="00326525">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RA</w:t>
            </w:r>
          </w:p>
        </w:tc>
        <w:tc>
          <w:tcPr>
            <w:tcW w:w="8220" w:type="dxa"/>
            <w:tcBorders>
              <w:top w:val="nil"/>
              <w:bottom w:val="nil"/>
            </w:tcBorders>
            <w:shd w:val="clear" w:color="auto" w:fill="auto"/>
          </w:tcPr>
          <w:p w:rsidR="00A107EF" w:rsidRPr="00CB01E2" w:rsidRDefault="00A107E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B01E2">
              <w:rPr>
                <w:sz w:val="20"/>
                <w:lang w:val="fr-CH"/>
              </w:rPr>
              <w:t>Radio astronomie</w:t>
            </w:r>
          </w:p>
        </w:tc>
      </w:tr>
      <w:tr w:rsidR="00A107EF" w:rsidRPr="00CB01E2" w:rsidTr="00C40D3E">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RS</w:t>
            </w:r>
          </w:p>
        </w:tc>
        <w:tc>
          <w:tcPr>
            <w:tcW w:w="8220" w:type="dxa"/>
            <w:tcBorders>
              <w:top w:val="nil"/>
              <w:bottom w:val="nil"/>
            </w:tcBorders>
            <w:shd w:val="clear" w:color="auto" w:fill="auto"/>
          </w:tcPr>
          <w:p w:rsidR="00A107EF" w:rsidRPr="00CB01E2" w:rsidRDefault="00A107E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B01E2">
              <w:rPr>
                <w:sz w:val="20"/>
                <w:lang w:val="fr-CH"/>
              </w:rPr>
              <w:t>Systèmes de télédétection</w:t>
            </w:r>
          </w:p>
        </w:tc>
      </w:tr>
      <w:tr w:rsidR="00A107EF" w:rsidRPr="00CB01E2" w:rsidTr="00C40D3E">
        <w:tc>
          <w:tcPr>
            <w:tcW w:w="1140" w:type="dxa"/>
            <w:tcBorders>
              <w:top w:val="nil"/>
              <w:bottom w:val="nil"/>
            </w:tcBorders>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S</w:t>
            </w:r>
          </w:p>
        </w:tc>
        <w:tc>
          <w:tcPr>
            <w:tcW w:w="8220" w:type="dxa"/>
            <w:tcBorders>
              <w:top w:val="nil"/>
              <w:bottom w:val="nil"/>
            </w:tcBorders>
            <w:shd w:val="clear" w:color="auto" w:fill="auto"/>
          </w:tcPr>
          <w:p w:rsidR="00A107EF" w:rsidRPr="00CB01E2" w:rsidRDefault="00A107EF" w:rsidP="00F336CC">
            <w:pPr>
              <w:spacing w:before="30" w:after="30"/>
              <w:jc w:val="left"/>
              <w:rPr>
                <w:sz w:val="20"/>
                <w:lang w:val="fr-CH"/>
              </w:rPr>
            </w:pPr>
            <w:r w:rsidRPr="00CB01E2">
              <w:rPr>
                <w:sz w:val="20"/>
                <w:lang w:val="fr-CH"/>
              </w:rPr>
              <w:t>Service fixe par satellite</w:t>
            </w:r>
          </w:p>
        </w:tc>
      </w:tr>
      <w:tr w:rsidR="00A107EF" w:rsidRPr="00CB01E2" w:rsidTr="00C40D3E">
        <w:tc>
          <w:tcPr>
            <w:tcW w:w="1140" w:type="dxa"/>
            <w:tcBorders>
              <w:top w:val="nil"/>
              <w:bottom w:val="nil"/>
            </w:tcBorders>
            <w:shd w:val="clear" w:color="auto" w:fill="F3F3F3"/>
          </w:tcPr>
          <w:p w:rsidR="00A107EF" w:rsidRPr="00CB01E2" w:rsidRDefault="00A107EF" w:rsidP="00F336CC">
            <w:pPr>
              <w:spacing w:before="30" w:after="30"/>
              <w:ind w:left="57"/>
              <w:jc w:val="left"/>
              <w:rPr>
                <w:b/>
                <w:bCs/>
                <w:color w:val="000080"/>
                <w:sz w:val="20"/>
                <w:lang w:val="fr-CH"/>
              </w:rPr>
            </w:pPr>
            <w:r w:rsidRPr="00CB01E2">
              <w:rPr>
                <w:b/>
                <w:bCs/>
                <w:color w:val="000080"/>
                <w:sz w:val="20"/>
                <w:lang w:val="fr-CH"/>
              </w:rPr>
              <w:t>SA</w:t>
            </w:r>
          </w:p>
        </w:tc>
        <w:tc>
          <w:tcPr>
            <w:tcW w:w="8220" w:type="dxa"/>
            <w:tcBorders>
              <w:top w:val="nil"/>
              <w:bottom w:val="nil"/>
            </w:tcBorders>
            <w:shd w:val="clear" w:color="auto" w:fill="F3F3F3"/>
          </w:tcPr>
          <w:p w:rsidR="00A107EF" w:rsidRPr="00CB01E2" w:rsidRDefault="00A107EF" w:rsidP="00F336CC">
            <w:pPr>
              <w:spacing w:before="30" w:after="30"/>
              <w:jc w:val="left"/>
              <w:rPr>
                <w:b/>
                <w:bCs/>
                <w:color w:val="000080"/>
                <w:sz w:val="20"/>
                <w:lang w:val="fr-CH"/>
              </w:rPr>
            </w:pPr>
            <w:r w:rsidRPr="00CB01E2">
              <w:rPr>
                <w:b/>
                <w:bCs/>
                <w:color w:val="000080"/>
                <w:sz w:val="20"/>
                <w:lang w:val="fr-CH"/>
              </w:rPr>
              <w:t>Applications spatiales et météorologie</w:t>
            </w:r>
          </w:p>
        </w:tc>
      </w:tr>
      <w:tr w:rsidR="00A107EF" w:rsidRPr="00CB01E2" w:rsidTr="00C40D3E">
        <w:tc>
          <w:tcPr>
            <w:tcW w:w="1140" w:type="dxa"/>
            <w:tcBorders>
              <w:top w:val="nil"/>
            </w:tcBorders>
          </w:tcPr>
          <w:p w:rsidR="00A107EF" w:rsidRPr="00CB01E2" w:rsidRDefault="00A107EF" w:rsidP="00F336CC">
            <w:pPr>
              <w:spacing w:before="30" w:after="30"/>
              <w:ind w:left="57"/>
              <w:jc w:val="left"/>
              <w:rPr>
                <w:b/>
                <w:bCs/>
                <w:sz w:val="20"/>
                <w:lang w:val="fr-CH"/>
              </w:rPr>
            </w:pPr>
            <w:r w:rsidRPr="00CB01E2">
              <w:rPr>
                <w:b/>
                <w:bCs/>
                <w:sz w:val="20"/>
                <w:lang w:val="fr-CH"/>
              </w:rPr>
              <w:t>SF</w:t>
            </w:r>
          </w:p>
        </w:tc>
        <w:tc>
          <w:tcPr>
            <w:tcW w:w="8220" w:type="dxa"/>
            <w:tcBorders>
              <w:top w:val="nil"/>
            </w:tcBorders>
          </w:tcPr>
          <w:p w:rsidR="00A107EF" w:rsidRPr="00CB01E2" w:rsidRDefault="00A107EF" w:rsidP="00F336CC">
            <w:pPr>
              <w:spacing w:before="30" w:after="30"/>
              <w:jc w:val="left"/>
              <w:rPr>
                <w:sz w:val="20"/>
                <w:lang w:val="fr-CH"/>
              </w:rPr>
            </w:pPr>
            <w:r w:rsidRPr="00CB01E2">
              <w:rPr>
                <w:sz w:val="20"/>
                <w:lang w:val="fr-CH"/>
              </w:rPr>
              <w:t>Partage des fréquences et coordination entre les systèmes du service fixe par satellite et du service fixe</w:t>
            </w:r>
          </w:p>
        </w:tc>
      </w:tr>
      <w:tr w:rsidR="00A107EF" w:rsidRPr="00CB01E2">
        <w:tc>
          <w:tcPr>
            <w:tcW w:w="1140" w:type="dxa"/>
            <w:shd w:val="clear" w:color="auto" w:fill="auto"/>
          </w:tcPr>
          <w:p w:rsidR="00A107EF" w:rsidRPr="00CB01E2" w:rsidRDefault="00A107EF" w:rsidP="00F336CC">
            <w:pPr>
              <w:spacing w:before="30" w:after="30"/>
              <w:ind w:left="57"/>
              <w:jc w:val="left"/>
              <w:rPr>
                <w:b/>
                <w:bCs/>
                <w:sz w:val="20"/>
                <w:lang w:val="fr-CH"/>
              </w:rPr>
            </w:pPr>
            <w:r w:rsidRPr="00CB01E2">
              <w:rPr>
                <w:b/>
                <w:bCs/>
                <w:sz w:val="20"/>
                <w:lang w:val="fr-CH"/>
              </w:rPr>
              <w:t>SM</w:t>
            </w:r>
          </w:p>
        </w:tc>
        <w:tc>
          <w:tcPr>
            <w:tcW w:w="8220" w:type="dxa"/>
            <w:shd w:val="clear" w:color="auto" w:fill="auto"/>
          </w:tcPr>
          <w:p w:rsidR="00A107EF" w:rsidRPr="00CB01E2" w:rsidRDefault="00A107EF" w:rsidP="00F336CC">
            <w:pPr>
              <w:spacing w:before="30" w:after="30"/>
              <w:jc w:val="left"/>
              <w:rPr>
                <w:sz w:val="20"/>
                <w:lang w:val="fr-CH"/>
              </w:rPr>
            </w:pPr>
            <w:r w:rsidRPr="00CB01E2">
              <w:rPr>
                <w:sz w:val="20"/>
                <w:lang w:val="fr-CH"/>
              </w:rPr>
              <w:t>Gestion du spectre</w:t>
            </w:r>
          </w:p>
        </w:tc>
      </w:tr>
      <w:tr w:rsidR="00A107EF" w:rsidRPr="00CB01E2">
        <w:tc>
          <w:tcPr>
            <w:tcW w:w="1140" w:type="dxa"/>
          </w:tcPr>
          <w:p w:rsidR="00A107EF" w:rsidRPr="00CB01E2" w:rsidRDefault="00A107EF" w:rsidP="00F336CC">
            <w:pPr>
              <w:spacing w:before="30" w:after="30"/>
              <w:ind w:left="57"/>
              <w:jc w:val="left"/>
              <w:rPr>
                <w:b/>
                <w:bCs/>
                <w:sz w:val="20"/>
                <w:lang w:val="fr-CH"/>
              </w:rPr>
            </w:pPr>
            <w:r w:rsidRPr="00CB01E2">
              <w:rPr>
                <w:b/>
                <w:bCs/>
                <w:sz w:val="20"/>
                <w:lang w:val="fr-CH"/>
              </w:rPr>
              <w:t>SNG</w:t>
            </w:r>
          </w:p>
        </w:tc>
        <w:tc>
          <w:tcPr>
            <w:tcW w:w="8220" w:type="dxa"/>
          </w:tcPr>
          <w:p w:rsidR="00A107EF" w:rsidRPr="00CB01E2" w:rsidRDefault="00A107EF" w:rsidP="00F336CC">
            <w:pPr>
              <w:spacing w:before="30" w:after="30"/>
              <w:jc w:val="left"/>
              <w:rPr>
                <w:sz w:val="20"/>
                <w:lang w:val="fr-CH"/>
              </w:rPr>
            </w:pPr>
            <w:r w:rsidRPr="00CB01E2">
              <w:rPr>
                <w:sz w:val="20"/>
                <w:lang w:val="fr-CH"/>
              </w:rPr>
              <w:t>Reportage d'actualités par satellite</w:t>
            </w:r>
          </w:p>
        </w:tc>
      </w:tr>
      <w:tr w:rsidR="00A107EF" w:rsidRPr="00CB01E2">
        <w:tc>
          <w:tcPr>
            <w:tcW w:w="1140" w:type="dxa"/>
          </w:tcPr>
          <w:p w:rsidR="00A107EF" w:rsidRPr="00CB01E2" w:rsidRDefault="00A107EF" w:rsidP="00F336CC">
            <w:pPr>
              <w:spacing w:before="30" w:after="30"/>
              <w:ind w:left="57"/>
              <w:jc w:val="left"/>
              <w:rPr>
                <w:b/>
                <w:bCs/>
                <w:sz w:val="20"/>
                <w:lang w:val="fr-CH"/>
              </w:rPr>
            </w:pPr>
            <w:r w:rsidRPr="00CB01E2">
              <w:rPr>
                <w:b/>
                <w:bCs/>
                <w:sz w:val="20"/>
                <w:lang w:val="fr-CH"/>
              </w:rPr>
              <w:t>TF</w:t>
            </w:r>
          </w:p>
        </w:tc>
        <w:tc>
          <w:tcPr>
            <w:tcW w:w="8220" w:type="dxa"/>
          </w:tcPr>
          <w:p w:rsidR="00A107EF" w:rsidRPr="00CB01E2" w:rsidRDefault="00A107EF" w:rsidP="00F336CC">
            <w:pPr>
              <w:spacing w:before="30" w:after="30"/>
              <w:jc w:val="left"/>
              <w:rPr>
                <w:sz w:val="20"/>
                <w:lang w:val="fr-CH"/>
              </w:rPr>
            </w:pPr>
            <w:r w:rsidRPr="00CB01E2">
              <w:rPr>
                <w:sz w:val="20"/>
                <w:lang w:val="fr-CH"/>
              </w:rPr>
              <w:t>Emissions de fréquences étalon et de signaux horaires</w:t>
            </w:r>
          </w:p>
        </w:tc>
      </w:tr>
      <w:tr w:rsidR="00A107EF" w:rsidRPr="00CB01E2">
        <w:tc>
          <w:tcPr>
            <w:tcW w:w="1140" w:type="dxa"/>
          </w:tcPr>
          <w:p w:rsidR="00A107EF" w:rsidRPr="00CB01E2" w:rsidRDefault="00A107EF" w:rsidP="00F336CC">
            <w:pPr>
              <w:spacing w:before="30" w:after="30"/>
              <w:ind w:left="57"/>
              <w:jc w:val="left"/>
              <w:rPr>
                <w:b/>
                <w:bCs/>
                <w:sz w:val="20"/>
                <w:lang w:val="fr-CH"/>
              </w:rPr>
            </w:pPr>
            <w:r w:rsidRPr="00CB01E2">
              <w:rPr>
                <w:b/>
                <w:bCs/>
                <w:sz w:val="20"/>
                <w:lang w:val="fr-CH"/>
              </w:rPr>
              <w:t>V</w:t>
            </w:r>
          </w:p>
        </w:tc>
        <w:tc>
          <w:tcPr>
            <w:tcW w:w="8220" w:type="dxa"/>
          </w:tcPr>
          <w:p w:rsidR="00A107EF" w:rsidRPr="00CB01E2" w:rsidRDefault="00A107EF" w:rsidP="00614CC6">
            <w:pPr>
              <w:spacing w:before="30" w:after="140"/>
              <w:jc w:val="left"/>
              <w:rPr>
                <w:sz w:val="20"/>
                <w:lang w:val="fr-CH"/>
              </w:rPr>
            </w:pPr>
            <w:r w:rsidRPr="00CB01E2">
              <w:rPr>
                <w:sz w:val="20"/>
                <w:lang w:val="fr-CH"/>
              </w:rPr>
              <w:t>Vocabulaire et sujets associés</w:t>
            </w:r>
          </w:p>
        </w:tc>
      </w:tr>
    </w:tbl>
    <w:p w:rsidR="00A107EF" w:rsidRPr="00CB01E2" w:rsidRDefault="00A107EF" w:rsidP="00614CC6">
      <w:pPr>
        <w:spacing w:before="0"/>
        <w:jc w:val="center"/>
        <w:rPr>
          <w:sz w:val="20"/>
          <w:lang w:val="fr-CH"/>
        </w:rPr>
      </w:pPr>
    </w:p>
    <w:p w:rsidR="00A107EF" w:rsidRPr="00CB01E2" w:rsidRDefault="00A107EF"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A107EF" w:rsidRPr="00CB01E2">
        <w:tc>
          <w:tcPr>
            <w:tcW w:w="9360" w:type="dxa"/>
          </w:tcPr>
          <w:p w:rsidR="00A107EF" w:rsidRPr="00CB01E2" w:rsidRDefault="00A107EF" w:rsidP="00756B4D">
            <w:pPr>
              <w:spacing w:before="80" w:after="80"/>
              <w:jc w:val="left"/>
              <w:rPr>
                <w:i/>
                <w:iCs/>
                <w:sz w:val="20"/>
                <w:lang w:val="fr-CH"/>
              </w:rPr>
            </w:pPr>
            <w:r w:rsidRPr="00CB01E2">
              <w:rPr>
                <w:b/>
                <w:bCs/>
                <w:i/>
                <w:iCs/>
                <w:sz w:val="20"/>
                <w:lang w:val="fr-CH"/>
              </w:rPr>
              <w:t xml:space="preserve">    Note</w:t>
            </w:r>
            <w:r w:rsidRPr="00CB01E2">
              <w:rPr>
                <w:i/>
                <w:iCs/>
                <w:sz w:val="20"/>
                <w:lang w:val="fr-CH"/>
              </w:rPr>
              <w:t>: Cette Recommandation UIT-R a été approuvée en anglais aux termes de la procédure détaillée dans la</w:t>
            </w:r>
            <w:r w:rsidRPr="00CB01E2">
              <w:rPr>
                <w:i/>
                <w:iCs/>
                <w:sz w:val="20"/>
                <w:lang w:val="fr-CH"/>
              </w:rPr>
              <w:br/>
              <w:t xml:space="preserve">   Résolution UIT-R 1. </w:t>
            </w:r>
          </w:p>
        </w:tc>
      </w:tr>
    </w:tbl>
    <w:p w:rsidR="00A107EF" w:rsidRPr="00CB01E2" w:rsidRDefault="00A107EF" w:rsidP="00F54FBD">
      <w:pPr>
        <w:spacing w:before="0"/>
        <w:jc w:val="center"/>
        <w:rPr>
          <w:sz w:val="22"/>
          <w:lang w:val="fr-CH"/>
        </w:rPr>
      </w:pPr>
    </w:p>
    <w:p w:rsidR="00A107EF" w:rsidRPr="00CB01E2" w:rsidRDefault="00A107EF" w:rsidP="00756B4D">
      <w:pPr>
        <w:spacing w:before="100"/>
        <w:jc w:val="right"/>
        <w:rPr>
          <w:i/>
          <w:iCs/>
          <w:sz w:val="20"/>
          <w:lang w:val="fr-CH"/>
        </w:rPr>
      </w:pPr>
      <w:r w:rsidRPr="00CB01E2">
        <w:rPr>
          <w:i/>
          <w:iCs/>
          <w:sz w:val="20"/>
          <w:lang w:val="fr-CH"/>
        </w:rPr>
        <w:t>Publication électronique</w:t>
      </w:r>
    </w:p>
    <w:p w:rsidR="00A107EF" w:rsidRPr="00CB01E2" w:rsidRDefault="00A107EF" w:rsidP="00C30AB1">
      <w:pPr>
        <w:spacing w:before="0"/>
        <w:jc w:val="right"/>
        <w:rPr>
          <w:sz w:val="20"/>
          <w:lang w:val="fr-CH"/>
        </w:rPr>
      </w:pPr>
      <w:r w:rsidRPr="00CB01E2">
        <w:rPr>
          <w:sz w:val="20"/>
          <w:lang w:val="fr-CH"/>
        </w:rPr>
        <w:t>Genève, 2010</w:t>
      </w:r>
    </w:p>
    <w:p w:rsidR="00A107EF" w:rsidRPr="00CB01E2" w:rsidRDefault="00A107EF" w:rsidP="00C30AB1">
      <w:pPr>
        <w:spacing w:before="200"/>
        <w:jc w:val="center"/>
        <w:rPr>
          <w:sz w:val="20"/>
          <w:lang w:val="fr-CH"/>
        </w:rPr>
      </w:pPr>
      <w:r w:rsidRPr="00CB01E2">
        <w:rPr>
          <w:sz w:val="20"/>
          <w:lang w:val="fr-CH"/>
        </w:rPr>
        <w:sym w:font="Symbol" w:char="F0E3"/>
      </w:r>
      <w:r w:rsidRPr="00CB01E2">
        <w:rPr>
          <w:sz w:val="20"/>
          <w:lang w:val="fr-CH"/>
        </w:rPr>
        <w:t xml:space="preserve"> UIT </w:t>
      </w:r>
      <w:bookmarkStart w:id="1" w:name="iiannee"/>
      <w:bookmarkEnd w:id="1"/>
      <w:r w:rsidRPr="00CB01E2">
        <w:rPr>
          <w:sz w:val="20"/>
          <w:lang w:val="fr-CH"/>
        </w:rPr>
        <w:t>2010</w:t>
      </w:r>
    </w:p>
    <w:p w:rsidR="00A107EF" w:rsidRPr="00CB01E2" w:rsidRDefault="00A107EF" w:rsidP="00614CC6">
      <w:pPr>
        <w:rPr>
          <w:sz w:val="18"/>
          <w:szCs w:val="18"/>
          <w:lang w:val="fr-CH"/>
        </w:rPr>
      </w:pPr>
      <w:r w:rsidRPr="00CB01E2">
        <w:rPr>
          <w:sz w:val="18"/>
          <w:szCs w:val="18"/>
          <w:lang w:val="fr-CH"/>
        </w:rPr>
        <w:t>Tous droits réservés. Aucune partie de cette publication ne peut être reproduite, par quelque procédé que ce soit, sans l’accord écrit préalable de l’UIT.</w:t>
      </w:r>
    </w:p>
    <w:p w:rsidR="00A107EF" w:rsidRPr="00CB01E2" w:rsidRDefault="00A107EF" w:rsidP="00CD659B">
      <w:pPr>
        <w:spacing w:before="160"/>
        <w:rPr>
          <w:i/>
          <w:sz w:val="20"/>
          <w:highlight w:val="yellow"/>
          <w:lang w:val="fr-CH"/>
        </w:rPr>
        <w:sectPr w:rsidR="00A107EF" w:rsidRPr="00CB01E2"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A107EF" w:rsidRPr="00CB01E2" w:rsidRDefault="00A107EF" w:rsidP="00A107EF">
      <w:pPr>
        <w:pStyle w:val="RecNo"/>
        <w:spacing w:before="0"/>
        <w:rPr>
          <w:lang w:val="fr-CH"/>
        </w:rPr>
      </w:pPr>
      <w:bookmarkStart w:id="2" w:name="irecnoe"/>
      <w:bookmarkEnd w:id="2"/>
      <w:r w:rsidRPr="00CB01E2">
        <w:rPr>
          <w:lang w:val="fr-CH"/>
        </w:rPr>
        <w:lastRenderedPageBreak/>
        <w:t xml:space="preserve">RECOMMANDATION  </w:t>
      </w:r>
      <w:r w:rsidRPr="00CB01E2">
        <w:rPr>
          <w:rStyle w:val="href"/>
          <w:lang w:val="fr-CH"/>
        </w:rPr>
        <w:t>UIT-R  SA.1863</w:t>
      </w:r>
    </w:p>
    <w:p w:rsidR="00A107EF" w:rsidRPr="00CB01E2" w:rsidRDefault="00A107EF" w:rsidP="00C90A33">
      <w:pPr>
        <w:pStyle w:val="Rectitle"/>
        <w:rPr>
          <w:bCs/>
          <w:lang w:val="fr-CH"/>
        </w:rPr>
      </w:pPr>
      <w:r w:rsidRPr="00CB01E2">
        <w:rPr>
          <w:bCs/>
          <w:lang w:val="fr-CH"/>
        </w:rPr>
        <w:t xml:space="preserve">Radiocommunications utilisées en situation d'urgence </w:t>
      </w:r>
      <w:r w:rsidRPr="00CB01E2">
        <w:rPr>
          <w:bCs/>
          <w:lang w:val="fr-CH"/>
        </w:rPr>
        <w:br/>
        <w:t>dans des vols spatiaux habités</w:t>
      </w:r>
    </w:p>
    <w:p w:rsidR="00A107EF" w:rsidRPr="00CB01E2" w:rsidRDefault="00A107EF" w:rsidP="00C90A33">
      <w:pPr>
        <w:pStyle w:val="Recref"/>
        <w:rPr>
          <w:lang w:val="fr-CH"/>
        </w:rPr>
      </w:pPr>
      <w:r w:rsidRPr="00CB01E2">
        <w:rPr>
          <w:lang w:val="fr-CH"/>
        </w:rPr>
        <w:t>(Question UIT-R 247/7)</w:t>
      </w:r>
    </w:p>
    <w:p w:rsidR="00A107EF" w:rsidRPr="00CB01E2" w:rsidRDefault="00A107EF" w:rsidP="00FC580C">
      <w:pPr>
        <w:pStyle w:val="Recdate"/>
        <w:rPr>
          <w:i/>
          <w:iCs/>
          <w:szCs w:val="24"/>
          <w:lang w:val="fr-CH"/>
        </w:rPr>
      </w:pPr>
      <w:r w:rsidRPr="00CB01E2">
        <w:rPr>
          <w:iCs/>
          <w:szCs w:val="24"/>
          <w:lang w:val="fr-CH"/>
        </w:rPr>
        <w:t>(2010)</w:t>
      </w:r>
    </w:p>
    <w:p w:rsidR="00A107EF" w:rsidRPr="00CB01E2" w:rsidRDefault="00A107EF" w:rsidP="00FC580C">
      <w:pPr>
        <w:pStyle w:val="HeadingSum"/>
        <w:rPr>
          <w:lang w:val="fr-CH"/>
        </w:rPr>
      </w:pPr>
      <w:r w:rsidRPr="00CB01E2">
        <w:rPr>
          <w:lang w:val="fr-CH"/>
        </w:rPr>
        <w:t xml:space="preserve">Domaine </w:t>
      </w:r>
      <w:r w:rsidR="00FC580C" w:rsidRPr="00CB01E2">
        <w:rPr>
          <w:lang w:val="fr-CH"/>
        </w:rPr>
        <w:t>d'application</w:t>
      </w:r>
    </w:p>
    <w:p w:rsidR="00A107EF" w:rsidRPr="00CB01E2" w:rsidRDefault="00A107EF" w:rsidP="00C90A33">
      <w:pPr>
        <w:pStyle w:val="Summary"/>
        <w:rPr>
          <w:lang w:val="fr-CH"/>
        </w:rPr>
      </w:pPr>
      <w:r w:rsidRPr="00CB01E2">
        <w:rPr>
          <w:lang w:val="fr-CH"/>
        </w:rPr>
        <w:t>La présente Recommandation contient des lignes directrices bien précises pour l'utilisation compatible des bandes de fréquences 2 290-2 300 MHz et 2 025-2 120 MHz par les liaisons de radiocommunication d'urgence utilisées dans les vols spatiaux habités. Ces liaisons d'urgence sont des liaisons fiables à faible débit/faible puissance entre un engin spatial habité et la Terre, qui sont établies via un satellite relais de données ou directement avec une station terrienne adéquate et qui sont indépendantes des liaisons de télémesure, de poursuite et de commande de l'engin spatial.</w:t>
      </w:r>
    </w:p>
    <w:p w:rsidR="00A107EF" w:rsidRPr="00CB01E2" w:rsidRDefault="00A107EF" w:rsidP="00C90A33">
      <w:pPr>
        <w:pStyle w:val="Normalaftertitle"/>
        <w:spacing w:before="240"/>
        <w:rPr>
          <w:lang w:val="fr-CH"/>
        </w:rPr>
      </w:pPr>
      <w:r w:rsidRPr="00CB01E2">
        <w:rPr>
          <w:lang w:val="fr-CH"/>
        </w:rPr>
        <w:t>L'Assemblée des radiocommunications de l'UIT,</w:t>
      </w:r>
    </w:p>
    <w:p w:rsidR="00A107EF" w:rsidRPr="00CB01E2" w:rsidRDefault="00A107EF" w:rsidP="00C90A33">
      <w:pPr>
        <w:pStyle w:val="Call"/>
        <w:rPr>
          <w:lang w:val="fr-CH"/>
        </w:rPr>
      </w:pPr>
      <w:r w:rsidRPr="00CB01E2">
        <w:rPr>
          <w:lang w:val="fr-CH"/>
        </w:rPr>
        <w:t>considérant</w:t>
      </w:r>
    </w:p>
    <w:p w:rsidR="00A107EF" w:rsidRPr="00CB01E2" w:rsidRDefault="00A107EF" w:rsidP="00C90A33">
      <w:pPr>
        <w:rPr>
          <w:lang w:val="fr-CH"/>
        </w:rPr>
      </w:pPr>
      <w:r w:rsidRPr="00CB01E2">
        <w:rPr>
          <w:lang w:val="fr-CH"/>
        </w:rPr>
        <w:t>a)</w:t>
      </w:r>
      <w:r w:rsidRPr="00CB01E2">
        <w:rPr>
          <w:lang w:val="fr-CH"/>
        </w:rPr>
        <w:tab/>
        <w:t>que les engins d'exploration spatiale et les stations spatiales habités doivent en permanence être reliés aux stations terriennes par des liaisons de radiocommunication;</w:t>
      </w:r>
    </w:p>
    <w:p w:rsidR="00A107EF" w:rsidRPr="00CB01E2" w:rsidRDefault="00A107EF" w:rsidP="00C90A33">
      <w:pPr>
        <w:rPr>
          <w:lang w:val="fr-CH"/>
        </w:rPr>
      </w:pPr>
      <w:r w:rsidRPr="00CB01E2">
        <w:rPr>
          <w:lang w:val="fr-CH"/>
        </w:rPr>
        <w:t>b)</w:t>
      </w:r>
      <w:r w:rsidRPr="00CB01E2">
        <w:rPr>
          <w:lang w:val="fr-CH"/>
        </w:rPr>
        <w:tab/>
        <w:t>que les caractéristiques techniques et les spécifications opérationnelles des canaux de radiocommunications spatiales d'urgence peuvent être différentes de celles des liaisons normales entre les stations terriennes et les véhicules habités des vols spatiaux, notamment pour les missions proches de la Terre, lunaires et planétaires;</w:t>
      </w:r>
    </w:p>
    <w:p w:rsidR="00A107EF" w:rsidRPr="00CB01E2" w:rsidRDefault="00A107EF" w:rsidP="00C90A33">
      <w:pPr>
        <w:rPr>
          <w:lang w:val="fr-CH"/>
        </w:rPr>
      </w:pPr>
      <w:r w:rsidRPr="00CB01E2">
        <w:rPr>
          <w:lang w:val="fr-CH"/>
        </w:rPr>
        <w:t>c)</w:t>
      </w:r>
      <w:r w:rsidRPr="00CB01E2">
        <w:rPr>
          <w:lang w:val="fr-CH"/>
        </w:rPr>
        <w:tab/>
        <w:t>qu'il y a de nombreux avantages à utiliser des ensembles prédéfinis de paires de fréquences avec des canaux spécifiques pour les radiocommunications d'urgence aux fins de l'exploration spatiale par des vols habités;</w:t>
      </w:r>
    </w:p>
    <w:p w:rsidR="00A107EF" w:rsidRPr="00CB01E2" w:rsidRDefault="00A107EF" w:rsidP="00C90A33">
      <w:pPr>
        <w:rPr>
          <w:lang w:val="fr-CH"/>
        </w:rPr>
      </w:pPr>
      <w:r w:rsidRPr="00CB01E2">
        <w:rPr>
          <w:lang w:val="fr-CH"/>
        </w:rPr>
        <w:t>d)</w:t>
      </w:r>
      <w:r w:rsidRPr="00CB01E2">
        <w:rPr>
          <w:lang w:val="fr-CH"/>
        </w:rPr>
        <w:tab/>
        <w:t>que des bandes de fréquences attribuées actuellement au service de recherche spatiale pour les radiocommunications pourraient être utilisées pour les radiocommunications d'urgence des vols spatiaux habités;</w:t>
      </w:r>
    </w:p>
    <w:p w:rsidR="00A107EF" w:rsidRPr="00CB01E2" w:rsidRDefault="00A107EF" w:rsidP="00C90A33">
      <w:pPr>
        <w:rPr>
          <w:lang w:val="fr-CH"/>
        </w:rPr>
      </w:pPr>
      <w:r w:rsidRPr="00CB01E2">
        <w:rPr>
          <w:lang w:val="fr-CH"/>
        </w:rPr>
        <w:t>e)</w:t>
      </w:r>
      <w:r w:rsidRPr="00CB01E2">
        <w:rPr>
          <w:lang w:val="fr-CH"/>
        </w:rPr>
        <w:tab/>
        <w:t>qu'un vol spatial habité doit pouvoir compter sur des radiocommunications d'urgence pendant toute sa durée;</w:t>
      </w:r>
    </w:p>
    <w:p w:rsidR="00A107EF" w:rsidRPr="00CB01E2" w:rsidRDefault="00A107EF" w:rsidP="00C90A33">
      <w:pPr>
        <w:rPr>
          <w:lang w:val="fr-CH"/>
        </w:rPr>
      </w:pPr>
      <w:r w:rsidRPr="00CB01E2">
        <w:rPr>
          <w:lang w:val="fr-CH"/>
        </w:rPr>
        <w:t>f)</w:t>
      </w:r>
      <w:r w:rsidRPr="00CB01E2">
        <w:rPr>
          <w:lang w:val="fr-CH"/>
        </w:rPr>
        <w:tab/>
        <w:t>qu'un certain nombre d'administrations soit sont directement concernées par les vols spatiaux habités, soit ont un intérêt dans les voyages spatiaux, et peuvent être en mesure de contribuer opérationnellement aux radiocommunications à caractère d'urgence;</w:t>
      </w:r>
    </w:p>
    <w:p w:rsidR="00A107EF" w:rsidRPr="00CB01E2" w:rsidRDefault="00A107EF" w:rsidP="00C90A33">
      <w:pPr>
        <w:rPr>
          <w:lang w:val="fr-CH"/>
        </w:rPr>
      </w:pPr>
      <w:r w:rsidRPr="00CB01E2">
        <w:rPr>
          <w:lang w:val="fr-CH"/>
        </w:rPr>
        <w:t>g)</w:t>
      </w:r>
      <w:r w:rsidRPr="00CB01E2">
        <w:rPr>
          <w:lang w:val="fr-CH"/>
        </w:rPr>
        <w:tab/>
        <w:t>qu'en situation d'urgence, un engin spatial habité endommagé peut être amené à communiquer avec de faibles niveaux de puissance, au moyen d'une antenne équidirective, et avoir besoin d'utiliser une bande de fréquences dans laquelle les niveaux de brouillage sont très bas;</w:t>
      </w:r>
    </w:p>
    <w:p w:rsidR="00A107EF" w:rsidRPr="00CB01E2" w:rsidRDefault="00A107EF" w:rsidP="00084A33">
      <w:pPr>
        <w:rPr>
          <w:lang w:val="fr-CH"/>
        </w:rPr>
      </w:pPr>
      <w:r w:rsidRPr="00CB01E2">
        <w:rPr>
          <w:lang w:val="fr-CH"/>
        </w:rPr>
        <w:t>h)</w:t>
      </w:r>
      <w:r w:rsidRPr="00CB01E2">
        <w:rPr>
          <w:lang w:val="fr-CH"/>
        </w:rPr>
        <w:tab/>
        <w:t>que les attributions faites au service de recherche spatiale dans les bandes 2 025</w:t>
      </w:r>
      <w:r w:rsidR="00084A33" w:rsidRPr="00CB01E2">
        <w:rPr>
          <w:lang w:val="fr-CH"/>
        </w:rPr>
        <w:noBreakHyphen/>
      </w:r>
      <w:r w:rsidRPr="00CB01E2">
        <w:rPr>
          <w:lang w:val="fr-CH"/>
        </w:rPr>
        <w:t>2 120 MHz et 2 200-2 300 MHz présentent généralement les caractéristiques souhaitées pour les liaisons de radiocommunication d'urgence,</w:t>
      </w:r>
    </w:p>
    <w:p w:rsidR="00A107EF" w:rsidRPr="00CB01E2" w:rsidRDefault="00A107EF" w:rsidP="00084A33">
      <w:pPr>
        <w:pStyle w:val="Call"/>
        <w:rPr>
          <w:lang w:val="fr-CH"/>
        </w:rPr>
      </w:pPr>
      <w:r w:rsidRPr="00CB01E2">
        <w:rPr>
          <w:lang w:val="fr-CH"/>
        </w:rPr>
        <w:t>reconnaissant</w:t>
      </w:r>
    </w:p>
    <w:p w:rsidR="00A107EF" w:rsidRPr="00CB01E2" w:rsidRDefault="00FC580C" w:rsidP="00084A33">
      <w:pPr>
        <w:keepNext/>
        <w:keepLines/>
        <w:rPr>
          <w:lang w:val="fr-CH"/>
        </w:rPr>
      </w:pPr>
      <w:r w:rsidRPr="00CB01E2">
        <w:rPr>
          <w:lang w:val="fr-CH"/>
        </w:rPr>
        <w:t>a)</w:t>
      </w:r>
      <w:r w:rsidRPr="00CB01E2">
        <w:rPr>
          <w:lang w:val="fr-CH"/>
        </w:rPr>
        <w:tab/>
      </w:r>
      <w:r w:rsidR="00A107EF" w:rsidRPr="00CB01E2">
        <w:rPr>
          <w:lang w:val="fr-CH"/>
        </w:rPr>
        <w:t xml:space="preserve">que l'Article V du Traité des </w:t>
      </w:r>
      <w:r w:rsidR="00A107EF" w:rsidRPr="00CB01E2">
        <w:rPr>
          <w:rFonts w:cs="Arial"/>
          <w:lang w:val="fr-CH"/>
        </w:rPr>
        <w:t>Nations Unies</w:t>
      </w:r>
      <w:r w:rsidR="00A107EF" w:rsidRPr="00CB01E2">
        <w:rPr>
          <w:lang w:val="fr-CH"/>
        </w:rPr>
        <w:t xml:space="preserve"> sur les principes régissant les activités des Etats en matière d'exploration et d'utilisation de l'espace extra-atmosphérique, y compris la Lune et les autres corps célestes, stipule que: «Les Etats parties au Traité considéreront les astronautes comme des envoyés de l'humanité dans l'espace extra-atmosphérique et leur prêteront toute l'assistance possible en cas d'accident, de détresse ou d'atterrissage forcé sur le territoire d'un autre Etat partie au Traité ou d'amerrissage en haute mer»; </w:t>
      </w:r>
    </w:p>
    <w:p w:rsidR="00A107EF" w:rsidRPr="00CB01E2" w:rsidRDefault="00FC580C" w:rsidP="00FC580C">
      <w:pPr>
        <w:rPr>
          <w:lang w:val="fr-CH"/>
        </w:rPr>
      </w:pPr>
      <w:r w:rsidRPr="00CB01E2">
        <w:rPr>
          <w:lang w:val="fr-CH"/>
        </w:rPr>
        <w:t>b)</w:t>
      </w:r>
      <w:r w:rsidRPr="00CB01E2">
        <w:rPr>
          <w:lang w:val="fr-CH"/>
        </w:rPr>
        <w:tab/>
      </w:r>
      <w:r w:rsidR="00A107EF" w:rsidRPr="00CB01E2">
        <w:rPr>
          <w:lang w:val="fr-CH"/>
        </w:rPr>
        <w:t>que ce même Article stipule en outre que: «Lorsqu'ils poursuivront des activités dans l'espace extra-atmosphérique et sur les corps célestes, les astronautes d'un Etat partie au Traité prêteront toute l'assistance possible aux astronautes des autres Etats parties au Traité»,</w:t>
      </w:r>
    </w:p>
    <w:p w:rsidR="00A107EF" w:rsidRPr="00CB01E2" w:rsidRDefault="00A107EF" w:rsidP="00C90A33">
      <w:pPr>
        <w:pStyle w:val="Call"/>
        <w:rPr>
          <w:lang w:val="fr-CH"/>
        </w:rPr>
      </w:pPr>
      <w:r w:rsidRPr="00CB01E2">
        <w:rPr>
          <w:lang w:val="fr-CH"/>
        </w:rPr>
        <w:t>notant</w:t>
      </w:r>
    </w:p>
    <w:p w:rsidR="00A107EF" w:rsidRPr="00CB01E2" w:rsidRDefault="00A107EF" w:rsidP="00C90A33">
      <w:pPr>
        <w:rPr>
          <w:lang w:val="fr-CH"/>
        </w:rPr>
      </w:pPr>
      <w:r w:rsidRPr="00CB01E2">
        <w:rPr>
          <w:lang w:val="fr-CH"/>
        </w:rPr>
        <w:t>a)</w:t>
      </w:r>
      <w:r w:rsidRPr="00CB01E2">
        <w:rPr>
          <w:lang w:val="fr-CH"/>
        </w:rPr>
        <w:tab/>
        <w:t>qu'il est souhaitable de promouvoir et d'encourager une collaboration multinationale en cas de situations d'urgence pendant des vols spatiaux habités;</w:t>
      </w:r>
    </w:p>
    <w:p w:rsidR="00A107EF" w:rsidRPr="00CB01E2" w:rsidRDefault="00A107EF" w:rsidP="00C90A33">
      <w:pPr>
        <w:rPr>
          <w:lang w:val="fr-CH"/>
        </w:rPr>
      </w:pPr>
      <w:r w:rsidRPr="00CB01E2">
        <w:rPr>
          <w:lang w:val="fr-CH"/>
        </w:rPr>
        <w:t>b)</w:t>
      </w:r>
      <w:r w:rsidRPr="00CB01E2">
        <w:rPr>
          <w:lang w:val="fr-CH"/>
        </w:rPr>
        <w:tab/>
        <w:t>qu'une liaison de radiocommunications d'urgence devrait être indépendante des liaisons de command</w:t>
      </w:r>
      <w:r w:rsidR="00FC580C" w:rsidRPr="00CB01E2">
        <w:rPr>
          <w:lang w:val="fr-CH"/>
        </w:rPr>
        <w:t xml:space="preserve">e et de télémesure primaires </w:t>
      </w:r>
      <w:r w:rsidRPr="00CB01E2">
        <w:rPr>
          <w:lang w:val="fr-CH"/>
        </w:rPr>
        <w:t>nominales;</w:t>
      </w:r>
    </w:p>
    <w:p w:rsidR="00A107EF" w:rsidRPr="00CB01E2" w:rsidRDefault="00A107EF" w:rsidP="00C90A33">
      <w:pPr>
        <w:rPr>
          <w:lang w:val="fr-CH"/>
        </w:rPr>
      </w:pPr>
      <w:r w:rsidRPr="00CB01E2">
        <w:rPr>
          <w:lang w:val="fr-CH"/>
        </w:rPr>
        <w:t>c)</w:t>
      </w:r>
      <w:r w:rsidRPr="00CB01E2">
        <w:rPr>
          <w:lang w:val="fr-CH"/>
        </w:rPr>
        <w:tab/>
        <w:t>que l'utilisation des canaux du service de recherche spatiale pour des radiocommunications d'urgence n'est pas considérée comme une application de sécurité;</w:t>
      </w:r>
    </w:p>
    <w:p w:rsidR="00A107EF" w:rsidRPr="00CB01E2" w:rsidRDefault="00A107EF" w:rsidP="00C90A33">
      <w:pPr>
        <w:rPr>
          <w:lang w:val="fr-CH"/>
        </w:rPr>
      </w:pPr>
      <w:r w:rsidRPr="00CB01E2">
        <w:rPr>
          <w:lang w:val="fr-CH"/>
        </w:rPr>
        <w:t>d)</w:t>
      </w:r>
      <w:r w:rsidRPr="00CB01E2">
        <w:rPr>
          <w:lang w:val="fr-CH"/>
        </w:rPr>
        <w:tab/>
        <w:t>que la sous-bande 2 293-2 297 MHz est essentielle pour les missions actuelles et futures dans l'espace lointain et ne devrait pas être prise en considération pour les radiocommunications d'urgence,</w:t>
      </w:r>
    </w:p>
    <w:p w:rsidR="00A107EF" w:rsidRPr="00CB01E2" w:rsidRDefault="00A107EF" w:rsidP="00C90A33">
      <w:pPr>
        <w:pStyle w:val="Call"/>
        <w:rPr>
          <w:lang w:val="fr-CH"/>
        </w:rPr>
      </w:pPr>
      <w:r w:rsidRPr="00CB01E2">
        <w:rPr>
          <w:lang w:val="fr-CH"/>
        </w:rPr>
        <w:t>recommande</w:t>
      </w:r>
    </w:p>
    <w:p w:rsidR="00A107EF" w:rsidRPr="00CB01E2" w:rsidRDefault="00A107EF" w:rsidP="00FC580C">
      <w:pPr>
        <w:rPr>
          <w:lang w:val="fr-CH"/>
        </w:rPr>
      </w:pPr>
      <w:r w:rsidRPr="00CB01E2">
        <w:rPr>
          <w:b/>
          <w:bCs/>
          <w:lang w:val="fr-CH"/>
        </w:rPr>
        <w:t>1</w:t>
      </w:r>
      <w:r w:rsidRPr="00CB01E2">
        <w:rPr>
          <w:lang w:val="fr-CH"/>
        </w:rPr>
        <w:tab/>
        <w:t xml:space="preserve">qu'un engin spatial habité en situation d'urgence utilise la bande 2 290-2 300 MHz, à l'exception de la sous-bande 2 293-2 297 MHz, pour </w:t>
      </w:r>
      <w:r w:rsidR="00FC580C" w:rsidRPr="00CB01E2">
        <w:rPr>
          <w:lang w:val="fr-CH"/>
        </w:rPr>
        <w:t xml:space="preserve">les émissions </w:t>
      </w:r>
      <w:r w:rsidRPr="00CB01E2">
        <w:rPr>
          <w:lang w:val="fr-CH"/>
        </w:rPr>
        <w:t xml:space="preserve">à destination de la Terre, </w:t>
      </w:r>
      <w:r w:rsidR="00FC580C" w:rsidRPr="00CB01E2">
        <w:rPr>
          <w:lang w:val="fr-CH"/>
        </w:rPr>
        <w:t xml:space="preserve">qu'elles soient directes </w:t>
      </w:r>
      <w:r w:rsidRPr="00CB01E2">
        <w:rPr>
          <w:lang w:val="fr-CH"/>
        </w:rPr>
        <w:t xml:space="preserve">ou </w:t>
      </w:r>
      <w:r w:rsidR="00FC580C" w:rsidRPr="00CB01E2">
        <w:rPr>
          <w:lang w:val="fr-CH"/>
        </w:rPr>
        <w:t xml:space="preserve">passent </w:t>
      </w:r>
      <w:r w:rsidRPr="00CB01E2">
        <w:rPr>
          <w:lang w:val="fr-CH"/>
        </w:rPr>
        <w:t>par l'intermédiaire d'un satellite relais de données;</w:t>
      </w:r>
    </w:p>
    <w:p w:rsidR="00A107EF" w:rsidRPr="00CB01E2" w:rsidRDefault="00A107EF" w:rsidP="00C90A33">
      <w:pPr>
        <w:rPr>
          <w:lang w:val="fr-CH"/>
        </w:rPr>
      </w:pPr>
      <w:r w:rsidRPr="00CB01E2">
        <w:rPr>
          <w:b/>
          <w:bCs/>
          <w:lang w:val="fr-CH"/>
        </w:rPr>
        <w:t>2</w:t>
      </w:r>
      <w:r w:rsidRPr="00CB01E2">
        <w:rPr>
          <w:lang w:val="fr-CH"/>
        </w:rPr>
        <w:tab/>
        <w:t>que, pour les émissions à destination d'un engin spatial habité en situation d'urgence, qu'elles soient directes ou passent par l'intermédiaire d'un satellite relais de données, l'on utilise soit la bande 2 025-2 110 MHz ou la bande 2 110-2 120 MHz, soit ces deux bandes;</w:t>
      </w:r>
    </w:p>
    <w:p w:rsidR="00A107EF" w:rsidRPr="00CB01E2" w:rsidRDefault="00A107EF" w:rsidP="00C90A33">
      <w:pPr>
        <w:rPr>
          <w:lang w:val="fr-CH"/>
        </w:rPr>
      </w:pPr>
      <w:r w:rsidRPr="00CB01E2">
        <w:rPr>
          <w:b/>
          <w:bCs/>
          <w:lang w:val="fr-CH"/>
        </w:rPr>
        <w:t>3</w:t>
      </w:r>
      <w:r w:rsidRPr="00CB01E2">
        <w:rPr>
          <w:lang w:val="fr-CH"/>
        </w:rPr>
        <w:tab/>
        <w:t>que, dans la bande 2 293-2 297 MHz, les rayonnements non désirés produits par les émetteurs de secours des engins spatiaux habités respectent les critères de protection applicables dans l'espace lointain énoncés dans la Recommandation UIT-R SA.1157.</w:t>
      </w:r>
    </w:p>
    <w:p w:rsidR="00A6617B" w:rsidRPr="00CB01E2" w:rsidRDefault="00A6617B" w:rsidP="00C90A33">
      <w:pPr>
        <w:rPr>
          <w:lang w:val="fr-CH"/>
        </w:rPr>
      </w:pPr>
    </w:p>
    <w:p w:rsidR="00A107EF" w:rsidRPr="00CB01E2" w:rsidRDefault="00A107EF" w:rsidP="00C90A33">
      <w:pPr>
        <w:pStyle w:val="Line"/>
        <w:rPr>
          <w:lang w:val="fr-CH"/>
        </w:rPr>
      </w:pPr>
    </w:p>
    <w:p w:rsidR="00A107EF" w:rsidRPr="00CB01E2" w:rsidRDefault="00A107EF" w:rsidP="00C90A33">
      <w:pPr>
        <w:rPr>
          <w:lang w:val="fr-CH"/>
        </w:rPr>
      </w:pPr>
    </w:p>
    <w:sectPr w:rsidR="00A107EF" w:rsidRPr="00CB01E2" w:rsidSect="00C90A33">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7EF" w:rsidRDefault="00A107EF">
      <w:r>
        <w:separator/>
      </w:r>
    </w:p>
  </w:endnote>
  <w:endnote w:type="continuationSeparator" w:id="0">
    <w:p w:rsidR="00A107EF" w:rsidRDefault="00A107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7EF" w:rsidRDefault="00A107EF">
      <w:r>
        <w:separator/>
      </w:r>
    </w:p>
  </w:footnote>
  <w:footnote w:type="continuationSeparator" w:id="0">
    <w:p w:rsidR="00A107EF" w:rsidRDefault="00A107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7EF" w:rsidRDefault="00A107E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7EF" w:rsidRDefault="00A107EF"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7EF" w:rsidRPr="00837CB5" w:rsidRDefault="00487394">
    <w:pPr>
      <w:pStyle w:val="Header"/>
      <w:jc w:val="left"/>
    </w:pPr>
    <w:r>
      <w:rPr>
        <w:rStyle w:val="PageNumber"/>
        <w:b/>
        <w:bCs/>
      </w:rPr>
      <w:fldChar w:fldCharType="begin"/>
    </w:r>
    <w:r w:rsidR="00A107EF" w:rsidRPr="00837CB5">
      <w:rPr>
        <w:rStyle w:val="PageNumber"/>
        <w:b/>
        <w:bCs/>
      </w:rPr>
      <w:instrText xml:space="preserve"> PAGE </w:instrText>
    </w:r>
    <w:r>
      <w:rPr>
        <w:rStyle w:val="PageNumber"/>
        <w:b/>
        <w:bCs/>
      </w:rPr>
      <w:fldChar w:fldCharType="separate"/>
    </w:r>
    <w:r w:rsidR="00CB01E2">
      <w:rPr>
        <w:rStyle w:val="PageNumber"/>
        <w:b/>
        <w:bCs/>
        <w:noProof/>
      </w:rPr>
      <w:t>ii</w:t>
    </w:r>
    <w:r>
      <w:rPr>
        <w:rStyle w:val="PageNumber"/>
        <w:b/>
        <w:bCs/>
      </w:rPr>
      <w:fldChar w:fldCharType="end"/>
    </w:r>
    <w:r w:rsidR="00A107EF" w:rsidRPr="00837CB5">
      <w:tab/>
    </w:r>
    <w:fldSimple w:instr=" DOCPROPERTY &quot;Header&quot; \* MERGEFORMAT ">
      <w:r w:rsidR="00084A33" w:rsidRPr="00084A33">
        <w:rPr>
          <w:b/>
          <w:bCs/>
        </w:rPr>
        <w:t xml:space="preserve">Rec. </w:t>
      </w:r>
    </w:fldSimple>
    <w:r w:rsidR="00A107EF">
      <w:rPr>
        <w:b/>
        <w:bCs/>
      </w:rPr>
      <w:t xml:space="preserve"> </w:t>
    </w:r>
    <w:r>
      <w:rPr>
        <w:b/>
        <w:bCs/>
      </w:rPr>
      <w:fldChar w:fldCharType="begin"/>
    </w:r>
    <w:r w:rsidR="00A107EF" w:rsidRPr="00837CB5">
      <w:rPr>
        <w:b/>
        <w:bCs/>
      </w:rPr>
      <w:instrText>styleref href</w:instrText>
    </w:r>
    <w:r>
      <w:rPr>
        <w:b/>
        <w:bCs/>
      </w:rPr>
      <w:fldChar w:fldCharType="separate"/>
    </w:r>
    <w:r w:rsidR="00CB01E2">
      <w:rPr>
        <w:b/>
        <w:bCs/>
        <w:noProof/>
      </w:rPr>
      <w:t>UIT-R  SA.1863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7EF" w:rsidRDefault="00A107EF">
    <w:pPr>
      <w:pStyle w:val="Header"/>
    </w:pPr>
    <w:r>
      <w:tab/>
    </w:r>
    <w:fldSimple w:instr=" DOCPROPERTY &quot;Header&quot; \* MERGEFORMAT ">
      <w:r w:rsidR="00084A33" w:rsidRPr="00084A33">
        <w:rPr>
          <w:b/>
          <w:bCs/>
        </w:rPr>
        <w:t xml:space="preserve">Rec. </w:t>
      </w:r>
    </w:fldSimple>
    <w:r>
      <w:rPr>
        <w:b/>
        <w:bCs/>
      </w:rPr>
      <w:t xml:space="preserve"> </w:t>
    </w:r>
    <w:r w:rsidR="00487394">
      <w:rPr>
        <w:b/>
        <w:bCs/>
      </w:rPr>
      <w:fldChar w:fldCharType="begin"/>
    </w:r>
    <w:r>
      <w:rPr>
        <w:b/>
        <w:bCs/>
      </w:rPr>
      <w:instrText>styleref href</w:instrText>
    </w:r>
    <w:r w:rsidR="00487394">
      <w:rPr>
        <w:b/>
        <w:bCs/>
      </w:rPr>
      <w:fldChar w:fldCharType="separate"/>
    </w:r>
    <w:r w:rsidR="00084A33">
      <w:rPr>
        <w:b/>
        <w:bCs/>
        <w:noProof/>
      </w:rPr>
      <w:t>UIT-R  SA.1863</w:t>
    </w:r>
    <w:r w:rsidR="00487394">
      <w:rPr>
        <w:b/>
        <w:bCs/>
      </w:rPr>
      <w:fldChar w:fldCharType="end"/>
    </w:r>
    <w:r>
      <w:tab/>
    </w:r>
    <w:r w:rsidR="00487394">
      <w:rPr>
        <w:rStyle w:val="PageNumber"/>
        <w:b/>
        <w:bCs/>
      </w:rPr>
      <w:fldChar w:fldCharType="begin"/>
    </w:r>
    <w:r>
      <w:rPr>
        <w:rStyle w:val="PageNumber"/>
        <w:b/>
        <w:bCs/>
      </w:rPr>
      <w:instrText xml:space="preserve"> PAGE </w:instrText>
    </w:r>
    <w:r w:rsidR="00487394">
      <w:rPr>
        <w:rStyle w:val="PageNumber"/>
        <w:b/>
        <w:bCs/>
      </w:rPr>
      <w:fldChar w:fldCharType="separate"/>
    </w:r>
    <w:r>
      <w:rPr>
        <w:rStyle w:val="PageNumber"/>
        <w:b/>
        <w:bCs/>
        <w:noProof/>
      </w:rPr>
      <w:t>1</w:t>
    </w:r>
    <w:r w:rsidR="0048739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487394">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CB01E2">
      <w:rPr>
        <w:rStyle w:val="PageNumber"/>
        <w:b/>
        <w:bCs/>
        <w:noProof/>
        <w:lang w:val="en-US"/>
      </w:rPr>
      <w:t>2</w:t>
    </w:r>
    <w:r>
      <w:rPr>
        <w:rStyle w:val="PageNumber"/>
        <w:b/>
        <w:bCs/>
      </w:rPr>
      <w:fldChar w:fldCharType="end"/>
    </w:r>
    <w:r w:rsidR="00607D68">
      <w:rPr>
        <w:lang w:val="en-US"/>
      </w:rPr>
      <w:tab/>
    </w:r>
    <w:fldSimple w:instr=" DOCPROPERTY &quot;Header&quot; \* MERGEFORMAT ">
      <w:r w:rsidR="00084A33" w:rsidRPr="00084A33">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CB01E2">
      <w:rPr>
        <w:b/>
        <w:bCs/>
        <w:noProof/>
      </w:rPr>
      <w:t>UIT-R  SA.1863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084A33" w:rsidRPr="00084A33">
        <w:rPr>
          <w:b/>
          <w:bCs/>
        </w:rPr>
        <w:t xml:space="preserve">Rec. </w:t>
      </w:r>
    </w:fldSimple>
    <w:r>
      <w:rPr>
        <w:b/>
        <w:bCs/>
      </w:rPr>
      <w:t xml:space="preserve"> </w:t>
    </w:r>
    <w:r w:rsidR="00487394">
      <w:rPr>
        <w:b/>
        <w:bCs/>
      </w:rPr>
      <w:fldChar w:fldCharType="begin"/>
    </w:r>
    <w:r>
      <w:rPr>
        <w:b/>
        <w:bCs/>
      </w:rPr>
      <w:instrText>styleref href</w:instrText>
    </w:r>
    <w:r w:rsidR="00487394">
      <w:rPr>
        <w:b/>
        <w:bCs/>
      </w:rPr>
      <w:fldChar w:fldCharType="separate"/>
    </w:r>
    <w:r w:rsidR="00CB01E2">
      <w:rPr>
        <w:b/>
        <w:bCs/>
        <w:noProof/>
      </w:rPr>
      <w:t>UIT-R  SA.1863</w:t>
    </w:r>
    <w:r w:rsidR="00487394">
      <w:rPr>
        <w:b/>
        <w:bCs/>
      </w:rPr>
      <w:fldChar w:fldCharType="end"/>
    </w:r>
    <w:r>
      <w:tab/>
    </w:r>
    <w:r w:rsidR="00487394">
      <w:rPr>
        <w:rStyle w:val="PageNumber"/>
        <w:b/>
        <w:bCs/>
      </w:rPr>
      <w:fldChar w:fldCharType="begin"/>
    </w:r>
    <w:r>
      <w:rPr>
        <w:rStyle w:val="PageNumber"/>
        <w:b/>
        <w:bCs/>
      </w:rPr>
      <w:instrText xml:space="preserve"> PAGE </w:instrText>
    </w:r>
    <w:r w:rsidR="00487394">
      <w:rPr>
        <w:rStyle w:val="PageNumber"/>
        <w:b/>
        <w:bCs/>
      </w:rPr>
      <w:fldChar w:fldCharType="separate"/>
    </w:r>
    <w:r w:rsidR="00CB01E2">
      <w:rPr>
        <w:rStyle w:val="PageNumber"/>
        <w:b/>
        <w:bCs/>
        <w:noProof/>
      </w:rPr>
      <w:t>1</w:t>
    </w:r>
    <w:r w:rsidR="0048739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440578"/>
    <w:multiLevelType w:val="hybridMultilevel"/>
    <w:tmpl w:val="382A35FA"/>
    <w:lvl w:ilvl="0" w:tplc="9C084C6C">
      <w:start w:val="1"/>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C90A33"/>
    <w:rsid w:val="00084A33"/>
    <w:rsid w:val="00217EBF"/>
    <w:rsid w:val="002D76C4"/>
    <w:rsid w:val="00353B85"/>
    <w:rsid w:val="003E47D3"/>
    <w:rsid w:val="00487394"/>
    <w:rsid w:val="00607D68"/>
    <w:rsid w:val="007468DA"/>
    <w:rsid w:val="00A107EF"/>
    <w:rsid w:val="00A6617B"/>
    <w:rsid w:val="00AB0DC8"/>
    <w:rsid w:val="00B44E24"/>
    <w:rsid w:val="00C90A33"/>
    <w:rsid w:val="00CB01E2"/>
    <w:rsid w:val="00D12E70"/>
    <w:rsid w:val="00DF4176"/>
    <w:rsid w:val="00FC580C"/>
    <w:rsid w:val="00FF1D7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2E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12E70"/>
    <w:pPr>
      <w:keepNext/>
      <w:keepLines/>
      <w:spacing w:before="480"/>
      <w:ind w:left="794" w:hanging="794"/>
      <w:outlineLvl w:val="0"/>
    </w:pPr>
    <w:rPr>
      <w:b/>
    </w:rPr>
  </w:style>
  <w:style w:type="paragraph" w:styleId="Heading2">
    <w:name w:val="heading 2"/>
    <w:basedOn w:val="Heading1"/>
    <w:next w:val="Normal"/>
    <w:qFormat/>
    <w:rsid w:val="00D12E70"/>
    <w:pPr>
      <w:spacing w:before="320"/>
      <w:outlineLvl w:val="1"/>
    </w:pPr>
  </w:style>
  <w:style w:type="paragraph" w:styleId="Heading3">
    <w:name w:val="heading 3"/>
    <w:basedOn w:val="Heading1"/>
    <w:next w:val="Normal"/>
    <w:qFormat/>
    <w:rsid w:val="00D12E70"/>
    <w:pPr>
      <w:spacing w:before="200"/>
      <w:outlineLvl w:val="2"/>
    </w:pPr>
  </w:style>
  <w:style w:type="paragraph" w:styleId="Heading4">
    <w:name w:val="heading 4"/>
    <w:basedOn w:val="Heading3"/>
    <w:next w:val="Normal"/>
    <w:qFormat/>
    <w:rsid w:val="00D12E70"/>
    <w:pPr>
      <w:tabs>
        <w:tab w:val="clear" w:pos="794"/>
        <w:tab w:val="left" w:pos="992"/>
      </w:tabs>
      <w:ind w:left="992" w:hanging="992"/>
      <w:outlineLvl w:val="3"/>
    </w:pPr>
  </w:style>
  <w:style w:type="paragraph" w:styleId="Heading5">
    <w:name w:val="heading 5"/>
    <w:basedOn w:val="Heading4"/>
    <w:next w:val="Normal"/>
    <w:qFormat/>
    <w:rsid w:val="00D12E70"/>
    <w:pPr>
      <w:outlineLvl w:val="4"/>
    </w:pPr>
  </w:style>
  <w:style w:type="paragraph" w:styleId="Heading6">
    <w:name w:val="heading 6"/>
    <w:basedOn w:val="Heading4"/>
    <w:next w:val="Normal"/>
    <w:qFormat/>
    <w:rsid w:val="00D12E70"/>
    <w:pPr>
      <w:tabs>
        <w:tab w:val="clear" w:pos="992"/>
        <w:tab w:val="clear" w:pos="1191"/>
      </w:tabs>
      <w:ind w:left="1588" w:hanging="1588"/>
      <w:outlineLvl w:val="5"/>
    </w:pPr>
  </w:style>
  <w:style w:type="paragraph" w:styleId="Heading7">
    <w:name w:val="heading 7"/>
    <w:basedOn w:val="Heading6"/>
    <w:next w:val="Normal"/>
    <w:qFormat/>
    <w:rsid w:val="00D12E70"/>
    <w:pPr>
      <w:outlineLvl w:val="6"/>
    </w:pPr>
  </w:style>
  <w:style w:type="paragraph" w:styleId="Heading8">
    <w:name w:val="heading 8"/>
    <w:basedOn w:val="Heading6"/>
    <w:next w:val="Normal"/>
    <w:qFormat/>
    <w:rsid w:val="00D12E70"/>
    <w:pPr>
      <w:outlineLvl w:val="7"/>
    </w:pPr>
  </w:style>
  <w:style w:type="paragraph" w:styleId="Heading9">
    <w:name w:val="heading 9"/>
    <w:basedOn w:val="Heading6"/>
    <w:next w:val="Normal"/>
    <w:qFormat/>
    <w:rsid w:val="00D12E7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2E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12E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12E70"/>
  </w:style>
  <w:style w:type="paragraph" w:customStyle="1" w:styleId="Headingb">
    <w:name w:val="Heading_b"/>
    <w:basedOn w:val="Heading3"/>
    <w:next w:val="Normal"/>
    <w:rsid w:val="00D12E70"/>
    <w:pPr>
      <w:spacing w:before="160"/>
      <w:ind w:left="0" w:firstLine="0"/>
      <w:outlineLvl w:val="9"/>
    </w:pPr>
  </w:style>
  <w:style w:type="paragraph" w:customStyle="1" w:styleId="Headingi">
    <w:name w:val="Heading_i"/>
    <w:basedOn w:val="Heading3"/>
    <w:next w:val="Normal"/>
    <w:rsid w:val="00D12E70"/>
    <w:pPr>
      <w:spacing w:before="160"/>
      <w:ind w:left="0" w:firstLine="0"/>
    </w:pPr>
    <w:rPr>
      <w:b w:val="0"/>
      <w:i/>
    </w:rPr>
  </w:style>
  <w:style w:type="character" w:customStyle="1" w:styleId="href">
    <w:name w:val="href"/>
    <w:basedOn w:val="DefaultParagraphFont"/>
    <w:rsid w:val="00D12E70"/>
  </w:style>
  <w:style w:type="paragraph" w:customStyle="1" w:styleId="enumlev1">
    <w:name w:val="enumlev1"/>
    <w:basedOn w:val="Normal"/>
    <w:rsid w:val="00D12E70"/>
    <w:pPr>
      <w:spacing w:before="80"/>
      <w:ind w:left="794" w:hanging="794"/>
    </w:pPr>
  </w:style>
  <w:style w:type="paragraph" w:customStyle="1" w:styleId="enumlev2">
    <w:name w:val="enumlev2"/>
    <w:basedOn w:val="enumlev1"/>
    <w:rsid w:val="00D12E70"/>
    <w:pPr>
      <w:ind w:left="1191" w:hanging="397"/>
    </w:pPr>
  </w:style>
  <w:style w:type="paragraph" w:customStyle="1" w:styleId="enumlev3">
    <w:name w:val="enumlev3"/>
    <w:basedOn w:val="enumlev2"/>
    <w:rsid w:val="00D12E70"/>
    <w:pPr>
      <w:ind w:left="1588"/>
    </w:pPr>
  </w:style>
  <w:style w:type="paragraph" w:customStyle="1" w:styleId="Normalaftertitle">
    <w:name w:val="Normal_after_title"/>
    <w:basedOn w:val="Normal"/>
    <w:next w:val="Normal"/>
    <w:rsid w:val="00D12E70"/>
    <w:pPr>
      <w:spacing w:before="320"/>
    </w:pPr>
  </w:style>
  <w:style w:type="paragraph" w:customStyle="1" w:styleId="Note">
    <w:name w:val="Note"/>
    <w:basedOn w:val="Normal"/>
    <w:rsid w:val="00D12E7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12E7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12E70"/>
    <w:pPr>
      <w:spacing w:before="240"/>
    </w:pPr>
    <w:rPr>
      <w:sz w:val="22"/>
      <w:lang w:val="es-ES_tradnl"/>
    </w:rPr>
  </w:style>
  <w:style w:type="paragraph" w:customStyle="1" w:styleId="Recref">
    <w:name w:val="Rec_ref"/>
    <w:basedOn w:val="Normal"/>
    <w:next w:val="Recdate"/>
    <w:rsid w:val="00D12E70"/>
    <w:pPr>
      <w:jc w:val="center"/>
    </w:pPr>
  </w:style>
  <w:style w:type="paragraph" w:customStyle="1" w:styleId="Recdate">
    <w:name w:val="Rec_date"/>
    <w:basedOn w:val="Recref"/>
    <w:next w:val="Normalaftertitle"/>
    <w:rsid w:val="00D12E70"/>
    <w:pPr>
      <w:jc w:val="right"/>
    </w:pPr>
  </w:style>
  <w:style w:type="paragraph" w:customStyle="1" w:styleId="AnnexNoTitle">
    <w:name w:val="Annex_NoTitle"/>
    <w:basedOn w:val="Normal"/>
    <w:next w:val="Normalaftertitle"/>
    <w:rsid w:val="00D12E70"/>
    <w:pPr>
      <w:keepNext/>
      <w:keepLines/>
      <w:spacing w:before="480" w:after="80"/>
      <w:jc w:val="center"/>
    </w:pPr>
    <w:rPr>
      <w:b/>
      <w:sz w:val="28"/>
    </w:rPr>
  </w:style>
  <w:style w:type="paragraph" w:customStyle="1" w:styleId="AppendixNoTitle">
    <w:name w:val="Appendix_NoTitle"/>
    <w:basedOn w:val="AnnexNoTitle"/>
    <w:next w:val="Normal"/>
    <w:rsid w:val="00D12E70"/>
  </w:style>
  <w:style w:type="paragraph" w:customStyle="1" w:styleId="Tablefin">
    <w:name w:val="Table_fin"/>
    <w:basedOn w:val="Normal"/>
    <w:next w:val="Normal"/>
    <w:rsid w:val="00D12E70"/>
    <w:pPr>
      <w:spacing w:before="0"/>
    </w:pPr>
    <w:rPr>
      <w:sz w:val="20"/>
      <w:lang w:val="en-GB"/>
    </w:rPr>
  </w:style>
  <w:style w:type="paragraph" w:customStyle="1" w:styleId="Tablehead">
    <w:name w:val="Table_head"/>
    <w:basedOn w:val="Normal"/>
    <w:next w:val="Normal"/>
    <w:rsid w:val="00D12E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1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12E70"/>
    <w:pPr>
      <w:keepNext/>
      <w:spacing w:before="360" w:after="120"/>
      <w:jc w:val="center"/>
    </w:pPr>
  </w:style>
  <w:style w:type="paragraph" w:customStyle="1" w:styleId="Tabletext">
    <w:name w:val="Table_text"/>
    <w:basedOn w:val="Normal"/>
    <w:rsid w:val="00D1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12E70"/>
    <w:pPr>
      <w:tabs>
        <w:tab w:val="clear" w:pos="1191"/>
        <w:tab w:val="clear" w:pos="1588"/>
        <w:tab w:val="clear" w:pos="1985"/>
        <w:tab w:val="center" w:pos="4820"/>
        <w:tab w:val="right" w:pos="9639"/>
      </w:tabs>
    </w:pPr>
  </w:style>
  <w:style w:type="paragraph" w:customStyle="1" w:styleId="Equationlegend">
    <w:name w:val="Equation_legend"/>
    <w:basedOn w:val="NormalIndent"/>
    <w:rsid w:val="00D12E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12E70"/>
    <w:pPr>
      <w:ind w:left="794"/>
    </w:pPr>
  </w:style>
  <w:style w:type="paragraph" w:customStyle="1" w:styleId="Figurelegend">
    <w:name w:val="Figure_legend"/>
    <w:basedOn w:val="Normal"/>
    <w:rsid w:val="00D12E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12E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12E70"/>
    <w:pPr>
      <w:keepNext/>
      <w:keepLines/>
      <w:spacing w:before="480"/>
      <w:jc w:val="center"/>
    </w:pPr>
    <w:rPr>
      <w:sz w:val="28"/>
    </w:rPr>
  </w:style>
  <w:style w:type="paragraph" w:customStyle="1" w:styleId="Arttitle">
    <w:name w:val="Art_title"/>
    <w:basedOn w:val="Normal"/>
    <w:next w:val="Normalaftertitle"/>
    <w:rsid w:val="00D12E70"/>
    <w:pPr>
      <w:keepNext/>
      <w:keepLines/>
      <w:spacing w:before="240"/>
      <w:jc w:val="center"/>
    </w:pPr>
    <w:rPr>
      <w:b/>
      <w:sz w:val="28"/>
    </w:rPr>
  </w:style>
  <w:style w:type="paragraph" w:customStyle="1" w:styleId="Blanc">
    <w:name w:val="Blanc"/>
    <w:basedOn w:val="Normal"/>
    <w:next w:val="Tabletext"/>
    <w:rsid w:val="00D12E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12E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12E70"/>
    <w:pPr>
      <w:keepNext/>
      <w:keepLines/>
      <w:spacing w:before="160"/>
      <w:ind w:left="794"/>
    </w:pPr>
    <w:rPr>
      <w:i/>
    </w:rPr>
  </w:style>
  <w:style w:type="paragraph" w:customStyle="1" w:styleId="ChapNo">
    <w:name w:val="Chap_No"/>
    <w:basedOn w:val="ArtNo"/>
    <w:next w:val="Chaptitle"/>
    <w:rsid w:val="00D12E70"/>
    <w:rPr>
      <w:b/>
    </w:rPr>
  </w:style>
  <w:style w:type="paragraph" w:customStyle="1" w:styleId="Chaptitle">
    <w:name w:val="Chap_title"/>
    <w:basedOn w:val="Arttitle"/>
    <w:next w:val="Normalaftertitle"/>
    <w:rsid w:val="00D12E70"/>
  </w:style>
  <w:style w:type="character" w:styleId="FootnoteReference">
    <w:name w:val="footnote reference"/>
    <w:basedOn w:val="DefaultParagraphFont"/>
    <w:semiHidden/>
    <w:rsid w:val="00D12E70"/>
    <w:rPr>
      <w:position w:val="6"/>
      <w:sz w:val="18"/>
    </w:rPr>
  </w:style>
  <w:style w:type="paragraph" w:styleId="FootnoteText">
    <w:name w:val="footnote text"/>
    <w:basedOn w:val="Normal"/>
    <w:semiHidden/>
    <w:rsid w:val="00D12E70"/>
    <w:pPr>
      <w:keepLines/>
      <w:tabs>
        <w:tab w:val="left" w:pos="255"/>
      </w:tabs>
      <w:ind w:left="255" w:hanging="255"/>
    </w:pPr>
    <w:rPr>
      <w:sz w:val="22"/>
    </w:rPr>
  </w:style>
  <w:style w:type="paragraph" w:styleId="Index1">
    <w:name w:val="index 1"/>
    <w:basedOn w:val="Normal"/>
    <w:next w:val="Normal"/>
    <w:semiHidden/>
    <w:rsid w:val="00D12E70"/>
  </w:style>
  <w:style w:type="paragraph" w:styleId="Index2">
    <w:name w:val="index 2"/>
    <w:basedOn w:val="Normal"/>
    <w:next w:val="Normal"/>
    <w:semiHidden/>
    <w:rsid w:val="00D12E70"/>
    <w:pPr>
      <w:ind w:left="283"/>
    </w:pPr>
  </w:style>
  <w:style w:type="paragraph" w:styleId="Index3">
    <w:name w:val="index 3"/>
    <w:basedOn w:val="Normal"/>
    <w:next w:val="Normal"/>
    <w:semiHidden/>
    <w:rsid w:val="00D12E70"/>
    <w:pPr>
      <w:ind w:left="566"/>
    </w:pPr>
  </w:style>
  <w:style w:type="paragraph" w:styleId="IndexHeading">
    <w:name w:val="index heading"/>
    <w:basedOn w:val="Normal"/>
    <w:next w:val="Index1"/>
    <w:semiHidden/>
    <w:rsid w:val="00D12E70"/>
  </w:style>
  <w:style w:type="paragraph" w:customStyle="1" w:styleId="Line">
    <w:name w:val="Line"/>
    <w:basedOn w:val="Normal"/>
    <w:next w:val="Normal"/>
    <w:rsid w:val="00D12E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12E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12E70"/>
  </w:style>
  <w:style w:type="paragraph" w:customStyle="1" w:styleId="Partref">
    <w:name w:val="Part_ref"/>
    <w:basedOn w:val="Normal"/>
    <w:next w:val="Normal"/>
    <w:rsid w:val="00D12E70"/>
    <w:pPr>
      <w:keepNext/>
      <w:keepLines/>
      <w:spacing w:after="280"/>
      <w:jc w:val="center"/>
    </w:pPr>
  </w:style>
  <w:style w:type="paragraph" w:customStyle="1" w:styleId="Parttitle">
    <w:name w:val="Part_title"/>
    <w:basedOn w:val="Normal"/>
    <w:next w:val="Normalaftertitle"/>
    <w:rsid w:val="00D12E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12E70"/>
  </w:style>
  <w:style w:type="paragraph" w:customStyle="1" w:styleId="QuestionNo">
    <w:name w:val="Question_No"/>
    <w:basedOn w:val="RecNo"/>
    <w:next w:val="Normal"/>
    <w:rsid w:val="00D12E70"/>
  </w:style>
  <w:style w:type="paragraph" w:customStyle="1" w:styleId="Questionref">
    <w:name w:val="Question_ref"/>
    <w:basedOn w:val="Recref"/>
    <w:next w:val="Questiondate"/>
    <w:rsid w:val="00D12E70"/>
  </w:style>
  <w:style w:type="paragraph" w:customStyle="1" w:styleId="Questiontitle">
    <w:name w:val="Question_title"/>
    <w:basedOn w:val="Normal"/>
    <w:next w:val="Questionref"/>
    <w:rsid w:val="00D12E70"/>
  </w:style>
  <w:style w:type="paragraph" w:customStyle="1" w:styleId="Reftext">
    <w:name w:val="Ref_text"/>
    <w:basedOn w:val="Normal"/>
    <w:rsid w:val="00D12E70"/>
    <w:pPr>
      <w:ind w:left="794" w:hanging="794"/>
    </w:pPr>
    <w:rPr>
      <w:sz w:val="22"/>
    </w:rPr>
  </w:style>
  <w:style w:type="paragraph" w:customStyle="1" w:styleId="Reftitle">
    <w:name w:val="Ref_title"/>
    <w:basedOn w:val="Normal"/>
    <w:next w:val="Reftext"/>
    <w:rsid w:val="00D12E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12E70"/>
  </w:style>
  <w:style w:type="paragraph" w:customStyle="1" w:styleId="RepNo">
    <w:name w:val="Rep_No"/>
    <w:basedOn w:val="RecNo"/>
    <w:next w:val="Reptitle"/>
    <w:rsid w:val="00D12E70"/>
  </w:style>
  <w:style w:type="paragraph" w:customStyle="1" w:styleId="Repref">
    <w:name w:val="Rep_ref"/>
    <w:basedOn w:val="Recref"/>
    <w:next w:val="Repdate"/>
    <w:rsid w:val="00D12E70"/>
  </w:style>
  <w:style w:type="paragraph" w:customStyle="1" w:styleId="Reptitle">
    <w:name w:val="Rep_title"/>
    <w:basedOn w:val="Rectitle"/>
    <w:next w:val="Repref"/>
    <w:rsid w:val="00D12E70"/>
  </w:style>
  <w:style w:type="paragraph" w:customStyle="1" w:styleId="Resdate">
    <w:name w:val="Res_date"/>
    <w:basedOn w:val="Recdate"/>
    <w:next w:val="Normalaftertitle"/>
    <w:rsid w:val="00D12E70"/>
  </w:style>
  <w:style w:type="paragraph" w:customStyle="1" w:styleId="ResNo">
    <w:name w:val="Res_No"/>
    <w:basedOn w:val="RecNo"/>
    <w:next w:val="Restitle"/>
    <w:rsid w:val="00D12E70"/>
  </w:style>
  <w:style w:type="paragraph" w:customStyle="1" w:styleId="Resref">
    <w:name w:val="Res_ref"/>
    <w:basedOn w:val="Recref"/>
    <w:next w:val="Resdate"/>
    <w:rsid w:val="00D12E7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12E70"/>
  </w:style>
  <w:style w:type="paragraph" w:customStyle="1" w:styleId="Sectiontitle">
    <w:name w:val="Section_title"/>
    <w:basedOn w:val="Normal"/>
    <w:next w:val="Normalaftertitle"/>
    <w:rsid w:val="00D12E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12E70"/>
    <w:pPr>
      <w:tabs>
        <w:tab w:val="clear" w:pos="794"/>
        <w:tab w:val="clear" w:pos="1191"/>
        <w:tab w:val="clear" w:pos="1588"/>
        <w:tab w:val="clear" w:pos="1985"/>
        <w:tab w:val="right" w:pos="9611"/>
      </w:tabs>
    </w:pPr>
    <w:rPr>
      <w:i/>
    </w:rPr>
  </w:style>
  <w:style w:type="paragraph" w:styleId="TOC1">
    <w:name w:val="toc 1"/>
    <w:basedOn w:val="Normal"/>
    <w:semiHidden/>
    <w:rsid w:val="00D12E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12E70"/>
    <w:pPr>
      <w:tabs>
        <w:tab w:val="clear" w:pos="567"/>
        <w:tab w:val="left" w:pos="1276"/>
      </w:tabs>
      <w:spacing w:before="160"/>
      <w:ind w:left="1276" w:hanging="709"/>
    </w:pPr>
  </w:style>
  <w:style w:type="paragraph" w:styleId="TOC3">
    <w:name w:val="toc 3"/>
    <w:basedOn w:val="TOC2"/>
    <w:semiHidden/>
    <w:rsid w:val="00D12E70"/>
    <w:pPr>
      <w:tabs>
        <w:tab w:val="clear" w:pos="1276"/>
        <w:tab w:val="left" w:pos="2155"/>
      </w:tabs>
      <w:ind w:left="2155" w:hanging="879"/>
    </w:pPr>
  </w:style>
  <w:style w:type="paragraph" w:styleId="TOC4">
    <w:name w:val="toc 4"/>
    <w:basedOn w:val="TOC3"/>
    <w:semiHidden/>
    <w:rsid w:val="00D12E70"/>
    <w:pPr>
      <w:tabs>
        <w:tab w:val="left" w:pos="3261"/>
      </w:tabs>
      <w:spacing w:before="80"/>
      <w:ind w:left="3261" w:hanging="993"/>
    </w:pPr>
  </w:style>
  <w:style w:type="paragraph" w:styleId="TOC5">
    <w:name w:val="toc 5"/>
    <w:basedOn w:val="TOC4"/>
    <w:semiHidden/>
    <w:rsid w:val="00D12E70"/>
  </w:style>
  <w:style w:type="paragraph" w:styleId="TOC6">
    <w:name w:val="toc 6"/>
    <w:basedOn w:val="TOC4"/>
    <w:semiHidden/>
    <w:rsid w:val="00D12E70"/>
  </w:style>
  <w:style w:type="paragraph" w:styleId="TOC7">
    <w:name w:val="toc 7"/>
    <w:basedOn w:val="TOC4"/>
    <w:semiHidden/>
    <w:rsid w:val="00D12E70"/>
  </w:style>
  <w:style w:type="paragraph" w:styleId="TOC8">
    <w:name w:val="toc 8"/>
    <w:basedOn w:val="TOC4"/>
    <w:semiHidden/>
    <w:rsid w:val="00D12E70"/>
  </w:style>
  <w:style w:type="paragraph" w:customStyle="1" w:styleId="Rectitle">
    <w:name w:val="Rec_title"/>
    <w:basedOn w:val="Normal"/>
    <w:next w:val="Recref"/>
    <w:rsid w:val="00D12E70"/>
    <w:pPr>
      <w:keepNext/>
      <w:keepLines/>
      <w:spacing w:before="240"/>
      <w:jc w:val="center"/>
    </w:pPr>
    <w:rPr>
      <w:b/>
      <w:sz w:val="28"/>
    </w:rPr>
  </w:style>
  <w:style w:type="paragraph" w:customStyle="1" w:styleId="Annexref">
    <w:name w:val="Annex_ref"/>
    <w:basedOn w:val="Normal"/>
    <w:next w:val="Normalaftertitle"/>
    <w:rsid w:val="00D12E70"/>
    <w:pPr>
      <w:keepNext/>
      <w:keepLines/>
      <w:spacing w:after="280"/>
      <w:jc w:val="center"/>
    </w:pPr>
  </w:style>
  <w:style w:type="paragraph" w:customStyle="1" w:styleId="Appendixref">
    <w:name w:val="Appendix_ref"/>
    <w:basedOn w:val="Annexref"/>
    <w:next w:val="Normalaftertitle"/>
    <w:rsid w:val="00D12E70"/>
  </w:style>
  <w:style w:type="paragraph" w:customStyle="1" w:styleId="Figuretitle">
    <w:name w:val="Figure_title"/>
    <w:basedOn w:val="Normal"/>
    <w:next w:val="Figure"/>
    <w:rsid w:val="00D12E7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12E70"/>
    <w:pPr>
      <w:keepNext/>
      <w:spacing w:before="0" w:after="120"/>
      <w:jc w:val="center"/>
    </w:pPr>
    <w:rPr>
      <w:b/>
    </w:rPr>
  </w:style>
  <w:style w:type="paragraph" w:customStyle="1" w:styleId="Summary">
    <w:name w:val="Summary"/>
    <w:basedOn w:val="Normal"/>
    <w:next w:val="Normalaftertitle"/>
    <w:rsid w:val="00D12E7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107E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4</Pages>
  <Words>1092</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4</cp:revision>
  <cp:lastPrinted>2005-02-10T15:54:00Z</cp:lastPrinted>
  <dcterms:created xsi:type="dcterms:W3CDTF">2010-11-18T09:44:00Z</dcterms:created>
  <dcterms:modified xsi:type="dcterms:W3CDTF">2010-11-18T09:45:00Z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