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E54D9A"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21504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r w:rsidRPr="0010336F">
              <w:rPr>
                <w:rFonts w:ascii="Tahoma" w:hAnsi="Tahoma" w:cs="Tahoma"/>
                <w:b/>
                <w:bCs/>
                <w:iCs/>
                <w:color w:val="243285"/>
                <w:sz w:val="36"/>
                <w:szCs w:val="36"/>
                <w:lang w:val="es-ES_tradnl"/>
              </w:rPr>
              <w:t>.</w:t>
            </w:r>
            <w:r w:rsidR="00215047">
              <w:rPr>
                <w:rFonts w:ascii="Tahoma" w:hAnsi="Tahoma" w:cs="Tahoma"/>
                <w:b/>
                <w:bCs/>
                <w:iCs/>
                <w:color w:val="243285"/>
                <w:sz w:val="36"/>
                <w:szCs w:val="36"/>
                <w:lang w:val="es-ES_tradnl"/>
              </w:rPr>
              <w:t>1810-1</w:t>
            </w:r>
          </w:p>
          <w:p w:rsidR="00B1717A" w:rsidRPr="0010336F" w:rsidRDefault="00215047" w:rsidP="00215047">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(07</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00B1717A" w:rsidRPr="0010336F">
              <w:rPr>
                <w:rFonts w:ascii="Tahoma" w:hAnsi="Tahoma" w:cs="Tahoma"/>
                <w:b/>
                <w:bCs/>
                <w:iCs/>
                <w:color w:val="243285"/>
                <w:szCs w:val="24"/>
                <w:lang w:val="es-ES_tradnl"/>
              </w:rPr>
              <w:t>)</w:t>
            </w:r>
          </w:p>
        </w:tc>
      </w:tr>
      <w:tr w:rsidR="00B1717A" w:rsidRPr="00215047"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215047" w:rsidP="00215047">
            <w:pPr>
              <w:spacing w:before="80" w:line="500" w:lineRule="exact"/>
              <w:jc w:val="right"/>
              <w:rPr>
                <w:rFonts w:ascii="Tahoma" w:hAnsi="Tahoma" w:cs="Tahoma"/>
                <w:b/>
                <w:bCs/>
                <w:color w:val="243285"/>
                <w:sz w:val="44"/>
                <w:szCs w:val="44"/>
                <w:lang w:val="es-ES_tradnl"/>
              </w:rPr>
            </w:pPr>
            <w:r w:rsidRPr="00215047">
              <w:rPr>
                <w:rFonts w:ascii="Tahoma" w:hAnsi="Tahoma" w:cs="Tahoma"/>
                <w:b/>
                <w:bCs/>
                <w:color w:val="243285"/>
                <w:sz w:val="44"/>
                <w:szCs w:val="44"/>
                <w:lang w:val="es-ES_tradnl"/>
              </w:rPr>
              <w:t xml:space="preserve">Directrices para el diseño de sistemas </w:t>
            </w:r>
            <w:r>
              <w:rPr>
                <w:rFonts w:ascii="Tahoma" w:hAnsi="Tahoma" w:cs="Tahoma"/>
                <w:b/>
                <w:bCs/>
                <w:color w:val="243285"/>
                <w:sz w:val="44"/>
                <w:szCs w:val="44"/>
                <w:lang w:val="es-ES_tradnl"/>
              </w:rPr>
              <w:br/>
            </w:r>
            <w:r w:rsidRPr="00215047">
              <w:rPr>
                <w:rFonts w:ascii="Tahoma" w:hAnsi="Tahoma" w:cs="Tahoma"/>
                <w:b/>
                <w:bCs/>
                <w:color w:val="243285"/>
                <w:sz w:val="44"/>
                <w:szCs w:val="44"/>
                <w:lang w:val="es-ES_tradnl"/>
              </w:rPr>
              <w:t xml:space="preserve">de satélites de exploración de la </w:t>
            </w:r>
            <w:r>
              <w:rPr>
                <w:rFonts w:ascii="Tahoma" w:hAnsi="Tahoma" w:cs="Tahoma"/>
                <w:b/>
                <w:bCs/>
                <w:color w:val="243285"/>
                <w:sz w:val="44"/>
                <w:szCs w:val="44"/>
                <w:lang w:val="es-ES_tradnl"/>
              </w:rPr>
              <w:br/>
            </w:r>
            <w:r w:rsidRPr="00215047">
              <w:rPr>
                <w:rFonts w:ascii="Tahoma" w:hAnsi="Tahoma" w:cs="Tahoma"/>
                <w:b/>
                <w:bCs/>
                <w:color w:val="243285"/>
                <w:sz w:val="44"/>
                <w:szCs w:val="44"/>
                <w:lang w:val="es-ES_tradnl"/>
              </w:rPr>
              <w:t>Tierra</w:t>
            </w:r>
            <w:r>
              <w:rPr>
                <w:rFonts w:ascii="Tahoma" w:hAnsi="Tahoma" w:cs="Tahoma"/>
                <w:b/>
                <w:bCs/>
                <w:color w:val="243285"/>
                <w:sz w:val="44"/>
                <w:szCs w:val="44"/>
                <w:lang w:val="es-ES_tradnl"/>
              </w:rPr>
              <w:t xml:space="preserve"> </w:t>
            </w:r>
            <w:r w:rsidRPr="00215047">
              <w:rPr>
                <w:rFonts w:ascii="Tahoma" w:hAnsi="Tahoma" w:cs="Tahoma"/>
                <w:b/>
                <w:bCs/>
                <w:color w:val="243285"/>
                <w:sz w:val="44"/>
                <w:szCs w:val="44"/>
                <w:lang w:val="es-ES_tradnl"/>
              </w:rPr>
              <w:t>que funcionan en la banda 8 025</w:t>
            </w:r>
            <w:r w:rsidRPr="00215047">
              <w:rPr>
                <w:rFonts w:ascii="Tahoma" w:hAnsi="Tahoma" w:cs="Tahoma"/>
                <w:b/>
                <w:bCs/>
                <w:color w:val="243285"/>
                <w:sz w:val="44"/>
                <w:szCs w:val="44"/>
                <w:lang w:val="es-ES_tradnl"/>
              </w:rPr>
              <w:noBreakHyphen/>
              <w:t>8 400 MHz</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E54D9A"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r w:rsidR="00025336">
              <w:rPr>
                <w:rFonts w:ascii="Tahoma" w:hAnsi="Tahoma" w:cs="Tahoma"/>
                <w:b/>
                <w:bCs/>
                <w:iCs/>
                <w:color w:val="243285"/>
                <w:sz w:val="36"/>
                <w:szCs w:val="36"/>
                <w:lang w:val="es-ES_tradnl"/>
              </w:rPr>
              <w:t>A</w:t>
            </w:r>
          </w:p>
          <w:p w:rsidR="00B1717A" w:rsidRPr="0010336F" w:rsidRDefault="00025336"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5A1CE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E54D9A"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E54D9A"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2814F2"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E54D9A"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E54D9A"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A2250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B1717A" w:rsidRPr="00E54D9A"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025336">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025336" w:rsidTr="00025336">
        <w:tc>
          <w:tcPr>
            <w:tcW w:w="1140" w:type="dxa"/>
            <w:tcBorders>
              <w:top w:val="nil"/>
              <w:bottom w:val="nil"/>
            </w:tcBorders>
            <w:shd w:val="clear" w:color="auto" w:fill="F3F3F3"/>
          </w:tcPr>
          <w:p w:rsidR="00B1717A" w:rsidRPr="00025336" w:rsidRDefault="00B1717A" w:rsidP="00D62884">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B1717A" w:rsidRPr="00025336" w:rsidRDefault="00B1717A" w:rsidP="00D62884">
            <w:pPr>
              <w:spacing w:before="30" w:after="30"/>
              <w:jc w:val="left"/>
              <w:rPr>
                <w:b/>
                <w:bCs/>
                <w:color w:val="000080"/>
                <w:sz w:val="20"/>
                <w:lang w:val="en-US"/>
              </w:rPr>
            </w:pPr>
            <w:r w:rsidRPr="00025336">
              <w:rPr>
                <w:b/>
                <w:bCs/>
                <w:color w:val="000080"/>
                <w:sz w:val="20"/>
              </w:rPr>
              <w:t>Aplicaciones espaciales y meteorología</w:t>
            </w:r>
          </w:p>
        </w:tc>
      </w:tr>
      <w:tr w:rsidR="00B1717A" w:rsidRPr="00E54D9A" w:rsidTr="00025336">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E54D9A"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E54D9A" w:rsidTr="00D62884">
        <w:tc>
          <w:tcPr>
            <w:tcW w:w="9360" w:type="dxa"/>
          </w:tcPr>
          <w:p w:rsidR="00B1717A" w:rsidRPr="00763D08" w:rsidRDefault="00B1717A" w:rsidP="00AD7E7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951E54">
      <w:pPr>
        <w:spacing w:before="0" w:after="40"/>
        <w:jc w:val="right"/>
        <w:rPr>
          <w:sz w:val="20"/>
          <w:lang w:val="es-ES_tradnl"/>
        </w:rPr>
      </w:pPr>
      <w:r w:rsidRPr="00763D08">
        <w:rPr>
          <w:sz w:val="20"/>
          <w:lang w:val="es-ES_tradnl"/>
        </w:rPr>
        <w:t>Ginebra, 20</w:t>
      </w:r>
      <w:r w:rsidR="00EB1589">
        <w:rPr>
          <w:sz w:val="20"/>
          <w:lang w:val="es-ES_tradnl"/>
        </w:rPr>
        <w:t>1</w:t>
      </w:r>
      <w:r w:rsidR="005A1CE1">
        <w:rPr>
          <w:sz w:val="20"/>
          <w:lang w:val="es-ES_tradnl"/>
        </w:rPr>
        <w:t>8</w:t>
      </w:r>
    </w:p>
    <w:p w:rsidR="00B1717A" w:rsidRPr="00763D08" w:rsidRDefault="00B1717A" w:rsidP="005A1CE1">
      <w:pPr>
        <w:spacing w:before="0" w:after="120"/>
        <w:jc w:val="center"/>
        <w:rPr>
          <w:sz w:val="22"/>
          <w:lang w:val="es-ES_tradnl"/>
        </w:rPr>
      </w:pPr>
    </w:p>
    <w:p w:rsidR="00B1717A" w:rsidRPr="00763D08" w:rsidRDefault="00B1717A" w:rsidP="00063999">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EB1589">
        <w:rPr>
          <w:sz w:val="20"/>
          <w:lang w:val="es-ES_tradnl"/>
        </w:rPr>
        <w:t>1</w:t>
      </w:r>
      <w:r w:rsidR="005A1CE1">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215047" w:rsidRDefault="00215047" w:rsidP="00215047">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r w:rsidRPr="0010336F">
        <w:rPr>
          <w:rStyle w:val="href"/>
          <w:lang w:val="es-ES_tradnl"/>
        </w:rPr>
        <w:t>.</w:t>
      </w:r>
      <w:r>
        <w:rPr>
          <w:rStyle w:val="href"/>
          <w:lang w:val="es-ES_tradnl"/>
        </w:rPr>
        <w:t>1810-1</w:t>
      </w:r>
    </w:p>
    <w:p w:rsidR="00215047" w:rsidRPr="0047411C" w:rsidRDefault="00215047" w:rsidP="00FC2366">
      <w:pPr>
        <w:pStyle w:val="Rectitle"/>
        <w:rPr>
          <w:lang w:val="es-ES_tradnl"/>
        </w:rPr>
      </w:pPr>
      <w:r w:rsidRPr="0047411C">
        <w:rPr>
          <w:lang w:val="es-ES_tradnl"/>
        </w:rPr>
        <w:t xml:space="preserve">Directrices para el diseño de sistemas de satélites de exploración </w:t>
      </w:r>
      <w:r w:rsidR="00FC2366">
        <w:rPr>
          <w:lang w:val="es-ES_tradnl"/>
        </w:rPr>
        <w:br/>
      </w:r>
      <w:r w:rsidRPr="0047411C">
        <w:rPr>
          <w:lang w:val="es-ES_tradnl"/>
        </w:rPr>
        <w:t>de la Tierra</w:t>
      </w:r>
      <w:r w:rsidR="00FC2366">
        <w:rPr>
          <w:lang w:val="es-ES_tradnl"/>
        </w:rPr>
        <w:t xml:space="preserve"> </w:t>
      </w:r>
      <w:r w:rsidRPr="0047411C">
        <w:rPr>
          <w:lang w:val="es-ES_tradnl"/>
        </w:rPr>
        <w:t>que funcionan en la banda 8 025</w:t>
      </w:r>
      <w:r w:rsidRPr="0047411C">
        <w:rPr>
          <w:lang w:val="es-ES_tradnl"/>
        </w:rPr>
        <w:noBreakHyphen/>
        <w:t>8 400 MHz</w:t>
      </w:r>
    </w:p>
    <w:p w:rsidR="00215047" w:rsidRPr="0047411C" w:rsidRDefault="00215047" w:rsidP="00215047">
      <w:pPr>
        <w:pStyle w:val="Recref"/>
        <w:rPr>
          <w:lang w:val="es-ES_tradnl"/>
        </w:rPr>
      </w:pPr>
      <w:r w:rsidRPr="0047411C">
        <w:rPr>
          <w:lang w:val="es-ES_tradnl"/>
        </w:rPr>
        <w:t>(Cuestión UIT</w:t>
      </w:r>
      <w:r w:rsidRPr="0047411C">
        <w:rPr>
          <w:lang w:val="es-ES_tradnl"/>
        </w:rPr>
        <w:noBreakHyphen/>
        <w:t>R 139/7)</w:t>
      </w:r>
    </w:p>
    <w:p w:rsidR="00215047" w:rsidRPr="0047411C" w:rsidRDefault="00215047" w:rsidP="00215047">
      <w:pPr>
        <w:pStyle w:val="Recdate"/>
        <w:rPr>
          <w:lang w:val="es-ES_tradnl"/>
        </w:rPr>
      </w:pPr>
      <w:r w:rsidRPr="0047411C">
        <w:rPr>
          <w:lang w:val="es-ES_tradnl"/>
        </w:rPr>
        <w:t>(2007-2017)</w:t>
      </w:r>
    </w:p>
    <w:p w:rsidR="00215047" w:rsidRPr="0047411C" w:rsidRDefault="00CE2F6A" w:rsidP="00215047">
      <w:pPr>
        <w:pStyle w:val="HeadingSum"/>
      </w:pPr>
      <w:r>
        <w:t>Cometido</w:t>
      </w:r>
    </w:p>
    <w:p w:rsidR="00215047" w:rsidRPr="0047411C" w:rsidRDefault="00215047" w:rsidP="00215047">
      <w:pPr>
        <w:pStyle w:val="Summary"/>
      </w:pPr>
      <w:r w:rsidRPr="0047411C">
        <w:t>La utilización de la banda 8 025</w:t>
      </w:r>
      <w:r w:rsidRPr="0047411C">
        <w:noBreakHyphen/>
        <w:t>8 400 MHz por los satélites del servicio de exploración de la Tierra por satélite (SETS) explotados por varias entidades para la transmisión de datos por el enlace descendente está aumentando rápidamente y podría dar lugar a la aparición de interferencia perjudicial entre estos operadores. Las posibles dificultades de compartición del espectro de 8 GHz, intensamente utilizado, pueden evitarse si los diseñadores de los satélites del SETS seleccionan cuidadosamente los métodos de reducción de la interferencia adecuados para el funcionamiento previsto del satélite. Además de mejorar las condiciones de compartición para los satélites del SETS muchos de los métodos de reducción de la interferencia también pueden ser ventajosos para reducir o eliminar la posible coordinación con el servicio de investigación espacial (espacio lejano) extremadamente sensible, que funciona en la banda adyacente 8 400</w:t>
      </w:r>
      <w:r w:rsidRPr="0047411C">
        <w:noBreakHyphen/>
        <w:t xml:space="preserve">8 450 MHz. Esta Recomendación proporciona directrices en forma de una lista de posibles métodos de reducción de la interferencia, indicados en los </w:t>
      </w:r>
      <w:r w:rsidRPr="0047411C">
        <w:rPr>
          <w:i/>
        </w:rPr>
        <w:t>recomienda</w:t>
      </w:r>
      <w:r w:rsidRPr="0047411C">
        <w:t>, destinados a disminuir la posible interferencia causada y recibida por los satélites del SETS, teniendo en cuenta el interés cada vez mayor en la utilización de la banda 8 025</w:t>
      </w:r>
      <w:r w:rsidRPr="0047411C">
        <w:noBreakHyphen/>
        <w:t>8 400 MHz por el citado SETS.</w:t>
      </w:r>
    </w:p>
    <w:p w:rsidR="00215047" w:rsidRPr="0047411C" w:rsidRDefault="00215047" w:rsidP="00215047">
      <w:pPr>
        <w:pStyle w:val="Headingb"/>
        <w:rPr>
          <w:lang w:val="es-ES_tradnl"/>
        </w:rPr>
      </w:pPr>
      <w:r w:rsidRPr="0047411C">
        <w:rPr>
          <w:lang w:val="es-ES_tradnl"/>
        </w:rPr>
        <w:t>Palabras clave</w:t>
      </w:r>
    </w:p>
    <w:p w:rsidR="00215047" w:rsidRPr="0047411C" w:rsidRDefault="00215047" w:rsidP="00215047">
      <w:pPr>
        <w:rPr>
          <w:lang w:val="es-ES_tradnl"/>
        </w:rPr>
      </w:pPr>
      <w:r w:rsidRPr="0047411C">
        <w:rPr>
          <w:lang w:val="es-ES_tradnl"/>
        </w:rPr>
        <w:t>Servicio de exploración de la Tierra por satélite</w:t>
      </w:r>
      <w:r>
        <w:rPr>
          <w:lang w:val="es-ES_tradnl"/>
        </w:rPr>
        <w:t>, diseño de sistemas</w:t>
      </w:r>
      <w:r w:rsidRPr="0047411C">
        <w:rPr>
          <w:lang w:val="es-ES_tradnl"/>
        </w:rPr>
        <w:t xml:space="preserve"> </w:t>
      </w:r>
    </w:p>
    <w:p w:rsidR="00215047" w:rsidRPr="0047411C" w:rsidRDefault="00215047" w:rsidP="00215047">
      <w:pPr>
        <w:pStyle w:val="Headingb"/>
        <w:rPr>
          <w:lang w:val="es-ES_tradnl" w:eastAsia="zh-CN"/>
        </w:rPr>
      </w:pPr>
      <w:r w:rsidRPr="0047411C">
        <w:rPr>
          <w:lang w:val="es-ES_tradnl"/>
        </w:rPr>
        <w:t>Recomendaciones e Informes relacionados</w:t>
      </w:r>
    </w:p>
    <w:p w:rsidR="00215047" w:rsidRPr="0047411C" w:rsidRDefault="00215047" w:rsidP="00215047">
      <w:pPr>
        <w:rPr>
          <w:lang w:val="es-ES_tradnl"/>
        </w:rPr>
      </w:pPr>
      <w:r w:rsidRPr="0047411C">
        <w:rPr>
          <w:lang w:val="es-ES_tradnl"/>
        </w:rPr>
        <w:t>Recomendación UIT-R SA.1157</w:t>
      </w:r>
    </w:p>
    <w:p w:rsidR="00215047" w:rsidRPr="0047411C" w:rsidRDefault="00215047" w:rsidP="00215047">
      <w:pPr>
        <w:pStyle w:val="Normalaftertitle"/>
        <w:rPr>
          <w:lang w:val="es-ES_tradnl"/>
        </w:rPr>
      </w:pPr>
      <w:r w:rsidRPr="0047411C">
        <w:rPr>
          <w:lang w:val="es-ES_tradnl"/>
        </w:rPr>
        <w:t>La Asamblea de Radiocomunicaciones de la UIT,</w:t>
      </w:r>
    </w:p>
    <w:p w:rsidR="00215047" w:rsidRPr="0047411C" w:rsidRDefault="00215047" w:rsidP="00215047">
      <w:pPr>
        <w:pStyle w:val="Call"/>
        <w:rPr>
          <w:lang w:val="es-ES_tradnl"/>
        </w:rPr>
      </w:pPr>
      <w:r w:rsidRPr="0047411C">
        <w:rPr>
          <w:lang w:val="es-ES_tradnl"/>
        </w:rPr>
        <w:t>considerando</w:t>
      </w:r>
    </w:p>
    <w:p w:rsidR="00215047" w:rsidRPr="0047411C" w:rsidRDefault="00215047" w:rsidP="00215047">
      <w:pPr>
        <w:rPr>
          <w:lang w:val="es-ES_tradnl"/>
        </w:rPr>
      </w:pPr>
      <w:r w:rsidRPr="0047411C">
        <w:rPr>
          <w:i/>
          <w:iCs/>
          <w:lang w:val="es-ES_tradnl"/>
        </w:rPr>
        <w:t>a)</w:t>
      </w:r>
      <w:r w:rsidRPr="0047411C">
        <w:rPr>
          <w:lang w:val="es-ES_tradnl"/>
        </w:rPr>
        <w:tab/>
        <w:t>que los satélites del servicio de exploración de la Tierra por satélite (SETS) constituyen una herramienta cada vez más importante para adquirir información sobre la Tierra y su entorno;</w:t>
      </w:r>
    </w:p>
    <w:p w:rsidR="00215047" w:rsidRPr="0047411C" w:rsidRDefault="00215047" w:rsidP="00215047">
      <w:pPr>
        <w:rPr>
          <w:lang w:val="es-ES_tradnl"/>
        </w:rPr>
      </w:pPr>
      <w:r w:rsidRPr="0047411C">
        <w:rPr>
          <w:i/>
          <w:iCs/>
          <w:lang w:val="es-ES_tradnl"/>
        </w:rPr>
        <w:t>b)</w:t>
      </w:r>
      <w:r w:rsidRPr="0047411C">
        <w:rPr>
          <w:lang w:val="es-ES_tradnl"/>
        </w:rPr>
        <w:tab/>
        <w:t>que está aumentando el empleo de la banda por el SETS explotada con fines comerciales, por organizaciones gubernamentales y por organismos espaciales, y ello podría dar lugar a la aparición de interferencia perjudicial entre sistemas del SETS;</w:t>
      </w:r>
    </w:p>
    <w:p w:rsidR="00215047" w:rsidRPr="0047411C" w:rsidRDefault="00215047" w:rsidP="00215047">
      <w:pPr>
        <w:rPr>
          <w:lang w:val="es-ES_tradnl"/>
        </w:rPr>
      </w:pPr>
      <w:r w:rsidRPr="0047411C">
        <w:rPr>
          <w:i/>
          <w:iCs/>
          <w:lang w:val="es-ES_tradnl"/>
        </w:rPr>
        <w:t>c)</w:t>
      </w:r>
      <w:r w:rsidRPr="0047411C">
        <w:rPr>
          <w:lang w:val="es-ES_tradnl"/>
        </w:rPr>
        <w:tab/>
        <w:t>que la elección adecuada de parámetros orbitales para satélites heliosíncronos puede ser una técnica de reducción de la interferencia muy eficaz que, en general, requiere coordinación en las primeras etapas del desarrollo del sistema;</w:t>
      </w:r>
    </w:p>
    <w:p w:rsidR="00215047" w:rsidRPr="0047411C" w:rsidRDefault="00215047" w:rsidP="00215047">
      <w:pPr>
        <w:rPr>
          <w:lang w:val="es-ES_tradnl"/>
        </w:rPr>
      </w:pPr>
      <w:r w:rsidRPr="0047411C">
        <w:rPr>
          <w:i/>
          <w:iCs/>
          <w:lang w:val="es-ES_tradnl"/>
        </w:rPr>
        <w:t>d)</w:t>
      </w:r>
      <w:r w:rsidRPr="0047411C">
        <w:rPr>
          <w:lang w:val="es-ES_tradnl"/>
        </w:rPr>
        <w:tab/>
        <w:t>que la homogeneidad entre un conjunto de parámetros técnicos, y en particular los niveles de densidad de flujo de potencia (dfp), favorecerá una utilización más eficaz del recurso órbita/espectro por el SETS;</w:t>
      </w:r>
    </w:p>
    <w:p w:rsidR="00215047" w:rsidRPr="0047411C" w:rsidRDefault="00215047" w:rsidP="00215047">
      <w:pPr>
        <w:rPr>
          <w:lang w:val="es-ES_tradnl"/>
        </w:rPr>
      </w:pPr>
      <w:r w:rsidRPr="0047411C">
        <w:rPr>
          <w:i/>
          <w:iCs/>
          <w:lang w:val="es-ES_tradnl"/>
        </w:rPr>
        <w:t>e)</w:t>
      </w:r>
      <w:r w:rsidRPr="0047411C">
        <w:rPr>
          <w:lang w:val="es-ES_tradnl"/>
        </w:rPr>
        <w:tab/>
        <w:t xml:space="preserve">que las antenas de alta ganancia de los satélites del SETS normalmente emiten potencia dirigida únicamente hacia </w:t>
      </w:r>
      <w:bookmarkStart w:id="4" w:name="_GoBack"/>
      <w:bookmarkEnd w:id="4"/>
      <w:r w:rsidRPr="0047411C">
        <w:rPr>
          <w:lang w:val="es-ES_tradnl"/>
        </w:rPr>
        <w:t>una parte limitada de la superficie de la Tierra</w:t>
      </w:r>
      <w:r>
        <w:rPr>
          <w:lang w:val="es-ES_tradnl"/>
        </w:rPr>
        <w:t xml:space="preserve"> pero que la p.i.r.e. más elevada obtenida puede ser una desventaja para las estaciones coubicadas</w:t>
      </w:r>
      <w:r w:rsidRPr="0047411C">
        <w:rPr>
          <w:lang w:val="es-ES_tradnl"/>
        </w:rPr>
        <w:t>;</w:t>
      </w:r>
    </w:p>
    <w:p w:rsidR="00215047" w:rsidRPr="0047411C" w:rsidRDefault="00215047" w:rsidP="00215047">
      <w:pPr>
        <w:rPr>
          <w:lang w:val="es-ES_tradnl"/>
        </w:rPr>
      </w:pPr>
      <w:r w:rsidRPr="0047411C">
        <w:rPr>
          <w:i/>
          <w:iCs/>
          <w:lang w:val="es-ES_tradnl"/>
        </w:rPr>
        <w:t>f)</w:t>
      </w:r>
      <w:r w:rsidRPr="0047411C">
        <w:rPr>
          <w:lang w:val="es-ES_tradnl"/>
        </w:rPr>
        <w:tab/>
        <w:t xml:space="preserve">que las antenas isoflujo tienen una distribución de dfp más </w:t>
      </w:r>
      <w:r>
        <w:rPr>
          <w:lang w:val="es-ES_tradnl"/>
        </w:rPr>
        <w:t>uniforme</w:t>
      </w:r>
      <w:r w:rsidRPr="0047411C">
        <w:rPr>
          <w:lang w:val="es-ES_tradnl"/>
        </w:rPr>
        <w:t xml:space="preserve"> a través de la superficie de la Tierra que las antenas omnidireccionales;</w:t>
      </w:r>
    </w:p>
    <w:p w:rsidR="00215047" w:rsidRPr="0047411C" w:rsidRDefault="00215047" w:rsidP="00215047">
      <w:pPr>
        <w:rPr>
          <w:lang w:val="es-ES_tradnl"/>
        </w:rPr>
      </w:pPr>
      <w:r w:rsidRPr="0047411C">
        <w:rPr>
          <w:i/>
          <w:iCs/>
          <w:lang w:val="es-ES_tradnl"/>
        </w:rPr>
        <w:lastRenderedPageBreak/>
        <w:t>g)</w:t>
      </w:r>
      <w:r w:rsidRPr="0047411C">
        <w:rPr>
          <w:lang w:val="es-ES_tradnl"/>
        </w:rPr>
        <w:tab/>
        <w:t>que los modos de difusión generalmente causan mayores niveles de interferencia debido a las transmisiones continuas y a las densidades espectrales de potencia relativamente elevadas pero tienen normalmente unos requisitos menores de anchura de banda;</w:t>
      </w:r>
    </w:p>
    <w:p w:rsidR="00215047" w:rsidRPr="0047411C" w:rsidRDefault="00215047" w:rsidP="00215047">
      <w:pPr>
        <w:rPr>
          <w:snapToGrid w:val="0"/>
          <w:lang w:val="es-ES_tradnl" w:eastAsia="fr-FR"/>
        </w:rPr>
      </w:pPr>
      <w:r w:rsidRPr="0047411C">
        <w:rPr>
          <w:i/>
          <w:iCs/>
          <w:lang w:val="es-ES_tradnl"/>
        </w:rPr>
        <w:t>h)</w:t>
      </w:r>
      <w:r w:rsidRPr="0047411C">
        <w:rPr>
          <w:lang w:val="es-ES_tradnl"/>
        </w:rPr>
        <w:tab/>
        <w:t xml:space="preserve">que más del 90% de todos los satélites del SETS funcionan con niveles de dfp por debajo de </w:t>
      </w:r>
      <w:r w:rsidRPr="00EF385C">
        <w:rPr>
          <w:snapToGrid w:val="0"/>
          <w:lang w:val="es-ES_tradnl" w:eastAsia="fr-FR"/>
        </w:rPr>
        <w:t>−147</w:t>
      </w:r>
      <w:r w:rsidRPr="0047411C">
        <w:rPr>
          <w:snapToGrid w:val="0"/>
          <w:lang w:val="es-ES_tradnl" w:eastAsia="fr-FR"/>
        </w:rPr>
        <w:t> dB(W/m</w:t>
      </w:r>
      <w:r w:rsidRPr="0047411C">
        <w:rPr>
          <w:snapToGrid w:val="0"/>
          <w:vertAlign w:val="superscript"/>
          <w:lang w:val="es-ES_tradnl" w:eastAsia="fr-FR"/>
        </w:rPr>
        <w:t>2</w:t>
      </w:r>
      <w:r w:rsidRPr="0047411C">
        <w:rPr>
          <w:lang w:val="es-ES_tradnl"/>
        </w:rPr>
        <w:t xml:space="preserve"> </w:t>
      </w:r>
      <w:r w:rsidRPr="0047411C">
        <w:rPr>
          <w:lang w:val="es-ES_tradnl"/>
        </w:rPr>
        <w:sym w:font="Symbol" w:char="F0D7"/>
      </w:r>
      <w:r w:rsidRPr="0047411C">
        <w:rPr>
          <w:lang w:val="es-ES_tradnl"/>
        </w:rPr>
        <w:t xml:space="preserve"> </w:t>
      </w:r>
      <w:r w:rsidRPr="0047411C">
        <w:rPr>
          <w:snapToGrid w:val="0"/>
          <w:lang w:val="es-ES_tradnl" w:eastAsia="fr-FR"/>
        </w:rPr>
        <w:t>4</w:t>
      </w:r>
      <w:r>
        <w:rPr>
          <w:snapToGrid w:val="0"/>
          <w:lang w:val="es-ES_tradnl" w:eastAsia="fr-FR"/>
        </w:rPr>
        <w:t> </w:t>
      </w:r>
      <w:r w:rsidRPr="0047411C">
        <w:rPr>
          <w:snapToGrid w:val="0"/>
          <w:lang w:val="es-ES_tradnl" w:eastAsia="fr-FR"/>
        </w:rPr>
        <w:t>kHz) para ángulos de llegada elevados en la superficie de la Tierra;</w:t>
      </w:r>
    </w:p>
    <w:p w:rsidR="00215047" w:rsidRPr="0047411C" w:rsidRDefault="00215047" w:rsidP="00215047">
      <w:pPr>
        <w:rPr>
          <w:color w:val="000000"/>
          <w:szCs w:val="24"/>
          <w:lang w:val="es-ES_tradnl"/>
        </w:rPr>
      </w:pPr>
      <w:r w:rsidRPr="0047411C">
        <w:rPr>
          <w:i/>
          <w:iCs/>
          <w:snapToGrid w:val="0"/>
          <w:lang w:val="es-ES_tradnl" w:eastAsia="fr-FR"/>
        </w:rPr>
        <w:t>i)</w:t>
      </w:r>
      <w:r w:rsidRPr="0047411C">
        <w:rPr>
          <w:snapToGrid w:val="0"/>
          <w:lang w:val="es-ES_tradnl" w:eastAsia="fr-FR"/>
        </w:rPr>
        <w:tab/>
      </w:r>
      <w:r>
        <w:rPr>
          <w:snapToGrid w:val="0"/>
          <w:lang w:val="es-ES_tradnl" w:eastAsia="fr-FR"/>
        </w:rPr>
        <w:t>que el riesgo de interferencia es más importante en zonas de alta latitud ya que la mayoría de los satélites de exploración de la Tierra utiliza órbitas polares;</w:t>
      </w:r>
    </w:p>
    <w:p w:rsidR="00215047" w:rsidRPr="0047411C" w:rsidRDefault="00215047" w:rsidP="00215047">
      <w:pPr>
        <w:rPr>
          <w:snapToGrid w:val="0"/>
          <w:lang w:val="es-ES_tradnl" w:eastAsia="fr-FR"/>
        </w:rPr>
      </w:pPr>
      <w:r w:rsidRPr="0047411C">
        <w:rPr>
          <w:i/>
          <w:iCs/>
          <w:snapToGrid w:val="0"/>
          <w:lang w:val="es-ES_tradnl" w:eastAsia="fr-FR"/>
        </w:rPr>
        <w:t>j)</w:t>
      </w:r>
      <w:r w:rsidRPr="0047411C">
        <w:rPr>
          <w:snapToGrid w:val="0"/>
          <w:lang w:val="es-ES_tradnl" w:eastAsia="fr-FR"/>
        </w:rPr>
        <w:tab/>
      </w:r>
      <w:r>
        <w:rPr>
          <w:snapToGrid w:val="0"/>
          <w:lang w:val="es-ES_tradnl" w:eastAsia="fr-FR"/>
        </w:rPr>
        <w:t>que los efectos de propagación troposférica en zonas de alta latitud son en general limitados;</w:t>
      </w:r>
    </w:p>
    <w:p w:rsidR="00215047" w:rsidRPr="0047411C" w:rsidRDefault="00215047" w:rsidP="00215047">
      <w:pPr>
        <w:rPr>
          <w:snapToGrid w:val="0"/>
          <w:lang w:val="es-ES_tradnl" w:eastAsia="fr-FR"/>
        </w:rPr>
      </w:pPr>
      <w:r w:rsidRPr="0047411C">
        <w:rPr>
          <w:i/>
          <w:iCs/>
          <w:snapToGrid w:val="0"/>
          <w:lang w:val="es-ES_tradnl" w:eastAsia="fr-FR"/>
        </w:rPr>
        <w:t>k)</w:t>
      </w:r>
      <w:r w:rsidRPr="0047411C">
        <w:rPr>
          <w:snapToGrid w:val="0"/>
          <w:lang w:val="es-ES_tradnl" w:eastAsia="fr-FR"/>
        </w:rPr>
        <w:tab/>
        <w:t>que la elección adecuada de técnicas de modulación eficaces en anchura de banda/potencia y de técnicas de codificación podría traducirse en unas anchuras de banda ocupadas más pequeñas y en una menor interferencia de canal adyacente;</w:t>
      </w:r>
    </w:p>
    <w:p w:rsidR="00215047" w:rsidRPr="0047411C" w:rsidRDefault="00215047" w:rsidP="00215047">
      <w:pPr>
        <w:rPr>
          <w:snapToGrid w:val="0"/>
          <w:lang w:val="es-ES_tradnl" w:eastAsia="fr-FR"/>
        </w:rPr>
      </w:pPr>
      <w:r w:rsidRPr="0047411C">
        <w:rPr>
          <w:i/>
          <w:iCs/>
          <w:snapToGrid w:val="0"/>
          <w:lang w:val="es-ES_tradnl" w:eastAsia="fr-FR"/>
        </w:rPr>
        <w:t>l)</w:t>
      </w:r>
      <w:r w:rsidRPr="0047411C">
        <w:rPr>
          <w:snapToGrid w:val="0"/>
          <w:lang w:val="es-ES_tradnl" w:eastAsia="fr-FR"/>
        </w:rPr>
        <w:tab/>
        <w:t>que los esquemas de modulación avanzada de orden más elevado, tales como MDP</w:t>
      </w:r>
      <w:r w:rsidRPr="0047411C">
        <w:rPr>
          <w:snapToGrid w:val="0"/>
          <w:lang w:val="es-ES_tradnl" w:eastAsia="fr-FR"/>
        </w:rPr>
        <w:noBreakHyphen/>
        <w:t>16 y superiores, necesitan menos anchura de banda que los modos MDP</w:t>
      </w:r>
      <w:r w:rsidRPr="0047411C">
        <w:rPr>
          <w:snapToGrid w:val="0"/>
          <w:lang w:val="es-ES_tradnl" w:eastAsia="fr-FR"/>
        </w:rPr>
        <w:noBreakHyphen/>
        <w:t>4 y MDP</w:t>
      </w:r>
      <w:r w:rsidRPr="0047411C">
        <w:rPr>
          <w:snapToGrid w:val="0"/>
          <w:lang w:val="es-ES_tradnl" w:eastAsia="fr-FR"/>
        </w:rPr>
        <w:noBreakHyphen/>
        <w:t xml:space="preserve">8 actualmente utilizados pero requieren </w:t>
      </w:r>
      <w:r>
        <w:rPr>
          <w:snapToGrid w:val="0"/>
          <w:lang w:val="es-ES_tradnl" w:eastAsia="fr-FR"/>
        </w:rPr>
        <w:t xml:space="preserve">en general </w:t>
      </w:r>
      <w:r w:rsidRPr="0047411C">
        <w:rPr>
          <w:snapToGrid w:val="0"/>
          <w:lang w:val="es-ES_tradnl" w:eastAsia="fr-FR"/>
        </w:rPr>
        <w:t>mayores dfp;</w:t>
      </w:r>
    </w:p>
    <w:p w:rsidR="00215047" w:rsidRPr="0047411C" w:rsidRDefault="00215047" w:rsidP="00215047">
      <w:pPr>
        <w:rPr>
          <w:snapToGrid w:val="0"/>
          <w:lang w:val="es-ES_tradnl" w:eastAsia="fr-FR"/>
        </w:rPr>
      </w:pPr>
      <w:r w:rsidRPr="0047411C">
        <w:rPr>
          <w:i/>
          <w:iCs/>
          <w:snapToGrid w:val="0"/>
          <w:lang w:val="es-ES_tradnl" w:eastAsia="fr-FR"/>
        </w:rPr>
        <w:t>m)</w:t>
      </w:r>
      <w:r w:rsidRPr="0047411C">
        <w:rPr>
          <w:snapToGrid w:val="0"/>
          <w:lang w:val="es-ES_tradnl" w:eastAsia="fr-FR"/>
        </w:rPr>
        <w:tab/>
        <w:t>que también pueden lograrse menores niveles de interferencia utilizando algunas otras técnicas de reducción de la interferencia tales como discriminación por polarización, separación de las estaciones terrenas y discriminación por la antena de la estación terrena;</w:t>
      </w:r>
    </w:p>
    <w:p w:rsidR="00215047" w:rsidRPr="0047411C" w:rsidRDefault="00215047" w:rsidP="00215047">
      <w:pPr>
        <w:rPr>
          <w:lang w:val="es-ES_tradnl"/>
        </w:rPr>
      </w:pPr>
      <w:r w:rsidRPr="0047411C">
        <w:rPr>
          <w:i/>
          <w:iCs/>
          <w:snapToGrid w:val="0"/>
          <w:lang w:val="es-ES_tradnl" w:eastAsia="fr-FR"/>
        </w:rPr>
        <w:t>n)</w:t>
      </w:r>
      <w:r w:rsidRPr="0047411C">
        <w:rPr>
          <w:snapToGrid w:val="0"/>
          <w:lang w:val="es-ES_tradnl" w:eastAsia="fr-FR"/>
        </w:rPr>
        <w:tab/>
        <w:t xml:space="preserve">que las estaciones receptoras en Tierra del servicio de investigación espacial (SIE) (espacio lejano), que funcionan en la banda adyacente </w:t>
      </w:r>
      <w:r w:rsidRPr="0047411C">
        <w:rPr>
          <w:lang w:val="es-ES_tradnl"/>
        </w:rPr>
        <w:t>8 400</w:t>
      </w:r>
      <w:r w:rsidRPr="0047411C">
        <w:rPr>
          <w:lang w:val="es-ES_tradnl"/>
        </w:rPr>
        <w:noBreakHyphen/>
        <w:t>8 450 MHz, son extremadamente sensibles y potencialmente susceptibles a la interferencia procedente de las emisiones fuera de banda de las transmisiones de los satélites del SETS (espacio</w:t>
      </w:r>
      <w:r w:rsidRPr="0047411C">
        <w:rPr>
          <w:lang w:val="es-ES_tradnl"/>
        </w:rPr>
        <w:noBreakHyphen/>
        <w:t>Tierra) en la banda 8 025</w:t>
      </w:r>
      <w:r w:rsidRPr="0047411C">
        <w:rPr>
          <w:lang w:val="es-ES_tradnl"/>
        </w:rPr>
        <w:noBreakHyphen/>
        <w:t>8 400 MHz;</w:t>
      </w:r>
    </w:p>
    <w:p w:rsidR="00215047" w:rsidRPr="0047411C" w:rsidRDefault="00215047" w:rsidP="00215047">
      <w:pPr>
        <w:rPr>
          <w:lang w:val="es-ES_tradnl"/>
        </w:rPr>
      </w:pPr>
      <w:r w:rsidRPr="0047411C">
        <w:rPr>
          <w:i/>
          <w:iCs/>
          <w:lang w:val="es-ES_tradnl"/>
        </w:rPr>
        <w:t>o)</w:t>
      </w:r>
      <w:r w:rsidRPr="0047411C">
        <w:rPr>
          <w:lang w:val="es-ES_tradnl"/>
        </w:rPr>
        <w:tab/>
        <w:t>que en el funcionamiento tanto del SIE (espacio lejano) como del SETS se producen eventos críticos en el tiempo;</w:t>
      </w:r>
    </w:p>
    <w:p w:rsidR="00215047" w:rsidRPr="0047411C" w:rsidRDefault="00215047" w:rsidP="00215047">
      <w:pPr>
        <w:rPr>
          <w:lang w:val="es-ES_tradnl"/>
        </w:rPr>
      </w:pPr>
      <w:r w:rsidRPr="0047411C">
        <w:rPr>
          <w:i/>
          <w:iCs/>
          <w:lang w:val="es-ES_tradnl"/>
        </w:rPr>
        <w:t>p)</w:t>
      </w:r>
      <w:r w:rsidRPr="0047411C">
        <w:rPr>
          <w:lang w:val="es-ES_tradnl"/>
        </w:rPr>
        <w:tab/>
        <w:t>que la mayoría de las técnicas propuestas para reducir la interferencia entre los enlaces de transmisión de datos del SETS también reducen las emisiones fuera de banda recibidas por las estaciones del SIE (espacio lejano) en la banda adyacente 8 400</w:t>
      </w:r>
      <w:r w:rsidRPr="0047411C">
        <w:rPr>
          <w:lang w:val="es-ES_tradnl"/>
        </w:rPr>
        <w:noBreakHyphen/>
        <w:t>8 450 MHz,</w:t>
      </w:r>
    </w:p>
    <w:p w:rsidR="00215047" w:rsidRPr="0047411C" w:rsidRDefault="00215047" w:rsidP="00215047">
      <w:pPr>
        <w:pStyle w:val="Call"/>
        <w:rPr>
          <w:lang w:val="es-ES_tradnl"/>
        </w:rPr>
      </w:pPr>
      <w:r w:rsidRPr="0047411C">
        <w:rPr>
          <w:lang w:val="es-ES_tradnl"/>
        </w:rPr>
        <w:t>reconociendo</w:t>
      </w:r>
    </w:p>
    <w:p w:rsidR="00215047" w:rsidRPr="0047411C" w:rsidRDefault="00215047" w:rsidP="00215047">
      <w:pPr>
        <w:rPr>
          <w:lang w:val="es-ES_tradnl"/>
        </w:rPr>
      </w:pPr>
      <w:r w:rsidRPr="0047411C">
        <w:rPr>
          <w:i/>
          <w:iCs/>
          <w:lang w:val="es-ES_tradnl"/>
        </w:rPr>
        <w:t>a)</w:t>
      </w:r>
      <w:r w:rsidRPr="0047411C">
        <w:rPr>
          <w:lang w:val="es-ES_tradnl"/>
        </w:rPr>
        <w:tab/>
        <w:t>que la posibilidad cada vez mayor de congestión en la banda 8 025</w:t>
      </w:r>
      <w:r w:rsidRPr="0047411C">
        <w:rPr>
          <w:lang w:val="es-ES_tradnl"/>
        </w:rPr>
        <w:noBreakHyphen/>
        <w:t>8 400 MHz y los requisitos de velocidades de datos más elevadas darán lugar a un incremento en niveles de interferencia;</w:t>
      </w:r>
    </w:p>
    <w:p w:rsidR="00215047" w:rsidRPr="0047411C" w:rsidRDefault="00215047" w:rsidP="00215047">
      <w:pPr>
        <w:rPr>
          <w:lang w:val="es-ES_tradnl"/>
        </w:rPr>
      </w:pPr>
      <w:r w:rsidRPr="0047411C">
        <w:rPr>
          <w:i/>
          <w:iCs/>
          <w:lang w:val="es-ES_tradnl"/>
        </w:rPr>
        <w:t>b)</w:t>
      </w:r>
      <w:r w:rsidRPr="0047411C">
        <w:rPr>
          <w:lang w:val="es-ES_tradnl"/>
        </w:rPr>
        <w:tab/>
        <w:t>que es conveniente establecer directrices para el funcionamiento del SETS (espacio</w:t>
      </w:r>
      <w:r w:rsidRPr="0047411C">
        <w:rPr>
          <w:lang w:val="es-ES_tradnl"/>
        </w:rPr>
        <w:noBreakHyphen/>
        <w:t>Tierra) en la banda 8 025</w:t>
      </w:r>
      <w:r w:rsidRPr="0047411C">
        <w:rPr>
          <w:lang w:val="es-ES_tradnl"/>
        </w:rPr>
        <w:noBreakHyphen/>
        <w:t>8 400 MHz a fin de maximizar la capacidad de esa banda y minimizar la interferencia perjudicial;</w:t>
      </w:r>
    </w:p>
    <w:p w:rsidR="00215047" w:rsidRPr="0047411C" w:rsidRDefault="00215047" w:rsidP="00215047">
      <w:pPr>
        <w:rPr>
          <w:lang w:val="es-ES_tradnl"/>
        </w:rPr>
      </w:pPr>
      <w:r w:rsidRPr="0047411C">
        <w:rPr>
          <w:i/>
          <w:iCs/>
          <w:lang w:val="es-ES_tradnl"/>
        </w:rPr>
        <w:t>c)</w:t>
      </w:r>
      <w:r w:rsidRPr="0047411C">
        <w:rPr>
          <w:lang w:val="es-ES_tradnl"/>
        </w:rPr>
        <w:tab/>
        <w:t>que pueden ser necesarios distintos métodos de reducción de la interferencia para resolver las posibles dificultades que surjan en la compartición de la banda 8 025</w:t>
      </w:r>
      <w:r w:rsidRPr="0047411C">
        <w:rPr>
          <w:lang w:val="es-ES_tradnl"/>
        </w:rPr>
        <w:noBreakHyphen/>
        <w:t>8 400 MHz por distintas combinaciones de sistemas del SETS,</w:t>
      </w:r>
    </w:p>
    <w:p w:rsidR="00215047" w:rsidRPr="0047411C" w:rsidRDefault="00215047" w:rsidP="00215047">
      <w:pPr>
        <w:pStyle w:val="Call"/>
        <w:rPr>
          <w:lang w:val="es-ES_tradnl"/>
        </w:rPr>
      </w:pPr>
      <w:r w:rsidRPr="0047411C">
        <w:rPr>
          <w:lang w:val="es-ES_tradnl"/>
        </w:rPr>
        <w:t>recomienda</w:t>
      </w:r>
    </w:p>
    <w:p w:rsidR="00215047" w:rsidRPr="0047411C" w:rsidRDefault="00215047" w:rsidP="00215047">
      <w:pPr>
        <w:rPr>
          <w:lang w:val="es-ES_tradnl"/>
        </w:rPr>
      </w:pPr>
      <w:r>
        <w:rPr>
          <w:lang w:val="es-ES_tradnl"/>
        </w:rPr>
        <w:t xml:space="preserve">que se tomen en consideración las siguientes directrices al diseñar sistemas del SETS que funcionan en la banda </w:t>
      </w:r>
      <w:r w:rsidRPr="0047411C">
        <w:rPr>
          <w:lang w:val="es-ES_tradnl"/>
        </w:rPr>
        <w:t>8 025-8 400 MHz:</w:t>
      </w:r>
    </w:p>
    <w:p w:rsidR="00215047" w:rsidRPr="0047411C" w:rsidRDefault="00215047" w:rsidP="00215047">
      <w:pPr>
        <w:rPr>
          <w:lang w:val="es-ES_tradnl"/>
        </w:rPr>
      </w:pPr>
      <w:r w:rsidRPr="00314B6E">
        <w:rPr>
          <w:b/>
          <w:bCs/>
          <w:lang w:val="es-ES_tradnl"/>
        </w:rPr>
        <w:t>1</w:t>
      </w:r>
      <w:r w:rsidRPr="00EF385C">
        <w:rPr>
          <w:lang w:val="es-ES_tradnl"/>
        </w:rPr>
        <w:tab/>
      </w:r>
      <w:r w:rsidRPr="0047411C">
        <w:rPr>
          <w:lang w:val="es-ES_tradnl"/>
        </w:rPr>
        <w:t>que los satélites del SETS que funcionan en un modo distinto de la radiodifusión emitan únicamente cuando transmiten datos a una o más estaciones terrenas;</w:t>
      </w:r>
    </w:p>
    <w:p w:rsidR="00215047" w:rsidRPr="0047411C" w:rsidRDefault="00215047" w:rsidP="00215047">
      <w:pPr>
        <w:rPr>
          <w:lang w:val="es-ES_tradnl"/>
        </w:rPr>
      </w:pPr>
      <w:r w:rsidRPr="00314B6E">
        <w:rPr>
          <w:b/>
          <w:bCs/>
          <w:lang w:val="es-ES_tradnl"/>
        </w:rPr>
        <w:t>2</w:t>
      </w:r>
      <w:r w:rsidRPr="00215047">
        <w:rPr>
          <w:lang w:val="es-ES_tradnl"/>
        </w:rPr>
        <w:tab/>
      </w:r>
      <w:r w:rsidRPr="0047411C">
        <w:rPr>
          <w:lang w:val="es-ES_tradnl"/>
        </w:rPr>
        <w:t>que se considere la armonización adecuada de los parámetros orbitales para los satélites heliosíncronos con los parámetros de los satélites existentes y previstos;</w:t>
      </w:r>
    </w:p>
    <w:p w:rsidR="00215047" w:rsidRPr="0047411C" w:rsidRDefault="00215047" w:rsidP="00215047">
      <w:pPr>
        <w:rPr>
          <w:lang w:val="es-ES_tradnl"/>
        </w:rPr>
      </w:pPr>
      <w:r w:rsidRPr="00314B6E">
        <w:rPr>
          <w:b/>
          <w:bCs/>
          <w:lang w:val="es-ES_tradnl"/>
        </w:rPr>
        <w:lastRenderedPageBreak/>
        <w:t>3</w:t>
      </w:r>
      <w:r w:rsidRPr="00215047">
        <w:rPr>
          <w:lang w:val="es-ES_tradnl"/>
        </w:rPr>
        <w:tab/>
      </w:r>
      <w:r w:rsidRPr="0047411C">
        <w:rPr>
          <w:lang w:val="es-ES_tradnl"/>
        </w:rPr>
        <w:t>que siempre que sea posible se utilicen antenas de satélite de elevada ganancia y lóbulos laterales reducidos y, si no es posible, se considere el empleo de antenas isoflujo en vez de antenas omnidireccionales;</w:t>
      </w:r>
    </w:p>
    <w:p w:rsidR="00215047" w:rsidRPr="0047411C" w:rsidRDefault="00215047" w:rsidP="00215047">
      <w:pPr>
        <w:rPr>
          <w:lang w:val="es-ES_tradnl"/>
        </w:rPr>
      </w:pPr>
      <w:r w:rsidRPr="00314B6E">
        <w:rPr>
          <w:b/>
          <w:bCs/>
          <w:lang w:val="es-ES_tradnl"/>
        </w:rPr>
        <w:t>4</w:t>
      </w:r>
      <w:r w:rsidRPr="00215047">
        <w:rPr>
          <w:lang w:val="es-ES_tradnl"/>
        </w:rPr>
        <w:tab/>
      </w:r>
      <w:r w:rsidRPr="0047411C">
        <w:rPr>
          <w:lang w:val="es-ES_tradnl"/>
        </w:rPr>
        <w:t>que se eviten siempre que sea posible los modos de difusión o, si ello no es posible, se considere la utilización de una parte de la mitad inferior de la banda 8 025</w:t>
      </w:r>
      <w:r w:rsidRPr="0047411C">
        <w:rPr>
          <w:lang w:val="es-ES_tradnl"/>
        </w:rPr>
        <w:noBreakHyphen/>
        <w:t>8 400 MHz;</w:t>
      </w:r>
    </w:p>
    <w:p w:rsidR="00215047" w:rsidRPr="0047411C" w:rsidRDefault="00215047" w:rsidP="00215047">
      <w:pPr>
        <w:rPr>
          <w:lang w:val="es-ES_tradnl"/>
        </w:rPr>
      </w:pPr>
      <w:r w:rsidRPr="00314B6E">
        <w:rPr>
          <w:b/>
          <w:bCs/>
          <w:lang w:val="es-ES_tradnl"/>
        </w:rPr>
        <w:t>5</w:t>
      </w:r>
      <w:r w:rsidRPr="00215047">
        <w:rPr>
          <w:lang w:val="es-ES_tradnl"/>
        </w:rPr>
        <w:tab/>
      </w:r>
      <w:r w:rsidRPr="0047411C">
        <w:rPr>
          <w:lang w:val="es-ES_tradnl"/>
        </w:rPr>
        <w:t>que se utilicen, en la medida de lo posible, técnicas de modulación eficaz en anchura de banda y técnicas de codificación para reducir la posibilidad de interferencia de canal adyacente limitando simultáneamente la dfp, las emisiones fuera de banda y la anchura de banda ocupada;</w:t>
      </w:r>
    </w:p>
    <w:p w:rsidR="00215047" w:rsidRPr="0047411C" w:rsidRDefault="00215047" w:rsidP="00215047">
      <w:pPr>
        <w:rPr>
          <w:lang w:val="es-ES_tradnl" w:eastAsia="fr-FR"/>
        </w:rPr>
      </w:pPr>
      <w:r w:rsidRPr="00314B6E">
        <w:rPr>
          <w:b/>
          <w:bCs/>
          <w:lang w:val="es-ES_tradnl"/>
        </w:rPr>
        <w:t>6</w:t>
      </w:r>
      <w:r w:rsidRPr="00215047">
        <w:rPr>
          <w:lang w:val="es-ES_tradnl"/>
        </w:rPr>
        <w:tab/>
      </w:r>
      <w:r w:rsidRPr="0047411C">
        <w:rPr>
          <w:lang w:val="es-ES_tradnl"/>
        </w:rPr>
        <w:t xml:space="preserve">que, para reducir la posibilidad de interferencia entre sistemas, se consideren debidamente otras técnicas de reducción de la interferencia tales como discriminación por polarización, separación geográfica de las estaciones terrenas y utilización de grandes antenas de estaciones terrenas con ganancias fuera del eje que no rebasen </w:t>
      </w:r>
      <w:r w:rsidRPr="0047411C">
        <w:rPr>
          <w:lang w:val="es-ES_tradnl" w:eastAsia="fr-FR"/>
        </w:rPr>
        <w:t>32</w:t>
      </w:r>
      <w:r w:rsidRPr="0047411C">
        <w:rPr>
          <w:lang w:val="es-ES_tradnl" w:eastAsia="fr-FR"/>
        </w:rPr>
        <w:noBreakHyphen/>
        <w:t xml:space="preserve">25 log θ dBi para </w:t>
      </w:r>
      <w:r w:rsidRPr="0047411C">
        <w:rPr>
          <w:rFonts w:ascii="SymbolMT" w:hAnsi="SymbolMT"/>
          <w:lang w:val="es-ES_tradnl" w:eastAsia="fr-FR"/>
        </w:rPr>
        <w:t>1° </w:t>
      </w:r>
      <w:r w:rsidRPr="0047411C">
        <w:rPr>
          <w:lang w:val="es-ES_tradnl"/>
        </w:rPr>
        <w:sym w:font="Symbol" w:char="F0A3"/>
      </w:r>
      <w:r w:rsidRPr="0047411C">
        <w:rPr>
          <w:rFonts w:ascii="SymbolMT" w:hAnsi="SymbolMT"/>
          <w:lang w:val="es-ES_tradnl" w:eastAsia="fr-FR"/>
        </w:rPr>
        <w:t> </w:t>
      </w:r>
      <w:r w:rsidRPr="0047411C">
        <w:rPr>
          <w:lang w:val="es-ES_tradnl" w:eastAsia="fr-FR"/>
        </w:rPr>
        <w:t>θ</w:t>
      </w:r>
      <w:r w:rsidRPr="0047411C">
        <w:rPr>
          <w:rFonts w:ascii="SymbolMT" w:hAnsi="SymbolMT"/>
          <w:lang w:val="es-ES_tradnl" w:eastAsia="fr-FR"/>
        </w:rPr>
        <w:t> </w:t>
      </w:r>
      <w:r w:rsidRPr="0047411C">
        <w:rPr>
          <w:lang w:val="es-ES_tradnl"/>
        </w:rPr>
        <w:sym w:font="Symbol" w:char="F0A3"/>
      </w:r>
      <w:r w:rsidRPr="0047411C">
        <w:rPr>
          <w:rFonts w:ascii="SymbolMT" w:hAnsi="SymbolMT"/>
          <w:lang w:val="es-ES_tradnl" w:eastAsia="fr-FR"/>
        </w:rPr>
        <w:t> 48°</w:t>
      </w:r>
      <w:r w:rsidRPr="0047411C">
        <w:rPr>
          <w:lang w:val="es-ES_tradnl" w:eastAsia="fr-FR"/>
        </w:rPr>
        <w:t>;</w:t>
      </w:r>
    </w:p>
    <w:p w:rsidR="00215047" w:rsidRPr="0047411C" w:rsidRDefault="00215047" w:rsidP="00215047">
      <w:pPr>
        <w:rPr>
          <w:lang w:val="es-ES_tradnl" w:eastAsia="fr-FR"/>
        </w:rPr>
      </w:pPr>
      <w:r w:rsidRPr="00314B6E">
        <w:rPr>
          <w:b/>
          <w:bCs/>
          <w:lang w:val="es-ES"/>
        </w:rPr>
        <w:t>7</w:t>
      </w:r>
      <w:r w:rsidRPr="00821162">
        <w:rPr>
          <w:lang w:val="es-ES"/>
        </w:rPr>
        <w:tab/>
      </w:r>
      <w:r w:rsidRPr="0047411C">
        <w:rPr>
          <w:lang w:val="es-ES_tradnl" w:eastAsia="fr-FR"/>
        </w:rPr>
        <w:t xml:space="preserve">que los vehículos espaciales del SETS que utilicen antenas </w:t>
      </w:r>
      <w:r>
        <w:rPr>
          <w:lang w:val="es-ES_tradnl" w:eastAsia="fr-FR"/>
        </w:rPr>
        <w:t>direccionales</w:t>
      </w:r>
      <w:r w:rsidRPr="0047411C">
        <w:rPr>
          <w:lang w:val="es-ES_tradnl" w:eastAsia="fr-FR"/>
        </w:rPr>
        <w:t xml:space="preserve"> se diseñen de tal forma que limiten </w:t>
      </w:r>
      <w:r>
        <w:rPr>
          <w:lang w:val="es-ES_tradnl" w:eastAsia="fr-FR"/>
        </w:rPr>
        <w:t xml:space="preserve">la densidad de flujo de potencia </w:t>
      </w:r>
      <w:r w:rsidRPr="0047411C">
        <w:rPr>
          <w:lang w:val="es-ES_tradnl" w:eastAsia="fr-FR"/>
        </w:rPr>
        <w:t xml:space="preserve">en la superficie de la Tierra </w:t>
      </w:r>
      <w:r>
        <w:rPr>
          <w:lang w:val="es-ES_tradnl" w:eastAsia="fr-FR"/>
        </w:rPr>
        <w:t xml:space="preserve">en todas las zonas con latitudes por encima de 55º o por debajo de </w:t>
      </w:r>
      <w:r w:rsidRPr="00EF385C">
        <w:rPr>
          <w:lang w:val="es-ES_tradnl" w:eastAsia="fr-FR"/>
        </w:rPr>
        <w:t>–</w:t>
      </w:r>
      <w:r>
        <w:rPr>
          <w:lang w:val="es-ES_tradnl" w:eastAsia="fr-FR"/>
        </w:rPr>
        <w:t>55º a menos de</w:t>
      </w:r>
      <w:r w:rsidRPr="0047411C">
        <w:rPr>
          <w:lang w:val="es-ES_tradnl" w:eastAsia="fr-FR"/>
        </w:rPr>
        <w:t xml:space="preserve"> −145 dB(W/m</w:t>
      </w:r>
      <w:r w:rsidRPr="0047411C">
        <w:rPr>
          <w:vertAlign w:val="superscript"/>
          <w:lang w:val="es-ES_tradnl" w:eastAsia="fr-FR"/>
        </w:rPr>
        <w:t>2</w:t>
      </w:r>
      <w:r w:rsidRPr="0047411C">
        <w:rPr>
          <w:lang w:val="es-ES_tradnl" w:eastAsia="fr-FR"/>
        </w:rPr>
        <w:t xml:space="preserve">) </w:t>
      </w:r>
      <w:r>
        <w:rPr>
          <w:lang w:val="es-ES_tradnl" w:eastAsia="fr-FR"/>
        </w:rPr>
        <w:t>para una anchura de banda de referencia igual a 4 kHz</w:t>
      </w:r>
      <w:r w:rsidRPr="0047411C">
        <w:rPr>
          <w:lang w:val="es-ES_tradnl" w:eastAsia="fr-FR"/>
        </w:rPr>
        <w:t>;</w:t>
      </w:r>
    </w:p>
    <w:p w:rsidR="00215047" w:rsidRPr="0047411C" w:rsidRDefault="00215047" w:rsidP="00215047">
      <w:pPr>
        <w:rPr>
          <w:lang w:val="es-ES_tradnl" w:eastAsia="fr-FR"/>
        </w:rPr>
      </w:pPr>
      <w:r w:rsidRPr="00314B6E">
        <w:rPr>
          <w:b/>
          <w:bCs/>
          <w:lang w:val="es-ES_tradnl"/>
        </w:rPr>
        <w:t>8</w:t>
      </w:r>
      <w:r w:rsidRPr="00215047">
        <w:rPr>
          <w:lang w:val="es-ES_tradnl"/>
        </w:rPr>
        <w:tab/>
      </w:r>
      <w:r>
        <w:rPr>
          <w:lang w:val="es-ES_tradnl" w:eastAsia="fr-FR"/>
        </w:rPr>
        <w:t xml:space="preserve">que los vehículos espaciales del SETS que utilizan antenas de isoflujo se diseñen para limitar la densidad de flujo de potencia sobre la superficie de la Tierra a menos de </w:t>
      </w:r>
      <w:r w:rsidRPr="0047411C">
        <w:rPr>
          <w:lang w:val="es-ES_tradnl" w:eastAsia="fr-FR"/>
        </w:rPr>
        <w:t>−150</w:t>
      </w:r>
      <w:r w:rsidRPr="00AE23E5">
        <w:rPr>
          <w:lang w:val="es-ES_tradnl" w:eastAsia="fr-FR"/>
        </w:rPr>
        <w:t xml:space="preserve"> </w:t>
      </w:r>
      <w:r w:rsidRPr="0047411C">
        <w:rPr>
          <w:lang w:val="es-ES_tradnl" w:eastAsia="fr-FR"/>
        </w:rPr>
        <w:t>dB(W/m</w:t>
      </w:r>
      <w:r w:rsidRPr="0047411C">
        <w:rPr>
          <w:vertAlign w:val="superscript"/>
          <w:lang w:val="es-ES_tradnl" w:eastAsia="fr-FR"/>
        </w:rPr>
        <w:t>2</w:t>
      </w:r>
      <w:r w:rsidRPr="0047411C">
        <w:rPr>
          <w:lang w:val="es-ES_tradnl" w:eastAsia="fr-FR"/>
        </w:rPr>
        <w:t xml:space="preserve">) </w:t>
      </w:r>
      <w:r>
        <w:rPr>
          <w:lang w:val="es-ES_tradnl" w:eastAsia="fr-FR"/>
        </w:rPr>
        <w:t xml:space="preserve">para una anchura de banda de referencia igual a </w:t>
      </w:r>
      <w:r w:rsidRPr="0047411C">
        <w:rPr>
          <w:lang w:val="es-ES_tradnl" w:eastAsia="fr-FR"/>
        </w:rPr>
        <w:t>4 kHz;</w:t>
      </w:r>
    </w:p>
    <w:p w:rsidR="00215047" w:rsidRPr="0047411C" w:rsidRDefault="00215047" w:rsidP="00215047">
      <w:pPr>
        <w:rPr>
          <w:lang w:val="es-ES_tradnl" w:eastAsia="fr-FR"/>
        </w:rPr>
      </w:pPr>
      <w:r w:rsidRPr="00314B6E">
        <w:rPr>
          <w:b/>
          <w:bCs/>
          <w:lang w:val="es-ES_tradnl"/>
        </w:rPr>
        <w:t>9</w:t>
      </w:r>
      <w:r w:rsidRPr="00215047">
        <w:rPr>
          <w:lang w:val="es-ES_tradnl"/>
        </w:rPr>
        <w:tab/>
      </w:r>
      <w:r w:rsidRPr="00D41D46">
        <w:rPr>
          <w:lang w:val="es-ES_tradnl" w:eastAsia="fr-FR"/>
        </w:rPr>
        <w:t xml:space="preserve">que los vehículos espaciales del SETS que </w:t>
      </w:r>
      <w:r>
        <w:rPr>
          <w:lang w:val="es-ES_tradnl" w:eastAsia="fr-FR"/>
        </w:rPr>
        <w:t xml:space="preserve">no </w:t>
      </w:r>
      <w:r w:rsidRPr="00D41D46">
        <w:rPr>
          <w:lang w:val="es-ES_tradnl" w:eastAsia="fr-FR"/>
        </w:rPr>
        <w:t xml:space="preserve">utilizan antenas </w:t>
      </w:r>
      <w:r>
        <w:rPr>
          <w:lang w:val="es-ES_tradnl" w:eastAsia="fr-FR"/>
        </w:rPr>
        <w:t xml:space="preserve">direccionales o </w:t>
      </w:r>
      <w:r w:rsidRPr="00D41D46">
        <w:rPr>
          <w:lang w:val="es-ES_tradnl" w:eastAsia="fr-FR"/>
        </w:rPr>
        <w:t xml:space="preserve">de isoflujo se diseñen para limitar la densidad de flujo de potencia sobre la superficie de la Tierra a menos de </w:t>
      </w:r>
      <w:r w:rsidRPr="0047411C">
        <w:rPr>
          <w:lang w:val="es-ES_tradnl" w:eastAsia="fr-FR"/>
        </w:rPr>
        <w:t>−147</w:t>
      </w:r>
      <w:r>
        <w:rPr>
          <w:b/>
          <w:bCs/>
          <w:lang w:val="es-ES_tradnl" w:eastAsia="fr-FR"/>
        </w:rPr>
        <w:t> </w:t>
      </w:r>
      <w:r w:rsidRPr="0047411C">
        <w:rPr>
          <w:lang w:val="es-ES_tradnl" w:eastAsia="fr-FR"/>
        </w:rPr>
        <w:t>dB(W/m</w:t>
      </w:r>
      <w:r w:rsidRPr="0047411C">
        <w:rPr>
          <w:vertAlign w:val="superscript"/>
          <w:lang w:val="es-ES_tradnl" w:eastAsia="fr-FR"/>
        </w:rPr>
        <w:t>2</w:t>
      </w:r>
      <w:r w:rsidRPr="0047411C">
        <w:rPr>
          <w:lang w:val="es-ES_tradnl" w:eastAsia="fr-FR"/>
        </w:rPr>
        <w:t xml:space="preserve">) </w:t>
      </w:r>
      <w:r w:rsidRPr="00D41D46">
        <w:rPr>
          <w:lang w:val="es-ES_tradnl" w:eastAsia="fr-FR"/>
        </w:rPr>
        <w:t xml:space="preserve">para una anchura de banda de referencia igual a </w:t>
      </w:r>
      <w:r w:rsidRPr="0047411C">
        <w:rPr>
          <w:lang w:val="es-ES_tradnl" w:eastAsia="fr-FR"/>
        </w:rPr>
        <w:t>4 kHz;</w:t>
      </w:r>
    </w:p>
    <w:p w:rsidR="00215047" w:rsidRPr="0047411C" w:rsidRDefault="00215047" w:rsidP="00215047">
      <w:pPr>
        <w:rPr>
          <w:lang w:val="es-ES_tradnl"/>
        </w:rPr>
      </w:pPr>
      <w:r w:rsidRPr="00314B6E">
        <w:rPr>
          <w:b/>
          <w:bCs/>
          <w:lang w:val="es-ES_tradnl"/>
        </w:rPr>
        <w:t>10</w:t>
      </w:r>
      <w:r w:rsidRPr="00215047">
        <w:rPr>
          <w:lang w:val="es-ES_tradnl"/>
        </w:rPr>
        <w:tab/>
      </w:r>
      <w:r w:rsidRPr="0047411C">
        <w:rPr>
          <w:lang w:val="es-ES_tradnl"/>
        </w:rPr>
        <w:t>que para minimizar la necesidad de coordinación operacional, los satélites del SETS utilicen las técnicas adecuadas a fin de evitar, en la medida de lo posible, que las emisiones no deseadas rebasen el criterio de protección</w:t>
      </w:r>
      <w:r w:rsidRPr="0047411C">
        <w:rPr>
          <w:rStyle w:val="FootnoteReference"/>
          <w:lang w:val="es-ES_tradnl"/>
        </w:rPr>
        <w:footnoteReference w:customMarkFollows="1" w:id="1"/>
        <w:t>1</w:t>
      </w:r>
      <w:r w:rsidRPr="0047411C">
        <w:rPr>
          <w:lang w:val="es-ES_tradnl"/>
        </w:rPr>
        <w:t xml:space="preserve"> del servicio de investigación espacial (espacio lejano) establecido por el UIT</w:t>
      </w:r>
      <w:r w:rsidRPr="0047411C">
        <w:rPr>
          <w:lang w:val="es-ES_tradnl"/>
        </w:rPr>
        <w:noBreakHyphen/>
        <w:t>R en la banda 8 400</w:t>
      </w:r>
      <w:r w:rsidRPr="0047411C">
        <w:rPr>
          <w:lang w:val="es-ES_tradnl"/>
        </w:rPr>
        <w:noBreakHyphen/>
        <w:t xml:space="preserve">8 450 MHz, incluida una o más de las técnicas aplicables que figuran en los </w:t>
      </w:r>
      <w:r w:rsidRPr="0047411C">
        <w:rPr>
          <w:i/>
          <w:lang w:val="es-ES_tradnl"/>
        </w:rPr>
        <w:t>recomienda</w:t>
      </w:r>
      <w:r w:rsidRPr="0047411C">
        <w:rPr>
          <w:lang w:val="es-ES_tradnl"/>
        </w:rPr>
        <w:t> 1 a 8, filtrado a bordo, gran separación geográfica entre estaciones terrenas del SETS y del servicio de investigación espacial (espacio lejano) y/o modulaciones de banda lateral baja;</w:t>
      </w:r>
    </w:p>
    <w:p w:rsidR="00215047" w:rsidRPr="0047411C" w:rsidRDefault="00215047" w:rsidP="00215047">
      <w:pPr>
        <w:rPr>
          <w:lang w:val="es-ES_tradnl"/>
        </w:rPr>
      </w:pPr>
      <w:r w:rsidRPr="00314B6E">
        <w:rPr>
          <w:b/>
          <w:bCs/>
          <w:lang w:val="es-ES_tradnl"/>
        </w:rPr>
        <w:t>11</w:t>
      </w:r>
      <w:r w:rsidRPr="00215047">
        <w:rPr>
          <w:lang w:val="es-ES_tradnl"/>
        </w:rPr>
        <w:tab/>
      </w:r>
      <w:r w:rsidRPr="0047411C">
        <w:rPr>
          <w:lang w:val="es-ES_tradnl"/>
        </w:rPr>
        <w:t>que se considere la utilización de la banda 25,5</w:t>
      </w:r>
      <w:r w:rsidRPr="0047411C">
        <w:rPr>
          <w:lang w:val="es-ES_tradnl"/>
        </w:rPr>
        <w:noBreakHyphen/>
        <w:t xml:space="preserve">27 GHz por los satélites del servicio de exploración de la Tierra por satélite, en particular si las técnicas indicadas en los </w:t>
      </w:r>
      <w:r w:rsidRPr="0047411C">
        <w:rPr>
          <w:i/>
          <w:lang w:val="es-ES_tradnl"/>
        </w:rPr>
        <w:t>recomienda</w:t>
      </w:r>
      <w:r w:rsidRPr="0047411C">
        <w:rPr>
          <w:lang w:val="es-ES_tradnl"/>
        </w:rPr>
        <w:t> 1 a 10 no pueden resolver adecuadamente los temas de compartición del espectro y/o emisiones no deseadas.</w:t>
      </w:r>
    </w:p>
    <w:p w:rsidR="00215047" w:rsidRPr="00EF385C" w:rsidRDefault="00215047" w:rsidP="00215047">
      <w:pPr>
        <w:pStyle w:val="Reasons"/>
        <w:rPr>
          <w:lang w:val="es-ES_tradnl"/>
        </w:rPr>
      </w:pPr>
    </w:p>
    <w:p w:rsidR="00215047" w:rsidRPr="0047411C" w:rsidRDefault="00215047" w:rsidP="00215047">
      <w:pPr>
        <w:jc w:val="center"/>
        <w:rPr>
          <w:lang w:val="es-ES_tradnl"/>
        </w:rPr>
      </w:pPr>
      <w:r w:rsidRPr="0047411C">
        <w:rPr>
          <w:lang w:val="es-ES_tradnl"/>
        </w:rPr>
        <w:t>______________</w:t>
      </w:r>
    </w:p>
    <w:p w:rsidR="00B1717A" w:rsidRPr="0010336F" w:rsidRDefault="00B1717A" w:rsidP="005A1CE1">
      <w:pPr>
        <w:pStyle w:val="RecNo"/>
        <w:spacing w:before="0"/>
        <w:rPr>
          <w:lang w:val="es-ES_tradnl"/>
        </w:rPr>
      </w:pPr>
    </w:p>
    <w:sectPr w:rsidR="00B1717A" w:rsidRPr="0010336F" w:rsidSect="00B1717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3A6" w:rsidRDefault="00F263A6">
      <w:r>
        <w:separator/>
      </w:r>
    </w:p>
  </w:endnote>
  <w:endnote w:type="continuationSeparator" w:id="0">
    <w:p w:rsidR="00F263A6" w:rsidRDefault="00F26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ymbolMT">
    <w:altName w:val="Times New Roman"/>
    <w:panose1 w:val="00000000000000000000"/>
    <w:charset w:val="A1"/>
    <w:family w:val="auto"/>
    <w:notTrueType/>
    <w:pitch w:val="default"/>
    <w:sig w:usb0="00000081" w:usb1="00000000" w:usb2="00000000" w:usb3="00000000" w:csb0="00000008"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3A6" w:rsidRDefault="00F263A6">
      <w:r>
        <w:separator/>
      </w:r>
    </w:p>
  </w:footnote>
  <w:footnote w:type="continuationSeparator" w:id="0">
    <w:p w:rsidR="00F263A6" w:rsidRDefault="00F263A6">
      <w:r>
        <w:continuationSeparator/>
      </w:r>
    </w:p>
  </w:footnote>
  <w:footnote w:id="1">
    <w:p w:rsidR="00215047" w:rsidRPr="00C73855" w:rsidRDefault="00215047" w:rsidP="00215047">
      <w:pPr>
        <w:pStyle w:val="FootnoteText"/>
        <w:rPr>
          <w:lang w:val="es-ES_tradnl"/>
        </w:rPr>
      </w:pPr>
      <w:r w:rsidRPr="00C73855">
        <w:rPr>
          <w:rStyle w:val="FootnoteReference"/>
          <w:lang w:val="es-ES_tradnl"/>
        </w:rPr>
        <w:t>1</w:t>
      </w:r>
      <w:r w:rsidRPr="00C73855">
        <w:rPr>
          <w:lang w:val="es-ES_tradnl"/>
        </w:rPr>
        <w:tab/>
        <w:t>Véanse las Recomendaciones UIT</w:t>
      </w:r>
      <w:r w:rsidRPr="00C73855">
        <w:rPr>
          <w:lang w:val="es-ES_tradnl"/>
        </w:rPr>
        <w:noBreakHyphen/>
        <w:t>R de las serie SA pertinentes.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87C9D" w:rsidP="00D62884">
    <w:pPr>
      <w:pStyle w:val="Header"/>
      <w:ind w:right="360" w:firstLine="360"/>
    </w:pPr>
    <w:r>
      <w:rPr>
        <w:noProof/>
        <w:lang w:val="en-GB" w:eastAsia="zh-CN"/>
      </w:rPr>
      <w:drawing>
        <wp:anchor distT="0" distB="0" distL="114300" distR="114300" simplePos="0" relativeHeight="251656704" behindDoc="1" locked="0" layoutInCell="1" allowOverlap="1" wp14:anchorId="3AB3F651" wp14:editId="24FD4803">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D12AD9" w:rsidP="00B1717A">
    <w:pPr>
      <w:pStyle w:val="Header"/>
      <w:jc w:val="left"/>
    </w:pPr>
    <w:r>
      <w:rPr>
        <w:rStyle w:val="PageNumber"/>
        <w:b/>
        <w:bCs/>
      </w:rPr>
      <w:fldChar w:fldCharType="begin"/>
    </w:r>
    <w:r w:rsidR="00025336">
      <w:rPr>
        <w:rStyle w:val="PageNumber"/>
        <w:b/>
        <w:bCs/>
      </w:rPr>
      <w:instrText xml:space="preserve"> PAGE </w:instrText>
    </w:r>
    <w:r>
      <w:rPr>
        <w:rStyle w:val="PageNumber"/>
        <w:b/>
        <w:bCs/>
      </w:rPr>
      <w:fldChar w:fldCharType="separate"/>
    </w:r>
    <w:r w:rsidR="004A1035">
      <w:rPr>
        <w:rStyle w:val="PageNumber"/>
        <w:b/>
        <w:bCs/>
        <w:noProof/>
      </w:rPr>
      <w:t>ii</w:t>
    </w:r>
    <w:r>
      <w:rPr>
        <w:rStyle w:val="PageNumber"/>
        <w:b/>
        <w:bCs/>
      </w:rPr>
      <w:fldChar w:fldCharType="end"/>
    </w:r>
    <w:r w:rsidR="00025336">
      <w:tab/>
    </w:r>
    <w:r w:rsidR="004A1035">
      <w:fldChar w:fldCharType="begin"/>
    </w:r>
    <w:r w:rsidR="004A1035">
      <w:instrText xml:space="preserve"> DOCPROPERTY "Header" \* MERGEFORMAT </w:instrText>
    </w:r>
    <w:r w:rsidR="004A1035">
      <w:fldChar w:fldCharType="separate"/>
    </w:r>
    <w:r w:rsidR="004A1035" w:rsidRPr="004A1035">
      <w:rPr>
        <w:b/>
        <w:bCs/>
        <w:lang w:val="en-US"/>
      </w:rPr>
      <w:t xml:space="preserve">Rec. </w:t>
    </w:r>
    <w:r w:rsidR="004A1035">
      <w:rPr>
        <w:b/>
        <w:bCs/>
        <w:lang w:val="en-US"/>
      </w:rPr>
      <w:fldChar w:fldCharType="end"/>
    </w:r>
    <w:r w:rsidR="00025336">
      <w:rPr>
        <w:b/>
        <w:bCs/>
      </w:rPr>
      <w:t xml:space="preserve"> </w:t>
    </w:r>
    <w:r>
      <w:rPr>
        <w:b/>
        <w:bCs/>
      </w:rPr>
      <w:fldChar w:fldCharType="begin"/>
    </w:r>
    <w:r w:rsidR="00025336">
      <w:rPr>
        <w:b/>
        <w:bCs/>
      </w:rPr>
      <w:instrText>styleref href</w:instrText>
    </w:r>
    <w:r>
      <w:rPr>
        <w:b/>
        <w:bCs/>
      </w:rPr>
      <w:fldChar w:fldCharType="separate"/>
    </w:r>
    <w:r w:rsidR="004A1035">
      <w:rPr>
        <w:b/>
        <w:bCs/>
        <w:noProof/>
      </w:rPr>
      <w:t>UIT-R  SA.1810-1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pPr>
    <w:r>
      <w:tab/>
    </w:r>
    <w:r w:rsidR="004A1035">
      <w:fldChar w:fldCharType="begin"/>
    </w:r>
    <w:r w:rsidR="004A1035">
      <w:instrText xml:space="preserve"> DOCPROPERTY "Header" \* MERGEFORMAT </w:instrText>
    </w:r>
    <w:r w:rsidR="004A1035">
      <w:fldChar w:fldCharType="separate"/>
    </w:r>
    <w:r w:rsidR="004A1035" w:rsidRPr="004A1035">
      <w:rPr>
        <w:lang w:val="en-US"/>
      </w:rPr>
      <w:t xml:space="preserve">Rec. </w:t>
    </w:r>
    <w:r w:rsidR="004A1035">
      <w:rPr>
        <w:lang w:val="en-US"/>
      </w:rPr>
      <w:fldChar w:fldCharType="end"/>
    </w:r>
    <w:r>
      <w:rPr>
        <w:b/>
        <w:bCs/>
      </w:rPr>
      <w:t xml:space="preserve">  </w:t>
    </w:r>
    <w:r w:rsidR="00D12AD9">
      <w:rPr>
        <w:b/>
        <w:bCs/>
      </w:rPr>
      <w:fldChar w:fldCharType="begin"/>
    </w:r>
    <w:r>
      <w:rPr>
        <w:b/>
        <w:bCs/>
      </w:rPr>
      <w:instrText>styleref href</w:instrText>
    </w:r>
    <w:r w:rsidR="00D12AD9">
      <w:rPr>
        <w:b/>
        <w:bCs/>
      </w:rPr>
      <w:fldChar w:fldCharType="separate"/>
    </w:r>
    <w:r w:rsidR="004A1035">
      <w:rPr>
        <w:b/>
        <w:bCs/>
        <w:noProof/>
      </w:rPr>
      <w:t>UIT-R  SA.1810-1</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5A1CE1">
      <w:rPr>
        <w:rStyle w:val="PageNumber"/>
        <w:b/>
        <w:bCs/>
        <w:noProof/>
      </w:rPr>
      <w:t>iii</w:t>
    </w:r>
    <w:r w:rsidR="00D12AD9">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D12AD9">
    <w:pPr>
      <w:pStyle w:val="Header"/>
      <w:jc w:val="left"/>
      <w:rPr>
        <w:lang w:val="en-US"/>
      </w:rPr>
    </w:pPr>
    <w:r>
      <w:rPr>
        <w:rStyle w:val="PageNumber"/>
        <w:b/>
        <w:bCs/>
      </w:rPr>
      <w:fldChar w:fldCharType="begin"/>
    </w:r>
    <w:r w:rsidR="00025336">
      <w:rPr>
        <w:rStyle w:val="PageNumber"/>
        <w:b/>
        <w:bCs/>
        <w:lang w:val="en-US"/>
      </w:rPr>
      <w:instrText xml:space="preserve"> PAGE </w:instrText>
    </w:r>
    <w:r>
      <w:rPr>
        <w:rStyle w:val="PageNumber"/>
        <w:b/>
        <w:bCs/>
      </w:rPr>
      <w:fldChar w:fldCharType="separate"/>
    </w:r>
    <w:r w:rsidR="004A1035">
      <w:rPr>
        <w:rStyle w:val="PageNumber"/>
        <w:b/>
        <w:bCs/>
        <w:noProof/>
        <w:lang w:val="en-US"/>
      </w:rPr>
      <w:t>2</w:t>
    </w:r>
    <w:r>
      <w:rPr>
        <w:rStyle w:val="PageNumber"/>
        <w:b/>
        <w:bCs/>
      </w:rPr>
      <w:fldChar w:fldCharType="end"/>
    </w:r>
    <w:r w:rsidR="00025336">
      <w:rPr>
        <w:lang w:val="en-US"/>
      </w:rPr>
      <w:tab/>
    </w:r>
    <w:r w:rsidR="004A1035">
      <w:fldChar w:fldCharType="begin"/>
    </w:r>
    <w:r w:rsidR="004A1035">
      <w:instrText xml:space="preserve"> DOCPROPERTY "Header" \* MERGEFORMAT </w:instrText>
    </w:r>
    <w:r w:rsidR="004A1035">
      <w:fldChar w:fldCharType="separate"/>
    </w:r>
    <w:r w:rsidR="004A1035" w:rsidRPr="004A1035">
      <w:rPr>
        <w:b/>
        <w:bCs/>
        <w:lang w:val="en-US"/>
      </w:rPr>
      <w:t xml:space="preserve">Rec. </w:t>
    </w:r>
    <w:r w:rsidR="004A1035">
      <w:rPr>
        <w:b/>
        <w:bCs/>
        <w:lang w:val="en-US"/>
      </w:rPr>
      <w:fldChar w:fldCharType="end"/>
    </w:r>
    <w:r w:rsidR="00025336">
      <w:rPr>
        <w:b/>
        <w:bCs/>
      </w:rPr>
      <w:t xml:space="preserve"> </w:t>
    </w:r>
    <w:r>
      <w:rPr>
        <w:b/>
        <w:bCs/>
      </w:rPr>
      <w:fldChar w:fldCharType="begin"/>
    </w:r>
    <w:r w:rsidR="00025336">
      <w:rPr>
        <w:b/>
        <w:bCs/>
        <w:lang w:val="en-US"/>
      </w:rPr>
      <w:instrText>styleref href</w:instrText>
    </w:r>
    <w:r>
      <w:rPr>
        <w:b/>
        <w:bCs/>
      </w:rPr>
      <w:fldChar w:fldCharType="separate"/>
    </w:r>
    <w:r w:rsidR="004A1035">
      <w:rPr>
        <w:b/>
        <w:bCs/>
        <w:noProof/>
      </w:rPr>
      <w:t>UIT-R  SA.1810-1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336" w:rsidRDefault="00025336">
    <w:pPr>
      <w:pStyle w:val="Header"/>
    </w:pPr>
    <w:r>
      <w:tab/>
    </w:r>
    <w:r w:rsidR="004A1035">
      <w:fldChar w:fldCharType="begin"/>
    </w:r>
    <w:r w:rsidR="004A1035">
      <w:instrText xml:space="preserve"> DOCPROPERTY "Header" \* MERGEFORMAT </w:instrText>
    </w:r>
    <w:r w:rsidR="004A1035">
      <w:fldChar w:fldCharType="separate"/>
    </w:r>
    <w:r w:rsidR="004A1035" w:rsidRPr="004A1035">
      <w:rPr>
        <w:b/>
        <w:bCs/>
      </w:rPr>
      <w:t xml:space="preserve">Rec. </w:t>
    </w:r>
    <w:r w:rsidR="004A1035">
      <w:rPr>
        <w:b/>
        <w:bCs/>
      </w:rPr>
      <w:fldChar w:fldCharType="end"/>
    </w:r>
    <w:r>
      <w:rPr>
        <w:b/>
        <w:bCs/>
      </w:rPr>
      <w:t xml:space="preserve"> </w:t>
    </w:r>
    <w:r w:rsidR="00D12AD9">
      <w:rPr>
        <w:b/>
        <w:bCs/>
      </w:rPr>
      <w:fldChar w:fldCharType="begin"/>
    </w:r>
    <w:r>
      <w:rPr>
        <w:b/>
        <w:bCs/>
      </w:rPr>
      <w:instrText>styleref href</w:instrText>
    </w:r>
    <w:r w:rsidR="00D12AD9">
      <w:rPr>
        <w:b/>
        <w:bCs/>
      </w:rPr>
      <w:fldChar w:fldCharType="separate"/>
    </w:r>
    <w:r w:rsidR="004A1035">
      <w:rPr>
        <w:b/>
        <w:bCs/>
        <w:noProof/>
      </w:rPr>
      <w:t>UIT-R  SA.1810-1</w:t>
    </w:r>
    <w:r w:rsidR="00D12AD9">
      <w:rPr>
        <w:b/>
        <w:bCs/>
      </w:rPr>
      <w:fldChar w:fldCharType="end"/>
    </w:r>
    <w:r>
      <w:tab/>
    </w:r>
    <w:r w:rsidR="00D12AD9">
      <w:rPr>
        <w:rStyle w:val="PageNumber"/>
        <w:b/>
        <w:bCs/>
      </w:rPr>
      <w:fldChar w:fldCharType="begin"/>
    </w:r>
    <w:r>
      <w:rPr>
        <w:rStyle w:val="PageNumber"/>
        <w:b/>
        <w:bCs/>
      </w:rPr>
      <w:instrText xml:space="preserve"> PAGE </w:instrText>
    </w:r>
    <w:r w:rsidR="00D12AD9">
      <w:rPr>
        <w:rStyle w:val="PageNumber"/>
        <w:b/>
        <w:bCs/>
      </w:rPr>
      <w:fldChar w:fldCharType="separate"/>
    </w:r>
    <w:r w:rsidR="004A1035">
      <w:rPr>
        <w:rStyle w:val="PageNumber"/>
        <w:b/>
        <w:bCs/>
        <w:noProof/>
      </w:rPr>
      <w:t>1</w:t>
    </w:r>
    <w:r w:rsidR="00D12AD9">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5336"/>
    <w:rsid w:val="00063999"/>
    <w:rsid w:val="00087C9D"/>
    <w:rsid w:val="000C7358"/>
    <w:rsid w:val="00215047"/>
    <w:rsid w:val="00236E9D"/>
    <w:rsid w:val="00265C56"/>
    <w:rsid w:val="00266EDC"/>
    <w:rsid w:val="002814F2"/>
    <w:rsid w:val="002D76C4"/>
    <w:rsid w:val="00314B6E"/>
    <w:rsid w:val="003223EB"/>
    <w:rsid w:val="00363835"/>
    <w:rsid w:val="00366CEE"/>
    <w:rsid w:val="004532F7"/>
    <w:rsid w:val="004A1035"/>
    <w:rsid w:val="005A1CE1"/>
    <w:rsid w:val="005A6102"/>
    <w:rsid w:val="00607D68"/>
    <w:rsid w:val="006B22C3"/>
    <w:rsid w:val="0071435A"/>
    <w:rsid w:val="00847DD5"/>
    <w:rsid w:val="00880680"/>
    <w:rsid w:val="00951E54"/>
    <w:rsid w:val="009F421B"/>
    <w:rsid w:val="00A2250E"/>
    <w:rsid w:val="00A6617B"/>
    <w:rsid w:val="00AB0DC8"/>
    <w:rsid w:val="00AD7E7A"/>
    <w:rsid w:val="00B1717A"/>
    <w:rsid w:val="00B44E24"/>
    <w:rsid w:val="00B87252"/>
    <w:rsid w:val="00BB77E9"/>
    <w:rsid w:val="00BF7841"/>
    <w:rsid w:val="00C11ADE"/>
    <w:rsid w:val="00C55575"/>
    <w:rsid w:val="00CB7FC8"/>
    <w:rsid w:val="00CE2F6A"/>
    <w:rsid w:val="00D12388"/>
    <w:rsid w:val="00D12AD9"/>
    <w:rsid w:val="00D62884"/>
    <w:rsid w:val="00DE71F7"/>
    <w:rsid w:val="00DF4176"/>
    <w:rsid w:val="00E54D9A"/>
    <w:rsid w:val="00EB1589"/>
    <w:rsid w:val="00F263A6"/>
    <w:rsid w:val="00F95576"/>
    <w:rsid w:val="00FB56BF"/>
    <w:rsid w:val="00FC23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BB814983-3256-4EEF-9323-2B28A584E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04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15047"/>
    <w:pPr>
      <w:keepNext/>
      <w:keepLines/>
      <w:spacing w:before="480"/>
      <w:ind w:left="794" w:hanging="794"/>
      <w:outlineLvl w:val="0"/>
    </w:pPr>
    <w:rPr>
      <w:b/>
    </w:rPr>
  </w:style>
  <w:style w:type="paragraph" w:styleId="Heading2">
    <w:name w:val="heading 2"/>
    <w:basedOn w:val="Heading1"/>
    <w:next w:val="Normal"/>
    <w:qFormat/>
    <w:rsid w:val="00215047"/>
    <w:pPr>
      <w:spacing w:before="320"/>
      <w:outlineLvl w:val="1"/>
    </w:pPr>
  </w:style>
  <w:style w:type="paragraph" w:styleId="Heading3">
    <w:name w:val="heading 3"/>
    <w:basedOn w:val="Heading1"/>
    <w:next w:val="Normal"/>
    <w:qFormat/>
    <w:rsid w:val="00215047"/>
    <w:pPr>
      <w:spacing w:before="200"/>
      <w:outlineLvl w:val="2"/>
    </w:pPr>
  </w:style>
  <w:style w:type="paragraph" w:styleId="Heading4">
    <w:name w:val="heading 4"/>
    <w:basedOn w:val="Heading3"/>
    <w:next w:val="Normal"/>
    <w:qFormat/>
    <w:rsid w:val="00215047"/>
    <w:pPr>
      <w:tabs>
        <w:tab w:val="clear" w:pos="794"/>
        <w:tab w:val="left" w:pos="992"/>
      </w:tabs>
      <w:ind w:left="992" w:hanging="992"/>
      <w:outlineLvl w:val="3"/>
    </w:pPr>
  </w:style>
  <w:style w:type="paragraph" w:styleId="Heading5">
    <w:name w:val="heading 5"/>
    <w:basedOn w:val="Heading4"/>
    <w:next w:val="Normal"/>
    <w:qFormat/>
    <w:rsid w:val="00215047"/>
    <w:pPr>
      <w:outlineLvl w:val="4"/>
    </w:pPr>
  </w:style>
  <w:style w:type="paragraph" w:styleId="Heading6">
    <w:name w:val="heading 6"/>
    <w:basedOn w:val="Heading4"/>
    <w:next w:val="Normal"/>
    <w:qFormat/>
    <w:rsid w:val="00215047"/>
    <w:pPr>
      <w:tabs>
        <w:tab w:val="clear" w:pos="992"/>
        <w:tab w:val="clear" w:pos="1191"/>
      </w:tabs>
      <w:ind w:left="1588" w:hanging="1588"/>
      <w:outlineLvl w:val="5"/>
    </w:pPr>
  </w:style>
  <w:style w:type="paragraph" w:styleId="Heading7">
    <w:name w:val="heading 7"/>
    <w:basedOn w:val="Heading6"/>
    <w:next w:val="Normal"/>
    <w:qFormat/>
    <w:rsid w:val="00215047"/>
    <w:pPr>
      <w:outlineLvl w:val="6"/>
    </w:pPr>
  </w:style>
  <w:style w:type="paragraph" w:styleId="Heading8">
    <w:name w:val="heading 8"/>
    <w:basedOn w:val="Heading6"/>
    <w:next w:val="Normal"/>
    <w:qFormat/>
    <w:rsid w:val="00215047"/>
    <w:pPr>
      <w:outlineLvl w:val="7"/>
    </w:pPr>
  </w:style>
  <w:style w:type="paragraph" w:styleId="Heading9">
    <w:name w:val="heading 9"/>
    <w:basedOn w:val="Heading6"/>
    <w:next w:val="Normal"/>
    <w:qFormat/>
    <w:rsid w:val="00215047"/>
    <w:pPr>
      <w:jc w:val="left"/>
      <w:outlineLvl w:val="8"/>
    </w:pPr>
  </w:style>
  <w:style w:type="character" w:default="1" w:styleId="DefaultParagraphFont">
    <w:name w:val="Default Paragraph Font"/>
    <w:uiPriority w:val="1"/>
    <w:semiHidden/>
    <w:unhideWhenUsed/>
    <w:rsid w:val="0021504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15047"/>
  </w:style>
  <w:style w:type="paragraph" w:styleId="Header">
    <w:name w:val="header"/>
    <w:basedOn w:val="Normal"/>
    <w:rsid w:val="0021504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1504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15047"/>
  </w:style>
  <w:style w:type="paragraph" w:customStyle="1" w:styleId="Headingb">
    <w:name w:val="Heading_b"/>
    <w:basedOn w:val="Heading3"/>
    <w:next w:val="Normal"/>
    <w:rsid w:val="00215047"/>
    <w:pPr>
      <w:spacing w:before="160"/>
      <w:ind w:left="0" w:firstLine="0"/>
      <w:outlineLvl w:val="9"/>
    </w:pPr>
  </w:style>
  <w:style w:type="paragraph" w:customStyle="1" w:styleId="Headingi">
    <w:name w:val="Heading_i"/>
    <w:basedOn w:val="Heading3"/>
    <w:next w:val="Normal"/>
    <w:rsid w:val="00215047"/>
    <w:pPr>
      <w:spacing w:before="160"/>
      <w:ind w:left="0" w:firstLine="0"/>
    </w:pPr>
    <w:rPr>
      <w:b w:val="0"/>
      <w:i/>
    </w:rPr>
  </w:style>
  <w:style w:type="character" w:customStyle="1" w:styleId="href">
    <w:name w:val="href"/>
    <w:basedOn w:val="DefaultParagraphFont"/>
    <w:rsid w:val="00215047"/>
  </w:style>
  <w:style w:type="paragraph" w:customStyle="1" w:styleId="enumlev1">
    <w:name w:val="enumlev1"/>
    <w:basedOn w:val="Normal"/>
    <w:rsid w:val="00215047"/>
    <w:pPr>
      <w:spacing w:before="80"/>
      <w:ind w:left="794" w:hanging="794"/>
    </w:pPr>
  </w:style>
  <w:style w:type="paragraph" w:customStyle="1" w:styleId="enumlev2">
    <w:name w:val="enumlev2"/>
    <w:basedOn w:val="enumlev1"/>
    <w:rsid w:val="00215047"/>
    <w:pPr>
      <w:ind w:left="1191" w:hanging="397"/>
    </w:pPr>
  </w:style>
  <w:style w:type="paragraph" w:customStyle="1" w:styleId="enumlev3">
    <w:name w:val="enumlev3"/>
    <w:basedOn w:val="enumlev2"/>
    <w:rsid w:val="00215047"/>
    <w:pPr>
      <w:ind w:left="1588"/>
    </w:pPr>
  </w:style>
  <w:style w:type="paragraph" w:customStyle="1" w:styleId="Normalaftertitle">
    <w:name w:val="Normal_after_title"/>
    <w:basedOn w:val="Normal"/>
    <w:next w:val="Normal"/>
    <w:rsid w:val="00215047"/>
    <w:pPr>
      <w:spacing w:before="320"/>
    </w:pPr>
  </w:style>
  <w:style w:type="paragraph" w:customStyle="1" w:styleId="Note">
    <w:name w:val="Note"/>
    <w:basedOn w:val="Normal"/>
    <w:rsid w:val="0021504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1504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15047"/>
    <w:pPr>
      <w:spacing w:before="240"/>
    </w:pPr>
    <w:rPr>
      <w:sz w:val="22"/>
      <w:lang w:val="es-ES_tradnl"/>
    </w:rPr>
  </w:style>
  <w:style w:type="paragraph" w:customStyle="1" w:styleId="Recref">
    <w:name w:val="Rec_ref"/>
    <w:basedOn w:val="Normal"/>
    <w:next w:val="Recdate"/>
    <w:rsid w:val="00215047"/>
    <w:pPr>
      <w:jc w:val="center"/>
    </w:pPr>
  </w:style>
  <w:style w:type="paragraph" w:customStyle="1" w:styleId="Recdate">
    <w:name w:val="Rec_date"/>
    <w:basedOn w:val="Recref"/>
    <w:next w:val="Normalaftertitle"/>
    <w:rsid w:val="00215047"/>
    <w:pPr>
      <w:jc w:val="right"/>
    </w:pPr>
  </w:style>
  <w:style w:type="paragraph" w:customStyle="1" w:styleId="AnnexNoTitle">
    <w:name w:val="Annex_NoTitle"/>
    <w:basedOn w:val="Normal"/>
    <w:next w:val="Normalaftertitle"/>
    <w:rsid w:val="00215047"/>
    <w:pPr>
      <w:keepNext/>
      <w:keepLines/>
      <w:spacing w:before="480" w:after="80"/>
      <w:jc w:val="center"/>
    </w:pPr>
    <w:rPr>
      <w:b/>
      <w:sz w:val="28"/>
    </w:rPr>
  </w:style>
  <w:style w:type="paragraph" w:customStyle="1" w:styleId="AppendixNoTitle">
    <w:name w:val="Appendix_NoTitle"/>
    <w:basedOn w:val="AnnexNoTitle"/>
    <w:next w:val="Normal"/>
    <w:rsid w:val="00215047"/>
  </w:style>
  <w:style w:type="paragraph" w:customStyle="1" w:styleId="Tablefin">
    <w:name w:val="Table_fin"/>
    <w:basedOn w:val="Normal"/>
    <w:next w:val="Normal"/>
    <w:rsid w:val="00215047"/>
    <w:pPr>
      <w:spacing w:before="0"/>
    </w:pPr>
    <w:rPr>
      <w:sz w:val="20"/>
      <w:lang w:val="en-GB"/>
    </w:rPr>
  </w:style>
  <w:style w:type="paragraph" w:customStyle="1" w:styleId="Tablehead">
    <w:name w:val="Table_head"/>
    <w:basedOn w:val="Normal"/>
    <w:next w:val="Normal"/>
    <w:rsid w:val="0021504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150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15047"/>
    <w:pPr>
      <w:keepNext/>
      <w:spacing w:before="360" w:after="120"/>
      <w:jc w:val="center"/>
    </w:pPr>
  </w:style>
  <w:style w:type="paragraph" w:customStyle="1" w:styleId="Tabletext">
    <w:name w:val="Table_text"/>
    <w:basedOn w:val="Normal"/>
    <w:rsid w:val="0021504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15047"/>
    <w:pPr>
      <w:tabs>
        <w:tab w:val="clear" w:pos="1191"/>
        <w:tab w:val="clear" w:pos="1588"/>
        <w:tab w:val="clear" w:pos="1985"/>
        <w:tab w:val="center" w:pos="4820"/>
        <w:tab w:val="right" w:pos="9639"/>
      </w:tabs>
    </w:pPr>
  </w:style>
  <w:style w:type="paragraph" w:customStyle="1" w:styleId="Equationlegend">
    <w:name w:val="Equation_legend"/>
    <w:basedOn w:val="NormalIndent"/>
    <w:rsid w:val="0021504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15047"/>
    <w:pPr>
      <w:ind w:left="794"/>
    </w:pPr>
  </w:style>
  <w:style w:type="paragraph" w:customStyle="1" w:styleId="Figurelegend">
    <w:name w:val="Figure_legend"/>
    <w:basedOn w:val="Normal"/>
    <w:rsid w:val="0021504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15047"/>
    <w:pPr>
      <w:keepNext/>
      <w:keepLines/>
      <w:spacing w:before="480" w:after="80"/>
      <w:jc w:val="center"/>
    </w:pPr>
    <w:rPr>
      <w:caps/>
      <w:sz w:val="18"/>
    </w:rPr>
  </w:style>
  <w:style w:type="paragraph" w:customStyle="1" w:styleId="tocpart">
    <w:name w:val="tocpart"/>
    <w:basedOn w:val="Normal"/>
    <w:rsid w:val="0021504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15047"/>
    <w:pPr>
      <w:keepNext/>
      <w:keepLines/>
      <w:spacing w:before="480"/>
      <w:jc w:val="center"/>
    </w:pPr>
    <w:rPr>
      <w:sz w:val="28"/>
    </w:rPr>
  </w:style>
  <w:style w:type="paragraph" w:customStyle="1" w:styleId="Arttitle">
    <w:name w:val="Art_title"/>
    <w:basedOn w:val="Normal"/>
    <w:next w:val="Normalaftertitle"/>
    <w:rsid w:val="00215047"/>
    <w:pPr>
      <w:keepNext/>
      <w:keepLines/>
      <w:spacing w:before="240"/>
      <w:jc w:val="center"/>
    </w:pPr>
    <w:rPr>
      <w:b/>
      <w:sz w:val="28"/>
    </w:rPr>
  </w:style>
  <w:style w:type="paragraph" w:customStyle="1" w:styleId="Blanc">
    <w:name w:val="Blanc"/>
    <w:basedOn w:val="Normal"/>
    <w:next w:val="Tabletext"/>
    <w:rsid w:val="0021504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1504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15047"/>
    <w:pPr>
      <w:keepNext/>
      <w:keepLines/>
      <w:spacing w:before="160"/>
      <w:ind w:left="794"/>
    </w:pPr>
    <w:rPr>
      <w:i/>
    </w:rPr>
  </w:style>
  <w:style w:type="paragraph" w:customStyle="1" w:styleId="ChapNo">
    <w:name w:val="Chap_No"/>
    <w:basedOn w:val="ArtNo"/>
    <w:next w:val="Chaptitle"/>
    <w:rsid w:val="00215047"/>
    <w:rPr>
      <w:b/>
    </w:rPr>
  </w:style>
  <w:style w:type="paragraph" w:customStyle="1" w:styleId="Chaptitle">
    <w:name w:val="Chap_title"/>
    <w:basedOn w:val="Arttitle"/>
    <w:next w:val="Normalaftertitle"/>
    <w:rsid w:val="00215047"/>
  </w:style>
  <w:style w:type="character" w:styleId="FootnoteReference">
    <w:name w:val="footnote reference"/>
    <w:basedOn w:val="DefaultParagraphFont"/>
    <w:semiHidden/>
    <w:rsid w:val="00215047"/>
    <w:rPr>
      <w:position w:val="6"/>
      <w:sz w:val="18"/>
    </w:rPr>
  </w:style>
  <w:style w:type="paragraph" w:styleId="FootnoteText">
    <w:name w:val="footnote text"/>
    <w:basedOn w:val="Normal"/>
    <w:semiHidden/>
    <w:rsid w:val="00215047"/>
    <w:pPr>
      <w:keepLines/>
      <w:tabs>
        <w:tab w:val="left" w:pos="255"/>
      </w:tabs>
      <w:ind w:left="255" w:hanging="255"/>
    </w:pPr>
    <w:rPr>
      <w:sz w:val="22"/>
    </w:rPr>
  </w:style>
  <w:style w:type="paragraph" w:styleId="Index1">
    <w:name w:val="index 1"/>
    <w:basedOn w:val="Normal"/>
    <w:next w:val="Normal"/>
    <w:semiHidden/>
    <w:rsid w:val="00215047"/>
  </w:style>
  <w:style w:type="paragraph" w:styleId="Index2">
    <w:name w:val="index 2"/>
    <w:basedOn w:val="Normal"/>
    <w:next w:val="Normal"/>
    <w:semiHidden/>
    <w:rsid w:val="00215047"/>
    <w:pPr>
      <w:ind w:left="283"/>
    </w:pPr>
  </w:style>
  <w:style w:type="paragraph" w:styleId="Index3">
    <w:name w:val="index 3"/>
    <w:basedOn w:val="Normal"/>
    <w:next w:val="Normal"/>
    <w:semiHidden/>
    <w:rsid w:val="00215047"/>
    <w:pPr>
      <w:ind w:left="566"/>
    </w:pPr>
  </w:style>
  <w:style w:type="paragraph" w:styleId="IndexHeading">
    <w:name w:val="index heading"/>
    <w:basedOn w:val="Normal"/>
    <w:next w:val="Index1"/>
    <w:semiHidden/>
    <w:rsid w:val="00215047"/>
  </w:style>
  <w:style w:type="paragraph" w:customStyle="1" w:styleId="Line">
    <w:name w:val="Line"/>
    <w:basedOn w:val="Normal"/>
    <w:next w:val="Normal"/>
    <w:rsid w:val="0021504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1504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15047"/>
  </w:style>
  <w:style w:type="paragraph" w:customStyle="1" w:styleId="Partref">
    <w:name w:val="Part_ref"/>
    <w:basedOn w:val="Normal"/>
    <w:next w:val="Normal"/>
    <w:rsid w:val="00215047"/>
    <w:pPr>
      <w:keepNext/>
      <w:keepLines/>
      <w:spacing w:after="280"/>
      <w:jc w:val="center"/>
    </w:pPr>
  </w:style>
  <w:style w:type="paragraph" w:customStyle="1" w:styleId="Parttitle">
    <w:name w:val="Part_title"/>
    <w:basedOn w:val="Normal"/>
    <w:next w:val="Normalaftertitle"/>
    <w:rsid w:val="0021504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15047"/>
  </w:style>
  <w:style w:type="paragraph" w:customStyle="1" w:styleId="QuestionNo">
    <w:name w:val="Question_No"/>
    <w:basedOn w:val="RecNo"/>
    <w:next w:val="Normal"/>
    <w:rsid w:val="00215047"/>
  </w:style>
  <w:style w:type="paragraph" w:customStyle="1" w:styleId="Questionref">
    <w:name w:val="Question_ref"/>
    <w:basedOn w:val="Recref"/>
    <w:next w:val="Questiondate"/>
    <w:rsid w:val="00215047"/>
  </w:style>
  <w:style w:type="paragraph" w:customStyle="1" w:styleId="Questiontitle">
    <w:name w:val="Question_title"/>
    <w:basedOn w:val="Normal"/>
    <w:next w:val="Questionref"/>
    <w:rsid w:val="00215047"/>
  </w:style>
  <w:style w:type="paragraph" w:customStyle="1" w:styleId="Reftext">
    <w:name w:val="Ref_text"/>
    <w:basedOn w:val="Normal"/>
    <w:rsid w:val="00215047"/>
    <w:pPr>
      <w:ind w:left="794" w:hanging="794"/>
    </w:pPr>
    <w:rPr>
      <w:sz w:val="22"/>
    </w:rPr>
  </w:style>
  <w:style w:type="paragraph" w:customStyle="1" w:styleId="Reftitle">
    <w:name w:val="Ref_title"/>
    <w:basedOn w:val="Normal"/>
    <w:next w:val="Reftext"/>
    <w:rsid w:val="0021504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15047"/>
  </w:style>
  <w:style w:type="paragraph" w:customStyle="1" w:styleId="RepNo">
    <w:name w:val="Rep_No"/>
    <w:basedOn w:val="RecNo"/>
    <w:next w:val="Reptitle"/>
    <w:rsid w:val="00215047"/>
  </w:style>
  <w:style w:type="paragraph" w:customStyle="1" w:styleId="Repref">
    <w:name w:val="Rep_ref"/>
    <w:basedOn w:val="Recref"/>
    <w:next w:val="Repdate"/>
    <w:rsid w:val="00215047"/>
  </w:style>
  <w:style w:type="paragraph" w:customStyle="1" w:styleId="Reptitle">
    <w:name w:val="Rep_title"/>
    <w:basedOn w:val="Rectitle"/>
    <w:next w:val="Repref"/>
    <w:rsid w:val="00215047"/>
  </w:style>
  <w:style w:type="paragraph" w:customStyle="1" w:styleId="Resdate">
    <w:name w:val="Res_date"/>
    <w:basedOn w:val="Recdate"/>
    <w:next w:val="Normalaftertitle"/>
    <w:rsid w:val="00215047"/>
  </w:style>
  <w:style w:type="paragraph" w:customStyle="1" w:styleId="ResNo">
    <w:name w:val="Res_No"/>
    <w:basedOn w:val="RecNo"/>
    <w:next w:val="Restitle"/>
    <w:rsid w:val="00215047"/>
  </w:style>
  <w:style w:type="paragraph" w:customStyle="1" w:styleId="Resref">
    <w:name w:val="Res_ref"/>
    <w:basedOn w:val="Recref"/>
    <w:next w:val="Resdate"/>
    <w:rsid w:val="00215047"/>
  </w:style>
  <w:style w:type="paragraph" w:customStyle="1" w:styleId="Restitle">
    <w:name w:val="Res_title"/>
    <w:basedOn w:val="Normal"/>
    <w:next w:val="Resref"/>
    <w:rsid w:val="00215047"/>
    <w:pPr>
      <w:spacing w:before="240"/>
      <w:jc w:val="center"/>
    </w:pPr>
    <w:rPr>
      <w:b/>
      <w:sz w:val="28"/>
    </w:rPr>
  </w:style>
  <w:style w:type="paragraph" w:customStyle="1" w:styleId="SectionNo">
    <w:name w:val="Section_No"/>
    <w:basedOn w:val="Normal"/>
    <w:next w:val="Normal"/>
    <w:rsid w:val="00215047"/>
  </w:style>
  <w:style w:type="paragraph" w:customStyle="1" w:styleId="Sectiontitle">
    <w:name w:val="Section_title"/>
    <w:basedOn w:val="Normal"/>
    <w:next w:val="Normalaftertitle"/>
    <w:rsid w:val="0021504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15047"/>
    <w:pPr>
      <w:tabs>
        <w:tab w:val="clear" w:pos="794"/>
        <w:tab w:val="clear" w:pos="1191"/>
        <w:tab w:val="clear" w:pos="1588"/>
        <w:tab w:val="clear" w:pos="1985"/>
        <w:tab w:val="right" w:pos="9611"/>
      </w:tabs>
    </w:pPr>
    <w:rPr>
      <w:i/>
    </w:rPr>
  </w:style>
  <w:style w:type="paragraph" w:styleId="TOC1">
    <w:name w:val="toc 1"/>
    <w:basedOn w:val="Normal"/>
    <w:semiHidden/>
    <w:rsid w:val="0021504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15047"/>
    <w:pPr>
      <w:tabs>
        <w:tab w:val="clear" w:pos="567"/>
        <w:tab w:val="left" w:pos="1276"/>
      </w:tabs>
      <w:spacing w:before="160"/>
      <w:ind w:left="1276" w:hanging="709"/>
    </w:pPr>
  </w:style>
  <w:style w:type="paragraph" w:styleId="TOC3">
    <w:name w:val="toc 3"/>
    <w:basedOn w:val="TOC2"/>
    <w:semiHidden/>
    <w:rsid w:val="00215047"/>
    <w:pPr>
      <w:tabs>
        <w:tab w:val="clear" w:pos="1276"/>
        <w:tab w:val="left" w:pos="2155"/>
      </w:tabs>
      <w:ind w:left="2155" w:hanging="879"/>
    </w:pPr>
  </w:style>
  <w:style w:type="paragraph" w:styleId="TOC4">
    <w:name w:val="toc 4"/>
    <w:basedOn w:val="TOC3"/>
    <w:semiHidden/>
    <w:rsid w:val="00215047"/>
    <w:pPr>
      <w:tabs>
        <w:tab w:val="left" w:pos="3261"/>
      </w:tabs>
      <w:spacing w:before="80"/>
      <w:ind w:left="3261" w:hanging="993"/>
    </w:pPr>
  </w:style>
  <w:style w:type="paragraph" w:styleId="TOC5">
    <w:name w:val="toc 5"/>
    <w:basedOn w:val="TOC4"/>
    <w:semiHidden/>
    <w:rsid w:val="00215047"/>
  </w:style>
  <w:style w:type="paragraph" w:styleId="TOC6">
    <w:name w:val="toc 6"/>
    <w:basedOn w:val="TOC4"/>
    <w:semiHidden/>
    <w:rsid w:val="00215047"/>
  </w:style>
  <w:style w:type="paragraph" w:styleId="TOC7">
    <w:name w:val="toc 7"/>
    <w:basedOn w:val="TOC4"/>
    <w:semiHidden/>
    <w:rsid w:val="00215047"/>
  </w:style>
  <w:style w:type="paragraph" w:styleId="TOC8">
    <w:name w:val="toc 8"/>
    <w:basedOn w:val="TOC4"/>
    <w:semiHidden/>
    <w:rsid w:val="00215047"/>
  </w:style>
  <w:style w:type="paragraph" w:customStyle="1" w:styleId="Rectitle">
    <w:name w:val="Rec_title"/>
    <w:basedOn w:val="Normal"/>
    <w:next w:val="Recref"/>
    <w:link w:val="Rectitle0"/>
    <w:rsid w:val="00215047"/>
    <w:pPr>
      <w:keepNext/>
      <w:keepLines/>
      <w:spacing w:before="240"/>
      <w:jc w:val="center"/>
    </w:pPr>
    <w:rPr>
      <w:b/>
      <w:sz w:val="28"/>
    </w:rPr>
  </w:style>
  <w:style w:type="paragraph" w:customStyle="1" w:styleId="Annexref">
    <w:name w:val="Annex_ref"/>
    <w:basedOn w:val="Normal"/>
    <w:next w:val="Normalaftertitle"/>
    <w:rsid w:val="00215047"/>
    <w:pPr>
      <w:keepNext/>
      <w:keepLines/>
      <w:spacing w:after="280"/>
      <w:jc w:val="center"/>
    </w:pPr>
  </w:style>
  <w:style w:type="paragraph" w:customStyle="1" w:styleId="Appendixref">
    <w:name w:val="Appendix_ref"/>
    <w:basedOn w:val="Annexref"/>
    <w:next w:val="Normalaftertitle"/>
    <w:rsid w:val="00215047"/>
  </w:style>
  <w:style w:type="paragraph" w:customStyle="1" w:styleId="Figuretitle">
    <w:name w:val="Figure_title"/>
    <w:basedOn w:val="Normal"/>
    <w:next w:val="Figure"/>
    <w:rsid w:val="0021504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15047"/>
    <w:pPr>
      <w:keepNext/>
      <w:spacing w:before="0" w:after="120"/>
      <w:jc w:val="center"/>
    </w:pPr>
    <w:rPr>
      <w:b/>
    </w:rPr>
  </w:style>
  <w:style w:type="paragraph" w:customStyle="1" w:styleId="Summary">
    <w:name w:val="Summary"/>
    <w:basedOn w:val="Normal"/>
    <w:next w:val="Normalaftertitle"/>
    <w:autoRedefine/>
    <w:rsid w:val="00215047"/>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215047"/>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215047"/>
    <w:pPr>
      <w:ind w:left="-85" w:firstLine="0"/>
    </w:pPr>
    <w:rPr>
      <w:lang w:val="en-US"/>
    </w:rPr>
  </w:style>
  <w:style w:type="character" w:customStyle="1" w:styleId="Rectitle0">
    <w:name w:val="Rec_title Знак"/>
    <w:link w:val="Rectitle"/>
    <w:locked/>
    <w:rsid w:val="00215047"/>
    <w:rPr>
      <w:b/>
      <w:sz w:val="28"/>
      <w:lang w:val="fr-FR" w:eastAsia="en-US"/>
    </w:rPr>
  </w:style>
  <w:style w:type="paragraph" w:customStyle="1" w:styleId="Reasons">
    <w:name w:val="Reasons"/>
    <w:basedOn w:val="Normal"/>
    <w:qFormat/>
    <w:rsid w:val="00215047"/>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TotalTime>
  <Pages>5</Pages>
  <Words>1826</Words>
  <Characters>10069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11872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8</cp:revision>
  <cp:lastPrinted>2018-05-14T07:49:00Z</cp:lastPrinted>
  <dcterms:created xsi:type="dcterms:W3CDTF">2018-05-14T07:19:00Z</dcterms:created>
  <dcterms:modified xsi:type="dcterms:W3CDTF">2018-05-14T07:54:00Z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