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p w:rsidR="00F43BC1" w:rsidRDefault="00F43BC1" w:rsidP="00F43BC1"/>
    <w:tbl>
      <w:tblPr>
        <w:tblW w:w="10089" w:type="dxa"/>
        <w:tblLook w:val="01E0" w:firstRow="1" w:lastRow="1" w:firstColumn="1" w:lastColumn="1" w:noHBand="0" w:noVBand="0"/>
      </w:tblPr>
      <w:tblGrid>
        <w:gridCol w:w="10089"/>
      </w:tblGrid>
      <w:tr w:rsidR="00F43BC1" w:rsidRPr="00A443C2" w:rsidTr="002C14E3">
        <w:tc>
          <w:tcPr>
            <w:tcW w:w="10089" w:type="dxa"/>
          </w:tcPr>
          <w:p w:rsidR="00F43BC1" w:rsidRPr="00B033C8" w:rsidRDefault="00F43BC1" w:rsidP="002C14E3">
            <w:pPr>
              <w:spacing w:before="380" w:line="280" w:lineRule="exact"/>
              <w:jc w:val="right"/>
              <w:rPr>
                <w:rFonts w:ascii="Tahoma" w:hAnsi="Tahoma" w:cs="Tahoma"/>
                <w:b/>
                <w:bCs/>
                <w:iCs/>
                <w:color w:val="243285"/>
                <w:sz w:val="32"/>
                <w:szCs w:val="32"/>
                <w:lang w:val="en-US"/>
              </w:rPr>
            </w:pPr>
          </w:p>
          <w:p w:rsidR="00F43BC1" w:rsidRPr="00A443C2" w:rsidRDefault="00F43BC1" w:rsidP="00572C2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sidR="00572C22">
              <w:rPr>
                <w:rFonts w:ascii="Tahoma" w:hAnsi="Tahoma" w:cs="Tahoma"/>
                <w:b/>
                <w:bCs/>
                <w:iCs/>
                <w:color w:val="243285"/>
                <w:sz w:val="36"/>
                <w:szCs w:val="36"/>
              </w:rPr>
              <w:t>1810-1</w:t>
            </w:r>
          </w:p>
          <w:p w:rsidR="00F43BC1" w:rsidRPr="00A443C2" w:rsidRDefault="00F43BC1" w:rsidP="00572C2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572C22">
              <w:rPr>
                <w:rFonts w:ascii="Tahoma" w:hAnsi="Tahoma" w:cs="Tahoma"/>
                <w:b/>
                <w:bCs/>
                <w:iCs/>
                <w:color w:val="243285"/>
                <w:szCs w:val="24"/>
              </w:rPr>
              <w:t>07</w:t>
            </w:r>
            <w:r w:rsidRPr="00A443C2">
              <w:rPr>
                <w:rFonts w:ascii="Tahoma" w:hAnsi="Tahoma" w:cs="Tahoma"/>
                <w:b/>
                <w:bCs/>
                <w:iCs/>
                <w:color w:val="243285"/>
                <w:szCs w:val="24"/>
              </w:rPr>
              <w:t>/</w:t>
            </w:r>
            <w:r w:rsidR="00751F87">
              <w:rPr>
                <w:rFonts w:ascii="Tahoma" w:hAnsi="Tahoma" w:cs="Tahoma"/>
                <w:b/>
                <w:bCs/>
                <w:iCs/>
                <w:color w:val="243285"/>
                <w:szCs w:val="24"/>
              </w:rPr>
              <w:t>20</w:t>
            </w:r>
            <w:r w:rsidR="00572C22">
              <w:rPr>
                <w:rFonts w:ascii="Tahoma" w:hAnsi="Tahoma" w:cs="Tahoma"/>
                <w:b/>
                <w:bCs/>
                <w:iCs/>
                <w:color w:val="243285"/>
                <w:szCs w:val="24"/>
              </w:rPr>
              <w:t>17</w:t>
            </w:r>
            <w:r w:rsidRPr="00A443C2">
              <w:rPr>
                <w:rFonts w:ascii="Tahoma" w:hAnsi="Tahoma" w:cs="Tahoma"/>
                <w:b/>
                <w:bCs/>
                <w:iCs/>
                <w:color w:val="243285"/>
                <w:szCs w:val="24"/>
              </w:rPr>
              <w:t>)</w:t>
            </w:r>
          </w:p>
        </w:tc>
      </w:tr>
      <w:tr w:rsidR="00F43BC1" w:rsidRPr="00F54FBD" w:rsidTr="002C14E3">
        <w:tc>
          <w:tcPr>
            <w:tcW w:w="10089" w:type="dxa"/>
          </w:tcPr>
          <w:p w:rsidR="00F43BC1" w:rsidRDefault="00F43BC1" w:rsidP="002C14E3">
            <w:pPr>
              <w:spacing w:before="80" w:line="500" w:lineRule="exact"/>
              <w:jc w:val="right"/>
              <w:rPr>
                <w:rFonts w:ascii="Tahoma" w:hAnsi="Tahoma" w:cs="Tahoma"/>
                <w:b/>
                <w:bCs/>
                <w:iCs/>
                <w:color w:val="243285"/>
                <w:sz w:val="44"/>
                <w:szCs w:val="44"/>
              </w:rPr>
            </w:pPr>
          </w:p>
          <w:p w:rsidR="00F43BC1" w:rsidRDefault="00572C22" w:rsidP="00572C22">
            <w:pPr>
              <w:spacing w:before="80" w:line="500" w:lineRule="exact"/>
              <w:jc w:val="right"/>
              <w:rPr>
                <w:rFonts w:ascii="Tahoma" w:hAnsi="Tahoma" w:cs="Tahoma"/>
                <w:b/>
                <w:bCs/>
                <w:iCs/>
                <w:color w:val="243285"/>
                <w:sz w:val="44"/>
                <w:szCs w:val="44"/>
              </w:rPr>
            </w:pPr>
            <w:r w:rsidRPr="00572C22">
              <w:rPr>
                <w:rFonts w:ascii="Tahoma" w:hAnsi="Tahoma" w:cs="Tahoma"/>
                <w:b/>
                <w:bCs/>
                <w:iCs/>
                <w:color w:val="243285"/>
                <w:sz w:val="44"/>
                <w:szCs w:val="44"/>
              </w:rPr>
              <w:t>Lignes directrices concernant la conception des systèmes du service</w:t>
            </w:r>
            <w:r>
              <w:rPr>
                <w:rFonts w:ascii="Tahoma" w:hAnsi="Tahoma" w:cs="Tahoma"/>
                <w:b/>
                <w:bCs/>
                <w:iCs/>
                <w:color w:val="243285"/>
                <w:sz w:val="44"/>
                <w:szCs w:val="44"/>
              </w:rPr>
              <w:t xml:space="preserve"> </w:t>
            </w:r>
            <w:r w:rsidRPr="00572C22">
              <w:rPr>
                <w:rFonts w:ascii="Tahoma" w:hAnsi="Tahoma" w:cs="Tahoma"/>
                <w:b/>
                <w:bCs/>
                <w:iCs/>
                <w:color w:val="243285"/>
                <w:sz w:val="44"/>
                <w:szCs w:val="44"/>
              </w:rPr>
              <w:t>d'exploration de la Terre par satellite fonctionnant</w:t>
            </w:r>
            <w:r>
              <w:rPr>
                <w:rFonts w:ascii="Tahoma" w:hAnsi="Tahoma" w:cs="Tahoma"/>
                <w:b/>
                <w:bCs/>
                <w:iCs/>
                <w:color w:val="243285"/>
                <w:sz w:val="44"/>
                <w:szCs w:val="44"/>
              </w:rPr>
              <w:t xml:space="preserve"> </w:t>
            </w:r>
            <w:r w:rsidRPr="00572C22">
              <w:rPr>
                <w:rFonts w:ascii="Tahoma" w:hAnsi="Tahoma" w:cs="Tahoma"/>
                <w:b/>
                <w:bCs/>
                <w:iCs/>
                <w:color w:val="243285"/>
                <w:sz w:val="44"/>
                <w:szCs w:val="44"/>
              </w:rPr>
              <w:t>dans la bande 8 025-8 400 MHz</w:t>
            </w:r>
          </w:p>
          <w:p w:rsidR="00F43BC1" w:rsidRPr="00F54FBD" w:rsidRDefault="00F43BC1" w:rsidP="002C14E3">
            <w:pPr>
              <w:spacing w:before="80" w:line="500" w:lineRule="exact"/>
              <w:jc w:val="right"/>
              <w:rPr>
                <w:rFonts w:ascii="Tahoma" w:hAnsi="Tahoma" w:cs="Tahoma"/>
                <w:b/>
                <w:bCs/>
                <w:iCs/>
                <w:color w:val="243285"/>
                <w:sz w:val="44"/>
                <w:szCs w:val="44"/>
              </w:rPr>
            </w:pPr>
          </w:p>
        </w:tc>
      </w:tr>
      <w:tr w:rsidR="00F43BC1" w:rsidRPr="00F54FBD" w:rsidTr="002C14E3">
        <w:tc>
          <w:tcPr>
            <w:tcW w:w="10089" w:type="dxa"/>
          </w:tcPr>
          <w:p w:rsidR="00F43BC1" w:rsidRPr="00F54FBD" w:rsidRDefault="00F43BC1" w:rsidP="002C14E3">
            <w:pPr>
              <w:spacing w:before="80" w:line="280" w:lineRule="exact"/>
              <w:ind w:right="640"/>
              <w:rPr>
                <w:rFonts w:ascii="Tahoma" w:hAnsi="Tahoma" w:cs="Tahoma"/>
                <w:b/>
                <w:bCs/>
                <w:iCs/>
                <w:color w:val="243285"/>
                <w:sz w:val="32"/>
                <w:szCs w:val="32"/>
              </w:rPr>
            </w:pPr>
          </w:p>
          <w:p w:rsidR="00F43BC1" w:rsidRPr="00F54FBD" w:rsidRDefault="00F43BC1" w:rsidP="002C14E3">
            <w:pPr>
              <w:spacing w:before="80" w:line="280" w:lineRule="exact"/>
              <w:ind w:right="640"/>
              <w:rPr>
                <w:rFonts w:ascii="Tahoma" w:hAnsi="Tahoma" w:cs="Tahoma"/>
                <w:b/>
                <w:bCs/>
                <w:iCs/>
                <w:color w:val="243285"/>
                <w:sz w:val="32"/>
                <w:szCs w:val="32"/>
              </w:rPr>
            </w:pPr>
          </w:p>
          <w:p w:rsidR="00F43BC1" w:rsidRPr="00F54FBD" w:rsidRDefault="00F43BC1" w:rsidP="002C14E3">
            <w:pPr>
              <w:spacing w:before="80" w:after="180" w:line="360" w:lineRule="exact"/>
              <w:ind w:right="720"/>
              <w:rPr>
                <w:rFonts w:ascii="Tahoma" w:hAnsi="Tahoma" w:cs="Tahoma"/>
                <w:b/>
                <w:bCs/>
                <w:iCs/>
                <w:color w:val="243285"/>
                <w:sz w:val="36"/>
                <w:szCs w:val="36"/>
              </w:rPr>
            </w:pPr>
          </w:p>
          <w:p w:rsidR="00F43BC1" w:rsidRPr="00F54FBD" w:rsidRDefault="00F43BC1" w:rsidP="002C14E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F43BC1" w:rsidRPr="00F54FBD" w:rsidRDefault="00F43BC1" w:rsidP="002C14E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F43BC1" w:rsidRPr="00F54FBD" w:rsidRDefault="00F43BC1" w:rsidP="00F43BC1">
      <w:pPr>
        <w:spacing w:before="80"/>
        <w:rPr>
          <w:i/>
          <w:sz w:val="22"/>
        </w:rPr>
      </w:pPr>
    </w:p>
    <w:p w:rsidR="00F43BC1" w:rsidRPr="00F54FBD" w:rsidRDefault="00F43BC1" w:rsidP="00F43BC1">
      <w:pPr>
        <w:spacing w:before="80"/>
        <w:rPr>
          <w:i/>
          <w:sz w:val="22"/>
        </w:rPr>
      </w:pPr>
    </w:p>
    <w:p w:rsidR="00F43BC1" w:rsidRPr="00F54FBD" w:rsidRDefault="00F43BC1" w:rsidP="00F43BC1">
      <w:pPr>
        <w:spacing w:before="80"/>
        <w:rPr>
          <w:i/>
          <w:sz w:val="22"/>
        </w:rPr>
      </w:pPr>
    </w:p>
    <w:p w:rsidR="00F43BC1" w:rsidRPr="00F54FBD" w:rsidRDefault="00F43BC1" w:rsidP="00F43BC1">
      <w:pPr>
        <w:spacing w:before="80"/>
        <w:rPr>
          <w:i/>
          <w:sz w:val="22"/>
        </w:rPr>
      </w:pPr>
    </w:p>
    <w:p w:rsidR="00F43BC1" w:rsidRPr="00F54FBD" w:rsidRDefault="00F43BC1" w:rsidP="00F43BC1">
      <w:pPr>
        <w:spacing w:before="80"/>
        <w:rPr>
          <w:i/>
          <w:sz w:val="22"/>
        </w:rPr>
      </w:pPr>
    </w:p>
    <w:p w:rsidR="00F43BC1" w:rsidRPr="00F54FBD" w:rsidRDefault="00F43BC1" w:rsidP="00F43BC1">
      <w:pPr>
        <w:spacing w:before="80"/>
        <w:rPr>
          <w:i/>
          <w:sz w:val="22"/>
        </w:rPr>
      </w:pPr>
    </w:p>
    <w:p w:rsidR="00F43BC1" w:rsidRPr="00F54FBD" w:rsidRDefault="00F43BC1" w:rsidP="00F43BC1">
      <w:pPr>
        <w:pStyle w:val="Equation"/>
        <w:tabs>
          <w:tab w:val="clear" w:pos="4820"/>
          <w:tab w:val="clear" w:pos="9639"/>
          <w:tab w:val="left" w:pos="1191"/>
          <w:tab w:val="left" w:pos="1588"/>
          <w:tab w:val="left" w:pos="1985"/>
        </w:tabs>
        <w:rPr>
          <w:rFonts w:ascii="Palatino Linotype" w:hAnsi="Palatino Linotype"/>
        </w:rPr>
        <w:sectPr w:rsidR="00F43BC1" w:rsidRPr="00F54FBD">
          <w:headerReference w:type="even" r:id="rId6"/>
          <w:headerReference w:type="default" r:id="rId7"/>
          <w:pgSz w:w="11907" w:h="16840" w:code="9"/>
          <w:pgMar w:top="1089" w:right="1089" w:bottom="284" w:left="1089" w:header="567" w:footer="284" w:gutter="0"/>
          <w:pgNumType w:start="1"/>
          <w:cols w:space="720"/>
        </w:sectPr>
      </w:pPr>
    </w:p>
    <w:p w:rsidR="00F43BC1" w:rsidRPr="00F54FBD" w:rsidRDefault="00F43BC1" w:rsidP="00F43B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43BC1" w:rsidRPr="00F54FBD" w:rsidRDefault="00F43BC1" w:rsidP="00F43BC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43BC1" w:rsidRPr="00F54FBD" w:rsidRDefault="00F43BC1" w:rsidP="00F43BC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43BC1" w:rsidRPr="00E44CBB" w:rsidRDefault="00F43BC1" w:rsidP="00F43BC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43BC1" w:rsidRPr="00E44CBB" w:rsidRDefault="00F43BC1" w:rsidP="00F43BC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43BC1" w:rsidRPr="0086089D" w:rsidRDefault="00F43BC1" w:rsidP="00F43BC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43BC1" w:rsidRPr="009454F8" w:rsidTr="002C14E3">
        <w:tc>
          <w:tcPr>
            <w:tcW w:w="9360" w:type="dxa"/>
            <w:gridSpan w:val="2"/>
          </w:tcPr>
          <w:p w:rsidR="00F43BC1" w:rsidRPr="009454F8" w:rsidRDefault="00F43BC1" w:rsidP="002C14E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43BC1" w:rsidRPr="009454F8" w:rsidRDefault="00F43BC1" w:rsidP="002C1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F43BC1" w:rsidRPr="00036EE3" w:rsidTr="002C14E3">
        <w:tc>
          <w:tcPr>
            <w:tcW w:w="1140" w:type="dxa"/>
            <w:tcBorders>
              <w:bottom w:val="nil"/>
            </w:tcBorders>
          </w:tcPr>
          <w:p w:rsidR="00F43BC1" w:rsidRPr="00614CC6" w:rsidRDefault="00F43BC1" w:rsidP="002C14E3">
            <w:pPr>
              <w:spacing w:before="90" w:after="100"/>
              <w:ind w:left="57"/>
              <w:rPr>
                <w:b/>
                <w:bCs/>
                <w:sz w:val="20"/>
                <w:lang w:val="en-US"/>
              </w:rPr>
            </w:pPr>
            <w:r w:rsidRPr="00614CC6">
              <w:rPr>
                <w:b/>
                <w:bCs/>
                <w:sz w:val="20"/>
                <w:lang w:val="en-US"/>
              </w:rPr>
              <w:t>Séries</w:t>
            </w:r>
          </w:p>
        </w:tc>
        <w:tc>
          <w:tcPr>
            <w:tcW w:w="8220" w:type="dxa"/>
            <w:tcBorders>
              <w:bottom w:val="nil"/>
            </w:tcBorders>
          </w:tcPr>
          <w:p w:rsidR="00F43BC1" w:rsidRPr="00614CC6" w:rsidRDefault="00F43BC1" w:rsidP="002C1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43BC1" w:rsidRPr="005E427C" w:rsidTr="002C14E3">
        <w:tc>
          <w:tcPr>
            <w:tcW w:w="1140" w:type="dxa"/>
            <w:tcBorders>
              <w:top w:val="nil"/>
              <w:bottom w:val="nil"/>
            </w:tcBorders>
            <w:shd w:val="clear" w:color="auto" w:fill="auto"/>
          </w:tcPr>
          <w:p w:rsidR="00F43BC1" w:rsidRPr="005E427C" w:rsidRDefault="00F43BC1" w:rsidP="002C14E3">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43BC1" w:rsidRPr="005E427C" w:rsidRDefault="00F43BC1" w:rsidP="002C1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43BC1" w:rsidRPr="009454F8" w:rsidTr="002C14E3">
        <w:tc>
          <w:tcPr>
            <w:tcW w:w="1140" w:type="dxa"/>
            <w:tcBorders>
              <w:top w:val="nil"/>
              <w:bottom w:val="nil"/>
            </w:tcBorders>
          </w:tcPr>
          <w:p w:rsidR="00F43BC1" w:rsidRPr="00614CC6" w:rsidRDefault="00F43BC1" w:rsidP="002C14E3">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43BC1" w:rsidRPr="00614CC6" w:rsidRDefault="00F43BC1" w:rsidP="002C1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43BC1" w:rsidRPr="00E80F1D" w:rsidTr="002C14E3">
        <w:tc>
          <w:tcPr>
            <w:tcW w:w="1140" w:type="dxa"/>
            <w:tcBorders>
              <w:top w:val="nil"/>
              <w:bottom w:val="nil"/>
            </w:tcBorders>
            <w:shd w:val="clear" w:color="auto" w:fill="auto"/>
          </w:tcPr>
          <w:p w:rsidR="00F43BC1" w:rsidRPr="00E80F1D" w:rsidRDefault="00F43BC1" w:rsidP="002C14E3">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43BC1" w:rsidRPr="00E80F1D" w:rsidRDefault="00F43BC1" w:rsidP="002C1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43BC1" w:rsidRPr="00ED2695" w:rsidTr="002C14E3">
        <w:tc>
          <w:tcPr>
            <w:tcW w:w="1140" w:type="dxa"/>
            <w:tcBorders>
              <w:top w:val="nil"/>
              <w:bottom w:val="nil"/>
            </w:tcBorders>
            <w:shd w:val="clear" w:color="auto" w:fill="auto"/>
          </w:tcPr>
          <w:p w:rsidR="00F43BC1" w:rsidRPr="00614CC6" w:rsidRDefault="00F43BC1" w:rsidP="002C14E3">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43BC1" w:rsidRPr="00614CC6" w:rsidRDefault="00F43BC1" w:rsidP="002C1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43BC1" w:rsidRPr="00DE5EA2" w:rsidTr="002C14E3">
        <w:tc>
          <w:tcPr>
            <w:tcW w:w="1140" w:type="dxa"/>
            <w:tcBorders>
              <w:top w:val="nil"/>
              <w:bottom w:val="nil"/>
            </w:tcBorders>
            <w:shd w:val="clear" w:color="auto" w:fill="auto"/>
          </w:tcPr>
          <w:p w:rsidR="00F43BC1" w:rsidRPr="00DE5EA2" w:rsidRDefault="00F43BC1" w:rsidP="002C14E3">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43BC1" w:rsidRPr="00DE5EA2" w:rsidRDefault="00F43BC1" w:rsidP="002C14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43BC1" w:rsidRPr="00B21066" w:rsidTr="002C14E3">
        <w:tc>
          <w:tcPr>
            <w:tcW w:w="1140" w:type="dxa"/>
            <w:tcBorders>
              <w:top w:val="nil"/>
              <w:bottom w:val="nil"/>
            </w:tcBorders>
            <w:shd w:val="clear" w:color="auto" w:fill="auto"/>
          </w:tcPr>
          <w:p w:rsidR="00F43BC1" w:rsidRPr="00B21066" w:rsidRDefault="00F43BC1" w:rsidP="002C14E3">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43BC1" w:rsidRPr="00B21066" w:rsidRDefault="00F43BC1" w:rsidP="002C14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43BC1" w:rsidRPr="00EC361D" w:rsidTr="002C14E3">
        <w:tc>
          <w:tcPr>
            <w:tcW w:w="1140" w:type="dxa"/>
            <w:tcBorders>
              <w:top w:val="nil"/>
              <w:bottom w:val="nil"/>
            </w:tcBorders>
            <w:shd w:val="clear" w:color="auto" w:fill="auto"/>
          </w:tcPr>
          <w:p w:rsidR="00F43BC1" w:rsidRPr="00EC361D" w:rsidRDefault="00F43BC1" w:rsidP="002C14E3">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43BC1" w:rsidRPr="00EC361D" w:rsidRDefault="00F43BC1" w:rsidP="002C14E3">
            <w:pPr>
              <w:spacing w:before="30" w:after="30"/>
              <w:jc w:val="left"/>
              <w:rPr>
                <w:sz w:val="20"/>
                <w:lang w:val="fr-CH"/>
              </w:rPr>
            </w:pPr>
            <w:r w:rsidRPr="00EC361D">
              <w:rPr>
                <w:sz w:val="20"/>
              </w:rPr>
              <w:t>Propagation des ondes radioélectriques</w:t>
            </w:r>
          </w:p>
        </w:tc>
      </w:tr>
      <w:tr w:rsidR="00F43BC1" w:rsidRPr="004822EF" w:rsidTr="002C14E3">
        <w:tc>
          <w:tcPr>
            <w:tcW w:w="1140" w:type="dxa"/>
            <w:tcBorders>
              <w:top w:val="nil"/>
              <w:bottom w:val="nil"/>
            </w:tcBorders>
            <w:shd w:val="clear" w:color="auto" w:fill="auto"/>
          </w:tcPr>
          <w:p w:rsidR="00F43BC1" w:rsidRPr="004822EF" w:rsidRDefault="00F43BC1" w:rsidP="002C14E3">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43BC1" w:rsidRPr="004822EF" w:rsidRDefault="00F43BC1" w:rsidP="002C14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43BC1" w:rsidRPr="00326525" w:rsidTr="002C14E3">
        <w:tc>
          <w:tcPr>
            <w:tcW w:w="1140" w:type="dxa"/>
            <w:tcBorders>
              <w:top w:val="nil"/>
              <w:bottom w:val="nil"/>
            </w:tcBorders>
            <w:shd w:val="clear" w:color="auto" w:fill="auto"/>
          </w:tcPr>
          <w:p w:rsidR="00F43BC1" w:rsidRPr="00326525" w:rsidRDefault="00F43BC1" w:rsidP="002C14E3">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F43BC1" w:rsidRPr="00326525" w:rsidRDefault="00F43BC1" w:rsidP="002C14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43BC1" w:rsidRPr="00C40D3E" w:rsidTr="002C14E3">
        <w:tc>
          <w:tcPr>
            <w:tcW w:w="1140" w:type="dxa"/>
            <w:tcBorders>
              <w:top w:val="nil"/>
              <w:bottom w:val="nil"/>
            </w:tcBorders>
            <w:shd w:val="clear" w:color="auto" w:fill="auto"/>
          </w:tcPr>
          <w:p w:rsidR="00F43BC1" w:rsidRPr="00C40D3E" w:rsidRDefault="00F43BC1" w:rsidP="002C14E3">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F43BC1" w:rsidRPr="00C40D3E" w:rsidRDefault="00F43BC1" w:rsidP="002C14E3">
            <w:pPr>
              <w:spacing w:before="30" w:after="30"/>
              <w:jc w:val="left"/>
              <w:rPr>
                <w:sz w:val="20"/>
                <w:lang w:val="en-US"/>
              </w:rPr>
            </w:pPr>
            <w:r w:rsidRPr="00C40D3E">
              <w:rPr>
                <w:sz w:val="20"/>
              </w:rPr>
              <w:t>Service fixe par satellite</w:t>
            </w:r>
          </w:p>
        </w:tc>
      </w:tr>
      <w:tr w:rsidR="00F43BC1" w:rsidRPr="00C40D3E" w:rsidTr="002C14E3">
        <w:tc>
          <w:tcPr>
            <w:tcW w:w="1140" w:type="dxa"/>
            <w:tcBorders>
              <w:top w:val="nil"/>
              <w:bottom w:val="nil"/>
            </w:tcBorders>
            <w:shd w:val="clear" w:color="auto" w:fill="F3F3F3"/>
          </w:tcPr>
          <w:p w:rsidR="00F43BC1" w:rsidRPr="00C40D3E" w:rsidRDefault="00F43BC1" w:rsidP="002C14E3">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F43BC1" w:rsidRPr="00C40D3E" w:rsidRDefault="00F43BC1" w:rsidP="002C14E3">
            <w:pPr>
              <w:spacing w:before="30" w:after="30"/>
              <w:jc w:val="left"/>
              <w:rPr>
                <w:b/>
                <w:bCs/>
                <w:color w:val="000080"/>
                <w:sz w:val="20"/>
                <w:lang w:val="en-US"/>
              </w:rPr>
            </w:pPr>
            <w:r w:rsidRPr="00C40D3E">
              <w:rPr>
                <w:b/>
                <w:bCs/>
                <w:color w:val="000080"/>
                <w:sz w:val="20"/>
              </w:rPr>
              <w:t>Applications spatiales et météorologie</w:t>
            </w:r>
          </w:p>
        </w:tc>
      </w:tr>
      <w:tr w:rsidR="00F43BC1" w:rsidRPr="00614CC6" w:rsidTr="002C14E3">
        <w:tc>
          <w:tcPr>
            <w:tcW w:w="1140" w:type="dxa"/>
            <w:tcBorders>
              <w:top w:val="nil"/>
            </w:tcBorders>
          </w:tcPr>
          <w:p w:rsidR="00F43BC1" w:rsidRPr="00614CC6" w:rsidRDefault="00F43BC1" w:rsidP="002C14E3">
            <w:pPr>
              <w:spacing w:before="30" w:after="30"/>
              <w:ind w:left="57"/>
              <w:jc w:val="left"/>
              <w:rPr>
                <w:b/>
                <w:bCs/>
                <w:sz w:val="20"/>
                <w:lang w:val="en-US"/>
              </w:rPr>
            </w:pPr>
            <w:r w:rsidRPr="00614CC6">
              <w:rPr>
                <w:b/>
                <w:bCs/>
                <w:sz w:val="20"/>
                <w:lang w:val="en-US"/>
              </w:rPr>
              <w:t>SF</w:t>
            </w:r>
          </w:p>
        </w:tc>
        <w:tc>
          <w:tcPr>
            <w:tcW w:w="8220" w:type="dxa"/>
            <w:tcBorders>
              <w:top w:val="nil"/>
            </w:tcBorders>
          </w:tcPr>
          <w:p w:rsidR="00F43BC1" w:rsidRPr="00614CC6" w:rsidRDefault="00F43BC1" w:rsidP="002C14E3">
            <w:pPr>
              <w:spacing w:before="30" w:after="30"/>
              <w:jc w:val="left"/>
              <w:rPr>
                <w:sz w:val="20"/>
              </w:rPr>
            </w:pPr>
            <w:r w:rsidRPr="00614CC6">
              <w:rPr>
                <w:sz w:val="20"/>
              </w:rPr>
              <w:t>Partage des fréquences et coordination entre les systèmes du service fixe par satellite et du service fixe</w:t>
            </w:r>
          </w:p>
        </w:tc>
      </w:tr>
      <w:tr w:rsidR="00F43BC1" w:rsidRPr="00036EE3" w:rsidTr="002C14E3">
        <w:tc>
          <w:tcPr>
            <w:tcW w:w="1140" w:type="dxa"/>
            <w:shd w:val="clear" w:color="auto" w:fill="auto"/>
          </w:tcPr>
          <w:p w:rsidR="00F43BC1" w:rsidRPr="00592F9F" w:rsidRDefault="00F43BC1" w:rsidP="002C14E3">
            <w:pPr>
              <w:spacing w:before="30" w:after="30"/>
              <w:ind w:left="57"/>
              <w:jc w:val="left"/>
              <w:rPr>
                <w:b/>
                <w:bCs/>
                <w:sz w:val="20"/>
                <w:lang w:val="en-US"/>
              </w:rPr>
            </w:pPr>
            <w:r w:rsidRPr="00592F9F">
              <w:rPr>
                <w:b/>
                <w:bCs/>
                <w:sz w:val="20"/>
                <w:lang w:val="en-US"/>
              </w:rPr>
              <w:t>SM</w:t>
            </w:r>
          </w:p>
        </w:tc>
        <w:tc>
          <w:tcPr>
            <w:tcW w:w="8220" w:type="dxa"/>
            <w:shd w:val="clear" w:color="auto" w:fill="auto"/>
          </w:tcPr>
          <w:p w:rsidR="00F43BC1" w:rsidRPr="00592F9F" w:rsidRDefault="00F43BC1" w:rsidP="002C14E3">
            <w:pPr>
              <w:spacing w:before="30" w:after="30"/>
              <w:jc w:val="left"/>
              <w:rPr>
                <w:sz w:val="20"/>
                <w:lang w:val="en-US"/>
              </w:rPr>
            </w:pPr>
            <w:r w:rsidRPr="00592F9F">
              <w:rPr>
                <w:sz w:val="20"/>
              </w:rPr>
              <w:t>Gestion du spectre</w:t>
            </w:r>
          </w:p>
        </w:tc>
      </w:tr>
      <w:tr w:rsidR="00F43BC1" w:rsidRPr="00036EE3" w:rsidTr="002C14E3">
        <w:tc>
          <w:tcPr>
            <w:tcW w:w="1140" w:type="dxa"/>
          </w:tcPr>
          <w:p w:rsidR="00F43BC1" w:rsidRPr="00614CC6" w:rsidRDefault="00F43BC1" w:rsidP="002C14E3">
            <w:pPr>
              <w:spacing w:before="30" w:after="30"/>
              <w:ind w:left="57"/>
              <w:jc w:val="left"/>
              <w:rPr>
                <w:b/>
                <w:bCs/>
                <w:sz w:val="20"/>
                <w:lang w:val="en-US"/>
              </w:rPr>
            </w:pPr>
            <w:r w:rsidRPr="00614CC6">
              <w:rPr>
                <w:b/>
                <w:bCs/>
                <w:sz w:val="20"/>
                <w:lang w:val="en-US"/>
              </w:rPr>
              <w:t>SNG</w:t>
            </w:r>
          </w:p>
        </w:tc>
        <w:tc>
          <w:tcPr>
            <w:tcW w:w="8220" w:type="dxa"/>
          </w:tcPr>
          <w:p w:rsidR="00F43BC1" w:rsidRPr="00614CC6" w:rsidRDefault="00F43BC1" w:rsidP="002C14E3">
            <w:pPr>
              <w:spacing w:before="30" w:after="30"/>
              <w:jc w:val="left"/>
              <w:rPr>
                <w:sz w:val="20"/>
                <w:lang w:val="en-US"/>
              </w:rPr>
            </w:pPr>
            <w:r w:rsidRPr="00614CC6">
              <w:rPr>
                <w:sz w:val="20"/>
              </w:rPr>
              <w:t>Reportage d'actualités par satellite</w:t>
            </w:r>
          </w:p>
        </w:tc>
      </w:tr>
      <w:tr w:rsidR="00F43BC1" w:rsidRPr="00614CC6" w:rsidTr="002C14E3">
        <w:tc>
          <w:tcPr>
            <w:tcW w:w="1140" w:type="dxa"/>
          </w:tcPr>
          <w:p w:rsidR="00F43BC1" w:rsidRPr="00614CC6" w:rsidRDefault="00F43BC1" w:rsidP="002C14E3">
            <w:pPr>
              <w:spacing w:before="30" w:after="30"/>
              <w:ind w:left="57"/>
              <w:jc w:val="left"/>
              <w:rPr>
                <w:b/>
                <w:bCs/>
                <w:sz w:val="20"/>
                <w:lang w:val="en-US"/>
              </w:rPr>
            </w:pPr>
            <w:r w:rsidRPr="00614CC6">
              <w:rPr>
                <w:b/>
                <w:bCs/>
                <w:sz w:val="20"/>
                <w:lang w:val="en-US"/>
              </w:rPr>
              <w:t>TF</w:t>
            </w:r>
          </w:p>
        </w:tc>
        <w:tc>
          <w:tcPr>
            <w:tcW w:w="8220" w:type="dxa"/>
          </w:tcPr>
          <w:p w:rsidR="00F43BC1" w:rsidRPr="00614CC6" w:rsidRDefault="00F43BC1" w:rsidP="002C14E3">
            <w:pPr>
              <w:spacing w:before="30" w:after="30"/>
              <w:jc w:val="left"/>
              <w:rPr>
                <w:sz w:val="20"/>
              </w:rPr>
            </w:pPr>
            <w:r w:rsidRPr="00614CC6">
              <w:rPr>
                <w:sz w:val="20"/>
              </w:rPr>
              <w:t>Emissions de fréquences étalon et de signaux horaires</w:t>
            </w:r>
          </w:p>
        </w:tc>
      </w:tr>
      <w:tr w:rsidR="00F43BC1" w:rsidRPr="00036EE3" w:rsidTr="002C14E3">
        <w:tc>
          <w:tcPr>
            <w:tcW w:w="1140" w:type="dxa"/>
          </w:tcPr>
          <w:p w:rsidR="00F43BC1" w:rsidRPr="00614CC6" w:rsidRDefault="00F43BC1" w:rsidP="002C14E3">
            <w:pPr>
              <w:spacing w:before="30" w:after="30"/>
              <w:ind w:left="57"/>
              <w:jc w:val="left"/>
              <w:rPr>
                <w:b/>
                <w:bCs/>
                <w:sz w:val="20"/>
                <w:lang w:val="en-US"/>
              </w:rPr>
            </w:pPr>
            <w:r w:rsidRPr="00614CC6">
              <w:rPr>
                <w:b/>
                <w:bCs/>
                <w:sz w:val="20"/>
                <w:lang w:val="en-US"/>
              </w:rPr>
              <w:t>V</w:t>
            </w:r>
          </w:p>
        </w:tc>
        <w:tc>
          <w:tcPr>
            <w:tcW w:w="8220" w:type="dxa"/>
          </w:tcPr>
          <w:p w:rsidR="00F43BC1" w:rsidRPr="00614CC6" w:rsidRDefault="00F43BC1" w:rsidP="002C14E3">
            <w:pPr>
              <w:spacing w:before="30" w:after="140"/>
              <w:jc w:val="left"/>
              <w:rPr>
                <w:sz w:val="20"/>
                <w:lang w:val="en-US"/>
              </w:rPr>
            </w:pPr>
            <w:r w:rsidRPr="00614CC6">
              <w:rPr>
                <w:sz w:val="20"/>
              </w:rPr>
              <w:t>Vocabulaire et sujets associés</w:t>
            </w:r>
          </w:p>
        </w:tc>
      </w:tr>
    </w:tbl>
    <w:p w:rsidR="00F43BC1" w:rsidRPr="00036EE3" w:rsidRDefault="00F43BC1" w:rsidP="00F43BC1">
      <w:pPr>
        <w:spacing w:before="0"/>
        <w:jc w:val="center"/>
        <w:rPr>
          <w:sz w:val="20"/>
          <w:lang w:val="en-US"/>
        </w:rPr>
      </w:pPr>
    </w:p>
    <w:p w:rsidR="00F43BC1" w:rsidRPr="00036EE3" w:rsidRDefault="00F43BC1" w:rsidP="00F43BC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43BC1" w:rsidRPr="00756B4D" w:rsidTr="002C14E3">
        <w:tc>
          <w:tcPr>
            <w:tcW w:w="9360" w:type="dxa"/>
          </w:tcPr>
          <w:p w:rsidR="00F43BC1" w:rsidRPr="00756B4D" w:rsidRDefault="00F43BC1" w:rsidP="002C14E3">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F43BC1" w:rsidRPr="00756B4D" w:rsidRDefault="00F43BC1" w:rsidP="00F43BC1">
      <w:pPr>
        <w:spacing w:before="0"/>
        <w:jc w:val="center"/>
        <w:rPr>
          <w:sz w:val="22"/>
        </w:rPr>
      </w:pPr>
    </w:p>
    <w:p w:rsidR="00F43BC1" w:rsidRPr="00614CC6" w:rsidRDefault="00F43BC1" w:rsidP="00F43BC1">
      <w:pPr>
        <w:spacing w:before="100"/>
        <w:jc w:val="right"/>
        <w:rPr>
          <w:i/>
          <w:iCs/>
          <w:sz w:val="20"/>
        </w:rPr>
      </w:pPr>
      <w:r w:rsidRPr="00614CC6">
        <w:rPr>
          <w:i/>
          <w:iCs/>
          <w:sz w:val="20"/>
        </w:rPr>
        <w:t>Publication électronique</w:t>
      </w:r>
    </w:p>
    <w:p w:rsidR="00F43BC1" w:rsidRPr="00614CC6" w:rsidRDefault="00F43BC1" w:rsidP="00572C22">
      <w:pPr>
        <w:spacing w:before="0"/>
        <w:jc w:val="right"/>
        <w:rPr>
          <w:sz w:val="20"/>
        </w:rPr>
      </w:pPr>
      <w:r w:rsidRPr="00614CC6">
        <w:rPr>
          <w:sz w:val="20"/>
        </w:rPr>
        <w:t>Genève, 20</w:t>
      </w:r>
      <w:r>
        <w:rPr>
          <w:sz w:val="20"/>
        </w:rPr>
        <w:t>1</w:t>
      </w:r>
      <w:r w:rsidR="00486A97">
        <w:rPr>
          <w:sz w:val="20"/>
        </w:rPr>
        <w:t>8</w:t>
      </w:r>
    </w:p>
    <w:p w:rsidR="00F43BC1" w:rsidRPr="00614CC6" w:rsidRDefault="00F43BC1" w:rsidP="00572C2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486A97">
        <w:rPr>
          <w:sz w:val="20"/>
        </w:rPr>
        <w:t>8</w:t>
      </w:r>
    </w:p>
    <w:p w:rsidR="00F43BC1" w:rsidRPr="00614CC6" w:rsidRDefault="00F43BC1" w:rsidP="00F43BC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43BC1" w:rsidRPr="00614CC6" w:rsidRDefault="00F43BC1" w:rsidP="00F43BC1">
      <w:pPr>
        <w:spacing w:before="160"/>
        <w:rPr>
          <w:i/>
          <w:sz w:val="20"/>
          <w:highlight w:val="yellow"/>
        </w:rPr>
        <w:sectPr w:rsidR="00F43BC1"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F43BC1" w:rsidRPr="00756B4D" w:rsidRDefault="00F43BC1" w:rsidP="00572C22">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SA</w:t>
      </w:r>
      <w:r w:rsidRPr="00756B4D">
        <w:rPr>
          <w:rStyle w:val="href"/>
        </w:rPr>
        <w:t>.</w:t>
      </w:r>
      <w:r w:rsidR="00572C22">
        <w:rPr>
          <w:rStyle w:val="href"/>
        </w:rPr>
        <w:t>1810-1</w:t>
      </w:r>
    </w:p>
    <w:p w:rsidR="00572C22" w:rsidRPr="00572C22" w:rsidRDefault="00572C22" w:rsidP="001A5636">
      <w:pPr>
        <w:pStyle w:val="Rectitle"/>
        <w:rPr>
          <w:lang w:val="fr-CH"/>
        </w:rPr>
      </w:pPr>
      <w:r w:rsidRPr="00572C22">
        <w:rPr>
          <w:lang w:val="fr-CH"/>
        </w:rPr>
        <w:t>Lignes directrices concernant la conception des systèmes du service</w:t>
      </w:r>
      <w:r w:rsidRPr="00572C22">
        <w:rPr>
          <w:lang w:val="fr-CH"/>
        </w:rPr>
        <w:br/>
        <w:t>d'exploration de la Terre par satellite fonctionnant</w:t>
      </w:r>
      <w:r w:rsidRPr="00572C22">
        <w:rPr>
          <w:lang w:val="fr-CH"/>
        </w:rPr>
        <w:br/>
        <w:t>dans la bande 8 025-8 400 MHz</w:t>
      </w:r>
    </w:p>
    <w:p w:rsidR="00572C22" w:rsidRPr="00572C22" w:rsidRDefault="00572C22" w:rsidP="001A5636">
      <w:pPr>
        <w:pStyle w:val="Recref"/>
        <w:rPr>
          <w:lang w:val="fr-CH"/>
        </w:rPr>
      </w:pPr>
      <w:r w:rsidRPr="00572C22">
        <w:rPr>
          <w:lang w:val="fr-CH"/>
        </w:rPr>
        <w:t>(Question UIT-R 139/7)</w:t>
      </w:r>
    </w:p>
    <w:p w:rsidR="00572C22" w:rsidRPr="00572C22" w:rsidRDefault="00572C22" w:rsidP="001A5636">
      <w:pPr>
        <w:pStyle w:val="Recdate"/>
        <w:rPr>
          <w:lang w:val="fr-CH"/>
        </w:rPr>
      </w:pPr>
      <w:r w:rsidRPr="00572C22">
        <w:rPr>
          <w:lang w:val="fr-CH"/>
        </w:rPr>
        <w:t>(2007</w:t>
      </w:r>
      <w:r w:rsidR="00F77CCA">
        <w:rPr>
          <w:lang w:val="fr-CH"/>
        </w:rPr>
        <w:t>-2017</w:t>
      </w:r>
      <w:r w:rsidRPr="00572C22">
        <w:rPr>
          <w:lang w:val="fr-CH"/>
        </w:rPr>
        <w:t>)</w:t>
      </w:r>
    </w:p>
    <w:p w:rsidR="00572C22" w:rsidRPr="00572C22" w:rsidRDefault="00572C22" w:rsidP="001A5636">
      <w:pPr>
        <w:pStyle w:val="HeadingSum"/>
      </w:pPr>
      <w:r w:rsidRPr="00572C22">
        <w:t>Domaine d</w:t>
      </w:r>
      <w:r w:rsidR="00F77CCA">
        <w:t>'application</w:t>
      </w:r>
    </w:p>
    <w:p w:rsidR="00572C22" w:rsidRPr="003A3915" w:rsidRDefault="00572C22" w:rsidP="001A5636">
      <w:pPr>
        <w:pStyle w:val="Summary"/>
        <w:rPr>
          <w:lang w:val="fr-CH"/>
        </w:rPr>
      </w:pPr>
      <w:r w:rsidRPr="00572C22">
        <w:t xml:space="preserve">L'utilisation de la bande 8 025-8 400 MHz par les satellites du service d'exploration de la Terre par satellite (SETS) exploités par diverses entités pour la communication de données sur la liaison descendante s'accroît et pourrait provoquer des brouillages préjudiciables entre ces opérateurs. </w:t>
      </w:r>
      <w:r w:rsidRPr="003A3915">
        <w:rPr>
          <w:lang w:val="fr-CH"/>
        </w:rPr>
        <w:t xml:space="preserve">Les difficultés potentielles liées au partage de la partie du spectre au voisinage de 8 GHz fortement occupée peuvent être évitées si les concepteurs de satellites du SETS sélectionnent soigneusement des méthodes de réduction des brouillages appropriées permettant l'exploitation voulue des satellites. Grâce à nombre de ces méthodes, on peut non seulement améliorer les conditions de partage applicables aux satellites du SETS mais aussi réduire ou éliminer une éventuelle coordination avec le service de recherche spatiale (espace lointain) extrêmement sensible exploité dans la bande 8 400-8 450 MHz adjacente. La présente Recommandation fournit des lignes directrices sous la forme d'une liste de méthodes de réduction des brouillages (mentionnées au </w:t>
      </w:r>
      <w:r w:rsidRPr="003A3915">
        <w:rPr>
          <w:i/>
          <w:lang w:val="fr-CH"/>
        </w:rPr>
        <w:t>recommande</w:t>
      </w:r>
      <w:r w:rsidRPr="003A3915">
        <w:rPr>
          <w:lang w:val="fr-CH"/>
        </w:rPr>
        <w:t>) susceptibles d'être appliquées pour réduire le risque de brouillages causés ou subis par les satellites du SETS compte tenu de l'intérêt croissant pour l'utilisation de la bande 8 025</w:t>
      </w:r>
      <w:r w:rsidRPr="003A3915">
        <w:rPr>
          <w:lang w:val="fr-CH"/>
        </w:rPr>
        <w:noBreakHyphen/>
        <w:t>8 400 MHz par le SETS.</w:t>
      </w:r>
    </w:p>
    <w:p w:rsidR="00F77CCA" w:rsidRPr="003A3915" w:rsidRDefault="00F77CCA" w:rsidP="00F77CCA">
      <w:pPr>
        <w:pStyle w:val="Headingb"/>
        <w:rPr>
          <w:lang w:val="fr-CH"/>
        </w:rPr>
      </w:pPr>
      <w:r w:rsidRPr="003A3915">
        <w:rPr>
          <w:lang w:val="fr-CH"/>
        </w:rPr>
        <w:t>Mots clés</w:t>
      </w:r>
    </w:p>
    <w:p w:rsidR="00F77CCA" w:rsidRPr="003A3915" w:rsidRDefault="00F77CCA" w:rsidP="00F77CCA">
      <w:pPr>
        <w:rPr>
          <w:lang w:val="fr-CH"/>
        </w:rPr>
      </w:pPr>
      <w:r w:rsidRPr="003A3915">
        <w:rPr>
          <w:lang w:val="fr-CH"/>
        </w:rPr>
        <w:t>Service d'exploration de la Terre par satellite, conception des systèmes</w:t>
      </w:r>
    </w:p>
    <w:p w:rsidR="00F77CCA" w:rsidRPr="003A3915" w:rsidRDefault="00F77CCA" w:rsidP="00F77CCA">
      <w:pPr>
        <w:pStyle w:val="Headingb"/>
        <w:rPr>
          <w:lang w:val="fr-CH" w:eastAsia="zh-CN"/>
        </w:rPr>
      </w:pPr>
      <w:r w:rsidRPr="003A3915">
        <w:rPr>
          <w:lang w:val="fr-CH" w:eastAsia="zh-CN"/>
        </w:rPr>
        <w:t>Recommandations et Rapports connexes</w:t>
      </w:r>
    </w:p>
    <w:p w:rsidR="00F77CCA" w:rsidRPr="003A3915" w:rsidRDefault="00F77CCA" w:rsidP="00F77CCA">
      <w:pPr>
        <w:rPr>
          <w:lang w:val="fr-CH"/>
        </w:rPr>
      </w:pPr>
      <w:r w:rsidRPr="003A3915">
        <w:rPr>
          <w:lang w:val="fr-CH"/>
        </w:rPr>
        <w:t>Recommandation UIT-R SA.1157</w:t>
      </w:r>
    </w:p>
    <w:p w:rsidR="00572C22" w:rsidRPr="00572C22" w:rsidRDefault="00572C22" w:rsidP="00486A97">
      <w:pPr>
        <w:pStyle w:val="Normalaftertitle"/>
        <w:rPr>
          <w:lang w:val="fr-CH"/>
        </w:rPr>
      </w:pPr>
      <w:r w:rsidRPr="00572C22">
        <w:rPr>
          <w:lang w:val="fr-CH"/>
        </w:rPr>
        <w:t>L'Assemblée des radiocommunications de l'UIT,</w:t>
      </w:r>
    </w:p>
    <w:p w:rsidR="00572C22" w:rsidRPr="00572C22" w:rsidRDefault="00572C22" w:rsidP="00486A97">
      <w:pPr>
        <w:pStyle w:val="Call"/>
        <w:rPr>
          <w:lang w:val="fr-CH"/>
        </w:rPr>
      </w:pPr>
      <w:r w:rsidRPr="00572C22">
        <w:rPr>
          <w:lang w:val="fr-CH"/>
        </w:rPr>
        <w:t>considérant</w:t>
      </w:r>
    </w:p>
    <w:p w:rsidR="00572C22" w:rsidRPr="00572C22" w:rsidRDefault="00572C22" w:rsidP="00572C22">
      <w:pPr>
        <w:rPr>
          <w:lang w:val="fr-CH"/>
        </w:rPr>
      </w:pPr>
      <w:r w:rsidRPr="00486A97">
        <w:rPr>
          <w:i/>
          <w:iCs/>
          <w:lang w:val="fr-CH"/>
        </w:rPr>
        <w:t>a)</w:t>
      </w:r>
      <w:r w:rsidRPr="00572C22">
        <w:rPr>
          <w:lang w:val="fr-CH"/>
        </w:rPr>
        <w:tab/>
        <w:t>les satellites du service d'exploration de la Terre par satellite (SETS) constituent un outil de plus en plus important pour l'acquisition d'informations sur la Terre et son environnement;</w:t>
      </w:r>
    </w:p>
    <w:p w:rsidR="00572C22" w:rsidRPr="00572C22" w:rsidRDefault="00572C22" w:rsidP="00572C22">
      <w:pPr>
        <w:rPr>
          <w:lang w:val="fr-CH"/>
        </w:rPr>
      </w:pPr>
      <w:r w:rsidRPr="00486A97">
        <w:rPr>
          <w:i/>
          <w:iCs/>
          <w:lang w:val="fr-CH"/>
        </w:rPr>
        <w:t>b)</w:t>
      </w:r>
      <w:r w:rsidRPr="00486A97">
        <w:rPr>
          <w:i/>
          <w:iCs/>
          <w:lang w:val="fr-CH"/>
        </w:rPr>
        <w:tab/>
      </w:r>
      <w:r w:rsidRPr="00572C22">
        <w:rPr>
          <w:lang w:val="fr-CH"/>
        </w:rPr>
        <w:t>que l'utilisation de la bande 8 025-8 400 MHz par le SETS pour des intérêts commerciaux, des organisations gouvernementales et des agences spatiales s'accroît et pourrait entraîner des brouillages préjudiciables entre systèmes du SETS;</w:t>
      </w:r>
    </w:p>
    <w:p w:rsidR="00572C22" w:rsidRPr="00572C22" w:rsidRDefault="00572C22" w:rsidP="00572C22">
      <w:pPr>
        <w:rPr>
          <w:lang w:val="fr-CH"/>
        </w:rPr>
      </w:pPr>
      <w:r w:rsidRPr="00486A97">
        <w:rPr>
          <w:i/>
          <w:iCs/>
          <w:lang w:val="fr-CH"/>
        </w:rPr>
        <w:t>c)</w:t>
      </w:r>
      <w:r w:rsidRPr="00572C22">
        <w:rPr>
          <w:lang w:val="fr-CH"/>
        </w:rPr>
        <w:tab/>
        <w:t xml:space="preserve">que la sélection appropriée de paramètres orbitaux pour des satellites à orbite héliosynchrone peut être une technique de réduction de brouillages très efficace qui requiert généralement une coordination à un stade précoce du développement des systèmes; </w:t>
      </w:r>
    </w:p>
    <w:p w:rsidR="00572C22" w:rsidRPr="00572C22" w:rsidRDefault="00572C22" w:rsidP="00572C22">
      <w:pPr>
        <w:rPr>
          <w:lang w:val="fr-CH" w:eastAsia="fr-FR"/>
        </w:rPr>
      </w:pPr>
      <w:r w:rsidRPr="00486A97">
        <w:rPr>
          <w:i/>
          <w:iCs/>
          <w:lang w:val="fr-CH" w:eastAsia="fr-FR"/>
        </w:rPr>
        <w:t>d)</w:t>
      </w:r>
      <w:r w:rsidRPr="00572C22">
        <w:rPr>
          <w:lang w:val="fr-CH" w:eastAsia="fr-FR"/>
        </w:rPr>
        <w:tab/>
        <w:t>que l'homogénéité d'un ensemble de paramètres techniques, en particulier les niveaux de puissance surfacique, conduira à une utilisation plus efficace des ressources d'orbite/de spectre par le SETS;</w:t>
      </w:r>
    </w:p>
    <w:p w:rsidR="00572C22" w:rsidRPr="00572C22" w:rsidRDefault="00572C22" w:rsidP="00357AF9">
      <w:pPr>
        <w:rPr>
          <w:lang w:val="fr-CH"/>
        </w:rPr>
      </w:pPr>
      <w:r w:rsidRPr="00486A97">
        <w:rPr>
          <w:i/>
          <w:iCs/>
          <w:lang w:val="fr-CH"/>
        </w:rPr>
        <w:t>e)</w:t>
      </w:r>
      <w:r w:rsidRPr="00572C22">
        <w:rPr>
          <w:lang w:val="fr-CH"/>
        </w:rPr>
        <w:tab/>
        <w:t>que les antennes à gain élevé de satellites du SETS n'émettent généralement de puissance que vers une portion limitée de la surface de la Terre</w:t>
      </w:r>
      <w:r w:rsidR="00357AF9">
        <w:rPr>
          <w:lang w:val="fr-CH"/>
        </w:rPr>
        <w:t>,</w:t>
      </w:r>
      <w:r w:rsidR="00F77CCA">
        <w:rPr>
          <w:lang w:val="fr-CH"/>
        </w:rPr>
        <w:t xml:space="preserve"> mais la p.i.r.e. émise </w:t>
      </w:r>
      <w:r w:rsidR="00357AF9">
        <w:rPr>
          <w:lang w:val="fr-CH"/>
        </w:rPr>
        <w:t xml:space="preserve">est plus élevée, ce qui </w:t>
      </w:r>
      <w:r w:rsidR="00F77CCA">
        <w:rPr>
          <w:lang w:val="fr-CH"/>
        </w:rPr>
        <w:t xml:space="preserve">peut pénaliser les </w:t>
      </w:r>
      <w:r w:rsidR="00F77CCA" w:rsidRPr="00F77CCA">
        <w:rPr>
          <w:lang w:val="fr-CH"/>
        </w:rPr>
        <w:t>stations</w:t>
      </w:r>
      <w:r w:rsidR="00F77CCA">
        <w:rPr>
          <w:lang w:val="fr-CH"/>
        </w:rPr>
        <w:t xml:space="preserve"> occupant le même emplacement</w:t>
      </w:r>
      <w:r w:rsidRPr="00572C22">
        <w:rPr>
          <w:lang w:val="fr-CH"/>
        </w:rPr>
        <w:t>;</w:t>
      </w:r>
    </w:p>
    <w:p w:rsidR="00572C22" w:rsidRPr="00572C22" w:rsidRDefault="00572C22" w:rsidP="00F77CCA">
      <w:pPr>
        <w:rPr>
          <w:lang w:val="fr-CH"/>
        </w:rPr>
      </w:pPr>
      <w:r w:rsidRPr="00486A97">
        <w:rPr>
          <w:i/>
          <w:iCs/>
          <w:lang w:val="fr-CH"/>
        </w:rPr>
        <w:t>f)</w:t>
      </w:r>
      <w:r w:rsidRPr="00572C22">
        <w:rPr>
          <w:lang w:val="fr-CH"/>
        </w:rPr>
        <w:tab/>
        <w:t xml:space="preserve">que les antennes à rayonnement isotrope présentent une distribution de puissance surfacique à la surface de la Terre plus </w:t>
      </w:r>
      <w:r w:rsidR="00F77CCA">
        <w:rPr>
          <w:lang w:val="fr-CH"/>
        </w:rPr>
        <w:t xml:space="preserve">uniforme </w:t>
      </w:r>
      <w:r w:rsidRPr="00572C22">
        <w:rPr>
          <w:lang w:val="fr-CH"/>
        </w:rPr>
        <w:t>que celle des antennes équidirectives;</w:t>
      </w:r>
    </w:p>
    <w:p w:rsidR="00572C22" w:rsidRPr="00572C22" w:rsidRDefault="00572C22" w:rsidP="00572C22">
      <w:pPr>
        <w:rPr>
          <w:snapToGrid w:val="0"/>
          <w:lang w:val="fr-CH" w:eastAsia="fr-FR"/>
        </w:rPr>
      </w:pPr>
      <w:r w:rsidRPr="00486A97">
        <w:rPr>
          <w:i/>
          <w:iCs/>
          <w:snapToGrid w:val="0"/>
          <w:lang w:val="fr-CH" w:eastAsia="fr-FR"/>
        </w:rPr>
        <w:lastRenderedPageBreak/>
        <w:t>g)</w:t>
      </w:r>
      <w:r w:rsidRPr="00572C22">
        <w:rPr>
          <w:snapToGrid w:val="0"/>
          <w:lang w:val="fr-CH" w:eastAsia="fr-FR"/>
        </w:rPr>
        <w:tab/>
        <w:t>que les modes de radiodiffusion entraînent généralement des niveaux de brouillage plus élevés, parce que les émissions sont continues et que les densités spectrales de puissance sont relativement élevées, mais présentent des besoins généralement moindres en matière de largeur de bande;</w:t>
      </w:r>
    </w:p>
    <w:p w:rsidR="00572C22" w:rsidRPr="00572C22" w:rsidRDefault="00572C22" w:rsidP="00357AF9">
      <w:pPr>
        <w:rPr>
          <w:snapToGrid w:val="0"/>
          <w:lang w:val="fr-CH" w:eastAsia="fr-FR"/>
        </w:rPr>
      </w:pPr>
      <w:r w:rsidRPr="00486A97">
        <w:rPr>
          <w:i/>
          <w:iCs/>
          <w:snapToGrid w:val="0"/>
          <w:lang w:val="fr-CH" w:eastAsia="fr-FR"/>
        </w:rPr>
        <w:t>h)</w:t>
      </w:r>
      <w:r w:rsidRPr="00572C22">
        <w:rPr>
          <w:snapToGrid w:val="0"/>
          <w:lang w:val="fr-CH" w:eastAsia="fr-FR"/>
        </w:rPr>
        <w:tab/>
        <w:t>que plus de 90% de tous les satellites du SETS fonctionnent à des niveaux de</w:t>
      </w:r>
      <w:r w:rsidR="00357AF9">
        <w:rPr>
          <w:snapToGrid w:val="0"/>
          <w:lang w:val="fr-CH" w:eastAsia="fr-FR"/>
        </w:rPr>
        <w:t xml:space="preserve"> puissance surfacique inférieur</w:t>
      </w:r>
      <w:r w:rsidRPr="00572C22">
        <w:rPr>
          <w:snapToGrid w:val="0"/>
          <w:lang w:val="fr-CH" w:eastAsia="fr-FR"/>
        </w:rPr>
        <w:t>s à −1</w:t>
      </w:r>
      <w:r w:rsidR="00F77CCA">
        <w:rPr>
          <w:snapToGrid w:val="0"/>
          <w:lang w:val="fr-CH" w:eastAsia="fr-FR"/>
        </w:rPr>
        <w:t>47</w:t>
      </w:r>
      <w:r w:rsidRPr="00572C22">
        <w:rPr>
          <w:snapToGrid w:val="0"/>
          <w:lang w:val="fr-CH" w:eastAsia="fr-FR"/>
        </w:rPr>
        <w:t> dB(W/m</w:t>
      </w:r>
      <w:r w:rsidRPr="00572C22">
        <w:rPr>
          <w:snapToGrid w:val="0"/>
          <w:vertAlign w:val="superscript"/>
          <w:lang w:val="fr-CH" w:eastAsia="fr-FR"/>
        </w:rPr>
        <w:t>2</w:t>
      </w:r>
      <w:r w:rsidRPr="00572C22">
        <w:rPr>
          <w:snapToGrid w:val="0"/>
          <w:lang w:val="fr-CH" w:eastAsia="fr-FR"/>
        </w:rPr>
        <w:t xml:space="preserve"> </w:t>
      </w:r>
      <w:r w:rsidRPr="00572C22">
        <w:rPr>
          <w:snapToGrid w:val="0"/>
          <w:lang w:val="fr-CH" w:eastAsia="fr-FR"/>
        </w:rPr>
        <w:sym w:font="Symbol" w:char="F0D7"/>
      </w:r>
      <w:r w:rsidRPr="00572C22">
        <w:rPr>
          <w:snapToGrid w:val="0"/>
          <w:lang w:val="fr-CH" w:eastAsia="fr-FR"/>
        </w:rPr>
        <w:t xml:space="preserve"> </w:t>
      </w:r>
      <w:r w:rsidR="00F77CCA">
        <w:rPr>
          <w:snapToGrid w:val="0"/>
          <w:lang w:val="fr-CH" w:eastAsia="fr-FR"/>
        </w:rPr>
        <w:t>4 k</w:t>
      </w:r>
      <w:r w:rsidRPr="00572C22">
        <w:rPr>
          <w:snapToGrid w:val="0"/>
          <w:lang w:val="fr-CH" w:eastAsia="fr-FR"/>
        </w:rPr>
        <w:t>Hz) pour des angles d'</w:t>
      </w:r>
      <w:r w:rsidR="00357AF9">
        <w:rPr>
          <w:snapToGrid w:val="0"/>
          <w:lang w:val="fr-CH" w:eastAsia="fr-FR"/>
        </w:rPr>
        <w:t xml:space="preserve">incidence </w:t>
      </w:r>
      <w:r w:rsidRPr="00572C22">
        <w:rPr>
          <w:snapToGrid w:val="0"/>
          <w:lang w:val="fr-CH" w:eastAsia="fr-FR"/>
        </w:rPr>
        <w:t>élevés à la surface de la Terre;</w:t>
      </w:r>
    </w:p>
    <w:p w:rsidR="00F77CCA" w:rsidRPr="003A3915" w:rsidRDefault="00F77CCA" w:rsidP="00357AF9">
      <w:pPr>
        <w:rPr>
          <w:color w:val="000000"/>
          <w:szCs w:val="24"/>
          <w:lang w:val="fr-CH"/>
        </w:rPr>
      </w:pPr>
      <w:r w:rsidRPr="003A3915">
        <w:rPr>
          <w:i/>
          <w:iCs/>
          <w:snapToGrid w:val="0"/>
          <w:lang w:val="fr-CH" w:eastAsia="fr-FR"/>
        </w:rPr>
        <w:t>i)</w:t>
      </w:r>
      <w:r w:rsidRPr="003A3915">
        <w:rPr>
          <w:snapToGrid w:val="0"/>
          <w:lang w:val="fr-CH" w:eastAsia="fr-FR"/>
        </w:rPr>
        <w:tab/>
      </w:r>
      <w:r w:rsidRPr="003A3915">
        <w:rPr>
          <w:color w:val="000000"/>
          <w:szCs w:val="24"/>
          <w:lang w:val="fr-CH"/>
        </w:rPr>
        <w:t xml:space="preserve">que le risque de brouillage est plus important dans les zones </w:t>
      </w:r>
      <w:r w:rsidR="00357AF9" w:rsidRPr="003A3915">
        <w:rPr>
          <w:color w:val="000000"/>
          <w:szCs w:val="24"/>
          <w:lang w:val="fr-CH"/>
        </w:rPr>
        <w:t>de latitude élevée</w:t>
      </w:r>
      <w:r w:rsidRPr="003A3915">
        <w:rPr>
          <w:color w:val="000000"/>
          <w:szCs w:val="24"/>
          <w:lang w:val="fr-CH"/>
        </w:rPr>
        <w:t xml:space="preserve"> car la plupart des satellites d'exploration de la Terre utilisent des orbites polaires;</w:t>
      </w:r>
    </w:p>
    <w:p w:rsidR="00F77CCA" w:rsidRPr="003A3915" w:rsidRDefault="00F77CCA" w:rsidP="00357AF9">
      <w:pPr>
        <w:rPr>
          <w:snapToGrid w:val="0"/>
          <w:lang w:val="fr-CH" w:eastAsia="fr-FR"/>
        </w:rPr>
      </w:pPr>
      <w:r w:rsidRPr="003A3915">
        <w:rPr>
          <w:i/>
          <w:iCs/>
          <w:snapToGrid w:val="0"/>
          <w:lang w:val="fr-CH" w:eastAsia="fr-FR"/>
        </w:rPr>
        <w:t>j)</w:t>
      </w:r>
      <w:r w:rsidRPr="003A3915">
        <w:rPr>
          <w:snapToGrid w:val="0"/>
          <w:lang w:val="fr-CH" w:eastAsia="fr-FR"/>
        </w:rPr>
        <w:tab/>
      </w:r>
      <w:r w:rsidR="008A1FFF" w:rsidRPr="003A3915">
        <w:rPr>
          <w:color w:val="000000"/>
          <w:szCs w:val="24"/>
          <w:lang w:val="fr-CH"/>
        </w:rPr>
        <w:t xml:space="preserve">que les effets sur la propagation troposphérique dans les zones </w:t>
      </w:r>
      <w:r w:rsidR="00357AF9" w:rsidRPr="003A3915">
        <w:rPr>
          <w:color w:val="000000"/>
          <w:szCs w:val="24"/>
          <w:lang w:val="fr-CH"/>
        </w:rPr>
        <w:t>de latitude élevée</w:t>
      </w:r>
      <w:r w:rsidR="008A1FFF" w:rsidRPr="003A3915">
        <w:rPr>
          <w:color w:val="000000"/>
          <w:szCs w:val="24"/>
          <w:lang w:val="fr-CH"/>
        </w:rPr>
        <w:t xml:space="preserve"> sont généralement limités</w:t>
      </w:r>
      <w:r w:rsidRPr="003A3915">
        <w:rPr>
          <w:color w:val="000000"/>
          <w:szCs w:val="24"/>
          <w:lang w:val="fr-CH"/>
        </w:rPr>
        <w:t>;</w:t>
      </w:r>
    </w:p>
    <w:p w:rsidR="00572C22" w:rsidRPr="00572C22" w:rsidRDefault="00D91362" w:rsidP="00572C22">
      <w:pPr>
        <w:rPr>
          <w:snapToGrid w:val="0"/>
          <w:lang w:val="fr-CH" w:eastAsia="fr-FR"/>
        </w:rPr>
      </w:pPr>
      <w:r w:rsidRPr="00486A97">
        <w:rPr>
          <w:i/>
          <w:iCs/>
          <w:snapToGrid w:val="0"/>
          <w:lang w:val="fr-CH" w:eastAsia="fr-FR"/>
        </w:rPr>
        <w:t>k</w:t>
      </w:r>
      <w:r w:rsidR="00572C22" w:rsidRPr="00486A97">
        <w:rPr>
          <w:i/>
          <w:iCs/>
          <w:snapToGrid w:val="0"/>
          <w:lang w:val="fr-CH" w:eastAsia="fr-FR"/>
        </w:rPr>
        <w:t>)</w:t>
      </w:r>
      <w:r w:rsidR="00572C22" w:rsidRPr="00572C22">
        <w:rPr>
          <w:snapToGrid w:val="0"/>
          <w:lang w:val="fr-CH" w:eastAsia="fr-FR"/>
        </w:rPr>
        <w:tab/>
        <w:t>qu'en sélectionnant de manière appropriée des techniques efficaces de modulation et de codage de largeur de bande/puissance, on pourrait réduire les largeurs de bande occupées et le brouillage des canaux adjacents;</w:t>
      </w:r>
    </w:p>
    <w:p w:rsidR="00572C22" w:rsidRPr="00572C22" w:rsidRDefault="00D91362" w:rsidP="00486A97">
      <w:pPr>
        <w:rPr>
          <w:snapToGrid w:val="0"/>
          <w:lang w:val="fr-CH" w:eastAsia="fr-FR"/>
        </w:rPr>
      </w:pPr>
      <w:r w:rsidRPr="00486A97">
        <w:rPr>
          <w:i/>
          <w:iCs/>
          <w:snapToGrid w:val="0"/>
          <w:lang w:val="fr-CH" w:eastAsia="fr-FR"/>
        </w:rPr>
        <w:t>l</w:t>
      </w:r>
      <w:r w:rsidR="00572C22" w:rsidRPr="00486A97">
        <w:rPr>
          <w:i/>
          <w:iCs/>
          <w:snapToGrid w:val="0"/>
          <w:lang w:val="fr-CH" w:eastAsia="fr-FR"/>
        </w:rPr>
        <w:t>)</w:t>
      </w:r>
      <w:r w:rsidR="00572C22" w:rsidRPr="00572C22">
        <w:rPr>
          <w:snapToGrid w:val="0"/>
          <w:lang w:val="fr-CH" w:eastAsia="fr-FR"/>
        </w:rPr>
        <w:tab/>
        <w:t>que les techniques de modulation évoluées d'ordre supérieur, telles que la modulation MDP</w:t>
      </w:r>
      <w:r w:rsidR="00486A97">
        <w:rPr>
          <w:snapToGrid w:val="0"/>
          <w:lang w:val="fr-CH" w:eastAsia="fr-FR"/>
        </w:rPr>
        <w:noBreakHyphen/>
      </w:r>
      <w:r w:rsidR="00572C22" w:rsidRPr="00572C22">
        <w:rPr>
          <w:snapToGrid w:val="0"/>
          <w:lang w:val="fr-CH" w:eastAsia="fr-FR"/>
        </w:rPr>
        <w:t xml:space="preserve">16 et les modulations d'ordre supérieur, nécessitent moins de largeur de bande que les modulations MDP-4 et MDP-8 actuellement utilisées mais </w:t>
      </w:r>
      <w:r>
        <w:rPr>
          <w:snapToGrid w:val="0"/>
          <w:lang w:val="fr-CH" w:eastAsia="fr-FR"/>
        </w:rPr>
        <w:t xml:space="preserve">exigent généralement </w:t>
      </w:r>
      <w:r w:rsidR="00572C22" w:rsidRPr="00572C22">
        <w:rPr>
          <w:snapToGrid w:val="0"/>
          <w:lang w:val="fr-CH" w:eastAsia="fr-FR"/>
        </w:rPr>
        <w:t>des puissances surfaciques plus importantes;</w:t>
      </w:r>
    </w:p>
    <w:p w:rsidR="00572C22" w:rsidRPr="00572C22" w:rsidRDefault="00D91362" w:rsidP="00486A97">
      <w:pPr>
        <w:rPr>
          <w:lang w:val="fr-CH"/>
        </w:rPr>
      </w:pPr>
      <w:r w:rsidRPr="00486A97">
        <w:rPr>
          <w:i/>
          <w:iCs/>
          <w:lang w:val="fr-CH"/>
        </w:rPr>
        <w:t>m</w:t>
      </w:r>
      <w:r w:rsidR="00572C22" w:rsidRPr="00486A97">
        <w:rPr>
          <w:i/>
          <w:iCs/>
          <w:lang w:val="fr-CH"/>
        </w:rPr>
        <w:t>)</w:t>
      </w:r>
      <w:r w:rsidR="00572C22" w:rsidRPr="00572C22">
        <w:rPr>
          <w:lang w:val="fr-CH"/>
        </w:rPr>
        <w:tab/>
        <w:t>que l'utilisation d'un certain nombre d'autres techniques de réduction des brouillages telles que la discrimination de polarisation, la séparation géographique entre stations terriennes et la discrimination d'antenne de station terrienne, peut également conduire à une diminution des niveaux de brouillage;</w:t>
      </w:r>
    </w:p>
    <w:p w:rsidR="00572C22" w:rsidRPr="00572C22" w:rsidRDefault="00D91362" w:rsidP="00486A97">
      <w:pPr>
        <w:rPr>
          <w:lang w:val="fr-CH"/>
        </w:rPr>
      </w:pPr>
      <w:r w:rsidRPr="00486A97">
        <w:rPr>
          <w:i/>
          <w:iCs/>
          <w:lang w:val="fr-CH"/>
        </w:rPr>
        <w:t>n</w:t>
      </w:r>
      <w:r w:rsidR="00572C22" w:rsidRPr="00486A97">
        <w:rPr>
          <w:i/>
          <w:iCs/>
          <w:lang w:val="fr-CH"/>
        </w:rPr>
        <w:t>)</w:t>
      </w:r>
      <w:r w:rsidR="00572C22" w:rsidRPr="00572C22">
        <w:rPr>
          <w:lang w:val="fr-CH"/>
        </w:rPr>
        <w:tab/>
        <w:t xml:space="preserve">que les stations terriennes de réception </w:t>
      </w:r>
      <w:r>
        <w:rPr>
          <w:lang w:val="fr-CH"/>
        </w:rPr>
        <w:t xml:space="preserve">du </w:t>
      </w:r>
      <w:r w:rsidR="00572C22" w:rsidRPr="00572C22">
        <w:rPr>
          <w:lang w:val="fr-CH"/>
        </w:rPr>
        <w:t>service de recherche spatiale (espace lointain) exploitées dans la bande 8 400-8 450 MHz adjacente sont extrêmement sensibles aux brouillages causés par les émissions hors bande des satellites du SETS (espace vers Terre) dans la bande 8 025</w:t>
      </w:r>
      <w:r w:rsidR="00486A97">
        <w:rPr>
          <w:lang w:val="fr-CH"/>
        </w:rPr>
        <w:noBreakHyphen/>
      </w:r>
      <w:r w:rsidR="00572C22" w:rsidRPr="00572C22">
        <w:rPr>
          <w:lang w:val="fr-CH"/>
        </w:rPr>
        <w:t>8 400 MHz et risquent de subir ces brouillages;</w:t>
      </w:r>
    </w:p>
    <w:p w:rsidR="00572C22" w:rsidRPr="00572C22" w:rsidRDefault="00D91362" w:rsidP="00572C22">
      <w:pPr>
        <w:rPr>
          <w:lang w:val="fr-CH"/>
        </w:rPr>
      </w:pPr>
      <w:r w:rsidRPr="00486A97">
        <w:rPr>
          <w:i/>
          <w:iCs/>
          <w:lang w:val="fr-CH"/>
        </w:rPr>
        <w:t>o</w:t>
      </w:r>
      <w:r w:rsidR="00572C22" w:rsidRPr="00486A97">
        <w:rPr>
          <w:i/>
          <w:iCs/>
          <w:lang w:val="fr-CH"/>
        </w:rPr>
        <w:t>)</w:t>
      </w:r>
      <w:r w:rsidR="00572C22" w:rsidRPr="00572C22">
        <w:rPr>
          <w:lang w:val="fr-CH"/>
        </w:rPr>
        <w:tab/>
        <w:t>que des événements critiques du point de vue temporel existent tant pour des opérations du service de recherche spatiale (espace lointain) que pour celles du SETS;</w:t>
      </w:r>
    </w:p>
    <w:p w:rsidR="00572C22" w:rsidRPr="00572C22" w:rsidRDefault="00D91362" w:rsidP="00572C22">
      <w:pPr>
        <w:rPr>
          <w:lang w:val="fr-CH"/>
        </w:rPr>
      </w:pPr>
      <w:r w:rsidRPr="00486A97">
        <w:rPr>
          <w:i/>
          <w:iCs/>
          <w:lang w:val="fr-CH"/>
        </w:rPr>
        <w:t>p</w:t>
      </w:r>
      <w:r w:rsidR="00572C22" w:rsidRPr="00486A97">
        <w:rPr>
          <w:i/>
          <w:iCs/>
          <w:lang w:val="fr-CH"/>
        </w:rPr>
        <w:t>)</w:t>
      </w:r>
      <w:r w:rsidR="00572C22" w:rsidRPr="00572C22">
        <w:rPr>
          <w:lang w:val="fr-CH"/>
        </w:rPr>
        <w:tab/>
        <w:t>que la plupart des techniques proposées pour réduire les brouillages entre liaisons de transmission de données du SETS réduisent également les émissions hors bande reçues par les stations du SRS (espace lointain) dans la bande 8 400-8 450 MHz adjacente,</w:t>
      </w:r>
    </w:p>
    <w:p w:rsidR="00572C22" w:rsidRPr="00572C22" w:rsidRDefault="00572C22" w:rsidP="00486A97">
      <w:pPr>
        <w:pStyle w:val="Call"/>
        <w:rPr>
          <w:lang w:val="fr-CH"/>
        </w:rPr>
      </w:pPr>
      <w:r w:rsidRPr="00572C22">
        <w:rPr>
          <w:lang w:val="fr-CH"/>
        </w:rPr>
        <w:t>reconnaissant</w:t>
      </w:r>
    </w:p>
    <w:p w:rsidR="00572C22" w:rsidRPr="00572C22" w:rsidRDefault="00572C22" w:rsidP="00572C22">
      <w:pPr>
        <w:rPr>
          <w:lang w:val="fr-CH"/>
        </w:rPr>
      </w:pPr>
      <w:r w:rsidRPr="00486A97">
        <w:rPr>
          <w:i/>
          <w:iCs/>
          <w:lang w:val="fr-CH"/>
        </w:rPr>
        <w:t>a)</w:t>
      </w:r>
      <w:r w:rsidRPr="00572C22">
        <w:rPr>
          <w:lang w:val="fr-CH"/>
        </w:rPr>
        <w:tab/>
        <w:t>que le risque croissant d'encombrement de la bande 8 025-8 400 MHz et les besoins de débits de données plus élevés se traduiront par un accroissement des niveaux de brouillage;</w:t>
      </w:r>
    </w:p>
    <w:p w:rsidR="00572C22" w:rsidRPr="00572C22" w:rsidRDefault="00572C22" w:rsidP="00572C22">
      <w:pPr>
        <w:rPr>
          <w:lang w:val="fr-CH"/>
        </w:rPr>
      </w:pPr>
      <w:r w:rsidRPr="00486A97">
        <w:rPr>
          <w:i/>
          <w:iCs/>
          <w:lang w:val="fr-CH"/>
        </w:rPr>
        <w:t>b)</w:t>
      </w:r>
      <w:r w:rsidRPr="00572C22">
        <w:rPr>
          <w:lang w:val="fr-CH"/>
        </w:rPr>
        <w:tab/>
        <w:t>qu'il est souhaitable de fournir des lignes directrices sur l'exploitation du SETS (espace vers Terre) dans la bande 8 025-8 400 MHz pour optimiser la capacité de cette bande et limiter au minimum les brouillages préjudiciables;</w:t>
      </w:r>
    </w:p>
    <w:p w:rsidR="00572C22" w:rsidRPr="00572C22" w:rsidRDefault="00572C22" w:rsidP="00572C22">
      <w:pPr>
        <w:rPr>
          <w:lang w:val="fr-CH"/>
        </w:rPr>
      </w:pPr>
      <w:r w:rsidRPr="00486A97">
        <w:rPr>
          <w:i/>
          <w:iCs/>
          <w:lang w:val="fr-CH"/>
        </w:rPr>
        <w:t>c)</w:t>
      </w:r>
      <w:r w:rsidRPr="00572C22">
        <w:rPr>
          <w:lang w:val="fr-CH"/>
        </w:rPr>
        <w:tab/>
        <w:t>que différentes techniques de réduction des brouillages peuvent être requises pour résoudre les difficultés potentielles liées au partage de la bande 8 025-8 400 MHz entre différentes combinaisons de systèmes du SETS,</w:t>
      </w:r>
    </w:p>
    <w:p w:rsidR="00572C22" w:rsidRPr="00572C22" w:rsidRDefault="00572C22" w:rsidP="00486A97">
      <w:pPr>
        <w:pStyle w:val="Call"/>
        <w:rPr>
          <w:lang w:val="fr-CH"/>
        </w:rPr>
      </w:pPr>
      <w:r w:rsidRPr="00572C22">
        <w:rPr>
          <w:lang w:val="fr-CH"/>
        </w:rPr>
        <w:t>recommande</w:t>
      </w:r>
    </w:p>
    <w:p w:rsidR="00D91362" w:rsidRPr="003A3915" w:rsidRDefault="00D91362" w:rsidP="00357AF9">
      <w:pPr>
        <w:rPr>
          <w:lang w:val="fr-CH"/>
        </w:rPr>
      </w:pPr>
      <w:r w:rsidRPr="003A3915">
        <w:rPr>
          <w:lang w:val="fr-CH"/>
        </w:rPr>
        <w:t xml:space="preserve">de </w:t>
      </w:r>
      <w:r w:rsidR="00357AF9" w:rsidRPr="003A3915">
        <w:rPr>
          <w:lang w:val="fr-CH"/>
        </w:rPr>
        <w:t>tenir compte d</w:t>
      </w:r>
      <w:r w:rsidRPr="003A3915">
        <w:rPr>
          <w:lang w:val="fr-CH"/>
        </w:rPr>
        <w:t>es lignes directrices ci-après lors de la conception de systèmes du SETS fonctionnant dans la bande 8 025-8 400 MHz:</w:t>
      </w:r>
    </w:p>
    <w:p w:rsidR="00572C22" w:rsidRPr="00572C22" w:rsidRDefault="00572C22" w:rsidP="00572C22">
      <w:pPr>
        <w:rPr>
          <w:lang w:val="fr-CH"/>
        </w:rPr>
      </w:pPr>
      <w:r w:rsidRPr="00572C22">
        <w:rPr>
          <w:lang w:val="fr-CH"/>
        </w:rPr>
        <w:lastRenderedPageBreak/>
        <w:t>1</w:t>
      </w:r>
      <w:r w:rsidRPr="00572C22">
        <w:rPr>
          <w:lang w:val="fr-CH"/>
        </w:rPr>
        <w:tab/>
        <w:t>que les satellites du SETS dont le mode d'exploitation n'est pas celui de la radiodiffusion n'émettent de rayonnements que lorsqu'ils transmettent des données vers une ou plusieurs stations terriennes;</w:t>
      </w:r>
    </w:p>
    <w:p w:rsidR="00572C22" w:rsidRPr="00572C22" w:rsidRDefault="00572C22" w:rsidP="00572C22">
      <w:pPr>
        <w:rPr>
          <w:lang w:val="fr-CH"/>
        </w:rPr>
      </w:pPr>
      <w:r w:rsidRPr="00572C22">
        <w:rPr>
          <w:lang w:val="fr-CH"/>
        </w:rPr>
        <w:t>2</w:t>
      </w:r>
      <w:r w:rsidRPr="00572C22">
        <w:rPr>
          <w:lang w:val="fr-CH"/>
        </w:rPr>
        <w:tab/>
        <w:t>que l'on envisage d'harmoniser les paramètres orbitaux des satellites à orbite héliosynchrone avec ceux des satellites existants ou prévus;</w:t>
      </w:r>
    </w:p>
    <w:p w:rsidR="00572C22" w:rsidRPr="00572C22" w:rsidRDefault="00572C22" w:rsidP="00572C22">
      <w:pPr>
        <w:rPr>
          <w:lang w:val="fr-CH"/>
        </w:rPr>
      </w:pPr>
      <w:r w:rsidRPr="00572C22">
        <w:rPr>
          <w:lang w:val="fr-CH"/>
        </w:rPr>
        <w:t>3</w:t>
      </w:r>
      <w:r w:rsidRPr="00572C22">
        <w:rPr>
          <w:lang w:val="fr-CH"/>
        </w:rPr>
        <w:tab/>
        <w:t>que l'on utilise, chaque fois que cela est possible, des antennes de satellite à gains élevés et à faibles niveaux de lobes latéraux et, lorsque cela n'est pas possible, que l'on envisage d'utiliser des antennes à rayonnement isotrope plutôt que des antennes équidirectives</w:t>
      </w:r>
      <w:r w:rsidRPr="00572C22">
        <w:rPr>
          <w:lang w:val="fr-CH" w:eastAsia="fr-FR"/>
        </w:rPr>
        <w:t>;</w:t>
      </w:r>
    </w:p>
    <w:p w:rsidR="00572C22" w:rsidRPr="00572C22" w:rsidRDefault="00572C22" w:rsidP="003906B0">
      <w:pPr>
        <w:rPr>
          <w:lang w:val="fr-CH"/>
        </w:rPr>
      </w:pPr>
      <w:r w:rsidRPr="00572C22">
        <w:rPr>
          <w:lang w:val="fr-CH" w:eastAsia="fr-FR"/>
        </w:rPr>
        <w:t>4</w:t>
      </w:r>
      <w:r w:rsidRPr="00572C22">
        <w:rPr>
          <w:lang w:val="fr-CH" w:eastAsia="fr-FR"/>
        </w:rPr>
        <w:tab/>
        <w:t>que l'utilisation des modes de radiodiffusion soit évitée chaque fois que cela est possible et, lorsque cela n'est pas possible, que l'utilisation d'une portion de la moitié inférieure de la bande 8 025</w:t>
      </w:r>
      <w:r w:rsidR="003906B0">
        <w:rPr>
          <w:lang w:val="fr-CH" w:eastAsia="fr-FR"/>
        </w:rPr>
        <w:noBreakHyphen/>
      </w:r>
      <w:r w:rsidRPr="00572C22">
        <w:rPr>
          <w:lang w:val="fr-CH" w:eastAsia="fr-FR"/>
        </w:rPr>
        <w:t>8 400 MHz soit envisagée;</w:t>
      </w:r>
    </w:p>
    <w:p w:rsidR="00572C22" w:rsidRPr="00572C22" w:rsidRDefault="00572C22" w:rsidP="00572C22">
      <w:pPr>
        <w:rPr>
          <w:lang w:val="fr-CH"/>
        </w:rPr>
      </w:pPr>
      <w:r w:rsidRPr="00572C22">
        <w:rPr>
          <w:lang w:val="fr-CH" w:eastAsia="fr-FR"/>
        </w:rPr>
        <w:t>5</w:t>
      </w:r>
      <w:r w:rsidRPr="00572C22">
        <w:rPr>
          <w:lang w:val="fr-CH" w:eastAsia="fr-FR"/>
        </w:rPr>
        <w:tab/>
        <w:t>que l'on utilise dans la mesure du possible des techniques efficaces de modulation et de codage de la largeur de bande pour réduire le risque de brouillage des canaux adjacents en limitant simultanément la puissance surfacique, les émissions hors bande et la largeur de bande occupée;</w:t>
      </w:r>
    </w:p>
    <w:p w:rsidR="00572C22" w:rsidRPr="00572C22" w:rsidRDefault="001409D9" w:rsidP="00572C22">
      <w:pPr>
        <w:rPr>
          <w:sz w:val="20"/>
          <w:lang w:val="fr-CH" w:eastAsia="fr-FR"/>
        </w:rPr>
      </w:pPr>
      <w:r w:rsidRPr="001409D9">
        <w:rPr>
          <w:snapToGrid w:val="0"/>
          <w:lang w:val="fr-CH" w:eastAsia="fr-FR"/>
        </w:rPr>
        <w:t>6</w:t>
      </w:r>
      <w:r w:rsidR="00572C22" w:rsidRPr="00572C22">
        <w:rPr>
          <w:snapToGrid w:val="0"/>
          <w:lang w:val="fr-CH" w:eastAsia="fr-FR"/>
        </w:rPr>
        <w:tab/>
        <w:t xml:space="preserve">que, pour réduire le risque de brouillage entre systèmes, l'on tienne également dûment compte d'autres techniques de réduction des brouillages telles que la discrimination de polarisation, la séparation géographique entre stations terriennes et l'utilisation de grandes antennes de stations terriennes présentant des gains hors axe non supérieurs à </w:t>
      </w:r>
      <w:r w:rsidR="00572C22" w:rsidRPr="00572C22">
        <w:rPr>
          <w:lang w:val="fr-CH" w:eastAsia="fr-FR"/>
        </w:rPr>
        <w:t>32</w:t>
      </w:r>
      <w:r w:rsidR="00572C22" w:rsidRPr="00572C22">
        <w:rPr>
          <w:lang w:val="fr-CH" w:eastAsia="fr-FR"/>
        </w:rPr>
        <w:noBreakHyphen/>
        <w:t>25 log </w:t>
      </w:r>
      <w:r w:rsidR="00572C22" w:rsidRPr="00572C22">
        <w:rPr>
          <w:rFonts w:ascii="SymbolMT" w:hAnsi="SymbolMT"/>
          <w:lang w:val="fr-CH" w:eastAsia="fr-FR"/>
        </w:rPr>
        <w:t>θ</w:t>
      </w:r>
      <w:r w:rsidR="00572C22" w:rsidRPr="00572C22">
        <w:rPr>
          <w:lang w:val="fr-CH" w:eastAsia="fr-FR"/>
        </w:rPr>
        <w:t xml:space="preserve">, dBi pour </w:t>
      </w:r>
      <w:r w:rsidR="00572C22" w:rsidRPr="00572C22">
        <w:rPr>
          <w:rFonts w:ascii="SymbolMT" w:hAnsi="SymbolMT"/>
          <w:lang w:val="fr-CH" w:eastAsia="fr-FR"/>
        </w:rPr>
        <w:t>1°</w:t>
      </w:r>
      <w:r w:rsidR="00572C22" w:rsidRPr="00572C22">
        <w:rPr>
          <w:lang w:val="fr-CH"/>
        </w:rPr>
        <w:t> </w:t>
      </w:r>
      <w:r w:rsidR="00572C22" w:rsidRPr="00572C22">
        <w:rPr>
          <w:rFonts w:ascii="SymbolMT" w:hAnsi="SymbolMT"/>
          <w:lang w:val="fr-CH" w:eastAsia="fr-FR"/>
        </w:rPr>
        <w:t>≤ θ ≤ 48</w:t>
      </w:r>
      <w:r w:rsidR="00572C22" w:rsidRPr="00572C22">
        <w:rPr>
          <w:lang w:val="fr-CH" w:eastAsia="fr-FR"/>
        </w:rPr>
        <w:t>;</w:t>
      </w:r>
    </w:p>
    <w:p w:rsidR="00572C22" w:rsidRPr="00572C22" w:rsidRDefault="001409D9" w:rsidP="001A5636">
      <w:pPr>
        <w:rPr>
          <w:lang w:val="fr-CH" w:eastAsia="fr-FR"/>
        </w:rPr>
      </w:pPr>
      <w:r w:rsidRPr="001409D9">
        <w:t>7</w:t>
      </w:r>
      <w:r w:rsidR="00572C22" w:rsidRPr="00572C22">
        <w:rPr>
          <w:lang w:val="fr-CH" w:eastAsia="fr-FR"/>
        </w:rPr>
        <w:tab/>
        <w:t xml:space="preserve">que </w:t>
      </w:r>
      <w:r w:rsidR="00273131">
        <w:rPr>
          <w:lang w:val="fr-CH" w:eastAsia="fr-FR"/>
        </w:rPr>
        <w:t xml:space="preserve">les engins spatiaux </w:t>
      </w:r>
      <w:r w:rsidR="00572C22" w:rsidRPr="00572C22">
        <w:rPr>
          <w:lang w:val="fr-CH" w:eastAsia="fr-FR"/>
        </w:rPr>
        <w:t xml:space="preserve">du SETS utilisant des antennes directives </w:t>
      </w:r>
      <w:r w:rsidR="00273131">
        <w:rPr>
          <w:lang w:val="fr-CH" w:eastAsia="fr-FR"/>
        </w:rPr>
        <w:t xml:space="preserve">soient conçus </w:t>
      </w:r>
      <w:r w:rsidR="00572C22" w:rsidRPr="00572C22">
        <w:rPr>
          <w:lang w:val="fr-CH" w:eastAsia="fr-FR"/>
        </w:rPr>
        <w:t xml:space="preserve">de telle sorte que </w:t>
      </w:r>
      <w:r w:rsidR="00273131">
        <w:rPr>
          <w:lang w:val="fr-CH" w:eastAsia="fr-FR"/>
        </w:rPr>
        <w:t xml:space="preserve">la </w:t>
      </w:r>
      <w:r w:rsidR="00572C22" w:rsidRPr="00572C22">
        <w:rPr>
          <w:lang w:val="fr-CH" w:eastAsia="fr-FR"/>
        </w:rPr>
        <w:t xml:space="preserve">puissance surfacique </w:t>
      </w:r>
      <w:r w:rsidR="00FD35ED">
        <w:rPr>
          <w:lang w:val="fr-CH" w:eastAsia="fr-FR"/>
        </w:rPr>
        <w:t xml:space="preserve">produite </w:t>
      </w:r>
      <w:r w:rsidR="00572C22" w:rsidRPr="00572C22">
        <w:rPr>
          <w:lang w:val="fr-CH" w:eastAsia="fr-FR"/>
        </w:rPr>
        <w:t xml:space="preserve">à la surface de la Terre </w:t>
      </w:r>
      <w:r w:rsidR="00273131">
        <w:rPr>
          <w:lang w:val="fr-CH" w:eastAsia="fr-FR"/>
        </w:rPr>
        <w:t xml:space="preserve">dans toutes les zones </w:t>
      </w:r>
      <w:r w:rsidR="00C023FF">
        <w:rPr>
          <w:lang w:val="fr-CH" w:eastAsia="fr-FR"/>
        </w:rPr>
        <w:t xml:space="preserve">de </w:t>
      </w:r>
      <w:r w:rsidR="00273131">
        <w:rPr>
          <w:lang w:val="fr-CH" w:eastAsia="fr-FR"/>
        </w:rPr>
        <w:t xml:space="preserve">latitude supérieure à 55° ou inférieure à </w:t>
      </w:r>
      <w:r w:rsidR="001A5636">
        <w:rPr>
          <w:lang w:val="fr-CH" w:eastAsia="fr-FR"/>
        </w:rPr>
        <w:t>−</w:t>
      </w:r>
      <w:r w:rsidR="00273131">
        <w:rPr>
          <w:lang w:val="fr-CH" w:eastAsia="fr-FR"/>
        </w:rPr>
        <w:t xml:space="preserve">55° </w:t>
      </w:r>
      <w:r w:rsidR="00FD35ED">
        <w:rPr>
          <w:lang w:val="fr-CH" w:eastAsia="fr-FR"/>
        </w:rPr>
        <w:t xml:space="preserve">ne dépasse pas </w:t>
      </w:r>
      <w:r w:rsidR="00572C22" w:rsidRPr="00572C22">
        <w:rPr>
          <w:lang w:val="fr-CH" w:eastAsia="fr-FR"/>
        </w:rPr>
        <w:t>−1</w:t>
      </w:r>
      <w:r w:rsidR="00FD35ED">
        <w:rPr>
          <w:lang w:val="fr-CH" w:eastAsia="fr-FR"/>
        </w:rPr>
        <w:t>45</w:t>
      </w:r>
      <w:r w:rsidR="00572C22" w:rsidRPr="00572C22">
        <w:rPr>
          <w:lang w:val="fr-CH" w:eastAsia="fr-FR"/>
        </w:rPr>
        <w:t> dB(W/m</w:t>
      </w:r>
      <w:r w:rsidR="00572C22" w:rsidRPr="00572C22">
        <w:rPr>
          <w:vertAlign w:val="superscript"/>
          <w:lang w:val="fr-CH" w:eastAsia="fr-FR"/>
        </w:rPr>
        <w:t>2</w:t>
      </w:r>
      <w:r w:rsidR="00572C22" w:rsidRPr="00572C22">
        <w:rPr>
          <w:lang w:val="fr-CH" w:eastAsia="fr-FR"/>
        </w:rPr>
        <w:t>)</w:t>
      </w:r>
      <w:r w:rsidR="00FD35ED">
        <w:rPr>
          <w:lang w:val="fr-CH" w:eastAsia="fr-FR"/>
        </w:rPr>
        <w:t xml:space="preserve"> dans une largeur de bande de référence de 4 kHz</w:t>
      </w:r>
      <w:r w:rsidR="00572C22" w:rsidRPr="00572C22">
        <w:rPr>
          <w:lang w:val="fr-CH" w:eastAsia="fr-FR"/>
        </w:rPr>
        <w:t>;</w:t>
      </w:r>
    </w:p>
    <w:p w:rsidR="00E34E4A" w:rsidRPr="00572C22" w:rsidRDefault="00E34E4A" w:rsidP="00E34E4A">
      <w:pPr>
        <w:rPr>
          <w:lang w:val="fr-CH" w:eastAsia="fr-FR"/>
        </w:rPr>
      </w:pPr>
      <w:r>
        <w:t>8</w:t>
      </w:r>
      <w:r w:rsidRPr="00572C22">
        <w:rPr>
          <w:lang w:val="fr-CH" w:eastAsia="fr-FR"/>
        </w:rPr>
        <w:tab/>
        <w:t xml:space="preserve">que </w:t>
      </w:r>
      <w:r>
        <w:rPr>
          <w:lang w:val="fr-CH" w:eastAsia="fr-FR"/>
        </w:rPr>
        <w:t xml:space="preserve">les engins spatiaux </w:t>
      </w:r>
      <w:r w:rsidRPr="00572C22">
        <w:rPr>
          <w:lang w:val="fr-CH" w:eastAsia="fr-FR"/>
        </w:rPr>
        <w:t xml:space="preserve">du SETS utilisant des antennes </w:t>
      </w:r>
      <w:r w:rsidRPr="00572C22">
        <w:rPr>
          <w:lang w:val="fr-CH"/>
        </w:rPr>
        <w:t xml:space="preserve">à rayonnement isotrope </w:t>
      </w:r>
      <w:r>
        <w:rPr>
          <w:lang w:val="fr-CH" w:eastAsia="fr-FR"/>
        </w:rPr>
        <w:t xml:space="preserve">soient conçus </w:t>
      </w:r>
      <w:r w:rsidRPr="00572C22">
        <w:rPr>
          <w:lang w:val="fr-CH" w:eastAsia="fr-FR"/>
        </w:rPr>
        <w:t xml:space="preserve">de telle sorte que </w:t>
      </w:r>
      <w:r>
        <w:rPr>
          <w:lang w:val="fr-CH" w:eastAsia="fr-FR"/>
        </w:rPr>
        <w:t xml:space="preserve">la </w:t>
      </w:r>
      <w:r w:rsidRPr="00572C22">
        <w:rPr>
          <w:lang w:val="fr-CH" w:eastAsia="fr-FR"/>
        </w:rPr>
        <w:t xml:space="preserve">puissance surfacique </w:t>
      </w:r>
      <w:r>
        <w:rPr>
          <w:lang w:val="fr-CH" w:eastAsia="fr-FR"/>
        </w:rPr>
        <w:t xml:space="preserve">produite </w:t>
      </w:r>
      <w:r w:rsidRPr="00572C22">
        <w:rPr>
          <w:lang w:val="fr-CH" w:eastAsia="fr-FR"/>
        </w:rPr>
        <w:t xml:space="preserve">à la surface de la Terre </w:t>
      </w:r>
      <w:r>
        <w:rPr>
          <w:lang w:val="fr-CH" w:eastAsia="fr-FR"/>
        </w:rPr>
        <w:t xml:space="preserve">ne dépasse pas </w:t>
      </w:r>
      <w:r w:rsidRPr="00572C22">
        <w:rPr>
          <w:lang w:val="fr-CH" w:eastAsia="fr-FR"/>
        </w:rPr>
        <w:t>−1</w:t>
      </w:r>
      <w:r>
        <w:rPr>
          <w:lang w:val="fr-CH" w:eastAsia="fr-FR"/>
        </w:rPr>
        <w:t>50</w:t>
      </w:r>
      <w:r w:rsidRPr="00572C22">
        <w:rPr>
          <w:lang w:val="fr-CH" w:eastAsia="fr-FR"/>
        </w:rPr>
        <w:t> dB(W/m</w:t>
      </w:r>
      <w:r w:rsidRPr="00572C22">
        <w:rPr>
          <w:vertAlign w:val="superscript"/>
          <w:lang w:val="fr-CH" w:eastAsia="fr-FR"/>
        </w:rPr>
        <w:t>2</w:t>
      </w:r>
      <w:r w:rsidRPr="00572C22">
        <w:rPr>
          <w:lang w:val="fr-CH" w:eastAsia="fr-FR"/>
        </w:rPr>
        <w:t>)</w:t>
      </w:r>
      <w:r>
        <w:rPr>
          <w:lang w:val="fr-CH" w:eastAsia="fr-FR"/>
        </w:rPr>
        <w:t xml:space="preserve"> dans une largeur de bande de référence de 4 kHz</w:t>
      </w:r>
      <w:r w:rsidRPr="00572C22">
        <w:rPr>
          <w:lang w:val="fr-CH" w:eastAsia="fr-FR"/>
        </w:rPr>
        <w:t>;</w:t>
      </w:r>
    </w:p>
    <w:p w:rsidR="00E34E4A" w:rsidRPr="00572C22" w:rsidRDefault="00E34E4A" w:rsidP="00E34E4A">
      <w:pPr>
        <w:rPr>
          <w:lang w:val="fr-CH" w:eastAsia="fr-FR"/>
        </w:rPr>
      </w:pPr>
      <w:r>
        <w:t>9</w:t>
      </w:r>
      <w:r w:rsidRPr="00572C22">
        <w:rPr>
          <w:lang w:val="fr-CH" w:eastAsia="fr-FR"/>
        </w:rPr>
        <w:tab/>
        <w:t xml:space="preserve">que </w:t>
      </w:r>
      <w:r>
        <w:rPr>
          <w:lang w:val="fr-CH" w:eastAsia="fr-FR"/>
        </w:rPr>
        <w:t xml:space="preserve">les engins spatiaux </w:t>
      </w:r>
      <w:r w:rsidRPr="00572C22">
        <w:rPr>
          <w:lang w:val="fr-CH" w:eastAsia="fr-FR"/>
        </w:rPr>
        <w:t xml:space="preserve">du SETS </w:t>
      </w:r>
      <w:r>
        <w:rPr>
          <w:lang w:val="fr-CH" w:eastAsia="fr-FR"/>
        </w:rPr>
        <w:t>n'</w:t>
      </w:r>
      <w:r w:rsidRPr="00572C22">
        <w:rPr>
          <w:lang w:val="fr-CH" w:eastAsia="fr-FR"/>
        </w:rPr>
        <w:t xml:space="preserve">utilisant </w:t>
      </w:r>
      <w:r>
        <w:rPr>
          <w:lang w:val="fr-CH" w:eastAsia="fr-FR"/>
        </w:rPr>
        <w:t xml:space="preserve">pas </w:t>
      </w:r>
      <w:r w:rsidRPr="00572C22">
        <w:rPr>
          <w:lang w:val="fr-CH" w:eastAsia="fr-FR"/>
        </w:rPr>
        <w:t xml:space="preserve">des antennes directives </w:t>
      </w:r>
      <w:r>
        <w:rPr>
          <w:lang w:val="fr-CH" w:eastAsia="fr-FR"/>
        </w:rPr>
        <w:t xml:space="preserve">ou à rayonnement isotrope soient conçus </w:t>
      </w:r>
      <w:r w:rsidRPr="00572C22">
        <w:rPr>
          <w:lang w:val="fr-CH" w:eastAsia="fr-FR"/>
        </w:rPr>
        <w:t xml:space="preserve">de telle sorte que </w:t>
      </w:r>
      <w:r>
        <w:rPr>
          <w:lang w:val="fr-CH" w:eastAsia="fr-FR"/>
        </w:rPr>
        <w:t xml:space="preserve">la </w:t>
      </w:r>
      <w:r w:rsidRPr="00572C22">
        <w:rPr>
          <w:lang w:val="fr-CH" w:eastAsia="fr-FR"/>
        </w:rPr>
        <w:t xml:space="preserve">puissance surfacique </w:t>
      </w:r>
      <w:r>
        <w:rPr>
          <w:lang w:val="fr-CH" w:eastAsia="fr-FR"/>
        </w:rPr>
        <w:t xml:space="preserve">produite </w:t>
      </w:r>
      <w:r w:rsidRPr="00572C22">
        <w:rPr>
          <w:lang w:val="fr-CH" w:eastAsia="fr-FR"/>
        </w:rPr>
        <w:t xml:space="preserve">à la surface de la Terre </w:t>
      </w:r>
      <w:r>
        <w:rPr>
          <w:lang w:val="fr-CH" w:eastAsia="fr-FR"/>
        </w:rPr>
        <w:t xml:space="preserve">ne dépasse pas </w:t>
      </w:r>
      <w:r w:rsidRPr="00572C22">
        <w:rPr>
          <w:lang w:val="fr-CH" w:eastAsia="fr-FR"/>
        </w:rPr>
        <w:t>−1</w:t>
      </w:r>
      <w:r>
        <w:rPr>
          <w:lang w:val="fr-CH" w:eastAsia="fr-FR"/>
        </w:rPr>
        <w:t>47</w:t>
      </w:r>
      <w:r w:rsidRPr="00572C22">
        <w:rPr>
          <w:lang w:val="fr-CH" w:eastAsia="fr-FR"/>
        </w:rPr>
        <w:t> dB(W/m</w:t>
      </w:r>
      <w:r w:rsidRPr="00572C22">
        <w:rPr>
          <w:vertAlign w:val="superscript"/>
          <w:lang w:val="fr-CH" w:eastAsia="fr-FR"/>
        </w:rPr>
        <w:t>2</w:t>
      </w:r>
      <w:r w:rsidRPr="00572C22">
        <w:rPr>
          <w:lang w:val="fr-CH" w:eastAsia="fr-FR"/>
        </w:rPr>
        <w:t>)</w:t>
      </w:r>
      <w:r>
        <w:rPr>
          <w:lang w:val="fr-CH" w:eastAsia="fr-FR"/>
        </w:rPr>
        <w:t xml:space="preserve"> dans une largeur de bande de référence de 4 kHz</w:t>
      </w:r>
      <w:r w:rsidRPr="00572C22">
        <w:rPr>
          <w:lang w:val="fr-CH" w:eastAsia="fr-FR"/>
        </w:rPr>
        <w:t>;</w:t>
      </w:r>
    </w:p>
    <w:p w:rsidR="00572C22" w:rsidRPr="00572C22" w:rsidRDefault="001409D9" w:rsidP="00572C22">
      <w:pPr>
        <w:rPr>
          <w:lang w:val="fr-CH"/>
        </w:rPr>
      </w:pPr>
      <w:r w:rsidRPr="001409D9">
        <w:t>10</w:t>
      </w:r>
      <w:r w:rsidR="00572C22" w:rsidRPr="00572C22">
        <w:rPr>
          <w:lang w:val="fr-CH"/>
        </w:rPr>
        <w:tab/>
        <w:t>que, pour limiter au minimum le besoin de coordination opérationnelle, les satellites du SETS utilisent des techniques approprié</w:t>
      </w:r>
      <w:bookmarkStart w:id="3" w:name="_GoBack"/>
      <w:bookmarkEnd w:id="3"/>
      <w:r w:rsidR="00572C22" w:rsidRPr="00572C22">
        <w:rPr>
          <w:lang w:val="fr-CH"/>
        </w:rPr>
        <w:t>es permettant d'éviter, dans la mesure du possible, les émissions brouilleuses de niveau supérieur au critère de protection du service de recherche spatiale (espace lointain) de l'UIT-R</w:t>
      </w:r>
      <w:r w:rsidR="00572C22" w:rsidRPr="001409D9">
        <w:rPr>
          <w:position w:val="6"/>
          <w:sz w:val="18"/>
          <w:lang w:val="fr-CH"/>
        </w:rPr>
        <w:footnoteReference w:id="1"/>
      </w:r>
      <w:r w:rsidR="00572C22" w:rsidRPr="00572C22">
        <w:rPr>
          <w:lang w:val="fr-CH"/>
        </w:rPr>
        <w:t xml:space="preserve"> dans la bande 8 400-8 450 MHz, en particulier une ou plusieurs des techniques applicables indiquées aux points 1 à 8 du </w:t>
      </w:r>
      <w:r w:rsidR="00572C22" w:rsidRPr="00572C22">
        <w:rPr>
          <w:i/>
          <w:lang w:val="fr-CH"/>
        </w:rPr>
        <w:t>recommande</w:t>
      </w:r>
      <w:r w:rsidR="00572C22" w:rsidRPr="00572C22">
        <w:rPr>
          <w:lang w:val="fr-CH"/>
        </w:rPr>
        <w:t xml:space="preserve"> (filtrage embarqué, séparation géographique importante entre stations terriennes du SETS et stations terriennes du service de recherche spatiale (espace lointain) et/ou modulations dans la bande latérale inférieure);</w:t>
      </w:r>
    </w:p>
    <w:p w:rsidR="00572C22" w:rsidRPr="00572C22" w:rsidRDefault="00572C22" w:rsidP="001409D9">
      <w:pPr>
        <w:rPr>
          <w:lang w:val="fr-CH"/>
        </w:rPr>
      </w:pPr>
      <w:r w:rsidRPr="00572C22">
        <w:t>1</w:t>
      </w:r>
      <w:r w:rsidR="001409D9" w:rsidRPr="001409D9">
        <w:t>1</w:t>
      </w:r>
      <w:r w:rsidRPr="00572C22">
        <w:rPr>
          <w:lang w:val="fr-CH"/>
        </w:rPr>
        <w:tab/>
        <w:t xml:space="preserve">que l'on envisage d'utiliser la bande 25,5-27 GHz pour les satellites du SETS notamment si les techniques indiquées aux points 1 à </w:t>
      </w:r>
      <w:r w:rsidR="001409D9" w:rsidRPr="001409D9">
        <w:rPr>
          <w:lang w:val="fr-CH"/>
        </w:rPr>
        <w:t>10</w:t>
      </w:r>
      <w:r w:rsidRPr="00572C22">
        <w:rPr>
          <w:lang w:val="fr-CH"/>
        </w:rPr>
        <w:t xml:space="preserve"> du </w:t>
      </w:r>
      <w:r w:rsidRPr="00572C22">
        <w:rPr>
          <w:i/>
          <w:lang w:val="fr-CH"/>
        </w:rPr>
        <w:t>recommande</w:t>
      </w:r>
      <w:r w:rsidRPr="00572C22">
        <w:rPr>
          <w:lang w:val="fr-CH"/>
        </w:rPr>
        <w:t xml:space="preserve"> ne permettent pas de résoudre de façon adéquate les éventuelles difficultés liées au partage du spectre et/ou aux émissions brouilleuses.</w:t>
      </w:r>
    </w:p>
    <w:p w:rsidR="00572C22" w:rsidRPr="00572C22" w:rsidRDefault="00572C22" w:rsidP="00572C22">
      <w:pPr>
        <w:rPr>
          <w:lang w:val="fr-CH"/>
        </w:rPr>
      </w:pPr>
    </w:p>
    <w:p w:rsidR="00572C22" w:rsidRPr="00572C22" w:rsidRDefault="00572C22" w:rsidP="00572C22">
      <w:pPr>
        <w:rPr>
          <w:lang w:val="fr-CH"/>
        </w:rPr>
      </w:pPr>
    </w:p>
    <w:p w:rsidR="00572C22" w:rsidRPr="003A3915" w:rsidRDefault="00572C22" w:rsidP="00572C22">
      <w:pPr>
        <w:pBdr>
          <w:top w:val="single" w:sz="6" w:space="1" w:color="auto"/>
        </w:pBdr>
        <w:tabs>
          <w:tab w:val="clear" w:pos="794"/>
          <w:tab w:val="clear" w:pos="1191"/>
          <w:tab w:val="clear" w:pos="1588"/>
          <w:tab w:val="clear" w:pos="1985"/>
        </w:tabs>
        <w:spacing w:before="240"/>
        <w:ind w:left="3997" w:right="3997"/>
        <w:jc w:val="center"/>
        <w:rPr>
          <w:sz w:val="20"/>
          <w:lang w:val="fr-CH"/>
        </w:rPr>
      </w:pPr>
    </w:p>
    <w:sectPr w:rsidR="00572C22" w:rsidRPr="003A3915" w:rsidSect="0014121B">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BC1" w:rsidRDefault="00F43BC1">
      <w:r>
        <w:separator/>
      </w:r>
    </w:p>
  </w:endnote>
  <w:endnote w:type="continuationSeparator" w:id="0">
    <w:p w:rsidR="00F43BC1" w:rsidRDefault="00F43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ymbolMT">
    <w:altName w:val="Times New Roman"/>
    <w:panose1 w:val="00000000000000000000"/>
    <w:charset w:val="A1"/>
    <w:family w:val="auto"/>
    <w:notTrueType/>
    <w:pitch w:val="default"/>
    <w:sig w:usb0="00000081" w:usb1="00000000" w:usb2="00000000" w:usb3="00000000" w:csb0="00000008"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BC1" w:rsidRDefault="00F43BC1">
      <w:r>
        <w:separator/>
      </w:r>
    </w:p>
  </w:footnote>
  <w:footnote w:type="continuationSeparator" w:id="0">
    <w:p w:rsidR="00F43BC1" w:rsidRDefault="00F43BC1">
      <w:r>
        <w:continuationSeparator/>
      </w:r>
    </w:p>
  </w:footnote>
  <w:footnote w:id="1">
    <w:p w:rsidR="00572C22" w:rsidRPr="009E5431" w:rsidRDefault="00572C22" w:rsidP="00572C22">
      <w:pPr>
        <w:pStyle w:val="FootnoteText"/>
        <w:rPr>
          <w:lang w:val="fr-CH"/>
        </w:rPr>
      </w:pPr>
      <w:r w:rsidRPr="009E5431">
        <w:rPr>
          <w:rStyle w:val="FootnoteReference"/>
          <w:lang w:val="fr-CH"/>
        </w:rPr>
        <w:footnoteRef/>
      </w:r>
      <w:r>
        <w:rPr>
          <w:lang w:val="fr-CH"/>
        </w:rPr>
        <w:tab/>
      </w:r>
      <w:r w:rsidRPr="009E5431">
        <w:rPr>
          <w:lang w:val="fr-CH"/>
        </w:rPr>
        <w:t xml:space="preserve">Voir </w:t>
      </w:r>
      <w:r>
        <w:rPr>
          <w:lang w:val="fr-CH"/>
        </w:rPr>
        <w:t>les Recommandations UIT-R de la série SA appropriées.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BC1" w:rsidRDefault="00F43BC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BC1" w:rsidRDefault="00F43BC1" w:rsidP="00C668C8">
    <w:pPr>
      <w:pStyle w:val="Header"/>
      <w:ind w:right="360" w:firstLine="360"/>
    </w:pPr>
    <w:r>
      <w:rPr>
        <w:noProof/>
        <w:lang w:val="en-GB" w:eastAsia="en-GB"/>
      </w:rPr>
      <w:drawing>
        <wp:anchor distT="0" distB="0" distL="114300" distR="114300" simplePos="0" relativeHeight="251657728" behindDoc="1" locked="0" layoutInCell="1" allowOverlap="1" wp14:anchorId="3345C640" wp14:editId="16D34C8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BC1" w:rsidRPr="00837CB5" w:rsidRDefault="00F43BC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B559C">
      <w:rPr>
        <w:rStyle w:val="PageNumber"/>
        <w:b/>
        <w:bCs/>
        <w:noProof/>
      </w:rPr>
      <w:t>ii</w:t>
    </w:r>
    <w:r>
      <w:rPr>
        <w:rStyle w:val="PageNumber"/>
        <w:b/>
        <w:bCs/>
      </w:rPr>
      <w:fldChar w:fldCharType="end"/>
    </w:r>
    <w:r w:rsidRPr="00837CB5">
      <w:tab/>
    </w:r>
    <w:r w:rsidR="00FB559C">
      <w:fldChar w:fldCharType="begin"/>
    </w:r>
    <w:r w:rsidR="00FB559C">
      <w:instrText xml:space="preserve"> DOCPROPERTY "Header" \* MERGEFORMAT </w:instrText>
    </w:r>
    <w:r w:rsidR="00FB559C">
      <w:fldChar w:fldCharType="separate"/>
    </w:r>
    <w:r w:rsidR="00FB559C" w:rsidRPr="00FB559C">
      <w:rPr>
        <w:b/>
        <w:bCs/>
      </w:rPr>
      <w:t xml:space="preserve">Rec. </w:t>
    </w:r>
    <w:r w:rsidR="00FB559C">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B559C">
      <w:rPr>
        <w:b/>
        <w:bCs/>
        <w:noProof/>
      </w:rPr>
      <w:t>UIT-R  SA.1810-1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BC1" w:rsidRDefault="00F43BC1">
    <w:pPr>
      <w:pStyle w:val="Header"/>
    </w:pPr>
    <w:r>
      <w:tab/>
    </w:r>
    <w:r w:rsidR="00FB559C">
      <w:fldChar w:fldCharType="begin"/>
    </w:r>
    <w:r w:rsidR="00FB559C">
      <w:instrText xml:space="preserve"> DOCPROPERTY "Header" \* MERGEFORMAT </w:instrText>
    </w:r>
    <w:r w:rsidR="00FB559C">
      <w:fldChar w:fldCharType="separate"/>
    </w:r>
    <w:r w:rsidR="00FB559C" w:rsidRPr="00FB559C">
      <w:rPr>
        <w:b/>
        <w:bCs/>
      </w:rPr>
      <w:t xml:space="preserve">Rec. </w:t>
    </w:r>
    <w:r w:rsidR="00FB559C">
      <w:rPr>
        <w:b/>
        <w:bCs/>
      </w:rPr>
      <w:fldChar w:fldCharType="end"/>
    </w:r>
    <w:r>
      <w:rPr>
        <w:b/>
        <w:bCs/>
      </w:rPr>
      <w:t xml:space="preserve"> </w:t>
    </w:r>
    <w:r>
      <w:rPr>
        <w:b/>
        <w:bCs/>
      </w:rPr>
      <w:fldChar w:fldCharType="begin"/>
    </w:r>
    <w:r>
      <w:rPr>
        <w:b/>
        <w:bCs/>
      </w:rPr>
      <w:instrText>styleref href</w:instrText>
    </w:r>
    <w:r>
      <w:rPr>
        <w:b/>
        <w:bCs/>
      </w:rPr>
      <w:fldChar w:fldCharType="separate"/>
    </w:r>
    <w:r w:rsidR="00FB559C">
      <w:rPr>
        <w:b/>
        <w:bCs/>
        <w:noProof/>
      </w:rPr>
      <w:t>UIT-R  SA.1810-1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B559C">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B559C" w:rsidRPr="00FB559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B559C">
      <w:rPr>
        <w:b/>
        <w:bCs/>
        <w:noProof/>
      </w:rPr>
      <w:t>UIT-R  SA.1810-1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FB559C">
      <w:fldChar w:fldCharType="begin"/>
    </w:r>
    <w:r w:rsidR="00FB559C">
      <w:instrText xml:space="preserve"> DOCPROPERTY "Header" \* MERGEFORMAT </w:instrText>
    </w:r>
    <w:r w:rsidR="00FB559C">
      <w:fldChar w:fldCharType="separate"/>
    </w:r>
    <w:r w:rsidR="00FB559C" w:rsidRPr="00FB559C">
      <w:rPr>
        <w:b/>
        <w:bCs/>
      </w:rPr>
      <w:t xml:space="preserve">Rec. </w:t>
    </w:r>
    <w:r w:rsidR="00FB559C">
      <w:rPr>
        <w:b/>
        <w:bCs/>
      </w:rPr>
      <w:fldChar w:fldCharType="end"/>
    </w:r>
    <w:r>
      <w:rPr>
        <w:b/>
        <w:bCs/>
      </w:rPr>
      <w:t xml:space="preserve"> </w:t>
    </w:r>
    <w:r>
      <w:rPr>
        <w:b/>
        <w:bCs/>
      </w:rPr>
      <w:fldChar w:fldCharType="begin"/>
    </w:r>
    <w:r>
      <w:rPr>
        <w:b/>
        <w:bCs/>
      </w:rPr>
      <w:instrText>styleref href</w:instrText>
    </w:r>
    <w:r>
      <w:rPr>
        <w:b/>
        <w:bCs/>
      </w:rPr>
      <w:fldChar w:fldCharType="separate"/>
    </w:r>
    <w:r w:rsidR="00FB559C">
      <w:rPr>
        <w:b/>
        <w:bCs/>
        <w:noProof/>
      </w:rPr>
      <w:t>UIT-R  SA.1810-1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B559C">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BC1"/>
    <w:rsid w:val="001409D9"/>
    <w:rsid w:val="0014121B"/>
    <w:rsid w:val="001A5636"/>
    <w:rsid w:val="00217EBF"/>
    <w:rsid w:val="00242AEE"/>
    <w:rsid w:val="00273131"/>
    <w:rsid w:val="002D76C4"/>
    <w:rsid w:val="00302887"/>
    <w:rsid w:val="00357AF9"/>
    <w:rsid w:val="003906B0"/>
    <w:rsid w:val="003A3915"/>
    <w:rsid w:val="003F7112"/>
    <w:rsid w:val="00486A97"/>
    <w:rsid w:val="0052529D"/>
    <w:rsid w:val="00536594"/>
    <w:rsid w:val="00572C22"/>
    <w:rsid w:val="005B188D"/>
    <w:rsid w:val="00607D68"/>
    <w:rsid w:val="00690516"/>
    <w:rsid w:val="007468DA"/>
    <w:rsid w:val="00751F87"/>
    <w:rsid w:val="0075679A"/>
    <w:rsid w:val="00817073"/>
    <w:rsid w:val="008A1FFF"/>
    <w:rsid w:val="008E794D"/>
    <w:rsid w:val="009053AD"/>
    <w:rsid w:val="009E00A8"/>
    <w:rsid w:val="00A6617B"/>
    <w:rsid w:val="00AB0DC8"/>
    <w:rsid w:val="00AE7DF5"/>
    <w:rsid w:val="00B44E24"/>
    <w:rsid w:val="00C006D0"/>
    <w:rsid w:val="00C023FF"/>
    <w:rsid w:val="00C46D23"/>
    <w:rsid w:val="00CD1742"/>
    <w:rsid w:val="00D91362"/>
    <w:rsid w:val="00DF4176"/>
    <w:rsid w:val="00E34E4A"/>
    <w:rsid w:val="00F43BC1"/>
    <w:rsid w:val="00F77CCA"/>
    <w:rsid w:val="00FA1893"/>
    <w:rsid w:val="00FB559C"/>
    <w:rsid w:val="00FD35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5E58B3"/>
  <w15:docId w15:val="{14E7ACC9-C429-420D-822E-774B1C64E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B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43B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TotalTime>
  <Pages>5</Pages>
  <Words>1846</Words>
  <Characters>10392</Characters>
  <Application>Microsoft Office Word</Application>
  <DocSecurity>0</DocSecurity>
  <Lines>220</Lines>
  <Paragraphs>96</Paragraphs>
  <ScaleCrop>false</ScaleCrop>
  <HeadingPairs>
    <vt:vector size="2" baseType="variant">
      <vt:variant>
        <vt:lpstr>Title</vt:lpstr>
      </vt:variant>
      <vt:variant>
        <vt:i4>1</vt:i4>
      </vt:variant>
    </vt:vector>
  </HeadingPairs>
  <TitlesOfParts>
    <vt:vector size="1" baseType="lpstr">
      <vt:lpstr>RECOMMANDATION  UIT-R  SA.1810-1 - Lignes directrices concernant la conception des systèmes du service d'exploration de la Terre par satellite fonctionnant dans la bande 8 025-8 400 MHz</vt:lpstr>
    </vt:vector>
  </TitlesOfParts>
  <Manager/>
  <Company>ITU</Company>
  <LinksUpToDate>false</LinksUpToDate>
  <CharactersWithSpaces>12147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SA.1810-1 - Lignes directrices concernant la conception des systèmes du service d'exploration de la Terre par satellite fonctionnant dans la bande 8 025-8 400 MHz</dc:title>
  <dc:subject>Série SA = Applications spatiales</dc:subject>
  <dc:creator>Bureau des radiocommunications de l'UIT (BR)</dc:creator>
  <cp:keywords>SA,1810-1</cp:keywords>
  <dc:description>Gachetc, 12/04/2018, ITU51007784</dc:description>
  <cp:lastModifiedBy>Gachet, Christelle</cp:lastModifiedBy>
  <cp:revision>7</cp:revision>
  <cp:lastPrinted>2018-04-12T09:32:00Z</cp:lastPrinted>
  <dcterms:created xsi:type="dcterms:W3CDTF">2018-04-12T09:25:00Z</dcterms:created>
  <dcterms:modified xsi:type="dcterms:W3CDTF">2018-04-12T09:32:00Z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12 April 2018</vt:lpwstr>
  </property>
</Properties>
</file>