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bookmarkStart w:id="0" w:name="_GoBack"/>
      <w:bookmarkEnd w:id="0"/>
    </w:p>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EE2364">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EE2364" w:rsidRPr="00EE2364">
              <w:rPr>
                <w:rFonts w:ascii="Tahoma" w:hAnsi="Tahoma" w:cs="Tahoma"/>
                <w:b/>
                <w:bCs/>
                <w:iCs/>
                <w:color w:val="243285"/>
                <w:sz w:val="36"/>
                <w:szCs w:val="36"/>
                <w:lang w:val="en-US"/>
              </w:rPr>
              <w:t>1810-1</w:t>
            </w:r>
          </w:p>
          <w:p w:rsidR="00FE79FE" w:rsidRPr="0081070A" w:rsidRDefault="00FE79FE" w:rsidP="00D472B5">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D472B5">
              <w:rPr>
                <w:rFonts w:ascii="Tahoma" w:hAnsi="Tahoma" w:cs="Tahoma"/>
                <w:b/>
                <w:bCs/>
                <w:iCs/>
                <w:color w:val="243285"/>
                <w:szCs w:val="24"/>
                <w:lang w:val="fr-CH"/>
              </w:rPr>
              <w:t>07</w:t>
            </w:r>
            <w:r w:rsidRPr="0081070A">
              <w:rPr>
                <w:rFonts w:ascii="Tahoma" w:hAnsi="Tahoma" w:cs="Tahoma"/>
                <w:b/>
                <w:bCs/>
                <w:iCs/>
                <w:color w:val="243285"/>
                <w:szCs w:val="24"/>
                <w:lang w:val="fr-CH"/>
              </w:rPr>
              <w:t>/</w:t>
            </w:r>
            <w:r w:rsidR="00D472B5">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FE79FE" w:rsidRPr="000001CC">
        <w:tc>
          <w:tcPr>
            <w:tcW w:w="10089" w:type="dxa"/>
          </w:tcPr>
          <w:p w:rsidR="00013002" w:rsidRPr="000B4A8E" w:rsidRDefault="00013002" w:rsidP="00FE79FE">
            <w:pPr>
              <w:spacing w:before="80" w:line="500" w:lineRule="exact"/>
              <w:jc w:val="right"/>
              <w:rPr>
                <w:rFonts w:ascii="Tahoma" w:hAnsi="Tahoma" w:cs="Tahoma"/>
                <w:b/>
                <w:bCs/>
                <w:iCs/>
                <w:color w:val="243285"/>
                <w:sz w:val="44"/>
                <w:szCs w:val="44"/>
                <w:lang w:val="en-GB"/>
              </w:rPr>
            </w:pPr>
          </w:p>
          <w:p w:rsidR="00A62A14" w:rsidRPr="001511A6" w:rsidRDefault="00D472B5" w:rsidP="00D472B5">
            <w:pPr>
              <w:spacing w:before="80" w:line="500" w:lineRule="exact"/>
              <w:jc w:val="right"/>
              <w:rPr>
                <w:rFonts w:ascii="Tahoma" w:hAnsi="Tahoma" w:cs="Tahoma"/>
                <w:b/>
                <w:bCs/>
                <w:iCs/>
                <w:color w:val="243285"/>
                <w:sz w:val="40"/>
                <w:szCs w:val="40"/>
                <w:lang w:val="en-US"/>
              </w:rPr>
            </w:pPr>
            <w:r w:rsidRPr="00D472B5">
              <w:rPr>
                <w:rFonts w:ascii="Tahoma" w:hAnsi="Tahoma" w:cs="Tahoma"/>
                <w:b/>
                <w:bCs/>
                <w:iCs/>
                <w:color w:val="243285"/>
                <w:sz w:val="44"/>
                <w:szCs w:val="44"/>
                <w:lang w:val="en-US"/>
              </w:rPr>
              <w:t>System design guidelines for Earth exploration-satellites operating</w:t>
            </w:r>
            <w:r w:rsidRPr="00D472B5">
              <w:rPr>
                <w:rFonts w:ascii="Tahoma" w:hAnsi="Tahoma" w:cs="Tahoma"/>
                <w:b/>
                <w:bCs/>
                <w:iCs/>
                <w:color w:val="243285"/>
                <w:sz w:val="44"/>
                <w:szCs w:val="44"/>
                <w:lang w:val="en-US"/>
              </w:rPr>
              <w:br/>
              <w:t xml:space="preserve">in the band 8 025-8 400 MHz </w:t>
            </w:r>
          </w:p>
        </w:tc>
      </w:tr>
      <w:tr w:rsidR="00FE79FE">
        <w:tc>
          <w:tcPr>
            <w:tcW w:w="10089" w:type="dxa"/>
          </w:tcPr>
          <w:p w:rsidR="001F38BB" w:rsidRPr="00D472B5" w:rsidRDefault="001F38BB" w:rsidP="001F38BB">
            <w:pPr>
              <w:spacing w:before="80" w:line="280" w:lineRule="exact"/>
              <w:ind w:right="640"/>
              <w:rPr>
                <w:rFonts w:ascii="Tahoma" w:hAnsi="Tahoma" w:cs="Tahoma"/>
                <w:b/>
                <w:bCs/>
                <w:iCs/>
                <w:color w:val="243285"/>
                <w:sz w:val="32"/>
                <w:szCs w:val="32"/>
                <w:lang w:val="en-GB"/>
              </w:rPr>
            </w:pPr>
          </w:p>
          <w:p w:rsidR="001F38BB" w:rsidRPr="00D472B5" w:rsidRDefault="001F38BB" w:rsidP="001F38BB">
            <w:pPr>
              <w:spacing w:before="80" w:line="280" w:lineRule="exact"/>
              <w:ind w:right="640"/>
              <w:rPr>
                <w:rFonts w:ascii="Tahoma" w:hAnsi="Tahoma" w:cs="Tahoma"/>
                <w:b/>
                <w:bCs/>
                <w:iCs/>
                <w:color w:val="243285"/>
                <w:sz w:val="32"/>
                <w:szCs w:val="32"/>
                <w:lang w:val="en-GB"/>
              </w:rPr>
            </w:pPr>
          </w:p>
          <w:p w:rsidR="001F38BB" w:rsidRPr="00D472B5" w:rsidRDefault="001F38BB" w:rsidP="001F38BB">
            <w:pPr>
              <w:spacing w:before="80" w:after="180" w:line="360" w:lineRule="exact"/>
              <w:ind w:right="720"/>
              <w:rPr>
                <w:rFonts w:ascii="Tahoma" w:hAnsi="Tahoma" w:cs="Tahoma"/>
                <w:b/>
                <w:bCs/>
                <w:iCs/>
                <w:color w:val="243285"/>
                <w:sz w:val="36"/>
                <w:szCs w:val="36"/>
                <w:lang w:val="en-GB"/>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E00AF9">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001CC">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001CC"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0001CC"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001CC">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001CC">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495B8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495B82">
        <w:rPr>
          <w:sz w:val="20"/>
          <w:lang w:val="en-US"/>
        </w:rPr>
        <w:t>7</w:t>
      </w:r>
    </w:p>
    <w:p w:rsidR="00586EF8" w:rsidRPr="00470E28" w:rsidRDefault="00586EF8" w:rsidP="00495B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3E5917">
        <w:rPr>
          <w:sz w:val="20"/>
          <w:lang w:val="en-US"/>
        </w:rPr>
        <w:t>1</w:t>
      </w:r>
      <w:r w:rsidR="00495B82">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E00AF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B29B6" w:rsidRPr="003A798F" w:rsidRDefault="003A798F" w:rsidP="003A798F">
      <w:pPr>
        <w:pStyle w:val="RecNo"/>
        <w:rPr>
          <w:b/>
          <w:lang w:val="en-GB"/>
        </w:rPr>
      </w:pPr>
      <w:bookmarkStart w:id="3" w:name="irecnoe"/>
      <w:bookmarkEnd w:id="3"/>
      <w:r w:rsidRPr="003A798F">
        <w:rPr>
          <w:lang w:val="en-GB"/>
        </w:rPr>
        <w:lastRenderedPageBreak/>
        <w:t xml:space="preserve">RECOMMENDATION  </w:t>
      </w:r>
      <w:r w:rsidRPr="003A798F">
        <w:rPr>
          <w:rStyle w:val="href"/>
          <w:lang w:val="en-GB"/>
        </w:rPr>
        <w:t>ITU-R  SA.</w:t>
      </w:r>
      <w:r>
        <w:rPr>
          <w:rStyle w:val="href"/>
          <w:lang w:val="en-US"/>
        </w:rPr>
        <w:t>1810-1</w:t>
      </w:r>
    </w:p>
    <w:p w:rsidR="00AB29B6" w:rsidRPr="00E626E9" w:rsidRDefault="00AB29B6" w:rsidP="00D83E33">
      <w:pPr>
        <w:pStyle w:val="Rectitle"/>
        <w:rPr>
          <w:lang w:val="en-US"/>
        </w:rPr>
      </w:pPr>
      <w:r w:rsidRPr="00E626E9">
        <w:rPr>
          <w:lang w:val="en-US"/>
        </w:rPr>
        <w:t>System design guidelines for Earth exploration-satellites operating</w:t>
      </w:r>
      <w:r w:rsidR="00D83E33">
        <w:rPr>
          <w:lang w:val="en-US"/>
        </w:rPr>
        <w:t xml:space="preserve"> in the band </w:t>
      </w:r>
      <w:r w:rsidRPr="00E626E9">
        <w:rPr>
          <w:lang w:val="en-US"/>
        </w:rPr>
        <w:t>8 025-8 400 MHz</w:t>
      </w:r>
    </w:p>
    <w:p w:rsidR="00AB29B6" w:rsidRDefault="00AB29B6" w:rsidP="00AB29B6">
      <w:pPr>
        <w:pStyle w:val="Recref"/>
        <w:rPr>
          <w:lang w:val="en-US"/>
        </w:rPr>
      </w:pPr>
      <w:r w:rsidRPr="004A4F2E">
        <w:rPr>
          <w:lang w:val="en-US"/>
        </w:rPr>
        <w:t>(Question ITU-R 139/7)</w:t>
      </w:r>
    </w:p>
    <w:p w:rsidR="00AB29B6" w:rsidRPr="00FA1471" w:rsidRDefault="00AB29B6" w:rsidP="00AB29B6">
      <w:pPr>
        <w:pStyle w:val="Recdate"/>
        <w:rPr>
          <w:lang w:val="en-US"/>
        </w:rPr>
      </w:pPr>
      <w:r>
        <w:rPr>
          <w:lang w:val="en-US"/>
        </w:rPr>
        <w:t>(2007-2017)</w:t>
      </w:r>
    </w:p>
    <w:p w:rsidR="00AB29B6" w:rsidRPr="00AB3CE1" w:rsidRDefault="00AB29B6" w:rsidP="00297349">
      <w:pPr>
        <w:pStyle w:val="HeadingSum"/>
        <w:rPr>
          <w:sz w:val="22"/>
        </w:rPr>
      </w:pPr>
      <w:r w:rsidRPr="00AB3CE1">
        <w:rPr>
          <w:sz w:val="22"/>
        </w:rPr>
        <w:t>Scope</w:t>
      </w:r>
    </w:p>
    <w:p w:rsidR="00AB29B6" w:rsidRPr="00AB3CE1" w:rsidRDefault="00AB29B6" w:rsidP="00F7737C">
      <w:pPr>
        <w:pStyle w:val="Summary"/>
        <w:rPr>
          <w:sz w:val="22"/>
        </w:rPr>
      </w:pPr>
      <w:r w:rsidRPr="00AB3CE1">
        <w:rPr>
          <w:sz w:val="22"/>
        </w:rPr>
        <w:t>The use of the 8 025-8 400 MHz band by Earth exploration-satellite service (EESS) satellites operated by various entities for data downlink operations is increasing and could result in harmful interference between these operators. Potential difficulties in sharing the heavily occupied 8 GHz spectrum may be avoided, if EESS satellite designers carefully select which of the mitigation methods are appropriate for the satellite’s intended operations. In addition to improving the sharing conditions for EESS satellites, many of the mitigation methods can also be beneficial in reducing or eliminating potential coordination with the extremely sensitive space research service (deep space) operating in the adjacent 8 400-8 450 MHz band. This Recommendation provides guidance in the form of a list of possible mitigation methods, shown in recommends, for consideration to reduce the potential for interference by and to EESS satellites given the growing interest in the use of the 8 025-8 400 MHz band by the EESS.</w:t>
      </w:r>
    </w:p>
    <w:p w:rsidR="00233A5D" w:rsidRPr="00812F72" w:rsidRDefault="00233A5D" w:rsidP="00233A5D">
      <w:pPr>
        <w:pStyle w:val="Headingb"/>
        <w:rPr>
          <w:lang w:val="en-US"/>
        </w:rPr>
      </w:pPr>
      <w:r w:rsidRPr="000B4A8E">
        <w:rPr>
          <w:lang w:val="en-GB"/>
        </w:rPr>
        <w:t>Keywords</w:t>
      </w:r>
    </w:p>
    <w:p w:rsidR="00233A5D" w:rsidRPr="00495B82" w:rsidRDefault="00233A5D" w:rsidP="00233A5D">
      <w:pPr>
        <w:rPr>
          <w:lang w:val="en-GB"/>
        </w:rPr>
      </w:pPr>
      <w:r w:rsidRPr="00495B82">
        <w:rPr>
          <w:lang w:val="en-GB"/>
        </w:rPr>
        <w:t>Earth Exploration-Satellite Service, system design</w:t>
      </w:r>
    </w:p>
    <w:p w:rsidR="00AB29B6" w:rsidRPr="00812F72" w:rsidRDefault="00AB29B6" w:rsidP="00297349">
      <w:pPr>
        <w:pStyle w:val="Headingb"/>
        <w:rPr>
          <w:lang w:val="en-US" w:eastAsia="zh-CN"/>
        </w:rPr>
      </w:pPr>
      <w:r w:rsidRPr="000B4A8E">
        <w:rPr>
          <w:lang w:val="en-GB"/>
        </w:rPr>
        <w:t>Related</w:t>
      </w:r>
      <w:r w:rsidRPr="00812F72">
        <w:rPr>
          <w:lang w:val="en-US" w:eastAsia="zh-CN"/>
        </w:rPr>
        <w:t xml:space="preserve"> Recommendations and Reports</w:t>
      </w:r>
    </w:p>
    <w:p w:rsidR="00AB29B6" w:rsidRPr="00495B82" w:rsidRDefault="00AB29B6" w:rsidP="00AB29B6">
      <w:pPr>
        <w:rPr>
          <w:lang w:val="en-GB"/>
        </w:rPr>
      </w:pPr>
      <w:r w:rsidRPr="00495B82">
        <w:rPr>
          <w:lang w:val="en-GB"/>
        </w:rPr>
        <w:t>Recommendation ITU-R SA.1157</w:t>
      </w:r>
    </w:p>
    <w:p w:rsidR="00AB29B6" w:rsidRPr="004A4F2E" w:rsidRDefault="00AB29B6" w:rsidP="00297349">
      <w:pPr>
        <w:pStyle w:val="Normalaftertitle"/>
        <w:rPr>
          <w:lang w:val="en-US"/>
        </w:rPr>
      </w:pPr>
      <w:r w:rsidRPr="004A4F2E">
        <w:rPr>
          <w:lang w:val="en-US"/>
        </w:rPr>
        <w:t xml:space="preserve">The ITU </w:t>
      </w:r>
      <w:r w:rsidRPr="000B4A8E">
        <w:rPr>
          <w:lang w:val="en-GB"/>
        </w:rPr>
        <w:t>Radiocommunication</w:t>
      </w:r>
      <w:r w:rsidRPr="004A4F2E">
        <w:rPr>
          <w:lang w:val="en-US"/>
        </w:rPr>
        <w:t xml:space="preserve"> Assembly,</w:t>
      </w:r>
    </w:p>
    <w:p w:rsidR="00AB29B6" w:rsidRPr="004A4F2E" w:rsidRDefault="00AB29B6" w:rsidP="00AB29B6">
      <w:pPr>
        <w:pStyle w:val="Call"/>
        <w:rPr>
          <w:lang w:val="en-US"/>
        </w:rPr>
      </w:pPr>
      <w:r w:rsidRPr="004A4F2E">
        <w:rPr>
          <w:lang w:val="en-US"/>
        </w:rPr>
        <w:t>considering</w:t>
      </w:r>
    </w:p>
    <w:p w:rsidR="00AB29B6" w:rsidRPr="004A4F2E" w:rsidRDefault="00AB29B6" w:rsidP="00AB29B6">
      <w:pPr>
        <w:rPr>
          <w:lang w:val="en-US"/>
        </w:rPr>
      </w:pPr>
      <w:r w:rsidRPr="0011091C">
        <w:rPr>
          <w:i/>
          <w:iCs/>
          <w:lang w:val="en-US"/>
        </w:rPr>
        <w:t>a)</w:t>
      </w:r>
      <w:r w:rsidRPr="004A4F2E">
        <w:rPr>
          <w:lang w:val="en-US"/>
        </w:rPr>
        <w:tab/>
        <w:t>that Earth exploration-satellite service (EESS) satellites are an increasingly important tool for acquiring information about the Earth and its environment;</w:t>
      </w:r>
    </w:p>
    <w:p w:rsidR="00AB29B6" w:rsidRPr="004A4F2E" w:rsidRDefault="00AB29B6" w:rsidP="00AB29B6">
      <w:pPr>
        <w:rPr>
          <w:lang w:val="en-US"/>
        </w:rPr>
      </w:pPr>
      <w:r w:rsidRPr="0011091C">
        <w:rPr>
          <w:i/>
          <w:iCs/>
          <w:lang w:val="en-US"/>
        </w:rPr>
        <w:t>b)</w:t>
      </w:r>
      <w:r w:rsidRPr="004A4F2E">
        <w:rPr>
          <w:lang w:val="en-US"/>
        </w:rPr>
        <w:tab/>
        <w:t>that use of the band by EESS operated by commercial interests, governmental organizations and space agencies is increasing and could result in harmful interference among EESS systems;</w:t>
      </w:r>
    </w:p>
    <w:p w:rsidR="00AB29B6" w:rsidRPr="004A4F2E" w:rsidRDefault="00AB29B6" w:rsidP="00AB29B6">
      <w:pPr>
        <w:rPr>
          <w:lang w:val="en-US"/>
        </w:rPr>
      </w:pPr>
      <w:r w:rsidRPr="0011091C">
        <w:rPr>
          <w:i/>
          <w:iCs/>
          <w:lang w:val="en-US"/>
        </w:rPr>
        <w:t>c)</w:t>
      </w:r>
      <w:r w:rsidRPr="004A4F2E">
        <w:rPr>
          <w:lang w:val="en-US"/>
        </w:rPr>
        <w:tab/>
        <w:t>that proper selection of orbital parameters for sun-synchronous satellites can be a very effective interference mitigation technique which in general requires coordination at an early stage of system development;</w:t>
      </w:r>
    </w:p>
    <w:p w:rsidR="00AB29B6" w:rsidRPr="004A4F2E" w:rsidRDefault="00AB29B6" w:rsidP="00AB29B6">
      <w:pPr>
        <w:rPr>
          <w:lang w:val="en-US" w:eastAsia="fr-FR"/>
        </w:rPr>
      </w:pPr>
      <w:r w:rsidRPr="0011091C">
        <w:rPr>
          <w:i/>
          <w:iCs/>
          <w:lang w:val="en-US" w:eastAsia="fr-FR"/>
        </w:rPr>
        <w:t>d)</w:t>
      </w:r>
      <w:r w:rsidRPr="004A4F2E">
        <w:rPr>
          <w:lang w:val="en-US" w:eastAsia="fr-FR"/>
        </w:rPr>
        <w:tab/>
        <w:t>that homogeneity among a set of technical parameters</w:t>
      </w:r>
      <w:r w:rsidRPr="004A4F2E">
        <w:rPr>
          <w:snapToGrid w:val="0"/>
          <w:lang w:val="en-US" w:eastAsia="fr-FR"/>
        </w:rPr>
        <w:t>, and in particular power flux</w:t>
      </w:r>
      <w:r w:rsidRPr="004A4F2E">
        <w:rPr>
          <w:snapToGrid w:val="0"/>
          <w:lang w:val="en-US" w:eastAsia="fr-FR"/>
        </w:rPr>
        <w:noBreakHyphen/>
        <w:t>density</w:t>
      </w:r>
      <w:r>
        <w:rPr>
          <w:snapToGrid w:val="0"/>
          <w:lang w:val="en-US" w:eastAsia="fr-FR"/>
        </w:rPr>
        <w:t xml:space="preserve"> (pfd)</w:t>
      </w:r>
      <w:r w:rsidRPr="004A4F2E">
        <w:rPr>
          <w:snapToGrid w:val="0"/>
          <w:lang w:val="en-US" w:eastAsia="fr-FR"/>
        </w:rPr>
        <w:t xml:space="preserve"> levels,</w:t>
      </w:r>
      <w:r w:rsidRPr="004A4F2E">
        <w:rPr>
          <w:lang w:val="en-US" w:eastAsia="fr-FR"/>
        </w:rPr>
        <w:t xml:space="preserve"> will lead to a more efficient use of the orbit/spectrum resource by the EESS;</w:t>
      </w:r>
    </w:p>
    <w:p w:rsidR="00AB29B6" w:rsidRPr="004A4F2E" w:rsidRDefault="00AB29B6" w:rsidP="00AB29B6">
      <w:pPr>
        <w:tabs>
          <w:tab w:val="left" w:pos="7230"/>
        </w:tabs>
        <w:rPr>
          <w:lang w:val="en-US"/>
        </w:rPr>
      </w:pPr>
      <w:r w:rsidRPr="0011091C">
        <w:rPr>
          <w:i/>
          <w:iCs/>
          <w:lang w:val="en-US"/>
        </w:rPr>
        <w:t>e)</w:t>
      </w:r>
      <w:r w:rsidRPr="004A4F2E">
        <w:rPr>
          <w:lang w:val="en-US"/>
        </w:rPr>
        <w:tab/>
        <w:t>that high-gain antennas on EESS satellites typically radiate power only towards a limited portion of the Earth’s surface</w:t>
      </w:r>
      <w:r w:rsidRPr="00495B82">
        <w:rPr>
          <w:color w:val="000000"/>
          <w:szCs w:val="24"/>
          <w:lang w:val="en-GB"/>
        </w:rPr>
        <w:t xml:space="preserve"> but the higher obtained e.i.r.p. may be a disadvantage for co</w:t>
      </w:r>
      <w:r w:rsidRPr="00495B82">
        <w:rPr>
          <w:color w:val="000000"/>
          <w:szCs w:val="24"/>
          <w:lang w:val="en-GB"/>
        </w:rPr>
        <w:noBreakHyphen/>
        <w:t>located stations</w:t>
      </w:r>
      <w:r w:rsidRPr="004A4F2E">
        <w:rPr>
          <w:lang w:val="en-US"/>
        </w:rPr>
        <w:t>;</w:t>
      </w:r>
    </w:p>
    <w:p w:rsidR="00AB29B6" w:rsidRPr="004A4F2E" w:rsidRDefault="00AB29B6" w:rsidP="00AB29B6">
      <w:pPr>
        <w:rPr>
          <w:lang w:val="en-US"/>
        </w:rPr>
      </w:pPr>
      <w:r w:rsidRPr="0011091C">
        <w:rPr>
          <w:i/>
          <w:iCs/>
          <w:lang w:val="en-US"/>
        </w:rPr>
        <w:t>f)</w:t>
      </w:r>
      <w:r w:rsidRPr="00917CDD">
        <w:rPr>
          <w:lang w:val="en-US"/>
        </w:rPr>
        <w:tab/>
        <w:t xml:space="preserve">that isoflux antennas have a more </w:t>
      </w:r>
      <w:r>
        <w:rPr>
          <w:lang w:val="en-US"/>
        </w:rPr>
        <w:t>uniform</w:t>
      </w:r>
      <w:r w:rsidRPr="00917CDD">
        <w:rPr>
          <w:lang w:val="en-US"/>
        </w:rPr>
        <w:t xml:space="preserve"> pfd distribution across the surface of the Earth as compared to omnidirectional antennas;</w:t>
      </w:r>
    </w:p>
    <w:p w:rsidR="00AB29B6" w:rsidRPr="004A4F2E" w:rsidRDefault="00AB29B6" w:rsidP="00AB29B6">
      <w:pPr>
        <w:rPr>
          <w:snapToGrid w:val="0"/>
          <w:lang w:val="en-US" w:eastAsia="fr-FR"/>
        </w:rPr>
      </w:pPr>
      <w:r w:rsidRPr="0011091C">
        <w:rPr>
          <w:i/>
          <w:iCs/>
          <w:snapToGrid w:val="0"/>
          <w:lang w:val="en-US" w:eastAsia="fr-FR"/>
        </w:rPr>
        <w:t>g)</w:t>
      </w:r>
      <w:r w:rsidRPr="004A4F2E">
        <w:rPr>
          <w:snapToGrid w:val="0"/>
          <w:lang w:val="en-US" w:eastAsia="fr-FR"/>
        </w:rPr>
        <w:tab/>
        <w:t>that broadcast modes generally cause higher levels of interference due to continuous transmissions and relatively high power spectral densities but have typically lower bandwidth requirements;</w:t>
      </w:r>
    </w:p>
    <w:p w:rsidR="00AB29B6" w:rsidRDefault="00AB29B6" w:rsidP="009846B7">
      <w:pPr>
        <w:rPr>
          <w:snapToGrid w:val="0"/>
          <w:lang w:val="en-US" w:eastAsia="fr-FR"/>
        </w:rPr>
      </w:pPr>
      <w:r w:rsidRPr="0011091C">
        <w:rPr>
          <w:i/>
          <w:iCs/>
          <w:snapToGrid w:val="0"/>
          <w:lang w:val="en-US" w:eastAsia="fr-FR"/>
        </w:rPr>
        <w:lastRenderedPageBreak/>
        <w:t>h)</w:t>
      </w:r>
      <w:r w:rsidRPr="00917CDD">
        <w:rPr>
          <w:snapToGrid w:val="0"/>
          <w:lang w:val="en-US" w:eastAsia="fr-FR"/>
        </w:rPr>
        <w:tab/>
        <w:t xml:space="preserve">that more than 90% of all EESS satellites operate at pfd levels below </w:t>
      </w:r>
      <w:r w:rsidR="009846B7">
        <w:rPr>
          <w:snapToGrid w:val="0"/>
          <w:lang w:val="en-US" w:eastAsia="fr-FR"/>
        </w:rPr>
        <w:t>−</w:t>
      </w:r>
      <w:r>
        <w:rPr>
          <w:snapToGrid w:val="0"/>
          <w:lang w:val="en-US" w:eastAsia="fr-FR"/>
        </w:rPr>
        <w:t>147</w:t>
      </w:r>
      <w:r w:rsidRPr="00917CDD">
        <w:rPr>
          <w:snapToGrid w:val="0"/>
          <w:lang w:val="en-US" w:eastAsia="fr-FR"/>
        </w:rPr>
        <w:t>dB(W/m</w:t>
      </w:r>
      <w:r w:rsidRPr="00917CDD">
        <w:rPr>
          <w:snapToGrid w:val="0"/>
          <w:vertAlign w:val="superscript"/>
          <w:lang w:val="en-US" w:eastAsia="fr-FR"/>
        </w:rPr>
        <w:t>2</w:t>
      </w:r>
      <w:r w:rsidRPr="00495B82">
        <w:rPr>
          <w:lang w:val="en-GB"/>
        </w:rPr>
        <w:t xml:space="preserve"> </w:t>
      </w:r>
      <w:r w:rsidRPr="00917CDD">
        <w:sym w:font="Symbol" w:char="F0D7"/>
      </w:r>
      <w:r w:rsidRPr="00495B82">
        <w:rPr>
          <w:lang w:val="en-GB"/>
        </w:rPr>
        <w:t xml:space="preserve"> </w:t>
      </w:r>
      <w:r>
        <w:rPr>
          <w:snapToGrid w:val="0"/>
          <w:lang w:val="en-US" w:eastAsia="fr-FR"/>
        </w:rPr>
        <w:t>4 kHz</w:t>
      </w:r>
      <w:r w:rsidRPr="00917CDD">
        <w:rPr>
          <w:snapToGrid w:val="0"/>
          <w:lang w:val="en-US" w:eastAsia="fr-FR"/>
        </w:rPr>
        <w:t>) for high angles of arrival at the surface of the Earth;</w:t>
      </w:r>
    </w:p>
    <w:p w:rsidR="00AB29B6" w:rsidRPr="00495B82" w:rsidRDefault="00AB29B6" w:rsidP="00AB29B6">
      <w:pPr>
        <w:rPr>
          <w:color w:val="000000"/>
          <w:szCs w:val="24"/>
          <w:lang w:val="en-GB"/>
        </w:rPr>
      </w:pPr>
      <w:r w:rsidRPr="0011091C">
        <w:rPr>
          <w:i/>
          <w:iCs/>
          <w:snapToGrid w:val="0"/>
          <w:lang w:val="en-US" w:eastAsia="fr-FR"/>
        </w:rPr>
        <w:t>i)</w:t>
      </w:r>
      <w:r w:rsidRPr="004A4F2E">
        <w:rPr>
          <w:snapToGrid w:val="0"/>
          <w:lang w:val="en-US" w:eastAsia="fr-FR"/>
        </w:rPr>
        <w:tab/>
      </w:r>
      <w:r w:rsidRPr="00495B82">
        <w:rPr>
          <w:color w:val="000000"/>
          <w:szCs w:val="24"/>
          <w:lang w:val="en-GB"/>
        </w:rPr>
        <w:t>that the interference risk is more significant in high latitude areas since most of Earth exploration-satellites use polar orbits;</w:t>
      </w:r>
    </w:p>
    <w:p w:rsidR="00AB29B6" w:rsidRPr="004A4F2E" w:rsidRDefault="00AB29B6" w:rsidP="00AB29B6">
      <w:pPr>
        <w:rPr>
          <w:snapToGrid w:val="0"/>
          <w:lang w:val="en-US" w:eastAsia="fr-FR"/>
        </w:rPr>
      </w:pPr>
      <w:r w:rsidRPr="0011091C">
        <w:rPr>
          <w:i/>
          <w:iCs/>
          <w:snapToGrid w:val="0"/>
          <w:lang w:val="en-US" w:eastAsia="fr-FR"/>
        </w:rPr>
        <w:t>j)</w:t>
      </w:r>
      <w:r w:rsidRPr="004A4F2E">
        <w:rPr>
          <w:snapToGrid w:val="0"/>
          <w:lang w:val="en-US" w:eastAsia="fr-FR"/>
        </w:rPr>
        <w:tab/>
      </w:r>
      <w:r w:rsidRPr="00495B82">
        <w:rPr>
          <w:color w:val="000000"/>
          <w:szCs w:val="24"/>
          <w:lang w:val="en-GB"/>
        </w:rPr>
        <w:t>that tropospheric propagation effects in high latitude areas are generally limited;</w:t>
      </w:r>
    </w:p>
    <w:p w:rsidR="00AB29B6" w:rsidRPr="004A4F2E" w:rsidRDefault="00AB29B6" w:rsidP="00AB29B6">
      <w:pPr>
        <w:rPr>
          <w:snapToGrid w:val="0"/>
          <w:lang w:val="en-US" w:eastAsia="fr-FR"/>
        </w:rPr>
      </w:pPr>
      <w:r w:rsidRPr="0011091C">
        <w:rPr>
          <w:i/>
          <w:iCs/>
          <w:snapToGrid w:val="0"/>
          <w:lang w:val="en-US" w:eastAsia="fr-FR"/>
        </w:rPr>
        <w:t>k)</w:t>
      </w:r>
      <w:r w:rsidRPr="004A4F2E">
        <w:rPr>
          <w:snapToGrid w:val="0"/>
          <w:lang w:val="en-US" w:eastAsia="fr-FR"/>
        </w:rPr>
        <w:tab/>
        <w:t>that proper selection of bandwidth/power efficient modulation and coding techniques could result in smaller occupied bandwidths and lower adjacent channel interference;</w:t>
      </w:r>
    </w:p>
    <w:p w:rsidR="00AB29B6" w:rsidRPr="004A4F2E" w:rsidRDefault="00AB29B6" w:rsidP="00AB29B6">
      <w:pPr>
        <w:rPr>
          <w:snapToGrid w:val="0"/>
          <w:lang w:val="en-US" w:eastAsia="fr-FR"/>
        </w:rPr>
      </w:pPr>
      <w:r w:rsidRPr="0011091C">
        <w:rPr>
          <w:i/>
          <w:iCs/>
          <w:snapToGrid w:val="0"/>
          <w:lang w:val="en-US" w:eastAsia="fr-FR"/>
        </w:rPr>
        <w:t>l)</w:t>
      </w:r>
      <w:r w:rsidRPr="004A4F2E">
        <w:rPr>
          <w:snapToGrid w:val="0"/>
          <w:lang w:val="en-US" w:eastAsia="fr-FR"/>
        </w:rPr>
        <w:tab/>
        <w:t>that higher order advanced modulation schemes, such as 16 PSK and above, need less bandwidth than currently used QPSK and 8</w:t>
      </w:r>
      <w:r>
        <w:rPr>
          <w:snapToGrid w:val="0"/>
          <w:lang w:val="en-US" w:eastAsia="fr-FR"/>
        </w:rPr>
        <w:t>-</w:t>
      </w:r>
      <w:r w:rsidRPr="004A4F2E">
        <w:rPr>
          <w:snapToGrid w:val="0"/>
          <w:lang w:val="en-US" w:eastAsia="fr-FR"/>
        </w:rPr>
        <w:t xml:space="preserve">PSK but </w:t>
      </w:r>
      <w:r>
        <w:rPr>
          <w:snapToGrid w:val="0"/>
          <w:lang w:val="en-US" w:eastAsia="fr-FR"/>
        </w:rPr>
        <w:t xml:space="preserve">generally </w:t>
      </w:r>
      <w:r w:rsidRPr="004A4F2E">
        <w:rPr>
          <w:snapToGrid w:val="0"/>
          <w:lang w:val="en-US" w:eastAsia="fr-FR"/>
        </w:rPr>
        <w:t xml:space="preserve">require higher </w:t>
      </w:r>
      <w:r w:rsidR="00BB0C2C">
        <w:rPr>
          <w:snapToGrid w:val="0"/>
          <w:lang w:val="en-US" w:eastAsia="fr-FR"/>
        </w:rPr>
        <w:t>pfd</w:t>
      </w:r>
      <w:r>
        <w:rPr>
          <w:snapToGrid w:val="0"/>
          <w:lang w:val="en-US" w:eastAsia="fr-FR"/>
        </w:rPr>
        <w:t>s</w:t>
      </w:r>
      <w:r w:rsidRPr="004A4F2E">
        <w:rPr>
          <w:snapToGrid w:val="0"/>
          <w:lang w:val="en-US" w:eastAsia="fr-FR"/>
        </w:rPr>
        <w:t>;</w:t>
      </w:r>
    </w:p>
    <w:p w:rsidR="00AB29B6" w:rsidRPr="004A4F2E" w:rsidRDefault="00AB29B6" w:rsidP="00AB29B6">
      <w:pPr>
        <w:rPr>
          <w:lang w:val="en-US"/>
        </w:rPr>
      </w:pPr>
      <w:r w:rsidRPr="0011091C">
        <w:rPr>
          <w:i/>
          <w:iCs/>
          <w:lang w:val="en-US"/>
        </w:rPr>
        <w:t>m)</w:t>
      </w:r>
      <w:r w:rsidRPr="004A4F2E">
        <w:rPr>
          <w:lang w:val="en-US"/>
        </w:rPr>
        <w:tab/>
        <w:t>that a number of other interference mitigation techniques such as polarization discrimination, earth station separation and earth station antenna discrimination may also result</w:t>
      </w:r>
      <w:r w:rsidRPr="004A4F2E">
        <w:rPr>
          <w:i/>
          <w:lang w:val="en-US"/>
        </w:rPr>
        <w:t xml:space="preserve"> </w:t>
      </w:r>
      <w:r w:rsidRPr="004A4F2E">
        <w:rPr>
          <w:lang w:val="en-US"/>
        </w:rPr>
        <w:t>in lower interference levels;</w:t>
      </w:r>
    </w:p>
    <w:p w:rsidR="00AB29B6" w:rsidRPr="004A4F2E" w:rsidRDefault="00AB29B6" w:rsidP="00AB29B6">
      <w:pPr>
        <w:rPr>
          <w:lang w:val="en-US"/>
        </w:rPr>
      </w:pPr>
      <w:r w:rsidRPr="0011091C">
        <w:rPr>
          <w:i/>
          <w:iCs/>
          <w:lang w:val="en-US"/>
        </w:rPr>
        <w:t>n)</w:t>
      </w:r>
      <w:r w:rsidRPr="004A4F2E">
        <w:rPr>
          <w:lang w:val="en-US"/>
        </w:rPr>
        <w:tab/>
        <w:t>that receiving earth stations in the spa</w:t>
      </w:r>
      <w:r>
        <w:rPr>
          <w:lang w:val="en-US"/>
        </w:rPr>
        <w:t>ce research service (SRS) (deep</w:t>
      </w:r>
      <w:r>
        <w:rPr>
          <w:lang w:val="en-US"/>
        </w:rPr>
        <w:noBreakHyphen/>
      </w:r>
      <w:r w:rsidRPr="004A4F2E">
        <w:rPr>
          <w:lang w:val="en-US"/>
        </w:rPr>
        <w:t>space)</w:t>
      </w:r>
      <w:r>
        <w:rPr>
          <w:lang w:val="en-US"/>
        </w:rPr>
        <w:t>,</w:t>
      </w:r>
      <w:r w:rsidRPr="004A4F2E">
        <w:rPr>
          <w:lang w:val="en-US"/>
        </w:rPr>
        <w:t xml:space="preserve"> operated in the adjacent 8 400-8 450 MHz band</w:t>
      </w:r>
      <w:r>
        <w:rPr>
          <w:lang w:val="en-US"/>
        </w:rPr>
        <w:t>,</w:t>
      </w:r>
      <w:r w:rsidRPr="004A4F2E">
        <w:rPr>
          <w:lang w:val="en-US"/>
        </w:rPr>
        <w:t xml:space="preserve"> are extremely sensitive and potentially susceptible to interference from out-of-band emissions of EESS (space-to-Earth) satellite transmissions in the 8 025-8 400 MHz band;</w:t>
      </w:r>
    </w:p>
    <w:p w:rsidR="00AB29B6" w:rsidRPr="004A4F2E" w:rsidRDefault="00AB29B6" w:rsidP="00AB29B6">
      <w:pPr>
        <w:rPr>
          <w:lang w:val="en-US"/>
        </w:rPr>
      </w:pPr>
      <w:r w:rsidRPr="0011091C">
        <w:rPr>
          <w:i/>
          <w:iCs/>
          <w:lang w:val="en-US"/>
        </w:rPr>
        <w:t>o)</w:t>
      </w:r>
      <w:r w:rsidRPr="004A4F2E">
        <w:rPr>
          <w:lang w:val="en-US"/>
        </w:rPr>
        <w:tab/>
        <w:t>that time-critical events occur in both SRS (deep-space) and EESS operations;</w:t>
      </w:r>
    </w:p>
    <w:p w:rsidR="00AB29B6" w:rsidRPr="004A4F2E" w:rsidRDefault="00AB29B6" w:rsidP="00AB29B6">
      <w:pPr>
        <w:rPr>
          <w:lang w:val="en-US"/>
        </w:rPr>
      </w:pPr>
      <w:r w:rsidRPr="0011091C">
        <w:rPr>
          <w:i/>
          <w:iCs/>
          <w:lang w:val="en-US"/>
        </w:rPr>
        <w:t>p)</w:t>
      </w:r>
      <w:r w:rsidRPr="004A4F2E">
        <w:rPr>
          <w:lang w:val="en-US"/>
        </w:rPr>
        <w:tab/>
        <w:t>that most of the mitigation techniques proposed to reduce interference between EESS data transmission links also reduce out-of-band emissions received by SRS (deep-space) stations in the adjacent 8 400-8 450 MHz band,</w:t>
      </w:r>
    </w:p>
    <w:p w:rsidR="00AB29B6" w:rsidRPr="004A4F2E" w:rsidRDefault="00AB29B6" w:rsidP="00AB29B6">
      <w:pPr>
        <w:pStyle w:val="Call"/>
        <w:rPr>
          <w:lang w:val="en-US"/>
        </w:rPr>
      </w:pPr>
      <w:r w:rsidRPr="004A4F2E">
        <w:rPr>
          <w:lang w:val="en-US"/>
        </w:rPr>
        <w:t>recognizing</w:t>
      </w:r>
    </w:p>
    <w:p w:rsidR="00AB29B6" w:rsidRPr="004A4F2E" w:rsidRDefault="00AB29B6" w:rsidP="00AB29B6">
      <w:pPr>
        <w:rPr>
          <w:lang w:val="en-US"/>
        </w:rPr>
      </w:pPr>
      <w:r w:rsidRPr="0011091C">
        <w:rPr>
          <w:i/>
          <w:iCs/>
          <w:lang w:val="en-US"/>
        </w:rPr>
        <w:t>a)</w:t>
      </w:r>
      <w:r w:rsidRPr="004A4F2E">
        <w:rPr>
          <w:lang w:val="en-US"/>
        </w:rPr>
        <w:tab/>
        <w:t>that the increasing possibility of congestion in the 8 025-8 400 MHz band and requirements for higher data rates will lead to increasing levels of interference;</w:t>
      </w:r>
    </w:p>
    <w:p w:rsidR="00AB29B6" w:rsidRPr="004A4F2E" w:rsidRDefault="00AB29B6" w:rsidP="00AB29B6">
      <w:pPr>
        <w:rPr>
          <w:lang w:val="en-US"/>
        </w:rPr>
      </w:pPr>
      <w:r w:rsidRPr="0011091C">
        <w:rPr>
          <w:i/>
          <w:iCs/>
          <w:lang w:val="en-US"/>
        </w:rPr>
        <w:t>b)</w:t>
      </w:r>
      <w:r w:rsidRPr="004A4F2E">
        <w:rPr>
          <w:lang w:val="en-US"/>
        </w:rPr>
        <w:tab/>
        <w:t>that guidelines for EESS (space-to-Earth) operations in the 8 025-8 400 MHz band are desirable to maximize the capacity of the band and to minimize harmful interference;</w:t>
      </w:r>
    </w:p>
    <w:p w:rsidR="00AB29B6" w:rsidRPr="004A4F2E" w:rsidRDefault="00AB29B6" w:rsidP="00AB29B6">
      <w:pPr>
        <w:rPr>
          <w:lang w:val="en-US"/>
        </w:rPr>
      </w:pPr>
      <w:r w:rsidRPr="0011091C">
        <w:rPr>
          <w:i/>
          <w:iCs/>
          <w:lang w:val="en-US"/>
        </w:rPr>
        <w:t>c)</w:t>
      </w:r>
      <w:r w:rsidRPr="004A4F2E">
        <w:rPr>
          <w:lang w:val="en-US"/>
        </w:rPr>
        <w:tab/>
        <w:t>that different mitigation methods may be required to resolve potential difficulties in the sharing of the band 8 025-8 400 MHz by different combinations of EESS systems,</w:t>
      </w:r>
    </w:p>
    <w:p w:rsidR="00AB29B6" w:rsidRPr="004A4F2E" w:rsidRDefault="00AB29B6" w:rsidP="00AB29B6">
      <w:pPr>
        <w:pStyle w:val="Call"/>
        <w:rPr>
          <w:lang w:val="en-US"/>
        </w:rPr>
      </w:pPr>
      <w:r w:rsidRPr="004A4F2E">
        <w:rPr>
          <w:lang w:val="en-US"/>
        </w:rPr>
        <w:t>recommends</w:t>
      </w:r>
    </w:p>
    <w:p w:rsidR="00AB29B6" w:rsidRDefault="00AB29B6" w:rsidP="0020265D">
      <w:pPr>
        <w:rPr>
          <w:lang w:val="en-US"/>
        </w:rPr>
      </w:pPr>
      <w:r>
        <w:rPr>
          <w:lang w:val="en-US"/>
        </w:rPr>
        <w:t>that the following guidelines should be considered when designing EESS systems operating in the 8 025-8 400 MHz band:</w:t>
      </w:r>
    </w:p>
    <w:p w:rsidR="00AB29B6" w:rsidRPr="004A4F2E" w:rsidRDefault="00AB29B6" w:rsidP="00AB29B6">
      <w:pPr>
        <w:rPr>
          <w:lang w:val="en-US"/>
        </w:rPr>
      </w:pPr>
      <w:r w:rsidRPr="0011091C">
        <w:rPr>
          <w:bCs/>
          <w:lang w:val="en-US"/>
        </w:rPr>
        <w:t>1</w:t>
      </w:r>
      <w:r w:rsidRPr="004A4F2E">
        <w:rPr>
          <w:lang w:val="en-US"/>
        </w:rPr>
        <w:tab/>
        <w:t>that EESS satellites operating in a non-broadcasting mode should radiate only when transmitting data to one or more earth stations;</w:t>
      </w:r>
    </w:p>
    <w:p w:rsidR="00AB29B6" w:rsidRPr="004A4F2E" w:rsidRDefault="00AB29B6" w:rsidP="00AB29B6">
      <w:pPr>
        <w:rPr>
          <w:lang w:val="en-US"/>
        </w:rPr>
      </w:pPr>
      <w:r w:rsidRPr="0011091C">
        <w:rPr>
          <w:bCs/>
          <w:lang w:val="en-US"/>
        </w:rPr>
        <w:t>2</w:t>
      </w:r>
      <w:r w:rsidRPr="004A4F2E">
        <w:rPr>
          <w:lang w:val="en-US"/>
        </w:rPr>
        <w:tab/>
        <w:t>that phasing of the orbital parameters for sun-synchronous satellites with existing and planned satellites should be considered;</w:t>
      </w:r>
    </w:p>
    <w:p w:rsidR="00AB29B6" w:rsidRPr="004A4F2E" w:rsidRDefault="00AB29B6" w:rsidP="00AB29B6">
      <w:pPr>
        <w:rPr>
          <w:lang w:val="en-US"/>
        </w:rPr>
      </w:pPr>
      <w:r w:rsidRPr="0011091C">
        <w:rPr>
          <w:bCs/>
          <w:lang w:val="en-US"/>
        </w:rPr>
        <w:t>3</w:t>
      </w:r>
      <w:r w:rsidRPr="004A4F2E">
        <w:rPr>
          <w:lang w:val="en-US"/>
        </w:rPr>
        <w:tab/>
        <w:t>that, whenever practicable, low side</w:t>
      </w:r>
      <w:r>
        <w:rPr>
          <w:lang w:val="en-US"/>
        </w:rPr>
        <w:t>-</w:t>
      </w:r>
      <w:r w:rsidRPr="004A4F2E">
        <w:rPr>
          <w:lang w:val="en-US"/>
        </w:rPr>
        <w:t xml:space="preserve">lobe, high-gain satellite antennas should be used </w:t>
      </w:r>
      <w:r w:rsidRPr="00B157DE">
        <w:rPr>
          <w:lang w:val="en-US"/>
        </w:rPr>
        <w:t>and if not practicable, isoflux antennas should be considered instead of omnidirectional antennas</w:t>
      </w:r>
      <w:r w:rsidRPr="004A4F2E">
        <w:rPr>
          <w:lang w:val="en-US"/>
        </w:rPr>
        <w:t>;</w:t>
      </w:r>
    </w:p>
    <w:p w:rsidR="00AB29B6" w:rsidRPr="004A4F2E" w:rsidRDefault="00AB29B6" w:rsidP="00AB29B6">
      <w:pPr>
        <w:rPr>
          <w:lang w:val="en-US" w:eastAsia="fr-FR"/>
        </w:rPr>
      </w:pPr>
      <w:r w:rsidRPr="0011091C">
        <w:rPr>
          <w:bCs/>
          <w:lang w:val="en-US" w:eastAsia="fr-FR"/>
        </w:rPr>
        <w:t>4</w:t>
      </w:r>
      <w:r w:rsidRPr="004A4F2E">
        <w:rPr>
          <w:lang w:val="en-US" w:eastAsia="fr-FR"/>
        </w:rPr>
        <w:tab/>
        <w:t>that broadcast modes should be avoided whenever practicable or, if unavoidable, the use of a portion of the lower half of the band 8 025-8 400 MHz be considered;</w:t>
      </w:r>
    </w:p>
    <w:p w:rsidR="00AB29B6" w:rsidRPr="004A4F2E" w:rsidRDefault="00AB29B6" w:rsidP="00AB29B6">
      <w:pPr>
        <w:rPr>
          <w:lang w:val="en-US"/>
        </w:rPr>
      </w:pPr>
      <w:r w:rsidRPr="0011091C">
        <w:rPr>
          <w:bCs/>
          <w:lang w:val="en-US"/>
        </w:rPr>
        <w:t>5</w:t>
      </w:r>
      <w:r w:rsidRPr="004A4F2E">
        <w:rPr>
          <w:lang w:val="en-US"/>
        </w:rPr>
        <w:tab/>
        <w:t xml:space="preserve">that bandwidth efficient modulation and coding techniques should be used to the extent practicable, to reduce the potential for adjacent channel interference by simultaneously limiting </w:t>
      </w:r>
      <w:r>
        <w:rPr>
          <w:lang w:val="en-US"/>
        </w:rPr>
        <w:t>pfd</w:t>
      </w:r>
      <w:r w:rsidRPr="004A4F2E">
        <w:rPr>
          <w:lang w:val="en-US"/>
        </w:rPr>
        <w:t>, out-of-band emissions and occupied bandwidth;</w:t>
      </w:r>
    </w:p>
    <w:p w:rsidR="00AB29B6" w:rsidRDefault="00AB29B6" w:rsidP="00AB29B6">
      <w:pPr>
        <w:rPr>
          <w:lang w:val="en-US" w:eastAsia="fr-FR"/>
        </w:rPr>
      </w:pPr>
      <w:r w:rsidRPr="0011091C">
        <w:rPr>
          <w:bCs/>
          <w:lang w:val="en-US"/>
        </w:rPr>
        <w:lastRenderedPageBreak/>
        <w:t>6</w:t>
      </w:r>
      <w:r w:rsidRPr="004A4F2E">
        <w:rPr>
          <w:lang w:val="en-US"/>
        </w:rPr>
        <w:tab/>
        <w:t xml:space="preserve">that, to reduce the possibility of intersystem interference, due consideration should also be given to other interference mitigation techniques such as polarization discrimination, geographical separation of earth stations and large earth station antennas </w:t>
      </w:r>
      <w:r w:rsidRPr="004A4F2E">
        <w:rPr>
          <w:lang w:val="en-US" w:eastAsia="fr-FR"/>
        </w:rPr>
        <w:t xml:space="preserve">with off-axis gains that do not exceed </w:t>
      </w:r>
      <w:r w:rsidRPr="00CB695E">
        <w:rPr>
          <w:lang w:val="en-US" w:eastAsia="fr-FR"/>
        </w:rPr>
        <w:t>32</w:t>
      </w:r>
      <w:r w:rsidRPr="00CB695E">
        <w:rPr>
          <w:lang w:val="en-US" w:eastAsia="fr-FR"/>
        </w:rPr>
        <w:noBreakHyphen/>
        <w:t>25 log </w:t>
      </w:r>
      <w:r w:rsidRPr="00CB695E">
        <w:rPr>
          <w:lang w:eastAsia="fr-FR"/>
        </w:rPr>
        <w:t>θ</w:t>
      </w:r>
      <w:r w:rsidRPr="004A4F2E">
        <w:rPr>
          <w:lang w:val="en-US" w:eastAsia="fr-FR"/>
        </w:rPr>
        <w:t xml:space="preserve"> dBi for </w:t>
      </w:r>
      <w:r w:rsidRPr="00CB695E">
        <w:rPr>
          <w:lang w:val="en-US" w:eastAsia="fr-FR"/>
        </w:rPr>
        <w:t>1°</w:t>
      </w:r>
      <w:r w:rsidRPr="00CB695E">
        <w:rPr>
          <w:lang w:val="en-US"/>
        </w:rPr>
        <w:t> </w:t>
      </w:r>
      <w:r w:rsidRPr="00CB695E">
        <w:rPr>
          <w:lang w:val="en-US" w:eastAsia="fr-FR"/>
        </w:rPr>
        <w:t>≤ </w:t>
      </w:r>
      <w:r w:rsidRPr="00CB695E">
        <w:rPr>
          <w:lang w:eastAsia="fr-FR"/>
        </w:rPr>
        <w:t>θ</w:t>
      </w:r>
      <w:r w:rsidRPr="00CB695E">
        <w:rPr>
          <w:lang w:val="en-US" w:eastAsia="fr-FR"/>
        </w:rPr>
        <w:t> ≤ 48</w:t>
      </w:r>
      <w:r>
        <w:rPr>
          <w:lang w:val="en-US" w:eastAsia="fr-FR"/>
        </w:rPr>
        <w:t>°</w:t>
      </w:r>
      <w:r w:rsidRPr="004A4F2E">
        <w:rPr>
          <w:lang w:val="en-US" w:eastAsia="fr-FR"/>
        </w:rPr>
        <w:t>;</w:t>
      </w:r>
    </w:p>
    <w:p w:rsidR="00AB29B6" w:rsidRPr="004A4F2E" w:rsidRDefault="00AB29B6" w:rsidP="00BB0C2C">
      <w:pPr>
        <w:rPr>
          <w:lang w:val="en-US" w:eastAsia="fr-FR"/>
        </w:rPr>
      </w:pPr>
      <w:r w:rsidRPr="0011091C">
        <w:rPr>
          <w:bCs/>
          <w:lang w:val="en-US" w:eastAsia="fr-FR"/>
        </w:rPr>
        <w:t>7</w:t>
      </w:r>
      <w:r w:rsidRPr="004A4F2E">
        <w:rPr>
          <w:lang w:val="en-US" w:eastAsia="fr-FR"/>
        </w:rPr>
        <w:tab/>
        <w:t xml:space="preserve">that EESS spacecraft </w:t>
      </w:r>
      <w:r w:rsidRPr="00735D3D">
        <w:rPr>
          <w:color w:val="000000"/>
          <w:lang w:val="en-GB" w:eastAsia="fr-FR"/>
        </w:rPr>
        <w:t>using directional antennas</w:t>
      </w:r>
      <w:r w:rsidRPr="00495B82">
        <w:rPr>
          <w:color w:val="000000"/>
          <w:lang w:val="en-GB" w:eastAsia="fr-FR"/>
        </w:rPr>
        <w:t xml:space="preserve"> be d</w:t>
      </w:r>
      <w:r w:rsidR="00BB0C2C">
        <w:rPr>
          <w:color w:val="000000"/>
          <w:lang w:val="en-GB" w:eastAsia="fr-FR"/>
        </w:rPr>
        <w:t>esigned to limit the power flux-</w:t>
      </w:r>
      <w:r w:rsidRPr="00495B82">
        <w:rPr>
          <w:color w:val="000000"/>
          <w:lang w:val="en-GB" w:eastAsia="fr-FR"/>
        </w:rPr>
        <w:t xml:space="preserve">density on the Earth’s surface in all areas with latitudes above 55° or below </w:t>
      </w:r>
      <w:r w:rsidR="00BB0C2C">
        <w:rPr>
          <w:color w:val="000000"/>
          <w:lang w:val="en-GB" w:eastAsia="fr-FR"/>
        </w:rPr>
        <w:t>−</w:t>
      </w:r>
      <w:r w:rsidRPr="00495B82">
        <w:rPr>
          <w:color w:val="000000"/>
          <w:lang w:val="en-GB" w:eastAsia="fr-FR"/>
        </w:rPr>
        <w:t xml:space="preserve">55° to less than </w:t>
      </w:r>
      <w:r w:rsidR="00BB0C2C">
        <w:rPr>
          <w:color w:val="000000"/>
          <w:lang w:val="en-GB" w:eastAsia="fr-FR"/>
        </w:rPr>
        <w:t>−</w:t>
      </w:r>
      <w:r w:rsidRPr="00495B82">
        <w:rPr>
          <w:color w:val="000000"/>
          <w:lang w:val="en-GB" w:eastAsia="fr-FR"/>
        </w:rPr>
        <w:t>145</w:t>
      </w:r>
      <w:r w:rsidRPr="00495B82">
        <w:rPr>
          <w:b/>
          <w:bCs/>
          <w:color w:val="000000"/>
          <w:lang w:val="en-GB" w:eastAsia="fr-FR"/>
        </w:rPr>
        <w:t xml:space="preserve"> </w:t>
      </w:r>
      <w:r w:rsidRPr="002734F5">
        <w:rPr>
          <w:color w:val="000000"/>
          <w:lang w:val="en-US" w:eastAsia="fr-FR"/>
        </w:rPr>
        <w:t>dB(W/m</w:t>
      </w:r>
      <w:r w:rsidRPr="00FC216B">
        <w:rPr>
          <w:color w:val="000000"/>
          <w:vertAlign w:val="superscript"/>
          <w:lang w:val="en-US" w:eastAsia="fr-FR"/>
        </w:rPr>
        <w:t>2</w:t>
      </w:r>
      <w:r w:rsidRPr="002734F5">
        <w:rPr>
          <w:color w:val="000000"/>
          <w:lang w:val="en-US" w:eastAsia="fr-FR"/>
        </w:rPr>
        <w:t>) for a reference bandwi</w:t>
      </w:r>
      <w:r>
        <w:rPr>
          <w:color w:val="000000"/>
          <w:lang w:val="en-US" w:eastAsia="fr-FR"/>
        </w:rPr>
        <w:t>d</w:t>
      </w:r>
      <w:r w:rsidRPr="002734F5">
        <w:rPr>
          <w:color w:val="000000"/>
          <w:lang w:val="en-US" w:eastAsia="fr-FR"/>
        </w:rPr>
        <w:t xml:space="preserve">th equal to </w:t>
      </w:r>
      <w:r w:rsidRPr="00495B82">
        <w:rPr>
          <w:color w:val="000000"/>
          <w:lang w:val="en-GB" w:eastAsia="fr-FR"/>
        </w:rPr>
        <w:t>4 kHz;</w:t>
      </w:r>
    </w:p>
    <w:p w:rsidR="00AB29B6" w:rsidRPr="004A4F2E" w:rsidRDefault="00AB29B6" w:rsidP="00BB0C2C">
      <w:pPr>
        <w:rPr>
          <w:sz w:val="20"/>
          <w:lang w:val="en-US" w:eastAsia="fr-FR"/>
        </w:rPr>
      </w:pPr>
      <w:r w:rsidRPr="0011091C">
        <w:rPr>
          <w:bCs/>
          <w:lang w:val="en-US" w:eastAsia="fr-FR"/>
        </w:rPr>
        <w:t>8</w:t>
      </w:r>
      <w:r w:rsidRPr="004A4F2E">
        <w:rPr>
          <w:lang w:val="en-US" w:eastAsia="fr-FR"/>
        </w:rPr>
        <w:tab/>
        <w:t xml:space="preserve">that EESS spacecraft </w:t>
      </w:r>
      <w:r w:rsidRPr="00735D3D">
        <w:rPr>
          <w:lang w:val="en-GB" w:eastAsia="fr-FR"/>
        </w:rPr>
        <w:t>using isoflux antennas</w:t>
      </w:r>
      <w:r w:rsidRPr="00495B82">
        <w:rPr>
          <w:lang w:val="en-GB" w:eastAsia="fr-FR"/>
        </w:rPr>
        <w:t xml:space="preserve"> be d</w:t>
      </w:r>
      <w:r w:rsidR="00BB0C2C">
        <w:rPr>
          <w:lang w:val="en-GB" w:eastAsia="fr-FR"/>
        </w:rPr>
        <w:t>esigned to limit the power flux-</w:t>
      </w:r>
      <w:r w:rsidRPr="00495B82">
        <w:rPr>
          <w:lang w:val="en-GB" w:eastAsia="fr-FR"/>
        </w:rPr>
        <w:t xml:space="preserve">density on the Earth’s surface to less than </w:t>
      </w:r>
      <w:r w:rsidR="00BB0C2C">
        <w:rPr>
          <w:lang w:val="en-GB" w:eastAsia="fr-FR"/>
        </w:rPr>
        <w:t>−</w:t>
      </w:r>
      <w:r w:rsidRPr="00495B82">
        <w:rPr>
          <w:lang w:val="en-GB" w:eastAsia="fr-FR"/>
        </w:rPr>
        <w:t>150</w:t>
      </w:r>
      <w:r w:rsidRPr="00495B82">
        <w:rPr>
          <w:b/>
          <w:bCs/>
          <w:lang w:val="en-GB" w:eastAsia="fr-FR"/>
        </w:rPr>
        <w:t xml:space="preserve"> </w:t>
      </w:r>
      <w:r w:rsidRPr="002734F5">
        <w:rPr>
          <w:lang w:val="en-US" w:eastAsia="fr-FR"/>
        </w:rPr>
        <w:t>dB(W/m</w:t>
      </w:r>
      <w:r w:rsidRPr="00FC216B">
        <w:rPr>
          <w:vertAlign w:val="superscript"/>
          <w:lang w:val="en-US" w:eastAsia="fr-FR"/>
        </w:rPr>
        <w:t>2</w:t>
      </w:r>
      <w:r w:rsidRPr="002734F5">
        <w:rPr>
          <w:lang w:val="en-US" w:eastAsia="fr-FR"/>
        </w:rPr>
        <w:t>) for a reference bandwi</w:t>
      </w:r>
      <w:r>
        <w:rPr>
          <w:lang w:val="en-US" w:eastAsia="fr-FR"/>
        </w:rPr>
        <w:t>d</w:t>
      </w:r>
      <w:r w:rsidRPr="002734F5">
        <w:rPr>
          <w:lang w:val="en-US" w:eastAsia="fr-FR"/>
        </w:rPr>
        <w:t xml:space="preserve">th equal to </w:t>
      </w:r>
      <w:r w:rsidRPr="00495B82">
        <w:rPr>
          <w:lang w:val="en-GB" w:eastAsia="fr-FR"/>
        </w:rPr>
        <w:t>4 kHz;</w:t>
      </w:r>
    </w:p>
    <w:p w:rsidR="00AB29B6" w:rsidRPr="004A4F2E" w:rsidRDefault="00AB29B6" w:rsidP="00BB0C2C">
      <w:pPr>
        <w:rPr>
          <w:lang w:val="en-US" w:eastAsia="fr-FR"/>
        </w:rPr>
      </w:pPr>
      <w:r w:rsidRPr="0011091C">
        <w:rPr>
          <w:bCs/>
          <w:lang w:val="en-US" w:eastAsia="fr-FR"/>
        </w:rPr>
        <w:t>9</w:t>
      </w:r>
      <w:r w:rsidRPr="004A4F2E">
        <w:rPr>
          <w:lang w:val="en-US" w:eastAsia="fr-FR"/>
        </w:rPr>
        <w:tab/>
        <w:t xml:space="preserve">that EESS spacecraft </w:t>
      </w:r>
      <w:r w:rsidRPr="00495B82">
        <w:rPr>
          <w:lang w:val="en-GB" w:eastAsia="fr-FR"/>
        </w:rPr>
        <w:t xml:space="preserve">not </w:t>
      </w:r>
      <w:r w:rsidRPr="00735D3D">
        <w:rPr>
          <w:lang w:val="en-GB" w:eastAsia="fr-FR"/>
        </w:rPr>
        <w:t>using directional or isoflux antennas</w:t>
      </w:r>
      <w:r w:rsidRPr="00495B82">
        <w:rPr>
          <w:lang w:val="en-GB" w:eastAsia="fr-FR"/>
        </w:rPr>
        <w:t xml:space="preserve"> </w:t>
      </w:r>
      <w:r w:rsidRPr="004A4F2E">
        <w:rPr>
          <w:lang w:val="en-US" w:eastAsia="fr-FR"/>
        </w:rPr>
        <w:t xml:space="preserve">should be designed to limit </w:t>
      </w:r>
      <w:r w:rsidRPr="00495B82">
        <w:rPr>
          <w:lang w:val="en-GB" w:eastAsia="fr-FR"/>
        </w:rPr>
        <w:t>the power flux density</w:t>
      </w:r>
      <w:r w:rsidRPr="004A4F2E" w:rsidDel="0093474C">
        <w:rPr>
          <w:lang w:val="en-US" w:eastAsia="fr-FR"/>
        </w:rPr>
        <w:t xml:space="preserve"> </w:t>
      </w:r>
      <w:r w:rsidRPr="004A4F2E">
        <w:rPr>
          <w:lang w:val="en-US" w:eastAsia="fr-FR"/>
        </w:rPr>
        <w:t xml:space="preserve">on the Earth’s surface to less than </w:t>
      </w:r>
      <w:r w:rsidR="00BB0C2C">
        <w:rPr>
          <w:lang w:val="en-GB" w:eastAsia="fr-FR"/>
        </w:rPr>
        <w:t>−</w:t>
      </w:r>
      <w:r w:rsidRPr="00495B82">
        <w:rPr>
          <w:lang w:val="en-GB" w:eastAsia="fr-FR"/>
        </w:rPr>
        <w:t>147</w:t>
      </w:r>
      <w:r w:rsidRPr="00495B82">
        <w:rPr>
          <w:b/>
          <w:bCs/>
          <w:lang w:val="en-GB" w:eastAsia="fr-FR"/>
        </w:rPr>
        <w:t xml:space="preserve"> </w:t>
      </w:r>
      <w:r w:rsidRPr="002734F5">
        <w:rPr>
          <w:lang w:val="en-US" w:eastAsia="fr-FR"/>
        </w:rPr>
        <w:t>dB(W/m</w:t>
      </w:r>
      <w:r w:rsidRPr="00FC216B">
        <w:rPr>
          <w:vertAlign w:val="superscript"/>
          <w:lang w:val="en-US" w:eastAsia="fr-FR"/>
        </w:rPr>
        <w:t>2</w:t>
      </w:r>
      <w:r w:rsidRPr="002734F5">
        <w:rPr>
          <w:lang w:val="en-US" w:eastAsia="fr-FR"/>
        </w:rPr>
        <w:t>) for a reference bandwi</w:t>
      </w:r>
      <w:r>
        <w:rPr>
          <w:lang w:val="en-US" w:eastAsia="fr-FR"/>
        </w:rPr>
        <w:t>d</w:t>
      </w:r>
      <w:r w:rsidRPr="002734F5">
        <w:rPr>
          <w:lang w:val="en-US" w:eastAsia="fr-FR"/>
        </w:rPr>
        <w:t xml:space="preserve">th equal to </w:t>
      </w:r>
      <w:r w:rsidRPr="00495B82">
        <w:rPr>
          <w:lang w:val="en-GB" w:eastAsia="fr-FR"/>
        </w:rPr>
        <w:t>4 kHz</w:t>
      </w:r>
      <w:r w:rsidRPr="004A4F2E">
        <w:rPr>
          <w:lang w:val="en-US" w:eastAsia="fr-FR"/>
        </w:rPr>
        <w:t>;</w:t>
      </w:r>
    </w:p>
    <w:p w:rsidR="00AB29B6" w:rsidRPr="004A4F2E" w:rsidRDefault="00AB29B6" w:rsidP="00AB29B6">
      <w:pPr>
        <w:rPr>
          <w:lang w:val="en-US"/>
        </w:rPr>
      </w:pPr>
      <w:r w:rsidRPr="0011091C">
        <w:rPr>
          <w:bCs/>
          <w:lang w:val="en-US"/>
        </w:rPr>
        <w:t>10</w:t>
      </w:r>
      <w:r w:rsidRPr="004A4F2E">
        <w:rPr>
          <w:lang w:val="en-US"/>
        </w:rPr>
        <w:tab/>
        <w:t>that, in order to minimize the need for operational coordination, EESS satellites should utilize appropriate techniques to prevent, to the extent possible, unwanted emissions exceeding the ITU</w:t>
      </w:r>
      <w:r w:rsidRPr="004A4F2E">
        <w:rPr>
          <w:lang w:val="en-US"/>
        </w:rPr>
        <w:noBreakHyphen/>
        <w:t>R space research service (deep-space) protection criterion</w:t>
      </w:r>
      <w:r w:rsidRPr="004A4F2E">
        <w:rPr>
          <w:rStyle w:val="FootnoteReference"/>
          <w:lang w:val="en-US"/>
        </w:rPr>
        <w:footnoteReference w:customMarkFollows="1" w:id="1"/>
        <w:t>1</w:t>
      </w:r>
      <w:r w:rsidRPr="004A4F2E">
        <w:rPr>
          <w:lang w:val="en-US"/>
        </w:rPr>
        <w:t xml:space="preserve"> in the band 8 400-8 450 MHz, including one or more of the applicable techniques given in </w:t>
      </w:r>
      <w:r w:rsidRPr="004A4F2E">
        <w:rPr>
          <w:i/>
          <w:lang w:val="en-US"/>
        </w:rPr>
        <w:t>recommends</w:t>
      </w:r>
      <w:r w:rsidRPr="004A4F2E">
        <w:rPr>
          <w:lang w:val="en-US"/>
        </w:rPr>
        <w:t> 1 through 8, on-board filtering, large geographical separation between EESS and space research service (deep-space) earth stations and/or low-sideband modulations;</w:t>
      </w:r>
    </w:p>
    <w:p w:rsidR="00AB29B6" w:rsidRDefault="00AB29B6" w:rsidP="00AB29B6">
      <w:pPr>
        <w:rPr>
          <w:lang w:val="en-US"/>
        </w:rPr>
      </w:pPr>
      <w:r w:rsidRPr="000B4A8E">
        <w:rPr>
          <w:lang w:val="en-GB"/>
        </w:rPr>
        <w:t>11</w:t>
      </w:r>
      <w:r w:rsidRPr="004A4F2E">
        <w:rPr>
          <w:lang w:val="en-US"/>
        </w:rPr>
        <w:tab/>
        <w:t xml:space="preserve">that the use of the 25.5-27 GHz band by Earth exploration-satellites should be considered in particular if the techniques given in </w:t>
      </w:r>
      <w:r w:rsidRPr="004A4F2E">
        <w:rPr>
          <w:i/>
          <w:lang w:val="en-US"/>
        </w:rPr>
        <w:t>recommends </w:t>
      </w:r>
      <w:r w:rsidRPr="004A4F2E">
        <w:rPr>
          <w:lang w:val="en-US"/>
        </w:rPr>
        <w:t>1 through </w:t>
      </w:r>
      <w:r>
        <w:rPr>
          <w:lang w:val="en-US"/>
        </w:rPr>
        <w:t>10</w:t>
      </w:r>
      <w:r w:rsidRPr="004A4F2E">
        <w:rPr>
          <w:i/>
          <w:lang w:val="en-US"/>
        </w:rPr>
        <w:t xml:space="preserve"> </w:t>
      </w:r>
      <w:r w:rsidRPr="004A4F2E">
        <w:rPr>
          <w:lang w:val="en-US"/>
        </w:rPr>
        <w:t>cannot adequately resolve potential spectrum-sharing and/or unwanted emission issues.</w:t>
      </w:r>
    </w:p>
    <w:p w:rsidR="009C2B29" w:rsidRDefault="009C2B29" w:rsidP="00AB29B6">
      <w:pPr>
        <w:rPr>
          <w:lang w:val="en-US"/>
        </w:rPr>
      </w:pPr>
    </w:p>
    <w:p w:rsidR="000001CC" w:rsidRPr="00E177E4" w:rsidRDefault="000001CC" w:rsidP="00AB29B6">
      <w:pPr>
        <w:rPr>
          <w:lang w:val="en-US"/>
        </w:rPr>
      </w:pPr>
    </w:p>
    <w:p w:rsidR="00934ED7" w:rsidRPr="00170B15" w:rsidRDefault="00934ED7" w:rsidP="00170B15">
      <w:pPr>
        <w:pStyle w:val="Line"/>
      </w:pPr>
    </w:p>
    <w:sectPr w:rsidR="00934ED7" w:rsidRPr="00170B15" w:rsidSect="00170B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D1" w:rsidRDefault="007270D1">
      <w:r>
        <w:separator/>
      </w:r>
    </w:p>
  </w:footnote>
  <w:footnote w:type="continuationSeparator" w:id="0">
    <w:p w:rsidR="007270D1" w:rsidRDefault="007270D1">
      <w:r>
        <w:continuationSeparator/>
      </w:r>
    </w:p>
  </w:footnote>
  <w:footnote w:id="1">
    <w:p w:rsidR="00AB29B6" w:rsidRDefault="00AB29B6" w:rsidP="00AB29B6">
      <w:pPr>
        <w:pStyle w:val="FootnoteText"/>
      </w:pPr>
      <w:r>
        <w:rPr>
          <w:rStyle w:val="FootnoteReference"/>
        </w:rPr>
        <w:t>1</w:t>
      </w:r>
      <w:r>
        <w:t xml:space="preserve"> </w:t>
      </w:r>
      <w:r>
        <w:tab/>
        <w:t>See relevant SA-series of ITU-R Recommendations.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9C5417" w:rsidP="00B033C8">
    <w:pPr>
      <w:pStyle w:val="Header"/>
      <w:ind w:right="360" w:firstLine="360"/>
    </w:pPr>
    <w:r>
      <w:rPr>
        <w:noProof/>
        <w:lang w:val="en-GB" w:eastAsia="en-GB"/>
      </w:rPr>
      <w:drawing>
        <wp:anchor distT="0" distB="0" distL="114300" distR="114300" simplePos="0" relativeHeight="251656704" behindDoc="1" locked="0" layoutInCell="1" allowOverlap="1" wp14:anchorId="14512C5E" wp14:editId="091FDF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E727E8">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D9286C">
      <w:rPr>
        <w:rStyle w:val="PageNumber"/>
        <w:b/>
        <w:bCs/>
        <w:noProof/>
        <w:lang w:val="en-US"/>
      </w:rPr>
      <w:t>2</w:t>
    </w:r>
    <w:r>
      <w:rPr>
        <w:rStyle w:val="PageNumber"/>
        <w:b/>
        <w:bCs/>
      </w:rPr>
      <w:fldChar w:fldCharType="end"/>
    </w:r>
    <w:r w:rsidR="001B164E">
      <w:rPr>
        <w:lang w:val="en-US"/>
      </w:rPr>
      <w:tab/>
    </w:r>
    <w:fldSimple w:instr=" DOCPROPERTY &quot;Header&quot; \* MERGEFORMAT ">
      <w:r w:rsidR="00D9286C" w:rsidRPr="00D9286C">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D9286C">
      <w:rPr>
        <w:b/>
        <w:bCs/>
        <w:noProof/>
      </w:rPr>
      <w:t>ITU-R  SA.1810-1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pPr>
    <w:r>
      <w:tab/>
    </w:r>
    <w:fldSimple w:instr=" DOCPROPERTY &quot;Header&quot; \* MERGEFORMAT ">
      <w:r w:rsidR="00D9286C" w:rsidRPr="00D9286C">
        <w:rPr>
          <w:b/>
          <w:bCs/>
        </w:rPr>
        <w:t xml:space="preserve">Rec. </w:t>
      </w:r>
    </w:fldSimple>
    <w:r>
      <w:rPr>
        <w:b/>
        <w:bCs/>
      </w:rPr>
      <w:t xml:space="preserve"> </w:t>
    </w:r>
    <w:r w:rsidR="00E727E8">
      <w:rPr>
        <w:b/>
        <w:bCs/>
      </w:rPr>
      <w:fldChar w:fldCharType="begin"/>
    </w:r>
    <w:r>
      <w:rPr>
        <w:b/>
        <w:bCs/>
      </w:rPr>
      <w:instrText>styleref href</w:instrText>
    </w:r>
    <w:r w:rsidR="00E727E8">
      <w:rPr>
        <w:b/>
        <w:bCs/>
      </w:rPr>
      <w:fldChar w:fldCharType="separate"/>
    </w:r>
    <w:r w:rsidR="00D9286C">
      <w:rPr>
        <w:b/>
        <w:bCs/>
        <w:noProof/>
      </w:rPr>
      <w:t>ITU-R  SA.1810-1</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D9286C">
      <w:rPr>
        <w:rStyle w:val="PageNumber"/>
        <w:b/>
        <w:bCs/>
        <w:noProof/>
      </w:rPr>
      <w:t>3</w:t>
    </w:r>
    <w:r w:rsidR="00E727E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1CC"/>
    <w:rsid w:val="00007B58"/>
    <w:rsid w:val="00013002"/>
    <w:rsid w:val="00036EE3"/>
    <w:rsid w:val="00072484"/>
    <w:rsid w:val="00095530"/>
    <w:rsid w:val="00096612"/>
    <w:rsid w:val="000B4A8E"/>
    <w:rsid w:val="000B7683"/>
    <w:rsid w:val="000D0677"/>
    <w:rsid w:val="000D55A3"/>
    <w:rsid w:val="000E6A6E"/>
    <w:rsid w:val="00102934"/>
    <w:rsid w:val="00147110"/>
    <w:rsid w:val="001511A6"/>
    <w:rsid w:val="00170B15"/>
    <w:rsid w:val="001B164E"/>
    <w:rsid w:val="001B7886"/>
    <w:rsid w:val="001F38BB"/>
    <w:rsid w:val="0020265D"/>
    <w:rsid w:val="002058CE"/>
    <w:rsid w:val="002165F1"/>
    <w:rsid w:val="00233A5D"/>
    <w:rsid w:val="00252F24"/>
    <w:rsid w:val="00276D21"/>
    <w:rsid w:val="00296D7F"/>
    <w:rsid w:val="00297349"/>
    <w:rsid w:val="002B3CF6"/>
    <w:rsid w:val="002C550D"/>
    <w:rsid w:val="002C768A"/>
    <w:rsid w:val="002D76C4"/>
    <w:rsid w:val="002F5199"/>
    <w:rsid w:val="00356B5D"/>
    <w:rsid w:val="00391D74"/>
    <w:rsid w:val="003A798F"/>
    <w:rsid w:val="003E3C5A"/>
    <w:rsid w:val="003E5917"/>
    <w:rsid w:val="00420DFD"/>
    <w:rsid w:val="00437A76"/>
    <w:rsid w:val="00470E28"/>
    <w:rsid w:val="00471F3E"/>
    <w:rsid w:val="004934C5"/>
    <w:rsid w:val="00495B82"/>
    <w:rsid w:val="00526BE3"/>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6F71C6"/>
    <w:rsid w:val="00712870"/>
    <w:rsid w:val="007270D1"/>
    <w:rsid w:val="00735D3D"/>
    <w:rsid w:val="00743D85"/>
    <w:rsid w:val="00750FB8"/>
    <w:rsid w:val="00753CF4"/>
    <w:rsid w:val="007565CC"/>
    <w:rsid w:val="00763B9A"/>
    <w:rsid w:val="007A6AA8"/>
    <w:rsid w:val="007B1357"/>
    <w:rsid w:val="0081070A"/>
    <w:rsid w:val="008310C9"/>
    <w:rsid w:val="00853CC5"/>
    <w:rsid w:val="00872B4B"/>
    <w:rsid w:val="008B01B1"/>
    <w:rsid w:val="008C7848"/>
    <w:rsid w:val="008E0A50"/>
    <w:rsid w:val="00902D79"/>
    <w:rsid w:val="00903A0B"/>
    <w:rsid w:val="00906589"/>
    <w:rsid w:val="00906AD6"/>
    <w:rsid w:val="00917AF2"/>
    <w:rsid w:val="0092418A"/>
    <w:rsid w:val="00934ED7"/>
    <w:rsid w:val="0095421D"/>
    <w:rsid w:val="009543C3"/>
    <w:rsid w:val="009644FE"/>
    <w:rsid w:val="00966E1B"/>
    <w:rsid w:val="00976628"/>
    <w:rsid w:val="009846B7"/>
    <w:rsid w:val="009947C0"/>
    <w:rsid w:val="009C2B29"/>
    <w:rsid w:val="009C5417"/>
    <w:rsid w:val="009F2D2C"/>
    <w:rsid w:val="00A31928"/>
    <w:rsid w:val="00A41689"/>
    <w:rsid w:val="00A4173A"/>
    <w:rsid w:val="00A62A14"/>
    <w:rsid w:val="00A6617B"/>
    <w:rsid w:val="00A71FE5"/>
    <w:rsid w:val="00A9062F"/>
    <w:rsid w:val="00A90A34"/>
    <w:rsid w:val="00A971A1"/>
    <w:rsid w:val="00AA3AD8"/>
    <w:rsid w:val="00AA63E1"/>
    <w:rsid w:val="00AB0DC8"/>
    <w:rsid w:val="00AB29B6"/>
    <w:rsid w:val="00AB3CE1"/>
    <w:rsid w:val="00AD2900"/>
    <w:rsid w:val="00B033C8"/>
    <w:rsid w:val="00B33425"/>
    <w:rsid w:val="00B44E24"/>
    <w:rsid w:val="00B54ECC"/>
    <w:rsid w:val="00B60AC0"/>
    <w:rsid w:val="00B714F3"/>
    <w:rsid w:val="00B87B6B"/>
    <w:rsid w:val="00BB0C2C"/>
    <w:rsid w:val="00BC5D77"/>
    <w:rsid w:val="00BF487A"/>
    <w:rsid w:val="00C46BD9"/>
    <w:rsid w:val="00C55258"/>
    <w:rsid w:val="00C73560"/>
    <w:rsid w:val="00CB0F14"/>
    <w:rsid w:val="00CD659B"/>
    <w:rsid w:val="00CE0A43"/>
    <w:rsid w:val="00D01473"/>
    <w:rsid w:val="00D472B5"/>
    <w:rsid w:val="00D61962"/>
    <w:rsid w:val="00D83556"/>
    <w:rsid w:val="00D83E33"/>
    <w:rsid w:val="00D862FB"/>
    <w:rsid w:val="00D9286C"/>
    <w:rsid w:val="00DC3F18"/>
    <w:rsid w:val="00DF4176"/>
    <w:rsid w:val="00E00AF9"/>
    <w:rsid w:val="00E17240"/>
    <w:rsid w:val="00E502BF"/>
    <w:rsid w:val="00E727E8"/>
    <w:rsid w:val="00E74595"/>
    <w:rsid w:val="00E7592C"/>
    <w:rsid w:val="00EB7C57"/>
    <w:rsid w:val="00EC32F8"/>
    <w:rsid w:val="00EC7ED8"/>
    <w:rsid w:val="00ED2695"/>
    <w:rsid w:val="00EE04BA"/>
    <w:rsid w:val="00EE2364"/>
    <w:rsid w:val="00F1136E"/>
    <w:rsid w:val="00F30C9B"/>
    <w:rsid w:val="00F354B1"/>
    <w:rsid w:val="00F7737C"/>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3793">
      <o:colormru v:ext="edit" colors="#d62a47"/>
      <o:colormenu v:ext="edit" strokecolor="#d62a47"/>
    </o:shapedefaults>
    <o:shapelayout v:ext="edit">
      <o:idmap v:ext="edit" data="1"/>
    </o:shapelayout>
  </w:shapeDefaults>
  <w:decimalSymbol w:val="."/>
  <w:listSeparator w:val=","/>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297349"/>
    <w:pPr>
      <w:spacing w:before="240"/>
    </w:pPr>
    <w:rPr>
      <w:szCs w:val="22"/>
      <w:lang w:val="en-US"/>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aliases w:val="Appel note de bas de p,Footnote Reference/"/>
    <w:basedOn w:val="DefaultParagraphFont"/>
    <w:rsid w:val="00391D74"/>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F7737C"/>
    <w:rPr>
      <w:szCs w:val="22"/>
      <w:lang w:val="en-US"/>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link w:val="SourceChar"/>
    <w:uiPriority w:val="99"/>
    <w:rsid w:val="00AB29B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Reasons">
    <w:name w:val="Reasons"/>
    <w:basedOn w:val="Normal"/>
    <w:qFormat/>
    <w:rsid w:val="00AB29B6"/>
    <w:pPr>
      <w:tabs>
        <w:tab w:val="clear" w:pos="794"/>
        <w:tab w:val="clear" w:pos="1191"/>
        <w:tab w:val="left" w:pos="1134"/>
      </w:tabs>
      <w:jc w:val="left"/>
    </w:pPr>
    <w:rPr>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AB29B6"/>
    <w:rPr>
      <w:sz w:val="22"/>
      <w:lang w:val="fr-FR" w:eastAsia="en-US"/>
    </w:rPr>
  </w:style>
  <w:style w:type="character" w:customStyle="1" w:styleId="SourceChar">
    <w:name w:val="Source Char"/>
    <w:basedOn w:val="DefaultParagraphFont"/>
    <w:link w:val="Source"/>
    <w:uiPriority w:val="99"/>
    <w:locked/>
    <w:rsid w:val="00AB29B6"/>
    <w:rPr>
      <w:b/>
      <w:sz w:val="28"/>
      <w:lang w:val="en-GB" w:eastAsia="en-US"/>
    </w:rPr>
  </w:style>
  <w:style w:type="character" w:customStyle="1" w:styleId="CallChar">
    <w:name w:val="Call Char"/>
    <w:link w:val="Call"/>
    <w:locked/>
    <w:rsid w:val="00AB29B6"/>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TotalTime>
  <Pages>5</Pages>
  <Words>1401</Words>
  <Characters>8341</Characters>
  <Application>Microsoft Office Word</Application>
  <DocSecurity>0</DocSecurity>
  <Lines>926</Lines>
  <Paragraphs>405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50</cp:revision>
  <cp:lastPrinted>2017-08-01T14:22:00Z</cp:lastPrinted>
  <dcterms:created xsi:type="dcterms:W3CDTF">2017-06-02T13:26:00Z</dcterms:created>
  <dcterms:modified xsi:type="dcterms:W3CDTF">2017-08-01T14:22:00Z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