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48E8" w:rsidRDefault="00E448E8" w:rsidP="00E90862"/>
    <w:p w:rsidR="00E448E8" w:rsidRDefault="00E448E8" w:rsidP="003F6403"/>
    <w:p w:rsidR="00E448E8" w:rsidRDefault="00E448E8" w:rsidP="003F6403"/>
    <w:p w:rsidR="00E448E8" w:rsidRDefault="00E448E8" w:rsidP="003F6403"/>
    <w:p w:rsidR="00E448E8" w:rsidRDefault="00E448E8" w:rsidP="003F6403"/>
    <w:p w:rsidR="00E448E8" w:rsidRDefault="00E448E8" w:rsidP="003F6403"/>
    <w:p w:rsidR="00E448E8" w:rsidRDefault="00E448E8" w:rsidP="003F6403"/>
    <w:p w:rsidR="00E448E8" w:rsidRDefault="00E448E8" w:rsidP="003F6403"/>
    <w:p w:rsidR="00E448E8" w:rsidRDefault="00E448E8" w:rsidP="003F6403"/>
    <w:p w:rsidR="00E448E8" w:rsidRDefault="00E448E8" w:rsidP="003F6403"/>
    <w:p w:rsidR="00E448E8" w:rsidRDefault="00E448E8" w:rsidP="003F6403"/>
    <w:p w:rsidR="00E448E8" w:rsidRDefault="00E448E8" w:rsidP="003F6403"/>
    <w:tbl>
      <w:tblPr>
        <w:tblW w:w="10089" w:type="dxa"/>
        <w:tblLook w:val="01E0" w:firstRow="1" w:lastRow="1" w:firstColumn="1" w:lastColumn="1" w:noHBand="0" w:noVBand="0"/>
      </w:tblPr>
      <w:tblGrid>
        <w:gridCol w:w="10089"/>
      </w:tblGrid>
      <w:tr w:rsidR="00E448E8" w:rsidRPr="00A443C2" w:rsidTr="00C5543B">
        <w:tc>
          <w:tcPr>
            <w:tcW w:w="10089" w:type="dxa"/>
          </w:tcPr>
          <w:p w:rsidR="00E448E8" w:rsidRPr="00B033C8" w:rsidRDefault="00E448E8" w:rsidP="003F6403">
            <w:pPr>
              <w:spacing w:before="380"/>
              <w:jc w:val="right"/>
              <w:rPr>
                <w:rFonts w:ascii="Tahoma" w:hAnsi="Tahoma" w:cs="Tahoma"/>
                <w:b/>
                <w:bCs/>
                <w:iCs/>
                <w:color w:val="243285"/>
                <w:sz w:val="32"/>
                <w:szCs w:val="32"/>
                <w:lang w:val="en-US"/>
              </w:rPr>
            </w:pPr>
          </w:p>
          <w:p w:rsidR="00E448E8" w:rsidRPr="00A443C2" w:rsidRDefault="00E448E8" w:rsidP="003F6403">
            <w:pPr>
              <w:spacing w:before="380"/>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SA</w:t>
            </w:r>
            <w:r w:rsidRPr="00A443C2">
              <w:rPr>
                <w:rFonts w:ascii="Tahoma" w:hAnsi="Tahoma" w:cs="Tahoma"/>
                <w:b/>
                <w:bCs/>
                <w:iCs/>
                <w:color w:val="243285"/>
                <w:sz w:val="36"/>
                <w:szCs w:val="36"/>
              </w:rPr>
              <w:t>.</w:t>
            </w:r>
            <w:r w:rsidR="00D869A6">
              <w:rPr>
                <w:rFonts w:ascii="Tahoma" w:hAnsi="Tahoma" w:cs="Tahoma"/>
                <w:b/>
                <w:bCs/>
                <w:iCs/>
                <w:color w:val="243285"/>
                <w:sz w:val="36"/>
                <w:szCs w:val="36"/>
              </w:rPr>
              <w:t>1626-1</w:t>
            </w:r>
          </w:p>
          <w:p w:rsidR="00E448E8" w:rsidRPr="00A443C2" w:rsidRDefault="00E448E8" w:rsidP="003F6403">
            <w:pPr>
              <w:spacing w:before="80"/>
              <w:jc w:val="right"/>
              <w:rPr>
                <w:rFonts w:ascii="Tahoma" w:hAnsi="Tahoma" w:cs="Tahoma"/>
                <w:b/>
                <w:bCs/>
                <w:iCs/>
                <w:color w:val="243285"/>
                <w:szCs w:val="24"/>
              </w:rPr>
            </w:pPr>
            <w:r w:rsidRPr="00A443C2">
              <w:rPr>
                <w:rFonts w:ascii="Tahoma" w:hAnsi="Tahoma" w:cs="Tahoma"/>
                <w:b/>
                <w:bCs/>
                <w:iCs/>
                <w:color w:val="243285"/>
                <w:szCs w:val="24"/>
              </w:rPr>
              <w:t>(</w:t>
            </w:r>
            <w:r w:rsidR="00AD3A96">
              <w:rPr>
                <w:rFonts w:ascii="Tahoma" w:hAnsi="Tahoma" w:cs="Tahoma"/>
                <w:b/>
                <w:bCs/>
                <w:iCs/>
                <w:color w:val="243285"/>
                <w:szCs w:val="24"/>
              </w:rPr>
              <w:t>12</w:t>
            </w:r>
            <w:r w:rsidRPr="00A443C2">
              <w:rPr>
                <w:rFonts w:ascii="Tahoma" w:hAnsi="Tahoma" w:cs="Tahoma"/>
                <w:b/>
                <w:bCs/>
                <w:iCs/>
                <w:color w:val="243285"/>
                <w:szCs w:val="24"/>
              </w:rPr>
              <w:t>/</w:t>
            </w:r>
            <w:r w:rsidR="00AD3A96">
              <w:rPr>
                <w:rFonts w:ascii="Tahoma" w:hAnsi="Tahoma" w:cs="Tahoma"/>
                <w:b/>
                <w:bCs/>
                <w:iCs/>
                <w:color w:val="243285"/>
                <w:szCs w:val="24"/>
              </w:rPr>
              <w:t>2013</w:t>
            </w:r>
            <w:r w:rsidRPr="00A443C2">
              <w:rPr>
                <w:rFonts w:ascii="Tahoma" w:hAnsi="Tahoma" w:cs="Tahoma"/>
                <w:b/>
                <w:bCs/>
                <w:iCs/>
                <w:color w:val="243285"/>
                <w:szCs w:val="24"/>
              </w:rPr>
              <w:t>)</w:t>
            </w:r>
          </w:p>
        </w:tc>
      </w:tr>
      <w:tr w:rsidR="00E448E8" w:rsidRPr="00F54FBD" w:rsidTr="00C5543B">
        <w:tc>
          <w:tcPr>
            <w:tcW w:w="10089" w:type="dxa"/>
          </w:tcPr>
          <w:p w:rsidR="00E448E8" w:rsidRDefault="00E448E8" w:rsidP="003F6403">
            <w:pPr>
              <w:spacing w:before="80"/>
              <w:jc w:val="right"/>
              <w:rPr>
                <w:rFonts w:ascii="Tahoma" w:hAnsi="Tahoma" w:cs="Tahoma"/>
                <w:b/>
                <w:bCs/>
                <w:iCs/>
                <w:color w:val="243285"/>
                <w:sz w:val="44"/>
                <w:szCs w:val="44"/>
              </w:rPr>
            </w:pPr>
          </w:p>
          <w:p w:rsidR="00AF5E24" w:rsidRPr="00AF5E24" w:rsidRDefault="00AF5E24" w:rsidP="003F6403">
            <w:pPr>
              <w:spacing w:before="80"/>
              <w:jc w:val="right"/>
              <w:rPr>
                <w:rFonts w:ascii="Tahoma" w:hAnsi="Tahoma" w:cs="Tahoma"/>
                <w:b/>
                <w:bCs/>
                <w:iCs/>
                <w:color w:val="243285"/>
                <w:sz w:val="44"/>
                <w:szCs w:val="44"/>
              </w:rPr>
            </w:pPr>
            <w:r w:rsidRPr="00AF5E24">
              <w:rPr>
                <w:rFonts w:ascii="Tahoma" w:hAnsi="Tahoma" w:cs="Tahoma"/>
                <w:b/>
                <w:bCs/>
                <w:iCs/>
                <w:color w:val="243285"/>
                <w:sz w:val="44"/>
                <w:szCs w:val="44"/>
              </w:rPr>
              <w:t xml:space="preserve">Faisabilité du partage des fréquences </w:t>
            </w:r>
            <w:r w:rsidR="005D7019">
              <w:rPr>
                <w:rFonts w:ascii="Tahoma" w:hAnsi="Tahoma" w:cs="Tahoma"/>
                <w:b/>
                <w:bCs/>
                <w:iCs/>
                <w:color w:val="243285"/>
                <w:sz w:val="44"/>
                <w:szCs w:val="44"/>
              </w:rPr>
              <w:br/>
            </w:r>
            <w:r w:rsidRPr="00AF5E24">
              <w:rPr>
                <w:rFonts w:ascii="Tahoma" w:hAnsi="Tahoma" w:cs="Tahoma"/>
                <w:b/>
                <w:bCs/>
                <w:iCs/>
                <w:color w:val="243285"/>
                <w:sz w:val="44"/>
                <w:szCs w:val="44"/>
              </w:rPr>
              <w:t xml:space="preserve">entre le service de recherche spatiale </w:t>
            </w:r>
          </w:p>
          <w:p w:rsidR="00AF5E24" w:rsidRDefault="00AF5E24" w:rsidP="005D7019">
            <w:pPr>
              <w:spacing w:before="80"/>
              <w:jc w:val="right"/>
              <w:rPr>
                <w:rFonts w:ascii="Tahoma" w:hAnsi="Tahoma" w:cs="Tahoma"/>
                <w:b/>
                <w:bCs/>
                <w:iCs/>
                <w:color w:val="243285"/>
                <w:sz w:val="44"/>
                <w:szCs w:val="44"/>
              </w:rPr>
            </w:pPr>
            <w:r w:rsidRPr="00AF5E24">
              <w:rPr>
                <w:rFonts w:ascii="Tahoma" w:hAnsi="Tahoma" w:cs="Tahoma"/>
                <w:b/>
                <w:bCs/>
                <w:iCs/>
                <w:color w:val="243285"/>
                <w:sz w:val="44"/>
                <w:szCs w:val="44"/>
              </w:rPr>
              <w:t>(espace vers Terre)</w:t>
            </w:r>
            <w:r w:rsidR="005D7019">
              <w:rPr>
                <w:rFonts w:ascii="Tahoma" w:hAnsi="Tahoma" w:cs="Tahoma"/>
                <w:b/>
                <w:bCs/>
                <w:iCs/>
                <w:color w:val="243285"/>
                <w:sz w:val="44"/>
                <w:szCs w:val="44"/>
              </w:rPr>
              <w:t xml:space="preserve"> </w:t>
            </w:r>
            <w:r w:rsidRPr="00AF5E24">
              <w:rPr>
                <w:rFonts w:ascii="Tahoma" w:hAnsi="Tahoma" w:cs="Tahoma"/>
                <w:b/>
                <w:bCs/>
                <w:iCs/>
                <w:color w:val="243285"/>
                <w:sz w:val="44"/>
                <w:szCs w:val="44"/>
              </w:rPr>
              <w:t xml:space="preserve">et les services </w:t>
            </w:r>
            <w:r w:rsidR="005D7019">
              <w:rPr>
                <w:rFonts w:ascii="Tahoma" w:hAnsi="Tahoma" w:cs="Tahoma"/>
                <w:b/>
                <w:bCs/>
                <w:iCs/>
                <w:color w:val="243285"/>
                <w:sz w:val="44"/>
                <w:szCs w:val="44"/>
              </w:rPr>
              <w:br/>
            </w:r>
            <w:r w:rsidRPr="00AF5E24">
              <w:rPr>
                <w:rFonts w:ascii="Tahoma" w:hAnsi="Tahoma" w:cs="Tahoma"/>
                <w:b/>
                <w:bCs/>
                <w:iCs/>
                <w:color w:val="243285"/>
                <w:sz w:val="44"/>
                <w:szCs w:val="44"/>
              </w:rPr>
              <w:t xml:space="preserve">fixe et mobile dans la </w:t>
            </w:r>
            <w:r w:rsidR="005D7019">
              <w:rPr>
                <w:rFonts w:ascii="Tahoma" w:hAnsi="Tahoma" w:cs="Tahoma"/>
                <w:b/>
                <w:bCs/>
                <w:iCs/>
                <w:color w:val="243285"/>
                <w:sz w:val="44"/>
                <w:szCs w:val="44"/>
              </w:rPr>
              <w:br/>
            </w:r>
            <w:r w:rsidRPr="00AF5E24">
              <w:rPr>
                <w:rFonts w:ascii="Tahoma" w:hAnsi="Tahoma" w:cs="Tahoma"/>
                <w:b/>
                <w:bCs/>
                <w:iCs/>
                <w:color w:val="243285"/>
                <w:sz w:val="44"/>
                <w:szCs w:val="44"/>
              </w:rPr>
              <w:t>bande 14,8</w:t>
            </w:r>
            <w:r w:rsidR="00792686">
              <w:rPr>
                <w:rFonts w:ascii="Tahoma" w:hAnsi="Tahoma" w:cs="Tahoma"/>
                <w:b/>
                <w:bCs/>
                <w:iCs/>
                <w:color w:val="243285"/>
                <w:sz w:val="44"/>
                <w:szCs w:val="44"/>
              </w:rPr>
              <w:t>-</w:t>
            </w:r>
            <w:r w:rsidRPr="00AF5E24">
              <w:rPr>
                <w:rFonts w:ascii="Tahoma" w:hAnsi="Tahoma" w:cs="Tahoma"/>
                <w:b/>
                <w:bCs/>
                <w:iCs/>
                <w:color w:val="243285"/>
                <w:sz w:val="44"/>
                <w:szCs w:val="44"/>
              </w:rPr>
              <w:t xml:space="preserve">15,35 GHz </w:t>
            </w:r>
          </w:p>
          <w:p w:rsidR="00E448E8" w:rsidRPr="00F54FBD" w:rsidRDefault="00E448E8" w:rsidP="003F6403">
            <w:pPr>
              <w:spacing w:before="80"/>
              <w:jc w:val="right"/>
              <w:rPr>
                <w:rFonts w:ascii="Tahoma" w:hAnsi="Tahoma" w:cs="Tahoma"/>
                <w:b/>
                <w:bCs/>
                <w:iCs/>
                <w:color w:val="243285"/>
                <w:sz w:val="44"/>
                <w:szCs w:val="44"/>
              </w:rPr>
            </w:pPr>
          </w:p>
        </w:tc>
      </w:tr>
      <w:tr w:rsidR="00E448E8" w:rsidRPr="00F54FBD" w:rsidTr="00C5543B">
        <w:tc>
          <w:tcPr>
            <w:tcW w:w="10089" w:type="dxa"/>
          </w:tcPr>
          <w:p w:rsidR="00E448E8" w:rsidRPr="00F54FBD" w:rsidRDefault="00E448E8" w:rsidP="003F6403">
            <w:pPr>
              <w:spacing w:before="80" w:after="180"/>
              <w:ind w:right="720"/>
              <w:rPr>
                <w:rFonts w:ascii="Tahoma" w:hAnsi="Tahoma" w:cs="Tahoma"/>
                <w:b/>
                <w:bCs/>
                <w:iCs/>
                <w:color w:val="243285"/>
                <w:sz w:val="36"/>
                <w:szCs w:val="36"/>
              </w:rPr>
            </w:pPr>
          </w:p>
          <w:p w:rsidR="00E448E8" w:rsidRPr="00F54FBD" w:rsidRDefault="00E448E8" w:rsidP="003F6403">
            <w:pPr>
              <w:spacing w:before="80" w:after="180"/>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SA</w:t>
            </w:r>
          </w:p>
          <w:p w:rsidR="00E448E8" w:rsidRPr="00F54FBD" w:rsidRDefault="00E448E8" w:rsidP="003F6403">
            <w:pPr>
              <w:spacing w:before="80"/>
              <w:jc w:val="right"/>
              <w:rPr>
                <w:rFonts w:ascii="Tahoma" w:hAnsi="Tahoma" w:cs="Tahoma"/>
                <w:b/>
                <w:bCs/>
                <w:iCs/>
                <w:color w:val="243285"/>
                <w:sz w:val="36"/>
                <w:szCs w:val="36"/>
              </w:rPr>
            </w:pPr>
            <w:r>
              <w:rPr>
                <w:rFonts w:ascii="Tahoma" w:hAnsi="Tahoma" w:cs="Tahoma"/>
                <w:b/>
                <w:bCs/>
                <w:iCs/>
                <w:color w:val="243285"/>
                <w:sz w:val="36"/>
                <w:szCs w:val="36"/>
              </w:rPr>
              <w:t>Applications spatiales et météorologie</w:t>
            </w:r>
          </w:p>
        </w:tc>
      </w:tr>
    </w:tbl>
    <w:p w:rsidR="00E448E8" w:rsidRPr="00F54FBD" w:rsidRDefault="00E448E8" w:rsidP="003F6403">
      <w:pPr>
        <w:spacing w:before="80"/>
        <w:rPr>
          <w:i/>
          <w:sz w:val="22"/>
        </w:rPr>
      </w:pPr>
    </w:p>
    <w:p w:rsidR="00E448E8" w:rsidRPr="00F54FBD" w:rsidRDefault="00E448E8" w:rsidP="003F6403">
      <w:pPr>
        <w:spacing w:before="80"/>
        <w:rPr>
          <w:i/>
          <w:sz w:val="22"/>
        </w:rPr>
      </w:pPr>
    </w:p>
    <w:p w:rsidR="00E448E8" w:rsidRPr="00F54FBD" w:rsidRDefault="00E448E8" w:rsidP="003F6403">
      <w:pPr>
        <w:spacing w:before="80"/>
        <w:rPr>
          <w:i/>
          <w:sz w:val="22"/>
        </w:rPr>
      </w:pPr>
    </w:p>
    <w:p w:rsidR="00E448E8" w:rsidRPr="00F54FBD" w:rsidRDefault="00E448E8" w:rsidP="003F6403">
      <w:pPr>
        <w:spacing w:before="80"/>
        <w:rPr>
          <w:i/>
          <w:sz w:val="22"/>
        </w:rPr>
      </w:pPr>
    </w:p>
    <w:p w:rsidR="00E448E8" w:rsidRPr="00F54FBD" w:rsidRDefault="00E448E8" w:rsidP="003F6403">
      <w:pPr>
        <w:pStyle w:val="Equation"/>
        <w:tabs>
          <w:tab w:val="clear" w:pos="4820"/>
          <w:tab w:val="clear" w:pos="9639"/>
          <w:tab w:val="left" w:pos="1191"/>
          <w:tab w:val="left" w:pos="1588"/>
          <w:tab w:val="left" w:pos="1985"/>
        </w:tabs>
        <w:rPr>
          <w:rFonts w:ascii="Palatino Linotype" w:hAnsi="Palatino Linotype"/>
        </w:rPr>
        <w:sectPr w:rsidR="00E448E8" w:rsidRPr="00F54FBD">
          <w:headerReference w:type="even" r:id="rId7"/>
          <w:headerReference w:type="default" r:id="rId8"/>
          <w:headerReference w:type="first" r:id="rId9"/>
          <w:pgSz w:w="11907" w:h="16840" w:code="9"/>
          <w:pgMar w:top="1089" w:right="1089" w:bottom="284" w:left="1089" w:header="567" w:footer="284" w:gutter="0"/>
          <w:pgNumType w:start="1"/>
          <w:cols w:space="720"/>
        </w:sectPr>
      </w:pPr>
    </w:p>
    <w:p w:rsidR="00E448E8" w:rsidRPr="00F54FBD" w:rsidRDefault="00E448E8" w:rsidP="003F640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E448E8" w:rsidRPr="00F54FBD" w:rsidRDefault="00E448E8" w:rsidP="003F6403">
      <w:pPr>
        <w:spacing w:before="240"/>
        <w:rPr>
          <w:sz w:val="20"/>
        </w:rPr>
      </w:pPr>
      <w:r w:rsidRPr="00F54FBD">
        <w:rPr>
          <w:sz w:val="20"/>
        </w:rPr>
        <w:t>Le rôle du Secteu</w:t>
      </w:r>
      <w:r w:rsidR="00A73675">
        <w:rPr>
          <w:sz w:val="20"/>
        </w:rPr>
        <w:t>r des radiocommunications est d'assurer l'</w:t>
      </w:r>
      <w:r w:rsidRPr="00F54FBD">
        <w:rPr>
          <w:sz w:val="20"/>
        </w:rPr>
        <w:t xml:space="preserve">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E448E8" w:rsidRPr="00F54FBD" w:rsidRDefault="00E448E8" w:rsidP="003F6403">
      <w:pPr>
        <w:rPr>
          <w:sz w:val="20"/>
        </w:rPr>
      </w:pPr>
      <w:r w:rsidRPr="00F54FBD">
        <w:rPr>
          <w:sz w:val="20"/>
        </w:rPr>
        <w:t xml:space="preserve">Les </w:t>
      </w:r>
      <w:r>
        <w:rPr>
          <w:sz w:val="20"/>
        </w:rPr>
        <w:t>fo</w:t>
      </w:r>
      <w:r w:rsidRPr="00F54FBD">
        <w:rPr>
          <w:sz w:val="20"/>
        </w:rPr>
        <w:t>nctions réglementaires et politiques du Secteur des ra</w:t>
      </w:r>
      <w:r>
        <w:rPr>
          <w:sz w:val="20"/>
        </w:rPr>
        <w:t xml:space="preserve">diocommunications sont remplies par les Conférences mondiales et régionales des radiocommunications et par les Assemblées des radiocommunications </w:t>
      </w:r>
      <w:r w:rsidR="00A73675">
        <w:rPr>
          <w:sz w:val="20"/>
        </w:rPr>
        <w:t>assistées par les Commissions d'</w:t>
      </w:r>
      <w:r>
        <w:rPr>
          <w:sz w:val="20"/>
        </w:rPr>
        <w:t>études.</w:t>
      </w:r>
    </w:p>
    <w:p w:rsidR="00E448E8" w:rsidRPr="00E44CBB" w:rsidRDefault="00E448E8" w:rsidP="003F6403">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E448E8" w:rsidRPr="00E44CBB" w:rsidRDefault="00E448E8" w:rsidP="003F6403">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E448E8" w:rsidRPr="0086089D" w:rsidRDefault="00E448E8" w:rsidP="003F6403">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E448E8" w:rsidRPr="009454F8" w:rsidTr="00C5543B">
        <w:tc>
          <w:tcPr>
            <w:tcW w:w="9360" w:type="dxa"/>
            <w:gridSpan w:val="2"/>
          </w:tcPr>
          <w:p w:rsidR="00E448E8" w:rsidRPr="009454F8" w:rsidRDefault="00E448E8" w:rsidP="003F6403">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E448E8" w:rsidRPr="009454F8" w:rsidRDefault="00E448E8" w:rsidP="003F640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E448E8" w:rsidRPr="00036EE3" w:rsidTr="00C5543B">
        <w:tc>
          <w:tcPr>
            <w:tcW w:w="1140" w:type="dxa"/>
            <w:tcBorders>
              <w:bottom w:val="nil"/>
            </w:tcBorders>
          </w:tcPr>
          <w:p w:rsidR="00E448E8" w:rsidRPr="00614CC6" w:rsidRDefault="00E448E8" w:rsidP="003F6403">
            <w:pPr>
              <w:spacing w:before="90" w:after="100"/>
              <w:ind w:left="57"/>
              <w:rPr>
                <w:b/>
                <w:bCs/>
                <w:sz w:val="20"/>
                <w:lang w:val="en-US"/>
              </w:rPr>
            </w:pPr>
            <w:r w:rsidRPr="00614CC6">
              <w:rPr>
                <w:b/>
                <w:bCs/>
                <w:sz w:val="20"/>
                <w:lang w:val="en-US"/>
              </w:rPr>
              <w:t>Séries</w:t>
            </w:r>
          </w:p>
        </w:tc>
        <w:tc>
          <w:tcPr>
            <w:tcW w:w="8220" w:type="dxa"/>
            <w:tcBorders>
              <w:bottom w:val="nil"/>
            </w:tcBorders>
          </w:tcPr>
          <w:p w:rsidR="00E448E8" w:rsidRPr="00614CC6" w:rsidRDefault="00E448E8" w:rsidP="003F640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E448E8" w:rsidRPr="005E427C" w:rsidTr="00C5543B">
        <w:tc>
          <w:tcPr>
            <w:tcW w:w="1140" w:type="dxa"/>
            <w:tcBorders>
              <w:top w:val="nil"/>
              <w:bottom w:val="nil"/>
            </w:tcBorders>
            <w:shd w:val="clear" w:color="auto" w:fill="auto"/>
          </w:tcPr>
          <w:p w:rsidR="00E448E8" w:rsidRPr="005E427C" w:rsidRDefault="00E448E8" w:rsidP="003F6403">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E448E8" w:rsidRPr="005E427C" w:rsidRDefault="00E448E8" w:rsidP="003F640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E448E8" w:rsidRPr="009454F8" w:rsidTr="00C5543B">
        <w:tc>
          <w:tcPr>
            <w:tcW w:w="1140" w:type="dxa"/>
            <w:tcBorders>
              <w:top w:val="nil"/>
              <w:bottom w:val="nil"/>
            </w:tcBorders>
          </w:tcPr>
          <w:p w:rsidR="00E448E8" w:rsidRPr="00614CC6" w:rsidRDefault="00E448E8" w:rsidP="003F6403">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E448E8" w:rsidRPr="00614CC6" w:rsidRDefault="00E448E8" w:rsidP="003F640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E448E8" w:rsidRPr="00E80F1D" w:rsidTr="00C5543B">
        <w:tc>
          <w:tcPr>
            <w:tcW w:w="1140" w:type="dxa"/>
            <w:tcBorders>
              <w:top w:val="nil"/>
              <w:bottom w:val="nil"/>
            </w:tcBorders>
            <w:shd w:val="clear" w:color="auto" w:fill="auto"/>
          </w:tcPr>
          <w:p w:rsidR="00E448E8" w:rsidRPr="00E80F1D" w:rsidRDefault="00E448E8" w:rsidP="003F6403">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E448E8" w:rsidRPr="00E80F1D" w:rsidRDefault="00E448E8" w:rsidP="003F640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E448E8" w:rsidRPr="00ED2695" w:rsidTr="00C5543B">
        <w:tc>
          <w:tcPr>
            <w:tcW w:w="1140" w:type="dxa"/>
            <w:tcBorders>
              <w:top w:val="nil"/>
              <w:bottom w:val="nil"/>
            </w:tcBorders>
            <w:shd w:val="clear" w:color="auto" w:fill="auto"/>
          </w:tcPr>
          <w:p w:rsidR="00E448E8" w:rsidRPr="00614CC6" w:rsidRDefault="00E448E8" w:rsidP="003F6403">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E448E8" w:rsidRPr="00614CC6" w:rsidRDefault="00E448E8" w:rsidP="003F640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E448E8" w:rsidRPr="00DE5EA2" w:rsidTr="00C5543B">
        <w:tc>
          <w:tcPr>
            <w:tcW w:w="1140" w:type="dxa"/>
            <w:tcBorders>
              <w:top w:val="nil"/>
              <w:bottom w:val="nil"/>
            </w:tcBorders>
            <w:shd w:val="clear" w:color="auto" w:fill="auto"/>
          </w:tcPr>
          <w:p w:rsidR="00E448E8" w:rsidRPr="00DE5EA2" w:rsidRDefault="00E448E8" w:rsidP="003F6403">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E448E8" w:rsidRPr="00DE5EA2" w:rsidRDefault="00E448E8" w:rsidP="003F640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E448E8" w:rsidRPr="00B21066" w:rsidTr="00C5543B">
        <w:tc>
          <w:tcPr>
            <w:tcW w:w="1140" w:type="dxa"/>
            <w:tcBorders>
              <w:top w:val="nil"/>
              <w:bottom w:val="nil"/>
            </w:tcBorders>
            <w:shd w:val="clear" w:color="auto" w:fill="auto"/>
          </w:tcPr>
          <w:p w:rsidR="00E448E8" w:rsidRPr="00B21066" w:rsidRDefault="00E448E8" w:rsidP="003F6403">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E448E8" w:rsidRPr="00B21066" w:rsidRDefault="00E448E8" w:rsidP="003F640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E448E8" w:rsidRPr="00EC361D" w:rsidTr="00C5543B">
        <w:tc>
          <w:tcPr>
            <w:tcW w:w="1140" w:type="dxa"/>
            <w:tcBorders>
              <w:top w:val="nil"/>
              <w:bottom w:val="nil"/>
            </w:tcBorders>
            <w:shd w:val="clear" w:color="auto" w:fill="auto"/>
          </w:tcPr>
          <w:p w:rsidR="00E448E8" w:rsidRPr="00EC361D" w:rsidRDefault="00E448E8" w:rsidP="003F6403">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E448E8" w:rsidRPr="00EC361D" w:rsidRDefault="00E448E8" w:rsidP="003F6403">
            <w:pPr>
              <w:spacing w:before="30" w:after="30"/>
              <w:jc w:val="left"/>
              <w:rPr>
                <w:sz w:val="20"/>
                <w:lang w:val="fr-CH"/>
              </w:rPr>
            </w:pPr>
            <w:r w:rsidRPr="00EC361D">
              <w:rPr>
                <w:sz w:val="20"/>
              </w:rPr>
              <w:t>Propagation des ondes radioélectriques</w:t>
            </w:r>
          </w:p>
        </w:tc>
      </w:tr>
      <w:tr w:rsidR="00E448E8" w:rsidRPr="004822EF" w:rsidTr="00C5543B">
        <w:tc>
          <w:tcPr>
            <w:tcW w:w="1140" w:type="dxa"/>
            <w:tcBorders>
              <w:top w:val="nil"/>
              <w:bottom w:val="nil"/>
            </w:tcBorders>
            <w:shd w:val="clear" w:color="auto" w:fill="auto"/>
          </w:tcPr>
          <w:p w:rsidR="00E448E8" w:rsidRPr="004822EF" w:rsidRDefault="00E448E8" w:rsidP="003F6403">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E448E8" w:rsidRPr="004822EF" w:rsidRDefault="00E448E8" w:rsidP="003F640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E448E8" w:rsidRPr="00326525" w:rsidTr="00C5543B">
        <w:tc>
          <w:tcPr>
            <w:tcW w:w="1140" w:type="dxa"/>
            <w:tcBorders>
              <w:top w:val="nil"/>
              <w:bottom w:val="nil"/>
            </w:tcBorders>
            <w:shd w:val="clear" w:color="auto" w:fill="auto"/>
          </w:tcPr>
          <w:p w:rsidR="00E448E8" w:rsidRPr="00326525" w:rsidRDefault="00E448E8" w:rsidP="003F6403">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E448E8" w:rsidRPr="00326525" w:rsidRDefault="00E448E8" w:rsidP="003F640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E448E8" w:rsidRPr="00C40D3E" w:rsidTr="00C5543B">
        <w:tc>
          <w:tcPr>
            <w:tcW w:w="1140" w:type="dxa"/>
            <w:tcBorders>
              <w:top w:val="nil"/>
              <w:bottom w:val="nil"/>
            </w:tcBorders>
            <w:shd w:val="clear" w:color="auto" w:fill="auto"/>
          </w:tcPr>
          <w:p w:rsidR="00E448E8" w:rsidRPr="00C40D3E" w:rsidRDefault="00E448E8" w:rsidP="003F6403">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rsidR="00E448E8" w:rsidRPr="00C40D3E" w:rsidRDefault="00E448E8" w:rsidP="003F6403">
            <w:pPr>
              <w:spacing w:before="30" w:after="30"/>
              <w:jc w:val="left"/>
              <w:rPr>
                <w:sz w:val="20"/>
                <w:lang w:val="en-US"/>
              </w:rPr>
            </w:pPr>
            <w:r w:rsidRPr="00C40D3E">
              <w:rPr>
                <w:sz w:val="20"/>
              </w:rPr>
              <w:t>Service fixe par satellite</w:t>
            </w:r>
          </w:p>
        </w:tc>
      </w:tr>
      <w:tr w:rsidR="00E448E8" w:rsidRPr="00C40D3E" w:rsidTr="00C5543B">
        <w:tc>
          <w:tcPr>
            <w:tcW w:w="1140" w:type="dxa"/>
            <w:tcBorders>
              <w:top w:val="nil"/>
              <w:bottom w:val="nil"/>
            </w:tcBorders>
            <w:shd w:val="clear" w:color="auto" w:fill="F3F3F3"/>
          </w:tcPr>
          <w:p w:rsidR="00E448E8" w:rsidRPr="00C40D3E" w:rsidRDefault="00E448E8" w:rsidP="003F6403">
            <w:pPr>
              <w:spacing w:before="30" w:after="30"/>
              <w:ind w:left="57"/>
              <w:jc w:val="left"/>
              <w:rPr>
                <w:b/>
                <w:bCs/>
                <w:color w:val="000080"/>
                <w:sz w:val="20"/>
                <w:lang w:val="en-US"/>
              </w:rPr>
            </w:pPr>
            <w:r w:rsidRPr="00C40D3E">
              <w:rPr>
                <w:b/>
                <w:bCs/>
                <w:color w:val="000080"/>
                <w:sz w:val="20"/>
                <w:lang w:val="en-US"/>
              </w:rPr>
              <w:t>SA</w:t>
            </w:r>
          </w:p>
        </w:tc>
        <w:tc>
          <w:tcPr>
            <w:tcW w:w="8220" w:type="dxa"/>
            <w:tcBorders>
              <w:top w:val="nil"/>
              <w:bottom w:val="nil"/>
            </w:tcBorders>
            <w:shd w:val="clear" w:color="auto" w:fill="F3F3F3"/>
          </w:tcPr>
          <w:p w:rsidR="00E448E8" w:rsidRPr="00C40D3E" w:rsidRDefault="00E448E8" w:rsidP="003F6403">
            <w:pPr>
              <w:spacing w:before="30" w:after="30"/>
              <w:jc w:val="left"/>
              <w:rPr>
                <w:b/>
                <w:bCs/>
                <w:color w:val="000080"/>
                <w:sz w:val="20"/>
                <w:lang w:val="en-US"/>
              </w:rPr>
            </w:pPr>
            <w:r w:rsidRPr="00C40D3E">
              <w:rPr>
                <w:b/>
                <w:bCs/>
                <w:color w:val="000080"/>
                <w:sz w:val="20"/>
              </w:rPr>
              <w:t>Applications spatiales et météorologie</w:t>
            </w:r>
          </w:p>
        </w:tc>
      </w:tr>
      <w:tr w:rsidR="00E448E8" w:rsidRPr="00614CC6" w:rsidTr="00C5543B">
        <w:tc>
          <w:tcPr>
            <w:tcW w:w="1140" w:type="dxa"/>
            <w:tcBorders>
              <w:top w:val="nil"/>
            </w:tcBorders>
          </w:tcPr>
          <w:p w:rsidR="00E448E8" w:rsidRPr="00614CC6" w:rsidRDefault="00E448E8" w:rsidP="003F6403">
            <w:pPr>
              <w:spacing w:before="30" w:after="30"/>
              <w:ind w:left="57"/>
              <w:jc w:val="left"/>
              <w:rPr>
                <w:b/>
                <w:bCs/>
                <w:sz w:val="20"/>
                <w:lang w:val="en-US"/>
              </w:rPr>
            </w:pPr>
            <w:r w:rsidRPr="00614CC6">
              <w:rPr>
                <w:b/>
                <w:bCs/>
                <w:sz w:val="20"/>
                <w:lang w:val="en-US"/>
              </w:rPr>
              <w:t>SF</w:t>
            </w:r>
          </w:p>
        </w:tc>
        <w:tc>
          <w:tcPr>
            <w:tcW w:w="8220" w:type="dxa"/>
            <w:tcBorders>
              <w:top w:val="nil"/>
            </w:tcBorders>
          </w:tcPr>
          <w:p w:rsidR="00E448E8" w:rsidRPr="00614CC6" w:rsidRDefault="00E448E8" w:rsidP="003F6403">
            <w:pPr>
              <w:spacing w:before="30" w:after="30"/>
              <w:jc w:val="left"/>
              <w:rPr>
                <w:sz w:val="20"/>
              </w:rPr>
            </w:pPr>
            <w:r w:rsidRPr="00614CC6">
              <w:rPr>
                <w:sz w:val="20"/>
              </w:rPr>
              <w:t>Partage des fréquences et coordination entre les systèmes du service fixe par satellite et du service fixe</w:t>
            </w:r>
          </w:p>
        </w:tc>
      </w:tr>
      <w:tr w:rsidR="00E448E8" w:rsidRPr="00036EE3" w:rsidTr="00C5543B">
        <w:tc>
          <w:tcPr>
            <w:tcW w:w="1140" w:type="dxa"/>
            <w:shd w:val="clear" w:color="auto" w:fill="auto"/>
          </w:tcPr>
          <w:p w:rsidR="00E448E8" w:rsidRPr="00592F9F" w:rsidRDefault="00E448E8" w:rsidP="003F6403">
            <w:pPr>
              <w:spacing w:before="30" w:after="30"/>
              <w:ind w:left="57"/>
              <w:jc w:val="left"/>
              <w:rPr>
                <w:b/>
                <w:bCs/>
                <w:sz w:val="20"/>
                <w:lang w:val="en-US"/>
              </w:rPr>
            </w:pPr>
            <w:r w:rsidRPr="00592F9F">
              <w:rPr>
                <w:b/>
                <w:bCs/>
                <w:sz w:val="20"/>
                <w:lang w:val="en-US"/>
              </w:rPr>
              <w:t>SM</w:t>
            </w:r>
          </w:p>
        </w:tc>
        <w:tc>
          <w:tcPr>
            <w:tcW w:w="8220" w:type="dxa"/>
            <w:shd w:val="clear" w:color="auto" w:fill="auto"/>
          </w:tcPr>
          <w:p w:rsidR="00E448E8" w:rsidRPr="00592F9F" w:rsidRDefault="00E448E8" w:rsidP="003F6403">
            <w:pPr>
              <w:spacing w:before="30" w:after="30"/>
              <w:jc w:val="left"/>
              <w:rPr>
                <w:sz w:val="20"/>
                <w:lang w:val="en-US"/>
              </w:rPr>
            </w:pPr>
            <w:r w:rsidRPr="00592F9F">
              <w:rPr>
                <w:sz w:val="20"/>
              </w:rPr>
              <w:t>Gestion du spectre</w:t>
            </w:r>
          </w:p>
        </w:tc>
      </w:tr>
      <w:tr w:rsidR="00E448E8" w:rsidRPr="00036EE3" w:rsidTr="00C5543B">
        <w:tc>
          <w:tcPr>
            <w:tcW w:w="1140" w:type="dxa"/>
          </w:tcPr>
          <w:p w:rsidR="00E448E8" w:rsidRPr="00614CC6" w:rsidRDefault="00E448E8" w:rsidP="003F6403">
            <w:pPr>
              <w:spacing w:before="30" w:after="30"/>
              <w:ind w:left="57"/>
              <w:jc w:val="left"/>
              <w:rPr>
                <w:b/>
                <w:bCs/>
                <w:sz w:val="20"/>
                <w:lang w:val="en-US"/>
              </w:rPr>
            </w:pPr>
            <w:r w:rsidRPr="00614CC6">
              <w:rPr>
                <w:b/>
                <w:bCs/>
                <w:sz w:val="20"/>
                <w:lang w:val="en-US"/>
              </w:rPr>
              <w:t>SNG</w:t>
            </w:r>
          </w:p>
        </w:tc>
        <w:tc>
          <w:tcPr>
            <w:tcW w:w="8220" w:type="dxa"/>
          </w:tcPr>
          <w:p w:rsidR="00E448E8" w:rsidRPr="00614CC6" w:rsidRDefault="00E448E8" w:rsidP="003F6403">
            <w:pPr>
              <w:spacing w:before="30" w:after="30"/>
              <w:jc w:val="left"/>
              <w:rPr>
                <w:sz w:val="20"/>
                <w:lang w:val="en-US"/>
              </w:rPr>
            </w:pPr>
            <w:r w:rsidRPr="00614CC6">
              <w:rPr>
                <w:sz w:val="20"/>
              </w:rPr>
              <w:t>Reportage d'actualités par satellite</w:t>
            </w:r>
          </w:p>
        </w:tc>
      </w:tr>
      <w:tr w:rsidR="00E448E8" w:rsidRPr="00614CC6" w:rsidTr="00C5543B">
        <w:tc>
          <w:tcPr>
            <w:tcW w:w="1140" w:type="dxa"/>
          </w:tcPr>
          <w:p w:rsidR="00E448E8" w:rsidRPr="00614CC6" w:rsidRDefault="00E448E8" w:rsidP="003F6403">
            <w:pPr>
              <w:spacing w:before="30" w:after="30"/>
              <w:ind w:left="57"/>
              <w:jc w:val="left"/>
              <w:rPr>
                <w:b/>
                <w:bCs/>
                <w:sz w:val="20"/>
                <w:lang w:val="en-US"/>
              </w:rPr>
            </w:pPr>
            <w:r w:rsidRPr="00614CC6">
              <w:rPr>
                <w:b/>
                <w:bCs/>
                <w:sz w:val="20"/>
                <w:lang w:val="en-US"/>
              </w:rPr>
              <w:t>TF</w:t>
            </w:r>
          </w:p>
        </w:tc>
        <w:tc>
          <w:tcPr>
            <w:tcW w:w="8220" w:type="dxa"/>
          </w:tcPr>
          <w:p w:rsidR="00E448E8" w:rsidRPr="00614CC6" w:rsidRDefault="00E448E8" w:rsidP="003F6403">
            <w:pPr>
              <w:spacing w:before="30" w:after="30"/>
              <w:jc w:val="left"/>
              <w:rPr>
                <w:sz w:val="20"/>
              </w:rPr>
            </w:pPr>
            <w:r w:rsidRPr="00614CC6">
              <w:rPr>
                <w:sz w:val="20"/>
              </w:rPr>
              <w:t>Emissions de fréquences étalon et de signaux horaires</w:t>
            </w:r>
          </w:p>
        </w:tc>
      </w:tr>
      <w:tr w:rsidR="00E448E8" w:rsidRPr="00036EE3" w:rsidTr="00C5543B">
        <w:tc>
          <w:tcPr>
            <w:tcW w:w="1140" w:type="dxa"/>
          </w:tcPr>
          <w:p w:rsidR="00E448E8" w:rsidRPr="00614CC6" w:rsidRDefault="00E448E8" w:rsidP="003F6403">
            <w:pPr>
              <w:spacing w:before="30" w:after="30"/>
              <w:ind w:left="57"/>
              <w:jc w:val="left"/>
              <w:rPr>
                <w:b/>
                <w:bCs/>
                <w:sz w:val="20"/>
                <w:lang w:val="en-US"/>
              </w:rPr>
            </w:pPr>
            <w:r w:rsidRPr="00614CC6">
              <w:rPr>
                <w:b/>
                <w:bCs/>
                <w:sz w:val="20"/>
                <w:lang w:val="en-US"/>
              </w:rPr>
              <w:t>V</w:t>
            </w:r>
          </w:p>
        </w:tc>
        <w:tc>
          <w:tcPr>
            <w:tcW w:w="8220" w:type="dxa"/>
          </w:tcPr>
          <w:p w:rsidR="00E448E8" w:rsidRPr="00614CC6" w:rsidRDefault="00E448E8" w:rsidP="003F6403">
            <w:pPr>
              <w:spacing w:before="30" w:after="140"/>
              <w:jc w:val="left"/>
              <w:rPr>
                <w:sz w:val="20"/>
                <w:lang w:val="en-US"/>
              </w:rPr>
            </w:pPr>
            <w:r w:rsidRPr="00614CC6">
              <w:rPr>
                <w:sz w:val="20"/>
              </w:rPr>
              <w:t>Vocabulaire et sujets associés</w:t>
            </w:r>
          </w:p>
        </w:tc>
      </w:tr>
    </w:tbl>
    <w:p w:rsidR="00E448E8" w:rsidRPr="00036EE3" w:rsidRDefault="00E448E8" w:rsidP="003F6403">
      <w:pPr>
        <w:spacing w:before="0"/>
        <w:jc w:val="center"/>
        <w:rPr>
          <w:sz w:val="20"/>
          <w:lang w:val="en-US"/>
        </w:rPr>
      </w:pPr>
    </w:p>
    <w:p w:rsidR="00E448E8" w:rsidRPr="00036EE3" w:rsidRDefault="00E448E8" w:rsidP="003F6403">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E448E8" w:rsidRPr="00756B4D" w:rsidTr="00C5543B">
        <w:tc>
          <w:tcPr>
            <w:tcW w:w="9360" w:type="dxa"/>
          </w:tcPr>
          <w:p w:rsidR="00E448E8" w:rsidRPr="00756B4D" w:rsidRDefault="00E448E8" w:rsidP="003F6403">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E448E8" w:rsidRPr="00756B4D" w:rsidRDefault="00E448E8" w:rsidP="003F6403">
      <w:pPr>
        <w:spacing w:before="0"/>
        <w:jc w:val="center"/>
        <w:rPr>
          <w:sz w:val="22"/>
        </w:rPr>
      </w:pPr>
    </w:p>
    <w:p w:rsidR="00E448E8" w:rsidRPr="00614CC6" w:rsidRDefault="00E448E8" w:rsidP="003F6403">
      <w:pPr>
        <w:spacing w:before="100"/>
        <w:jc w:val="right"/>
        <w:rPr>
          <w:i/>
          <w:iCs/>
          <w:sz w:val="20"/>
        </w:rPr>
      </w:pPr>
      <w:r w:rsidRPr="00614CC6">
        <w:rPr>
          <w:i/>
          <w:iCs/>
          <w:sz w:val="20"/>
        </w:rPr>
        <w:t>Publication électronique</w:t>
      </w:r>
    </w:p>
    <w:p w:rsidR="00E448E8" w:rsidRPr="00614CC6" w:rsidRDefault="00E448E8" w:rsidP="003F6403">
      <w:pPr>
        <w:spacing w:before="0"/>
        <w:jc w:val="right"/>
        <w:rPr>
          <w:sz w:val="20"/>
        </w:rPr>
      </w:pPr>
      <w:r w:rsidRPr="00614CC6">
        <w:rPr>
          <w:sz w:val="20"/>
        </w:rPr>
        <w:t>Genève, 20</w:t>
      </w:r>
      <w:r>
        <w:rPr>
          <w:sz w:val="20"/>
        </w:rPr>
        <w:t>14</w:t>
      </w:r>
    </w:p>
    <w:p w:rsidR="00E448E8" w:rsidRPr="00614CC6" w:rsidRDefault="00E448E8" w:rsidP="003F6403">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14</w:t>
      </w:r>
    </w:p>
    <w:p w:rsidR="00E448E8" w:rsidRPr="00614CC6" w:rsidRDefault="00E448E8" w:rsidP="00A73675">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w:t>
      </w:r>
      <w:r w:rsidR="00A73675">
        <w:rPr>
          <w:sz w:val="18"/>
          <w:szCs w:val="18"/>
        </w:rPr>
        <w:t>que procédé que ce soit, sans l'</w:t>
      </w:r>
      <w:r>
        <w:rPr>
          <w:sz w:val="18"/>
          <w:szCs w:val="18"/>
        </w:rPr>
        <w:t>accord écrit préalable de l</w:t>
      </w:r>
      <w:r w:rsidR="00A73675">
        <w:rPr>
          <w:sz w:val="18"/>
          <w:szCs w:val="18"/>
        </w:rPr>
        <w:t>'</w:t>
      </w:r>
      <w:r>
        <w:rPr>
          <w:sz w:val="18"/>
          <w:szCs w:val="18"/>
        </w:rPr>
        <w:t>UIT</w:t>
      </w:r>
      <w:r w:rsidRPr="00614CC6">
        <w:rPr>
          <w:sz w:val="18"/>
          <w:szCs w:val="18"/>
        </w:rPr>
        <w:t>.</w:t>
      </w:r>
    </w:p>
    <w:p w:rsidR="00E448E8" w:rsidRPr="00614CC6" w:rsidRDefault="00E448E8" w:rsidP="003F6403">
      <w:pPr>
        <w:spacing w:before="160"/>
        <w:rPr>
          <w:i/>
          <w:sz w:val="20"/>
          <w:highlight w:val="yellow"/>
        </w:rPr>
        <w:sectPr w:rsidR="00E448E8" w:rsidRPr="00614CC6" w:rsidSect="00C5543B">
          <w:headerReference w:type="even" r:id="rId12"/>
          <w:headerReference w:type="default" r:id="rId13"/>
          <w:pgSz w:w="11907" w:h="16834" w:code="9"/>
          <w:pgMar w:top="1418" w:right="1134" w:bottom="1134" w:left="1134" w:header="720" w:footer="482" w:gutter="0"/>
          <w:pgNumType w:fmt="lowerRoman" w:start="2"/>
          <w:cols w:space="720"/>
        </w:sectPr>
      </w:pPr>
    </w:p>
    <w:p w:rsidR="00D869A6" w:rsidRDefault="00D869A6" w:rsidP="003F6403">
      <w:pPr>
        <w:pStyle w:val="RecNo"/>
        <w:spacing w:before="0"/>
        <w:rPr>
          <w:lang w:val="fr-CH"/>
        </w:rPr>
      </w:pPr>
      <w:bookmarkStart w:id="2" w:name="irecnoe"/>
      <w:bookmarkEnd w:id="2"/>
      <w:r>
        <w:rPr>
          <w:lang w:val="fr-CH"/>
        </w:rPr>
        <w:t xml:space="preserve">RECOMMANDATION  </w:t>
      </w:r>
      <w:r>
        <w:rPr>
          <w:rStyle w:val="href"/>
        </w:rPr>
        <w:t>UIT-R  SA.1626</w:t>
      </w:r>
      <w:r w:rsidR="00EB62E6">
        <w:rPr>
          <w:rStyle w:val="href"/>
        </w:rPr>
        <w:t>-1</w:t>
      </w:r>
      <w:r>
        <w:rPr>
          <w:rStyle w:val="FootnoteReference"/>
        </w:rPr>
        <w:footnoteReference w:customMarkFollows="1" w:id="1"/>
        <w:t>*</w:t>
      </w:r>
    </w:p>
    <w:p w:rsidR="00D869A6" w:rsidRDefault="00D869A6" w:rsidP="003F6403">
      <w:pPr>
        <w:pStyle w:val="Rectitle"/>
        <w:rPr>
          <w:lang w:val="fr-CH"/>
        </w:rPr>
      </w:pPr>
      <w:r>
        <w:rPr>
          <w:lang w:val="fr-CH"/>
        </w:rPr>
        <w:t xml:space="preserve">Faisabilité du partage des fréquences entre le service de recherche spatiale </w:t>
      </w:r>
      <w:r>
        <w:rPr>
          <w:lang w:val="fr-CH"/>
        </w:rPr>
        <w:br/>
        <w:t xml:space="preserve">(espace vers Terre) et les services fixe et mobile </w:t>
      </w:r>
      <w:r>
        <w:rPr>
          <w:lang w:val="fr-CH"/>
        </w:rPr>
        <w:br/>
        <w:t>dans la bande 14,8</w:t>
      </w:r>
      <w:r>
        <w:rPr>
          <w:lang w:val="fr-CH"/>
        </w:rPr>
        <w:noBreakHyphen/>
        <w:t>15,35 GHz</w:t>
      </w:r>
    </w:p>
    <w:p w:rsidR="00D869A6" w:rsidRDefault="00D869A6" w:rsidP="003F6403">
      <w:pPr>
        <w:pStyle w:val="Recdate"/>
        <w:rPr>
          <w:lang w:val="fr-CH"/>
        </w:rPr>
      </w:pPr>
      <w:r>
        <w:rPr>
          <w:lang w:val="fr-CH"/>
        </w:rPr>
        <w:t>(2003</w:t>
      </w:r>
      <w:r w:rsidR="00EB62E6">
        <w:rPr>
          <w:lang w:val="fr-CH"/>
        </w:rPr>
        <w:t>-2013</w:t>
      </w:r>
      <w:r>
        <w:rPr>
          <w:lang w:val="fr-CH"/>
        </w:rPr>
        <w:t>)</w:t>
      </w:r>
    </w:p>
    <w:p w:rsidR="00A909E4" w:rsidRPr="005D7019" w:rsidRDefault="00A909E4" w:rsidP="005D7019">
      <w:pPr>
        <w:pStyle w:val="HeadingSum"/>
        <w:rPr>
          <w:rStyle w:val="Strong"/>
          <w:b/>
          <w:bCs w:val="0"/>
          <w:lang w:val="fr-FR"/>
        </w:rPr>
      </w:pPr>
      <w:r w:rsidRPr="005D7019">
        <w:rPr>
          <w:rStyle w:val="Strong"/>
          <w:b/>
          <w:bCs w:val="0"/>
          <w:lang w:val="fr-FR"/>
        </w:rPr>
        <w:t>Domaine d'application</w:t>
      </w:r>
    </w:p>
    <w:p w:rsidR="00A909E4" w:rsidRPr="005D7019" w:rsidRDefault="00A909E4" w:rsidP="005D7019">
      <w:pPr>
        <w:pStyle w:val="Summary"/>
      </w:pPr>
      <w:r w:rsidRPr="005D7019">
        <w:t>La présente Recommandation expose les caractéristiques des systèmes de recherche spatiale, ainsi que les résultats des ana</w:t>
      </w:r>
      <w:r w:rsidR="002A6896" w:rsidRPr="005D7019">
        <w:t>l</w:t>
      </w:r>
      <w:r w:rsidRPr="005D7019">
        <w:t>yse</w:t>
      </w:r>
      <w:r w:rsidR="002A6896" w:rsidRPr="005D7019">
        <w:t>s</w:t>
      </w:r>
      <w:r w:rsidRPr="005D7019">
        <w:t xml:space="preserve"> de faisabilité du partage des fréquences entre le service de recherche spatiale (espace vers Terre) et les services fixe et mobile dans la bande 14,8</w:t>
      </w:r>
      <w:r w:rsidRPr="005D7019">
        <w:noBreakHyphen/>
        <w:t>15,35 GHz.</w:t>
      </w:r>
    </w:p>
    <w:p w:rsidR="00D869A6" w:rsidRDefault="00D869A6" w:rsidP="003F6403">
      <w:pPr>
        <w:pStyle w:val="Normalaftertitle"/>
        <w:rPr>
          <w:lang w:val="fr-CH"/>
        </w:rPr>
      </w:pPr>
      <w:r>
        <w:rPr>
          <w:lang w:val="fr-CH"/>
        </w:rPr>
        <w:t>L'Assemblée des radiocommunications de l'UIT,</w:t>
      </w:r>
    </w:p>
    <w:p w:rsidR="00D869A6" w:rsidRDefault="00D869A6" w:rsidP="003F6403">
      <w:pPr>
        <w:pStyle w:val="Call"/>
        <w:rPr>
          <w:lang w:val="fr-CH"/>
        </w:rPr>
      </w:pPr>
      <w:r>
        <w:rPr>
          <w:lang w:val="fr-CH"/>
        </w:rPr>
        <w:t>considérant</w:t>
      </w:r>
    </w:p>
    <w:p w:rsidR="00D869A6" w:rsidRDefault="00D869A6" w:rsidP="003F6403">
      <w:pPr>
        <w:rPr>
          <w:lang w:val="fr-CH"/>
        </w:rPr>
      </w:pPr>
      <w:r w:rsidRPr="00E33DBF">
        <w:rPr>
          <w:i/>
          <w:iCs/>
          <w:lang w:val="fr-CH"/>
        </w:rPr>
        <w:t>a)</w:t>
      </w:r>
      <w:r>
        <w:rPr>
          <w:lang w:val="fr-CH"/>
        </w:rPr>
        <w:tab/>
        <w:t>que la bande 14,8</w:t>
      </w:r>
      <w:r>
        <w:rPr>
          <w:lang w:val="fr-CH"/>
        </w:rPr>
        <w:noBreakHyphen/>
        <w:t>15,35 GHz est attribuée à titre primaire aux services fixe et mobile et à titre secondaire au service de recherche spatiale;</w:t>
      </w:r>
    </w:p>
    <w:p w:rsidR="00D869A6" w:rsidRDefault="00D869A6" w:rsidP="003F6403">
      <w:pPr>
        <w:rPr>
          <w:lang w:val="fr-CH"/>
        </w:rPr>
      </w:pPr>
      <w:r w:rsidRPr="00E33DBF">
        <w:rPr>
          <w:i/>
          <w:iCs/>
        </w:rPr>
        <w:t>b)</w:t>
      </w:r>
      <w:r w:rsidRPr="00C5543B">
        <w:tab/>
        <w:t xml:space="preserve">que, conformément au numéro </w:t>
      </w:r>
      <w:r w:rsidRPr="005D7019">
        <w:rPr>
          <w:b/>
          <w:bCs/>
        </w:rPr>
        <w:t>5.339</w:t>
      </w:r>
      <w:r w:rsidRPr="00C5543B">
        <w:t xml:space="preserve"> </w:t>
      </w:r>
      <w:r w:rsidR="00C5543B" w:rsidRPr="00C5543B">
        <w:t xml:space="preserve">de l'édition de 2012 </w:t>
      </w:r>
      <w:r w:rsidRPr="00C5543B">
        <w:t>du Règlement des</w:t>
      </w:r>
      <w:r>
        <w:rPr>
          <w:lang w:val="fr-CH"/>
        </w:rPr>
        <w:t xml:space="preserve"> radiocommunications (RR</w:t>
      </w:r>
      <w:r w:rsidR="00F02172">
        <w:rPr>
          <w:lang w:val="fr-CH"/>
        </w:rPr>
        <w:t>)</w:t>
      </w:r>
      <w:r w:rsidR="001323B5">
        <w:rPr>
          <w:lang w:val="fr-CH"/>
        </w:rPr>
        <w:t xml:space="preserve">, </w:t>
      </w:r>
      <w:r>
        <w:rPr>
          <w:lang w:val="fr-CH"/>
        </w:rPr>
        <w:t>la bande 15,20</w:t>
      </w:r>
      <w:r>
        <w:rPr>
          <w:lang w:val="fr-CH"/>
        </w:rPr>
        <w:noBreakHyphen/>
        <w:t>15,35 GHz est attribuée à titre secondaire au service de recherche spatiale (passive) et au service d'exploration de la Terre par satellite (SETS) (passive);</w:t>
      </w:r>
    </w:p>
    <w:p w:rsidR="00D869A6" w:rsidRDefault="00D869A6" w:rsidP="003F6403">
      <w:pPr>
        <w:rPr>
          <w:lang w:val="fr-CH"/>
        </w:rPr>
      </w:pPr>
      <w:r w:rsidRPr="00E33DBF">
        <w:rPr>
          <w:i/>
          <w:iCs/>
          <w:lang w:val="fr-CH"/>
        </w:rPr>
        <w:t>c)</w:t>
      </w:r>
      <w:r>
        <w:rPr>
          <w:lang w:val="fr-CH"/>
        </w:rPr>
        <w:tab/>
        <w:t>que le service de recherche spatiale à large bande a besoin de liaisons descendantes pour la transmission future de données scientifiques à haut débit;</w:t>
      </w:r>
    </w:p>
    <w:p w:rsidR="00D869A6" w:rsidRDefault="001323B5" w:rsidP="003F6403">
      <w:pPr>
        <w:rPr>
          <w:lang w:val="fr-CH"/>
        </w:rPr>
      </w:pPr>
      <w:r w:rsidRPr="00E33DBF">
        <w:rPr>
          <w:i/>
          <w:iCs/>
          <w:lang w:val="fr-CH"/>
        </w:rPr>
        <w:t>d</w:t>
      </w:r>
      <w:r w:rsidR="00D869A6" w:rsidRPr="00E33DBF">
        <w:rPr>
          <w:i/>
          <w:iCs/>
          <w:lang w:val="fr-CH"/>
        </w:rPr>
        <w:t>)</w:t>
      </w:r>
      <w:r w:rsidR="00D869A6">
        <w:rPr>
          <w:lang w:val="fr-CH"/>
        </w:rPr>
        <w:tab/>
        <w:t>que, dans des conditions favorables, les distances de séparation requises entre les stations terriennes de réception du service de recherche spatiale et les stations d'émission du service fixe sont relativement courtes (moins de 30 km) et que dans des conditions moins favorables, ces distances peuvent être relativement grandes (jusqu'à 200 km);</w:t>
      </w:r>
    </w:p>
    <w:p w:rsidR="00D869A6" w:rsidRDefault="001323B5" w:rsidP="003F6403">
      <w:pPr>
        <w:rPr>
          <w:lang w:val="fr-CH"/>
        </w:rPr>
      </w:pPr>
      <w:r w:rsidRPr="00E33DBF">
        <w:rPr>
          <w:i/>
          <w:iCs/>
          <w:lang w:val="fr-CH"/>
        </w:rPr>
        <w:t>e</w:t>
      </w:r>
      <w:r w:rsidR="00D869A6" w:rsidRPr="00E33DBF">
        <w:rPr>
          <w:i/>
          <w:iCs/>
          <w:lang w:val="fr-CH"/>
        </w:rPr>
        <w:t>)</w:t>
      </w:r>
      <w:r w:rsidR="00D869A6">
        <w:rPr>
          <w:lang w:val="fr-CH"/>
        </w:rPr>
        <w:tab/>
        <w:t>que ces distances de séparation peuvent diminuer fortement en raison de la répartition des canaux, de l'effet d'écran dû aux sites naturels, des obstacles dus au terrain et d'autres caractéristiques du terrain,</w:t>
      </w:r>
    </w:p>
    <w:p w:rsidR="00D869A6" w:rsidRDefault="00D869A6" w:rsidP="003F6403">
      <w:pPr>
        <w:pStyle w:val="Call"/>
        <w:rPr>
          <w:lang w:val="fr-CH"/>
        </w:rPr>
      </w:pPr>
      <w:r>
        <w:rPr>
          <w:lang w:val="fr-CH"/>
        </w:rPr>
        <w:t>notant</w:t>
      </w:r>
    </w:p>
    <w:p w:rsidR="00D869A6" w:rsidRDefault="00D869A6" w:rsidP="003F6403">
      <w:pPr>
        <w:rPr>
          <w:lang w:val="fr-CH"/>
        </w:rPr>
      </w:pPr>
      <w:r w:rsidRPr="00E33DBF">
        <w:rPr>
          <w:i/>
          <w:iCs/>
          <w:lang w:val="fr-CH"/>
        </w:rPr>
        <w:t>a)</w:t>
      </w:r>
      <w:r>
        <w:rPr>
          <w:lang w:val="fr-CH"/>
        </w:rPr>
        <w:tab/>
        <w:t>qu'en raison du petit nombre de stations terriennes du service de recherche spatiale qu'il est prévu d'installer dans le monde (10 à 40), la coordination entre les systèmes des services fixe et mobile terrestre et les stations du service de recherche spatiale n'entraînera de contraintes excessives pour aucun des services,</w:t>
      </w:r>
    </w:p>
    <w:p w:rsidR="00D869A6" w:rsidRDefault="00D869A6" w:rsidP="003F6403">
      <w:pPr>
        <w:pStyle w:val="Call"/>
        <w:rPr>
          <w:lang w:val="fr-CH"/>
        </w:rPr>
      </w:pPr>
      <w:r>
        <w:rPr>
          <w:lang w:val="fr-CH"/>
        </w:rPr>
        <w:t>recommande</w:t>
      </w:r>
    </w:p>
    <w:p w:rsidR="00D869A6" w:rsidRDefault="00D869A6" w:rsidP="003F6403">
      <w:pPr>
        <w:rPr>
          <w:lang w:val="fr-CH"/>
        </w:rPr>
      </w:pPr>
      <w:r>
        <w:rPr>
          <w:b/>
          <w:bCs/>
          <w:lang w:val="fr-CH"/>
        </w:rPr>
        <w:t>1</w:t>
      </w:r>
      <w:r>
        <w:rPr>
          <w:lang w:val="fr-CH"/>
        </w:rPr>
        <w:tab/>
        <w:t>d'envisager comme possible le partage entre un satellite OSG du service de recherche spatiale émettant dans le sens espace vers Terre et un satellite relais de données (SRD) OSG de réception fonctionnant à proximité de 15 GHz si la distance de séparation entre ces satellites est d'au moins 12 km (ce qui équivaut à un espacement orbital de 0,02°);</w:t>
      </w:r>
    </w:p>
    <w:p w:rsidR="00D869A6" w:rsidRDefault="00D869A6" w:rsidP="00621027">
      <w:pPr>
        <w:keepNext/>
        <w:keepLines/>
        <w:rPr>
          <w:lang w:val="fr-CH"/>
        </w:rPr>
      </w:pPr>
      <w:r>
        <w:rPr>
          <w:b/>
          <w:bCs/>
          <w:lang w:val="fr-CH"/>
        </w:rPr>
        <w:t>2</w:t>
      </w:r>
      <w:r>
        <w:rPr>
          <w:lang w:val="fr-CH"/>
        </w:rPr>
        <w:tab/>
        <w:t>de tenir compte, lors de la conception de systèmes du service de recherche spatiale, de la probabilité pour que ces systèmes subissent des brouillages causés par des satellites utilisateurs du SRD pendant de courtes périodes. Ces brouillages ne doivent pas se produire pendant plus de 0,1</w:t>
      </w:r>
      <w:r w:rsidR="00621027">
        <w:rPr>
          <w:lang w:val="fr-CH"/>
        </w:rPr>
        <w:t>%</w:t>
      </w:r>
      <w:r>
        <w:rPr>
          <w:lang w:val="fr-CH"/>
        </w:rPr>
        <w:t> du temps;</w:t>
      </w:r>
    </w:p>
    <w:p w:rsidR="00D869A6" w:rsidRDefault="00D869A6" w:rsidP="003F6403">
      <w:pPr>
        <w:spacing w:after="80"/>
        <w:rPr>
          <w:lang w:val="fr-CH"/>
        </w:rPr>
      </w:pPr>
      <w:r>
        <w:rPr>
          <w:b/>
          <w:bCs/>
          <w:lang w:val="fr-CH"/>
        </w:rPr>
        <w:t>3</w:t>
      </w:r>
      <w:r>
        <w:rPr>
          <w:lang w:val="fr-CH"/>
        </w:rPr>
        <w:tab/>
        <w:t>que des systèmes à satellites OSG du service de recherche spatiale respectent les limites de puissance surfacique à la surface de la Terre suivantes, dans des conditions supposées de propagation en espace libre dans la bande 14,8</w:t>
      </w:r>
      <w:r>
        <w:rPr>
          <w:lang w:val="fr-CH"/>
        </w:rPr>
        <w:noBreakHyphen/>
        <w:t>15,35 GHz:</w:t>
      </w:r>
    </w:p>
    <w:p w:rsidR="005D7019" w:rsidRDefault="005D7019" w:rsidP="003F6403">
      <w:pPr>
        <w:spacing w:after="80"/>
        <w:rPr>
          <w:lang w:val="fr-CH"/>
        </w:rPr>
      </w:pPr>
    </w:p>
    <w:p w:rsidR="00D869A6" w:rsidRDefault="00D869A6" w:rsidP="003F6403">
      <w:pPr>
        <w:pStyle w:val="Blanc"/>
        <w:rPr>
          <w:sz w:val="2"/>
          <w:lang w:val="fr-CH"/>
        </w:rPr>
      </w:pPr>
    </w:p>
    <w:tbl>
      <w:tblPr>
        <w:tblW w:w="0" w:type="auto"/>
        <w:tblLayout w:type="fixed"/>
        <w:tblCellMar>
          <w:left w:w="107" w:type="dxa"/>
          <w:right w:w="107" w:type="dxa"/>
        </w:tblCellMar>
        <w:tblLook w:val="0000" w:firstRow="0" w:lastRow="0" w:firstColumn="0" w:lastColumn="0" w:noHBand="0" w:noVBand="0"/>
      </w:tblPr>
      <w:tblGrid>
        <w:gridCol w:w="1701"/>
        <w:gridCol w:w="1843"/>
        <w:gridCol w:w="2126"/>
      </w:tblGrid>
      <w:tr w:rsidR="00D869A6" w:rsidTr="00D679F1">
        <w:tc>
          <w:tcPr>
            <w:tcW w:w="5670" w:type="dxa"/>
            <w:gridSpan w:val="3"/>
            <w:tcBorders>
              <w:top w:val="single" w:sz="6" w:space="0" w:color="auto"/>
              <w:left w:val="single" w:sz="6" w:space="0" w:color="auto"/>
              <w:bottom w:val="single" w:sz="4" w:space="0" w:color="auto"/>
              <w:right w:val="single" w:sz="6" w:space="0" w:color="auto"/>
            </w:tcBorders>
          </w:tcPr>
          <w:p w:rsidR="00D869A6" w:rsidRDefault="00D869A6" w:rsidP="003F6403">
            <w:pPr>
              <w:pStyle w:val="Tablehead"/>
              <w:framePr w:hSpace="181" w:wrap="notBeside" w:vAnchor="text" w:hAnchor="text" w:xAlign="center" w:y="1"/>
              <w:rPr>
                <w:lang w:val="fr-CH"/>
              </w:rPr>
            </w:pPr>
            <w:r>
              <w:rPr>
                <w:lang w:val="fr-CH"/>
              </w:rPr>
              <w:t>Limite (dB(W/(m</w:t>
            </w:r>
            <w:r>
              <w:rPr>
                <w:vertAlign w:val="superscript"/>
                <w:lang w:val="fr-CH"/>
              </w:rPr>
              <w:t>2</w:t>
            </w:r>
            <w:r>
              <w:rPr>
                <w:lang w:val="fr-CH"/>
              </w:rPr>
              <w:t>)) dans une largeur de bande de 1 MHz pour l'angle d'incidence, δ, au-dessus du plan horizontal</w:t>
            </w:r>
          </w:p>
        </w:tc>
      </w:tr>
      <w:tr w:rsidR="00D869A6" w:rsidTr="00D679F1">
        <w:tc>
          <w:tcPr>
            <w:tcW w:w="1701" w:type="dxa"/>
            <w:tcBorders>
              <w:top w:val="single" w:sz="4" w:space="0" w:color="auto"/>
              <w:left w:val="single" w:sz="6" w:space="0" w:color="auto"/>
              <w:bottom w:val="single" w:sz="6" w:space="0" w:color="auto"/>
              <w:right w:val="single" w:sz="6" w:space="0" w:color="auto"/>
            </w:tcBorders>
          </w:tcPr>
          <w:p w:rsidR="00D869A6" w:rsidRDefault="00D869A6" w:rsidP="003F6403">
            <w:pPr>
              <w:pStyle w:val="Tabletext"/>
              <w:framePr w:hSpace="181" w:wrap="notBeside" w:vAnchor="text" w:hAnchor="text" w:xAlign="center" w:y="1"/>
              <w:spacing w:before="20" w:after="20"/>
              <w:jc w:val="center"/>
              <w:rPr>
                <w:lang w:val="fr-CH"/>
              </w:rPr>
            </w:pPr>
            <w:r>
              <w:rPr>
                <w:lang w:val="fr-CH"/>
              </w:rPr>
              <w:t>0</w:t>
            </w:r>
            <w:r>
              <w:rPr>
                <w:rFonts w:ascii="Symbol" w:hAnsi="Symbol"/>
                <w:lang w:val="fr-CH"/>
              </w:rPr>
              <w:t></w:t>
            </w:r>
            <w:r w:rsidR="00A73675">
              <w:rPr>
                <w:lang w:val="fr-CH"/>
              </w:rPr>
              <w:t>-</w:t>
            </w:r>
            <w:r>
              <w:rPr>
                <w:lang w:val="fr-CH"/>
              </w:rPr>
              <w:t>5</w:t>
            </w:r>
            <w:r>
              <w:rPr>
                <w:rFonts w:ascii="Symbol" w:hAnsi="Symbol"/>
                <w:lang w:val="fr-CH"/>
              </w:rPr>
              <w:t></w:t>
            </w:r>
          </w:p>
        </w:tc>
        <w:tc>
          <w:tcPr>
            <w:tcW w:w="1843" w:type="dxa"/>
            <w:tcBorders>
              <w:top w:val="single" w:sz="4" w:space="0" w:color="auto"/>
              <w:left w:val="single" w:sz="6" w:space="0" w:color="auto"/>
              <w:bottom w:val="single" w:sz="6" w:space="0" w:color="auto"/>
              <w:right w:val="single" w:sz="6" w:space="0" w:color="auto"/>
            </w:tcBorders>
          </w:tcPr>
          <w:p w:rsidR="00D869A6" w:rsidRDefault="00D869A6" w:rsidP="003F6403">
            <w:pPr>
              <w:pStyle w:val="Tabletext"/>
              <w:framePr w:hSpace="181" w:wrap="notBeside" w:vAnchor="text" w:hAnchor="text" w:xAlign="center" w:y="1"/>
              <w:spacing w:before="20" w:after="20"/>
              <w:jc w:val="center"/>
              <w:rPr>
                <w:lang w:val="fr-CH"/>
              </w:rPr>
            </w:pPr>
            <w:r>
              <w:rPr>
                <w:lang w:val="fr-CH"/>
              </w:rPr>
              <w:t>5</w:t>
            </w:r>
            <w:r>
              <w:rPr>
                <w:rFonts w:ascii="Symbol" w:hAnsi="Symbol"/>
                <w:lang w:val="fr-CH"/>
              </w:rPr>
              <w:t></w:t>
            </w:r>
            <w:r w:rsidR="00A73675">
              <w:rPr>
                <w:lang w:val="fr-CH"/>
              </w:rPr>
              <w:t>-</w:t>
            </w:r>
            <w:r>
              <w:rPr>
                <w:lang w:val="fr-CH"/>
              </w:rPr>
              <w:t>25</w:t>
            </w:r>
            <w:r>
              <w:rPr>
                <w:rFonts w:ascii="Symbol" w:hAnsi="Symbol"/>
                <w:lang w:val="fr-CH"/>
              </w:rPr>
              <w:t></w:t>
            </w:r>
          </w:p>
        </w:tc>
        <w:tc>
          <w:tcPr>
            <w:tcW w:w="2126" w:type="dxa"/>
            <w:tcBorders>
              <w:top w:val="single" w:sz="4" w:space="0" w:color="auto"/>
              <w:left w:val="single" w:sz="6" w:space="0" w:color="auto"/>
              <w:bottom w:val="single" w:sz="6" w:space="0" w:color="auto"/>
              <w:right w:val="single" w:sz="6" w:space="0" w:color="auto"/>
            </w:tcBorders>
          </w:tcPr>
          <w:p w:rsidR="00D869A6" w:rsidRDefault="00D869A6" w:rsidP="003F6403">
            <w:pPr>
              <w:pStyle w:val="Tabletext"/>
              <w:framePr w:hSpace="181" w:wrap="notBeside" w:vAnchor="text" w:hAnchor="text" w:xAlign="center" w:y="1"/>
              <w:spacing w:before="20" w:after="20"/>
              <w:jc w:val="center"/>
              <w:rPr>
                <w:lang w:val="fr-CH"/>
              </w:rPr>
            </w:pPr>
            <w:r>
              <w:rPr>
                <w:lang w:val="fr-CH"/>
              </w:rPr>
              <w:t>25</w:t>
            </w:r>
            <w:r>
              <w:rPr>
                <w:rFonts w:ascii="Symbol" w:hAnsi="Symbol"/>
                <w:lang w:val="fr-CH"/>
              </w:rPr>
              <w:t></w:t>
            </w:r>
            <w:r w:rsidR="00A73675">
              <w:rPr>
                <w:rFonts w:ascii="Tms Rmn" w:hAnsi="Tms Rmn"/>
                <w:lang w:val="fr-CH"/>
              </w:rPr>
              <w:t>-</w:t>
            </w:r>
            <w:r>
              <w:rPr>
                <w:lang w:val="fr-CH"/>
              </w:rPr>
              <w:t>90</w:t>
            </w:r>
            <w:r>
              <w:rPr>
                <w:rFonts w:ascii="Symbol" w:hAnsi="Symbol"/>
                <w:lang w:val="fr-CH"/>
              </w:rPr>
              <w:t></w:t>
            </w:r>
          </w:p>
        </w:tc>
      </w:tr>
      <w:tr w:rsidR="00D869A6" w:rsidTr="00C5543B">
        <w:tc>
          <w:tcPr>
            <w:tcW w:w="1701" w:type="dxa"/>
            <w:tcBorders>
              <w:top w:val="single" w:sz="6" w:space="0" w:color="auto"/>
              <w:left w:val="single" w:sz="6" w:space="0" w:color="auto"/>
              <w:bottom w:val="single" w:sz="6" w:space="0" w:color="auto"/>
              <w:right w:val="single" w:sz="6" w:space="0" w:color="auto"/>
            </w:tcBorders>
          </w:tcPr>
          <w:p w:rsidR="00D869A6" w:rsidRDefault="00D869A6" w:rsidP="003F6403">
            <w:pPr>
              <w:pStyle w:val="Tabletext"/>
              <w:framePr w:hSpace="181" w:wrap="notBeside" w:vAnchor="text" w:hAnchor="text" w:xAlign="center" w:y="1"/>
              <w:spacing w:before="20" w:after="20"/>
              <w:jc w:val="center"/>
              <w:rPr>
                <w:lang w:val="fr-CH"/>
              </w:rPr>
            </w:pPr>
            <w:r>
              <w:rPr>
                <w:lang w:val="fr-CH"/>
              </w:rPr>
              <w:t>–126</w:t>
            </w:r>
          </w:p>
        </w:tc>
        <w:tc>
          <w:tcPr>
            <w:tcW w:w="1843" w:type="dxa"/>
            <w:tcBorders>
              <w:top w:val="single" w:sz="6" w:space="0" w:color="auto"/>
              <w:left w:val="single" w:sz="6" w:space="0" w:color="auto"/>
              <w:bottom w:val="single" w:sz="6" w:space="0" w:color="auto"/>
              <w:right w:val="single" w:sz="6" w:space="0" w:color="auto"/>
            </w:tcBorders>
          </w:tcPr>
          <w:p w:rsidR="00D869A6" w:rsidRDefault="00D869A6" w:rsidP="003F6403">
            <w:pPr>
              <w:pStyle w:val="Tabletext"/>
              <w:framePr w:hSpace="181" w:wrap="notBeside" w:vAnchor="text" w:hAnchor="text" w:xAlign="center" w:y="1"/>
              <w:spacing w:before="20" w:after="20"/>
              <w:jc w:val="center"/>
              <w:rPr>
                <w:lang w:val="fr-CH"/>
              </w:rPr>
            </w:pPr>
            <w:r>
              <w:rPr>
                <w:rFonts w:ascii="Symbol" w:hAnsi="Symbol"/>
                <w:lang w:val="fr-CH"/>
              </w:rPr>
              <w:t></w:t>
            </w:r>
            <w:r>
              <w:rPr>
                <w:lang w:val="fr-CH"/>
              </w:rPr>
              <w:t xml:space="preserve">126 </w:t>
            </w:r>
            <w:r>
              <w:rPr>
                <w:rFonts w:ascii="Symbol" w:hAnsi="Symbol"/>
                <w:lang w:val="fr-CH"/>
              </w:rPr>
              <w:t></w:t>
            </w:r>
            <w:r>
              <w:rPr>
                <w:lang w:val="fr-CH"/>
              </w:rPr>
              <w:t xml:space="preserve"> 0,5(</w:t>
            </w:r>
            <w:r>
              <w:rPr>
                <w:rFonts w:ascii="Symbol" w:hAnsi="Symbol"/>
                <w:lang w:val="fr-CH"/>
              </w:rPr>
              <w:t></w:t>
            </w:r>
            <w:r>
              <w:t> </w:t>
            </w:r>
            <w:r>
              <w:rPr>
                <w:lang w:val="fr-CH"/>
              </w:rPr>
              <w:t>– 5)</w:t>
            </w:r>
          </w:p>
        </w:tc>
        <w:tc>
          <w:tcPr>
            <w:tcW w:w="2126" w:type="dxa"/>
            <w:tcBorders>
              <w:top w:val="single" w:sz="6" w:space="0" w:color="auto"/>
              <w:left w:val="single" w:sz="6" w:space="0" w:color="auto"/>
              <w:bottom w:val="single" w:sz="6" w:space="0" w:color="auto"/>
              <w:right w:val="single" w:sz="6" w:space="0" w:color="auto"/>
            </w:tcBorders>
          </w:tcPr>
          <w:p w:rsidR="00D869A6" w:rsidRDefault="00D869A6" w:rsidP="003F6403">
            <w:pPr>
              <w:pStyle w:val="Tabletext"/>
              <w:framePr w:hSpace="181" w:wrap="notBeside" w:vAnchor="text" w:hAnchor="text" w:xAlign="center" w:y="1"/>
              <w:spacing w:before="20" w:after="20"/>
              <w:jc w:val="center"/>
              <w:rPr>
                <w:lang w:val="fr-CH"/>
              </w:rPr>
            </w:pPr>
            <w:r>
              <w:rPr>
                <w:lang w:val="fr-CH"/>
              </w:rPr>
              <w:t>–116</w:t>
            </w:r>
          </w:p>
        </w:tc>
      </w:tr>
    </w:tbl>
    <w:p w:rsidR="00D869A6" w:rsidRDefault="00D869A6" w:rsidP="003F6403">
      <w:pPr>
        <w:pStyle w:val="Tablefin"/>
        <w:rPr>
          <w:sz w:val="2"/>
        </w:rPr>
      </w:pPr>
    </w:p>
    <w:p w:rsidR="00D869A6" w:rsidRDefault="00D869A6" w:rsidP="003F6403">
      <w:pPr>
        <w:spacing w:after="80"/>
        <w:rPr>
          <w:lang w:val="fr-CH"/>
        </w:rPr>
      </w:pPr>
      <w:r>
        <w:rPr>
          <w:b/>
          <w:lang w:val="fr-CH"/>
        </w:rPr>
        <w:t>4</w:t>
      </w:r>
      <w:r>
        <w:rPr>
          <w:lang w:val="fr-CH"/>
        </w:rPr>
        <w:tab/>
        <w:t>que des systèmes à satellites non OSG du service de recherche spatiale respectent les limites de puissance surfacique à la surface de la Terre suivantes, dans des conditions supposées de propagation en espace libre dans la bande 14,8-15,35 GHz:</w:t>
      </w:r>
    </w:p>
    <w:p w:rsidR="005D7019" w:rsidRDefault="005D7019" w:rsidP="003F6403">
      <w:pPr>
        <w:spacing w:after="80"/>
        <w:rPr>
          <w:lang w:val="fr-CH"/>
        </w:rPr>
      </w:pPr>
    </w:p>
    <w:p w:rsidR="00D869A6" w:rsidRDefault="00D869A6" w:rsidP="003F6403">
      <w:pPr>
        <w:pStyle w:val="Blanc"/>
        <w:rPr>
          <w:sz w:val="2"/>
          <w:lang w:val="fr-CH"/>
        </w:rPr>
      </w:pPr>
    </w:p>
    <w:tbl>
      <w:tblPr>
        <w:tblW w:w="0" w:type="auto"/>
        <w:tblLayout w:type="fixed"/>
        <w:tblCellMar>
          <w:left w:w="107" w:type="dxa"/>
          <w:right w:w="107" w:type="dxa"/>
        </w:tblCellMar>
        <w:tblLook w:val="0000" w:firstRow="0" w:lastRow="0" w:firstColumn="0" w:lastColumn="0" w:noHBand="0" w:noVBand="0"/>
      </w:tblPr>
      <w:tblGrid>
        <w:gridCol w:w="1701"/>
        <w:gridCol w:w="1843"/>
        <w:gridCol w:w="2126"/>
      </w:tblGrid>
      <w:tr w:rsidR="00D869A6" w:rsidTr="00C5543B">
        <w:tc>
          <w:tcPr>
            <w:tcW w:w="5670" w:type="dxa"/>
            <w:gridSpan w:val="3"/>
            <w:tcBorders>
              <w:top w:val="single" w:sz="6" w:space="0" w:color="auto"/>
              <w:left w:val="single" w:sz="6" w:space="0" w:color="auto"/>
              <w:bottom w:val="single" w:sz="6" w:space="0" w:color="auto"/>
              <w:right w:val="single" w:sz="6" w:space="0" w:color="auto"/>
            </w:tcBorders>
          </w:tcPr>
          <w:p w:rsidR="00D869A6" w:rsidRDefault="00D869A6" w:rsidP="003F6403">
            <w:pPr>
              <w:pStyle w:val="Tablehead"/>
              <w:framePr w:hSpace="181" w:wrap="notBeside" w:vAnchor="text" w:hAnchor="text" w:xAlign="center" w:y="1"/>
              <w:rPr>
                <w:lang w:val="fr-CH"/>
              </w:rPr>
            </w:pPr>
            <w:r>
              <w:rPr>
                <w:lang w:val="fr-CH"/>
              </w:rPr>
              <w:t>Limite (dB(W/(m</w:t>
            </w:r>
            <w:r>
              <w:rPr>
                <w:vertAlign w:val="superscript"/>
                <w:lang w:val="fr-CH"/>
              </w:rPr>
              <w:t>2</w:t>
            </w:r>
            <w:r>
              <w:rPr>
                <w:lang w:val="fr-CH"/>
              </w:rPr>
              <w:t>)) dans une largeur de bande de 1 MHz pour l'angle d'incidence, δ, au-dessus du plan horizontal</w:t>
            </w:r>
          </w:p>
        </w:tc>
      </w:tr>
      <w:tr w:rsidR="00D869A6" w:rsidTr="00C5543B">
        <w:tc>
          <w:tcPr>
            <w:tcW w:w="1701" w:type="dxa"/>
            <w:tcBorders>
              <w:top w:val="single" w:sz="6" w:space="0" w:color="auto"/>
              <w:left w:val="single" w:sz="6" w:space="0" w:color="auto"/>
              <w:bottom w:val="single" w:sz="6" w:space="0" w:color="auto"/>
              <w:right w:val="single" w:sz="6" w:space="0" w:color="auto"/>
            </w:tcBorders>
          </w:tcPr>
          <w:p w:rsidR="00D869A6" w:rsidRDefault="00D869A6" w:rsidP="003F6403">
            <w:pPr>
              <w:pStyle w:val="Tabletext"/>
              <w:framePr w:hSpace="181" w:wrap="notBeside" w:vAnchor="text" w:hAnchor="text" w:xAlign="center" w:y="1"/>
              <w:spacing w:before="20" w:after="20"/>
              <w:jc w:val="center"/>
              <w:rPr>
                <w:lang w:val="fr-CH"/>
              </w:rPr>
            </w:pPr>
            <w:r>
              <w:rPr>
                <w:lang w:val="fr-CH"/>
              </w:rPr>
              <w:t>0</w:t>
            </w:r>
            <w:r>
              <w:rPr>
                <w:rFonts w:ascii="Symbol" w:hAnsi="Symbol"/>
                <w:lang w:val="fr-CH"/>
              </w:rPr>
              <w:t></w:t>
            </w:r>
            <w:r w:rsidR="00A73675">
              <w:rPr>
                <w:lang w:val="fr-CH"/>
              </w:rPr>
              <w:t>-</w:t>
            </w:r>
            <w:r>
              <w:rPr>
                <w:lang w:val="fr-CH"/>
              </w:rPr>
              <w:t>5</w:t>
            </w:r>
            <w:r>
              <w:rPr>
                <w:rFonts w:ascii="Symbol" w:hAnsi="Symbol"/>
                <w:lang w:val="fr-CH"/>
              </w:rPr>
              <w:t></w:t>
            </w:r>
          </w:p>
        </w:tc>
        <w:tc>
          <w:tcPr>
            <w:tcW w:w="1843" w:type="dxa"/>
            <w:tcBorders>
              <w:top w:val="single" w:sz="6" w:space="0" w:color="auto"/>
              <w:left w:val="single" w:sz="6" w:space="0" w:color="auto"/>
              <w:bottom w:val="single" w:sz="6" w:space="0" w:color="auto"/>
              <w:right w:val="single" w:sz="6" w:space="0" w:color="auto"/>
            </w:tcBorders>
          </w:tcPr>
          <w:p w:rsidR="00D869A6" w:rsidRDefault="00D869A6" w:rsidP="003F6403">
            <w:pPr>
              <w:pStyle w:val="Tabletext"/>
              <w:framePr w:hSpace="181" w:wrap="notBeside" w:vAnchor="text" w:hAnchor="text" w:xAlign="center" w:y="1"/>
              <w:spacing w:before="20" w:after="20"/>
              <w:jc w:val="center"/>
              <w:rPr>
                <w:lang w:val="fr-CH"/>
              </w:rPr>
            </w:pPr>
            <w:r>
              <w:rPr>
                <w:lang w:val="fr-CH"/>
              </w:rPr>
              <w:t>5</w:t>
            </w:r>
            <w:r>
              <w:rPr>
                <w:rFonts w:ascii="Symbol" w:hAnsi="Symbol"/>
                <w:lang w:val="fr-CH"/>
              </w:rPr>
              <w:t></w:t>
            </w:r>
            <w:r w:rsidR="00A73675">
              <w:rPr>
                <w:lang w:val="fr-CH"/>
              </w:rPr>
              <w:t>-</w:t>
            </w:r>
            <w:r>
              <w:rPr>
                <w:lang w:val="fr-CH"/>
              </w:rPr>
              <w:t>25</w:t>
            </w:r>
            <w:r>
              <w:rPr>
                <w:rFonts w:ascii="Symbol" w:hAnsi="Symbol"/>
                <w:lang w:val="fr-CH"/>
              </w:rPr>
              <w:t></w:t>
            </w:r>
          </w:p>
        </w:tc>
        <w:tc>
          <w:tcPr>
            <w:tcW w:w="2126" w:type="dxa"/>
            <w:tcBorders>
              <w:top w:val="single" w:sz="6" w:space="0" w:color="auto"/>
              <w:left w:val="single" w:sz="6" w:space="0" w:color="auto"/>
              <w:bottom w:val="single" w:sz="6" w:space="0" w:color="auto"/>
              <w:right w:val="single" w:sz="6" w:space="0" w:color="auto"/>
            </w:tcBorders>
          </w:tcPr>
          <w:p w:rsidR="00D869A6" w:rsidRDefault="00D869A6" w:rsidP="003F6403">
            <w:pPr>
              <w:pStyle w:val="Tabletext"/>
              <w:framePr w:hSpace="181" w:wrap="notBeside" w:vAnchor="text" w:hAnchor="text" w:xAlign="center" w:y="1"/>
              <w:spacing w:before="20" w:after="20"/>
              <w:jc w:val="center"/>
              <w:rPr>
                <w:lang w:val="fr-CH"/>
              </w:rPr>
            </w:pPr>
            <w:r>
              <w:rPr>
                <w:lang w:val="fr-CH"/>
              </w:rPr>
              <w:t>25</w:t>
            </w:r>
            <w:r>
              <w:rPr>
                <w:rFonts w:ascii="Symbol" w:hAnsi="Symbol"/>
                <w:lang w:val="fr-CH"/>
              </w:rPr>
              <w:t></w:t>
            </w:r>
            <w:r w:rsidR="00A73675">
              <w:rPr>
                <w:rFonts w:ascii="Tms Rmn" w:hAnsi="Tms Rmn"/>
                <w:lang w:val="fr-CH"/>
              </w:rPr>
              <w:t>-</w:t>
            </w:r>
            <w:r>
              <w:rPr>
                <w:lang w:val="fr-CH"/>
              </w:rPr>
              <w:t>90</w:t>
            </w:r>
            <w:r>
              <w:rPr>
                <w:rFonts w:ascii="Symbol" w:hAnsi="Symbol"/>
                <w:lang w:val="fr-CH"/>
              </w:rPr>
              <w:t></w:t>
            </w:r>
          </w:p>
        </w:tc>
      </w:tr>
      <w:tr w:rsidR="00D869A6" w:rsidTr="00C5543B">
        <w:tc>
          <w:tcPr>
            <w:tcW w:w="1701" w:type="dxa"/>
            <w:tcBorders>
              <w:top w:val="single" w:sz="6" w:space="0" w:color="auto"/>
              <w:left w:val="single" w:sz="6" w:space="0" w:color="auto"/>
              <w:bottom w:val="single" w:sz="6" w:space="0" w:color="auto"/>
              <w:right w:val="single" w:sz="6" w:space="0" w:color="auto"/>
            </w:tcBorders>
          </w:tcPr>
          <w:p w:rsidR="00D869A6" w:rsidRDefault="00D869A6" w:rsidP="003F6403">
            <w:pPr>
              <w:pStyle w:val="Tabletext"/>
              <w:framePr w:hSpace="181" w:wrap="notBeside" w:vAnchor="text" w:hAnchor="text" w:xAlign="center" w:y="1"/>
              <w:spacing w:before="20" w:after="20"/>
              <w:jc w:val="center"/>
              <w:rPr>
                <w:lang w:val="fr-CH"/>
              </w:rPr>
            </w:pPr>
            <w:r>
              <w:rPr>
                <w:lang w:val="fr-CH"/>
              </w:rPr>
              <w:t>–124</w:t>
            </w:r>
          </w:p>
        </w:tc>
        <w:tc>
          <w:tcPr>
            <w:tcW w:w="1843" w:type="dxa"/>
            <w:tcBorders>
              <w:top w:val="single" w:sz="6" w:space="0" w:color="auto"/>
              <w:left w:val="single" w:sz="6" w:space="0" w:color="auto"/>
              <w:bottom w:val="single" w:sz="6" w:space="0" w:color="auto"/>
              <w:right w:val="single" w:sz="6" w:space="0" w:color="auto"/>
            </w:tcBorders>
          </w:tcPr>
          <w:p w:rsidR="00D869A6" w:rsidRDefault="00D869A6" w:rsidP="003F6403">
            <w:pPr>
              <w:pStyle w:val="Tabletext"/>
              <w:framePr w:hSpace="181" w:wrap="notBeside" w:vAnchor="text" w:hAnchor="text" w:xAlign="center" w:y="1"/>
              <w:spacing w:before="20" w:after="20"/>
              <w:jc w:val="center"/>
              <w:rPr>
                <w:lang w:val="fr-CH"/>
              </w:rPr>
            </w:pPr>
            <w:r>
              <w:rPr>
                <w:rFonts w:ascii="Symbol" w:hAnsi="Symbol"/>
                <w:lang w:val="fr-CH"/>
              </w:rPr>
              <w:t></w:t>
            </w:r>
            <w:r>
              <w:rPr>
                <w:lang w:val="fr-CH"/>
              </w:rPr>
              <w:t xml:space="preserve">124 </w:t>
            </w:r>
            <w:r>
              <w:rPr>
                <w:rFonts w:ascii="Symbol" w:hAnsi="Symbol"/>
                <w:lang w:val="fr-CH"/>
              </w:rPr>
              <w:t></w:t>
            </w:r>
            <w:r>
              <w:rPr>
                <w:lang w:val="fr-CH"/>
              </w:rPr>
              <w:t xml:space="preserve"> 0,5(</w:t>
            </w:r>
            <w:r>
              <w:rPr>
                <w:rFonts w:ascii="Symbol" w:hAnsi="Symbol"/>
                <w:lang w:val="fr-CH"/>
              </w:rPr>
              <w:t></w:t>
            </w:r>
            <w:r>
              <w:t> </w:t>
            </w:r>
            <w:r>
              <w:rPr>
                <w:lang w:val="fr-CH"/>
              </w:rPr>
              <w:t>– 5)</w:t>
            </w:r>
          </w:p>
        </w:tc>
        <w:tc>
          <w:tcPr>
            <w:tcW w:w="2126" w:type="dxa"/>
            <w:tcBorders>
              <w:top w:val="single" w:sz="6" w:space="0" w:color="auto"/>
              <w:left w:val="single" w:sz="6" w:space="0" w:color="auto"/>
              <w:bottom w:val="single" w:sz="6" w:space="0" w:color="auto"/>
              <w:right w:val="single" w:sz="6" w:space="0" w:color="auto"/>
            </w:tcBorders>
          </w:tcPr>
          <w:p w:rsidR="00D869A6" w:rsidRDefault="00D869A6" w:rsidP="003F6403">
            <w:pPr>
              <w:pStyle w:val="Tabletext"/>
              <w:framePr w:hSpace="181" w:wrap="notBeside" w:vAnchor="text" w:hAnchor="text" w:xAlign="center" w:y="1"/>
              <w:spacing w:before="20" w:after="20"/>
              <w:jc w:val="center"/>
              <w:rPr>
                <w:lang w:val="fr-CH"/>
              </w:rPr>
            </w:pPr>
            <w:r>
              <w:rPr>
                <w:lang w:val="fr-CH"/>
              </w:rPr>
              <w:t>–114</w:t>
            </w:r>
          </w:p>
        </w:tc>
      </w:tr>
    </w:tbl>
    <w:p w:rsidR="00D869A6" w:rsidRDefault="00D869A6" w:rsidP="003F6403">
      <w:pPr>
        <w:pStyle w:val="Tablefin"/>
        <w:rPr>
          <w:sz w:val="2"/>
        </w:rPr>
      </w:pPr>
    </w:p>
    <w:p w:rsidR="00D869A6" w:rsidRDefault="00D869A6" w:rsidP="003F6403">
      <w:pPr>
        <w:rPr>
          <w:lang w:val="fr-CH"/>
        </w:rPr>
      </w:pPr>
      <w:r>
        <w:rPr>
          <w:b/>
          <w:bCs/>
          <w:lang w:val="fr-CH"/>
        </w:rPr>
        <w:t>5</w:t>
      </w:r>
      <w:r>
        <w:rPr>
          <w:lang w:val="fr-CH"/>
        </w:rPr>
        <w:tab/>
        <w:t xml:space="preserve">d'utiliser éventuellement la </w:t>
      </w:r>
      <w:r w:rsidR="00D679F1">
        <w:rPr>
          <w:lang w:val="fr-CH"/>
        </w:rPr>
        <w:t>méthode présentée dans l'Annexe </w:t>
      </w:r>
      <w:r>
        <w:rPr>
          <w:lang w:val="fr-CH"/>
        </w:rPr>
        <w:t>1 et les critères de protection applicables aux liaisons espace vers Terre du service de recherche spatiale donn</w:t>
      </w:r>
      <w:r w:rsidR="009151CE">
        <w:rPr>
          <w:lang w:val="fr-CH"/>
        </w:rPr>
        <w:t>és dans la Recommandation UIT-R </w:t>
      </w:r>
      <w:r>
        <w:rPr>
          <w:lang w:val="fr-CH"/>
        </w:rPr>
        <w:t>SA.609 pour déterminer les distances de séparation requises dont les stations terriennes du service de recherche spatiale ont besoin pour bénéficier d'une protection vis</w:t>
      </w:r>
      <w:r>
        <w:rPr>
          <w:lang w:val="fr-CH"/>
        </w:rPr>
        <w:noBreakHyphen/>
        <w:t>à</w:t>
      </w:r>
      <w:r>
        <w:rPr>
          <w:lang w:val="fr-CH"/>
        </w:rPr>
        <w:noBreakHyphen/>
        <w:t>vis des stations d'émission des services fixe et mobile;</w:t>
      </w:r>
    </w:p>
    <w:p w:rsidR="00D869A6" w:rsidRDefault="00D869A6" w:rsidP="003F6403">
      <w:pPr>
        <w:rPr>
          <w:lang w:val="fr-CH"/>
        </w:rPr>
      </w:pPr>
      <w:r>
        <w:rPr>
          <w:b/>
          <w:bCs/>
          <w:lang w:val="fr-CH"/>
        </w:rPr>
        <w:t>6</w:t>
      </w:r>
      <w:r>
        <w:rPr>
          <w:lang w:val="fr-CH"/>
        </w:rPr>
        <w:tab/>
        <w:t>de déterminer s'il est nécessaire de prendre des mesures pour la mise en place de stations terriennes du service de recherche spatiale afin de ne pas limiter l'utilisation de la bande 14,8</w:t>
      </w:r>
      <w:r>
        <w:rPr>
          <w:lang w:val="fr-CH"/>
        </w:rPr>
        <w:noBreakHyphen/>
        <w:t>15,35 GHz par le service fixe.</w:t>
      </w:r>
    </w:p>
    <w:p w:rsidR="008618EF" w:rsidRDefault="008618EF" w:rsidP="003F6403">
      <w:pPr>
        <w:rPr>
          <w:lang w:val="fr-CH"/>
        </w:rPr>
      </w:pPr>
    </w:p>
    <w:p w:rsidR="008618EF" w:rsidRDefault="008618EF" w:rsidP="003F6403">
      <w:pPr>
        <w:rPr>
          <w:lang w:val="fr-CH"/>
        </w:rPr>
      </w:pPr>
    </w:p>
    <w:p w:rsidR="00D869A6" w:rsidRDefault="00D869A6" w:rsidP="003F6403">
      <w:pPr>
        <w:pStyle w:val="AnnexNoTitle"/>
        <w:rPr>
          <w:lang w:val="fr-CH"/>
        </w:rPr>
      </w:pPr>
      <w:r>
        <w:rPr>
          <w:lang w:val="fr-CH"/>
        </w:rPr>
        <w:t>Annexe 1</w:t>
      </w:r>
      <w:r>
        <w:rPr>
          <w:lang w:val="fr-CH"/>
        </w:rPr>
        <w:br/>
      </w:r>
      <w:r>
        <w:rPr>
          <w:lang w:val="fr-CH"/>
        </w:rPr>
        <w:br/>
        <w:t xml:space="preserve">Faisabilité du partage entre le </w:t>
      </w:r>
      <w:r w:rsidR="000449AE">
        <w:rPr>
          <w:lang w:val="fr-CH"/>
        </w:rPr>
        <w:t>service de recherche spatiale</w:t>
      </w:r>
      <w:r>
        <w:rPr>
          <w:lang w:val="fr-CH"/>
        </w:rPr>
        <w:t xml:space="preserve"> (espace vers Terre) et les services fixe et mobile dans la bande 14,8</w:t>
      </w:r>
      <w:r>
        <w:rPr>
          <w:lang w:val="fr-CH"/>
        </w:rPr>
        <w:noBreakHyphen/>
        <w:t>15,35 GHz</w:t>
      </w:r>
    </w:p>
    <w:p w:rsidR="00D869A6" w:rsidRDefault="00D869A6" w:rsidP="003F6403">
      <w:pPr>
        <w:pStyle w:val="Heading1"/>
        <w:rPr>
          <w:lang w:val="fr-CH"/>
        </w:rPr>
      </w:pPr>
      <w:r>
        <w:rPr>
          <w:lang w:val="fr-CH"/>
        </w:rPr>
        <w:t>1</w:t>
      </w:r>
      <w:r>
        <w:rPr>
          <w:lang w:val="fr-CH"/>
        </w:rPr>
        <w:tab/>
        <w:t>Introduction</w:t>
      </w:r>
    </w:p>
    <w:p w:rsidR="00D869A6" w:rsidRDefault="00D869A6" w:rsidP="003F6403">
      <w:pPr>
        <w:rPr>
          <w:lang w:val="fr-CH"/>
        </w:rPr>
      </w:pPr>
      <w:r>
        <w:rPr>
          <w:lang w:val="fr-CH"/>
        </w:rPr>
        <w:t xml:space="preserve">Des agences spatiales internationales envisagent actuellement de mettre en oeuvre des missions de recherche spatiale fondées à haut débit nécessitant des largeurs de bande allant jusqu'à 400 MHz. Les satellites utilisés pour ces missions seront équipés de télescopes ou d'autres instruments passifs pour mesurer des phénomènes tels que les orages magnétosphériques ou les éruptions solaires. </w:t>
      </w:r>
      <w:r w:rsidR="00197313">
        <w:rPr>
          <w:lang w:val="fr-CH"/>
        </w:rPr>
        <w:t xml:space="preserve">Conformément à </w:t>
      </w:r>
      <w:r w:rsidR="00197313" w:rsidRPr="00197313">
        <w:rPr>
          <w:lang w:val="fr-CH"/>
        </w:rPr>
        <w:t>l'édition de 2012 du Règlement des radiocommunications</w:t>
      </w:r>
      <w:r>
        <w:rPr>
          <w:lang w:val="fr-CH"/>
        </w:rPr>
        <w:t>, la bande 8</w:t>
      </w:r>
      <w:r>
        <w:rPr>
          <w:rFonts w:ascii="Tms Rmn" w:hAnsi="Tms Rmn"/>
          <w:sz w:val="12"/>
          <w:lang w:val="fr-CH"/>
        </w:rPr>
        <w:t> </w:t>
      </w:r>
      <w:r w:rsidR="00A73675">
        <w:rPr>
          <w:lang w:val="fr-CH"/>
        </w:rPr>
        <w:t>450</w:t>
      </w:r>
      <w:r w:rsidR="00A73675">
        <w:rPr>
          <w:lang w:val="fr-CH"/>
        </w:rPr>
        <w:noBreakHyphen/>
      </w:r>
      <w:r>
        <w:rPr>
          <w:lang w:val="fr-CH"/>
        </w:rPr>
        <w:t>8</w:t>
      </w:r>
      <w:r>
        <w:rPr>
          <w:rFonts w:ascii="Tms Rmn" w:hAnsi="Tms Rmn"/>
          <w:sz w:val="12"/>
          <w:lang w:val="fr-CH"/>
        </w:rPr>
        <w:t> </w:t>
      </w:r>
      <w:r w:rsidR="00A73675">
        <w:rPr>
          <w:lang w:val="fr-CH"/>
        </w:rPr>
        <w:t>500 </w:t>
      </w:r>
      <w:r>
        <w:rPr>
          <w:lang w:val="fr-CH"/>
        </w:rPr>
        <w:t>MHz est la seule dont dispose le service de recherche spatiale à titre primaire au</w:t>
      </w:r>
      <w:r>
        <w:rPr>
          <w:lang w:val="fr-CH"/>
        </w:rPr>
        <w:noBreakHyphen/>
        <w:t xml:space="preserve">dessous de la bande 37-38 GHz pour transmettre directement à partir de satellites en orbite autour de la Terre des données à moyen ou haut débit à destination de stations terriennes. Etant donné que cette bande ne satisfera pas aux exigences des missions futures de recherche spatiale à haut débit, une nouvelle attribution </w:t>
      </w:r>
      <w:r w:rsidR="00197313">
        <w:rPr>
          <w:lang w:val="fr-CH"/>
        </w:rPr>
        <w:t xml:space="preserve">à titre primaire </w:t>
      </w:r>
      <w:r>
        <w:rPr>
          <w:lang w:val="fr-CH"/>
        </w:rPr>
        <w:t>est nécessaire.</w:t>
      </w:r>
    </w:p>
    <w:p w:rsidR="00D869A6" w:rsidRDefault="00D869A6" w:rsidP="008618EF">
      <w:pPr>
        <w:rPr>
          <w:lang w:val="fr-CH"/>
        </w:rPr>
      </w:pPr>
      <w:r>
        <w:rPr>
          <w:lang w:val="fr-CH"/>
        </w:rPr>
        <w:t>Les attributions act</w:t>
      </w:r>
      <w:r w:rsidR="00D17EC3">
        <w:rPr>
          <w:lang w:val="fr-CH"/>
        </w:rPr>
        <w:t>uelles dans la bande 14,8</w:t>
      </w:r>
      <w:r w:rsidR="00D17EC3">
        <w:rPr>
          <w:lang w:val="fr-CH"/>
        </w:rPr>
        <w:noBreakHyphen/>
        <w:t>15,35 </w:t>
      </w:r>
      <w:r>
        <w:rPr>
          <w:lang w:val="fr-CH"/>
        </w:rPr>
        <w:t xml:space="preserve">GHz </w:t>
      </w:r>
      <w:r w:rsidR="00197313">
        <w:rPr>
          <w:lang w:val="fr-CH"/>
        </w:rPr>
        <w:t>(</w:t>
      </w:r>
      <w:r w:rsidR="00A73675">
        <w:rPr>
          <w:lang w:val="fr-CH"/>
        </w:rPr>
        <w:t xml:space="preserve">édition de 2012 du </w:t>
      </w:r>
      <w:r w:rsidR="00197313" w:rsidRPr="00197313">
        <w:rPr>
          <w:lang w:val="fr-CH"/>
        </w:rPr>
        <w:t>Règlement des radiocommunications</w:t>
      </w:r>
      <w:r w:rsidR="00197313">
        <w:rPr>
          <w:lang w:val="fr-CH"/>
        </w:rPr>
        <w:t xml:space="preserve">) </w:t>
      </w:r>
      <w:r>
        <w:rPr>
          <w:lang w:val="fr-CH"/>
        </w:rPr>
        <w:t>sont indiquées dans le Tableau 1. Elles comprennent des attributions à titre primaire aux services fixe et mobile et une attribution à titre secondaire au service de recherche spatiale. En outre, aux termes du numéro </w:t>
      </w:r>
      <w:r w:rsidRPr="008618EF">
        <w:rPr>
          <w:b/>
          <w:bCs/>
          <w:lang w:val="fr-CH"/>
        </w:rPr>
        <w:t>5.339</w:t>
      </w:r>
      <w:r>
        <w:rPr>
          <w:lang w:val="fr-CH"/>
        </w:rPr>
        <w:t xml:space="preserve"> du RR, </w:t>
      </w:r>
      <w:r w:rsidR="00D17EC3">
        <w:rPr>
          <w:lang w:val="fr-CH"/>
        </w:rPr>
        <w:t>le segment de bande 15,20</w:t>
      </w:r>
      <w:r w:rsidR="00D17EC3">
        <w:rPr>
          <w:lang w:val="fr-CH"/>
        </w:rPr>
        <w:noBreakHyphen/>
        <w:t>15,35 </w:t>
      </w:r>
      <w:r>
        <w:rPr>
          <w:lang w:val="fr-CH"/>
        </w:rPr>
        <w:t>GHz est attribué au service de recherche spatiale (passive) et au service d'exploration de la Terre par satellite (SETS) (passive) à titre secondaire.</w:t>
      </w:r>
    </w:p>
    <w:p w:rsidR="00D869A6" w:rsidRDefault="00D869A6" w:rsidP="008618EF">
      <w:pPr>
        <w:pStyle w:val="TableNo"/>
        <w:keepNext w:val="0"/>
        <w:rPr>
          <w:lang w:val="fr-CH"/>
        </w:rPr>
      </w:pPr>
      <w:r>
        <w:rPr>
          <w:lang w:val="fr-CH"/>
        </w:rPr>
        <w:t>TABLEAU 1</w:t>
      </w:r>
    </w:p>
    <w:p w:rsidR="00D869A6" w:rsidRPr="003F6403" w:rsidRDefault="00D869A6" w:rsidP="00D17EC3">
      <w:pPr>
        <w:pStyle w:val="Tabletitle"/>
        <w:keepNext w:val="0"/>
      </w:pPr>
      <w:r w:rsidRPr="003F6403">
        <w:t>Attributions dans la bande 14,8</w:t>
      </w:r>
      <w:r w:rsidRPr="003F6403">
        <w:noBreakHyphen/>
        <w:t>15,35 GHz</w:t>
      </w:r>
      <w:r w:rsidR="00A73675">
        <w:t xml:space="preserve"> (d'</w:t>
      </w:r>
      <w:r w:rsidR="00197313" w:rsidRPr="003F6403">
        <w:t xml:space="preserve">après </w:t>
      </w:r>
      <w:r w:rsidR="003F6403" w:rsidRPr="003F6403">
        <w:t xml:space="preserve">l'édition de 2012 </w:t>
      </w:r>
      <w:r w:rsidR="00A73675">
        <w:br/>
      </w:r>
      <w:r w:rsidR="003F6403" w:rsidRPr="003F6403">
        <w:t>du</w:t>
      </w:r>
      <w:r w:rsidR="00197313" w:rsidRPr="003F6403">
        <w:t xml:space="preserve"> Règlement des radi</w:t>
      </w:r>
      <w:r w:rsidR="00A73675">
        <w:t>ocommunications</w:t>
      </w:r>
      <w:r w:rsidR="00197313" w:rsidRPr="003F6403">
        <w:t>)</w:t>
      </w:r>
    </w:p>
    <w:tbl>
      <w:tblPr>
        <w:tblW w:w="9072" w:type="dxa"/>
        <w:jc w:val="center"/>
        <w:tblLayout w:type="fixed"/>
        <w:tblCellMar>
          <w:left w:w="107" w:type="dxa"/>
          <w:right w:w="107" w:type="dxa"/>
        </w:tblCellMar>
        <w:tblLook w:val="0000" w:firstRow="0" w:lastRow="0" w:firstColumn="0" w:lastColumn="0" w:noHBand="0" w:noVBand="0"/>
      </w:tblPr>
      <w:tblGrid>
        <w:gridCol w:w="2874"/>
        <w:gridCol w:w="2829"/>
        <w:gridCol w:w="3369"/>
      </w:tblGrid>
      <w:tr w:rsidR="00D869A6" w:rsidTr="00C5543B">
        <w:trPr>
          <w:cantSplit/>
          <w:jc w:val="center"/>
        </w:trPr>
        <w:tc>
          <w:tcPr>
            <w:tcW w:w="9072" w:type="dxa"/>
            <w:gridSpan w:val="3"/>
            <w:tcBorders>
              <w:top w:val="single" w:sz="6" w:space="0" w:color="auto"/>
              <w:left w:val="single" w:sz="6" w:space="0" w:color="auto"/>
              <w:bottom w:val="single" w:sz="6" w:space="0" w:color="auto"/>
              <w:right w:val="single" w:sz="6" w:space="0" w:color="auto"/>
            </w:tcBorders>
          </w:tcPr>
          <w:p w:rsidR="00D869A6" w:rsidRDefault="00D869A6" w:rsidP="00D17EC3">
            <w:pPr>
              <w:pStyle w:val="Tablehead"/>
              <w:keepNext w:val="0"/>
              <w:framePr w:hSpace="181" w:wrap="notBeside" w:vAnchor="text" w:hAnchor="text" w:xAlign="center" w:y="1"/>
              <w:rPr>
                <w:lang w:val="fr-CH"/>
              </w:rPr>
            </w:pPr>
            <w:r>
              <w:rPr>
                <w:lang w:val="fr-CH"/>
              </w:rPr>
              <w:t>Attribution aux services</w:t>
            </w:r>
          </w:p>
        </w:tc>
      </w:tr>
      <w:tr w:rsidR="00D869A6" w:rsidTr="00C5543B">
        <w:trPr>
          <w:cantSplit/>
          <w:jc w:val="center"/>
        </w:trPr>
        <w:tc>
          <w:tcPr>
            <w:tcW w:w="2874" w:type="dxa"/>
            <w:tcBorders>
              <w:top w:val="single" w:sz="6" w:space="0" w:color="auto"/>
              <w:left w:val="single" w:sz="6" w:space="0" w:color="auto"/>
              <w:bottom w:val="single" w:sz="6" w:space="0" w:color="auto"/>
              <w:right w:val="single" w:sz="6" w:space="0" w:color="auto"/>
            </w:tcBorders>
          </w:tcPr>
          <w:p w:rsidR="00D869A6" w:rsidRDefault="00D869A6" w:rsidP="00D17EC3">
            <w:pPr>
              <w:pStyle w:val="Tablehead"/>
              <w:keepNext w:val="0"/>
              <w:framePr w:hSpace="181" w:wrap="notBeside" w:vAnchor="text" w:hAnchor="text" w:xAlign="center" w:y="1"/>
              <w:rPr>
                <w:lang w:val="fr-CH"/>
              </w:rPr>
            </w:pPr>
            <w:r>
              <w:rPr>
                <w:lang w:val="fr-CH"/>
              </w:rPr>
              <w:t>Région 1</w:t>
            </w:r>
          </w:p>
        </w:tc>
        <w:tc>
          <w:tcPr>
            <w:tcW w:w="2829" w:type="dxa"/>
            <w:tcBorders>
              <w:top w:val="single" w:sz="6" w:space="0" w:color="auto"/>
              <w:left w:val="single" w:sz="6" w:space="0" w:color="auto"/>
              <w:bottom w:val="single" w:sz="6" w:space="0" w:color="auto"/>
              <w:right w:val="single" w:sz="6" w:space="0" w:color="auto"/>
            </w:tcBorders>
          </w:tcPr>
          <w:p w:rsidR="00D869A6" w:rsidRDefault="00D869A6" w:rsidP="00D17EC3">
            <w:pPr>
              <w:pStyle w:val="Tablehead"/>
              <w:keepNext w:val="0"/>
              <w:framePr w:hSpace="181" w:wrap="notBeside" w:vAnchor="text" w:hAnchor="text" w:xAlign="center" w:y="1"/>
              <w:rPr>
                <w:lang w:val="fr-CH"/>
              </w:rPr>
            </w:pPr>
            <w:r>
              <w:rPr>
                <w:lang w:val="fr-CH"/>
              </w:rPr>
              <w:t>Région 2</w:t>
            </w:r>
          </w:p>
        </w:tc>
        <w:tc>
          <w:tcPr>
            <w:tcW w:w="3369" w:type="dxa"/>
            <w:tcBorders>
              <w:top w:val="single" w:sz="6" w:space="0" w:color="auto"/>
              <w:left w:val="single" w:sz="6" w:space="0" w:color="auto"/>
              <w:bottom w:val="single" w:sz="6" w:space="0" w:color="auto"/>
              <w:right w:val="single" w:sz="6" w:space="0" w:color="auto"/>
            </w:tcBorders>
          </w:tcPr>
          <w:p w:rsidR="00D869A6" w:rsidRDefault="00D869A6" w:rsidP="00D17EC3">
            <w:pPr>
              <w:pStyle w:val="Tablehead"/>
              <w:keepNext w:val="0"/>
              <w:framePr w:hSpace="181" w:wrap="notBeside" w:vAnchor="text" w:hAnchor="text" w:xAlign="center" w:y="1"/>
              <w:rPr>
                <w:lang w:val="fr-CH"/>
              </w:rPr>
            </w:pPr>
            <w:r>
              <w:rPr>
                <w:lang w:val="fr-CH"/>
              </w:rPr>
              <w:t>Région 3</w:t>
            </w:r>
          </w:p>
        </w:tc>
      </w:tr>
      <w:tr w:rsidR="00D869A6" w:rsidTr="00C5543B">
        <w:trPr>
          <w:cantSplit/>
          <w:jc w:val="center"/>
        </w:trPr>
        <w:tc>
          <w:tcPr>
            <w:tcW w:w="2874" w:type="dxa"/>
            <w:tcBorders>
              <w:top w:val="single" w:sz="6" w:space="0" w:color="auto"/>
              <w:left w:val="single" w:sz="6" w:space="0" w:color="auto"/>
              <w:bottom w:val="single" w:sz="4" w:space="0" w:color="auto"/>
            </w:tcBorders>
          </w:tcPr>
          <w:p w:rsidR="00D869A6" w:rsidRDefault="00D869A6" w:rsidP="00D17EC3">
            <w:pPr>
              <w:pStyle w:val="Tabletext"/>
              <w:framePr w:hSpace="181" w:wrap="notBeside" w:vAnchor="text" w:hAnchor="text" w:xAlign="center" w:y="1"/>
              <w:rPr>
                <w:b/>
                <w:bCs/>
              </w:rPr>
            </w:pPr>
            <w:r>
              <w:rPr>
                <w:b/>
                <w:bCs/>
              </w:rPr>
              <w:t>14,8</w:t>
            </w:r>
            <w:r>
              <w:rPr>
                <w:b/>
                <w:bCs/>
              </w:rPr>
              <w:noBreakHyphen/>
              <w:t>15,35</w:t>
            </w:r>
          </w:p>
        </w:tc>
        <w:tc>
          <w:tcPr>
            <w:tcW w:w="6198" w:type="dxa"/>
            <w:gridSpan w:val="2"/>
            <w:tcBorders>
              <w:top w:val="single" w:sz="6" w:space="0" w:color="auto"/>
              <w:bottom w:val="single" w:sz="4" w:space="0" w:color="auto"/>
              <w:right w:val="single" w:sz="6" w:space="0" w:color="auto"/>
            </w:tcBorders>
          </w:tcPr>
          <w:p w:rsidR="00D869A6" w:rsidRDefault="00D869A6" w:rsidP="00D17EC3">
            <w:pPr>
              <w:pStyle w:val="Tabletext"/>
              <w:framePr w:hSpace="181" w:wrap="notBeside" w:vAnchor="text" w:hAnchor="text" w:xAlign="center" w:y="1"/>
              <w:ind w:left="-85" w:right="-85"/>
              <w:jc w:val="left"/>
            </w:pPr>
            <w:r>
              <w:t>FIXE</w:t>
            </w:r>
            <w:r>
              <w:br/>
              <w:t>MOBILE</w:t>
            </w:r>
            <w:r>
              <w:br/>
              <w:t>Recherche spatiale</w:t>
            </w:r>
            <w:r>
              <w:br/>
              <w:t>5.339</w:t>
            </w:r>
          </w:p>
        </w:tc>
      </w:tr>
      <w:tr w:rsidR="00D869A6" w:rsidTr="00C5543B">
        <w:trPr>
          <w:cantSplit/>
          <w:jc w:val="center"/>
        </w:trPr>
        <w:tc>
          <w:tcPr>
            <w:tcW w:w="9072" w:type="dxa"/>
            <w:gridSpan w:val="3"/>
            <w:tcBorders>
              <w:top w:val="single" w:sz="4" w:space="0" w:color="auto"/>
            </w:tcBorders>
          </w:tcPr>
          <w:p w:rsidR="00D869A6" w:rsidRDefault="00D869A6" w:rsidP="003F6403">
            <w:pPr>
              <w:pStyle w:val="Tablelegend"/>
              <w:framePr w:hSpace="181" w:wrap="notBeside" w:vAnchor="text" w:hAnchor="text" w:xAlign="center" w:y="1"/>
              <w:tabs>
                <w:tab w:val="clear" w:pos="284"/>
                <w:tab w:val="clear" w:pos="567"/>
                <w:tab w:val="clear" w:pos="851"/>
                <w:tab w:val="left" w:pos="360"/>
                <w:tab w:val="left" w:pos="900"/>
              </w:tabs>
              <w:spacing w:after="30"/>
              <w:ind w:left="0" w:right="0" w:firstLine="0"/>
              <w:rPr>
                <w:color w:val="000000"/>
                <w:lang w:val="fr-CH"/>
              </w:rPr>
            </w:pPr>
            <w:r>
              <w:rPr>
                <w:b/>
                <w:bCs/>
                <w:lang w:val="fr-CH"/>
              </w:rPr>
              <w:t>5.339</w:t>
            </w:r>
            <w:r>
              <w:rPr>
                <w:lang w:val="fr-CH"/>
              </w:rPr>
              <w:tab/>
              <w:t>Les bandes 1</w:t>
            </w:r>
            <w:r>
              <w:rPr>
                <w:sz w:val="12"/>
                <w:lang w:val="fr-CH"/>
              </w:rPr>
              <w:t> </w:t>
            </w:r>
            <w:r>
              <w:rPr>
                <w:lang w:val="fr-CH"/>
              </w:rPr>
              <w:t>370-1</w:t>
            </w:r>
            <w:r>
              <w:rPr>
                <w:sz w:val="12"/>
                <w:lang w:val="fr-CH"/>
              </w:rPr>
              <w:t> </w:t>
            </w:r>
            <w:r>
              <w:rPr>
                <w:lang w:val="fr-CH"/>
              </w:rPr>
              <w:t>400 MHz, 2</w:t>
            </w:r>
            <w:r>
              <w:rPr>
                <w:sz w:val="12"/>
                <w:lang w:val="fr-CH"/>
              </w:rPr>
              <w:t> </w:t>
            </w:r>
            <w:r>
              <w:rPr>
                <w:lang w:val="fr-CH"/>
              </w:rPr>
              <w:t>640-2</w:t>
            </w:r>
            <w:r>
              <w:rPr>
                <w:sz w:val="12"/>
                <w:lang w:val="fr-CH"/>
              </w:rPr>
              <w:t> </w:t>
            </w:r>
            <w:r>
              <w:rPr>
                <w:lang w:val="fr-CH"/>
              </w:rPr>
              <w:t>655 MHz, 4</w:t>
            </w:r>
            <w:r>
              <w:rPr>
                <w:sz w:val="12"/>
                <w:lang w:val="fr-CH"/>
              </w:rPr>
              <w:t> </w:t>
            </w:r>
            <w:r>
              <w:rPr>
                <w:lang w:val="fr-CH"/>
              </w:rPr>
              <w:t>950-4</w:t>
            </w:r>
            <w:r>
              <w:rPr>
                <w:sz w:val="12"/>
                <w:lang w:val="fr-CH"/>
              </w:rPr>
              <w:t> </w:t>
            </w:r>
            <w:r>
              <w:rPr>
                <w:lang w:val="fr-CH"/>
              </w:rPr>
              <w:t>990 MHz et 15,20-15,35 GHz sont, de plus, attribuées aux services de recherche spatiale (passive) et d'exploration de la Terre par satellite (passive) à titre secondaire.</w:t>
            </w:r>
          </w:p>
        </w:tc>
      </w:tr>
    </w:tbl>
    <w:p w:rsidR="00D869A6" w:rsidRDefault="00D869A6" w:rsidP="003F6403">
      <w:pPr>
        <w:pStyle w:val="Tablefin"/>
        <w:rPr>
          <w:sz w:val="2"/>
          <w:lang w:val="fr-CH"/>
        </w:rPr>
      </w:pPr>
    </w:p>
    <w:p w:rsidR="00D869A6" w:rsidRDefault="00D869A6">
      <w:pPr>
        <w:tabs>
          <w:tab w:val="clear" w:pos="794"/>
          <w:tab w:val="left" w:pos="900"/>
        </w:tabs>
        <w:rPr>
          <w:lang w:val="fr-CH"/>
        </w:rPr>
      </w:pPr>
      <w:r>
        <w:rPr>
          <w:lang w:val="fr-CH"/>
        </w:rPr>
        <w:t>Compte tenu de ces attributions, il est nécessaire d'examiner un certain nombre de scénarios de brouillages (voir le Tableau 2) avant de faire une attribution à titre primaire au service de recherche spatiale dans cette bande. On a procédé à une analyse des environnements de brouillage en vue de faciliter l'identification de conditions de partage appropriées. On trouvera au § 2 des renseignements sur les caractéristiques des systèmes du service de recherche spatiale uti</w:t>
      </w:r>
      <w:r w:rsidR="009151CE">
        <w:rPr>
          <w:lang w:val="fr-CH"/>
        </w:rPr>
        <w:t>lisées pour cette analyse</w:t>
      </w:r>
      <w:r w:rsidR="00934BF8">
        <w:rPr>
          <w:lang w:val="fr-CH"/>
        </w:rPr>
        <w:t>. Le </w:t>
      </w:r>
      <w:r w:rsidR="009151CE">
        <w:rPr>
          <w:lang w:val="fr-CH"/>
        </w:rPr>
        <w:t>§ </w:t>
      </w:r>
      <w:r>
        <w:rPr>
          <w:lang w:val="fr-CH"/>
        </w:rPr>
        <w:t>3 donne des exemples de caractéristiques des systèmes du service fixe dans la bande 14,8</w:t>
      </w:r>
      <w:r>
        <w:rPr>
          <w:lang w:val="fr-CH"/>
        </w:rPr>
        <w:noBreakHyphen/>
        <w:t>15,35 GHz. Le § 4 indique les principales caractéristiques des systèmes à SRD exploités dans cette bande. Les critères de protection des stations des services fixe ou mobile vis-à-vis des émissions du service de recherche spat</w:t>
      </w:r>
      <w:r w:rsidR="009151CE">
        <w:rPr>
          <w:lang w:val="fr-CH"/>
        </w:rPr>
        <w:t xml:space="preserve">iale sont calculés </w:t>
      </w:r>
      <w:r w:rsidR="00934BF8">
        <w:rPr>
          <w:lang w:val="fr-CH"/>
        </w:rPr>
        <w:t xml:space="preserve">au </w:t>
      </w:r>
      <w:r w:rsidR="009151CE">
        <w:rPr>
          <w:lang w:val="fr-CH"/>
        </w:rPr>
        <w:t>§ 5. Le § </w:t>
      </w:r>
      <w:r>
        <w:rPr>
          <w:lang w:val="fr-CH"/>
        </w:rPr>
        <w:t>6 traite des brouillages causés aux stations terriennes de réception du service de recherche spatiale par des émissions du service fixe ou mobile. Les conditions de partage entre le service de recherche spatiale (espace vers Terre) et les SRD d</w:t>
      </w:r>
      <w:r w:rsidR="00D17EC3">
        <w:rPr>
          <w:lang w:val="fr-CH"/>
        </w:rPr>
        <w:t>e réception sont examinées au § </w:t>
      </w:r>
      <w:r>
        <w:rPr>
          <w:lang w:val="fr-CH"/>
        </w:rPr>
        <w:t>7. Les questions liées à la protection des liaisons du service de recherche spatiale (passive) et du SETS ne sont pas abordées dans la présente Annexe, étant donné qu'il n'existe pas de système connu de ces services dans cette bande.</w:t>
      </w:r>
    </w:p>
    <w:p w:rsidR="00D869A6" w:rsidRPr="00D17EC3" w:rsidRDefault="00D869A6" w:rsidP="008618EF">
      <w:pPr>
        <w:pStyle w:val="TableNo"/>
        <w:keepLines/>
      </w:pPr>
      <w:r w:rsidRPr="00D17EC3">
        <w:t>TABLEAU 2</w:t>
      </w:r>
    </w:p>
    <w:p w:rsidR="00D869A6" w:rsidRDefault="00D869A6" w:rsidP="008618EF">
      <w:pPr>
        <w:pStyle w:val="Tabletitle"/>
        <w:keepLines/>
        <w:rPr>
          <w:lang w:val="fr-CH"/>
        </w:rPr>
      </w:pPr>
      <w:r>
        <w:rPr>
          <w:lang w:val="fr-CH"/>
        </w:rPr>
        <w:t>Scénarios de brouillage applicables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6"/>
        <w:gridCol w:w="2773"/>
        <w:gridCol w:w="3850"/>
      </w:tblGrid>
      <w:tr w:rsidR="00D17EC3" w:rsidTr="003C35BC">
        <w:trPr>
          <w:cantSplit/>
        </w:trPr>
        <w:tc>
          <w:tcPr>
            <w:tcW w:w="3016" w:type="dxa"/>
          </w:tcPr>
          <w:p w:rsidR="00D17EC3" w:rsidRDefault="00D17EC3" w:rsidP="008618EF">
            <w:pPr>
              <w:pStyle w:val="Tablehead"/>
              <w:keepLines/>
              <w:rPr>
                <w:lang w:val="fr-CH"/>
              </w:rPr>
            </w:pPr>
            <w:r>
              <w:rPr>
                <w:lang w:val="fr-CH"/>
              </w:rPr>
              <w:t>Système brouilleur</w:t>
            </w:r>
          </w:p>
        </w:tc>
        <w:tc>
          <w:tcPr>
            <w:tcW w:w="2773" w:type="dxa"/>
          </w:tcPr>
          <w:p w:rsidR="00D17EC3" w:rsidRDefault="00D17EC3" w:rsidP="008618EF">
            <w:pPr>
              <w:pStyle w:val="Tablehead"/>
              <w:keepLines/>
              <w:rPr>
                <w:lang w:val="fr-CH"/>
              </w:rPr>
            </w:pPr>
            <w:r>
              <w:rPr>
                <w:lang w:val="fr-CH"/>
              </w:rPr>
              <w:t>Système brouillé</w:t>
            </w:r>
          </w:p>
        </w:tc>
        <w:tc>
          <w:tcPr>
            <w:tcW w:w="3850" w:type="dxa"/>
          </w:tcPr>
          <w:p w:rsidR="00D17EC3" w:rsidRDefault="00D17EC3" w:rsidP="008618EF">
            <w:pPr>
              <w:pStyle w:val="Tablehead"/>
              <w:keepLines/>
              <w:rPr>
                <w:lang w:val="fr-CH"/>
              </w:rPr>
            </w:pPr>
            <w:r>
              <w:rPr>
                <w:lang w:val="fr-CH"/>
              </w:rPr>
              <w:t>Observations</w:t>
            </w:r>
          </w:p>
        </w:tc>
      </w:tr>
      <w:tr w:rsidR="00D17EC3" w:rsidTr="003C35BC">
        <w:trPr>
          <w:cantSplit/>
        </w:trPr>
        <w:tc>
          <w:tcPr>
            <w:tcW w:w="3016" w:type="dxa"/>
          </w:tcPr>
          <w:p w:rsidR="00D17EC3" w:rsidRDefault="00D17EC3" w:rsidP="008618EF">
            <w:pPr>
              <w:pStyle w:val="Tabletext"/>
              <w:keepNext/>
              <w:keepLines/>
              <w:jc w:val="left"/>
              <w:rPr>
                <w:lang w:val="fr-CH"/>
              </w:rPr>
            </w:pPr>
            <w:r>
              <w:rPr>
                <w:lang w:val="fr-CH"/>
              </w:rPr>
              <w:t>Service de recherche spatiale (espace vers Terre)</w:t>
            </w:r>
            <w:r>
              <w:rPr>
                <w:lang w:val="fr-CH"/>
              </w:rPr>
              <w:br/>
            </w:r>
            <w:r>
              <w:rPr>
                <w:lang w:val="fr-CH"/>
              </w:rPr>
              <w:tab/>
              <w:t>Satellite en orbite basse</w:t>
            </w:r>
            <w:r>
              <w:rPr>
                <w:lang w:val="fr-CH"/>
              </w:rPr>
              <w:br/>
            </w:r>
            <w:r>
              <w:rPr>
                <w:lang w:val="fr-CH"/>
              </w:rPr>
              <w:tab/>
              <w:t>Satellite OSG</w:t>
            </w:r>
          </w:p>
        </w:tc>
        <w:tc>
          <w:tcPr>
            <w:tcW w:w="2773" w:type="dxa"/>
          </w:tcPr>
          <w:p w:rsidR="00D17EC3" w:rsidRDefault="00D17EC3" w:rsidP="008618EF">
            <w:pPr>
              <w:pStyle w:val="Tabletext"/>
              <w:keepNext/>
              <w:keepLines/>
              <w:jc w:val="left"/>
              <w:rPr>
                <w:lang w:val="fr-CH"/>
              </w:rPr>
            </w:pPr>
            <w:r>
              <w:rPr>
                <w:lang w:val="fr-CH"/>
              </w:rPr>
              <w:t>Station de réception du service fixe/mobile</w:t>
            </w:r>
          </w:p>
        </w:tc>
        <w:tc>
          <w:tcPr>
            <w:tcW w:w="3850" w:type="dxa"/>
          </w:tcPr>
          <w:p w:rsidR="00D17EC3" w:rsidRDefault="00D17EC3" w:rsidP="008618EF">
            <w:pPr>
              <w:pStyle w:val="Tabletext"/>
              <w:keepNext/>
              <w:keepLines/>
              <w:jc w:val="left"/>
              <w:rPr>
                <w:lang w:val="fr-CH"/>
              </w:rPr>
            </w:pPr>
            <w:r>
              <w:rPr>
                <w:lang w:val="fr-CH"/>
              </w:rPr>
              <w:t>On suppose une propagation en visibilité directe</w:t>
            </w:r>
          </w:p>
        </w:tc>
      </w:tr>
      <w:tr w:rsidR="00D17EC3" w:rsidTr="003C35BC">
        <w:trPr>
          <w:cantSplit/>
        </w:trPr>
        <w:tc>
          <w:tcPr>
            <w:tcW w:w="3016" w:type="dxa"/>
          </w:tcPr>
          <w:p w:rsidR="00D17EC3" w:rsidRDefault="00D17EC3" w:rsidP="008618EF">
            <w:pPr>
              <w:pStyle w:val="Tabletext"/>
              <w:keepNext/>
              <w:keepLines/>
              <w:jc w:val="left"/>
              <w:rPr>
                <w:lang w:val="fr-CH"/>
              </w:rPr>
            </w:pPr>
            <w:r>
              <w:rPr>
                <w:lang w:val="fr-CH"/>
              </w:rPr>
              <w:t>Station émettrice du service fixe/mobile</w:t>
            </w:r>
          </w:p>
        </w:tc>
        <w:tc>
          <w:tcPr>
            <w:tcW w:w="2773" w:type="dxa"/>
          </w:tcPr>
          <w:p w:rsidR="00D17EC3" w:rsidRDefault="00D17EC3" w:rsidP="008618EF">
            <w:pPr>
              <w:pStyle w:val="Tabletext"/>
              <w:keepNext/>
              <w:keepLines/>
              <w:jc w:val="left"/>
              <w:rPr>
                <w:lang w:val="fr-CH"/>
              </w:rPr>
            </w:pPr>
            <w:r>
              <w:rPr>
                <w:lang w:val="fr-CH"/>
              </w:rPr>
              <w:t>Station terrienne de réception du service de recherche spatiale</w:t>
            </w:r>
          </w:p>
        </w:tc>
        <w:tc>
          <w:tcPr>
            <w:tcW w:w="3850" w:type="dxa"/>
          </w:tcPr>
          <w:p w:rsidR="00D17EC3" w:rsidRDefault="00D17EC3" w:rsidP="008618EF">
            <w:pPr>
              <w:pStyle w:val="Tabletext"/>
              <w:keepNext/>
              <w:keepLines/>
              <w:jc w:val="left"/>
              <w:rPr>
                <w:spacing w:val="-6"/>
                <w:lang w:val="fr-CH"/>
              </w:rPr>
            </w:pPr>
            <w:r>
              <w:rPr>
                <w:spacing w:val="-6"/>
                <w:lang w:val="fr-CH"/>
              </w:rPr>
              <w:t>Les distances de séparation sont déterminées à l'aide des méthodes décrites dans la Recommandation UIT-R SM.1448, dans l'hypothèse du mode (1) de propagation pour un trajet du grand cercle à l'intérieur des terres (zone A2)</w:t>
            </w:r>
          </w:p>
        </w:tc>
      </w:tr>
      <w:tr w:rsidR="003C35BC" w:rsidTr="00917C2D">
        <w:trPr>
          <w:cantSplit/>
        </w:trPr>
        <w:tc>
          <w:tcPr>
            <w:tcW w:w="3016" w:type="dxa"/>
          </w:tcPr>
          <w:p w:rsidR="003C35BC" w:rsidRDefault="003C35BC" w:rsidP="00917C2D">
            <w:pPr>
              <w:pStyle w:val="Tabletext"/>
              <w:jc w:val="left"/>
              <w:rPr>
                <w:lang w:val="fr-CH"/>
              </w:rPr>
            </w:pPr>
            <w:r>
              <w:rPr>
                <w:lang w:val="fr-CH"/>
              </w:rPr>
              <w:t>Service de recherche spatiale (espace vers Terre)</w:t>
            </w:r>
            <w:r>
              <w:rPr>
                <w:lang w:val="fr-CH"/>
              </w:rPr>
              <w:br/>
            </w:r>
            <w:r>
              <w:rPr>
                <w:lang w:val="fr-CH"/>
              </w:rPr>
              <w:tab/>
              <w:t>Satellite en orbite basse</w:t>
            </w:r>
            <w:r>
              <w:rPr>
                <w:lang w:val="fr-CH"/>
              </w:rPr>
              <w:br/>
            </w:r>
            <w:r>
              <w:rPr>
                <w:lang w:val="fr-CH"/>
              </w:rPr>
              <w:tab/>
              <w:t>Satellite OSG</w:t>
            </w:r>
          </w:p>
        </w:tc>
        <w:tc>
          <w:tcPr>
            <w:tcW w:w="2773" w:type="dxa"/>
          </w:tcPr>
          <w:p w:rsidR="003C35BC" w:rsidRDefault="003C35BC" w:rsidP="00917C2D">
            <w:pPr>
              <w:pStyle w:val="Tabletext"/>
              <w:jc w:val="left"/>
              <w:rPr>
                <w:lang w:val="fr-CH"/>
              </w:rPr>
            </w:pPr>
            <w:r>
              <w:rPr>
                <w:lang w:val="fr-CH"/>
              </w:rPr>
              <w:t>Service de recherche spatiale de réception</w:t>
            </w:r>
            <w:r>
              <w:rPr>
                <w:lang w:val="fr-CH"/>
              </w:rPr>
              <w:br/>
            </w:r>
            <w:r>
              <w:rPr>
                <w:lang w:val="fr-CH"/>
              </w:rPr>
              <w:tab/>
              <w:t>Adjacent</w:t>
            </w:r>
            <w:r>
              <w:rPr>
                <w:lang w:val="fr-CH"/>
              </w:rPr>
              <w:br/>
            </w:r>
            <w:r>
              <w:rPr>
                <w:lang w:val="fr-CH"/>
              </w:rPr>
              <w:tab/>
              <w:t>Quasi antipodal</w:t>
            </w:r>
          </w:p>
        </w:tc>
        <w:tc>
          <w:tcPr>
            <w:tcW w:w="3850" w:type="dxa"/>
          </w:tcPr>
          <w:p w:rsidR="003C35BC" w:rsidRDefault="003C35BC" w:rsidP="00917C2D">
            <w:pPr>
              <w:pStyle w:val="Tabletext"/>
              <w:jc w:val="left"/>
              <w:rPr>
                <w:lang w:val="fr-CH"/>
              </w:rPr>
            </w:pPr>
            <w:r>
              <w:rPr>
                <w:lang w:val="fr-CH"/>
              </w:rPr>
              <w:t>On suppose une propagation en visibilité directe</w:t>
            </w:r>
          </w:p>
        </w:tc>
      </w:tr>
      <w:tr w:rsidR="003C35BC" w:rsidTr="00917C2D">
        <w:trPr>
          <w:cantSplit/>
        </w:trPr>
        <w:tc>
          <w:tcPr>
            <w:tcW w:w="3016" w:type="dxa"/>
          </w:tcPr>
          <w:p w:rsidR="003C35BC" w:rsidRDefault="003C35BC" w:rsidP="00917C2D">
            <w:pPr>
              <w:pStyle w:val="Tabletext"/>
              <w:jc w:val="left"/>
              <w:rPr>
                <w:lang w:val="fr-CH"/>
              </w:rPr>
            </w:pPr>
            <w:r>
              <w:rPr>
                <w:lang w:val="fr-CH"/>
              </w:rPr>
              <w:t>Service de recherche spatiale (espace vers Terre)</w:t>
            </w:r>
            <w:r>
              <w:rPr>
                <w:lang w:val="fr-CH"/>
              </w:rPr>
              <w:br/>
            </w:r>
            <w:r>
              <w:rPr>
                <w:lang w:val="fr-CH"/>
              </w:rPr>
              <w:tab/>
              <w:t>Satellite en orbite basse</w:t>
            </w:r>
            <w:r>
              <w:rPr>
                <w:lang w:val="fr-CH"/>
              </w:rPr>
              <w:br/>
            </w:r>
            <w:r>
              <w:rPr>
                <w:lang w:val="fr-CH"/>
              </w:rPr>
              <w:tab/>
              <w:t>Satellite OSG</w:t>
            </w:r>
          </w:p>
        </w:tc>
        <w:tc>
          <w:tcPr>
            <w:tcW w:w="2773" w:type="dxa"/>
          </w:tcPr>
          <w:p w:rsidR="003C35BC" w:rsidRDefault="003C35BC" w:rsidP="00917C2D">
            <w:pPr>
              <w:pStyle w:val="Tabletext"/>
              <w:jc w:val="left"/>
              <w:rPr>
                <w:lang w:val="fr-CH"/>
              </w:rPr>
            </w:pPr>
            <w:r>
              <w:rPr>
                <w:lang w:val="fr-CH"/>
              </w:rPr>
              <w:t>Service de recherche spatiale/SETS (passive)</w:t>
            </w:r>
          </w:p>
        </w:tc>
        <w:tc>
          <w:tcPr>
            <w:tcW w:w="3850" w:type="dxa"/>
          </w:tcPr>
          <w:p w:rsidR="003C35BC" w:rsidRDefault="003C35BC" w:rsidP="00917C2D">
            <w:pPr>
              <w:pStyle w:val="Tabletext"/>
              <w:jc w:val="left"/>
              <w:rPr>
                <w:lang w:val="fr-CH"/>
              </w:rPr>
            </w:pPr>
            <w:r>
              <w:rPr>
                <w:lang w:val="fr-CH"/>
              </w:rPr>
              <w:t>Pas d'utilisation connue de la bande 15,20</w:t>
            </w:r>
            <w:r>
              <w:rPr>
                <w:lang w:val="fr-CH"/>
              </w:rPr>
              <w:noBreakHyphen/>
              <w:t xml:space="preserve">15,35 GHz au titre des dispositions du numéro </w:t>
            </w:r>
            <w:r w:rsidRPr="008618EF">
              <w:rPr>
                <w:b/>
                <w:bCs/>
                <w:lang w:val="fr-CH"/>
              </w:rPr>
              <w:t>5.339</w:t>
            </w:r>
            <w:r>
              <w:rPr>
                <w:lang w:val="fr-CH"/>
              </w:rPr>
              <w:t xml:space="preserve"> du RR</w:t>
            </w:r>
          </w:p>
        </w:tc>
      </w:tr>
    </w:tbl>
    <w:p w:rsidR="00D869A6" w:rsidRDefault="00D869A6" w:rsidP="00D17EC3">
      <w:pPr>
        <w:pStyle w:val="Heading1"/>
        <w:keepNext w:val="0"/>
        <w:keepLines w:val="0"/>
        <w:rPr>
          <w:lang w:val="fr-CH"/>
        </w:rPr>
      </w:pPr>
      <w:r>
        <w:rPr>
          <w:lang w:val="fr-CH"/>
        </w:rPr>
        <w:t>2</w:t>
      </w:r>
      <w:r>
        <w:rPr>
          <w:lang w:val="fr-CH"/>
        </w:rPr>
        <w:tab/>
        <w:t xml:space="preserve">Caractéristiques des missions futures à haut débit du service de recherche spatiale </w:t>
      </w:r>
    </w:p>
    <w:p w:rsidR="00D869A6" w:rsidRDefault="00D869A6" w:rsidP="003F6403">
      <w:pPr>
        <w:rPr>
          <w:lang w:val="fr-CH"/>
        </w:rPr>
      </w:pPr>
      <w:r>
        <w:rPr>
          <w:lang w:val="fr-CH"/>
        </w:rPr>
        <w:t>Le nombre de ces missions sera limité et les satellites devraient être au nombre de trois à cinq par an dans le monde entier. Il s'agira généralement de satellites en orbite polaire basse ou en orbite équatoriale, certains étant OSG et d'autres aux points de libration L1 ou L2. Les caractéristiques des satellites OSG ou en orbite basse du service de recherche spatiale émettant dans le sens espace vers Terre sont indiquées dans les bilans de liaison du Tableau 3. On a supposé que ces liaisons pouvaient transmettre des données à un débit de 400 Mbit/s dans le sens espace vers Terre. Le niveau de densité spectrale de p.i.r.e. a été réglé de telle sorte que les limites de puissance surfacique indiquées dans la Recommandation UIT-R SA.510 soient respectées aux petits angles d'élévation. On est parti du principe que le diagramme de rayonnement de l'antenne de réception de la station terrienne du service de recherche spatiale était conforme à la Recommandation UIT-R SA.509. On a évalué la faisabilité du partage sur la base des critères de protection donnés dans la Recommandation UIT</w:t>
      </w:r>
      <w:r>
        <w:rPr>
          <w:lang w:val="fr-CH"/>
        </w:rPr>
        <w:noBreakHyphen/>
        <w:t>R SA.609.</w:t>
      </w:r>
    </w:p>
    <w:p w:rsidR="00D869A6" w:rsidRDefault="00D869A6" w:rsidP="00A61DA9">
      <w:pPr>
        <w:pStyle w:val="TableNo"/>
        <w:keepLines/>
        <w:rPr>
          <w:lang w:val="fr-CH"/>
        </w:rPr>
      </w:pPr>
      <w:r>
        <w:rPr>
          <w:lang w:val="fr-CH"/>
        </w:rPr>
        <w:t>TABLEAU 3</w:t>
      </w:r>
    </w:p>
    <w:p w:rsidR="00D869A6" w:rsidRDefault="00D869A6" w:rsidP="00A61DA9">
      <w:pPr>
        <w:pStyle w:val="Tabletitle"/>
        <w:keepLines/>
        <w:rPr>
          <w:lang w:val="fr-CH"/>
        </w:rPr>
      </w:pPr>
      <w:r>
        <w:rPr>
          <w:lang w:val="fr-CH"/>
        </w:rPr>
        <w:t xml:space="preserve">Bilans de liaison de missions à haut débit du service de recherche spatiale: exemple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1874"/>
        <w:gridCol w:w="461"/>
        <w:gridCol w:w="777"/>
        <w:gridCol w:w="470"/>
        <w:gridCol w:w="1526"/>
      </w:tblGrid>
      <w:tr w:rsidR="00F444C2" w:rsidTr="005D7019">
        <w:trPr>
          <w:cantSplit/>
        </w:trPr>
        <w:tc>
          <w:tcPr>
            <w:tcW w:w="4531" w:type="dxa"/>
            <w:tcBorders>
              <w:top w:val="single" w:sz="4" w:space="0" w:color="auto"/>
              <w:left w:val="single" w:sz="4" w:space="0" w:color="auto"/>
              <w:bottom w:val="single" w:sz="4" w:space="0" w:color="auto"/>
              <w:right w:val="single" w:sz="4" w:space="0" w:color="auto"/>
            </w:tcBorders>
            <w:vAlign w:val="bottom"/>
            <w:hideMark/>
          </w:tcPr>
          <w:p w:rsidR="00F444C2" w:rsidRDefault="00F444C2" w:rsidP="00A61DA9">
            <w:pPr>
              <w:pStyle w:val="Tabletext"/>
              <w:keepNext/>
              <w:keepLines/>
              <w:rPr>
                <w:b/>
                <w:bCs/>
                <w:lang w:val="fr-CH"/>
              </w:rPr>
            </w:pPr>
            <w:r>
              <w:rPr>
                <w:lang w:val="fr-CH"/>
              </w:rPr>
              <w:t>Fréquence (GHz)</w:t>
            </w:r>
          </w:p>
        </w:tc>
        <w:tc>
          <w:tcPr>
            <w:tcW w:w="3112" w:type="dxa"/>
            <w:gridSpan w:val="3"/>
            <w:tcBorders>
              <w:top w:val="single" w:sz="4" w:space="0" w:color="auto"/>
              <w:left w:val="single" w:sz="4" w:space="0" w:color="auto"/>
              <w:bottom w:val="single" w:sz="4" w:space="0" w:color="auto"/>
              <w:right w:val="single" w:sz="4" w:space="0" w:color="auto"/>
            </w:tcBorders>
            <w:vAlign w:val="bottom"/>
            <w:hideMark/>
          </w:tcPr>
          <w:p w:rsidR="00F444C2" w:rsidRPr="00A61DA9" w:rsidRDefault="00142A37" w:rsidP="00A61DA9">
            <w:pPr>
              <w:pStyle w:val="Tabletext"/>
              <w:keepNext/>
              <w:keepLines/>
              <w:jc w:val="center"/>
              <w:rPr>
                <w:lang w:val="en-US"/>
              </w:rPr>
            </w:pPr>
            <w:r w:rsidRPr="00A61DA9">
              <w:rPr>
                <w:lang w:val="fr-CH"/>
              </w:rPr>
              <w:t>15</w:t>
            </w:r>
          </w:p>
        </w:tc>
        <w:tc>
          <w:tcPr>
            <w:tcW w:w="1996" w:type="dxa"/>
            <w:gridSpan w:val="2"/>
            <w:tcBorders>
              <w:top w:val="single" w:sz="4" w:space="0" w:color="auto"/>
              <w:left w:val="single" w:sz="4" w:space="0" w:color="auto"/>
              <w:bottom w:val="single" w:sz="4" w:space="0" w:color="auto"/>
              <w:right w:val="single" w:sz="4" w:space="0" w:color="auto"/>
            </w:tcBorders>
          </w:tcPr>
          <w:p w:rsidR="00F444C2" w:rsidRPr="00882D92" w:rsidRDefault="00F444C2" w:rsidP="00A61DA9">
            <w:pPr>
              <w:pStyle w:val="Tabletext"/>
              <w:keepNext/>
              <w:keepLines/>
              <w:jc w:val="center"/>
              <w:rPr>
                <w:lang w:val="en-US"/>
              </w:rPr>
            </w:pPr>
            <w:r w:rsidRPr="00882D92">
              <w:rPr>
                <w:lang w:val="en-US"/>
              </w:rPr>
              <w:t>15</w:t>
            </w:r>
          </w:p>
        </w:tc>
      </w:tr>
      <w:tr w:rsidR="00142A37" w:rsidTr="005D7019">
        <w:trPr>
          <w:cantSplit/>
        </w:trPr>
        <w:tc>
          <w:tcPr>
            <w:tcW w:w="4531" w:type="dxa"/>
            <w:tcBorders>
              <w:top w:val="single" w:sz="4" w:space="0" w:color="auto"/>
              <w:left w:val="single" w:sz="4" w:space="0" w:color="auto"/>
              <w:bottom w:val="single" w:sz="4" w:space="0" w:color="auto"/>
              <w:right w:val="single" w:sz="4" w:space="0" w:color="auto"/>
            </w:tcBorders>
            <w:vAlign w:val="bottom"/>
            <w:hideMark/>
          </w:tcPr>
          <w:p w:rsidR="00142A37" w:rsidRDefault="00142A37" w:rsidP="00A61DA9">
            <w:pPr>
              <w:pStyle w:val="Tabletext"/>
              <w:keepNext/>
              <w:keepLines/>
              <w:rPr>
                <w:lang w:val="fr-CH"/>
              </w:rPr>
            </w:pPr>
            <w:r>
              <w:rPr>
                <w:lang w:val="fr-CH"/>
              </w:rPr>
              <w:t>Altitude du satellite (km)</w:t>
            </w:r>
          </w:p>
        </w:tc>
        <w:tc>
          <w:tcPr>
            <w:tcW w:w="1874" w:type="dxa"/>
            <w:tcBorders>
              <w:top w:val="single" w:sz="4" w:space="0" w:color="auto"/>
              <w:left w:val="single" w:sz="4" w:space="0" w:color="auto"/>
              <w:bottom w:val="single" w:sz="4" w:space="0" w:color="auto"/>
              <w:right w:val="single" w:sz="4" w:space="0" w:color="auto"/>
            </w:tcBorders>
            <w:vAlign w:val="bottom"/>
            <w:hideMark/>
          </w:tcPr>
          <w:p w:rsidR="00142A37" w:rsidRDefault="00142A37" w:rsidP="00A61DA9">
            <w:pPr>
              <w:pStyle w:val="Tabletext"/>
              <w:keepNext/>
              <w:keepLines/>
              <w:jc w:val="center"/>
              <w:rPr>
                <w:lang w:val="fr-CH"/>
              </w:rPr>
            </w:pPr>
            <w:r>
              <w:rPr>
                <w:lang w:val="fr-CH"/>
              </w:rPr>
              <w:t>800</w:t>
            </w:r>
          </w:p>
        </w:tc>
        <w:tc>
          <w:tcPr>
            <w:tcW w:w="1238" w:type="dxa"/>
            <w:gridSpan w:val="2"/>
            <w:tcBorders>
              <w:top w:val="single" w:sz="4" w:space="0" w:color="auto"/>
              <w:left w:val="single" w:sz="4" w:space="0" w:color="auto"/>
              <w:bottom w:val="single" w:sz="4" w:space="0" w:color="auto"/>
              <w:right w:val="single" w:sz="4" w:space="0" w:color="auto"/>
            </w:tcBorders>
            <w:vAlign w:val="bottom"/>
            <w:hideMark/>
          </w:tcPr>
          <w:p w:rsidR="00142A37" w:rsidRDefault="00142A37" w:rsidP="00A61DA9">
            <w:pPr>
              <w:pStyle w:val="Tabletext"/>
              <w:keepNext/>
              <w:keepLines/>
              <w:jc w:val="center"/>
              <w:rPr>
                <w:lang w:val="fr-CH"/>
              </w:rPr>
            </w:pPr>
            <w:r>
              <w:rPr>
                <w:lang w:val="fr-CH"/>
              </w:rPr>
              <w:t>35</w:t>
            </w:r>
            <w:r>
              <w:rPr>
                <w:rFonts w:ascii="Tms Rmn" w:hAnsi="Tms Rmn"/>
                <w:sz w:val="12"/>
                <w:lang w:val="fr-CH"/>
              </w:rPr>
              <w:t> </w:t>
            </w:r>
            <w:r>
              <w:rPr>
                <w:lang w:val="fr-CH"/>
              </w:rPr>
              <w:t>785</w:t>
            </w:r>
          </w:p>
        </w:tc>
        <w:tc>
          <w:tcPr>
            <w:tcW w:w="1996" w:type="dxa"/>
            <w:gridSpan w:val="2"/>
            <w:tcBorders>
              <w:top w:val="single" w:sz="4" w:space="0" w:color="auto"/>
              <w:left w:val="single" w:sz="4" w:space="0" w:color="auto"/>
              <w:bottom w:val="single" w:sz="4" w:space="0" w:color="auto"/>
              <w:right w:val="single" w:sz="4" w:space="0" w:color="auto"/>
            </w:tcBorders>
          </w:tcPr>
          <w:p w:rsidR="00142A37" w:rsidRPr="00882D92" w:rsidRDefault="00142A37" w:rsidP="00A61DA9">
            <w:pPr>
              <w:pStyle w:val="Tabletext"/>
              <w:keepNext/>
              <w:keepLines/>
              <w:jc w:val="center"/>
              <w:rPr>
                <w:lang w:val="en-US"/>
              </w:rPr>
            </w:pPr>
            <w:r w:rsidRPr="00882D92">
              <w:rPr>
                <w:lang w:val="en-US"/>
              </w:rPr>
              <w:t>300</w:t>
            </w:r>
            <w:r>
              <w:rPr>
                <w:lang w:val="en-US"/>
              </w:rPr>
              <w:t> </w:t>
            </w:r>
            <w:r w:rsidRPr="00882D92">
              <w:rPr>
                <w:lang w:val="en-US"/>
              </w:rPr>
              <w:t>000</w:t>
            </w:r>
            <w:r w:rsidRPr="00B95FEB">
              <w:rPr>
                <w:vertAlign w:val="superscript"/>
                <w:lang w:val="en-US"/>
              </w:rPr>
              <w:t>(1)</w:t>
            </w:r>
          </w:p>
        </w:tc>
      </w:tr>
      <w:tr w:rsidR="00F444C2" w:rsidTr="005D7019">
        <w:trPr>
          <w:cantSplit/>
        </w:trPr>
        <w:tc>
          <w:tcPr>
            <w:tcW w:w="4531" w:type="dxa"/>
            <w:tcBorders>
              <w:top w:val="single" w:sz="4" w:space="0" w:color="auto"/>
              <w:left w:val="single" w:sz="4" w:space="0" w:color="auto"/>
              <w:bottom w:val="single" w:sz="4" w:space="0" w:color="auto"/>
              <w:right w:val="single" w:sz="4" w:space="0" w:color="auto"/>
            </w:tcBorders>
            <w:vAlign w:val="bottom"/>
            <w:hideMark/>
          </w:tcPr>
          <w:p w:rsidR="00F444C2" w:rsidRDefault="00F444C2" w:rsidP="00A61DA9">
            <w:pPr>
              <w:pStyle w:val="Tabletext"/>
              <w:keepNext/>
              <w:keepLines/>
              <w:rPr>
                <w:lang w:val="fr-CH"/>
              </w:rPr>
            </w:pPr>
            <w:r>
              <w:rPr>
                <w:lang w:val="fr-CH"/>
              </w:rPr>
              <w:t>Débit de données (Mbit/s)</w:t>
            </w:r>
          </w:p>
        </w:tc>
        <w:tc>
          <w:tcPr>
            <w:tcW w:w="5108" w:type="dxa"/>
            <w:gridSpan w:val="5"/>
            <w:tcBorders>
              <w:top w:val="single" w:sz="4" w:space="0" w:color="auto"/>
              <w:left w:val="single" w:sz="4" w:space="0" w:color="auto"/>
              <w:bottom w:val="single" w:sz="4" w:space="0" w:color="auto"/>
              <w:right w:val="single" w:sz="4" w:space="0" w:color="auto"/>
            </w:tcBorders>
            <w:vAlign w:val="bottom"/>
            <w:hideMark/>
          </w:tcPr>
          <w:p w:rsidR="00F444C2" w:rsidRDefault="00142A37" w:rsidP="00A61DA9">
            <w:pPr>
              <w:pStyle w:val="Tabletext"/>
              <w:keepNext/>
              <w:keepLines/>
              <w:jc w:val="center"/>
              <w:rPr>
                <w:lang w:val="en-US"/>
              </w:rPr>
            </w:pPr>
            <w:r>
              <w:rPr>
                <w:lang w:val="en-US"/>
              </w:rPr>
              <w:t>400</w:t>
            </w:r>
          </w:p>
        </w:tc>
      </w:tr>
      <w:tr w:rsidR="00F444C2" w:rsidTr="005D7019">
        <w:trPr>
          <w:cantSplit/>
        </w:trPr>
        <w:tc>
          <w:tcPr>
            <w:tcW w:w="4531" w:type="dxa"/>
            <w:tcBorders>
              <w:top w:val="single" w:sz="4" w:space="0" w:color="auto"/>
              <w:left w:val="single" w:sz="4" w:space="0" w:color="auto"/>
              <w:bottom w:val="single" w:sz="4" w:space="0" w:color="auto"/>
              <w:right w:val="single" w:sz="4" w:space="0" w:color="auto"/>
            </w:tcBorders>
            <w:vAlign w:val="bottom"/>
            <w:hideMark/>
          </w:tcPr>
          <w:p w:rsidR="00F444C2" w:rsidRDefault="00F444C2" w:rsidP="00A61DA9">
            <w:pPr>
              <w:pStyle w:val="Tabletext"/>
              <w:keepNext/>
              <w:keepLines/>
              <w:rPr>
                <w:lang w:val="fr-CH"/>
              </w:rPr>
            </w:pPr>
            <w:r>
              <w:rPr>
                <w:lang w:val="fr-CH"/>
              </w:rPr>
              <w:t>Méthode de modulation</w:t>
            </w:r>
          </w:p>
        </w:tc>
        <w:tc>
          <w:tcPr>
            <w:tcW w:w="5108" w:type="dxa"/>
            <w:gridSpan w:val="5"/>
            <w:tcBorders>
              <w:top w:val="single" w:sz="4" w:space="0" w:color="auto"/>
              <w:left w:val="single" w:sz="4" w:space="0" w:color="auto"/>
              <w:bottom w:val="single" w:sz="4" w:space="0" w:color="auto"/>
              <w:right w:val="single" w:sz="4" w:space="0" w:color="auto"/>
            </w:tcBorders>
            <w:vAlign w:val="bottom"/>
            <w:hideMark/>
          </w:tcPr>
          <w:p w:rsidR="00F444C2" w:rsidRDefault="00F444C2" w:rsidP="00A61DA9">
            <w:pPr>
              <w:pStyle w:val="Tabletext"/>
              <w:keepNext/>
              <w:keepLines/>
              <w:jc w:val="center"/>
              <w:rPr>
                <w:lang w:val="en-US"/>
              </w:rPr>
            </w:pPr>
            <w:r>
              <w:rPr>
                <w:lang w:val="fr-CH"/>
              </w:rPr>
              <w:t>MDP-4</w:t>
            </w:r>
          </w:p>
        </w:tc>
      </w:tr>
      <w:tr w:rsidR="00857D83" w:rsidTr="00857D83">
        <w:trPr>
          <w:cantSplit/>
          <w:trHeight w:val="315"/>
        </w:trPr>
        <w:tc>
          <w:tcPr>
            <w:tcW w:w="4531" w:type="dxa"/>
            <w:vMerge w:val="restart"/>
            <w:tcBorders>
              <w:top w:val="single" w:sz="4" w:space="0" w:color="auto"/>
              <w:left w:val="single" w:sz="4" w:space="0" w:color="auto"/>
              <w:right w:val="single" w:sz="4" w:space="0" w:color="auto"/>
            </w:tcBorders>
            <w:vAlign w:val="bottom"/>
            <w:hideMark/>
          </w:tcPr>
          <w:p w:rsidR="00857D83" w:rsidRDefault="00857D83" w:rsidP="00A61DA9">
            <w:pPr>
              <w:pStyle w:val="Tabletext"/>
              <w:keepNext/>
              <w:keepLines/>
              <w:rPr>
                <w:lang w:val="fr-CH"/>
              </w:rPr>
            </w:pPr>
            <w:r>
              <w:rPr>
                <w:lang w:val="fr-CH"/>
              </w:rPr>
              <w:t>Puissance d'émission</w:t>
            </w:r>
            <w:r>
              <w:rPr>
                <w:lang w:val="fr-CH"/>
              </w:rPr>
              <w:tab/>
              <w:t>(W)</w:t>
            </w:r>
          </w:p>
          <w:p w:rsidR="00857D83" w:rsidRDefault="00857D83" w:rsidP="00A61DA9">
            <w:pPr>
              <w:pStyle w:val="Tabletext"/>
              <w:keepNext/>
              <w:keepLines/>
              <w:tabs>
                <w:tab w:val="clear" w:pos="284"/>
                <w:tab w:val="clear" w:pos="567"/>
                <w:tab w:val="clear" w:pos="851"/>
                <w:tab w:val="clear" w:pos="1134"/>
                <w:tab w:val="clear" w:pos="1418"/>
                <w:tab w:val="clear" w:pos="1701"/>
              </w:tabs>
              <w:rPr>
                <w:lang w:val="fr-CH"/>
              </w:rPr>
            </w:pPr>
            <w:r>
              <w:rPr>
                <w:lang w:val="fr-CH"/>
              </w:rPr>
              <w:tab/>
              <w:t>(dBW)</w:t>
            </w:r>
          </w:p>
        </w:tc>
        <w:tc>
          <w:tcPr>
            <w:tcW w:w="1874" w:type="dxa"/>
            <w:tcBorders>
              <w:top w:val="single" w:sz="4" w:space="0" w:color="auto"/>
              <w:left w:val="single" w:sz="4" w:space="0" w:color="auto"/>
              <w:bottom w:val="single" w:sz="4" w:space="0" w:color="auto"/>
              <w:right w:val="single" w:sz="4" w:space="0" w:color="auto"/>
            </w:tcBorders>
            <w:vAlign w:val="bottom"/>
            <w:hideMark/>
          </w:tcPr>
          <w:p w:rsidR="00857D83" w:rsidRDefault="00857D83" w:rsidP="00A61DA9">
            <w:pPr>
              <w:pStyle w:val="Tabletext"/>
              <w:keepNext/>
              <w:keepLines/>
              <w:jc w:val="center"/>
              <w:rPr>
                <w:lang w:val="fr-CH"/>
              </w:rPr>
            </w:pPr>
            <w:r>
              <w:rPr>
                <w:lang w:val="fr-CH"/>
              </w:rPr>
              <w:t>5,0</w:t>
            </w:r>
          </w:p>
        </w:tc>
        <w:tc>
          <w:tcPr>
            <w:tcW w:w="3234" w:type="dxa"/>
            <w:gridSpan w:val="4"/>
            <w:tcBorders>
              <w:top w:val="single" w:sz="4" w:space="0" w:color="auto"/>
              <w:left w:val="single" w:sz="4" w:space="0" w:color="auto"/>
              <w:right w:val="single" w:sz="4" w:space="0" w:color="auto"/>
            </w:tcBorders>
            <w:vAlign w:val="bottom"/>
            <w:hideMark/>
          </w:tcPr>
          <w:p w:rsidR="00857D83" w:rsidRDefault="00857D83" w:rsidP="00A61DA9">
            <w:pPr>
              <w:pStyle w:val="Tabletext"/>
              <w:keepNext/>
              <w:keepLines/>
              <w:jc w:val="center"/>
              <w:rPr>
                <w:lang w:val="fr-CH"/>
              </w:rPr>
            </w:pPr>
            <w:r>
              <w:rPr>
                <w:lang w:val="fr-CH"/>
              </w:rPr>
              <w:t>20,0</w:t>
            </w:r>
          </w:p>
        </w:tc>
      </w:tr>
      <w:tr w:rsidR="00857D83" w:rsidTr="00C13223">
        <w:trPr>
          <w:cantSplit/>
          <w:trHeight w:val="315"/>
        </w:trPr>
        <w:tc>
          <w:tcPr>
            <w:tcW w:w="4531" w:type="dxa"/>
            <w:vMerge/>
            <w:tcBorders>
              <w:left w:val="single" w:sz="4" w:space="0" w:color="auto"/>
              <w:right w:val="single" w:sz="4" w:space="0" w:color="auto"/>
            </w:tcBorders>
            <w:vAlign w:val="bottom"/>
          </w:tcPr>
          <w:p w:rsidR="00857D83" w:rsidRDefault="00857D83" w:rsidP="00A61DA9">
            <w:pPr>
              <w:pStyle w:val="Tabletext"/>
              <w:keepNext/>
              <w:keepLines/>
              <w:rPr>
                <w:lang w:val="fr-CH"/>
              </w:rPr>
            </w:pPr>
          </w:p>
        </w:tc>
        <w:tc>
          <w:tcPr>
            <w:tcW w:w="1874" w:type="dxa"/>
            <w:tcBorders>
              <w:top w:val="single" w:sz="4" w:space="0" w:color="auto"/>
              <w:left w:val="single" w:sz="4" w:space="0" w:color="auto"/>
              <w:bottom w:val="single" w:sz="4" w:space="0" w:color="auto"/>
              <w:right w:val="single" w:sz="4" w:space="0" w:color="auto"/>
            </w:tcBorders>
            <w:vAlign w:val="bottom"/>
          </w:tcPr>
          <w:p w:rsidR="00857D83" w:rsidRDefault="00857D83" w:rsidP="00A61DA9">
            <w:pPr>
              <w:pStyle w:val="Tabletext"/>
              <w:keepNext/>
              <w:keepLines/>
              <w:jc w:val="center"/>
              <w:rPr>
                <w:lang w:val="fr-CH"/>
              </w:rPr>
            </w:pPr>
            <w:r>
              <w:rPr>
                <w:lang w:val="fr-CH"/>
              </w:rPr>
              <w:t>7,0</w:t>
            </w:r>
          </w:p>
        </w:tc>
        <w:tc>
          <w:tcPr>
            <w:tcW w:w="3234" w:type="dxa"/>
            <w:gridSpan w:val="4"/>
            <w:tcBorders>
              <w:left w:val="single" w:sz="4" w:space="0" w:color="auto"/>
              <w:right w:val="single" w:sz="4" w:space="0" w:color="auto"/>
            </w:tcBorders>
            <w:vAlign w:val="bottom"/>
          </w:tcPr>
          <w:p w:rsidR="00857D83" w:rsidRDefault="00857D83" w:rsidP="00A61DA9">
            <w:pPr>
              <w:pStyle w:val="Tabletext"/>
              <w:keepNext/>
              <w:keepLines/>
              <w:jc w:val="center"/>
              <w:rPr>
                <w:lang w:val="fr-CH"/>
              </w:rPr>
            </w:pPr>
            <w:r>
              <w:rPr>
                <w:lang w:val="fr-CH"/>
              </w:rPr>
              <w:t>13,0</w:t>
            </w:r>
          </w:p>
        </w:tc>
      </w:tr>
      <w:tr w:rsidR="00F444C2" w:rsidTr="005D7019">
        <w:trPr>
          <w:cantSplit/>
          <w:trHeight w:val="300"/>
        </w:trPr>
        <w:tc>
          <w:tcPr>
            <w:tcW w:w="4531" w:type="dxa"/>
            <w:tcBorders>
              <w:top w:val="single" w:sz="4" w:space="0" w:color="auto"/>
              <w:left w:val="single" w:sz="4" w:space="0" w:color="auto"/>
              <w:bottom w:val="single" w:sz="4" w:space="0" w:color="auto"/>
              <w:right w:val="single" w:sz="4" w:space="0" w:color="auto"/>
            </w:tcBorders>
            <w:vAlign w:val="bottom"/>
            <w:hideMark/>
          </w:tcPr>
          <w:p w:rsidR="00F444C2" w:rsidRDefault="00F444C2" w:rsidP="00A61DA9">
            <w:pPr>
              <w:pStyle w:val="Tabletext"/>
              <w:keepNext/>
              <w:keepLines/>
              <w:rPr>
                <w:lang w:val="fr-CH"/>
              </w:rPr>
            </w:pPr>
            <w:r>
              <w:rPr>
                <w:lang w:val="fr-CH"/>
              </w:rPr>
              <w:t>Affaiblissement dû aux filtres, aux câbles (dB)</w:t>
            </w:r>
          </w:p>
        </w:tc>
        <w:tc>
          <w:tcPr>
            <w:tcW w:w="5108" w:type="dxa"/>
            <w:gridSpan w:val="5"/>
            <w:tcBorders>
              <w:top w:val="single" w:sz="4" w:space="0" w:color="auto"/>
              <w:left w:val="single" w:sz="4" w:space="0" w:color="auto"/>
              <w:bottom w:val="single" w:sz="4" w:space="0" w:color="auto"/>
              <w:right w:val="single" w:sz="4" w:space="0" w:color="auto"/>
            </w:tcBorders>
            <w:vAlign w:val="bottom"/>
            <w:hideMark/>
          </w:tcPr>
          <w:p w:rsidR="00F444C2" w:rsidRDefault="00142A37" w:rsidP="00A61DA9">
            <w:pPr>
              <w:pStyle w:val="Tabletext"/>
              <w:keepNext/>
              <w:keepLines/>
              <w:jc w:val="center"/>
              <w:rPr>
                <w:lang w:val="en-US"/>
              </w:rPr>
            </w:pPr>
            <w:r>
              <w:rPr>
                <w:lang w:val="fr-CH"/>
              </w:rPr>
              <w:t>–0,5</w:t>
            </w:r>
          </w:p>
        </w:tc>
      </w:tr>
      <w:tr w:rsidR="00142A37" w:rsidTr="005D7019">
        <w:trPr>
          <w:cantSplit/>
        </w:trPr>
        <w:tc>
          <w:tcPr>
            <w:tcW w:w="4531" w:type="dxa"/>
            <w:tcBorders>
              <w:top w:val="single" w:sz="4" w:space="0" w:color="auto"/>
              <w:left w:val="single" w:sz="4" w:space="0" w:color="auto"/>
              <w:bottom w:val="single" w:sz="4" w:space="0" w:color="auto"/>
              <w:right w:val="single" w:sz="4" w:space="0" w:color="auto"/>
            </w:tcBorders>
            <w:vAlign w:val="bottom"/>
            <w:hideMark/>
          </w:tcPr>
          <w:p w:rsidR="00142A37" w:rsidRDefault="00142A37" w:rsidP="00A61DA9">
            <w:pPr>
              <w:pStyle w:val="Tabletext"/>
              <w:keepNext/>
              <w:keepLines/>
              <w:rPr>
                <w:lang w:val="fr-CH"/>
              </w:rPr>
            </w:pPr>
            <w:r>
              <w:rPr>
                <w:lang w:val="fr-CH"/>
              </w:rPr>
              <w:t>Diamètre de l'antenne d'émission (m)</w:t>
            </w:r>
          </w:p>
        </w:tc>
        <w:tc>
          <w:tcPr>
            <w:tcW w:w="1874" w:type="dxa"/>
            <w:tcBorders>
              <w:top w:val="single" w:sz="4" w:space="0" w:color="auto"/>
              <w:left w:val="single" w:sz="4" w:space="0" w:color="auto"/>
              <w:bottom w:val="single" w:sz="4" w:space="0" w:color="auto"/>
              <w:right w:val="single" w:sz="4" w:space="0" w:color="auto"/>
            </w:tcBorders>
            <w:vAlign w:val="bottom"/>
            <w:hideMark/>
          </w:tcPr>
          <w:p w:rsidR="00142A37" w:rsidRDefault="00142A37" w:rsidP="00A61DA9">
            <w:pPr>
              <w:pStyle w:val="Tabletext"/>
              <w:keepNext/>
              <w:keepLines/>
              <w:jc w:val="center"/>
              <w:rPr>
                <w:lang w:val="fr-CH"/>
              </w:rPr>
            </w:pPr>
            <w:r>
              <w:rPr>
                <w:lang w:val="fr-CH"/>
              </w:rPr>
              <w:t>0,38</w:t>
            </w:r>
          </w:p>
        </w:tc>
        <w:tc>
          <w:tcPr>
            <w:tcW w:w="1238" w:type="dxa"/>
            <w:gridSpan w:val="2"/>
            <w:tcBorders>
              <w:top w:val="single" w:sz="4" w:space="0" w:color="auto"/>
              <w:left w:val="single" w:sz="4" w:space="0" w:color="auto"/>
              <w:bottom w:val="single" w:sz="4" w:space="0" w:color="auto"/>
              <w:right w:val="single" w:sz="4" w:space="0" w:color="auto"/>
            </w:tcBorders>
            <w:vAlign w:val="bottom"/>
            <w:hideMark/>
          </w:tcPr>
          <w:p w:rsidR="00142A37" w:rsidRDefault="00142A37" w:rsidP="00A61DA9">
            <w:pPr>
              <w:pStyle w:val="Tabletext"/>
              <w:keepNext/>
              <w:keepLines/>
              <w:jc w:val="center"/>
              <w:rPr>
                <w:lang w:val="fr-CH"/>
              </w:rPr>
            </w:pPr>
            <w:r>
              <w:rPr>
                <w:lang w:val="fr-CH"/>
              </w:rPr>
              <w:t>0,86</w:t>
            </w:r>
          </w:p>
        </w:tc>
        <w:tc>
          <w:tcPr>
            <w:tcW w:w="1996" w:type="dxa"/>
            <w:gridSpan w:val="2"/>
            <w:tcBorders>
              <w:top w:val="single" w:sz="4" w:space="0" w:color="auto"/>
              <w:left w:val="single" w:sz="4" w:space="0" w:color="auto"/>
              <w:bottom w:val="single" w:sz="4" w:space="0" w:color="auto"/>
              <w:right w:val="single" w:sz="4" w:space="0" w:color="auto"/>
            </w:tcBorders>
          </w:tcPr>
          <w:p w:rsidR="00142A37" w:rsidRPr="00882D92" w:rsidRDefault="00142A37" w:rsidP="00A61DA9">
            <w:pPr>
              <w:pStyle w:val="Tabletext"/>
              <w:keepNext/>
              <w:keepLines/>
              <w:jc w:val="center"/>
              <w:rPr>
                <w:lang w:val="en-US"/>
              </w:rPr>
            </w:pPr>
            <w:r>
              <w:rPr>
                <w:lang w:val="en-US"/>
              </w:rPr>
              <w:t>1,</w:t>
            </w:r>
            <w:r w:rsidRPr="00882D92">
              <w:rPr>
                <w:lang w:val="en-US"/>
              </w:rPr>
              <w:t>5</w:t>
            </w:r>
          </w:p>
        </w:tc>
      </w:tr>
      <w:tr w:rsidR="00142A37" w:rsidTr="005D7019">
        <w:trPr>
          <w:cantSplit/>
        </w:trPr>
        <w:tc>
          <w:tcPr>
            <w:tcW w:w="4531" w:type="dxa"/>
            <w:tcBorders>
              <w:top w:val="single" w:sz="4" w:space="0" w:color="auto"/>
              <w:left w:val="single" w:sz="4" w:space="0" w:color="auto"/>
              <w:bottom w:val="single" w:sz="4" w:space="0" w:color="auto"/>
              <w:right w:val="single" w:sz="4" w:space="0" w:color="auto"/>
            </w:tcBorders>
            <w:vAlign w:val="bottom"/>
            <w:hideMark/>
          </w:tcPr>
          <w:p w:rsidR="00142A37" w:rsidRDefault="00142A37" w:rsidP="00A61DA9">
            <w:pPr>
              <w:pStyle w:val="Tabletext"/>
              <w:keepNext/>
              <w:keepLines/>
              <w:rPr>
                <w:lang w:val="fr-CH"/>
              </w:rPr>
            </w:pPr>
            <w:r>
              <w:rPr>
                <w:lang w:val="fr-CH"/>
              </w:rPr>
              <w:t>Gain de l'antenne d'émission (dBi)</w:t>
            </w:r>
          </w:p>
        </w:tc>
        <w:tc>
          <w:tcPr>
            <w:tcW w:w="1874" w:type="dxa"/>
            <w:tcBorders>
              <w:top w:val="single" w:sz="4" w:space="0" w:color="auto"/>
              <w:left w:val="single" w:sz="4" w:space="0" w:color="auto"/>
              <w:bottom w:val="single" w:sz="4" w:space="0" w:color="auto"/>
              <w:right w:val="single" w:sz="4" w:space="0" w:color="auto"/>
            </w:tcBorders>
            <w:vAlign w:val="bottom"/>
            <w:hideMark/>
          </w:tcPr>
          <w:p w:rsidR="00142A37" w:rsidRDefault="00142A37" w:rsidP="00A61DA9">
            <w:pPr>
              <w:pStyle w:val="Tabletext"/>
              <w:keepNext/>
              <w:keepLines/>
              <w:jc w:val="center"/>
              <w:rPr>
                <w:lang w:val="fr-CH"/>
              </w:rPr>
            </w:pPr>
            <w:r>
              <w:rPr>
                <w:lang w:val="fr-CH"/>
              </w:rPr>
              <w:t>33,0</w:t>
            </w:r>
          </w:p>
        </w:tc>
        <w:tc>
          <w:tcPr>
            <w:tcW w:w="1238" w:type="dxa"/>
            <w:gridSpan w:val="2"/>
            <w:tcBorders>
              <w:top w:val="single" w:sz="4" w:space="0" w:color="auto"/>
              <w:left w:val="single" w:sz="4" w:space="0" w:color="auto"/>
              <w:bottom w:val="single" w:sz="4" w:space="0" w:color="auto"/>
              <w:right w:val="single" w:sz="4" w:space="0" w:color="auto"/>
            </w:tcBorders>
            <w:vAlign w:val="bottom"/>
            <w:hideMark/>
          </w:tcPr>
          <w:p w:rsidR="00142A37" w:rsidRDefault="00142A37" w:rsidP="00A61DA9">
            <w:pPr>
              <w:pStyle w:val="Tabletext"/>
              <w:keepNext/>
              <w:keepLines/>
              <w:jc w:val="center"/>
              <w:rPr>
                <w:lang w:val="fr-CH"/>
              </w:rPr>
            </w:pPr>
            <w:r>
              <w:rPr>
                <w:lang w:val="fr-CH"/>
              </w:rPr>
              <w:t>40,0</w:t>
            </w:r>
          </w:p>
        </w:tc>
        <w:tc>
          <w:tcPr>
            <w:tcW w:w="1996" w:type="dxa"/>
            <w:gridSpan w:val="2"/>
            <w:tcBorders>
              <w:top w:val="single" w:sz="4" w:space="0" w:color="auto"/>
              <w:left w:val="single" w:sz="4" w:space="0" w:color="auto"/>
              <w:bottom w:val="single" w:sz="4" w:space="0" w:color="auto"/>
              <w:right w:val="single" w:sz="4" w:space="0" w:color="auto"/>
            </w:tcBorders>
          </w:tcPr>
          <w:p w:rsidR="00142A37" w:rsidRPr="00882D92" w:rsidRDefault="00142A37" w:rsidP="00A61DA9">
            <w:pPr>
              <w:pStyle w:val="Tabletext"/>
              <w:keepNext/>
              <w:keepLines/>
              <w:jc w:val="center"/>
              <w:rPr>
                <w:lang w:val="en-US"/>
              </w:rPr>
            </w:pPr>
            <w:r>
              <w:rPr>
                <w:lang w:val="en-US"/>
              </w:rPr>
              <w:t>45,</w:t>
            </w:r>
            <w:r w:rsidRPr="00882D92">
              <w:rPr>
                <w:lang w:val="en-US"/>
              </w:rPr>
              <w:t>2</w:t>
            </w:r>
          </w:p>
        </w:tc>
      </w:tr>
      <w:tr w:rsidR="00142A37" w:rsidTr="005D7019">
        <w:trPr>
          <w:cantSplit/>
        </w:trPr>
        <w:tc>
          <w:tcPr>
            <w:tcW w:w="4531" w:type="dxa"/>
            <w:tcBorders>
              <w:top w:val="single" w:sz="4" w:space="0" w:color="auto"/>
              <w:left w:val="single" w:sz="4" w:space="0" w:color="auto"/>
              <w:bottom w:val="single" w:sz="4" w:space="0" w:color="auto"/>
              <w:right w:val="single" w:sz="4" w:space="0" w:color="auto"/>
            </w:tcBorders>
            <w:vAlign w:val="bottom"/>
            <w:hideMark/>
          </w:tcPr>
          <w:p w:rsidR="00142A37" w:rsidRDefault="00142A37" w:rsidP="003F6403">
            <w:pPr>
              <w:pStyle w:val="Tabletext"/>
              <w:rPr>
                <w:lang w:val="fr-CH"/>
              </w:rPr>
            </w:pPr>
            <w:r>
              <w:rPr>
                <w:lang w:val="fr-CH"/>
              </w:rPr>
              <w:t>Ouverture du faisceau d'antenne à 3 dB (degrés)</w:t>
            </w:r>
          </w:p>
        </w:tc>
        <w:tc>
          <w:tcPr>
            <w:tcW w:w="1874" w:type="dxa"/>
            <w:tcBorders>
              <w:top w:val="single" w:sz="4" w:space="0" w:color="auto"/>
              <w:left w:val="single" w:sz="4" w:space="0" w:color="auto"/>
              <w:bottom w:val="single" w:sz="4" w:space="0" w:color="auto"/>
              <w:right w:val="single" w:sz="4" w:space="0" w:color="auto"/>
            </w:tcBorders>
            <w:vAlign w:val="bottom"/>
            <w:hideMark/>
          </w:tcPr>
          <w:p w:rsidR="00142A37" w:rsidRDefault="00142A37" w:rsidP="003F6403">
            <w:pPr>
              <w:pStyle w:val="Tabletext"/>
              <w:jc w:val="center"/>
              <w:rPr>
                <w:lang w:val="fr-CH"/>
              </w:rPr>
            </w:pPr>
            <w:r>
              <w:rPr>
                <w:lang w:val="fr-CH"/>
              </w:rPr>
              <w:t>3,68</w:t>
            </w:r>
          </w:p>
        </w:tc>
        <w:tc>
          <w:tcPr>
            <w:tcW w:w="1238" w:type="dxa"/>
            <w:gridSpan w:val="2"/>
            <w:tcBorders>
              <w:top w:val="single" w:sz="4" w:space="0" w:color="auto"/>
              <w:left w:val="single" w:sz="4" w:space="0" w:color="auto"/>
              <w:bottom w:val="single" w:sz="4" w:space="0" w:color="auto"/>
              <w:right w:val="single" w:sz="4" w:space="0" w:color="auto"/>
            </w:tcBorders>
            <w:vAlign w:val="bottom"/>
            <w:hideMark/>
          </w:tcPr>
          <w:p w:rsidR="00142A37" w:rsidRDefault="00142A37" w:rsidP="003F6403">
            <w:pPr>
              <w:pStyle w:val="Tabletext"/>
              <w:jc w:val="center"/>
              <w:rPr>
                <w:lang w:val="fr-CH"/>
              </w:rPr>
            </w:pPr>
            <w:r>
              <w:rPr>
                <w:lang w:val="fr-CH"/>
              </w:rPr>
              <w:t>1,64</w:t>
            </w:r>
          </w:p>
        </w:tc>
        <w:tc>
          <w:tcPr>
            <w:tcW w:w="1996" w:type="dxa"/>
            <w:gridSpan w:val="2"/>
            <w:tcBorders>
              <w:top w:val="single" w:sz="4" w:space="0" w:color="auto"/>
              <w:left w:val="single" w:sz="4" w:space="0" w:color="auto"/>
              <w:bottom w:val="single" w:sz="4" w:space="0" w:color="auto"/>
              <w:right w:val="single" w:sz="4" w:space="0" w:color="auto"/>
            </w:tcBorders>
          </w:tcPr>
          <w:p w:rsidR="00142A37" w:rsidRPr="00882D92" w:rsidRDefault="00142A37" w:rsidP="003F6403">
            <w:pPr>
              <w:pStyle w:val="Tabletext"/>
              <w:jc w:val="center"/>
              <w:rPr>
                <w:lang w:val="en-US"/>
              </w:rPr>
            </w:pPr>
            <w:r>
              <w:rPr>
                <w:lang w:val="en-US"/>
              </w:rPr>
              <w:t>1,</w:t>
            </w:r>
            <w:r w:rsidRPr="00882D92">
              <w:rPr>
                <w:lang w:val="en-US"/>
              </w:rPr>
              <w:t>06</w:t>
            </w:r>
          </w:p>
        </w:tc>
      </w:tr>
      <w:tr w:rsidR="00142A37" w:rsidTr="005D7019">
        <w:trPr>
          <w:cantSplit/>
        </w:trPr>
        <w:tc>
          <w:tcPr>
            <w:tcW w:w="4531" w:type="dxa"/>
            <w:tcBorders>
              <w:top w:val="single" w:sz="4" w:space="0" w:color="auto"/>
              <w:left w:val="single" w:sz="4" w:space="0" w:color="auto"/>
              <w:bottom w:val="single" w:sz="4" w:space="0" w:color="auto"/>
              <w:right w:val="single" w:sz="4" w:space="0" w:color="auto"/>
            </w:tcBorders>
            <w:vAlign w:val="bottom"/>
            <w:hideMark/>
          </w:tcPr>
          <w:p w:rsidR="00142A37" w:rsidRDefault="00142A37" w:rsidP="003F6403">
            <w:pPr>
              <w:pStyle w:val="Tabletext"/>
              <w:rPr>
                <w:lang w:val="fr-CH"/>
              </w:rPr>
            </w:pPr>
            <w:r>
              <w:rPr>
                <w:lang w:val="fr-CH"/>
              </w:rPr>
              <w:t>p.i.r.e. (dBW)</w:t>
            </w:r>
          </w:p>
        </w:tc>
        <w:tc>
          <w:tcPr>
            <w:tcW w:w="1874" w:type="dxa"/>
            <w:tcBorders>
              <w:top w:val="single" w:sz="4" w:space="0" w:color="auto"/>
              <w:left w:val="single" w:sz="4" w:space="0" w:color="auto"/>
              <w:bottom w:val="single" w:sz="4" w:space="0" w:color="auto"/>
              <w:right w:val="single" w:sz="4" w:space="0" w:color="auto"/>
            </w:tcBorders>
            <w:vAlign w:val="bottom"/>
            <w:hideMark/>
          </w:tcPr>
          <w:p w:rsidR="00142A37" w:rsidRDefault="00142A37" w:rsidP="003F6403">
            <w:pPr>
              <w:pStyle w:val="Tabletext"/>
              <w:jc w:val="center"/>
              <w:rPr>
                <w:lang w:val="fr-CH"/>
              </w:rPr>
            </w:pPr>
            <w:r>
              <w:rPr>
                <w:lang w:val="fr-CH"/>
              </w:rPr>
              <w:t>39,5</w:t>
            </w:r>
          </w:p>
        </w:tc>
        <w:tc>
          <w:tcPr>
            <w:tcW w:w="1238" w:type="dxa"/>
            <w:gridSpan w:val="2"/>
            <w:tcBorders>
              <w:top w:val="single" w:sz="4" w:space="0" w:color="auto"/>
              <w:left w:val="single" w:sz="4" w:space="0" w:color="auto"/>
              <w:bottom w:val="single" w:sz="4" w:space="0" w:color="auto"/>
              <w:right w:val="single" w:sz="4" w:space="0" w:color="auto"/>
            </w:tcBorders>
            <w:vAlign w:val="bottom"/>
            <w:hideMark/>
          </w:tcPr>
          <w:p w:rsidR="00142A37" w:rsidRDefault="00142A37" w:rsidP="003F6403">
            <w:pPr>
              <w:pStyle w:val="Tabletext"/>
              <w:jc w:val="center"/>
              <w:rPr>
                <w:lang w:val="fr-CH"/>
              </w:rPr>
            </w:pPr>
            <w:r>
              <w:rPr>
                <w:lang w:val="fr-CH"/>
              </w:rPr>
              <w:t>52,5</w:t>
            </w:r>
          </w:p>
        </w:tc>
        <w:tc>
          <w:tcPr>
            <w:tcW w:w="1996" w:type="dxa"/>
            <w:gridSpan w:val="2"/>
            <w:tcBorders>
              <w:top w:val="single" w:sz="4" w:space="0" w:color="auto"/>
              <w:left w:val="single" w:sz="4" w:space="0" w:color="auto"/>
              <w:bottom w:val="single" w:sz="4" w:space="0" w:color="auto"/>
              <w:right w:val="single" w:sz="4" w:space="0" w:color="auto"/>
            </w:tcBorders>
          </w:tcPr>
          <w:p w:rsidR="00142A37" w:rsidRPr="00882D92" w:rsidRDefault="00142A37" w:rsidP="003F6403">
            <w:pPr>
              <w:pStyle w:val="Tabletext"/>
              <w:jc w:val="center"/>
              <w:rPr>
                <w:lang w:val="en-US"/>
              </w:rPr>
            </w:pPr>
            <w:r w:rsidRPr="00882D92">
              <w:rPr>
                <w:lang w:val="en-US"/>
              </w:rPr>
              <w:t>57</w:t>
            </w:r>
            <w:r>
              <w:rPr>
                <w:lang w:val="en-US"/>
              </w:rPr>
              <w:t>,</w:t>
            </w:r>
            <w:r w:rsidRPr="00882D92">
              <w:rPr>
                <w:lang w:val="en-US"/>
              </w:rPr>
              <w:t>7</w:t>
            </w:r>
          </w:p>
        </w:tc>
      </w:tr>
      <w:tr w:rsidR="00E33DBF" w:rsidTr="005D7019">
        <w:trPr>
          <w:cantSplit/>
        </w:trPr>
        <w:tc>
          <w:tcPr>
            <w:tcW w:w="4531" w:type="dxa"/>
            <w:tcBorders>
              <w:top w:val="single" w:sz="4" w:space="0" w:color="auto"/>
              <w:left w:val="single" w:sz="4" w:space="0" w:color="auto"/>
              <w:bottom w:val="single" w:sz="4" w:space="0" w:color="auto"/>
              <w:right w:val="single" w:sz="4" w:space="0" w:color="auto"/>
            </w:tcBorders>
            <w:vAlign w:val="bottom"/>
            <w:hideMark/>
          </w:tcPr>
          <w:p w:rsidR="00E33DBF" w:rsidRDefault="00E33DBF" w:rsidP="003F6403">
            <w:pPr>
              <w:pStyle w:val="Tabletext"/>
              <w:rPr>
                <w:lang w:val="fr-CH"/>
              </w:rPr>
            </w:pPr>
            <w:r>
              <w:rPr>
                <w:lang w:val="fr-CH"/>
              </w:rPr>
              <w:t>Tolérance en bordure de faisceau (dB)</w:t>
            </w:r>
          </w:p>
        </w:tc>
        <w:tc>
          <w:tcPr>
            <w:tcW w:w="3112" w:type="dxa"/>
            <w:gridSpan w:val="3"/>
            <w:tcBorders>
              <w:top w:val="single" w:sz="4" w:space="0" w:color="auto"/>
              <w:left w:val="single" w:sz="4" w:space="0" w:color="auto"/>
              <w:bottom w:val="single" w:sz="4" w:space="0" w:color="auto"/>
              <w:right w:val="single" w:sz="4" w:space="0" w:color="auto"/>
            </w:tcBorders>
            <w:vAlign w:val="bottom"/>
            <w:hideMark/>
          </w:tcPr>
          <w:p w:rsidR="00E33DBF" w:rsidRDefault="00E33DBF" w:rsidP="003F6403">
            <w:pPr>
              <w:pStyle w:val="Tabletext"/>
              <w:jc w:val="center"/>
              <w:rPr>
                <w:lang w:val="en-US"/>
              </w:rPr>
            </w:pPr>
            <w:r>
              <w:rPr>
                <w:lang w:val="fr-CH"/>
              </w:rPr>
              <w:t>–3,0</w:t>
            </w:r>
          </w:p>
        </w:tc>
        <w:tc>
          <w:tcPr>
            <w:tcW w:w="1996" w:type="dxa"/>
            <w:gridSpan w:val="2"/>
            <w:vMerge w:val="restart"/>
            <w:tcBorders>
              <w:top w:val="single" w:sz="4" w:space="0" w:color="auto"/>
              <w:left w:val="single" w:sz="4" w:space="0" w:color="auto"/>
              <w:right w:val="single" w:sz="4" w:space="0" w:color="auto"/>
            </w:tcBorders>
            <w:vAlign w:val="center"/>
          </w:tcPr>
          <w:p w:rsidR="00E33DBF" w:rsidRDefault="00E33DBF" w:rsidP="003F6403">
            <w:pPr>
              <w:pStyle w:val="Tabletext"/>
              <w:keepNext/>
              <w:keepLines/>
              <w:jc w:val="center"/>
              <w:rPr>
                <w:lang w:val="en-US"/>
              </w:rPr>
            </w:pPr>
            <w:r>
              <w:rPr>
                <w:lang w:val="en-US"/>
              </w:rPr>
              <w:t>–4,</w:t>
            </w:r>
            <w:r w:rsidRPr="00882D92">
              <w:rPr>
                <w:lang w:val="en-US"/>
              </w:rPr>
              <w:t>0</w:t>
            </w:r>
            <w:r w:rsidRPr="000F68A1">
              <w:rPr>
                <w:vertAlign w:val="superscript"/>
                <w:lang w:val="en-US"/>
              </w:rPr>
              <w:t>(3)</w:t>
            </w:r>
          </w:p>
        </w:tc>
      </w:tr>
      <w:tr w:rsidR="00E33DBF" w:rsidTr="005D7019">
        <w:trPr>
          <w:cantSplit/>
        </w:trPr>
        <w:tc>
          <w:tcPr>
            <w:tcW w:w="4531" w:type="dxa"/>
            <w:tcBorders>
              <w:top w:val="single" w:sz="4" w:space="0" w:color="auto"/>
              <w:left w:val="single" w:sz="4" w:space="0" w:color="auto"/>
              <w:bottom w:val="single" w:sz="4" w:space="0" w:color="auto"/>
              <w:right w:val="single" w:sz="4" w:space="0" w:color="auto"/>
            </w:tcBorders>
            <w:vAlign w:val="bottom"/>
          </w:tcPr>
          <w:p w:rsidR="00E33DBF" w:rsidRDefault="00E33DBF" w:rsidP="003F6403">
            <w:pPr>
              <w:pStyle w:val="Tabletext"/>
              <w:rPr>
                <w:lang w:val="fr-CH"/>
              </w:rPr>
            </w:pPr>
            <w:r w:rsidRPr="005D7019">
              <w:rPr>
                <w:lang w:val="fr-CH"/>
              </w:rPr>
              <w:t xml:space="preserve">Affaiblissement </w:t>
            </w:r>
            <w:r>
              <w:rPr>
                <w:lang w:val="fr-CH"/>
              </w:rPr>
              <w:t>dû aux gaz de l'atmosphère et affaiblissement</w:t>
            </w:r>
            <w:r w:rsidRPr="005D7019">
              <w:rPr>
                <w:lang w:val="fr-CH"/>
              </w:rPr>
              <w:t xml:space="preserve"> dû à la pluie </w:t>
            </w:r>
            <w:r>
              <w:rPr>
                <w:lang w:val="fr-CH"/>
              </w:rPr>
              <w:t>(</w:t>
            </w:r>
            <w:r w:rsidRPr="005D7019">
              <w:rPr>
                <w:lang w:val="fr-CH"/>
              </w:rPr>
              <w:t>dB)</w:t>
            </w:r>
          </w:p>
        </w:tc>
        <w:tc>
          <w:tcPr>
            <w:tcW w:w="3112" w:type="dxa"/>
            <w:gridSpan w:val="3"/>
            <w:tcBorders>
              <w:top w:val="single" w:sz="4" w:space="0" w:color="auto"/>
              <w:left w:val="single" w:sz="4" w:space="0" w:color="auto"/>
              <w:bottom w:val="single" w:sz="4" w:space="0" w:color="auto"/>
              <w:right w:val="single" w:sz="4" w:space="0" w:color="auto"/>
            </w:tcBorders>
            <w:vAlign w:val="center"/>
          </w:tcPr>
          <w:p w:rsidR="00E33DBF" w:rsidRDefault="00E33DBF">
            <w:pPr>
              <w:pStyle w:val="Tabletext"/>
              <w:jc w:val="center"/>
              <w:rPr>
                <w:lang w:val="fr-CH"/>
              </w:rPr>
            </w:pPr>
            <w:r>
              <w:rPr>
                <w:lang w:val="fr-CH"/>
              </w:rPr>
              <w:softHyphen/>
            </w:r>
          </w:p>
        </w:tc>
        <w:tc>
          <w:tcPr>
            <w:tcW w:w="1996" w:type="dxa"/>
            <w:gridSpan w:val="2"/>
            <w:vMerge/>
            <w:tcBorders>
              <w:left w:val="single" w:sz="4" w:space="0" w:color="auto"/>
              <w:right w:val="single" w:sz="4" w:space="0" w:color="auto"/>
            </w:tcBorders>
            <w:vAlign w:val="center"/>
          </w:tcPr>
          <w:p w:rsidR="00E33DBF" w:rsidRDefault="00E33DBF" w:rsidP="003F6403">
            <w:pPr>
              <w:pStyle w:val="Tabletext"/>
              <w:keepNext/>
              <w:keepLines/>
              <w:jc w:val="center"/>
              <w:rPr>
                <w:lang w:val="en-US"/>
              </w:rPr>
            </w:pPr>
          </w:p>
        </w:tc>
      </w:tr>
      <w:tr w:rsidR="00142A37" w:rsidTr="005D7019">
        <w:trPr>
          <w:cantSplit/>
        </w:trPr>
        <w:tc>
          <w:tcPr>
            <w:tcW w:w="4531" w:type="dxa"/>
            <w:tcBorders>
              <w:top w:val="single" w:sz="4" w:space="0" w:color="auto"/>
              <w:left w:val="single" w:sz="4" w:space="0" w:color="auto"/>
              <w:bottom w:val="single" w:sz="4" w:space="0" w:color="auto"/>
              <w:right w:val="single" w:sz="4" w:space="0" w:color="auto"/>
            </w:tcBorders>
            <w:vAlign w:val="bottom"/>
            <w:hideMark/>
          </w:tcPr>
          <w:p w:rsidR="00142A37" w:rsidRDefault="00142A37" w:rsidP="003F6403">
            <w:pPr>
              <w:pStyle w:val="Tabletext"/>
              <w:rPr>
                <w:lang w:val="fr-CH"/>
              </w:rPr>
            </w:pPr>
            <w:r>
              <w:rPr>
                <w:lang w:val="fr-CH"/>
              </w:rPr>
              <w:t>Affaiblisssement sur le trajet (dB)</w:t>
            </w:r>
          </w:p>
        </w:tc>
        <w:tc>
          <w:tcPr>
            <w:tcW w:w="1874" w:type="dxa"/>
            <w:tcBorders>
              <w:top w:val="single" w:sz="4" w:space="0" w:color="auto"/>
              <w:left w:val="single" w:sz="4" w:space="0" w:color="auto"/>
              <w:bottom w:val="single" w:sz="4" w:space="0" w:color="auto"/>
              <w:right w:val="single" w:sz="4" w:space="0" w:color="auto"/>
            </w:tcBorders>
            <w:vAlign w:val="bottom"/>
            <w:hideMark/>
          </w:tcPr>
          <w:p w:rsidR="00142A37" w:rsidRDefault="00142A37" w:rsidP="003F6403">
            <w:pPr>
              <w:pStyle w:val="Tabletext"/>
              <w:jc w:val="center"/>
              <w:rPr>
                <w:lang w:val="fr-CH"/>
              </w:rPr>
            </w:pPr>
            <w:r>
              <w:rPr>
                <w:lang w:val="fr-CH"/>
              </w:rPr>
              <w:t>–183,4</w:t>
            </w:r>
          </w:p>
        </w:tc>
        <w:tc>
          <w:tcPr>
            <w:tcW w:w="1238" w:type="dxa"/>
            <w:gridSpan w:val="2"/>
            <w:tcBorders>
              <w:top w:val="single" w:sz="4" w:space="0" w:color="auto"/>
              <w:left w:val="single" w:sz="4" w:space="0" w:color="auto"/>
              <w:bottom w:val="single" w:sz="4" w:space="0" w:color="auto"/>
              <w:right w:val="single" w:sz="4" w:space="0" w:color="auto"/>
            </w:tcBorders>
            <w:vAlign w:val="bottom"/>
            <w:hideMark/>
          </w:tcPr>
          <w:p w:rsidR="00142A37" w:rsidRDefault="00142A37" w:rsidP="003F6403">
            <w:pPr>
              <w:pStyle w:val="Tabletext"/>
              <w:jc w:val="center"/>
              <w:rPr>
                <w:lang w:val="fr-CH"/>
              </w:rPr>
            </w:pPr>
            <w:r>
              <w:rPr>
                <w:lang w:val="fr-CH"/>
              </w:rPr>
              <w:t>–208,1</w:t>
            </w:r>
          </w:p>
        </w:tc>
        <w:tc>
          <w:tcPr>
            <w:tcW w:w="1996" w:type="dxa"/>
            <w:gridSpan w:val="2"/>
            <w:tcBorders>
              <w:top w:val="single" w:sz="4" w:space="0" w:color="auto"/>
              <w:left w:val="single" w:sz="4" w:space="0" w:color="auto"/>
              <w:bottom w:val="single" w:sz="4" w:space="0" w:color="auto"/>
              <w:right w:val="single" w:sz="4" w:space="0" w:color="auto"/>
            </w:tcBorders>
          </w:tcPr>
          <w:p w:rsidR="00142A37" w:rsidRPr="00882D92" w:rsidRDefault="00142A37" w:rsidP="003F6403">
            <w:pPr>
              <w:pStyle w:val="Tabletext"/>
              <w:jc w:val="center"/>
              <w:rPr>
                <w:lang w:val="en-US"/>
              </w:rPr>
            </w:pPr>
            <w:r>
              <w:rPr>
                <w:lang w:val="en-US"/>
              </w:rPr>
              <w:t>–225,</w:t>
            </w:r>
            <w:r w:rsidRPr="00882D92">
              <w:rPr>
                <w:lang w:val="en-US"/>
              </w:rPr>
              <w:t>65</w:t>
            </w:r>
          </w:p>
        </w:tc>
      </w:tr>
      <w:tr w:rsidR="00142A37" w:rsidTr="005D7019">
        <w:trPr>
          <w:cantSplit/>
        </w:trPr>
        <w:tc>
          <w:tcPr>
            <w:tcW w:w="4531" w:type="dxa"/>
            <w:tcBorders>
              <w:top w:val="single" w:sz="4" w:space="0" w:color="auto"/>
              <w:left w:val="single" w:sz="4" w:space="0" w:color="auto"/>
              <w:bottom w:val="single" w:sz="4" w:space="0" w:color="auto"/>
              <w:right w:val="single" w:sz="4" w:space="0" w:color="auto"/>
            </w:tcBorders>
            <w:vAlign w:val="bottom"/>
            <w:hideMark/>
          </w:tcPr>
          <w:p w:rsidR="00142A37" w:rsidRDefault="00142A37" w:rsidP="003F6403">
            <w:pPr>
              <w:pStyle w:val="Tabletext"/>
              <w:jc w:val="left"/>
              <w:rPr>
                <w:lang w:val="fr-CH"/>
              </w:rPr>
            </w:pPr>
            <w:r>
              <w:rPr>
                <w:lang w:val="fr-CH"/>
              </w:rPr>
              <w:t>Densité spectrale de puissance surfacique (dB(W/(m</w:t>
            </w:r>
            <w:r>
              <w:rPr>
                <w:vertAlign w:val="superscript"/>
                <w:lang w:val="fr-CH"/>
              </w:rPr>
              <w:t>2</w:t>
            </w:r>
            <w:r>
              <w:rPr>
                <w:lang w:val="fr-CH"/>
              </w:rPr>
              <w:t> · 4 kHz)))</w:t>
            </w:r>
          </w:p>
        </w:tc>
        <w:tc>
          <w:tcPr>
            <w:tcW w:w="1874" w:type="dxa"/>
            <w:tcBorders>
              <w:top w:val="single" w:sz="4" w:space="0" w:color="auto"/>
              <w:left w:val="single" w:sz="4" w:space="0" w:color="auto"/>
              <w:bottom w:val="single" w:sz="4" w:space="0" w:color="auto"/>
              <w:right w:val="single" w:sz="4" w:space="0" w:color="auto"/>
            </w:tcBorders>
            <w:vAlign w:val="center"/>
            <w:hideMark/>
          </w:tcPr>
          <w:p w:rsidR="00142A37" w:rsidRDefault="00142A37">
            <w:pPr>
              <w:pStyle w:val="Tabletext"/>
              <w:jc w:val="center"/>
              <w:rPr>
                <w:lang w:val="fr-CH"/>
              </w:rPr>
            </w:pPr>
            <w:r>
              <w:rPr>
                <w:lang w:val="fr-CH"/>
              </w:rPr>
              <w:t>–146,0</w:t>
            </w:r>
          </w:p>
        </w:tc>
        <w:tc>
          <w:tcPr>
            <w:tcW w:w="1238" w:type="dxa"/>
            <w:gridSpan w:val="2"/>
            <w:tcBorders>
              <w:top w:val="single" w:sz="4" w:space="0" w:color="auto"/>
              <w:left w:val="single" w:sz="4" w:space="0" w:color="auto"/>
              <w:bottom w:val="single" w:sz="4" w:space="0" w:color="auto"/>
              <w:right w:val="single" w:sz="4" w:space="0" w:color="auto"/>
            </w:tcBorders>
            <w:vAlign w:val="center"/>
            <w:hideMark/>
          </w:tcPr>
          <w:p w:rsidR="00142A37" w:rsidRDefault="00142A37">
            <w:pPr>
              <w:pStyle w:val="Tabletext"/>
              <w:jc w:val="center"/>
              <w:rPr>
                <w:lang w:val="fr-CH"/>
              </w:rPr>
            </w:pPr>
            <w:r>
              <w:rPr>
                <w:lang w:val="fr-CH"/>
              </w:rPr>
              <w:t>–157,6</w:t>
            </w:r>
          </w:p>
        </w:tc>
        <w:tc>
          <w:tcPr>
            <w:tcW w:w="1996" w:type="dxa"/>
            <w:gridSpan w:val="2"/>
            <w:tcBorders>
              <w:top w:val="single" w:sz="4" w:space="0" w:color="auto"/>
              <w:left w:val="single" w:sz="4" w:space="0" w:color="auto"/>
              <w:bottom w:val="single" w:sz="4" w:space="0" w:color="auto"/>
              <w:right w:val="single" w:sz="4" w:space="0" w:color="auto"/>
            </w:tcBorders>
            <w:vAlign w:val="center"/>
          </w:tcPr>
          <w:p w:rsidR="00142A37" w:rsidRPr="00882D92" w:rsidRDefault="00142A37">
            <w:pPr>
              <w:pStyle w:val="Tabletext"/>
              <w:jc w:val="center"/>
              <w:rPr>
                <w:lang w:val="en-US"/>
              </w:rPr>
            </w:pPr>
            <w:r w:rsidRPr="00882D92">
              <w:rPr>
                <w:lang w:val="en-US"/>
              </w:rPr>
              <w:t>&lt;</w:t>
            </w:r>
            <w:r>
              <w:rPr>
                <w:lang w:val="en-US"/>
              </w:rPr>
              <w:t>–146,</w:t>
            </w:r>
            <w:r w:rsidRPr="00882D92">
              <w:rPr>
                <w:lang w:val="en-US"/>
              </w:rPr>
              <w:t>0</w:t>
            </w:r>
            <w:r w:rsidRPr="00D233CE">
              <w:rPr>
                <w:vertAlign w:val="superscript"/>
                <w:lang w:val="en-US"/>
              </w:rPr>
              <w:t>(2)</w:t>
            </w:r>
          </w:p>
        </w:tc>
      </w:tr>
      <w:tr w:rsidR="003C35BC" w:rsidTr="005D7019">
        <w:trPr>
          <w:cantSplit/>
        </w:trPr>
        <w:tc>
          <w:tcPr>
            <w:tcW w:w="4531" w:type="dxa"/>
            <w:tcBorders>
              <w:top w:val="single" w:sz="4" w:space="0" w:color="auto"/>
              <w:left w:val="single" w:sz="4" w:space="0" w:color="auto"/>
              <w:bottom w:val="single" w:sz="4" w:space="0" w:color="auto"/>
              <w:right w:val="single" w:sz="4" w:space="0" w:color="auto"/>
            </w:tcBorders>
            <w:vAlign w:val="bottom"/>
            <w:hideMark/>
          </w:tcPr>
          <w:p w:rsidR="003C35BC" w:rsidRDefault="003C35BC" w:rsidP="00917C2D">
            <w:pPr>
              <w:pStyle w:val="Tabletext"/>
              <w:rPr>
                <w:lang w:val="fr-CH"/>
              </w:rPr>
            </w:pPr>
            <w:r>
              <w:rPr>
                <w:lang w:val="fr-CH"/>
              </w:rPr>
              <w:t>Gain de l'antenne de réception (dBi)</w:t>
            </w:r>
          </w:p>
        </w:tc>
        <w:tc>
          <w:tcPr>
            <w:tcW w:w="1874" w:type="dxa"/>
            <w:tcBorders>
              <w:top w:val="single" w:sz="4" w:space="0" w:color="auto"/>
              <w:left w:val="single" w:sz="4" w:space="0" w:color="auto"/>
              <w:bottom w:val="single" w:sz="4" w:space="0" w:color="auto"/>
              <w:right w:val="single" w:sz="4" w:space="0" w:color="auto"/>
            </w:tcBorders>
            <w:vAlign w:val="bottom"/>
            <w:hideMark/>
          </w:tcPr>
          <w:p w:rsidR="003C35BC" w:rsidRDefault="003C35BC" w:rsidP="00917C2D">
            <w:pPr>
              <w:pStyle w:val="Tabletext"/>
              <w:jc w:val="center"/>
              <w:rPr>
                <w:lang w:val="fr-CH"/>
              </w:rPr>
            </w:pPr>
            <w:r>
              <w:rPr>
                <w:lang w:val="fr-CH"/>
              </w:rPr>
              <w:t>45,0</w:t>
            </w:r>
          </w:p>
        </w:tc>
        <w:tc>
          <w:tcPr>
            <w:tcW w:w="1238" w:type="dxa"/>
            <w:gridSpan w:val="2"/>
            <w:tcBorders>
              <w:top w:val="single" w:sz="4" w:space="0" w:color="auto"/>
              <w:left w:val="single" w:sz="4" w:space="0" w:color="auto"/>
              <w:bottom w:val="single" w:sz="4" w:space="0" w:color="auto"/>
              <w:right w:val="single" w:sz="4" w:space="0" w:color="auto"/>
            </w:tcBorders>
            <w:vAlign w:val="bottom"/>
            <w:hideMark/>
          </w:tcPr>
          <w:p w:rsidR="003C35BC" w:rsidRDefault="003C35BC" w:rsidP="00917C2D">
            <w:pPr>
              <w:pStyle w:val="Tabletext"/>
              <w:jc w:val="center"/>
              <w:rPr>
                <w:lang w:val="fr-CH"/>
              </w:rPr>
            </w:pPr>
            <w:r>
              <w:rPr>
                <w:lang w:val="fr-CH"/>
              </w:rPr>
              <w:t>55,0</w:t>
            </w:r>
          </w:p>
        </w:tc>
        <w:tc>
          <w:tcPr>
            <w:tcW w:w="1996" w:type="dxa"/>
            <w:gridSpan w:val="2"/>
            <w:tcBorders>
              <w:top w:val="single" w:sz="4" w:space="0" w:color="auto"/>
              <w:left w:val="single" w:sz="4" w:space="0" w:color="auto"/>
              <w:bottom w:val="single" w:sz="4" w:space="0" w:color="auto"/>
              <w:right w:val="single" w:sz="4" w:space="0" w:color="auto"/>
            </w:tcBorders>
          </w:tcPr>
          <w:p w:rsidR="003C35BC" w:rsidRPr="00882D92" w:rsidRDefault="003C35BC" w:rsidP="00917C2D">
            <w:pPr>
              <w:pStyle w:val="Tabletext"/>
              <w:jc w:val="center"/>
              <w:rPr>
                <w:lang w:val="en-US"/>
              </w:rPr>
            </w:pPr>
            <w:r>
              <w:rPr>
                <w:lang w:val="en-US"/>
              </w:rPr>
              <w:t>67,</w:t>
            </w:r>
            <w:r w:rsidRPr="00882D92">
              <w:rPr>
                <w:lang w:val="en-US"/>
              </w:rPr>
              <w:t>0</w:t>
            </w:r>
          </w:p>
        </w:tc>
      </w:tr>
      <w:tr w:rsidR="003C35BC" w:rsidTr="005D7019">
        <w:trPr>
          <w:cantSplit/>
        </w:trPr>
        <w:tc>
          <w:tcPr>
            <w:tcW w:w="4531" w:type="dxa"/>
            <w:tcBorders>
              <w:top w:val="single" w:sz="4" w:space="0" w:color="auto"/>
              <w:left w:val="single" w:sz="4" w:space="0" w:color="auto"/>
              <w:bottom w:val="single" w:sz="4" w:space="0" w:color="auto"/>
              <w:right w:val="single" w:sz="4" w:space="0" w:color="auto"/>
            </w:tcBorders>
            <w:vAlign w:val="bottom"/>
            <w:hideMark/>
          </w:tcPr>
          <w:p w:rsidR="003C35BC" w:rsidRDefault="003C35BC" w:rsidP="00917C2D">
            <w:pPr>
              <w:pStyle w:val="Tabletext"/>
              <w:rPr>
                <w:lang w:val="fr-CH"/>
              </w:rPr>
            </w:pPr>
            <w:r>
              <w:rPr>
                <w:lang w:val="fr-CH"/>
              </w:rPr>
              <w:t>Température de bruit du système de réception (K)</w:t>
            </w:r>
          </w:p>
        </w:tc>
        <w:tc>
          <w:tcPr>
            <w:tcW w:w="5108" w:type="dxa"/>
            <w:gridSpan w:val="5"/>
            <w:tcBorders>
              <w:top w:val="single" w:sz="4" w:space="0" w:color="auto"/>
              <w:left w:val="single" w:sz="4" w:space="0" w:color="auto"/>
              <w:bottom w:val="single" w:sz="4" w:space="0" w:color="auto"/>
              <w:right w:val="single" w:sz="4" w:space="0" w:color="auto"/>
            </w:tcBorders>
            <w:vAlign w:val="center"/>
            <w:hideMark/>
          </w:tcPr>
          <w:p w:rsidR="003C35BC" w:rsidRDefault="003C35BC">
            <w:pPr>
              <w:pStyle w:val="Tabletext"/>
              <w:jc w:val="center"/>
              <w:rPr>
                <w:lang w:val="fr-CH"/>
              </w:rPr>
            </w:pPr>
            <w:r>
              <w:rPr>
                <w:lang w:val="fr-CH"/>
              </w:rPr>
              <w:t>100,0</w:t>
            </w:r>
          </w:p>
        </w:tc>
      </w:tr>
      <w:tr w:rsidR="003C35BC" w:rsidTr="005D7019">
        <w:trPr>
          <w:cantSplit/>
        </w:trPr>
        <w:tc>
          <w:tcPr>
            <w:tcW w:w="4531" w:type="dxa"/>
            <w:tcBorders>
              <w:top w:val="single" w:sz="4" w:space="0" w:color="auto"/>
              <w:left w:val="single" w:sz="4" w:space="0" w:color="auto"/>
              <w:bottom w:val="single" w:sz="4" w:space="0" w:color="auto"/>
              <w:right w:val="single" w:sz="4" w:space="0" w:color="auto"/>
            </w:tcBorders>
            <w:vAlign w:val="bottom"/>
            <w:hideMark/>
          </w:tcPr>
          <w:p w:rsidR="003C35BC" w:rsidRDefault="003C35BC" w:rsidP="00917C2D">
            <w:pPr>
              <w:pStyle w:val="Tabletext"/>
              <w:rPr>
                <w:lang w:val="fr-CH"/>
              </w:rPr>
            </w:pPr>
            <w:r>
              <w:rPr>
                <w:lang w:val="fr-CH"/>
              </w:rPr>
              <w:t>Angle d'élévation (degrés)</w:t>
            </w:r>
          </w:p>
        </w:tc>
        <w:tc>
          <w:tcPr>
            <w:tcW w:w="5108" w:type="dxa"/>
            <w:gridSpan w:val="5"/>
            <w:tcBorders>
              <w:top w:val="single" w:sz="4" w:space="0" w:color="auto"/>
              <w:left w:val="single" w:sz="4" w:space="0" w:color="auto"/>
              <w:bottom w:val="single" w:sz="4" w:space="0" w:color="auto"/>
              <w:right w:val="single" w:sz="4" w:space="0" w:color="auto"/>
            </w:tcBorders>
            <w:vAlign w:val="bottom"/>
            <w:hideMark/>
          </w:tcPr>
          <w:p w:rsidR="003C35BC" w:rsidRDefault="003C35BC" w:rsidP="00917C2D">
            <w:pPr>
              <w:pStyle w:val="Tabletext"/>
              <w:jc w:val="center"/>
              <w:rPr>
                <w:lang w:val="fr-CH"/>
              </w:rPr>
            </w:pPr>
            <w:r>
              <w:rPr>
                <w:lang w:val="fr-CH"/>
              </w:rPr>
              <w:t>10,0</w:t>
            </w:r>
          </w:p>
        </w:tc>
      </w:tr>
      <w:tr w:rsidR="003C35BC" w:rsidTr="005D7019">
        <w:trPr>
          <w:cantSplit/>
        </w:trPr>
        <w:tc>
          <w:tcPr>
            <w:tcW w:w="4531" w:type="dxa"/>
            <w:tcBorders>
              <w:top w:val="single" w:sz="4" w:space="0" w:color="auto"/>
              <w:left w:val="single" w:sz="4" w:space="0" w:color="auto"/>
              <w:bottom w:val="single" w:sz="4" w:space="0" w:color="auto"/>
              <w:right w:val="single" w:sz="4" w:space="0" w:color="auto"/>
            </w:tcBorders>
            <w:vAlign w:val="bottom"/>
            <w:hideMark/>
          </w:tcPr>
          <w:p w:rsidR="003C35BC" w:rsidRDefault="003C35BC" w:rsidP="00917C2D">
            <w:pPr>
              <w:pStyle w:val="Tabletext"/>
              <w:rPr>
                <w:lang w:val="fr-CH"/>
              </w:rPr>
            </w:pPr>
            <w:r>
              <w:rPr>
                <w:lang w:val="fr-CH"/>
              </w:rPr>
              <w:t>Température de bruit de l'antenne (K)</w:t>
            </w:r>
          </w:p>
        </w:tc>
        <w:tc>
          <w:tcPr>
            <w:tcW w:w="5108" w:type="dxa"/>
            <w:gridSpan w:val="5"/>
            <w:tcBorders>
              <w:top w:val="single" w:sz="4" w:space="0" w:color="auto"/>
              <w:left w:val="single" w:sz="4" w:space="0" w:color="auto"/>
              <w:bottom w:val="single" w:sz="4" w:space="0" w:color="auto"/>
              <w:right w:val="single" w:sz="4" w:space="0" w:color="auto"/>
            </w:tcBorders>
            <w:vAlign w:val="bottom"/>
            <w:hideMark/>
          </w:tcPr>
          <w:p w:rsidR="003C35BC" w:rsidRDefault="003C35BC" w:rsidP="00917C2D">
            <w:pPr>
              <w:pStyle w:val="Tabletext"/>
              <w:jc w:val="center"/>
              <w:rPr>
                <w:lang w:val="fr-CH"/>
              </w:rPr>
            </w:pPr>
            <w:r>
              <w:rPr>
                <w:lang w:val="fr-CH"/>
              </w:rPr>
              <w:t>50,0</w:t>
            </w:r>
          </w:p>
        </w:tc>
      </w:tr>
      <w:tr w:rsidR="003C35BC" w:rsidTr="005D7019">
        <w:trPr>
          <w:cantSplit/>
        </w:trPr>
        <w:tc>
          <w:tcPr>
            <w:tcW w:w="4531" w:type="dxa"/>
            <w:tcBorders>
              <w:top w:val="single" w:sz="4" w:space="0" w:color="auto"/>
              <w:left w:val="single" w:sz="4" w:space="0" w:color="auto"/>
              <w:bottom w:val="single" w:sz="4" w:space="0" w:color="auto"/>
              <w:right w:val="single" w:sz="4" w:space="0" w:color="auto"/>
            </w:tcBorders>
            <w:vAlign w:val="bottom"/>
            <w:hideMark/>
          </w:tcPr>
          <w:p w:rsidR="003C35BC" w:rsidRDefault="003C35BC" w:rsidP="00917C2D">
            <w:pPr>
              <w:pStyle w:val="Tabletext"/>
              <w:rPr>
                <w:lang w:val="fr-CH"/>
              </w:rPr>
            </w:pPr>
            <w:r>
              <w:rPr>
                <w:lang w:val="fr-CH"/>
              </w:rPr>
              <w:t>Température du système de réception (K)</w:t>
            </w:r>
          </w:p>
        </w:tc>
        <w:tc>
          <w:tcPr>
            <w:tcW w:w="5108" w:type="dxa"/>
            <w:gridSpan w:val="5"/>
            <w:tcBorders>
              <w:top w:val="single" w:sz="4" w:space="0" w:color="auto"/>
              <w:left w:val="single" w:sz="4" w:space="0" w:color="auto"/>
              <w:bottom w:val="single" w:sz="4" w:space="0" w:color="auto"/>
              <w:right w:val="single" w:sz="4" w:space="0" w:color="auto"/>
            </w:tcBorders>
            <w:vAlign w:val="bottom"/>
            <w:hideMark/>
          </w:tcPr>
          <w:p w:rsidR="003C35BC" w:rsidRDefault="003C35BC" w:rsidP="00917C2D">
            <w:pPr>
              <w:pStyle w:val="Tabletext"/>
              <w:jc w:val="center"/>
              <w:rPr>
                <w:lang w:val="fr-CH"/>
              </w:rPr>
            </w:pPr>
            <w:r>
              <w:rPr>
                <w:lang w:val="fr-CH"/>
              </w:rPr>
              <w:t>150,0</w:t>
            </w:r>
          </w:p>
        </w:tc>
      </w:tr>
      <w:tr w:rsidR="003C35BC" w:rsidTr="005D7019">
        <w:trPr>
          <w:cantSplit/>
        </w:trPr>
        <w:tc>
          <w:tcPr>
            <w:tcW w:w="4531" w:type="dxa"/>
            <w:tcBorders>
              <w:top w:val="single" w:sz="4" w:space="0" w:color="auto"/>
              <w:left w:val="single" w:sz="4" w:space="0" w:color="auto"/>
              <w:bottom w:val="single" w:sz="4" w:space="0" w:color="auto"/>
              <w:right w:val="single" w:sz="4" w:space="0" w:color="auto"/>
            </w:tcBorders>
            <w:vAlign w:val="bottom"/>
            <w:hideMark/>
          </w:tcPr>
          <w:p w:rsidR="003C35BC" w:rsidRDefault="003C35BC" w:rsidP="00917C2D">
            <w:pPr>
              <w:pStyle w:val="Tabletext"/>
              <w:rPr>
                <w:lang w:val="fr-CH"/>
              </w:rPr>
            </w:pPr>
            <w:r>
              <w:rPr>
                <w:lang w:val="fr-CH"/>
              </w:rPr>
              <w:t>Affaiblissement dû au filtre de modulation (dB)</w:t>
            </w:r>
          </w:p>
        </w:tc>
        <w:tc>
          <w:tcPr>
            <w:tcW w:w="5108" w:type="dxa"/>
            <w:gridSpan w:val="5"/>
            <w:tcBorders>
              <w:top w:val="single" w:sz="4" w:space="0" w:color="auto"/>
              <w:left w:val="single" w:sz="4" w:space="0" w:color="auto"/>
              <w:bottom w:val="single" w:sz="4" w:space="0" w:color="auto"/>
              <w:right w:val="single" w:sz="4" w:space="0" w:color="auto"/>
            </w:tcBorders>
            <w:vAlign w:val="bottom"/>
            <w:hideMark/>
          </w:tcPr>
          <w:p w:rsidR="003C35BC" w:rsidRDefault="003C35BC" w:rsidP="00917C2D">
            <w:pPr>
              <w:pStyle w:val="Tabletext"/>
              <w:jc w:val="center"/>
              <w:rPr>
                <w:lang w:val="fr-CH"/>
              </w:rPr>
            </w:pPr>
            <w:r>
              <w:rPr>
                <w:lang w:val="fr-CH"/>
              </w:rPr>
              <w:t>–0,5</w:t>
            </w:r>
          </w:p>
        </w:tc>
      </w:tr>
      <w:tr w:rsidR="003C35BC" w:rsidTr="005D7019">
        <w:trPr>
          <w:cantSplit/>
        </w:trPr>
        <w:tc>
          <w:tcPr>
            <w:tcW w:w="4531" w:type="dxa"/>
            <w:tcBorders>
              <w:top w:val="single" w:sz="4" w:space="0" w:color="auto"/>
              <w:left w:val="single" w:sz="4" w:space="0" w:color="auto"/>
              <w:bottom w:val="single" w:sz="4" w:space="0" w:color="auto"/>
              <w:right w:val="single" w:sz="4" w:space="0" w:color="auto"/>
            </w:tcBorders>
            <w:vAlign w:val="bottom"/>
            <w:hideMark/>
          </w:tcPr>
          <w:p w:rsidR="003C35BC" w:rsidRDefault="003C35BC" w:rsidP="00917C2D">
            <w:pPr>
              <w:pStyle w:val="Tabletext"/>
              <w:rPr>
                <w:lang w:val="fr-CH"/>
              </w:rPr>
            </w:pPr>
            <w:r>
              <w:rPr>
                <w:lang w:val="fr-CH"/>
              </w:rPr>
              <w:t>Affaiblissement dans le démodulateur (dB)</w:t>
            </w:r>
          </w:p>
        </w:tc>
        <w:tc>
          <w:tcPr>
            <w:tcW w:w="5108" w:type="dxa"/>
            <w:gridSpan w:val="5"/>
            <w:tcBorders>
              <w:top w:val="single" w:sz="4" w:space="0" w:color="auto"/>
              <w:left w:val="single" w:sz="4" w:space="0" w:color="auto"/>
              <w:bottom w:val="single" w:sz="4" w:space="0" w:color="auto"/>
              <w:right w:val="single" w:sz="4" w:space="0" w:color="auto"/>
            </w:tcBorders>
            <w:vAlign w:val="bottom"/>
            <w:hideMark/>
          </w:tcPr>
          <w:p w:rsidR="003C35BC" w:rsidRDefault="003C35BC" w:rsidP="00917C2D">
            <w:pPr>
              <w:pStyle w:val="Tabletext"/>
              <w:jc w:val="center"/>
              <w:rPr>
                <w:lang w:val="fr-CH"/>
              </w:rPr>
            </w:pPr>
            <w:r>
              <w:rPr>
                <w:lang w:val="fr-CH"/>
              </w:rPr>
              <w:t>–0,5</w:t>
            </w:r>
          </w:p>
        </w:tc>
      </w:tr>
      <w:tr w:rsidR="003C35BC" w:rsidTr="005D7019">
        <w:trPr>
          <w:cantSplit/>
        </w:trPr>
        <w:tc>
          <w:tcPr>
            <w:tcW w:w="4531" w:type="dxa"/>
            <w:tcBorders>
              <w:top w:val="single" w:sz="4" w:space="0" w:color="auto"/>
              <w:left w:val="single" w:sz="4" w:space="0" w:color="auto"/>
              <w:bottom w:val="single" w:sz="4" w:space="0" w:color="auto"/>
              <w:right w:val="single" w:sz="4" w:space="0" w:color="auto"/>
            </w:tcBorders>
            <w:vAlign w:val="bottom"/>
            <w:hideMark/>
          </w:tcPr>
          <w:p w:rsidR="003C35BC" w:rsidRDefault="003C35BC" w:rsidP="00917C2D">
            <w:pPr>
              <w:pStyle w:val="Tabletext"/>
              <w:rPr>
                <w:lang w:val="fr-CH"/>
              </w:rPr>
            </w:pPr>
            <w:r>
              <w:rPr>
                <w:lang w:val="fr-CH"/>
              </w:rPr>
              <w:t xml:space="preserve">Valeur moyenne du rapport </w:t>
            </w:r>
            <w:r>
              <w:rPr>
                <w:i/>
                <w:iCs/>
                <w:lang w:val="fr-CH"/>
              </w:rPr>
              <w:t>E</w:t>
            </w:r>
            <w:r>
              <w:rPr>
                <w:i/>
                <w:iCs/>
                <w:vertAlign w:val="subscript"/>
                <w:lang w:val="fr-CH"/>
              </w:rPr>
              <w:t>b</w:t>
            </w:r>
            <w:r>
              <w:rPr>
                <w:lang w:val="fr-CH"/>
              </w:rPr>
              <w:t>/</w:t>
            </w:r>
            <w:r>
              <w:rPr>
                <w:i/>
                <w:iCs/>
                <w:lang w:val="fr-CH"/>
              </w:rPr>
              <w:t>N</w:t>
            </w:r>
            <w:r>
              <w:rPr>
                <w:vertAlign w:val="subscript"/>
              </w:rPr>
              <w:t>0</w:t>
            </w:r>
            <w:r>
              <w:rPr>
                <w:lang w:val="fr-CH"/>
              </w:rPr>
              <w:t xml:space="preserve"> du récepteur (dB)</w:t>
            </w:r>
          </w:p>
        </w:tc>
        <w:tc>
          <w:tcPr>
            <w:tcW w:w="1874" w:type="dxa"/>
            <w:tcBorders>
              <w:top w:val="single" w:sz="4" w:space="0" w:color="auto"/>
              <w:left w:val="single" w:sz="4" w:space="0" w:color="auto"/>
              <w:bottom w:val="single" w:sz="4" w:space="0" w:color="auto"/>
              <w:right w:val="single" w:sz="4" w:space="0" w:color="auto"/>
            </w:tcBorders>
            <w:vAlign w:val="center"/>
            <w:hideMark/>
          </w:tcPr>
          <w:p w:rsidR="003C35BC" w:rsidRDefault="003C35BC">
            <w:pPr>
              <w:pStyle w:val="Tabletext"/>
              <w:jc w:val="center"/>
              <w:rPr>
                <w:lang w:val="fr-CH"/>
              </w:rPr>
            </w:pPr>
            <w:r>
              <w:rPr>
                <w:lang w:val="fr-CH"/>
              </w:rPr>
              <w:t>18,9</w:t>
            </w:r>
          </w:p>
        </w:tc>
        <w:tc>
          <w:tcPr>
            <w:tcW w:w="1238" w:type="dxa"/>
            <w:gridSpan w:val="2"/>
            <w:tcBorders>
              <w:top w:val="single" w:sz="4" w:space="0" w:color="auto"/>
              <w:left w:val="single" w:sz="4" w:space="0" w:color="auto"/>
              <w:bottom w:val="single" w:sz="4" w:space="0" w:color="auto"/>
              <w:right w:val="single" w:sz="4" w:space="0" w:color="auto"/>
            </w:tcBorders>
            <w:vAlign w:val="center"/>
            <w:hideMark/>
          </w:tcPr>
          <w:p w:rsidR="003C35BC" w:rsidRDefault="003C35BC">
            <w:pPr>
              <w:pStyle w:val="Tabletext"/>
              <w:jc w:val="center"/>
              <w:rPr>
                <w:lang w:val="fr-CH"/>
              </w:rPr>
            </w:pPr>
            <w:r>
              <w:rPr>
                <w:lang w:val="fr-CH"/>
              </w:rPr>
              <w:t>17,2</w:t>
            </w:r>
          </w:p>
        </w:tc>
        <w:tc>
          <w:tcPr>
            <w:tcW w:w="1996" w:type="dxa"/>
            <w:gridSpan w:val="2"/>
            <w:tcBorders>
              <w:top w:val="single" w:sz="4" w:space="0" w:color="auto"/>
              <w:left w:val="single" w:sz="4" w:space="0" w:color="auto"/>
              <w:bottom w:val="single" w:sz="4" w:space="0" w:color="auto"/>
              <w:right w:val="single" w:sz="4" w:space="0" w:color="auto"/>
            </w:tcBorders>
            <w:vAlign w:val="center"/>
          </w:tcPr>
          <w:p w:rsidR="003C35BC" w:rsidRPr="00882D92" w:rsidRDefault="003C35BC">
            <w:pPr>
              <w:pStyle w:val="Tabletext"/>
              <w:jc w:val="center"/>
              <w:rPr>
                <w:lang w:val="en-US"/>
              </w:rPr>
            </w:pPr>
            <w:r w:rsidRPr="00882D92">
              <w:rPr>
                <w:lang w:val="en-US"/>
              </w:rPr>
              <w:t>14</w:t>
            </w:r>
            <w:r>
              <w:rPr>
                <w:lang w:val="en-US"/>
              </w:rPr>
              <w:t>,</w:t>
            </w:r>
            <w:r w:rsidRPr="00882D92">
              <w:rPr>
                <w:lang w:val="en-US"/>
              </w:rPr>
              <w:t>8</w:t>
            </w:r>
          </w:p>
        </w:tc>
      </w:tr>
      <w:tr w:rsidR="003C35BC" w:rsidTr="005D7019">
        <w:trPr>
          <w:cantSplit/>
        </w:trPr>
        <w:tc>
          <w:tcPr>
            <w:tcW w:w="4531" w:type="dxa"/>
            <w:tcBorders>
              <w:top w:val="single" w:sz="4" w:space="0" w:color="auto"/>
              <w:left w:val="single" w:sz="4" w:space="0" w:color="auto"/>
              <w:bottom w:val="single" w:sz="4" w:space="0" w:color="auto"/>
              <w:right w:val="single" w:sz="4" w:space="0" w:color="auto"/>
            </w:tcBorders>
            <w:vAlign w:val="bottom"/>
            <w:hideMark/>
          </w:tcPr>
          <w:p w:rsidR="003C35BC" w:rsidRDefault="003C35BC" w:rsidP="00917C2D">
            <w:pPr>
              <w:pStyle w:val="Tabletext"/>
              <w:jc w:val="left"/>
              <w:rPr>
                <w:lang w:val="fr-CH"/>
              </w:rPr>
            </w:pPr>
            <w:r>
              <w:rPr>
                <w:lang w:val="fr-CH"/>
              </w:rPr>
              <w:t xml:space="preserve">Valeur théorique du rapport </w:t>
            </w:r>
            <w:r>
              <w:rPr>
                <w:i/>
                <w:iCs/>
                <w:lang w:val="fr-CH"/>
              </w:rPr>
              <w:t>E</w:t>
            </w:r>
            <w:r>
              <w:rPr>
                <w:i/>
                <w:iCs/>
                <w:vertAlign w:val="subscript"/>
                <w:lang w:val="fr-CH"/>
              </w:rPr>
              <w:t>b</w:t>
            </w:r>
            <w:r>
              <w:rPr>
                <w:lang w:val="fr-CH"/>
              </w:rPr>
              <w:t>/</w:t>
            </w:r>
            <w:r>
              <w:rPr>
                <w:i/>
                <w:iCs/>
                <w:lang w:val="fr-CH"/>
              </w:rPr>
              <w:t>N</w:t>
            </w:r>
            <w:r>
              <w:rPr>
                <w:vertAlign w:val="subscript"/>
              </w:rPr>
              <w:t>0</w:t>
            </w:r>
            <w:r>
              <w:rPr>
                <w:sz w:val="26"/>
                <w:vertAlign w:val="subscript"/>
              </w:rPr>
              <w:br/>
            </w:r>
            <w:r>
              <w:rPr>
                <w:lang w:val="fr-CH"/>
              </w:rPr>
              <w:t xml:space="preserve">(TEB </w:t>
            </w:r>
            <w:r>
              <w:rPr>
                <w:rFonts w:ascii="Symbol" w:hAnsi="Symbol"/>
                <w:lang w:val="fr-CH"/>
              </w:rPr>
              <w:t></w:t>
            </w:r>
            <w:r>
              <w:rPr>
                <w:lang w:val="fr-CH"/>
              </w:rPr>
              <w:t xml:space="preserve"> 1 </w:t>
            </w:r>
            <w:r>
              <w:rPr>
                <w:rFonts w:ascii="Symbol" w:hAnsi="Symbol"/>
                <w:lang w:val="fr-CH"/>
              </w:rPr>
              <w:t></w:t>
            </w:r>
            <w:r>
              <w:rPr>
                <w:lang w:val="fr-CH"/>
              </w:rPr>
              <w:t xml:space="preserve"> 10</w:t>
            </w:r>
            <w:r>
              <w:rPr>
                <w:vertAlign w:val="superscript"/>
                <w:lang w:val="fr-CH"/>
              </w:rPr>
              <w:sym w:font="Symbol" w:char="F02D"/>
            </w:r>
            <w:r>
              <w:rPr>
                <w:vertAlign w:val="superscript"/>
                <w:lang w:val="fr-CH"/>
              </w:rPr>
              <w:t>6</w:t>
            </w:r>
            <w:r>
              <w:rPr>
                <w:lang w:val="fr-CH"/>
              </w:rPr>
              <w:t>) (dB)</w:t>
            </w:r>
          </w:p>
        </w:tc>
        <w:tc>
          <w:tcPr>
            <w:tcW w:w="5108" w:type="dxa"/>
            <w:gridSpan w:val="5"/>
            <w:tcBorders>
              <w:top w:val="single" w:sz="4" w:space="0" w:color="auto"/>
              <w:left w:val="single" w:sz="4" w:space="0" w:color="auto"/>
              <w:bottom w:val="single" w:sz="4" w:space="0" w:color="auto"/>
              <w:right w:val="single" w:sz="4" w:space="0" w:color="auto"/>
            </w:tcBorders>
            <w:vAlign w:val="center"/>
            <w:hideMark/>
          </w:tcPr>
          <w:p w:rsidR="003C35BC" w:rsidRDefault="003C35BC" w:rsidP="00917C2D">
            <w:pPr>
              <w:pStyle w:val="Tabletext"/>
              <w:jc w:val="center"/>
              <w:rPr>
                <w:lang w:val="fr-CH"/>
              </w:rPr>
            </w:pPr>
            <w:r>
              <w:rPr>
                <w:lang w:val="fr-CH"/>
              </w:rPr>
              <w:t>10,5</w:t>
            </w:r>
          </w:p>
        </w:tc>
      </w:tr>
      <w:tr w:rsidR="003C35BC" w:rsidTr="005D7019">
        <w:trPr>
          <w:cantSplit/>
        </w:trPr>
        <w:tc>
          <w:tcPr>
            <w:tcW w:w="4531" w:type="dxa"/>
            <w:tcBorders>
              <w:top w:val="single" w:sz="4" w:space="0" w:color="auto"/>
              <w:left w:val="single" w:sz="4" w:space="0" w:color="auto"/>
              <w:bottom w:val="single" w:sz="4" w:space="0" w:color="auto"/>
              <w:right w:val="single" w:sz="4" w:space="0" w:color="auto"/>
            </w:tcBorders>
            <w:vAlign w:val="bottom"/>
            <w:hideMark/>
          </w:tcPr>
          <w:p w:rsidR="003C35BC" w:rsidRDefault="003C35BC" w:rsidP="00917C2D">
            <w:pPr>
              <w:pStyle w:val="Tabletext"/>
              <w:jc w:val="left"/>
              <w:rPr>
                <w:lang w:val="fr-CH"/>
              </w:rPr>
            </w:pPr>
            <w:r>
              <w:rPr>
                <w:lang w:val="fr-CH"/>
              </w:rPr>
              <w:t xml:space="preserve">Valeur requise du rapport </w:t>
            </w:r>
            <w:r>
              <w:rPr>
                <w:i/>
                <w:iCs/>
                <w:lang w:val="fr-CH"/>
              </w:rPr>
              <w:t>E</w:t>
            </w:r>
            <w:r>
              <w:rPr>
                <w:i/>
                <w:iCs/>
                <w:vertAlign w:val="subscript"/>
                <w:lang w:val="fr-CH"/>
              </w:rPr>
              <w:t>b</w:t>
            </w:r>
            <w:r>
              <w:rPr>
                <w:lang w:val="fr-CH"/>
              </w:rPr>
              <w:t>/</w:t>
            </w:r>
            <w:r>
              <w:rPr>
                <w:i/>
                <w:iCs/>
                <w:lang w:val="fr-CH"/>
              </w:rPr>
              <w:t>N</w:t>
            </w:r>
            <w:r>
              <w:rPr>
                <w:vertAlign w:val="subscript"/>
              </w:rPr>
              <w:t>0</w:t>
            </w:r>
            <w:r>
              <w:rPr>
                <w:lang w:val="fr-CH"/>
              </w:rPr>
              <w:t xml:space="preserve"> </w:t>
            </w:r>
            <w:r w:rsidR="00A73675">
              <w:rPr>
                <w:lang w:val="fr-CH"/>
              </w:rPr>
              <w:br/>
            </w:r>
            <w:r>
              <w:rPr>
                <w:lang w:val="fr-CH"/>
              </w:rPr>
              <w:t xml:space="preserve">(TEB </w:t>
            </w:r>
            <w:r>
              <w:rPr>
                <w:rFonts w:ascii="Symbol" w:hAnsi="Symbol"/>
                <w:lang w:val="fr-CH"/>
              </w:rPr>
              <w:t></w:t>
            </w:r>
            <w:r>
              <w:rPr>
                <w:lang w:val="fr-CH"/>
              </w:rPr>
              <w:t xml:space="preserve"> 1 </w:t>
            </w:r>
            <w:r>
              <w:rPr>
                <w:rFonts w:ascii="Symbol" w:hAnsi="Symbol"/>
                <w:lang w:val="fr-CH"/>
              </w:rPr>
              <w:t></w:t>
            </w:r>
            <w:r>
              <w:rPr>
                <w:lang w:val="fr-CH"/>
              </w:rPr>
              <w:t xml:space="preserve"> 10</w:t>
            </w:r>
            <w:r>
              <w:rPr>
                <w:vertAlign w:val="superscript"/>
                <w:lang w:val="fr-CH"/>
              </w:rPr>
              <w:sym w:font="Symbol" w:char="F02D"/>
            </w:r>
            <w:r>
              <w:rPr>
                <w:vertAlign w:val="superscript"/>
                <w:lang w:val="fr-CH"/>
              </w:rPr>
              <w:t>6</w:t>
            </w:r>
            <w:r>
              <w:rPr>
                <w:lang w:val="fr-CH"/>
              </w:rPr>
              <w:t>) (dB)</w:t>
            </w:r>
          </w:p>
        </w:tc>
        <w:tc>
          <w:tcPr>
            <w:tcW w:w="5108" w:type="dxa"/>
            <w:gridSpan w:val="5"/>
            <w:tcBorders>
              <w:top w:val="single" w:sz="4" w:space="0" w:color="auto"/>
              <w:left w:val="single" w:sz="4" w:space="0" w:color="auto"/>
              <w:bottom w:val="single" w:sz="4" w:space="0" w:color="auto"/>
              <w:right w:val="single" w:sz="4" w:space="0" w:color="auto"/>
            </w:tcBorders>
            <w:vAlign w:val="center"/>
            <w:hideMark/>
          </w:tcPr>
          <w:p w:rsidR="003C35BC" w:rsidRDefault="003C35BC" w:rsidP="00917C2D">
            <w:pPr>
              <w:pStyle w:val="Tabletext"/>
              <w:jc w:val="center"/>
              <w:rPr>
                <w:lang w:val="fr-CH"/>
              </w:rPr>
            </w:pPr>
            <w:r>
              <w:rPr>
                <w:lang w:val="fr-CH"/>
              </w:rPr>
              <w:t>11,5</w:t>
            </w:r>
          </w:p>
        </w:tc>
      </w:tr>
      <w:tr w:rsidR="00142A37" w:rsidTr="005D7019">
        <w:trPr>
          <w:cantSplit/>
        </w:trPr>
        <w:tc>
          <w:tcPr>
            <w:tcW w:w="4531" w:type="dxa"/>
            <w:tcBorders>
              <w:top w:val="single" w:sz="4" w:space="0" w:color="auto"/>
              <w:left w:val="single" w:sz="4" w:space="0" w:color="auto"/>
              <w:bottom w:val="single" w:sz="4" w:space="0" w:color="auto"/>
              <w:right w:val="single" w:sz="4" w:space="0" w:color="auto"/>
            </w:tcBorders>
            <w:vAlign w:val="bottom"/>
            <w:hideMark/>
          </w:tcPr>
          <w:p w:rsidR="00142A37" w:rsidRPr="00A73675" w:rsidRDefault="00142A37" w:rsidP="003F6403">
            <w:pPr>
              <w:pStyle w:val="Tabletext"/>
              <w:rPr>
                <w:lang w:val="fr-CH"/>
              </w:rPr>
            </w:pPr>
            <w:r>
              <w:rPr>
                <w:lang w:val="fr-CH"/>
              </w:rPr>
              <w:t>Marge (dB)</w:t>
            </w:r>
          </w:p>
        </w:tc>
        <w:tc>
          <w:tcPr>
            <w:tcW w:w="2335" w:type="dxa"/>
            <w:gridSpan w:val="2"/>
            <w:tcBorders>
              <w:top w:val="single" w:sz="4" w:space="0" w:color="auto"/>
              <w:left w:val="single" w:sz="4" w:space="0" w:color="auto"/>
              <w:bottom w:val="single" w:sz="4" w:space="0" w:color="auto"/>
              <w:right w:val="single" w:sz="4" w:space="0" w:color="auto"/>
            </w:tcBorders>
            <w:vAlign w:val="bottom"/>
            <w:hideMark/>
          </w:tcPr>
          <w:p w:rsidR="00142A37" w:rsidRDefault="00142A37" w:rsidP="003F6403">
            <w:pPr>
              <w:pStyle w:val="Tabletext"/>
              <w:jc w:val="center"/>
              <w:rPr>
                <w:lang w:val="fr-CH"/>
              </w:rPr>
            </w:pPr>
            <w:r>
              <w:rPr>
                <w:lang w:val="fr-CH"/>
              </w:rPr>
              <w:t>7,4</w:t>
            </w:r>
          </w:p>
        </w:tc>
        <w:tc>
          <w:tcPr>
            <w:tcW w:w="1247" w:type="dxa"/>
            <w:gridSpan w:val="2"/>
            <w:tcBorders>
              <w:top w:val="single" w:sz="4" w:space="0" w:color="auto"/>
              <w:left w:val="single" w:sz="4" w:space="0" w:color="auto"/>
              <w:bottom w:val="single" w:sz="4" w:space="0" w:color="auto"/>
              <w:right w:val="single" w:sz="4" w:space="0" w:color="auto"/>
            </w:tcBorders>
            <w:vAlign w:val="bottom"/>
            <w:hideMark/>
          </w:tcPr>
          <w:p w:rsidR="00142A37" w:rsidRDefault="00142A37" w:rsidP="003F6403">
            <w:pPr>
              <w:pStyle w:val="Tabletext"/>
              <w:jc w:val="center"/>
              <w:rPr>
                <w:lang w:val="fr-CH"/>
              </w:rPr>
            </w:pPr>
            <w:r>
              <w:rPr>
                <w:lang w:val="fr-CH"/>
              </w:rPr>
              <w:t>5,7</w:t>
            </w:r>
          </w:p>
        </w:tc>
        <w:tc>
          <w:tcPr>
            <w:tcW w:w="1526" w:type="dxa"/>
            <w:tcBorders>
              <w:top w:val="single" w:sz="4" w:space="0" w:color="auto"/>
              <w:left w:val="single" w:sz="4" w:space="0" w:color="auto"/>
              <w:bottom w:val="single" w:sz="4" w:space="0" w:color="auto"/>
              <w:right w:val="single" w:sz="4" w:space="0" w:color="auto"/>
            </w:tcBorders>
          </w:tcPr>
          <w:p w:rsidR="00142A37" w:rsidRPr="00A73675" w:rsidRDefault="00142A37" w:rsidP="003F6403">
            <w:pPr>
              <w:pStyle w:val="Tabletext"/>
              <w:jc w:val="center"/>
              <w:rPr>
                <w:lang w:val="fr-CH"/>
              </w:rPr>
            </w:pPr>
            <w:r w:rsidRPr="00A73675">
              <w:rPr>
                <w:lang w:val="fr-CH"/>
              </w:rPr>
              <w:t>3,3</w:t>
            </w:r>
          </w:p>
        </w:tc>
      </w:tr>
      <w:tr w:rsidR="00F444C2" w:rsidRPr="008606E7" w:rsidTr="00C5543B">
        <w:trPr>
          <w:cantSplit/>
        </w:trPr>
        <w:tc>
          <w:tcPr>
            <w:tcW w:w="9639" w:type="dxa"/>
            <w:gridSpan w:val="6"/>
            <w:tcBorders>
              <w:top w:val="single" w:sz="4" w:space="0" w:color="auto"/>
              <w:left w:val="nil"/>
              <w:bottom w:val="nil"/>
              <w:right w:val="nil"/>
            </w:tcBorders>
            <w:vAlign w:val="bottom"/>
          </w:tcPr>
          <w:p w:rsidR="00F444C2" w:rsidRPr="005D7019" w:rsidRDefault="00F444C2" w:rsidP="00E4030D">
            <w:pPr>
              <w:pStyle w:val="Tabletext"/>
              <w:ind w:left="284" w:hanging="284"/>
              <w:rPr>
                <w:lang w:val="fr-CH"/>
              </w:rPr>
            </w:pPr>
            <w:r w:rsidRPr="005D7019">
              <w:rPr>
                <w:position w:val="6"/>
                <w:vertAlign w:val="superscript"/>
                <w:lang w:val="fr-CH"/>
              </w:rPr>
              <w:t>(1)</w:t>
            </w:r>
            <w:r w:rsidRPr="005D7019">
              <w:rPr>
                <w:position w:val="6"/>
                <w:lang w:val="fr-CH"/>
              </w:rPr>
              <w:tab/>
            </w:r>
            <w:r w:rsidRPr="005D7019">
              <w:rPr>
                <w:lang w:val="fr-CH"/>
              </w:rPr>
              <w:t xml:space="preserve">HEO </w:t>
            </w:r>
            <w:r w:rsidR="008606E7" w:rsidRPr="005D7019">
              <w:rPr>
                <w:lang w:val="fr-CH"/>
              </w:rPr>
              <w:t xml:space="preserve">avec </w:t>
            </w:r>
            <w:r w:rsidR="008606E7" w:rsidRPr="00CC5649">
              <w:rPr>
                <w:lang w:val="fr-CH"/>
              </w:rPr>
              <w:t>un apogée de 300 000 km</w:t>
            </w:r>
            <w:r w:rsidR="008606E7">
              <w:rPr>
                <w:lang w:val="fr-CH"/>
              </w:rPr>
              <w:t xml:space="preserve">, </w:t>
            </w:r>
            <w:r w:rsidR="008606E7" w:rsidRPr="00CC5649">
              <w:rPr>
                <w:lang w:val="fr-CH"/>
              </w:rPr>
              <w:t>un périgée de 500 km</w:t>
            </w:r>
            <w:r w:rsidR="00B512F5">
              <w:rPr>
                <w:lang w:val="fr-CH"/>
              </w:rPr>
              <w:t xml:space="preserve"> et</w:t>
            </w:r>
            <w:r w:rsidR="008606E7">
              <w:rPr>
                <w:lang w:val="fr-CH"/>
              </w:rPr>
              <w:t xml:space="preserve"> une distance minimale pour la transmission de</w:t>
            </w:r>
            <w:r w:rsidR="00B512F5">
              <w:rPr>
                <w:lang w:val="fr-CH"/>
              </w:rPr>
              <w:t>s</w:t>
            </w:r>
            <w:r w:rsidR="00B3421D">
              <w:rPr>
                <w:lang w:val="fr-CH"/>
              </w:rPr>
              <w:t xml:space="preserve"> données de</w:t>
            </w:r>
            <w:r w:rsidR="008606E7" w:rsidRPr="00CC5649">
              <w:rPr>
                <w:lang w:val="fr-CH"/>
              </w:rPr>
              <w:t xml:space="preserve"> 15 000 km</w:t>
            </w:r>
            <w:r w:rsidR="008606E7">
              <w:rPr>
                <w:lang w:val="fr-CH"/>
              </w:rPr>
              <w:t xml:space="preserve">. </w:t>
            </w:r>
          </w:p>
          <w:p w:rsidR="00F444C2" w:rsidRPr="005D7019" w:rsidRDefault="00F444C2" w:rsidP="003F6403">
            <w:pPr>
              <w:pStyle w:val="Tabletext"/>
              <w:rPr>
                <w:lang w:val="fr-CH"/>
              </w:rPr>
            </w:pPr>
            <w:r w:rsidRPr="005D7019">
              <w:rPr>
                <w:position w:val="6"/>
                <w:vertAlign w:val="superscript"/>
                <w:lang w:val="fr-CH"/>
              </w:rPr>
              <w:t>(2)</w:t>
            </w:r>
            <w:r w:rsidRPr="005D7019">
              <w:rPr>
                <w:position w:val="6"/>
                <w:lang w:val="fr-CH"/>
              </w:rPr>
              <w:tab/>
            </w:r>
            <w:r w:rsidR="008606E7" w:rsidRPr="005D7019">
              <w:rPr>
                <w:lang w:val="fr-CH"/>
              </w:rPr>
              <w:t>Pour la</w:t>
            </w:r>
            <w:r w:rsidR="008606E7">
              <w:rPr>
                <w:lang w:val="fr-CH"/>
              </w:rPr>
              <w:t xml:space="preserve"> distance minimale </w:t>
            </w:r>
            <w:r w:rsidR="003F6403">
              <w:rPr>
                <w:lang w:val="fr-CH"/>
              </w:rPr>
              <w:t>de</w:t>
            </w:r>
            <w:r w:rsidR="008606E7">
              <w:rPr>
                <w:lang w:val="fr-CH"/>
              </w:rPr>
              <w:t xml:space="preserve"> transmission d</w:t>
            </w:r>
            <w:r w:rsidR="00B512F5">
              <w:rPr>
                <w:lang w:val="fr-CH"/>
              </w:rPr>
              <w:t>es</w:t>
            </w:r>
            <w:r w:rsidR="008606E7">
              <w:rPr>
                <w:lang w:val="fr-CH"/>
              </w:rPr>
              <w:t xml:space="preserve"> données</w:t>
            </w:r>
            <w:r w:rsidRPr="005D7019">
              <w:rPr>
                <w:lang w:val="fr-CH"/>
              </w:rPr>
              <w:t>.</w:t>
            </w:r>
          </w:p>
          <w:p w:rsidR="00F444C2" w:rsidRPr="005D7019" w:rsidRDefault="00F444C2" w:rsidP="00E4030D">
            <w:pPr>
              <w:pStyle w:val="Tabletext"/>
              <w:ind w:left="284" w:hanging="284"/>
              <w:rPr>
                <w:i/>
                <w:snapToGrid w:val="0"/>
                <w:lang w:val="fr-CH"/>
              </w:rPr>
            </w:pPr>
            <w:r w:rsidRPr="005D7019">
              <w:rPr>
                <w:vertAlign w:val="superscript"/>
                <w:lang w:val="fr-CH"/>
              </w:rPr>
              <w:t>(3)</w:t>
            </w:r>
            <w:r w:rsidRPr="005D7019">
              <w:rPr>
                <w:lang w:val="fr-CH"/>
              </w:rPr>
              <w:tab/>
            </w:r>
            <w:r w:rsidR="008606E7" w:rsidRPr="005D7019">
              <w:rPr>
                <w:lang w:val="fr-CH"/>
              </w:rPr>
              <w:t>Somme de</w:t>
            </w:r>
            <w:r w:rsidRPr="005D7019">
              <w:rPr>
                <w:lang w:val="fr-CH"/>
              </w:rPr>
              <w:t xml:space="preserve"> </w:t>
            </w:r>
            <w:r w:rsidR="008606E7" w:rsidRPr="005D7019">
              <w:rPr>
                <w:lang w:val="fr-CH"/>
              </w:rPr>
              <w:t xml:space="preserve">la </w:t>
            </w:r>
            <w:r w:rsidR="008606E7">
              <w:rPr>
                <w:lang w:val="fr-CH"/>
              </w:rPr>
              <w:t xml:space="preserve">tolérance </w:t>
            </w:r>
            <w:r w:rsidR="003F6403">
              <w:rPr>
                <w:lang w:val="fr-CH"/>
              </w:rPr>
              <w:t>en</w:t>
            </w:r>
            <w:r w:rsidR="008606E7">
              <w:rPr>
                <w:lang w:val="fr-CH"/>
              </w:rPr>
              <w:t xml:space="preserve"> bordure de faisceau </w:t>
            </w:r>
            <w:r w:rsidRPr="005D7019">
              <w:rPr>
                <w:lang w:val="fr-CH"/>
              </w:rPr>
              <w:t xml:space="preserve">(dB) </w:t>
            </w:r>
            <w:r w:rsidR="008606E7">
              <w:rPr>
                <w:lang w:val="fr-CH"/>
              </w:rPr>
              <w:t>et de l</w:t>
            </w:r>
            <w:r w:rsidR="00A73675">
              <w:rPr>
                <w:lang w:val="fr-CH"/>
              </w:rPr>
              <w:t>'</w:t>
            </w:r>
            <w:r w:rsidR="008606E7">
              <w:rPr>
                <w:lang w:val="fr-CH"/>
              </w:rPr>
              <w:t>a</w:t>
            </w:r>
            <w:r w:rsidR="008606E7" w:rsidRPr="00CC5649">
              <w:rPr>
                <w:lang w:val="fr-CH"/>
              </w:rPr>
              <w:t xml:space="preserve">ffaiblissement </w:t>
            </w:r>
            <w:r w:rsidR="00B512F5">
              <w:rPr>
                <w:lang w:val="fr-CH"/>
              </w:rPr>
              <w:t>dû aux gaz de l</w:t>
            </w:r>
            <w:r w:rsidR="00A73675">
              <w:rPr>
                <w:lang w:val="fr-CH"/>
              </w:rPr>
              <w:t>'atmosphère et l'</w:t>
            </w:r>
            <w:r w:rsidR="00B512F5">
              <w:rPr>
                <w:lang w:val="fr-CH"/>
              </w:rPr>
              <w:t>affaiblissement</w:t>
            </w:r>
            <w:r w:rsidR="00B512F5" w:rsidRPr="00CC5649">
              <w:rPr>
                <w:lang w:val="fr-CH"/>
              </w:rPr>
              <w:t xml:space="preserve"> </w:t>
            </w:r>
            <w:r w:rsidR="008606E7" w:rsidRPr="00CC5649">
              <w:rPr>
                <w:lang w:val="fr-CH"/>
              </w:rPr>
              <w:t>dû à la pluie</w:t>
            </w:r>
            <w:r w:rsidRPr="005D7019">
              <w:rPr>
                <w:lang w:val="fr-CH"/>
              </w:rPr>
              <w:t xml:space="preserve"> (dB)</w:t>
            </w:r>
            <w:r w:rsidR="008606E7">
              <w:rPr>
                <w:lang w:val="fr-CH"/>
              </w:rPr>
              <w:t>.</w:t>
            </w:r>
          </w:p>
        </w:tc>
      </w:tr>
    </w:tbl>
    <w:p w:rsidR="00D869A6" w:rsidRDefault="00D869A6" w:rsidP="003F6403">
      <w:pPr>
        <w:pStyle w:val="Tablefin"/>
        <w:rPr>
          <w:sz w:val="2"/>
          <w:lang w:val="fr-CH"/>
        </w:rPr>
      </w:pPr>
    </w:p>
    <w:p w:rsidR="00D869A6" w:rsidRDefault="00D869A6" w:rsidP="003F6403">
      <w:pPr>
        <w:pStyle w:val="Heading1"/>
        <w:rPr>
          <w:lang w:val="fr-CH"/>
        </w:rPr>
      </w:pPr>
      <w:r>
        <w:rPr>
          <w:lang w:val="fr-CH"/>
        </w:rPr>
        <w:t>3</w:t>
      </w:r>
      <w:r>
        <w:rPr>
          <w:lang w:val="fr-CH"/>
        </w:rPr>
        <w:tab/>
        <w:t>Caractéristiques des systèmes du service fixe dans la bande 14,8</w:t>
      </w:r>
      <w:r>
        <w:rPr>
          <w:lang w:val="fr-CH"/>
        </w:rPr>
        <w:noBreakHyphen/>
        <w:t xml:space="preserve">15,35 GHz </w:t>
      </w:r>
    </w:p>
    <w:p w:rsidR="00D869A6" w:rsidRDefault="00D869A6" w:rsidP="003F6403">
      <w:pPr>
        <w:rPr>
          <w:snapToGrid w:val="0"/>
          <w:lang w:val="fr-CH"/>
        </w:rPr>
      </w:pPr>
      <w:r>
        <w:rPr>
          <w:snapToGrid w:val="0"/>
          <w:lang w:val="fr-CH"/>
        </w:rPr>
        <w:t>On trouvera dans le Tableau 4 des exemples de caractéristiques types de systèmes du service fixe fonctionnant dans la bande des 14,8-15,35 GHz. Les valeurs des paramètres des systèmes A et B sont tirées de la Recommandation UIT-R F.758. Les Systèmes C et D sont représentatifs de nombreux autres systèmes du service fixe actuellement déployés.</w:t>
      </w:r>
    </w:p>
    <w:p w:rsidR="00D869A6" w:rsidRDefault="00D869A6" w:rsidP="00E4030D">
      <w:pPr>
        <w:pStyle w:val="TableNo"/>
        <w:rPr>
          <w:snapToGrid w:val="0"/>
          <w:lang w:val="fr-CH"/>
        </w:rPr>
      </w:pPr>
      <w:r>
        <w:rPr>
          <w:snapToGrid w:val="0"/>
          <w:lang w:val="fr-CH"/>
        </w:rPr>
        <w:t>TABLEAU 4</w:t>
      </w:r>
    </w:p>
    <w:p w:rsidR="00D869A6" w:rsidRDefault="00D869A6" w:rsidP="003F6403">
      <w:pPr>
        <w:pStyle w:val="Tabletitle"/>
        <w:rPr>
          <w:snapToGrid w:val="0"/>
          <w:lang w:val="fr-CH"/>
        </w:rPr>
      </w:pPr>
      <w:r>
        <w:rPr>
          <w:snapToGrid w:val="0"/>
          <w:lang w:val="fr-CH"/>
        </w:rPr>
        <w:t>Exemples de caractéristiques du service fixe dans la bande 14,8</w:t>
      </w:r>
      <w:r>
        <w:rPr>
          <w:snapToGrid w:val="0"/>
          <w:lang w:val="fr-CH"/>
        </w:rPr>
        <w:noBreakHyphen/>
        <w:t>15,35 GHz</w:t>
      </w:r>
    </w:p>
    <w:tbl>
      <w:tblPr>
        <w:tblW w:w="963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4133"/>
        <w:gridCol w:w="1491"/>
        <w:gridCol w:w="1361"/>
        <w:gridCol w:w="1361"/>
        <w:gridCol w:w="1293"/>
      </w:tblGrid>
      <w:tr w:rsidR="00D869A6" w:rsidTr="00C5543B">
        <w:trPr>
          <w:cantSplit/>
        </w:trPr>
        <w:tc>
          <w:tcPr>
            <w:tcW w:w="4133" w:type="dxa"/>
            <w:tcBorders>
              <w:top w:val="nil"/>
              <w:left w:val="nil"/>
              <w:bottom w:val="single" w:sz="6" w:space="0" w:color="000000"/>
              <w:right w:val="nil"/>
            </w:tcBorders>
          </w:tcPr>
          <w:p w:rsidR="00D869A6" w:rsidRDefault="00D869A6" w:rsidP="003F6403">
            <w:pPr>
              <w:pStyle w:val="Tablehead"/>
              <w:framePr w:hSpace="181" w:wrap="notBeside" w:vAnchor="text" w:hAnchor="text" w:xAlign="center" w:y="1"/>
              <w:rPr>
                <w:snapToGrid w:val="0"/>
                <w:lang w:val="fr-CH"/>
              </w:rPr>
            </w:pPr>
          </w:p>
        </w:tc>
        <w:tc>
          <w:tcPr>
            <w:tcW w:w="5506" w:type="dxa"/>
            <w:gridSpan w:val="4"/>
            <w:tcBorders>
              <w:top w:val="single" w:sz="4" w:space="0" w:color="auto"/>
              <w:left w:val="single" w:sz="4" w:space="0" w:color="auto"/>
              <w:bottom w:val="single" w:sz="6" w:space="0" w:color="000000"/>
              <w:right w:val="single" w:sz="4" w:space="0" w:color="auto"/>
            </w:tcBorders>
          </w:tcPr>
          <w:p w:rsidR="00D869A6" w:rsidRDefault="00D869A6" w:rsidP="003F6403">
            <w:pPr>
              <w:pStyle w:val="Tablehead"/>
              <w:framePr w:hSpace="181" w:wrap="notBeside" w:vAnchor="text" w:hAnchor="text" w:xAlign="center" w:y="1"/>
              <w:rPr>
                <w:lang w:val="fr-CH"/>
              </w:rPr>
            </w:pPr>
            <w:r>
              <w:rPr>
                <w:lang w:val="fr-CH"/>
              </w:rPr>
              <w:t>Bande de fréquences 14,8</w:t>
            </w:r>
            <w:r>
              <w:rPr>
                <w:lang w:val="fr-CH"/>
              </w:rPr>
              <w:noBreakHyphen/>
              <w:t>15,35 GHz</w:t>
            </w:r>
          </w:p>
        </w:tc>
      </w:tr>
      <w:tr w:rsidR="00D869A6" w:rsidTr="00C5543B">
        <w:trPr>
          <w:cantSplit/>
        </w:trPr>
        <w:tc>
          <w:tcPr>
            <w:tcW w:w="4133" w:type="dxa"/>
            <w:tcBorders>
              <w:top w:val="nil"/>
              <w:left w:val="single" w:sz="4" w:space="0" w:color="auto"/>
              <w:bottom w:val="single" w:sz="6" w:space="0" w:color="000000"/>
              <w:right w:val="single" w:sz="6" w:space="0" w:color="000000"/>
            </w:tcBorders>
            <w:vAlign w:val="center"/>
          </w:tcPr>
          <w:p w:rsidR="00D869A6" w:rsidRDefault="00D869A6" w:rsidP="003F6403">
            <w:pPr>
              <w:pStyle w:val="Tablehead"/>
              <w:framePr w:hSpace="181" w:wrap="notBeside" w:vAnchor="text" w:hAnchor="text" w:xAlign="center" w:y="1"/>
              <w:rPr>
                <w:lang w:val="fr-CH"/>
              </w:rPr>
            </w:pPr>
            <w:r>
              <w:rPr>
                <w:lang w:val="fr-CH"/>
              </w:rPr>
              <w:t>Modulation</w:t>
            </w:r>
          </w:p>
        </w:tc>
        <w:tc>
          <w:tcPr>
            <w:tcW w:w="1491" w:type="dxa"/>
            <w:tcBorders>
              <w:top w:val="nil"/>
              <w:left w:val="single" w:sz="6" w:space="0" w:color="000000"/>
              <w:bottom w:val="single" w:sz="6" w:space="0" w:color="000000"/>
              <w:right w:val="single" w:sz="6" w:space="0" w:color="000000"/>
            </w:tcBorders>
          </w:tcPr>
          <w:p w:rsidR="00D869A6" w:rsidRDefault="00D869A6" w:rsidP="003F6403">
            <w:pPr>
              <w:pStyle w:val="Tablehead"/>
              <w:framePr w:hSpace="181" w:wrap="notBeside" w:vAnchor="text" w:hAnchor="text" w:xAlign="center" w:y="1"/>
              <w:rPr>
                <w:lang w:val="fr-CH"/>
              </w:rPr>
            </w:pPr>
            <w:r>
              <w:rPr>
                <w:lang w:val="fr-CH"/>
              </w:rPr>
              <w:t>MAQ</w:t>
            </w:r>
            <w:r>
              <w:rPr>
                <w:lang w:val="fr-CH"/>
              </w:rPr>
              <w:noBreakHyphen/>
              <w:t xml:space="preserve">64 </w:t>
            </w:r>
            <w:r>
              <w:rPr>
                <w:lang w:val="fr-CH"/>
              </w:rPr>
              <w:br/>
              <w:t>(A)</w:t>
            </w:r>
          </w:p>
        </w:tc>
        <w:tc>
          <w:tcPr>
            <w:tcW w:w="1361" w:type="dxa"/>
            <w:tcBorders>
              <w:top w:val="nil"/>
              <w:left w:val="single" w:sz="6" w:space="0" w:color="000000"/>
              <w:bottom w:val="single" w:sz="6" w:space="0" w:color="000000"/>
              <w:right w:val="single" w:sz="6" w:space="0" w:color="000000"/>
            </w:tcBorders>
          </w:tcPr>
          <w:p w:rsidR="00D869A6" w:rsidRDefault="00D869A6" w:rsidP="003F6403">
            <w:pPr>
              <w:pStyle w:val="Tablehead"/>
              <w:framePr w:hSpace="181" w:wrap="notBeside" w:vAnchor="text" w:hAnchor="text" w:xAlign="center" w:y="1"/>
              <w:rPr>
                <w:lang w:val="en-US"/>
              </w:rPr>
            </w:pPr>
            <w:r>
              <w:rPr>
                <w:lang w:val="en-US"/>
              </w:rPr>
              <w:t>MDP</w:t>
            </w:r>
            <w:r>
              <w:rPr>
                <w:lang w:val="en-US"/>
              </w:rPr>
              <w:noBreakHyphen/>
              <w:t xml:space="preserve">4 </w:t>
            </w:r>
            <w:r>
              <w:rPr>
                <w:lang w:val="en-US"/>
              </w:rPr>
              <w:br/>
              <w:t>(B)</w:t>
            </w:r>
          </w:p>
        </w:tc>
        <w:tc>
          <w:tcPr>
            <w:tcW w:w="1361" w:type="dxa"/>
            <w:tcBorders>
              <w:top w:val="nil"/>
              <w:left w:val="single" w:sz="6" w:space="0" w:color="000000"/>
              <w:bottom w:val="single" w:sz="6" w:space="0" w:color="000000"/>
              <w:right w:val="nil"/>
            </w:tcBorders>
          </w:tcPr>
          <w:p w:rsidR="00D869A6" w:rsidRDefault="00D869A6" w:rsidP="003F6403">
            <w:pPr>
              <w:pStyle w:val="Tablehead"/>
              <w:framePr w:hSpace="181" w:wrap="notBeside" w:vAnchor="text" w:hAnchor="text" w:xAlign="center" w:y="1"/>
              <w:rPr>
                <w:lang w:val="en-US"/>
              </w:rPr>
            </w:pPr>
            <w:r>
              <w:rPr>
                <w:lang w:val="en-US"/>
              </w:rPr>
              <w:t>MDF</w:t>
            </w:r>
            <w:r>
              <w:rPr>
                <w:lang w:val="en-US"/>
              </w:rPr>
              <w:noBreakHyphen/>
              <w:t xml:space="preserve">4 </w:t>
            </w:r>
            <w:r>
              <w:rPr>
                <w:lang w:val="en-US"/>
              </w:rPr>
              <w:br/>
              <w:t>(C)</w:t>
            </w:r>
          </w:p>
        </w:tc>
        <w:tc>
          <w:tcPr>
            <w:tcW w:w="1293" w:type="dxa"/>
            <w:tcBorders>
              <w:top w:val="nil"/>
              <w:left w:val="single" w:sz="4" w:space="0" w:color="auto"/>
              <w:bottom w:val="single" w:sz="6" w:space="0" w:color="000000"/>
              <w:right w:val="single" w:sz="4" w:space="0" w:color="auto"/>
            </w:tcBorders>
          </w:tcPr>
          <w:p w:rsidR="00D869A6" w:rsidRDefault="00D869A6" w:rsidP="003F6403">
            <w:pPr>
              <w:pStyle w:val="Tablehead"/>
              <w:framePr w:hSpace="181" w:wrap="notBeside" w:vAnchor="text" w:hAnchor="text" w:xAlign="center" w:y="1"/>
              <w:rPr>
                <w:lang w:val="fr-CH"/>
              </w:rPr>
            </w:pPr>
            <w:r>
              <w:rPr>
                <w:lang w:val="fr-CH"/>
              </w:rPr>
              <w:t>MDF</w:t>
            </w:r>
            <w:r>
              <w:rPr>
                <w:lang w:val="fr-CH"/>
              </w:rPr>
              <w:noBreakHyphen/>
              <w:t xml:space="preserve">4 </w:t>
            </w:r>
            <w:r>
              <w:rPr>
                <w:lang w:val="fr-CH"/>
              </w:rPr>
              <w:br/>
              <w:t>(D)</w:t>
            </w:r>
          </w:p>
        </w:tc>
      </w:tr>
      <w:tr w:rsidR="00D869A6" w:rsidTr="00C5543B">
        <w:trPr>
          <w:cantSplit/>
        </w:trPr>
        <w:tc>
          <w:tcPr>
            <w:tcW w:w="4133" w:type="dxa"/>
            <w:tcBorders>
              <w:top w:val="single" w:sz="6" w:space="0" w:color="000000"/>
              <w:left w:val="single" w:sz="4" w:space="0" w:color="auto"/>
              <w:bottom w:val="single" w:sz="6" w:space="0" w:color="000000"/>
              <w:right w:val="single" w:sz="6" w:space="0" w:color="000000"/>
            </w:tcBorders>
          </w:tcPr>
          <w:p w:rsidR="00D869A6" w:rsidRDefault="00D869A6" w:rsidP="003F6403">
            <w:pPr>
              <w:pStyle w:val="Tabletext"/>
              <w:framePr w:hSpace="181" w:wrap="notBeside" w:vAnchor="text" w:hAnchor="text" w:xAlign="center" w:y="1"/>
              <w:jc w:val="left"/>
              <w:rPr>
                <w:lang w:val="fr-CH"/>
              </w:rPr>
            </w:pPr>
            <w:r>
              <w:rPr>
                <w:lang w:val="fr-CH"/>
              </w:rPr>
              <w:t>Capacité (Mbit/s)</w:t>
            </w:r>
          </w:p>
        </w:tc>
        <w:tc>
          <w:tcPr>
            <w:tcW w:w="1491" w:type="dxa"/>
            <w:tcBorders>
              <w:top w:val="single" w:sz="6" w:space="0" w:color="000000"/>
              <w:left w:val="single" w:sz="6" w:space="0" w:color="000000"/>
              <w:bottom w:val="single" w:sz="6" w:space="0" w:color="000000"/>
              <w:right w:val="single" w:sz="6" w:space="0" w:color="000000"/>
            </w:tcBorders>
            <w:vAlign w:val="center"/>
          </w:tcPr>
          <w:p w:rsidR="00D869A6" w:rsidRDefault="00D869A6" w:rsidP="003F6403">
            <w:pPr>
              <w:pStyle w:val="Tabletext"/>
              <w:framePr w:hSpace="181" w:wrap="notBeside" w:vAnchor="text" w:hAnchor="text" w:xAlign="center" w:y="1"/>
              <w:jc w:val="center"/>
              <w:rPr>
                <w:lang w:val="fr-CH"/>
              </w:rPr>
            </w:pPr>
            <w:r>
              <w:rPr>
                <w:lang w:val="fr-CH"/>
              </w:rPr>
              <w:t>140</w:t>
            </w:r>
          </w:p>
        </w:tc>
        <w:tc>
          <w:tcPr>
            <w:tcW w:w="1361" w:type="dxa"/>
            <w:tcBorders>
              <w:top w:val="single" w:sz="6" w:space="0" w:color="000000"/>
              <w:left w:val="single" w:sz="6" w:space="0" w:color="000000"/>
              <w:bottom w:val="single" w:sz="6" w:space="0" w:color="000000"/>
              <w:right w:val="single" w:sz="6" w:space="0" w:color="000000"/>
            </w:tcBorders>
            <w:vAlign w:val="center"/>
          </w:tcPr>
          <w:p w:rsidR="00D869A6" w:rsidRDefault="00D869A6" w:rsidP="003F6403">
            <w:pPr>
              <w:pStyle w:val="Tabletext"/>
              <w:framePr w:hSpace="181" w:wrap="notBeside" w:vAnchor="text" w:hAnchor="text" w:xAlign="center" w:y="1"/>
              <w:jc w:val="center"/>
              <w:rPr>
                <w:lang w:val="fr-CH"/>
              </w:rPr>
            </w:pPr>
            <w:r>
              <w:rPr>
                <w:lang w:val="fr-CH"/>
              </w:rPr>
              <w:t>4</w:t>
            </w:r>
          </w:p>
        </w:tc>
        <w:tc>
          <w:tcPr>
            <w:tcW w:w="1361" w:type="dxa"/>
            <w:tcBorders>
              <w:top w:val="single" w:sz="6" w:space="0" w:color="000000"/>
              <w:left w:val="single" w:sz="6" w:space="0" w:color="000000"/>
              <w:bottom w:val="single" w:sz="6" w:space="0" w:color="000000"/>
              <w:right w:val="single" w:sz="6" w:space="0" w:color="000000"/>
            </w:tcBorders>
            <w:vAlign w:val="center"/>
          </w:tcPr>
          <w:p w:rsidR="00D869A6" w:rsidRDefault="00D869A6" w:rsidP="003F6403">
            <w:pPr>
              <w:pStyle w:val="Tabletext"/>
              <w:framePr w:hSpace="181" w:wrap="notBeside" w:vAnchor="text" w:hAnchor="text" w:xAlign="center" w:y="1"/>
              <w:jc w:val="center"/>
              <w:rPr>
                <w:lang w:val="fr-CH"/>
              </w:rPr>
            </w:pPr>
            <w:r>
              <w:rPr>
                <w:lang w:val="fr-CH"/>
              </w:rPr>
              <w:t>6,3</w:t>
            </w:r>
          </w:p>
        </w:tc>
        <w:tc>
          <w:tcPr>
            <w:tcW w:w="1293" w:type="dxa"/>
            <w:tcBorders>
              <w:top w:val="single" w:sz="6" w:space="0" w:color="000000"/>
              <w:left w:val="single" w:sz="6" w:space="0" w:color="000000"/>
              <w:bottom w:val="single" w:sz="6" w:space="0" w:color="000000"/>
              <w:right w:val="single" w:sz="4" w:space="0" w:color="auto"/>
            </w:tcBorders>
            <w:vAlign w:val="center"/>
          </w:tcPr>
          <w:p w:rsidR="00D869A6" w:rsidRDefault="00D869A6" w:rsidP="003F6403">
            <w:pPr>
              <w:pStyle w:val="Tabletext"/>
              <w:framePr w:hSpace="181" w:wrap="notBeside" w:vAnchor="text" w:hAnchor="text" w:xAlign="center" w:y="1"/>
              <w:jc w:val="center"/>
              <w:rPr>
                <w:lang w:val="fr-CH"/>
              </w:rPr>
            </w:pPr>
            <w:r>
              <w:rPr>
                <w:lang w:val="fr-CH"/>
              </w:rPr>
              <w:t>12,6</w:t>
            </w:r>
          </w:p>
        </w:tc>
      </w:tr>
      <w:tr w:rsidR="00D869A6" w:rsidTr="00C5543B">
        <w:trPr>
          <w:cantSplit/>
        </w:trPr>
        <w:tc>
          <w:tcPr>
            <w:tcW w:w="4133" w:type="dxa"/>
            <w:tcBorders>
              <w:top w:val="single" w:sz="6" w:space="0" w:color="000000"/>
              <w:left w:val="single" w:sz="4" w:space="0" w:color="auto"/>
              <w:bottom w:val="single" w:sz="6" w:space="0" w:color="000000"/>
              <w:right w:val="single" w:sz="6" w:space="0" w:color="000000"/>
            </w:tcBorders>
          </w:tcPr>
          <w:p w:rsidR="00D869A6" w:rsidRDefault="00D869A6" w:rsidP="003F6403">
            <w:pPr>
              <w:pStyle w:val="Tabletext"/>
              <w:framePr w:hSpace="181" w:wrap="notBeside" w:vAnchor="text" w:hAnchor="text" w:xAlign="center" w:y="1"/>
              <w:jc w:val="left"/>
              <w:rPr>
                <w:lang w:val="fr-CH"/>
              </w:rPr>
            </w:pPr>
            <w:r>
              <w:rPr>
                <w:lang w:val="fr-CH"/>
              </w:rPr>
              <w:t>Espacement des canaux (MHz)</w:t>
            </w:r>
          </w:p>
        </w:tc>
        <w:tc>
          <w:tcPr>
            <w:tcW w:w="1491" w:type="dxa"/>
            <w:tcBorders>
              <w:top w:val="single" w:sz="6" w:space="0" w:color="000000"/>
              <w:left w:val="single" w:sz="6" w:space="0" w:color="000000"/>
              <w:bottom w:val="single" w:sz="6" w:space="0" w:color="000000"/>
              <w:right w:val="single" w:sz="6" w:space="0" w:color="000000"/>
            </w:tcBorders>
            <w:vAlign w:val="center"/>
          </w:tcPr>
          <w:p w:rsidR="00D869A6" w:rsidRDefault="00D869A6" w:rsidP="003F6403">
            <w:pPr>
              <w:pStyle w:val="Tabletext"/>
              <w:framePr w:hSpace="181" w:wrap="notBeside" w:vAnchor="text" w:hAnchor="text" w:xAlign="center" w:y="1"/>
              <w:jc w:val="center"/>
              <w:rPr>
                <w:lang w:val="fr-CH"/>
              </w:rPr>
            </w:pPr>
            <w:r>
              <w:rPr>
                <w:lang w:val="fr-CH"/>
              </w:rPr>
              <w:t>28</w:t>
            </w:r>
          </w:p>
        </w:tc>
        <w:tc>
          <w:tcPr>
            <w:tcW w:w="1361" w:type="dxa"/>
            <w:tcBorders>
              <w:top w:val="single" w:sz="6" w:space="0" w:color="000000"/>
              <w:left w:val="single" w:sz="6" w:space="0" w:color="000000"/>
              <w:bottom w:val="single" w:sz="6" w:space="0" w:color="000000"/>
              <w:right w:val="single" w:sz="6" w:space="0" w:color="000000"/>
            </w:tcBorders>
            <w:vAlign w:val="center"/>
          </w:tcPr>
          <w:p w:rsidR="00D869A6" w:rsidRDefault="00D869A6" w:rsidP="003F6403">
            <w:pPr>
              <w:pStyle w:val="Tabletext"/>
              <w:framePr w:hSpace="181" w:wrap="notBeside" w:vAnchor="text" w:hAnchor="text" w:xAlign="center" w:y="1"/>
              <w:jc w:val="center"/>
              <w:rPr>
                <w:lang w:val="fr-CH"/>
              </w:rPr>
            </w:pPr>
            <w:r>
              <w:rPr>
                <w:lang w:val="fr-CH"/>
              </w:rPr>
              <w:t>10,5</w:t>
            </w:r>
          </w:p>
        </w:tc>
        <w:tc>
          <w:tcPr>
            <w:tcW w:w="1361" w:type="dxa"/>
            <w:tcBorders>
              <w:top w:val="single" w:sz="6" w:space="0" w:color="000000"/>
              <w:left w:val="single" w:sz="6" w:space="0" w:color="000000"/>
              <w:bottom w:val="single" w:sz="6" w:space="0" w:color="000000"/>
              <w:right w:val="single" w:sz="6" w:space="0" w:color="000000"/>
            </w:tcBorders>
            <w:vAlign w:val="center"/>
          </w:tcPr>
          <w:p w:rsidR="00D869A6" w:rsidRDefault="00D869A6" w:rsidP="003F6403">
            <w:pPr>
              <w:pStyle w:val="Tabletext"/>
              <w:framePr w:hSpace="181" w:wrap="notBeside" w:vAnchor="text" w:hAnchor="text" w:xAlign="center" w:y="1"/>
              <w:jc w:val="center"/>
              <w:rPr>
                <w:lang w:val="fr-CH"/>
              </w:rPr>
            </w:pPr>
            <w:r>
              <w:rPr>
                <w:lang w:val="fr-CH"/>
              </w:rPr>
              <w:t>5</w:t>
            </w:r>
          </w:p>
        </w:tc>
        <w:tc>
          <w:tcPr>
            <w:tcW w:w="1293" w:type="dxa"/>
            <w:tcBorders>
              <w:top w:val="single" w:sz="6" w:space="0" w:color="000000"/>
              <w:left w:val="single" w:sz="6" w:space="0" w:color="000000"/>
              <w:bottom w:val="single" w:sz="6" w:space="0" w:color="000000"/>
              <w:right w:val="single" w:sz="4" w:space="0" w:color="auto"/>
            </w:tcBorders>
            <w:vAlign w:val="center"/>
          </w:tcPr>
          <w:p w:rsidR="00D869A6" w:rsidRDefault="00D869A6" w:rsidP="003F6403">
            <w:pPr>
              <w:pStyle w:val="Tabletext"/>
              <w:framePr w:hSpace="181" w:wrap="notBeside" w:vAnchor="text" w:hAnchor="text" w:xAlign="center" w:y="1"/>
              <w:jc w:val="center"/>
              <w:rPr>
                <w:lang w:val="fr-CH"/>
              </w:rPr>
            </w:pPr>
            <w:r>
              <w:rPr>
                <w:lang w:val="fr-CH"/>
              </w:rPr>
              <w:t>10</w:t>
            </w:r>
          </w:p>
        </w:tc>
      </w:tr>
      <w:tr w:rsidR="00D869A6" w:rsidTr="00C5543B">
        <w:trPr>
          <w:cantSplit/>
        </w:trPr>
        <w:tc>
          <w:tcPr>
            <w:tcW w:w="4133" w:type="dxa"/>
            <w:tcBorders>
              <w:top w:val="single" w:sz="6" w:space="0" w:color="000000"/>
              <w:left w:val="single" w:sz="4" w:space="0" w:color="auto"/>
              <w:bottom w:val="single" w:sz="6" w:space="0" w:color="000000"/>
              <w:right w:val="single" w:sz="6" w:space="0" w:color="000000"/>
            </w:tcBorders>
          </w:tcPr>
          <w:p w:rsidR="00D869A6" w:rsidRDefault="00D869A6" w:rsidP="003F6403">
            <w:pPr>
              <w:pStyle w:val="Tabletext"/>
              <w:framePr w:hSpace="181" w:wrap="notBeside" w:vAnchor="text" w:hAnchor="text" w:xAlign="center" w:y="1"/>
              <w:jc w:val="left"/>
              <w:rPr>
                <w:lang w:val="fr-CH"/>
              </w:rPr>
            </w:pPr>
            <w:r>
              <w:rPr>
                <w:lang w:val="fr-CH"/>
              </w:rPr>
              <w:t>Diamètre d'antenne (m)</w:t>
            </w:r>
          </w:p>
        </w:tc>
        <w:tc>
          <w:tcPr>
            <w:tcW w:w="1491" w:type="dxa"/>
            <w:tcBorders>
              <w:top w:val="single" w:sz="6" w:space="0" w:color="000000"/>
              <w:left w:val="single" w:sz="6" w:space="0" w:color="000000"/>
              <w:bottom w:val="single" w:sz="6" w:space="0" w:color="000000"/>
              <w:right w:val="single" w:sz="6" w:space="0" w:color="000000"/>
            </w:tcBorders>
            <w:vAlign w:val="center"/>
          </w:tcPr>
          <w:p w:rsidR="00D869A6" w:rsidRDefault="00D869A6" w:rsidP="003F6403">
            <w:pPr>
              <w:pStyle w:val="Tabletext"/>
              <w:framePr w:hSpace="181" w:wrap="notBeside" w:vAnchor="text" w:hAnchor="text" w:xAlign="center" w:y="1"/>
              <w:jc w:val="center"/>
              <w:rPr>
                <w:lang w:val="fr-CH"/>
              </w:rPr>
            </w:pPr>
            <w:r>
              <w:rPr>
                <w:lang w:val="fr-CH"/>
              </w:rPr>
              <w:t>2,4</w:t>
            </w:r>
          </w:p>
        </w:tc>
        <w:tc>
          <w:tcPr>
            <w:tcW w:w="1361" w:type="dxa"/>
            <w:tcBorders>
              <w:top w:val="single" w:sz="6" w:space="0" w:color="000000"/>
              <w:left w:val="single" w:sz="6" w:space="0" w:color="000000"/>
              <w:bottom w:val="single" w:sz="6" w:space="0" w:color="000000"/>
              <w:right w:val="single" w:sz="6" w:space="0" w:color="000000"/>
            </w:tcBorders>
            <w:vAlign w:val="center"/>
          </w:tcPr>
          <w:p w:rsidR="00D869A6" w:rsidRDefault="00D869A6" w:rsidP="003F6403">
            <w:pPr>
              <w:pStyle w:val="Tabletext"/>
              <w:framePr w:hSpace="181" w:wrap="notBeside" w:vAnchor="text" w:hAnchor="text" w:xAlign="center" w:y="1"/>
              <w:jc w:val="center"/>
              <w:rPr>
                <w:lang w:val="fr-CH"/>
              </w:rPr>
            </w:pPr>
            <w:r>
              <w:rPr>
                <w:lang w:val="fr-CH"/>
              </w:rPr>
              <w:t>1,8</w:t>
            </w:r>
          </w:p>
        </w:tc>
        <w:tc>
          <w:tcPr>
            <w:tcW w:w="1361" w:type="dxa"/>
            <w:tcBorders>
              <w:top w:val="single" w:sz="6" w:space="0" w:color="000000"/>
              <w:left w:val="single" w:sz="6" w:space="0" w:color="000000"/>
              <w:bottom w:val="single" w:sz="6" w:space="0" w:color="000000"/>
              <w:right w:val="single" w:sz="6" w:space="0" w:color="000000"/>
            </w:tcBorders>
            <w:vAlign w:val="center"/>
          </w:tcPr>
          <w:p w:rsidR="00D869A6" w:rsidRDefault="00D869A6" w:rsidP="003F6403">
            <w:pPr>
              <w:pStyle w:val="Tabletext"/>
              <w:framePr w:hSpace="181" w:wrap="notBeside" w:vAnchor="text" w:hAnchor="text" w:xAlign="center" w:y="1"/>
              <w:jc w:val="center"/>
              <w:rPr>
                <w:lang w:val="fr-CH"/>
              </w:rPr>
            </w:pPr>
            <w:r>
              <w:rPr>
                <w:lang w:val="fr-CH"/>
              </w:rPr>
              <w:t>0,6</w:t>
            </w:r>
          </w:p>
        </w:tc>
        <w:tc>
          <w:tcPr>
            <w:tcW w:w="1293" w:type="dxa"/>
            <w:tcBorders>
              <w:top w:val="single" w:sz="6" w:space="0" w:color="000000"/>
              <w:left w:val="single" w:sz="6" w:space="0" w:color="000000"/>
              <w:bottom w:val="single" w:sz="6" w:space="0" w:color="000000"/>
              <w:right w:val="single" w:sz="4" w:space="0" w:color="auto"/>
            </w:tcBorders>
            <w:vAlign w:val="center"/>
          </w:tcPr>
          <w:p w:rsidR="00D869A6" w:rsidRDefault="00D869A6" w:rsidP="003F6403">
            <w:pPr>
              <w:pStyle w:val="Tabletext"/>
              <w:framePr w:hSpace="181" w:wrap="notBeside" w:vAnchor="text" w:hAnchor="text" w:xAlign="center" w:y="1"/>
              <w:jc w:val="center"/>
              <w:rPr>
                <w:lang w:val="fr-CH"/>
              </w:rPr>
            </w:pPr>
            <w:r>
              <w:rPr>
                <w:lang w:val="fr-CH"/>
              </w:rPr>
              <w:t>1,2</w:t>
            </w:r>
          </w:p>
        </w:tc>
      </w:tr>
      <w:tr w:rsidR="00D869A6" w:rsidTr="00C5543B">
        <w:trPr>
          <w:cantSplit/>
        </w:trPr>
        <w:tc>
          <w:tcPr>
            <w:tcW w:w="4133" w:type="dxa"/>
            <w:tcBorders>
              <w:top w:val="single" w:sz="6" w:space="0" w:color="000000"/>
              <w:left w:val="single" w:sz="4" w:space="0" w:color="auto"/>
              <w:bottom w:val="single" w:sz="6" w:space="0" w:color="000000"/>
              <w:right w:val="single" w:sz="6" w:space="0" w:color="000000"/>
            </w:tcBorders>
          </w:tcPr>
          <w:p w:rsidR="00D869A6" w:rsidRDefault="00D869A6" w:rsidP="003F6403">
            <w:pPr>
              <w:pStyle w:val="Tabletext"/>
              <w:framePr w:hSpace="181" w:wrap="notBeside" w:vAnchor="text" w:hAnchor="text" w:xAlign="center" w:y="1"/>
              <w:jc w:val="left"/>
              <w:rPr>
                <w:lang w:val="fr-CH"/>
              </w:rPr>
            </w:pPr>
            <w:r>
              <w:rPr>
                <w:lang w:val="fr-CH"/>
              </w:rPr>
              <w:t xml:space="preserve">Gain d'antenne (valeur maximale) (dBi) </w:t>
            </w:r>
          </w:p>
        </w:tc>
        <w:tc>
          <w:tcPr>
            <w:tcW w:w="1491" w:type="dxa"/>
            <w:tcBorders>
              <w:top w:val="single" w:sz="6" w:space="0" w:color="000000"/>
              <w:left w:val="single" w:sz="6" w:space="0" w:color="000000"/>
              <w:bottom w:val="single" w:sz="6" w:space="0" w:color="000000"/>
              <w:right w:val="single" w:sz="6" w:space="0" w:color="000000"/>
            </w:tcBorders>
            <w:vAlign w:val="center"/>
          </w:tcPr>
          <w:p w:rsidR="00D869A6" w:rsidRDefault="00D869A6" w:rsidP="003F6403">
            <w:pPr>
              <w:pStyle w:val="Tabletext"/>
              <w:framePr w:hSpace="181" w:wrap="notBeside" w:vAnchor="text" w:hAnchor="text" w:xAlign="center" w:y="1"/>
              <w:jc w:val="center"/>
              <w:rPr>
                <w:lang w:val="fr-CH"/>
              </w:rPr>
            </w:pPr>
            <w:r>
              <w:rPr>
                <w:lang w:val="fr-CH"/>
              </w:rPr>
              <w:t>49,0</w:t>
            </w:r>
          </w:p>
        </w:tc>
        <w:tc>
          <w:tcPr>
            <w:tcW w:w="1361" w:type="dxa"/>
            <w:tcBorders>
              <w:top w:val="single" w:sz="6" w:space="0" w:color="000000"/>
              <w:left w:val="single" w:sz="6" w:space="0" w:color="000000"/>
              <w:bottom w:val="single" w:sz="6" w:space="0" w:color="000000"/>
              <w:right w:val="single" w:sz="6" w:space="0" w:color="000000"/>
            </w:tcBorders>
            <w:vAlign w:val="center"/>
          </w:tcPr>
          <w:p w:rsidR="00D869A6" w:rsidRDefault="00D869A6" w:rsidP="003F6403">
            <w:pPr>
              <w:pStyle w:val="Tabletext"/>
              <w:framePr w:hSpace="181" w:wrap="notBeside" w:vAnchor="text" w:hAnchor="text" w:xAlign="center" w:y="1"/>
              <w:jc w:val="center"/>
              <w:rPr>
                <w:lang w:val="fr-CH"/>
              </w:rPr>
            </w:pPr>
            <w:r>
              <w:rPr>
                <w:lang w:val="fr-CH"/>
              </w:rPr>
              <w:t>45,0</w:t>
            </w:r>
          </w:p>
        </w:tc>
        <w:tc>
          <w:tcPr>
            <w:tcW w:w="1361" w:type="dxa"/>
            <w:tcBorders>
              <w:top w:val="single" w:sz="6" w:space="0" w:color="000000"/>
              <w:left w:val="single" w:sz="6" w:space="0" w:color="000000"/>
              <w:bottom w:val="single" w:sz="6" w:space="0" w:color="000000"/>
              <w:right w:val="single" w:sz="6" w:space="0" w:color="000000"/>
            </w:tcBorders>
            <w:vAlign w:val="center"/>
          </w:tcPr>
          <w:p w:rsidR="00D869A6" w:rsidRDefault="00D869A6" w:rsidP="003F6403">
            <w:pPr>
              <w:pStyle w:val="Tabletext"/>
              <w:framePr w:hSpace="181" w:wrap="notBeside" w:vAnchor="text" w:hAnchor="text" w:xAlign="center" w:y="1"/>
              <w:jc w:val="center"/>
              <w:rPr>
                <w:lang w:val="fr-CH"/>
              </w:rPr>
            </w:pPr>
            <w:r>
              <w:rPr>
                <w:lang w:val="fr-CH"/>
              </w:rPr>
              <w:t>36,5</w:t>
            </w:r>
          </w:p>
        </w:tc>
        <w:tc>
          <w:tcPr>
            <w:tcW w:w="1293" w:type="dxa"/>
            <w:tcBorders>
              <w:top w:val="single" w:sz="6" w:space="0" w:color="000000"/>
              <w:left w:val="single" w:sz="6" w:space="0" w:color="000000"/>
              <w:bottom w:val="single" w:sz="6" w:space="0" w:color="000000"/>
              <w:right w:val="single" w:sz="4" w:space="0" w:color="auto"/>
            </w:tcBorders>
            <w:vAlign w:val="center"/>
          </w:tcPr>
          <w:p w:rsidR="00D869A6" w:rsidRDefault="00D869A6" w:rsidP="003F6403">
            <w:pPr>
              <w:pStyle w:val="Tabletext"/>
              <w:framePr w:hSpace="181" w:wrap="notBeside" w:vAnchor="text" w:hAnchor="text" w:xAlign="center" w:y="1"/>
              <w:jc w:val="center"/>
              <w:rPr>
                <w:lang w:val="fr-CH"/>
              </w:rPr>
            </w:pPr>
            <w:r>
              <w:rPr>
                <w:lang w:val="fr-CH"/>
              </w:rPr>
              <w:t>42,5</w:t>
            </w:r>
          </w:p>
        </w:tc>
      </w:tr>
      <w:tr w:rsidR="00D869A6" w:rsidTr="00C5543B">
        <w:trPr>
          <w:cantSplit/>
        </w:trPr>
        <w:tc>
          <w:tcPr>
            <w:tcW w:w="4133" w:type="dxa"/>
            <w:tcBorders>
              <w:top w:val="single" w:sz="6" w:space="0" w:color="000000"/>
              <w:left w:val="single" w:sz="4" w:space="0" w:color="auto"/>
              <w:bottom w:val="single" w:sz="6" w:space="0" w:color="000000"/>
              <w:right w:val="single" w:sz="6" w:space="0" w:color="000000"/>
            </w:tcBorders>
          </w:tcPr>
          <w:p w:rsidR="00D869A6" w:rsidRDefault="00D869A6" w:rsidP="003F6403">
            <w:pPr>
              <w:pStyle w:val="Tabletext"/>
              <w:framePr w:hSpace="181" w:wrap="notBeside" w:vAnchor="text" w:hAnchor="text" w:xAlign="center" w:y="1"/>
              <w:jc w:val="left"/>
              <w:rPr>
                <w:lang w:val="fr-CH"/>
              </w:rPr>
            </w:pPr>
            <w:r>
              <w:rPr>
                <w:lang w:val="fr-CH"/>
              </w:rPr>
              <w:t xml:space="preserve">Affaiblissement d'alimentation/dans le multiplexeur (valeur minimale) (dB) </w:t>
            </w:r>
          </w:p>
        </w:tc>
        <w:tc>
          <w:tcPr>
            <w:tcW w:w="1491" w:type="dxa"/>
            <w:tcBorders>
              <w:top w:val="single" w:sz="6" w:space="0" w:color="000000"/>
              <w:left w:val="single" w:sz="6" w:space="0" w:color="000000"/>
              <w:bottom w:val="single" w:sz="6" w:space="0" w:color="000000"/>
              <w:right w:val="single" w:sz="6" w:space="0" w:color="000000"/>
            </w:tcBorders>
            <w:vAlign w:val="center"/>
          </w:tcPr>
          <w:p w:rsidR="00D869A6" w:rsidRDefault="00D869A6" w:rsidP="003F6403">
            <w:pPr>
              <w:pStyle w:val="Tabletext"/>
              <w:framePr w:hSpace="181" w:wrap="notBeside" w:vAnchor="text" w:hAnchor="text" w:xAlign="center" w:y="1"/>
              <w:jc w:val="center"/>
              <w:rPr>
                <w:lang w:val="fr-CH"/>
              </w:rPr>
            </w:pPr>
            <w:r>
              <w:rPr>
                <w:lang w:val="fr-CH"/>
              </w:rPr>
              <w:t>2</w:t>
            </w:r>
          </w:p>
        </w:tc>
        <w:tc>
          <w:tcPr>
            <w:tcW w:w="1361" w:type="dxa"/>
            <w:tcBorders>
              <w:top w:val="single" w:sz="6" w:space="0" w:color="000000"/>
              <w:left w:val="single" w:sz="6" w:space="0" w:color="000000"/>
              <w:bottom w:val="single" w:sz="6" w:space="0" w:color="000000"/>
              <w:right w:val="single" w:sz="6" w:space="0" w:color="000000"/>
            </w:tcBorders>
            <w:vAlign w:val="center"/>
          </w:tcPr>
          <w:p w:rsidR="00D869A6" w:rsidRDefault="00D869A6" w:rsidP="003F6403">
            <w:pPr>
              <w:pStyle w:val="Tabletext"/>
              <w:framePr w:hSpace="181" w:wrap="notBeside" w:vAnchor="text" w:hAnchor="text" w:xAlign="center" w:y="1"/>
              <w:jc w:val="center"/>
              <w:rPr>
                <w:lang w:val="fr-CH"/>
              </w:rPr>
            </w:pPr>
            <w:r>
              <w:rPr>
                <w:lang w:val="fr-CH"/>
              </w:rPr>
              <w:t>0</w:t>
            </w:r>
          </w:p>
        </w:tc>
        <w:tc>
          <w:tcPr>
            <w:tcW w:w="1361" w:type="dxa"/>
            <w:tcBorders>
              <w:top w:val="single" w:sz="6" w:space="0" w:color="000000"/>
              <w:left w:val="single" w:sz="6" w:space="0" w:color="000000"/>
              <w:bottom w:val="single" w:sz="6" w:space="0" w:color="000000"/>
              <w:right w:val="single" w:sz="6" w:space="0" w:color="000000"/>
            </w:tcBorders>
            <w:vAlign w:val="center"/>
          </w:tcPr>
          <w:p w:rsidR="00D869A6" w:rsidRDefault="00D869A6" w:rsidP="003F6403">
            <w:pPr>
              <w:pStyle w:val="Tabletext"/>
              <w:framePr w:hSpace="181" w:wrap="notBeside" w:vAnchor="text" w:hAnchor="text" w:xAlign="center" w:y="1"/>
              <w:jc w:val="center"/>
              <w:rPr>
                <w:lang w:val="fr-CH"/>
              </w:rPr>
            </w:pPr>
            <w:r>
              <w:rPr>
                <w:lang w:val="fr-CH"/>
              </w:rPr>
              <w:t>2</w:t>
            </w:r>
          </w:p>
        </w:tc>
        <w:tc>
          <w:tcPr>
            <w:tcW w:w="1293" w:type="dxa"/>
            <w:tcBorders>
              <w:top w:val="single" w:sz="6" w:space="0" w:color="000000"/>
              <w:left w:val="single" w:sz="6" w:space="0" w:color="000000"/>
              <w:bottom w:val="single" w:sz="6" w:space="0" w:color="000000"/>
              <w:right w:val="single" w:sz="4" w:space="0" w:color="auto"/>
            </w:tcBorders>
            <w:vAlign w:val="center"/>
          </w:tcPr>
          <w:p w:rsidR="00D869A6" w:rsidRDefault="00D869A6" w:rsidP="003F6403">
            <w:pPr>
              <w:pStyle w:val="Tabletext"/>
              <w:framePr w:hSpace="181" w:wrap="notBeside" w:vAnchor="text" w:hAnchor="text" w:xAlign="center" w:y="1"/>
              <w:jc w:val="center"/>
              <w:rPr>
                <w:lang w:val="fr-CH"/>
              </w:rPr>
            </w:pPr>
            <w:r>
              <w:rPr>
                <w:lang w:val="fr-CH"/>
              </w:rPr>
              <w:t>2</w:t>
            </w:r>
          </w:p>
        </w:tc>
      </w:tr>
      <w:tr w:rsidR="00D869A6" w:rsidTr="00C5543B">
        <w:trPr>
          <w:cantSplit/>
        </w:trPr>
        <w:tc>
          <w:tcPr>
            <w:tcW w:w="4133" w:type="dxa"/>
            <w:tcBorders>
              <w:top w:val="single" w:sz="6" w:space="0" w:color="000000"/>
              <w:left w:val="single" w:sz="4" w:space="0" w:color="auto"/>
              <w:bottom w:val="single" w:sz="6" w:space="0" w:color="000000"/>
              <w:right w:val="single" w:sz="6" w:space="0" w:color="000000"/>
            </w:tcBorders>
          </w:tcPr>
          <w:p w:rsidR="00D869A6" w:rsidRDefault="00D869A6" w:rsidP="003F6403">
            <w:pPr>
              <w:pStyle w:val="Tabletext"/>
              <w:framePr w:hSpace="181" w:wrap="notBeside" w:vAnchor="text" w:hAnchor="text" w:xAlign="center" w:y="1"/>
              <w:jc w:val="left"/>
              <w:rPr>
                <w:lang w:val="fr-CH"/>
              </w:rPr>
            </w:pPr>
            <w:r>
              <w:rPr>
                <w:lang w:val="fr-CH"/>
              </w:rPr>
              <w:t>Bande passante à la FI du récepteur (MHz)</w:t>
            </w:r>
          </w:p>
        </w:tc>
        <w:tc>
          <w:tcPr>
            <w:tcW w:w="1491" w:type="dxa"/>
            <w:tcBorders>
              <w:top w:val="single" w:sz="6" w:space="0" w:color="000000"/>
              <w:left w:val="single" w:sz="6" w:space="0" w:color="000000"/>
              <w:bottom w:val="single" w:sz="6" w:space="0" w:color="000000"/>
              <w:right w:val="single" w:sz="6" w:space="0" w:color="000000"/>
            </w:tcBorders>
            <w:vAlign w:val="center"/>
          </w:tcPr>
          <w:p w:rsidR="00D869A6" w:rsidRDefault="00D869A6" w:rsidP="003F6403">
            <w:pPr>
              <w:pStyle w:val="Tabletext"/>
              <w:framePr w:hSpace="181" w:wrap="notBeside" w:vAnchor="text" w:hAnchor="text" w:xAlign="center" w:y="1"/>
              <w:jc w:val="center"/>
              <w:rPr>
                <w:lang w:val="fr-CH"/>
              </w:rPr>
            </w:pPr>
            <w:r>
              <w:rPr>
                <w:lang w:val="fr-CH"/>
              </w:rPr>
              <w:t>40</w:t>
            </w:r>
          </w:p>
        </w:tc>
        <w:tc>
          <w:tcPr>
            <w:tcW w:w="1361" w:type="dxa"/>
            <w:tcBorders>
              <w:top w:val="single" w:sz="6" w:space="0" w:color="000000"/>
              <w:left w:val="single" w:sz="6" w:space="0" w:color="000000"/>
              <w:bottom w:val="single" w:sz="6" w:space="0" w:color="000000"/>
              <w:right w:val="single" w:sz="6" w:space="0" w:color="000000"/>
            </w:tcBorders>
            <w:vAlign w:val="center"/>
          </w:tcPr>
          <w:p w:rsidR="00D869A6" w:rsidRDefault="00D869A6" w:rsidP="003F6403">
            <w:pPr>
              <w:pStyle w:val="Tabletext"/>
              <w:framePr w:hSpace="181" w:wrap="notBeside" w:vAnchor="text" w:hAnchor="text" w:xAlign="center" w:y="1"/>
              <w:jc w:val="center"/>
              <w:rPr>
                <w:lang w:val="fr-CH"/>
              </w:rPr>
            </w:pPr>
            <w:r>
              <w:rPr>
                <w:lang w:val="fr-CH"/>
              </w:rPr>
              <w:t>3,5</w:t>
            </w:r>
          </w:p>
        </w:tc>
        <w:tc>
          <w:tcPr>
            <w:tcW w:w="1361" w:type="dxa"/>
            <w:tcBorders>
              <w:top w:val="single" w:sz="6" w:space="0" w:color="000000"/>
              <w:left w:val="single" w:sz="6" w:space="0" w:color="000000"/>
              <w:bottom w:val="single" w:sz="6" w:space="0" w:color="000000"/>
              <w:right w:val="single" w:sz="6" w:space="0" w:color="000000"/>
            </w:tcBorders>
            <w:vAlign w:val="center"/>
          </w:tcPr>
          <w:p w:rsidR="00D869A6" w:rsidRDefault="00D869A6" w:rsidP="003F6403">
            <w:pPr>
              <w:pStyle w:val="Tabletext"/>
              <w:framePr w:hSpace="181" w:wrap="notBeside" w:vAnchor="text" w:hAnchor="text" w:xAlign="center" w:y="1"/>
              <w:jc w:val="center"/>
              <w:rPr>
                <w:lang w:val="fr-CH"/>
              </w:rPr>
            </w:pPr>
            <w:r>
              <w:rPr>
                <w:lang w:val="fr-CH"/>
              </w:rPr>
              <w:t>5</w:t>
            </w:r>
          </w:p>
        </w:tc>
        <w:tc>
          <w:tcPr>
            <w:tcW w:w="1293" w:type="dxa"/>
            <w:tcBorders>
              <w:top w:val="single" w:sz="6" w:space="0" w:color="000000"/>
              <w:left w:val="single" w:sz="6" w:space="0" w:color="000000"/>
              <w:bottom w:val="single" w:sz="6" w:space="0" w:color="000000"/>
              <w:right w:val="single" w:sz="4" w:space="0" w:color="auto"/>
            </w:tcBorders>
            <w:vAlign w:val="center"/>
          </w:tcPr>
          <w:p w:rsidR="00D869A6" w:rsidRDefault="00D869A6" w:rsidP="003F6403">
            <w:pPr>
              <w:pStyle w:val="Tabletext"/>
              <w:framePr w:hSpace="181" w:wrap="notBeside" w:vAnchor="text" w:hAnchor="text" w:xAlign="center" w:y="1"/>
              <w:jc w:val="center"/>
              <w:rPr>
                <w:lang w:val="fr-CH"/>
              </w:rPr>
            </w:pPr>
            <w:r>
              <w:rPr>
                <w:lang w:val="fr-CH"/>
              </w:rPr>
              <w:t>10</w:t>
            </w:r>
          </w:p>
        </w:tc>
      </w:tr>
      <w:tr w:rsidR="00D869A6" w:rsidTr="00C5543B">
        <w:trPr>
          <w:cantSplit/>
        </w:trPr>
        <w:tc>
          <w:tcPr>
            <w:tcW w:w="4133" w:type="dxa"/>
            <w:tcBorders>
              <w:top w:val="single" w:sz="6" w:space="0" w:color="000000"/>
              <w:left w:val="single" w:sz="4" w:space="0" w:color="auto"/>
              <w:bottom w:val="single" w:sz="6" w:space="0" w:color="000000"/>
              <w:right w:val="single" w:sz="6" w:space="0" w:color="000000"/>
            </w:tcBorders>
          </w:tcPr>
          <w:p w:rsidR="00D869A6" w:rsidRDefault="00D869A6" w:rsidP="003F6403">
            <w:pPr>
              <w:pStyle w:val="Tabletext"/>
              <w:framePr w:hSpace="181" w:wrap="notBeside" w:vAnchor="text" w:hAnchor="text" w:xAlign="center" w:y="1"/>
              <w:jc w:val="left"/>
              <w:rPr>
                <w:snapToGrid w:val="0"/>
                <w:lang w:val="fr-CH"/>
              </w:rPr>
            </w:pPr>
            <w:r>
              <w:rPr>
                <w:snapToGrid w:val="0"/>
                <w:lang w:val="fr-CH"/>
              </w:rPr>
              <w:t xml:space="preserve">Facteur de bruit du </w:t>
            </w:r>
            <w:r>
              <w:rPr>
                <w:lang w:val="fr-CH"/>
              </w:rPr>
              <w:t>récepteur</w:t>
            </w:r>
            <w:r>
              <w:rPr>
                <w:snapToGrid w:val="0"/>
                <w:lang w:val="fr-CH"/>
              </w:rPr>
              <w:t xml:space="preserve"> (dB)</w:t>
            </w:r>
          </w:p>
        </w:tc>
        <w:tc>
          <w:tcPr>
            <w:tcW w:w="1491" w:type="dxa"/>
            <w:tcBorders>
              <w:top w:val="single" w:sz="6" w:space="0" w:color="000000"/>
              <w:left w:val="single" w:sz="6" w:space="0" w:color="000000"/>
              <w:bottom w:val="single" w:sz="6" w:space="0" w:color="000000"/>
              <w:right w:val="single" w:sz="6" w:space="0" w:color="000000"/>
            </w:tcBorders>
            <w:vAlign w:val="center"/>
          </w:tcPr>
          <w:p w:rsidR="00D869A6" w:rsidRDefault="00D869A6" w:rsidP="003F6403">
            <w:pPr>
              <w:pStyle w:val="Tabletext"/>
              <w:framePr w:hSpace="181" w:wrap="notBeside" w:vAnchor="text" w:hAnchor="text" w:xAlign="center" w:y="1"/>
              <w:jc w:val="center"/>
              <w:rPr>
                <w:snapToGrid w:val="0"/>
                <w:lang w:val="fr-CH"/>
              </w:rPr>
            </w:pPr>
            <w:r>
              <w:rPr>
                <w:snapToGrid w:val="0"/>
                <w:lang w:val="fr-CH"/>
              </w:rPr>
              <w:t>4</w:t>
            </w:r>
          </w:p>
        </w:tc>
        <w:tc>
          <w:tcPr>
            <w:tcW w:w="1361" w:type="dxa"/>
            <w:tcBorders>
              <w:top w:val="single" w:sz="6" w:space="0" w:color="000000"/>
              <w:left w:val="single" w:sz="6" w:space="0" w:color="000000"/>
              <w:bottom w:val="single" w:sz="6" w:space="0" w:color="000000"/>
              <w:right w:val="single" w:sz="6" w:space="0" w:color="000000"/>
            </w:tcBorders>
            <w:vAlign w:val="center"/>
          </w:tcPr>
          <w:p w:rsidR="00D869A6" w:rsidRDefault="00D869A6" w:rsidP="003F6403">
            <w:pPr>
              <w:pStyle w:val="Tabletext"/>
              <w:framePr w:hSpace="181" w:wrap="notBeside" w:vAnchor="text" w:hAnchor="text" w:xAlign="center" w:y="1"/>
              <w:jc w:val="center"/>
              <w:rPr>
                <w:snapToGrid w:val="0"/>
                <w:lang w:val="fr-CH"/>
              </w:rPr>
            </w:pPr>
            <w:r>
              <w:rPr>
                <w:snapToGrid w:val="0"/>
                <w:lang w:val="fr-CH"/>
              </w:rPr>
              <w:t>4</w:t>
            </w:r>
          </w:p>
        </w:tc>
        <w:tc>
          <w:tcPr>
            <w:tcW w:w="1361" w:type="dxa"/>
            <w:tcBorders>
              <w:top w:val="single" w:sz="6" w:space="0" w:color="000000"/>
              <w:left w:val="single" w:sz="6" w:space="0" w:color="000000"/>
              <w:bottom w:val="single" w:sz="6" w:space="0" w:color="000000"/>
              <w:right w:val="single" w:sz="6" w:space="0" w:color="000000"/>
            </w:tcBorders>
            <w:vAlign w:val="center"/>
          </w:tcPr>
          <w:p w:rsidR="00D869A6" w:rsidRDefault="00D869A6" w:rsidP="003F6403">
            <w:pPr>
              <w:pStyle w:val="Tabletext"/>
              <w:framePr w:hSpace="181" w:wrap="notBeside" w:vAnchor="text" w:hAnchor="text" w:xAlign="center" w:y="1"/>
              <w:jc w:val="center"/>
              <w:rPr>
                <w:snapToGrid w:val="0"/>
                <w:lang w:val="fr-CH"/>
              </w:rPr>
            </w:pPr>
            <w:r>
              <w:rPr>
                <w:snapToGrid w:val="0"/>
                <w:lang w:val="fr-CH"/>
              </w:rPr>
              <w:t>5</w:t>
            </w:r>
          </w:p>
        </w:tc>
        <w:tc>
          <w:tcPr>
            <w:tcW w:w="1293" w:type="dxa"/>
            <w:tcBorders>
              <w:top w:val="single" w:sz="6" w:space="0" w:color="000000"/>
              <w:left w:val="single" w:sz="6" w:space="0" w:color="000000"/>
              <w:bottom w:val="single" w:sz="6" w:space="0" w:color="000000"/>
              <w:right w:val="single" w:sz="4" w:space="0" w:color="auto"/>
            </w:tcBorders>
            <w:vAlign w:val="center"/>
          </w:tcPr>
          <w:p w:rsidR="00D869A6" w:rsidRDefault="00D869A6" w:rsidP="003F6403">
            <w:pPr>
              <w:pStyle w:val="Tabletext"/>
              <w:framePr w:hSpace="181" w:wrap="notBeside" w:vAnchor="text" w:hAnchor="text" w:xAlign="center" w:y="1"/>
              <w:jc w:val="center"/>
              <w:rPr>
                <w:snapToGrid w:val="0"/>
                <w:lang w:val="fr-CH"/>
              </w:rPr>
            </w:pPr>
            <w:r>
              <w:rPr>
                <w:snapToGrid w:val="0"/>
                <w:lang w:val="fr-CH"/>
              </w:rPr>
              <w:t>7</w:t>
            </w:r>
          </w:p>
        </w:tc>
      </w:tr>
      <w:tr w:rsidR="00D869A6" w:rsidTr="00C5543B">
        <w:trPr>
          <w:cantSplit/>
        </w:trPr>
        <w:tc>
          <w:tcPr>
            <w:tcW w:w="4133" w:type="dxa"/>
            <w:tcBorders>
              <w:top w:val="single" w:sz="6" w:space="0" w:color="000000"/>
              <w:left w:val="single" w:sz="4" w:space="0" w:color="auto"/>
              <w:bottom w:val="single" w:sz="6" w:space="0" w:color="000000"/>
              <w:right w:val="single" w:sz="6" w:space="0" w:color="000000"/>
            </w:tcBorders>
          </w:tcPr>
          <w:p w:rsidR="00D869A6" w:rsidRDefault="00D869A6" w:rsidP="003F6403">
            <w:pPr>
              <w:pStyle w:val="Tabletext"/>
              <w:framePr w:hSpace="181" w:wrap="notBeside" w:vAnchor="text" w:hAnchor="text" w:xAlign="center" w:y="1"/>
              <w:jc w:val="left"/>
              <w:rPr>
                <w:snapToGrid w:val="0"/>
                <w:lang w:val="fr-CH"/>
              </w:rPr>
            </w:pPr>
            <w:r>
              <w:rPr>
                <w:snapToGrid w:val="0"/>
                <w:lang w:val="fr-CH"/>
              </w:rPr>
              <w:t xml:space="preserve">Bruit thermique du </w:t>
            </w:r>
            <w:r>
              <w:rPr>
                <w:lang w:val="fr-CH"/>
              </w:rPr>
              <w:t>récepteur</w:t>
            </w:r>
            <w:r>
              <w:rPr>
                <w:snapToGrid w:val="0"/>
                <w:lang w:val="fr-CH"/>
              </w:rPr>
              <w:t xml:space="preserve"> (dBW)</w:t>
            </w:r>
          </w:p>
        </w:tc>
        <w:tc>
          <w:tcPr>
            <w:tcW w:w="1491" w:type="dxa"/>
            <w:tcBorders>
              <w:top w:val="single" w:sz="6" w:space="0" w:color="000000"/>
              <w:left w:val="single" w:sz="6" w:space="0" w:color="000000"/>
              <w:bottom w:val="single" w:sz="6" w:space="0" w:color="000000"/>
              <w:right w:val="single" w:sz="6" w:space="0" w:color="000000"/>
            </w:tcBorders>
            <w:vAlign w:val="center"/>
          </w:tcPr>
          <w:p w:rsidR="00D869A6" w:rsidRDefault="00D869A6" w:rsidP="003F6403">
            <w:pPr>
              <w:pStyle w:val="Tabletext"/>
              <w:framePr w:hSpace="181" w:wrap="notBeside" w:vAnchor="text" w:hAnchor="text" w:xAlign="center" w:y="1"/>
              <w:jc w:val="center"/>
              <w:rPr>
                <w:snapToGrid w:val="0"/>
                <w:lang w:val="fr-CH"/>
              </w:rPr>
            </w:pPr>
            <w:r>
              <w:rPr>
                <w:snapToGrid w:val="0"/>
                <w:lang w:val="fr-CH"/>
              </w:rPr>
              <w:t>–124</w:t>
            </w:r>
          </w:p>
        </w:tc>
        <w:tc>
          <w:tcPr>
            <w:tcW w:w="1361" w:type="dxa"/>
            <w:tcBorders>
              <w:top w:val="single" w:sz="6" w:space="0" w:color="000000"/>
              <w:left w:val="single" w:sz="6" w:space="0" w:color="000000"/>
              <w:bottom w:val="single" w:sz="6" w:space="0" w:color="000000"/>
              <w:right w:val="single" w:sz="6" w:space="0" w:color="000000"/>
            </w:tcBorders>
            <w:vAlign w:val="center"/>
          </w:tcPr>
          <w:p w:rsidR="00D869A6" w:rsidRDefault="00D869A6" w:rsidP="003F6403">
            <w:pPr>
              <w:pStyle w:val="Tabletext"/>
              <w:framePr w:hSpace="181" w:wrap="notBeside" w:vAnchor="text" w:hAnchor="text" w:xAlign="center" w:y="1"/>
              <w:jc w:val="center"/>
              <w:rPr>
                <w:snapToGrid w:val="0"/>
                <w:lang w:val="fr-CH"/>
              </w:rPr>
            </w:pPr>
            <w:r>
              <w:rPr>
                <w:snapToGrid w:val="0"/>
                <w:lang w:val="fr-CH"/>
              </w:rPr>
              <w:t>–136</w:t>
            </w:r>
          </w:p>
        </w:tc>
        <w:tc>
          <w:tcPr>
            <w:tcW w:w="1361" w:type="dxa"/>
            <w:tcBorders>
              <w:top w:val="single" w:sz="6" w:space="0" w:color="000000"/>
              <w:left w:val="single" w:sz="6" w:space="0" w:color="000000"/>
              <w:bottom w:val="single" w:sz="6" w:space="0" w:color="000000"/>
              <w:right w:val="single" w:sz="6" w:space="0" w:color="000000"/>
            </w:tcBorders>
            <w:vAlign w:val="center"/>
          </w:tcPr>
          <w:p w:rsidR="00D869A6" w:rsidRDefault="00D869A6" w:rsidP="003F6403">
            <w:pPr>
              <w:pStyle w:val="Tabletext"/>
              <w:framePr w:hSpace="181" w:wrap="notBeside" w:vAnchor="text" w:hAnchor="text" w:xAlign="center" w:y="1"/>
              <w:jc w:val="center"/>
              <w:rPr>
                <w:snapToGrid w:val="0"/>
                <w:lang w:val="fr-CH"/>
              </w:rPr>
            </w:pPr>
            <w:r>
              <w:rPr>
                <w:snapToGrid w:val="0"/>
                <w:lang w:val="fr-CH"/>
              </w:rPr>
              <w:t>–132</w:t>
            </w:r>
          </w:p>
        </w:tc>
        <w:tc>
          <w:tcPr>
            <w:tcW w:w="1293" w:type="dxa"/>
            <w:tcBorders>
              <w:top w:val="single" w:sz="6" w:space="0" w:color="000000"/>
              <w:left w:val="single" w:sz="6" w:space="0" w:color="000000"/>
              <w:bottom w:val="single" w:sz="6" w:space="0" w:color="000000"/>
              <w:right w:val="single" w:sz="4" w:space="0" w:color="auto"/>
            </w:tcBorders>
            <w:vAlign w:val="center"/>
          </w:tcPr>
          <w:p w:rsidR="00D869A6" w:rsidRDefault="00D869A6" w:rsidP="003F6403">
            <w:pPr>
              <w:pStyle w:val="Tabletext"/>
              <w:framePr w:hSpace="181" w:wrap="notBeside" w:vAnchor="text" w:hAnchor="text" w:xAlign="center" w:y="1"/>
              <w:jc w:val="center"/>
              <w:rPr>
                <w:snapToGrid w:val="0"/>
                <w:lang w:val="fr-CH"/>
              </w:rPr>
            </w:pPr>
            <w:r>
              <w:rPr>
                <w:snapToGrid w:val="0"/>
                <w:lang w:val="fr-CH"/>
              </w:rPr>
              <w:t>–129</w:t>
            </w:r>
          </w:p>
        </w:tc>
      </w:tr>
      <w:tr w:rsidR="00D869A6" w:rsidTr="00C5543B">
        <w:trPr>
          <w:cantSplit/>
        </w:trPr>
        <w:tc>
          <w:tcPr>
            <w:tcW w:w="4133" w:type="dxa"/>
            <w:tcBorders>
              <w:top w:val="single" w:sz="6" w:space="0" w:color="000000"/>
              <w:left w:val="single" w:sz="4" w:space="0" w:color="auto"/>
              <w:bottom w:val="single" w:sz="6" w:space="0" w:color="000000"/>
              <w:right w:val="single" w:sz="6" w:space="0" w:color="000000"/>
            </w:tcBorders>
          </w:tcPr>
          <w:p w:rsidR="00D869A6" w:rsidRDefault="00D869A6" w:rsidP="003F6403">
            <w:pPr>
              <w:pStyle w:val="Tabletext"/>
              <w:framePr w:hSpace="181" w:wrap="notBeside" w:vAnchor="text" w:hAnchor="text" w:xAlign="center" w:y="1"/>
              <w:jc w:val="left"/>
              <w:rPr>
                <w:snapToGrid w:val="0"/>
                <w:lang w:val="fr-CH"/>
              </w:rPr>
            </w:pPr>
            <w:r>
              <w:rPr>
                <w:snapToGrid w:val="0"/>
                <w:lang w:val="fr-CH"/>
              </w:rPr>
              <w:t>Brouillage nominal à long terme (dBW)</w:t>
            </w:r>
          </w:p>
        </w:tc>
        <w:tc>
          <w:tcPr>
            <w:tcW w:w="1491" w:type="dxa"/>
            <w:tcBorders>
              <w:top w:val="single" w:sz="6" w:space="0" w:color="000000"/>
              <w:left w:val="single" w:sz="6" w:space="0" w:color="000000"/>
              <w:bottom w:val="single" w:sz="6" w:space="0" w:color="000000"/>
              <w:right w:val="single" w:sz="6" w:space="0" w:color="000000"/>
            </w:tcBorders>
            <w:vAlign w:val="center"/>
          </w:tcPr>
          <w:p w:rsidR="00D869A6" w:rsidRDefault="00D869A6" w:rsidP="003F6403">
            <w:pPr>
              <w:pStyle w:val="Tabletext"/>
              <w:framePr w:hSpace="181" w:wrap="notBeside" w:vAnchor="text" w:hAnchor="text" w:xAlign="center" w:y="1"/>
              <w:jc w:val="center"/>
              <w:rPr>
                <w:snapToGrid w:val="0"/>
                <w:lang w:val="fr-CH"/>
              </w:rPr>
            </w:pPr>
            <w:r>
              <w:rPr>
                <w:snapToGrid w:val="0"/>
                <w:lang w:val="fr-CH"/>
              </w:rPr>
              <w:t>–134</w:t>
            </w:r>
          </w:p>
        </w:tc>
        <w:tc>
          <w:tcPr>
            <w:tcW w:w="1361" w:type="dxa"/>
            <w:tcBorders>
              <w:top w:val="single" w:sz="6" w:space="0" w:color="000000"/>
              <w:left w:val="single" w:sz="6" w:space="0" w:color="000000"/>
              <w:bottom w:val="single" w:sz="6" w:space="0" w:color="000000"/>
              <w:right w:val="single" w:sz="6" w:space="0" w:color="000000"/>
            </w:tcBorders>
            <w:vAlign w:val="center"/>
          </w:tcPr>
          <w:p w:rsidR="00D869A6" w:rsidRDefault="00D869A6" w:rsidP="003F6403">
            <w:pPr>
              <w:pStyle w:val="Tabletext"/>
              <w:framePr w:hSpace="181" w:wrap="notBeside" w:vAnchor="text" w:hAnchor="text" w:xAlign="center" w:y="1"/>
              <w:jc w:val="center"/>
              <w:rPr>
                <w:snapToGrid w:val="0"/>
                <w:lang w:val="fr-CH"/>
              </w:rPr>
            </w:pPr>
            <w:r>
              <w:rPr>
                <w:snapToGrid w:val="0"/>
                <w:lang w:val="fr-CH"/>
              </w:rPr>
              <w:t>–146</w:t>
            </w:r>
          </w:p>
        </w:tc>
        <w:tc>
          <w:tcPr>
            <w:tcW w:w="1361" w:type="dxa"/>
            <w:tcBorders>
              <w:top w:val="single" w:sz="6" w:space="0" w:color="000000"/>
              <w:left w:val="single" w:sz="6" w:space="0" w:color="000000"/>
              <w:bottom w:val="single" w:sz="6" w:space="0" w:color="000000"/>
              <w:right w:val="single" w:sz="6" w:space="0" w:color="000000"/>
            </w:tcBorders>
            <w:vAlign w:val="center"/>
          </w:tcPr>
          <w:p w:rsidR="00D869A6" w:rsidRDefault="00D869A6" w:rsidP="003F6403">
            <w:pPr>
              <w:pStyle w:val="Tabletext"/>
              <w:framePr w:hSpace="181" w:wrap="notBeside" w:vAnchor="text" w:hAnchor="text" w:xAlign="center" w:y="1"/>
              <w:jc w:val="center"/>
              <w:rPr>
                <w:snapToGrid w:val="0"/>
                <w:lang w:val="fr-CH"/>
              </w:rPr>
            </w:pPr>
            <w:r>
              <w:rPr>
                <w:snapToGrid w:val="0"/>
                <w:lang w:val="fr-CH"/>
              </w:rPr>
              <w:t>–142</w:t>
            </w:r>
          </w:p>
        </w:tc>
        <w:tc>
          <w:tcPr>
            <w:tcW w:w="1293" w:type="dxa"/>
            <w:tcBorders>
              <w:top w:val="single" w:sz="6" w:space="0" w:color="000000"/>
              <w:left w:val="single" w:sz="6" w:space="0" w:color="000000"/>
              <w:bottom w:val="single" w:sz="6" w:space="0" w:color="000000"/>
              <w:right w:val="single" w:sz="4" w:space="0" w:color="auto"/>
            </w:tcBorders>
            <w:vAlign w:val="center"/>
          </w:tcPr>
          <w:p w:rsidR="00D869A6" w:rsidRDefault="00D869A6" w:rsidP="003F6403">
            <w:pPr>
              <w:pStyle w:val="Tabletext"/>
              <w:framePr w:hSpace="181" w:wrap="notBeside" w:vAnchor="text" w:hAnchor="text" w:xAlign="center" w:y="1"/>
              <w:jc w:val="center"/>
              <w:rPr>
                <w:snapToGrid w:val="0"/>
                <w:lang w:val="fr-CH"/>
              </w:rPr>
            </w:pPr>
            <w:r>
              <w:rPr>
                <w:snapToGrid w:val="0"/>
                <w:lang w:val="fr-CH"/>
              </w:rPr>
              <w:t>–139</w:t>
            </w:r>
          </w:p>
        </w:tc>
      </w:tr>
      <w:tr w:rsidR="00D869A6" w:rsidTr="00C5543B">
        <w:trPr>
          <w:cantSplit/>
        </w:trPr>
        <w:tc>
          <w:tcPr>
            <w:tcW w:w="4133" w:type="dxa"/>
            <w:tcBorders>
              <w:top w:val="single" w:sz="6" w:space="0" w:color="000000"/>
              <w:left w:val="single" w:sz="4" w:space="0" w:color="auto"/>
              <w:bottom w:val="single" w:sz="6" w:space="0" w:color="000000"/>
              <w:right w:val="single" w:sz="6" w:space="0" w:color="000000"/>
            </w:tcBorders>
          </w:tcPr>
          <w:p w:rsidR="00D869A6" w:rsidRDefault="00D869A6" w:rsidP="003F6403">
            <w:pPr>
              <w:pStyle w:val="Tabletext"/>
              <w:framePr w:hSpace="181" w:wrap="notBeside" w:vAnchor="text" w:hAnchor="text" w:xAlign="center" w:y="1"/>
              <w:jc w:val="left"/>
              <w:rPr>
                <w:snapToGrid w:val="0"/>
                <w:lang w:val="fr-CH"/>
              </w:rPr>
            </w:pPr>
            <w:r>
              <w:rPr>
                <w:snapToGrid w:val="0"/>
                <w:lang w:val="fr-CH"/>
              </w:rPr>
              <w:t>Densité spectrale (dB(W/MHz))</w:t>
            </w:r>
          </w:p>
        </w:tc>
        <w:tc>
          <w:tcPr>
            <w:tcW w:w="1491" w:type="dxa"/>
            <w:tcBorders>
              <w:top w:val="single" w:sz="6" w:space="0" w:color="000000"/>
              <w:left w:val="single" w:sz="6" w:space="0" w:color="000000"/>
              <w:bottom w:val="single" w:sz="6" w:space="0" w:color="000000"/>
              <w:right w:val="single" w:sz="6" w:space="0" w:color="000000"/>
            </w:tcBorders>
            <w:vAlign w:val="center"/>
          </w:tcPr>
          <w:p w:rsidR="00D869A6" w:rsidRDefault="00D869A6" w:rsidP="003F6403">
            <w:pPr>
              <w:pStyle w:val="Tabletext"/>
              <w:framePr w:hSpace="181" w:wrap="notBeside" w:vAnchor="text" w:hAnchor="text" w:xAlign="center" w:y="1"/>
              <w:jc w:val="center"/>
              <w:rPr>
                <w:snapToGrid w:val="0"/>
                <w:lang w:val="fr-CH"/>
              </w:rPr>
            </w:pPr>
            <w:r>
              <w:rPr>
                <w:snapToGrid w:val="0"/>
                <w:lang w:val="fr-CH"/>
              </w:rPr>
              <w:t>–150,0</w:t>
            </w:r>
          </w:p>
        </w:tc>
        <w:tc>
          <w:tcPr>
            <w:tcW w:w="1361" w:type="dxa"/>
            <w:tcBorders>
              <w:top w:val="single" w:sz="6" w:space="0" w:color="000000"/>
              <w:left w:val="single" w:sz="6" w:space="0" w:color="000000"/>
              <w:bottom w:val="single" w:sz="6" w:space="0" w:color="000000"/>
              <w:right w:val="single" w:sz="6" w:space="0" w:color="000000"/>
            </w:tcBorders>
            <w:vAlign w:val="center"/>
          </w:tcPr>
          <w:p w:rsidR="00D869A6" w:rsidRDefault="00D869A6" w:rsidP="003F6403">
            <w:pPr>
              <w:pStyle w:val="Tabletext"/>
              <w:framePr w:hSpace="181" w:wrap="notBeside" w:vAnchor="text" w:hAnchor="text" w:xAlign="center" w:y="1"/>
              <w:jc w:val="center"/>
              <w:rPr>
                <w:snapToGrid w:val="0"/>
                <w:lang w:val="fr-CH"/>
              </w:rPr>
            </w:pPr>
            <w:r>
              <w:rPr>
                <w:snapToGrid w:val="0"/>
                <w:lang w:val="fr-CH"/>
              </w:rPr>
              <w:t>–149,8</w:t>
            </w:r>
          </w:p>
        </w:tc>
        <w:tc>
          <w:tcPr>
            <w:tcW w:w="1361" w:type="dxa"/>
            <w:tcBorders>
              <w:top w:val="single" w:sz="6" w:space="0" w:color="000000"/>
              <w:left w:val="single" w:sz="6" w:space="0" w:color="000000"/>
              <w:bottom w:val="single" w:sz="6" w:space="0" w:color="000000"/>
              <w:right w:val="single" w:sz="6" w:space="0" w:color="000000"/>
            </w:tcBorders>
            <w:vAlign w:val="center"/>
          </w:tcPr>
          <w:p w:rsidR="00D869A6" w:rsidRDefault="00D869A6" w:rsidP="003F6403">
            <w:pPr>
              <w:pStyle w:val="Tabletext"/>
              <w:framePr w:hSpace="181" w:wrap="notBeside" w:vAnchor="text" w:hAnchor="text" w:xAlign="center" w:y="1"/>
              <w:jc w:val="center"/>
              <w:rPr>
                <w:snapToGrid w:val="0"/>
                <w:lang w:val="fr-CH"/>
              </w:rPr>
            </w:pPr>
            <w:r>
              <w:rPr>
                <w:snapToGrid w:val="0"/>
                <w:lang w:val="fr-CH"/>
              </w:rPr>
              <w:t>–149,0</w:t>
            </w:r>
          </w:p>
        </w:tc>
        <w:tc>
          <w:tcPr>
            <w:tcW w:w="1293" w:type="dxa"/>
            <w:tcBorders>
              <w:top w:val="single" w:sz="6" w:space="0" w:color="000000"/>
              <w:left w:val="single" w:sz="6" w:space="0" w:color="000000"/>
              <w:bottom w:val="single" w:sz="6" w:space="0" w:color="000000"/>
              <w:right w:val="single" w:sz="4" w:space="0" w:color="auto"/>
            </w:tcBorders>
            <w:vAlign w:val="center"/>
          </w:tcPr>
          <w:p w:rsidR="00D869A6" w:rsidRDefault="00D869A6" w:rsidP="003F6403">
            <w:pPr>
              <w:pStyle w:val="Tabletext"/>
              <w:framePr w:hSpace="181" w:wrap="notBeside" w:vAnchor="text" w:hAnchor="text" w:xAlign="center" w:y="1"/>
              <w:jc w:val="center"/>
              <w:rPr>
                <w:snapToGrid w:val="0"/>
                <w:lang w:val="fr-CH"/>
              </w:rPr>
            </w:pPr>
            <w:r>
              <w:rPr>
                <w:snapToGrid w:val="0"/>
                <w:lang w:val="fr-CH"/>
              </w:rPr>
              <w:t>–149,0</w:t>
            </w:r>
          </w:p>
        </w:tc>
      </w:tr>
      <w:tr w:rsidR="00D869A6" w:rsidTr="00C5543B">
        <w:trPr>
          <w:cantSplit/>
        </w:trPr>
        <w:tc>
          <w:tcPr>
            <w:tcW w:w="4133" w:type="dxa"/>
            <w:tcBorders>
              <w:top w:val="single" w:sz="6" w:space="0" w:color="000000"/>
              <w:left w:val="single" w:sz="4" w:space="0" w:color="auto"/>
              <w:bottom w:val="single" w:sz="6" w:space="0" w:color="000000"/>
              <w:right w:val="single" w:sz="6" w:space="0" w:color="000000"/>
            </w:tcBorders>
          </w:tcPr>
          <w:p w:rsidR="00D869A6" w:rsidRDefault="00D869A6" w:rsidP="003F6403">
            <w:pPr>
              <w:pStyle w:val="Tabletext"/>
              <w:framePr w:hSpace="181" w:wrap="notBeside" w:vAnchor="text" w:hAnchor="text" w:xAlign="center" w:y="1"/>
              <w:jc w:val="left"/>
              <w:rPr>
                <w:snapToGrid w:val="0"/>
                <w:lang w:val="fr-CH"/>
              </w:rPr>
            </w:pPr>
            <w:r>
              <w:rPr>
                <w:snapToGrid w:val="0"/>
                <w:lang w:val="fr-CH"/>
              </w:rPr>
              <w:t>Valeur maximale de la puissance surfacique pour une seule source de brouillage et un petit angle d'incidence</w:t>
            </w:r>
            <w:r>
              <w:rPr>
                <w:snapToGrid w:val="0"/>
                <w:vertAlign w:val="superscript"/>
                <w:lang w:val="fr-CH"/>
              </w:rPr>
              <w:t>(1)</w:t>
            </w:r>
            <w:r>
              <w:rPr>
                <w:snapToGrid w:val="0"/>
                <w:lang w:val="fr-CH"/>
              </w:rPr>
              <w:t xml:space="preserve"> </w:t>
            </w:r>
            <w:r>
              <w:rPr>
                <w:snapToGrid w:val="0"/>
              </w:rPr>
              <w:t>(dB(W/(m</w:t>
            </w:r>
            <w:r>
              <w:rPr>
                <w:snapToGrid w:val="0"/>
                <w:vertAlign w:val="superscript"/>
              </w:rPr>
              <w:t>2</w:t>
            </w:r>
            <w:r>
              <w:rPr>
                <w:snapToGrid w:val="0"/>
              </w:rPr>
              <w:t>/MHz)))</w:t>
            </w:r>
          </w:p>
        </w:tc>
        <w:tc>
          <w:tcPr>
            <w:tcW w:w="1491" w:type="dxa"/>
            <w:tcBorders>
              <w:top w:val="single" w:sz="6" w:space="0" w:color="000000"/>
              <w:left w:val="single" w:sz="6" w:space="0" w:color="000000"/>
              <w:bottom w:val="single" w:sz="6" w:space="0" w:color="000000"/>
              <w:right w:val="single" w:sz="6" w:space="0" w:color="000000"/>
            </w:tcBorders>
            <w:vAlign w:val="center"/>
          </w:tcPr>
          <w:p w:rsidR="00D869A6" w:rsidRDefault="00D869A6" w:rsidP="003F6403">
            <w:pPr>
              <w:pStyle w:val="Tabletext"/>
              <w:framePr w:hSpace="181" w:wrap="notBeside" w:vAnchor="text" w:hAnchor="text" w:xAlign="center" w:y="1"/>
              <w:jc w:val="center"/>
              <w:rPr>
                <w:snapToGrid w:val="0"/>
                <w:lang w:val="fr-CH"/>
              </w:rPr>
            </w:pPr>
            <w:r>
              <w:rPr>
                <w:snapToGrid w:val="0"/>
                <w:lang w:val="fr-CH"/>
              </w:rPr>
              <w:t>–149,0</w:t>
            </w:r>
          </w:p>
        </w:tc>
        <w:tc>
          <w:tcPr>
            <w:tcW w:w="1361" w:type="dxa"/>
            <w:tcBorders>
              <w:top w:val="single" w:sz="6" w:space="0" w:color="000000"/>
              <w:left w:val="single" w:sz="6" w:space="0" w:color="000000"/>
              <w:bottom w:val="single" w:sz="6" w:space="0" w:color="000000"/>
              <w:right w:val="single" w:sz="6" w:space="0" w:color="000000"/>
            </w:tcBorders>
            <w:vAlign w:val="center"/>
          </w:tcPr>
          <w:p w:rsidR="00D869A6" w:rsidRDefault="00D869A6" w:rsidP="003F6403">
            <w:pPr>
              <w:pStyle w:val="Tabletext"/>
              <w:framePr w:hSpace="181" w:wrap="notBeside" w:vAnchor="text" w:hAnchor="text" w:xAlign="center" w:y="1"/>
              <w:jc w:val="center"/>
              <w:rPr>
                <w:snapToGrid w:val="0"/>
                <w:lang w:val="fr-CH"/>
              </w:rPr>
            </w:pPr>
            <w:r>
              <w:rPr>
                <w:snapToGrid w:val="0"/>
                <w:lang w:val="fr-CH"/>
              </w:rPr>
              <w:t>–147,0</w:t>
            </w:r>
          </w:p>
        </w:tc>
        <w:tc>
          <w:tcPr>
            <w:tcW w:w="1361" w:type="dxa"/>
            <w:tcBorders>
              <w:top w:val="single" w:sz="6" w:space="0" w:color="000000"/>
              <w:left w:val="single" w:sz="6" w:space="0" w:color="000000"/>
              <w:bottom w:val="single" w:sz="6" w:space="0" w:color="000000"/>
              <w:right w:val="single" w:sz="6" w:space="0" w:color="000000"/>
            </w:tcBorders>
            <w:vAlign w:val="center"/>
          </w:tcPr>
          <w:p w:rsidR="00D869A6" w:rsidRDefault="00D869A6" w:rsidP="003F6403">
            <w:pPr>
              <w:pStyle w:val="Tabletext"/>
              <w:framePr w:hSpace="181" w:wrap="notBeside" w:vAnchor="text" w:hAnchor="text" w:xAlign="center" w:y="1"/>
              <w:jc w:val="center"/>
              <w:rPr>
                <w:snapToGrid w:val="0"/>
                <w:lang w:val="fr-CH"/>
              </w:rPr>
            </w:pPr>
            <w:r>
              <w:rPr>
                <w:snapToGrid w:val="0"/>
                <w:lang w:val="fr-CH"/>
              </w:rPr>
              <w:t>–136,0</w:t>
            </w:r>
          </w:p>
        </w:tc>
        <w:tc>
          <w:tcPr>
            <w:tcW w:w="1293" w:type="dxa"/>
            <w:tcBorders>
              <w:top w:val="single" w:sz="6" w:space="0" w:color="000000"/>
              <w:left w:val="single" w:sz="6" w:space="0" w:color="000000"/>
              <w:bottom w:val="single" w:sz="6" w:space="0" w:color="000000"/>
              <w:right w:val="single" w:sz="4" w:space="0" w:color="auto"/>
            </w:tcBorders>
            <w:vAlign w:val="center"/>
          </w:tcPr>
          <w:p w:rsidR="00D869A6" w:rsidRDefault="00D869A6" w:rsidP="003F6403">
            <w:pPr>
              <w:pStyle w:val="Tabletext"/>
              <w:framePr w:hSpace="181" w:wrap="notBeside" w:vAnchor="text" w:hAnchor="text" w:xAlign="center" w:y="1"/>
              <w:jc w:val="center"/>
              <w:rPr>
                <w:snapToGrid w:val="0"/>
                <w:lang w:val="fr-CH"/>
              </w:rPr>
            </w:pPr>
            <w:r>
              <w:rPr>
                <w:snapToGrid w:val="0"/>
                <w:lang w:val="fr-CH"/>
              </w:rPr>
              <w:t>–142,0</w:t>
            </w:r>
          </w:p>
        </w:tc>
      </w:tr>
      <w:tr w:rsidR="00D869A6" w:rsidTr="00C5543B">
        <w:trPr>
          <w:cantSplit/>
        </w:trPr>
        <w:tc>
          <w:tcPr>
            <w:tcW w:w="9639" w:type="dxa"/>
            <w:gridSpan w:val="5"/>
            <w:tcBorders>
              <w:top w:val="single" w:sz="6" w:space="0" w:color="000000"/>
              <w:left w:val="nil"/>
              <w:bottom w:val="nil"/>
              <w:right w:val="nil"/>
            </w:tcBorders>
          </w:tcPr>
          <w:p w:rsidR="00D869A6" w:rsidRDefault="00D869A6" w:rsidP="003F6403">
            <w:pPr>
              <w:pStyle w:val="Tablelegend"/>
              <w:framePr w:hSpace="181" w:wrap="notBeside" w:vAnchor="text" w:hAnchor="text" w:xAlign="center" w:y="1"/>
              <w:rPr>
                <w:snapToGrid w:val="0"/>
                <w:lang w:val="fr-CH"/>
              </w:rPr>
            </w:pPr>
            <w:r>
              <w:rPr>
                <w:snapToGrid w:val="0"/>
                <w:vertAlign w:val="superscript"/>
                <w:lang w:val="fr-CH"/>
              </w:rPr>
              <w:t>(1)</w:t>
            </w:r>
            <w:r>
              <w:rPr>
                <w:snapToGrid w:val="0"/>
                <w:lang w:val="fr-CH"/>
              </w:rPr>
              <w:tab/>
              <w:t xml:space="preserve">puissance surfacique </w:t>
            </w:r>
            <w:r>
              <w:rPr>
                <w:rFonts w:ascii="Symbol" w:hAnsi="Symbol"/>
                <w:snapToGrid w:val="0"/>
                <w:lang w:val="fr-CH"/>
              </w:rPr>
              <w:t></w:t>
            </w:r>
            <w:r>
              <w:rPr>
                <w:snapToGrid w:val="0"/>
                <w:lang w:val="fr-CH"/>
              </w:rPr>
              <w:t xml:space="preserve"> densité spectrale de brouillage </w:t>
            </w:r>
            <w:r>
              <w:rPr>
                <w:rFonts w:ascii="Symbol" w:hAnsi="Symbol"/>
                <w:snapToGrid w:val="0"/>
                <w:lang w:val="fr-CH"/>
              </w:rPr>
              <w:t></w:t>
            </w:r>
            <w:r>
              <w:rPr>
                <w:snapToGrid w:val="0"/>
                <w:lang w:val="fr-CH"/>
              </w:rPr>
              <w:t xml:space="preserve"> affaiblissement dans la ligne d'alimentation – gain d'antenne – gain (1 m</w:t>
            </w:r>
            <w:r>
              <w:rPr>
                <w:snapToGrid w:val="0"/>
                <w:vertAlign w:val="superscript"/>
                <w:lang w:val="fr-CH"/>
              </w:rPr>
              <w:t>2</w:t>
            </w:r>
            <w:r>
              <w:rPr>
                <w:snapToGrid w:val="0"/>
                <w:lang w:val="fr-CH"/>
              </w:rPr>
              <w:t xml:space="preserve">) </w:t>
            </w:r>
            <w:r>
              <w:rPr>
                <w:rFonts w:ascii="Symbol" w:hAnsi="Symbol"/>
                <w:snapToGrid w:val="0"/>
                <w:lang w:val="fr-CH"/>
              </w:rPr>
              <w:t></w:t>
            </w:r>
            <w:r>
              <w:rPr>
                <w:snapToGrid w:val="0"/>
                <w:lang w:val="fr-CH"/>
              </w:rPr>
              <w:t xml:space="preserve"> discrimination de 3 dB entre les polarisations rectiligne et circulaire.</w:t>
            </w:r>
          </w:p>
        </w:tc>
      </w:tr>
    </w:tbl>
    <w:p w:rsidR="00D869A6" w:rsidRDefault="00D869A6" w:rsidP="003F6403">
      <w:pPr>
        <w:pStyle w:val="Tablefin"/>
        <w:rPr>
          <w:lang w:val="fr-CH"/>
        </w:rPr>
      </w:pPr>
    </w:p>
    <w:p w:rsidR="00D869A6" w:rsidRDefault="00D869A6" w:rsidP="003F6403">
      <w:pPr>
        <w:pStyle w:val="Heading1"/>
        <w:rPr>
          <w:lang w:val="fr-CH"/>
        </w:rPr>
      </w:pPr>
      <w:r>
        <w:rPr>
          <w:lang w:val="fr-CH"/>
        </w:rPr>
        <w:t>4</w:t>
      </w:r>
      <w:r>
        <w:rPr>
          <w:lang w:val="fr-CH"/>
        </w:rPr>
        <w:tab/>
        <w:t>Caractéristiques du système à SRD exploité dans la bande 14,8</w:t>
      </w:r>
      <w:r>
        <w:rPr>
          <w:lang w:val="fr-CH"/>
        </w:rPr>
        <w:noBreakHyphen/>
        <w:t>15,35 GHz</w:t>
      </w:r>
    </w:p>
    <w:p w:rsidR="00D869A6" w:rsidRDefault="00D869A6" w:rsidP="00E4030D">
      <w:pPr>
        <w:rPr>
          <w:lang w:val="fr-CH"/>
        </w:rPr>
      </w:pPr>
      <w:r>
        <w:rPr>
          <w:lang w:val="fr-CH"/>
        </w:rPr>
        <w:t>Le réseau à SRD comprend plusieurs satellites OSG utilisés pour retransmettre des signaux entre stations terriennes situées dans une zone centrale et satellites utilisateurs en orbite basse. Ce réseau SRD utilise des fréquences attribuées au service de recherche spatiale dans les bandes des 2 GHz et des 13</w:t>
      </w:r>
      <w:r>
        <w:rPr>
          <w:lang w:val="fr-CH"/>
        </w:rPr>
        <w:noBreakHyphen/>
        <w:t>15 GHz, ainsi que les bandes attribuées au service inter-satellites dans les bandes des 23/26 GHz. Le plan de fréquences correspondant au segment de bande 14,8</w:t>
      </w:r>
      <w:r>
        <w:rPr>
          <w:lang w:val="fr-CH"/>
        </w:rPr>
        <w:noBreakHyphen/>
        <w:t>15,35 GHz illustré sur la Fig. 2, montre que le SRD reçoit des signaux dans cette bande. Les émissions dans le sens Terre vers espace comprennent une onde pilote, un signal à accès multiple qui sera retransmis dans la bande 2</w:t>
      </w:r>
      <w:r w:rsidR="00E4030D">
        <w:rPr>
          <w:lang w:val="fr-CH"/>
        </w:rPr>
        <w:t> </w:t>
      </w:r>
      <w:r>
        <w:rPr>
          <w:lang w:val="fr-CH"/>
        </w:rPr>
        <w:t>025</w:t>
      </w:r>
      <w:r>
        <w:rPr>
          <w:lang w:val="fr-CH"/>
        </w:rPr>
        <w:noBreakHyphen/>
        <w:t>2 110 MHz et un signal à accès unique (KSA2) qui sera transmis dans une bande centrée à 13,775 GHz. Ces émissions dans le sens Terre vers espace proviennent de stations terriennes situées aux Etats</w:t>
      </w:r>
      <w:r>
        <w:rPr>
          <w:lang w:val="fr-CH"/>
        </w:rPr>
        <w:noBreakHyphen/>
        <w:t>Unis d'Amérique et sur l'île de Guam.</w:t>
      </w:r>
      <w:r w:rsidR="00A73675">
        <w:rPr>
          <w:lang w:val="fr-CH"/>
        </w:rPr>
        <w:t xml:space="preserve"> Il ressort également de la Fig</w:t>
      </w:r>
      <w:r w:rsidR="00E4030D">
        <w:rPr>
          <w:lang w:val="fr-CH"/>
        </w:rPr>
        <w:t>.</w:t>
      </w:r>
      <w:r>
        <w:rPr>
          <w:lang w:val="fr-CH"/>
        </w:rPr>
        <w:t> 2 que le SRD reçoit des signaux dans le sens espace-espace en provenance du satellite en orbite basse. Ces émissions sont centrées à 15 GHz environ et occupent une largeur de bande pouvant aller jusqu'à 225 MHz.</w:t>
      </w:r>
    </w:p>
    <w:p w:rsidR="00BC2CE7" w:rsidRDefault="00BC2CE7" w:rsidP="00BC2CE7">
      <w:pPr>
        <w:pStyle w:val="FigureNo"/>
        <w:rPr>
          <w:lang w:val="fr-CH"/>
        </w:rPr>
      </w:pPr>
      <w:r>
        <w:rPr>
          <w:lang w:val="fr-CH"/>
        </w:rPr>
        <w:br w:type="page"/>
      </w:r>
    </w:p>
    <w:p w:rsidR="00BC2CE7" w:rsidRDefault="00BC2CE7" w:rsidP="00BC2CE7">
      <w:pPr>
        <w:pStyle w:val="FigureNo"/>
        <w:rPr>
          <w:lang w:val="fr-CH"/>
        </w:rPr>
      </w:pPr>
      <w:r>
        <w:rPr>
          <w:lang w:val="fr-CH"/>
        </w:rPr>
        <w:t>FIGURE 1</w:t>
      </w:r>
    </w:p>
    <w:p w:rsidR="00BC2CE7" w:rsidRDefault="00BC2CE7" w:rsidP="00BC2CE7">
      <w:pPr>
        <w:pStyle w:val="Figuretitle"/>
        <w:rPr>
          <w:lang w:val="fr-CH"/>
        </w:rPr>
      </w:pPr>
      <w:r>
        <w:rPr>
          <w:lang w:val="fr-CH"/>
        </w:rPr>
        <w:t>Architecture d'un réseau à SRD (Recommandation UIT-R SA.1018)</w:t>
      </w:r>
    </w:p>
    <w:p w:rsidR="00BC2CE7" w:rsidRDefault="0007641C" w:rsidP="00E4030D">
      <w:pPr>
        <w:pStyle w:val="Figure"/>
        <w:rPr>
          <w:lang w:val="fr-CH"/>
        </w:rPr>
      </w:pPr>
      <w:r>
        <w:rPr>
          <w:lang w:val="fr-CH"/>
        </w:rPr>
        <w:object w:dxaOrig="4119" w:dyaOrig="52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3pt;height:261.05pt" o:ole="">
            <v:imagedata r:id="rId14" o:title=""/>
          </v:shape>
          <o:OLEObject Type="Embed" ProgID="CorelDRAW.Graphic.14" ShapeID="_x0000_i1025" DrawAspect="Content" ObjectID="_1475498913" r:id="rId15"/>
        </w:object>
      </w:r>
    </w:p>
    <w:p w:rsidR="00BC2CE7" w:rsidRDefault="00BC2CE7" w:rsidP="00BC2CE7">
      <w:pPr>
        <w:pStyle w:val="FigureNo"/>
        <w:rPr>
          <w:lang w:val="fr-CH"/>
        </w:rPr>
      </w:pPr>
      <w:r>
        <w:rPr>
          <w:lang w:val="fr-CH"/>
        </w:rPr>
        <w:t>FIGURE 2</w:t>
      </w:r>
    </w:p>
    <w:p w:rsidR="00BC2CE7" w:rsidRDefault="00BC2CE7" w:rsidP="00BC2CE7">
      <w:pPr>
        <w:pStyle w:val="Figuretitle"/>
        <w:rPr>
          <w:lang w:val="fr-CH"/>
        </w:rPr>
      </w:pPr>
      <w:r>
        <w:rPr>
          <w:lang w:val="fr-CH"/>
        </w:rPr>
        <w:t>Utilisation des fréquences d'un réseau à SRD exploité dans la bande 14,8-15,3 GHz</w:t>
      </w:r>
    </w:p>
    <w:p w:rsidR="008D03FF" w:rsidRDefault="00917C2D" w:rsidP="00E4030D">
      <w:pPr>
        <w:pStyle w:val="Figure"/>
        <w:rPr>
          <w:lang w:val="fr-CH"/>
        </w:rPr>
      </w:pPr>
      <w:r>
        <w:rPr>
          <w:lang w:val="fr-CH"/>
        </w:rPr>
        <w:object w:dxaOrig="4501" w:dyaOrig="2303">
          <v:shape id="_x0000_i1026" type="#_x0000_t75" style="width:224.85pt;height:115.3pt" o:ole="">
            <v:imagedata r:id="rId16" o:title=""/>
          </v:shape>
          <o:OLEObject Type="Embed" ProgID="CorelDRAW.Graphic.14" ShapeID="_x0000_i1026" DrawAspect="Content" ObjectID="_1475498914" r:id="rId17"/>
        </w:object>
      </w:r>
    </w:p>
    <w:p w:rsidR="00D869A6" w:rsidRDefault="00D869A6" w:rsidP="00E16B3C">
      <w:pPr>
        <w:pStyle w:val="Heading1"/>
        <w:spacing w:before="360"/>
        <w:rPr>
          <w:lang w:val="fr-CH"/>
        </w:rPr>
      </w:pPr>
      <w:r>
        <w:rPr>
          <w:lang w:val="fr-CH"/>
        </w:rPr>
        <w:t>5</w:t>
      </w:r>
      <w:r>
        <w:rPr>
          <w:lang w:val="fr-CH"/>
        </w:rPr>
        <w:tab/>
        <w:t>Protection des stations du service fixe/mobile contre les brouillages causés par des stations spatiales du service de recherche spatiale</w:t>
      </w:r>
    </w:p>
    <w:p w:rsidR="00D869A6" w:rsidRDefault="00D869A6">
      <w:pPr>
        <w:rPr>
          <w:snapToGrid w:val="0"/>
          <w:lang w:val="fr-CH"/>
        </w:rPr>
      </w:pPr>
      <w:r>
        <w:rPr>
          <w:snapToGrid w:val="0"/>
          <w:lang w:val="fr-CH"/>
        </w:rPr>
        <w:t xml:space="preserve">Les critères de protection du service fixe contre les différents brouillages, variables dans le temps, occasionnés par exemple, par des satellites </w:t>
      </w:r>
      <w:r w:rsidR="00C13223">
        <w:rPr>
          <w:snapToGrid w:val="0"/>
          <w:lang w:val="fr-CH"/>
        </w:rPr>
        <w:t>non</w:t>
      </w:r>
      <w:r w:rsidR="00C13223">
        <w:rPr>
          <w:snapToGrid w:val="0"/>
          <w:lang w:val="fr-CH"/>
        </w:rPr>
        <w:noBreakHyphen/>
      </w:r>
      <w:r>
        <w:rPr>
          <w:snapToGrid w:val="0"/>
          <w:lang w:val="fr-CH"/>
        </w:rPr>
        <w:t>OSG du service de recherche spatiale, sont tirés de la Recommandation UIT-R F.1494. Bien que cette Recommandation s'applique à la bande 10,7</w:t>
      </w:r>
      <w:r>
        <w:rPr>
          <w:snapToGrid w:val="0"/>
          <w:lang w:val="fr-CH"/>
        </w:rPr>
        <w:noBreakHyphen/>
        <w:t>12,7 GHz, les applications du service fixe dans la bande 14,8</w:t>
      </w:r>
      <w:r>
        <w:rPr>
          <w:snapToGrid w:val="0"/>
          <w:lang w:val="fr-CH"/>
        </w:rPr>
        <w:noBreakHyphen/>
        <w:t>15,35 GHz présentent des caractéristiques tout à fait similaires. En conséquence, les critères définis dans cette Recommandation pourraient être appliqués à la bande 14,8</w:t>
      </w:r>
      <w:r>
        <w:rPr>
          <w:snapToGrid w:val="0"/>
          <w:lang w:val="fr-CH"/>
        </w:rPr>
        <w:noBreakHyphen/>
        <w:t xml:space="preserve">15,35 GHz. Les critères de protection contre les brouillages causés par des satellites non OSG sont les suivants: </w:t>
      </w:r>
    </w:p>
    <w:p w:rsidR="00D869A6" w:rsidRDefault="00D869A6" w:rsidP="003F6403">
      <w:pPr>
        <w:pStyle w:val="enumlev1"/>
        <w:rPr>
          <w:iCs/>
          <w:snapToGrid w:val="0"/>
          <w:lang w:val="fr-CH"/>
        </w:rPr>
      </w:pPr>
      <w:r>
        <w:rPr>
          <w:iCs/>
          <w:snapToGrid w:val="0"/>
          <w:lang w:val="fr-CH"/>
        </w:rPr>
        <w:t>–</w:t>
      </w:r>
      <w:r>
        <w:rPr>
          <w:iCs/>
          <w:snapToGrid w:val="0"/>
          <w:lang w:val="fr-CH"/>
        </w:rPr>
        <w:tab/>
        <w:t xml:space="preserve">à court terme, le rapport </w:t>
      </w:r>
      <w:r>
        <w:rPr>
          <w:i/>
          <w:snapToGrid w:val="0"/>
          <w:lang w:val="fr-CH"/>
        </w:rPr>
        <w:t>I</w:t>
      </w:r>
      <w:r>
        <w:rPr>
          <w:iCs/>
          <w:snapToGrid w:val="0"/>
          <w:lang w:val="fr-CH"/>
        </w:rPr>
        <w:t>/</w:t>
      </w:r>
      <w:r>
        <w:rPr>
          <w:i/>
          <w:snapToGrid w:val="0"/>
          <w:lang w:val="fr-CH"/>
        </w:rPr>
        <w:t>N</w:t>
      </w:r>
      <w:r>
        <w:rPr>
          <w:iCs/>
          <w:snapToGrid w:val="0"/>
          <w:lang w:val="fr-CH"/>
        </w:rPr>
        <w:t xml:space="preserve"> ne devrait pas dépasser </w:t>
      </w:r>
      <w:r>
        <w:rPr>
          <w:rFonts w:ascii="Symbol" w:hAnsi="Symbol"/>
          <w:iCs/>
          <w:snapToGrid w:val="0"/>
          <w:lang w:val="fr-CH"/>
        </w:rPr>
        <w:t></w:t>
      </w:r>
      <w:r>
        <w:rPr>
          <w:iCs/>
          <w:snapToGrid w:val="0"/>
          <w:lang w:val="fr-CH"/>
        </w:rPr>
        <w:t>20 dB (limite stricte);</w:t>
      </w:r>
    </w:p>
    <w:p w:rsidR="00D869A6" w:rsidRDefault="00D869A6" w:rsidP="003F6403">
      <w:pPr>
        <w:pStyle w:val="enumlev1"/>
        <w:rPr>
          <w:iCs/>
          <w:snapToGrid w:val="0"/>
          <w:lang w:val="fr-CH"/>
        </w:rPr>
      </w:pPr>
      <w:r>
        <w:rPr>
          <w:iCs/>
          <w:snapToGrid w:val="0"/>
          <w:lang w:val="fr-CH"/>
        </w:rPr>
        <w:t>–</w:t>
      </w:r>
      <w:r>
        <w:rPr>
          <w:iCs/>
          <w:snapToGrid w:val="0"/>
          <w:lang w:val="fr-CH"/>
        </w:rPr>
        <w:tab/>
        <w:t xml:space="preserve">à long terme, la </w:t>
      </w:r>
      <w:r>
        <w:rPr>
          <w:lang w:val="fr-CH"/>
        </w:rPr>
        <w:t>dégradation relative de la qualité de fonctionnement ne devrait pas dépasser </w:t>
      </w:r>
      <w:r>
        <w:rPr>
          <w:iCs/>
          <w:snapToGrid w:val="0"/>
          <w:lang w:val="fr-CH"/>
        </w:rPr>
        <w:t>10</w:t>
      </w:r>
      <w:r>
        <w:rPr>
          <w:rFonts w:ascii="Symbol" w:hAnsi="Symbol"/>
          <w:iCs/>
          <w:snapToGrid w:val="0"/>
          <w:lang w:val="fr-CH"/>
        </w:rPr>
        <w:t></w:t>
      </w:r>
      <w:r>
        <w:rPr>
          <w:iCs/>
          <w:snapToGrid w:val="0"/>
          <w:lang w:val="fr-CH"/>
        </w:rPr>
        <w:t>.</w:t>
      </w:r>
    </w:p>
    <w:p w:rsidR="00D869A6" w:rsidRDefault="00D869A6" w:rsidP="00917C2D">
      <w:pPr>
        <w:keepNext/>
        <w:keepLines/>
        <w:rPr>
          <w:snapToGrid w:val="0"/>
          <w:lang w:val="fr-CH"/>
        </w:rPr>
      </w:pPr>
      <w:r>
        <w:rPr>
          <w:snapToGrid w:val="0"/>
          <w:lang w:val="fr-CH"/>
        </w:rPr>
        <w:t>Dans le cas de satellites OSG, les critères d</w:t>
      </w:r>
      <w:r w:rsidR="00917C2D">
        <w:rPr>
          <w:snapToGrid w:val="0"/>
          <w:lang w:val="fr-CH"/>
        </w:rPr>
        <w:t>e protection sont les suivants:</w:t>
      </w:r>
    </w:p>
    <w:p w:rsidR="00D869A6" w:rsidRDefault="00D869A6" w:rsidP="00917C2D">
      <w:pPr>
        <w:pStyle w:val="enumlev1"/>
        <w:keepNext/>
        <w:keepLines/>
        <w:rPr>
          <w:snapToGrid w:val="0"/>
          <w:lang w:val="fr-CH"/>
        </w:rPr>
      </w:pPr>
      <w:r>
        <w:rPr>
          <w:iCs/>
          <w:snapToGrid w:val="0"/>
          <w:lang w:val="fr-CH"/>
        </w:rPr>
        <w:t>–</w:t>
      </w:r>
      <w:r>
        <w:rPr>
          <w:snapToGrid w:val="0"/>
          <w:lang w:val="fr-CH"/>
        </w:rPr>
        <w:tab/>
        <w:t>la dégradation relative de la qualité de fonctionnement sur le trajet ne devrait pas dépasser 10</w:t>
      </w:r>
      <w:r>
        <w:rPr>
          <w:rFonts w:ascii="Symbol" w:hAnsi="Symbol"/>
          <w:snapToGrid w:val="0"/>
          <w:lang w:val="fr-CH"/>
        </w:rPr>
        <w:t></w:t>
      </w:r>
      <w:r>
        <w:rPr>
          <w:snapToGrid w:val="0"/>
          <w:lang w:val="fr-CH"/>
        </w:rPr>
        <w:t xml:space="preserve"> sur plus de 10</w:t>
      </w:r>
      <w:r>
        <w:rPr>
          <w:rFonts w:ascii="Symbol" w:hAnsi="Symbol"/>
          <w:snapToGrid w:val="0"/>
          <w:lang w:val="fr-CH"/>
        </w:rPr>
        <w:t></w:t>
      </w:r>
      <w:r>
        <w:rPr>
          <w:snapToGrid w:val="0"/>
          <w:lang w:val="fr-CH"/>
        </w:rPr>
        <w:t xml:space="preserve"> des trajets du service fixe;</w:t>
      </w:r>
    </w:p>
    <w:p w:rsidR="00D869A6" w:rsidRDefault="00D869A6" w:rsidP="003F6403">
      <w:pPr>
        <w:pStyle w:val="enumlev1"/>
        <w:rPr>
          <w:snapToGrid w:val="0"/>
          <w:lang w:val="fr-CH"/>
        </w:rPr>
      </w:pPr>
      <w:r>
        <w:rPr>
          <w:iCs/>
          <w:snapToGrid w:val="0"/>
          <w:lang w:val="fr-CH"/>
        </w:rPr>
        <w:t>–</w:t>
      </w:r>
      <w:r>
        <w:rPr>
          <w:iCs/>
          <w:snapToGrid w:val="0"/>
          <w:lang w:val="fr-CH"/>
        </w:rPr>
        <w:tab/>
      </w:r>
      <w:r>
        <w:rPr>
          <w:snapToGrid w:val="0"/>
          <w:lang w:val="fr-CH"/>
        </w:rPr>
        <w:t xml:space="preserve">le rapport </w:t>
      </w:r>
      <w:r>
        <w:rPr>
          <w:i/>
          <w:iCs/>
          <w:snapToGrid w:val="0"/>
          <w:lang w:val="fr-CH"/>
        </w:rPr>
        <w:t>I</w:t>
      </w:r>
      <w:r>
        <w:rPr>
          <w:snapToGrid w:val="0"/>
          <w:lang w:val="fr-CH"/>
        </w:rPr>
        <w:t>/</w:t>
      </w:r>
      <w:r>
        <w:rPr>
          <w:i/>
          <w:iCs/>
          <w:snapToGrid w:val="0"/>
          <w:lang w:val="fr-CH"/>
        </w:rPr>
        <w:t>N</w:t>
      </w:r>
      <w:r>
        <w:rPr>
          <w:snapToGrid w:val="0"/>
          <w:lang w:val="fr-CH"/>
        </w:rPr>
        <w:t xml:space="preserve"> d'une station ne devrait pas dépasser </w:t>
      </w:r>
      <w:r>
        <w:rPr>
          <w:snapToGrid w:val="0"/>
          <w:lang w:val="fr-CH"/>
        </w:rPr>
        <w:sym w:font="Symbol" w:char="F02D"/>
      </w:r>
      <w:r>
        <w:rPr>
          <w:snapToGrid w:val="0"/>
          <w:lang w:val="fr-CH"/>
        </w:rPr>
        <w:t>10 dB pour plus de 10</w:t>
      </w:r>
      <w:r>
        <w:rPr>
          <w:rFonts w:ascii="Symbol" w:hAnsi="Symbol"/>
          <w:snapToGrid w:val="0"/>
          <w:lang w:val="fr-CH"/>
        </w:rPr>
        <w:t></w:t>
      </w:r>
      <w:r>
        <w:rPr>
          <w:snapToGrid w:val="0"/>
          <w:lang w:val="fr-CH"/>
        </w:rPr>
        <w:t xml:space="preserve"> des stations de réception du service fixe.</w:t>
      </w:r>
    </w:p>
    <w:p w:rsidR="00D869A6" w:rsidRDefault="00D869A6" w:rsidP="00EF4DD5">
      <w:pPr>
        <w:rPr>
          <w:iCs/>
          <w:lang w:val="fr-CH"/>
        </w:rPr>
      </w:pPr>
      <w:r>
        <w:rPr>
          <w:iCs/>
          <w:lang w:val="fr-CH"/>
        </w:rPr>
        <w:t>Les résultats de simulations concernant la probabilité pour que des brouillages soient causés par le service de recherche spatiale</w:t>
      </w:r>
      <w:r>
        <w:rPr>
          <w:rFonts w:ascii="Symbol" w:hAnsi="Symbol"/>
          <w:iCs/>
          <w:lang w:val="fr-CH"/>
        </w:rPr>
        <w:t></w:t>
      </w:r>
      <w:r>
        <w:rPr>
          <w:iCs/>
          <w:lang w:val="fr-CH"/>
        </w:rPr>
        <w:t>–</w:t>
      </w:r>
      <w:r>
        <w:rPr>
          <w:rFonts w:ascii="Symbol" w:hAnsi="Symbol"/>
          <w:iCs/>
          <w:lang w:val="fr-CH"/>
        </w:rPr>
        <w:t></w:t>
      </w:r>
      <w:r>
        <w:rPr>
          <w:iCs/>
          <w:lang w:val="fr-CH"/>
        </w:rPr>
        <w:t>en partant de l'hypothèse de la mise en place de 24 satellites OSG</w:t>
      </w:r>
      <w:r>
        <w:rPr>
          <w:rFonts w:ascii="Symbol" w:hAnsi="Symbol"/>
          <w:iCs/>
          <w:lang w:val="fr-CH"/>
        </w:rPr>
        <w:t></w:t>
      </w:r>
      <w:r>
        <w:rPr>
          <w:iCs/>
          <w:lang w:val="fr-CH"/>
        </w:rPr>
        <w:t>–</w:t>
      </w:r>
      <w:r>
        <w:rPr>
          <w:rFonts w:ascii="Symbol" w:hAnsi="Symbol"/>
          <w:iCs/>
          <w:lang w:val="fr-CH"/>
        </w:rPr>
        <w:t></w:t>
      </w:r>
      <w:r>
        <w:rPr>
          <w:iCs/>
          <w:lang w:val="fr-CH"/>
        </w:rPr>
        <w:t>à des systèmes numériques point à point du service fixe montrent que des limites de puissance surfacique dans la bande 10,7</w:t>
      </w:r>
      <w:r>
        <w:rPr>
          <w:iCs/>
          <w:lang w:val="fr-CH"/>
        </w:rPr>
        <w:noBreakHyphen/>
        <w:t>11,7 GHz sont nécessaires pour protéger le service fixe dans la bande 14,8</w:t>
      </w:r>
      <w:r>
        <w:rPr>
          <w:iCs/>
          <w:lang w:val="fr-CH"/>
        </w:rPr>
        <w:noBreakHyphen/>
        <w:t xml:space="preserve">15,35 GHz. Dans une largeur de bande de 1 MHz. Ces limites sont les suivantes: </w:t>
      </w:r>
    </w:p>
    <w:p w:rsidR="00D869A6" w:rsidRPr="00EF4DD5" w:rsidRDefault="00D869A6" w:rsidP="00EF4DD5">
      <w:pPr>
        <w:pStyle w:val="enumlev1"/>
        <w:tabs>
          <w:tab w:val="clear" w:pos="794"/>
          <w:tab w:val="clear" w:pos="1985"/>
          <w:tab w:val="left" w:pos="1247"/>
          <w:tab w:val="left" w:pos="1304"/>
          <w:tab w:val="left" w:pos="5580"/>
          <w:tab w:val="left" w:pos="6300"/>
        </w:tabs>
        <w:ind w:left="1260" w:hanging="1260"/>
        <w:jc w:val="left"/>
        <w:rPr>
          <w:lang w:val="fr-CH"/>
        </w:rPr>
      </w:pPr>
      <w:r>
        <w:rPr>
          <w:lang w:val="fr-CH"/>
        </w:rPr>
        <w:tab/>
      </w:r>
      <w:r w:rsidRPr="00EF4DD5">
        <w:rPr>
          <w:lang w:val="fr-CH"/>
        </w:rPr>
        <w:t>–126 dB(W/(m</w:t>
      </w:r>
      <w:r w:rsidRPr="00EF4DD5">
        <w:rPr>
          <w:vertAlign w:val="superscript"/>
          <w:lang w:val="fr-CH"/>
        </w:rPr>
        <w:t>2</w:t>
      </w:r>
      <w:r w:rsidRPr="00EF4DD5">
        <w:rPr>
          <w:lang w:val="fr-CH"/>
        </w:rPr>
        <w:t xml:space="preserve"> · MHz))</w:t>
      </w:r>
      <w:r w:rsidRPr="00EF4DD5">
        <w:rPr>
          <w:lang w:val="fr-CH"/>
        </w:rPr>
        <w:tab/>
        <w:t xml:space="preserve">pour </w:t>
      </w:r>
      <w:r w:rsidRPr="00EF4DD5">
        <w:rPr>
          <w:lang w:val="fr-CH"/>
        </w:rPr>
        <w:tab/>
        <w:t xml:space="preserve">  0</w:t>
      </w:r>
      <w:r w:rsidR="00EF4DD5" w:rsidRPr="00EF4DD5">
        <w:rPr>
          <w:lang w:val="fr-CH"/>
        </w:rPr>
        <w:t>°</w:t>
      </w:r>
      <w:r w:rsidRPr="00EF4DD5">
        <w:rPr>
          <w:lang w:val="fr-CH"/>
        </w:rPr>
        <w:t xml:space="preserve"> </w:t>
      </w:r>
      <w:r>
        <w:rPr>
          <w:rFonts w:ascii="Symbol" w:hAnsi="Symbol"/>
          <w:lang w:val="es-ES"/>
        </w:rPr>
        <w:t></w:t>
      </w:r>
      <w:r w:rsidRPr="00EF4DD5">
        <w:rPr>
          <w:lang w:val="fr-CH"/>
        </w:rPr>
        <w:t xml:space="preserve"> </w:t>
      </w:r>
      <w:r>
        <w:rPr>
          <w:rFonts w:ascii="Symbol" w:hAnsi="Symbol"/>
        </w:rPr>
        <w:sym w:font="Symbol" w:char="F064"/>
      </w:r>
      <w:r w:rsidRPr="00EF4DD5">
        <w:rPr>
          <w:lang w:val="fr-CH"/>
        </w:rPr>
        <w:t xml:space="preserve"> </w:t>
      </w:r>
      <w:r>
        <w:rPr>
          <w:rFonts w:ascii="Symbol" w:hAnsi="Symbol"/>
        </w:rPr>
        <w:sym w:font="Symbol" w:char="F0A3"/>
      </w:r>
      <w:r w:rsidRPr="00EF4DD5">
        <w:rPr>
          <w:lang w:val="fr-CH"/>
        </w:rPr>
        <w:t xml:space="preserve"> 5</w:t>
      </w:r>
      <w:r w:rsidR="00EF4DD5" w:rsidRPr="00EF4DD5">
        <w:rPr>
          <w:lang w:val="fr-CH"/>
        </w:rPr>
        <w:t>°</w:t>
      </w:r>
    </w:p>
    <w:p w:rsidR="00D869A6" w:rsidRPr="00EF4DD5" w:rsidRDefault="00D869A6" w:rsidP="00EF4DD5">
      <w:pPr>
        <w:pStyle w:val="enumlev1"/>
        <w:tabs>
          <w:tab w:val="clear" w:pos="794"/>
          <w:tab w:val="clear" w:pos="1985"/>
          <w:tab w:val="left" w:pos="1247"/>
          <w:tab w:val="left" w:pos="1304"/>
          <w:tab w:val="left" w:pos="5580"/>
          <w:tab w:val="left" w:pos="6300"/>
        </w:tabs>
        <w:ind w:left="1260" w:hanging="1260"/>
        <w:jc w:val="left"/>
        <w:rPr>
          <w:lang w:val="fr-CH"/>
        </w:rPr>
      </w:pPr>
      <w:r w:rsidRPr="00EF4DD5">
        <w:rPr>
          <w:lang w:val="fr-CH"/>
        </w:rPr>
        <w:tab/>
        <w:t xml:space="preserve">–126 </w:t>
      </w:r>
      <w:r>
        <w:rPr>
          <w:rFonts w:ascii="Symbol" w:hAnsi="Symbol"/>
          <w:lang w:val="es-ES"/>
        </w:rPr>
        <w:t></w:t>
      </w:r>
      <w:r w:rsidRPr="00EF4DD5">
        <w:rPr>
          <w:lang w:val="fr-CH"/>
        </w:rPr>
        <w:t xml:space="preserve"> 0,5(</w:t>
      </w:r>
      <w:r>
        <w:rPr>
          <w:rFonts w:ascii="Symbol" w:hAnsi="Symbol"/>
        </w:rPr>
        <w:sym w:font="Symbol" w:char="F064"/>
      </w:r>
      <w:r w:rsidRPr="00EF4DD5">
        <w:rPr>
          <w:lang w:val="fr-CH"/>
        </w:rPr>
        <w:t xml:space="preserve"> </w:t>
      </w:r>
      <w:r>
        <w:sym w:font="Symbol" w:char="F02D"/>
      </w:r>
      <w:r w:rsidRPr="00EF4DD5">
        <w:rPr>
          <w:lang w:val="fr-CH"/>
        </w:rPr>
        <w:t xml:space="preserve"> 5) dB(W/(m</w:t>
      </w:r>
      <w:r w:rsidRPr="00EF4DD5">
        <w:rPr>
          <w:vertAlign w:val="superscript"/>
          <w:lang w:val="fr-CH"/>
        </w:rPr>
        <w:t>2</w:t>
      </w:r>
      <w:r w:rsidRPr="00EF4DD5">
        <w:rPr>
          <w:lang w:val="fr-CH"/>
        </w:rPr>
        <w:t xml:space="preserve"> · MHz))</w:t>
      </w:r>
      <w:r w:rsidRPr="00EF4DD5">
        <w:rPr>
          <w:lang w:val="fr-CH"/>
        </w:rPr>
        <w:tab/>
        <w:t xml:space="preserve">pour </w:t>
      </w:r>
      <w:r w:rsidRPr="00EF4DD5">
        <w:rPr>
          <w:lang w:val="fr-CH"/>
        </w:rPr>
        <w:tab/>
        <w:t xml:space="preserve">  5</w:t>
      </w:r>
      <w:r w:rsidR="00EF4DD5" w:rsidRPr="00EF4DD5">
        <w:rPr>
          <w:lang w:val="fr-CH"/>
        </w:rPr>
        <w:t>°</w:t>
      </w:r>
      <w:r w:rsidRPr="00EF4DD5">
        <w:rPr>
          <w:lang w:val="fr-CH"/>
        </w:rPr>
        <w:t xml:space="preserve"> </w:t>
      </w:r>
      <w:r>
        <w:rPr>
          <w:rFonts w:ascii="Symbol" w:hAnsi="Symbol"/>
          <w:lang w:val="es-ES"/>
        </w:rPr>
        <w:t></w:t>
      </w:r>
      <w:r w:rsidRPr="00EF4DD5">
        <w:rPr>
          <w:lang w:val="fr-CH"/>
        </w:rPr>
        <w:t xml:space="preserve"> </w:t>
      </w:r>
      <w:r>
        <w:rPr>
          <w:rFonts w:ascii="Symbol" w:hAnsi="Symbol"/>
        </w:rPr>
        <w:sym w:font="Symbol" w:char="F064"/>
      </w:r>
      <w:r w:rsidRPr="00EF4DD5">
        <w:rPr>
          <w:lang w:val="fr-CH"/>
        </w:rPr>
        <w:t xml:space="preserve"> </w:t>
      </w:r>
      <w:r>
        <w:rPr>
          <w:rFonts w:ascii="Symbol" w:hAnsi="Symbol"/>
        </w:rPr>
        <w:sym w:font="Symbol" w:char="F0A3"/>
      </w:r>
      <w:r w:rsidRPr="00EF4DD5">
        <w:rPr>
          <w:lang w:val="fr-CH"/>
        </w:rPr>
        <w:t xml:space="preserve"> 25</w:t>
      </w:r>
      <w:r w:rsidR="00EF4DD5" w:rsidRPr="00EF4DD5">
        <w:rPr>
          <w:lang w:val="fr-CH"/>
        </w:rPr>
        <w:t>°</w:t>
      </w:r>
    </w:p>
    <w:p w:rsidR="00D869A6" w:rsidRPr="00EF4DD5" w:rsidRDefault="00D869A6" w:rsidP="00EF4DD5">
      <w:pPr>
        <w:pStyle w:val="enumlev1"/>
        <w:tabs>
          <w:tab w:val="clear" w:pos="794"/>
          <w:tab w:val="clear" w:pos="1985"/>
          <w:tab w:val="left" w:pos="1247"/>
          <w:tab w:val="left" w:pos="1304"/>
          <w:tab w:val="left" w:pos="5580"/>
          <w:tab w:val="left" w:pos="6300"/>
        </w:tabs>
        <w:ind w:left="1260" w:hanging="1260"/>
        <w:jc w:val="left"/>
        <w:rPr>
          <w:lang w:val="fr-CH"/>
        </w:rPr>
      </w:pPr>
      <w:r w:rsidRPr="00EF4DD5">
        <w:rPr>
          <w:lang w:val="fr-CH"/>
        </w:rPr>
        <w:tab/>
        <w:t>–116 dB(W/(m</w:t>
      </w:r>
      <w:r w:rsidRPr="00EF4DD5">
        <w:rPr>
          <w:vertAlign w:val="superscript"/>
          <w:lang w:val="fr-CH"/>
        </w:rPr>
        <w:t>2</w:t>
      </w:r>
      <w:r w:rsidRPr="00EF4DD5">
        <w:rPr>
          <w:lang w:val="fr-CH"/>
        </w:rPr>
        <w:t xml:space="preserve"> · MHz))</w:t>
      </w:r>
      <w:r w:rsidRPr="00EF4DD5">
        <w:rPr>
          <w:lang w:val="fr-CH"/>
        </w:rPr>
        <w:tab/>
        <w:t xml:space="preserve">pour </w:t>
      </w:r>
      <w:r w:rsidRPr="00EF4DD5">
        <w:rPr>
          <w:lang w:val="fr-CH"/>
        </w:rPr>
        <w:tab/>
        <w:t>25</w:t>
      </w:r>
      <w:r w:rsidR="00EF4DD5" w:rsidRPr="00EF4DD5">
        <w:rPr>
          <w:lang w:val="fr-CH"/>
        </w:rPr>
        <w:t>°</w:t>
      </w:r>
      <w:r w:rsidRPr="00EF4DD5">
        <w:rPr>
          <w:lang w:val="fr-CH"/>
        </w:rPr>
        <w:t xml:space="preserve"> </w:t>
      </w:r>
      <w:r>
        <w:rPr>
          <w:rFonts w:ascii="Symbol" w:hAnsi="Symbol"/>
          <w:lang w:val="es-ES"/>
        </w:rPr>
        <w:t></w:t>
      </w:r>
      <w:r w:rsidRPr="00EF4DD5">
        <w:rPr>
          <w:lang w:val="fr-CH"/>
        </w:rPr>
        <w:t xml:space="preserve"> </w:t>
      </w:r>
      <w:r>
        <w:rPr>
          <w:rFonts w:ascii="Symbol" w:hAnsi="Symbol"/>
        </w:rPr>
        <w:sym w:font="Symbol" w:char="F064"/>
      </w:r>
      <w:r w:rsidRPr="00EF4DD5">
        <w:rPr>
          <w:lang w:val="fr-CH"/>
        </w:rPr>
        <w:t xml:space="preserve"> </w:t>
      </w:r>
      <w:r>
        <w:rPr>
          <w:rFonts w:ascii="Symbol" w:hAnsi="Symbol"/>
        </w:rPr>
        <w:sym w:font="Symbol" w:char="F0A3"/>
      </w:r>
      <w:r w:rsidRPr="00EF4DD5">
        <w:rPr>
          <w:lang w:val="fr-CH"/>
        </w:rPr>
        <w:t xml:space="preserve"> 90</w:t>
      </w:r>
      <w:r w:rsidR="00EF4DD5" w:rsidRPr="00EF4DD5">
        <w:rPr>
          <w:lang w:val="fr-CH"/>
        </w:rPr>
        <w:t>°</w:t>
      </w:r>
    </w:p>
    <w:p w:rsidR="00D869A6" w:rsidRDefault="00D869A6" w:rsidP="003F6403">
      <w:pPr>
        <w:tabs>
          <w:tab w:val="left" w:pos="720"/>
          <w:tab w:val="left" w:pos="2410"/>
          <w:tab w:val="left" w:pos="5245"/>
        </w:tabs>
        <w:rPr>
          <w:iCs/>
          <w:lang w:val="fr-CH"/>
        </w:rPr>
      </w:pPr>
      <w:r>
        <w:rPr>
          <w:iCs/>
          <w:lang w:val="fr-CH"/>
        </w:rPr>
        <w:t xml:space="preserve">où </w:t>
      </w:r>
      <w:r>
        <w:rPr>
          <w:rFonts w:ascii="Symbol" w:hAnsi="Symbol"/>
          <w:iCs/>
          <w:lang w:val="fr-CH"/>
        </w:rPr>
        <w:sym w:font="Symbol" w:char="F064"/>
      </w:r>
      <w:r>
        <w:rPr>
          <w:iCs/>
          <w:lang w:val="fr-CH"/>
        </w:rPr>
        <w:t xml:space="preserve"> est l'angle d'incidence au-dessus du plan horizontal (degrés).</w:t>
      </w:r>
    </w:p>
    <w:p w:rsidR="00D869A6" w:rsidRDefault="00D869A6" w:rsidP="003F6403">
      <w:pPr>
        <w:rPr>
          <w:iCs/>
          <w:lang w:val="fr-CH"/>
        </w:rPr>
      </w:pPr>
      <w:r>
        <w:rPr>
          <w:iCs/>
          <w:lang w:val="fr-CH"/>
        </w:rPr>
        <w:t>Ces limites de puissance surfacique devraient permettre l'exploitation des liaisons du service de recherche spatiale (espace vers Terre) à 400 Mbit/s, selon les besoins. Toutefois, un petit nombre de liaisons existantes du service fixe risquent d'être affectées si les antennes de leurs stations pointent dans</w:t>
      </w:r>
      <w:r w:rsidR="00EF4DD5">
        <w:rPr>
          <w:iCs/>
          <w:lang w:val="fr-CH"/>
        </w:rPr>
        <w:t xml:space="preserve"> la direction d'un de ces satel</w:t>
      </w:r>
      <w:r>
        <w:rPr>
          <w:iCs/>
          <w:lang w:val="fr-CH"/>
        </w:rPr>
        <w:t>lites OSG du service de recherche spatiale émettant dans le même canal.</w:t>
      </w:r>
    </w:p>
    <w:p w:rsidR="00D869A6" w:rsidRDefault="00D869A6" w:rsidP="003F6403">
      <w:pPr>
        <w:rPr>
          <w:iCs/>
          <w:lang w:val="fr-CH"/>
        </w:rPr>
      </w:pPr>
      <w:r>
        <w:rPr>
          <w:iCs/>
          <w:lang w:val="fr-CH"/>
        </w:rPr>
        <w:t>Les résultats d'études de simulation relatives aux brouillages causés par des systèmes à satellites non OSG du service de recherche spatiale à des systèmes point à point du service fixe montrent que le partage entre ces services est possible dans la bande 14,8</w:t>
      </w:r>
      <w:r>
        <w:rPr>
          <w:iCs/>
          <w:lang w:val="fr-CH"/>
        </w:rPr>
        <w:noBreakHyphen/>
        <w:t>15,35 GHz si l'on utilise des limites de puissance surfacique supérieures de 2 dB à celles qui s'appliquent à la bande 10,7</w:t>
      </w:r>
      <w:r>
        <w:rPr>
          <w:iCs/>
          <w:lang w:val="fr-CH"/>
        </w:rPr>
        <w:noBreakHyphen/>
        <w:t>11,7 GHz. Dans une largeur de bande de 1 MHz, ces limites sont les suivantes:</w:t>
      </w:r>
    </w:p>
    <w:p w:rsidR="000359BF" w:rsidRPr="00EF4DD5" w:rsidRDefault="000359BF" w:rsidP="00EF4DD5">
      <w:pPr>
        <w:pStyle w:val="enumlev1"/>
        <w:tabs>
          <w:tab w:val="clear" w:pos="794"/>
          <w:tab w:val="clear" w:pos="1985"/>
          <w:tab w:val="left" w:pos="1247"/>
          <w:tab w:val="left" w:pos="1304"/>
          <w:tab w:val="left" w:pos="5580"/>
          <w:tab w:val="left" w:pos="6300"/>
        </w:tabs>
        <w:ind w:left="1260" w:hanging="1260"/>
        <w:jc w:val="left"/>
        <w:rPr>
          <w:lang w:val="fr-CH"/>
        </w:rPr>
      </w:pPr>
      <w:r w:rsidRPr="005D7019">
        <w:rPr>
          <w:lang w:val="fr-CH"/>
        </w:rPr>
        <w:tab/>
      </w:r>
      <w:r w:rsidRPr="00EF4DD5">
        <w:rPr>
          <w:lang w:val="fr-CH"/>
        </w:rPr>
        <w:t>–124 dB(W/(m</w:t>
      </w:r>
      <w:r w:rsidRPr="00EF4DD5">
        <w:rPr>
          <w:vertAlign w:val="superscript"/>
          <w:lang w:val="fr-CH"/>
        </w:rPr>
        <w:t>2</w:t>
      </w:r>
      <w:r w:rsidRPr="00EF4DD5">
        <w:rPr>
          <w:lang w:val="fr-CH"/>
        </w:rPr>
        <w:t xml:space="preserve"> · MHz))</w:t>
      </w:r>
      <w:r w:rsidRPr="00EF4DD5">
        <w:rPr>
          <w:lang w:val="fr-CH"/>
        </w:rPr>
        <w:tab/>
        <w:t xml:space="preserve">pour </w:t>
      </w:r>
      <w:r w:rsidRPr="00EF4DD5">
        <w:rPr>
          <w:lang w:val="fr-CH"/>
        </w:rPr>
        <w:tab/>
        <w:t xml:space="preserve">  0</w:t>
      </w:r>
      <w:r w:rsidR="00EF4DD5" w:rsidRPr="00EF4DD5">
        <w:rPr>
          <w:lang w:val="fr-CH"/>
        </w:rPr>
        <w:t>°</w:t>
      </w:r>
      <w:r w:rsidRPr="00EF4DD5">
        <w:rPr>
          <w:lang w:val="fr-CH"/>
        </w:rPr>
        <w:t xml:space="preserve"> </w:t>
      </w:r>
      <w:r>
        <w:rPr>
          <w:rFonts w:ascii="Symbol" w:hAnsi="Symbol"/>
        </w:rPr>
        <w:sym w:font="Symbol" w:char="F0A3"/>
      </w:r>
      <w:r w:rsidRPr="00EF4DD5">
        <w:rPr>
          <w:lang w:val="fr-CH"/>
        </w:rPr>
        <w:t xml:space="preserve"> </w:t>
      </w:r>
      <w:r>
        <w:rPr>
          <w:rFonts w:ascii="Symbol" w:hAnsi="Symbol"/>
        </w:rPr>
        <w:sym w:font="Symbol" w:char="F064"/>
      </w:r>
      <w:r w:rsidRPr="00EF4DD5">
        <w:rPr>
          <w:lang w:val="fr-CH"/>
        </w:rPr>
        <w:t xml:space="preserve"> </w:t>
      </w:r>
      <w:r>
        <w:rPr>
          <w:rFonts w:ascii="Symbol" w:hAnsi="Symbol"/>
        </w:rPr>
        <w:sym w:font="Symbol" w:char="F0A3"/>
      </w:r>
      <w:r w:rsidRPr="00EF4DD5">
        <w:rPr>
          <w:lang w:val="fr-CH"/>
        </w:rPr>
        <w:t xml:space="preserve"> 5</w:t>
      </w:r>
      <w:r w:rsidR="00EF4DD5" w:rsidRPr="00EF4DD5">
        <w:rPr>
          <w:lang w:val="fr-CH"/>
        </w:rPr>
        <w:t>°</w:t>
      </w:r>
    </w:p>
    <w:p w:rsidR="000359BF" w:rsidRPr="00EF4DD5" w:rsidRDefault="000359BF" w:rsidP="00EF4DD5">
      <w:pPr>
        <w:pStyle w:val="enumlev1"/>
        <w:tabs>
          <w:tab w:val="clear" w:pos="794"/>
          <w:tab w:val="clear" w:pos="1985"/>
          <w:tab w:val="left" w:pos="1247"/>
          <w:tab w:val="left" w:pos="1304"/>
          <w:tab w:val="left" w:pos="5580"/>
          <w:tab w:val="left" w:pos="6300"/>
        </w:tabs>
        <w:ind w:left="1260" w:hanging="1260"/>
        <w:jc w:val="left"/>
        <w:rPr>
          <w:lang w:val="fr-CH"/>
        </w:rPr>
      </w:pPr>
      <w:r w:rsidRPr="00EF4DD5">
        <w:rPr>
          <w:lang w:val="fr-CH"/>
        </w:rPr>
        <w:tab/>
        <w:t xml:space="preserve">–124 </w:t>
      </w:r>
      <w:r>
        <w:rPr>
          <w:rFonts w:ascii="Symbol" w:hAnsi="Symbol"/>
          <w:lang w:val="es-ES"/>
        </w:rPr>
        <w:t></w:t>
      </w:r>
      <w:r w:rsidR="00EF4DD5" w:rsidRPr="00EF4DD5">
        <w:rPr>
          <w:lang w:val="fr-CH"/>
        </w:rPr>
        <w:t xml:space="preserve"> 0,</w:t>
      </w:r>
      <w:r w:rsidRPr="00EF4DD5">
        <w:rPr>
          <w:lang w:val="fr-CH"/>
        </w:rPr>
        <w:t>5(</w:t>
      </w:r>
      <w:r>
        <w:rPr>
          <w:rFonts w:ascii="Symbol" w:hAnsi="Symbol"/>
        </w:rPr>
        <w:sym w:font="Symbol" w:char="F064"/>
      </w:r>
      <w:r w:rsidRPr="00EF4DD5">
        <w:rPr>
          <w:lang w:val="fr-CH"/>
        </w:rPr>
        <w:t xml:space="preserve"> </w:t>
      </w:r>
      <w:r>
        <w:sym w:font="Symbol" w:char="F02D"/>
      </w:r>
      <w:r w:rsidRPr="00EF4DD5">
        <w:rPr>
          <w:lang w:val="fr-CH"/>
        </w:rPr>
        <w:t xml:space="preserve"> 5) dB(W/(m</w:t>
      </w:r>
      <w:r w:rsidRPr="00EF4DD5">
        <w:rPr>
          <w:vertAlign w:val="superscript"/>
          <w:lang w:val="fr-CH"/>
        </w:rPr>
        <w:t>2</w:t>
      </w:r>
      <w:r w:rsidRPr="00EF4DD5">
        <w:rPr>
          <w:lang w:val="fr-CH"/>
        </w:rPr>
        <w:t xml:space="preserve"> · MHz))</w:t>
      </w:r>
      <w:r w:rsidRPr="00EF4DD5">
        <w:rPr>
          <w:lang w:val="fr-CH"/>
        </w:rPr>
        <w:tab/>
        <w:t xml:space="preserve">pour </w:t>
      </w:r>
      <w:r w:rsidRPr="00EF4DD5">
        <w:rPr>
          <w:lang w:val="fr-CH"/>
        </w:rPr>
        <w:tab/>
        <w:t xml:space="preserve">  5</w:t>
      </w:r>
      <w:r w:rsidR="00EF4DD5" w:rsidRPr="00EF4DD5">
        <w:rPr>
          <w:lang w:val="fr-CH"/>
        </w:rPr>
        <w:t>°</w:t>
      </w:r>
      <w:r w:rsidRPr="00EF4DD5">
        <w:rPr>
          <w:lang w:val="fr-CH"/>
        </w:rPr>
        <w:t xml:space="preserve"> </w:t>
      </w:r>
      <w:r>
        <w:rPr>
          <w:rFonts w:ascii="Symbol" w:hAnsi="Symbol"/>
          <w:lang w:val="es-ES"/>
        </w:rPr>
        <w:t></w:t>
      </w:r>
      <w:r w:rsidRPr="00EF4DD5">
        <w:rPr>
          <w:lang w:val="fr-CH"/>
        </w:rPr>
        <w:t xml:space="preserve"> </w:t>
      </w:r>
      <w:r>
        <w:rPr>
          <w:rFonts w:ascii="Symbol" w:hAnsi="Symbol"/>
        </w:rPr>
        <w:sym w:font="Symbol" w:char="F064"/>
      </w:r>
      <w:r w:rsidRPr="00EF4DD5">
        <w:rPr>
          <w:lang w:val="fr-CH"/>
        </w:rPr>
        <w:t xml:space="preserve"> </w:t>
      </w:r>
      <w:r>
        <w:rPr>
          <w:rFonts w:ascii="Symbol" w:hAnsi="Symbol"/>
        </w:rPr>
        <w:sym w:font="Symbol" w:char="F0A3"/>
      </w:r>
      <w:r w:rsidRPr="00EF4DD5">
        <w:rPr>
          <w:lang w:val="fr-CH"/>
        </w:rPr>
        <w:t xml:space="preserve"> 25</w:t>
      </w:r>
      <w:r w:rsidR="00EF4DD5" w:rsidRPr="00EF4DD5">
        <w:rPr>
          <w:lang w:val="fr-CH"/>
        </w:rPr>
        <w:t>°</w:t>
      </w:r>
    </w:p>
    <w:p w:rsidR="000359BF" w:rsidRPr="00EF4DD5" w:rsidRDefault="000359BF" w:rsidP="00EF4DD5">
      <w:pPr>
        <w:pStyle w:val="enumlev1"/>
        <w:tabs>
          <w:tab w:val="clear" w:pos="794"/>
          <w:tab w:val="clear" w:pos="1985"/>
          <w:tab w:val="left" w:pos="1247"/>
          <w:tab w:val="left" w:pos="1304"/>
          <w:tab w:val="left" w:pos="5580"/>
          <w:tab w:val="left" w:pos="6300"/>
        </w:tabs>
        <w:ind w:left="1260" w:hanging="1260"/>
        <w:jc w:val="left"/>
        <w:rPr>
          <w:lang w:val="fr-CH"/>
        </w:rPr>
      </w:pPr>
      <w:r w:rsidRPr="00EF4DD5">
        <w:rPr>
          <w:lang w:val="fr-CH"/>
        </w:rPr>
        <w:tab/>
        <w:t>–114 dB(W/(m</w:t>
      </w:r>
      <w:r w:rsidRPr="00EF4DD5">
        <w:rPr>
          <w:vertAlign w:val="superscript"/>
          <w:lang w:val="fr-CH"/>
        </w:rPr>
        <w:t>2</w:t>
      </w:r>
      <w:r w:rsidRPr="00EF4DD5">
        <w:rPr>
          <w:lang w:val="fr-CH"/>
        </w:rPr>
        <w:t xml:space="preserve"> · MHz))</w:t>
      </w:r>
      <w:r w:rsidRPr="00EF4DD5">
        <w:rPr>
          <w:lang w:val="fr-CH"/>
        </w:rPr>
        <w:tab/>
        <w:t xml:space="preserve">pour </w:t>
      </w:r>
      <w:r w:rsidRPr="00EF4DD5">
        <w:rPr>
          <w:lang w:val="fr-CH"/>
        </w:rPr>
        <w:tab/>
        <w:t>25</w:t>
      </w:r>
      <w:r w:rsidR="00EF4DD5" w:rsidRPr="00EF4DD5">
        <w:rPr>
          <w:lang w:val="fr-CH"/>
        </w:rPr>
        <w:t>°</w:t>
      </w:r>
      <w:r w:rsidRPr="00EF4DD5">
        <w:rPr>
          <w:lang w:val="fr-CH"/>
        </w:rPr>
        <w:t xml:space="preserve"> </w:t>
      </w:r>
      <w:r>
        <w:rPr>
          <w:rFonts w:ascii="Symbol" w:hAnsi="Symbol"/>
          <w:lang w:val="es-ES"/>
        </w:rPr>
        <w:t></w:t>
      </w:r>
      <w:r w:rsidRPr="00EF4DD5">
        <w:rPr>
          <w:lang w:val="fr-CH"/>
        </w:rPr>
        <w:t xml:space="preserve"> </w:t>
      </w:r>
      <w:r>
        <w:rPr>
          <w:rFonts w:ascii="Symbol" w:hAnsi="Symbol"/>
        </w:rPr>
        <w:sym w:font="Symbol" w:char="F064"/>
      </w:r>
      <w:r w:rsidRPr="00EF4DD5">
        <w:rPr>
          <w:lang w:val="fr-CH"/>
        </w:rPr>
        <w:t xml:space="preserve"> </w:t>
      </w:r>
      <w:r>
        <w:rPr>
          <w:rFonts w:ascii="Symbol" w:hAnsi="Symbol"/>
        </w:rPr>
        <w:sym w:font="Symbol" w:char="F0A3"/>
      </w:r>
      <w:r w:rsidRPr="00EF4DD5">
        <w:rPr>
          <w:lang w:val="fr-CH"/>
        </w:rPr>
        <w:t xml:space="preserve"> 90</w:t>
      </w:r>
      <w:r w:rsidR="00EF4DD5" w:rsidRPr="00EF4DD5">
        <w:rPr>
          <w:lang w:val="fr-CH"/>
        </w:rPr>
        <w:t>°</w:t>
      </w:r>
    </w:p>
    <w:p w:rsidR="00D869A6" w:rsidRDefault="00D869A6" w:rsidP="003F6403">
      <w:pPr>
        <w:tabs>
          <w:tab w:val="left" w:pos="720"/>
          <w:tab w:val="left" w:pos="2410"/>
          <w:tab w:val="left" w:pos="5245"/>
        </w:tabs>
        <w:rPr>
          <w:iCs/>
          <w:lang w:val="fr-CH"/>
        </w:rPr>
      </w:pPr>
      <w:r>
        <w:rPr>
          <w:iCs/>
          <w:lang w:val="fr-CH"/>
        </w:rPr>
        <w:t xml:space="preserve">où </w:t>
      </w:r>
      <w:r>
        <w:rPr>
          <w:rFonts w:ascii="Symbol" w:hAnsi="Symbol"/>
          <w:iCs/>
          <w:lang w:val="fr-CH"/>
        </w:rPr>
        <w:sym w:font="Symbol" w:char="F064"/>
      </w:r>
      <w:r>
        <w:rPr>
          <w:iCs/>
          <w:lang w:val="fr-CH"/>
        </w:rPr>
        <w:t xml:space="preserve"> est l'angle d'incidence au-dessus du plan horizontal (degrés).</w:t>
      </w:r>
    </w:p>
    <w:p w:rsidR="00D869A6" w:rsidRDefault="00D869A6" w:rsidP="00E16B3C">
      <w:pPr>
        <w:pStyle w:val="Heading1"/>
        <w:spacing w:before="240"/>
        <w:rPr>
          <w:lang w:val="fr-CH"/>
        </w:rPr>
      </w:pPr>
      <w:r>
        <w:rPr>
          <w:lang w:val="fr-CH"/>
        </w:rPr>
        <w:t>6</w:t>
      </w:r>
      <w:r>
        <w:rPr>
          <w:lang w:val="fr-CH"/>
        </w:rPr>
        <w:tab/>
        <w:t>Protection des stations terriennes de réception du service de recherche spatiale contre les émissions des stations des services fixe et mobile</w:t>
      </w:r>
    </w:p>
    <w:p w:rsidR="00D869A6" w:rsidRDefault="00D869A6" w:rsidP="003F6403">
      <w:pPr>
        <w:rPr>
          <w:lang w:val="fr-CH"/>
        </w:rPr>
      </w:pPr>
      <w:r>
        <w:rPr>
          <w:lang w:val="fr-CH"/>
        </w:rPr>
        <w:t>On utilise d'autres caractéristiques des systèmes du service fixe dans cette bande (voir le Tableau 5) pour évaluer les distances de séparation appropriées permettant de satisfaire aux critères de protection des stations terriennes du service de recherche spatiale sur la base de la Recommandation UIT-R SA.609, à savoir que la puissance des brouillages ne devrait pas dépasser –216 dB(W/Hz) pendant plus de 0,1</w:t>
      </w:r>
      <w:r>
        <w:rPr>
          <w:rFonts w:ascii="Symbol" w:hAnsi="Symbol"/>
          <w:lang w:val="fr-CH"/>
        </w:rPr>
        <w:t></w:t>
      </w:r>
      <w:r>
        <w:rPr>
          <w:lang w:val="fr-CH"/>
        </w:rPr>
        <w:t xml:space="preserve"> du temps pour les missions effectuées sur des engins spatiaux non habités. Etant donné que le débit des liaisons espace vers Terre est relativement élevé, on utilisera une largeur de bande de référence de 4 kHz, ce qui correspond à un critère de puissance de brouillage de –180 dB(W/4 kHz).</w:t>
      </w:r>
    </w:p>
    <w:p w:rsidR="00D869A6" w:rsidRDefault="00D869A6" w:rsidP="003F6403">
      <w:pPr>
        <w:rPr>
          <w:lang w:val="fr-CH"/>
        </w:rPr>
      </w:pPr>
      <w:r>
        <w:rPr>
          <w:lang w:val="fr-CH"/>
        </w:rPr>
        <w:t>On a appliqué la méthode suivante pour évaluer la gamme des distances de séparation requises pour protéger une station terrienne de réception du service de recherche spatiale:</w:t>
      </w:r>
    </w:p>
    <w:p w:rsidR="00D869A6" w:rsidRDefault="00D869A6" w:rsidP="003F6403">
      <w:pPr>
        <w:pStyle w:val="enumlev1"/>
        <w:rPr>
          <w:lang w:val="fr-CH"/>
        </w:rPr>
      </w:pPr>
      <w:r>
        <w:rPr>
          <w:lang w:val="fr-CH"/>
        </w:rPr>
        <w:t>–</w:t>
      </w:r>
      <w:r>
        <w:rPr>
          <w:lang w:val="fr-CH"/>
        </w:rPr>
        <w:tab/>
        <w:t>déterminer la densité spectrale de p.i.r.e. dans la largeur de bande de 4 kHz la plus défavorable utilisée par les stations d'émission du service fixe énumérées dans le Tableau 4;</w:t>
      </w:r>
    </w:p>
    <w:p w:rsidR="00D869A6" w:rsidRDefault="00D869A6" w:rsidP="003F6403">
      <w:pPr>
        <w:pStyle w:val="enumlev1"/>
        <w:rPr>
          <w:lang w:val="fr-CH"/>
        </w:rPr>
      </w:pPr>
      <w:r>
        <w:rPr>
          <w:lang w:val="fr-CH"/>
        </w:rPr>
        <w:t>–</w:t>
      </w:r>
      <w:r>
        <w:rPr>
          <w:lang w:val="fr-CH"/>
        </w:rPr>
        <w:tab/>
        <w:t>déterminer le gain maximal de l'antenne de réception de la station terrienne du service de recherche spatiale en direction de la station d'émission du service fixe, sur la base de la Recommandation UIT-R SA.509;</w:t>
      </w:r>
    </w:p>
    <w:p w:rsidR="00D869A6" w:rsidRDefault="00D869A6" w:rsidP="003F6403">
      <w:pPr>
        <w:pStyle w:val="enumlev1"/>
        <w:rPr>
          <w:lang w:val="fr-CH"/>
        </w:rPr>
      </w:pPr>
      <w:r>
        <w:rPr>
          <w:lang w:val="fr-CH"/>
        </w:rPr>
        <w:t>–</w:t>
      </w:r>
      <w:r>
        <w:rPr>
          <w:lang w:val="fr-CH"/>
        </w:rPr>
        <w:tab/>
        <w:t>calculer l'affaiblissement de transmission de référence minimal admissible pour des émissions maximales et pour des émissions isotropes de stations du service fixe en direction de la station terrienne du service de recherche spatiale; et,</w:t>
      </w:r>
    </w:p>
    <w:p w:rsidR="00D869A6" w:rsidRDefault="00D869A6" w:rsidP="003F6403">
      <w:pPr>
        <w:pStyle w:val="enumlev1"/>
        <w:rPr>
          <w:lang w:val="fr-CH"/>
        </w:rPr>
      </w:pPr>
      <w:r>
        <w:rPr>
          <w:lang w:val="fr-CH"/>
        </w:rPr>
        <w:t>–</w:t>
      </w:r>
      <w:r>
        <w:rPr>
          <w:lang w:val="fr-CH"/>
        </w:rPr>
        <w:tab/>
        <w:t>à l'aide des procédures de la Recommandation UIT-R SM.1448, calculer la distance de séparation requise pour obtenir l'affaiblissement de transmission de référence minimal admissible en supposant un mode (1) de propagation pour un trajet à l'intérieur des terres (défini comme étant la zone A2 dans cette Recommandation).</w:t>
      </w:r>
    </w:p>
    <w:p w:rsidR="00D869A6" w:rsidRDefault="00D869A6" w:rsidP="00E16B3C">
      <w:pPr>
        <w:pStyle w:val="Heading2"/>
        <w:spacing w:before="360"/>
        <w:rPr>
          <w:lang w:val="fr-CH"/>
        </w:rPr>
      </w:pPr>
      <w:r>
        <w:rPr>
          <w:lang w:val="fr-CH"/>
        </w:rPr>
        <w:t>6.1</w:t>
      </w:r>
      <w:r>
        <w:rPr>
          <w:lang w:val="fr-CH"/>
        </w:rPr>
        <w:tab/>
        <w:t>Densité spectrale de p.i.r.e. des stations d'émission du service fixe</w:t>
      </w:r>
    </w:p>
    <w:p w:rsidR="00D869A6" w:rsidRDefault="00D869A6" w:rsidP="003F6403">
      <w:pPr>
        <w:rPr>
          <w:lang w:val="fr-CH"/>
        </w:rPr>
      </w:pPr>
      <w:r>
        <w:rPr>
          <w:lang w:val="fr-CH"/>
        </w:rPr>
        <w:t>La densité spectrale de puissance (dsp) d'une porteuse MDP</w:t>
      </w:r>
      <w:r>
        <w:rPr>
          <w:lang w:val="fr-CH"/>
        </w:rPr>
        <w:noBreakHyphen/>
        <w:t>M ou MAQ</w:t>
      </w:r>
      <w:r>
        <w:rPr>
          <w:lang w:val="fr-CH"/>
        </w:rPr>
        <w:noBreakHyphen/>
        <w:t>M modulée par un flux de données aléatoires est maximale autour de la fréquence porteuse. Lorsque le débit de symboles est grand par rapport à la largeur de bande de référence, cette densité est donnée par la formule:</w:t>
      </w:r>
    </w:p>
    <w:p w:rsidR="00D869A6" w:rsidRDefault="00D869A6" w:rsidP="003F6403">
      <w:pPr>
        <w:pStyle w:val="Equation"/>
        <w:rPr>
          <w:lang w:val="fr-CH"/>
        </w:rPr>
      </w:pPr>
      <w:r>
        <w:rPr>
          <w:lang w:val="fr-CH"/>
        </w:rPr>
        <w:tab/>
      </w:r>
      <w:r>
        <w:rPr>
          <w:lang w:val="fr-CH"/>
        </w:rPr>
        <w:tab/>
      </w:r>
      <w:r>
        <w:rPr>
          <w:position w:val="-16"/>
          <w:lang w:val="fr-CH"/>
        </w:rPr>
        <w:object w:dxaOrig="1700" w:dyaOrig="400">
          <v:shape id="_x0000_i1027" type="#_x0000_t75" style="width:85.7pt;height:20.3pt" o:ole="">
            <v:imagedata r:id="rId18" o:title=""/>
          </v:shape>
          <o:OLEObject Type="Embed" ProgID="Equation.3" ShapeID="_x0000_i1027" DrawAspect="Content" ObjectID="_1475498915" r:id="rId19"/>
        </w:object>
      </w:r>
      <w:r>
        <w:rPr>
          <w:lang w:val="fr-CH"/>
        </w:rPr>
        <w:tab/>
        <w:t>(1a)</w:t>
      </w:r>
    </w:p>
    <w:p w:rsidR="00D869A6" w:rsidRDefault="00D869A6" w:rsidP="003F6403">
      <w:pPr>
        <w:pStyle w:val="Equation"/>
        <w:spacing w:before="240"/>
        <w:rPr>
          <w:lang w:val="fr-CH"/>
        </w:rPr>
      </w:pPr>
      <w:r>
        <w:rPr>
          <w:lang w:val="fr-CH"/>
        </w:rPr>
        <w:tab/>
      </w:r>
      <w:r>
        <w:rPr>
          <w:lang w:val="fr-CH"/>
        </w:rPr>
        <w:tab/>
      </w:r>
      <w:r>
        <w:rPr>
          <w:position w:val="-30"/>
          <w:lang w:val="fr-CH"/>
        </w:rPr>
        <w:object w:dxaOrig="1320" w:dyaOrig="680">
          <v:shape id="_x0000_i1028" type="#_x0000_t75" style="width:65.8pt;height:33.55pt" o:ole="">
            <v:imagedata r:id="rId20" o:title=""/>
          </v:shape>
          <o:OLEObject Type="Embed" ProgID="Equation.3" ShapeID="_x0000_i1028" DrawAspect="Content" ObjectID="_1475498916" r:id="rId21"/>
        </w:object>
      </w:r>
      <w:r>
        <w:rPr>
          <w:lang w:val="fr-CH"/>
        </w:rPr>
        <w:tab/>
        <w:t>(1b)</w:t>
      </w:r>
    </w:p>
    <w:p w:rsidR="00D869A6" w:rsidRDefault="00D869A6" w:rsidP="00E16B3C">
      <w:pPr>
        <w:spacing w:before="0"/>
        <w:rPr>
          <w:lang w:val="fr-CH"/>
        </w:rPr>
      </w:pPr>
      <w:r>
        <w:rPr>
          <w:lang w:val="fr-CH"/>
        </w:rPr>
        <w:t>où:</w:t>
      </w:r>
    </w:p>
    <w:p w:rsidR="00D869A6" w:rsidRPr="00D869A6" w:rsidRDefault="00D869A6" w:rsidP="003F6403">
      <w:pPr>
        <w:pStyle w:val="Equationlegend"/>
        <w:rPr>
          <w:lang w:val="fr-CH"/>
        </w:rPr>
      </w:pPr>
      <w:r w:rsidRPr="00D869A6">
        <w:rPr>
          <w:lang w:val="fr-CH"/>
        </w:rPr>
        <w:tab/>
      </w:r>
      <w:r w:rsidRPr="00D869A6">
        <w:rPr>
          <w:i/>
          <w:iCs/>
          <w:lang w:val="fr-CH"/>
        </w:rPr>
        <w:t>dsp</w:t>
      </w:r>
      <w:r w:rsidRPr="00D869A6">
        <w:rPr>
          <w:i/>
          <w:iCs/>
          <w:sz w:val="12"/>
          <w:lang w:val="fr-CH"/>
        </w:rPr>
        <w:t> </w:t>
      </w:r>
      <w:r w:rsidRPr="00D869A6">
        <w:rPr>
          <w:lang w:val="fr-CH"/>
        </w:rPr>
        <w:t>:</w:t>
      </w:r>
      <w:r w:rsidRPr="00D869A6">
        <w:rPr>
          <w:lang w:val="fr-CH"/>
        </w:rPr>
        <w:tab/>
        <w:t xml:space="preserve">dsp dans la largeur de bande de référence, </w:t>
      </w:r>
      <w:r w:rsidRPr="00D869A6">
        <w:rPr>
          <w:i/>
          <w:iCs/>
          <w:lang w:val="fr-CH"/>
        </w:rPr>
        <w:t>b</w:t>
      </w:r>
      <w:r w:rsidRPr="00D869A6">
        <w:rPr>
          <w:i/>
          <w:iCs/>
          <w:vertAlign w:val="subscript"/>
          <w:lang w:val="fr-CH"/>
        </w:rPr>
        <w:t>ref</w:t>
      </w:r>
      <w:r w:rsidRPr="00D869A6">
        <w:rPr>
          <w:lang w:val="fr-CH"/>
        </w:rPr>
        <w:t>, à l'entrée de l'antenne d'émission (W/</w:t>
      </w:r>
      <w:r w:rsidRPr="00D869A6">
        <w:rPr>
          <w:i/>
          <w:iCs/>
          <w:lang w:val="fr-CH"/>
        </w:rPr>
        <w:t>b</w:t>
      </w:r>
      <w:r w:rsidRPr="00D869A6">
        <w:rPr>
          <w:i/>
          <w:iCs/>
          <w:vertAlign w:val="subscript"/>
          <w:lang w:val="fr-CH"/>
        </w:rPr>
        <w:t>ref</w:t>
      </w:r>
      <w:r w:rsidRPr="00D869A6">
        <w:rPr>
          <w:lang w:val="fr-CH"/>
        </w:rPr>
        <w:t>)</w:t>
      </w:r>
    </w:p>
    <w:p w:rsidR="00D869A6" w:rsidRPr="00D869A6" w:rsidRDefault="00D869A6" w:rsidP="003F6403">
      <w:pPr>
        <w:pStyle w:val="Equationlegend"/>
        <w:rPr>
          <w:lang w:val="fr-CH"/>
        </w:rPr>
      </w:pPr>
      <w:r w:rsidRPr="00D869A6">
        <w:rPr>
          <w:lang w:val="fr-CH"/>
        </w:rPr>
        <w:tab/>
      </w:r>
      <w:r w:rsidRPr="00D869A6">
        <w:rPr>
          <w:i/>
          <w:iCs/>
          <w:lang w:val="fr-CH"/>
        </w:rPr>
        <w:t>P</w:t>
      </w:r>
      <w:r w:rsidRPr="00D869A6">
        <w:rPr>
          <w:i/>
          <w:iCs/>
          <w:vertAlign w:val="subscript"/>
          <w:lang w:val="fr-CH"/>
        </w:rPr>
        <w:t>avg</w:t>
      </w:r>
      <w:r w:rsidRPr="00D869A6">
        <w:rPr>
          <w:i/>
          <w:iCs/>
          <w:sz w:val="12"/>
          <w:lang w:val="fr-CH"/>
        </w:rPr>
        <w:t> </w:t>
      </w:r>
      <w:r w:rsidRPr="00D869A6">
        <w:rPr>
          <w:lang w:val="fr-CH"/>
        </w:rPr>
        <w:t>:</w:t>
      </w:r>
      <w:r w:rsidRPr="00D869A6">
        <w:rPr>
          <w:lang w:val="fr-CH"/>
        </w:rPr>
        <w:tab/>
        <w:t>puissance moyenne à la sortie de l'émetteur (W)</w:t>
      </w:r>
    </w:p>
    <w:p w:rsidR="00D869A6" w:rsidRDefault="00D869A6" w:rsidP="003F6403">
      <w:pPr>
        <w:pStyle w:val="Equationlegend"/>
        <w:rPr>
          <w:lang w:val="fr-CH"/>
        </w:rPr>
      </w:pPr>
      <w:r w:rsidRPr="00D869A6">
        <w:rPr>
          <w:lang w:val="fr-CH"/>
        </w:rPr>
        <w:tab/>
      </w:r>
      <w:r>
        <w:rPr>
          <w:i/>
          <w:iCs/>
          <w:lang w:val="fr-CH"/>
        </w:rPr>
        <w:t>T</w:t>
      </w:r>
      <w:r>
        <w:rPr>
          <w:i/>
          <w:iCs/>
          <w:vertAlign w:val="subscript"/>
          <w:lang w:val="fr-CH"/>
        </w:rPr>
        <w:t>s</w:t>
      </w:r>
      <w:r>
        <w:rPr>
          <w:i/>
          <w:iCs/>
          <w:sz w:val="12"/>
          <w:lang w:val="fr-CH"/>
        </w:rPr>
        <w:t> </w:t>
      </w:r>
      <w:r>
        <w:rPr>
          <w:lang w:val="fr-CH"/>
        </w:rPr>
        <w:t>:</w:t>
      </w:r>
      <w:r>
        <w:rPr>
          <w:lang w:val="fr-CH"/>
        </w:rPr>
        <w:tab/>
        <w:t>durée d'un symbole (s)</w:t>
      </w:r>
    </w:p>
    <w:p w:rsidR="00D869A6" w:rsidRDefault="00D869A6" w:rsidP="003F6403">
      <w:pPr>
        <w:pStyle w:val="Equationlegend"/>
        <w:rPr>
          <w:lang w:val="fr-CH"/>
        </w:rPr>
      </w:pPr>
      <w:r>
        <w:rPr>
          <w:lang w:val="fr-CH"/>
        </w:rPr>
        <w:tab/>
      </w:r>
      <w:r>
        <w:rPr>
          <w:i/>
          <w:iCs/>
          <w:lang w:val="fr-CH"/>
        </w:rPr>
        <w:t>M</w:t>
      </w:r>
      <w:r>
        <w:rPr>
          <w:i/>
          <w:iCs/>
          <w:sz w:val="12"/>
          <w:lang w:val="fr-CH"/>
        </w:rPr>
        <w:t> </w:t>
      </w:r>
      <w:r>
        <w:rPr>
          <w:lang w:val="fr-CH"/>
        </w:rPr>
        <w:t>:</w:t>
      </w:r>
      <w:r>
        <w:rPr>
          <w:lang w:val="fr-CH"/>
        </w:rPr>
        <w:tab/>
        <w:t>nombre d'états discrets groupés par le signal émis (numérique)</w:t>
      </w:r>
    </w:p>
    <w:p w:rsidR="00D869A6" w:rsidRDefault="00D869A6" w:rsidP="003F6403">
      <w:pPr>
        <w:pStyle w:val="Equationlegend"/>
        <w:rPr>
          <w:lang w:val="fr-CH"/>
        </w:rPr>
      </w:pPr>
      <w:r>
        <w:rPr>
          <w:lang w:val="fr-CH"/>
        </w:rPr>
        <w:tab/>
      </w:r>
      <w:r>
        <w:rPr>
          <w:i/>
          <w:iCs/>
          <w:lang w:val="fr-CH"/>
        </w:rPr>
        <w:t>R</w:t>
      </w:r>
      <w:r>
        <w:rPr>
          <w:i/>
          <w:iCs/>
          <w:vertAlign w:val="subscript"/>
          <w:lang w:val="fr-CH"/>
        </w:rPr>
        <w:t>b</w:t>
      </w:r>
      <w:r>
        <w:rPr>
          <w:i/>
          <w:iCs/>
          <w:sz w:val="12"/>
          <w:lang w:val="fr-CH"/>
        </w:rPr>
        <w:t> </w:t>
      </w:r>
      <w:r>
        <w:rPr>
          <w:lang w:val="fr-CH"/>
        </w:rPr>
        <w:t>:</w:t>
      </w:r>
      <w:r>
        <w:rPr>
          <w:lang w:val="fr-CH"/>
        </w:rPr>
        <w:tab/>
        <w:t>débit binaire combiné d'informations et de codage du signal émis (bit/s).</w:t>
      </w:r>
    </w:p>
    <w:p w:rsidR="00D869A6" w:rsidRDefault="00D869A6" w:rsidP="00E16B3C">
      <w:pPr>
        <w:pStyle w:val="Heading2"/>
        <w:spacing w:before="360"/>
        <w:rPr>
          <w:lang w:val="fr-CH"/>
        </w:rPr>
      </w:pPr>
      <w:r>
        <w:rPr>
          <w:lang w:val="fr-CH"/>
        </w:rPr>
        <w:t>6.2</w:t>
      </w:r>
      <w:r>
        <w:rPr>
          <w:lang w:val="fr-CH"/>
        </w:rPr>
        <w:tab/>
        <w:t>Distances de séparation types</w:t>
      </w:r>
    </w:p>
    <w:p w:rsidR="00D869A6" w:rsidRDefault="00D869A6" w:rsidP="003F6403">
      <w:pPr>
        <w:rPr>
          <w:lang w:val="fr-CH"/>
        </w:rPr>
      </w:pPr>
      <w:r>
        <w:rPr>
          <w:lang w:val="fr-CH"/>
        </w:rPr>
        <w:t>La valeur minimale de l'affaiblissement de transmission de référence est donnée par:</w:t>
      </w:r>
    </w:p>
    <w:p w:rsidR="00D869A6" w:rsidRDefault="00D869A6" w:rsidP="003F6403">
      <w:pPr>
        <w:pStyle w:val="Equation"/>
        <w:rPr>
          <w:lang w:val="fr-CH"/>
        </w:rPr>
      </w:pPr>
      <w:r>
        <w:rPr>
          <w:lang w:val="fr-CH"/>
        </w:rPr>
        <w:tab/>
      </w:r>
      <w:r>
        <w:rPr>
          <w:lang w:val="fr-CH"/>
        </w:rPr>
        <w:tab/>
      </w:r>
      <w:r w:rsidR="00486521" w:rsidRPr="00486521">
        <w:rPr>
          <w:position w:val="-10"/>
        </w:rPr>
        <w:object w:dxaOrig="3560" w:dyaOrig="320">
          <v:shape id="_x0000_i1051" type="#_x0000_t75" style="width:178pt;height:15.9pt" o:ole="">
            <v:imagedata r:id="rId22" o:title=""/>
          </v:shape>
          <o:OLEObject Type="Embed" ProgID="Equation.3" ShapeID="_x0000_i1051" DrawAspect="Content" ObjectID="_1475498917" r:id="rId23"/>
        </w:object>
      </w:r>
      <w:r>
        <w:rPr>
          <w:lang w:val="fr-CH"/>
        </w:rPr>
        <w:tab/>
        <w:t>(2)</w:t>
      </w:r>
    </w:p>
    <w:p w:rsidR="00D869A6" w:rsidRDefault="00D869A6" w:rsidP="003F6403">
      <w:pPr>
        <w:rPr>
          <w:lang w:val="fr-CH"/>
        </w:rPr>
      </w:pPr>
      <w:r>
        <w:rPr>
          <w:lang w:val="fr-CH"/>
        </w:rPr>
        <w:t>où:</w:t>
      </w:r>
    </w:p>
    <w:p w:rsidR="00D869A6" w:rsidRDefault="00D869A6" w:rsidP="003F6403">
      <w:pPr>
        <w:pStyle w:val="Equationlegend"/>
        <w:rPr>
          <w:lang w:val="fr-CH"/>
        </w:rPr>
      </w:pPr>
      <w:r w:rsidRPr="00D869A6">
        <w:rPr>
          <w:lang w:val="fr-CH"/>
        </w:rPr>
        <w:tab/>
      </w:r>
      <w:r>
        <w:rPr>
          <w:i/>
          <w:iCs/>
          <w:lang w:val="fr-CH"/>
        </w:rPr>
        <w:t>L</w:t>
      </w:r>
      <w:r>
        <w:rPr>
          <w:i/>
          <w:iCs/>
          <w:vertAlign w:val="subscript"/>
          <w:lang w:val="fr-CH"/>
        </w:rPr>
        <w:t>B</w:t>
      </w:r>
      <w:r>
        <w:rPr>
          <w:i/>
          <w:iCs/>
          <w:sz w:val="12"/>
          <w:lang w:val="fr-CH"/>
        </w:rPr>
        <w:t> </w:t>
      </w:r>
      <w:r>
        <w:rPr>
          <w:lang w:val="fr-CH"/>
        </w:rPr>
        <w:t>:</w:t>
      </w:r>
      <w:r>
        <w:rPr>
          <w:lang w:val="fr-CH"/>
        </w:rPr>
        <w:tab/>
        <w:t>affaiblissement de transmission de référence minimal admissible (dB)</w:t>
      </w:r>
    </w:p>
    <w:p w:rsidR="00D869A6" w:rsidRDefault="00D869A6" w:rsidP="003F6403">
      <w:pPr>
        <w:pStyle w:val="Equationlegend"/>
        <w:rPr>
          <w:lang w:val="fr-CH"/>
        </w:rPr>
      </w:pPr>
      <w:r>
        <w:rPr>
          <w:lang w:val="fr-CH"/>
        </w:rPr>
        <w:tab/>
      </w:r>
      <w:r>
        <w:rPr>
          <w:i/>
          <w:iCs/>
          <w:lang w:val="fr-CH"/>
        </w:rPr>
        <w:t>I</w:t>
      </w:r>
      <w:r>
        <w:rPr>
          <w:i/>
          <w:iCs/>
          <w:vertAlign w:val="subscript"/>
          <w:lang w:val="fr-CH"/>
        </w:rPr>
        <w:t>CP</w:t>
      </w:r>
      <w:r>
        <w:rPr>
          <w:i/>
          <w:iCs/>
          <w:sz w:val="12"/>
          <w:lang w:val="fr-CH"/>
        </w:rPr>
        <w:t> </w:t>
      </w:r>
      <w:r>
        <w:rPr>
          <w:lang w:val="fr-CH"/>
        </w:rPr>
        <w:t>:</w:t>
      </w:r>
      <w:r>
        <w:rPr>
          <w:lang w:val="fr-CH"/>
        </w:rPr>
        <w:tab/>
        <w:t>critère de protection (dBW/</w:t>
      </w:r>
      <w:r>
        <w:rPr>
          <w:i/>
          <w:iCs/>
          <w:lang w:val="fr-CH"/>
        </w:rPr>
        <w:t>b</w:t>
      </w:r>
      <w:r>
        <w:rPr>
          <w:i/>
          <w:iCs/>
          <w:vertAlign w:val="subscript"/>
          <w:lang w:val="fr-CH"/>
        </w:rPr>
        <w:t>ref</w:t>
      </w:r>
      <w:r>
        <w:rPr>
          <w:lang w:val="fr-CH"/>
        </w:rPr>
        <w:t>)</w:t>
      </w:r>
    </w:p>
    <w:p w:rsidR="00D869A6" w:rsidRDefault="00D869A6" w:rsidP="003F6403">
      <w:pPr>
        <w:pStyle w:val="Equationlegend"/>
        <w:rPr>
          <w:lang w:val="fr-CH"/>
        </w:rPr>
      </w:pPr>
      <w:r>
        <w:rPr>
          <w:lang w:val="fr-CH"/>
        </w:rPr>
        <w:tab/>
      </w:r>
      <w:r>
        <w:rPr>
          <w:i/>
          <w:iCs/>
          <w:lang w:val="fr-CH"/>
        </w:rPr>
        <w:t>dsp</w:t>
      </w:r>
      <w:r>
        <w:rPr>
          <w:i/>
          <w:iCs/>
          <w:sz w:val="12"/>
          <w:lang w:val="fr-CH"/>
        </w:rPr>
        <w:t> </w:t>
      </w:r>
      <w:r>
        <w:rPr>
          <w:lang w:val="fr-CH"/>
        </w:rPr>
        <w:t>:</w:t>
      </w:r>
      <w:r>
        <w:rPr>
          <w:lang w:val="fr-CH"/>
        </w:rPr>
        <w:tab/>
        <w:t>dsp d'émission à l'entrée de l'antenne d'émission (dBW/</w:t>
      </w:r>
      <w:r>
        <w:rPr>
          <w:i/>
          <w:iCs/>
          <w:lang w:val="fr-CH"/>
        </w:rPr>
        <w:t>b</w:t>
      </w:r>
      <w:r>
        <w:rPr>
          <w:i/>
          <w:iCs/>
          <w:vertAlign w:val="subscript"/>
          <w:lang w:val="fr-CH"/>
        </w:rPr>
        <w:t>ref</w:t>
      </w:r>
      <w:r>
        <w:rPr>
          <w:lang w:val="fr-CH"/>
        </w:rPr>
        <w:t>)</w:t>
      </w:r>
    </w:p>
    <w:p w:rsidR="00D869A6" w:rsidRDefault="00D869A6" w:rsidP="003F6403">
      <w:pPr>
        <w:pStyle w:val="Equationlegend"/>
        <w:rPr>
          <w:lang w:val="fr-CH"/>
        </w:rPr>
      </w:pPr>
      <w:r>
        <w:rPr>
          <w:lang w:val="fr-CH"/>
        </w:rPr>
        <w:tab/>
      </w:r>
      <w:r>
        <w:rPr>
          <w:i/>
          <w:iCs/>
          <w:lang w:val="fr-CH"/>
        </w:rPr>
        <w:t>b</w:t>
      </w:r>
      <w:r>
        <w:rPr>
          <w:i/>
          <w:iCs/>
          <w:vertAlign w:val="subscript"/>
          <w:lang w:val="fr-CH"/>
        </w:rPr>
        <w:t>ref</w:t>
      </w:r>
      <w:r>
        <w:rPr>
          <w:i/>
          <w:iCs/>
          <w:sz w:val="12"/>
          <w:lang w:val="fr-CH"/>
        </w:rPr>
        <w:t> </w:t>
      </w:r>
      <w:r>
        <w:rPr>
          <w:lang w:val="fr-CH"/>
        </w:rPr>
        <w:t>:</w:t>
      </w:r>
      <w:r>
        <w:rPr>
          <w:lang w:val="fr-CH"/>
        </w:rPr>
        <w:tab/>
        <w:t>largeur de bande de référence (4 kHz)</w:t>
      </w:r>
    </w:p>
    <w:p w:rsidR="00D869A6" w:rsidRDefault="00D869A6" w:rsidP="003F6403">
      <w:pPr>
        <w:pStyle w:val="Equationlegend"/>
        <w:rPr>
          <w:lang w:val="fr-CH"/>
        </w:rPr>
      </w:pPr>
      <w:r>
        <w:rPr>
          <w:lang w:val="fr-CH"/>
        </w:rPr>
        <w:tab/>
      </w:r>
      <w:r>
        <w:rPr>
          <w:i/>
          <w:iCs/>
          <w:lang w:val="fr-CH"/>
        </w:rPr>
        <w:t>G</w:t>
      </w:r>
      <w:r>
        <w:rPr>
          <w:i/>
          <w:iCs/>
          <w:vertAlign w:val="subscript"/>
          <w:lang w:val="fr-CH"/>
        </w:rPr>
        <w:t>T</w:t>
      </w:r>
      <w:r>
        <w:rPr>
          <w:i/>
          <w:iCs/>
          <w:sz w:val="12"/>
          <w:vertAlign w:val="subscript"/>
          <w:lang w:val="fr-CH"/>
        </w:rPr>
        <w:t> </w:t>
      </w:r>
      <w:r>
        <w:rPr>
          <w:lang w:val="fr-CH"/>
        </w:rPr>
        <w:t>(</w:t>
      </w:r>
      <w:r>
        <w:rPr>
          <w:rFonts w:ascii="Symbol" w:hAnsi="Symbol"/>
        </w:rPr>
        <w:sym w:font="Symbol" w:char="F071"/>
      </w:r>
      <w:r>
        <w:rPr>
          <w:i/>
          <w:iCs/>
          <w:vertAlign w:val="subscript"/>
          <w:lang w:val="fr-CH"/>
        </w:rPr>
        <w:t>FS</w:t>
      </w:r>
      <w:r>
        <w:rPr>
          <w:lang w:val="fr-CH"/>
        </w:rPr>
        <w:t>)</w:t>
      </w:r>
      <w:r>
        <w:rPr>
          <w:i/>
          <w:iCs/>
          <w:sz w:val="12"/>
          <w:lang w:val="fr-CH"/>
        </w:rPr>
        <w:t xml:space="preserve">  </w:t>
      </w:r>
      <w:r>
        <w:rPr>
          <w:lang w:val="fr-CH"/>
        </w:rPr>
        <w:t>:</w:t>
      </w:r>
      <w:r>
        <w:rPr>
          <w:lang w:val="fr-CH"/>
        </w:rPr>
        <w:tab/>
        <w:t>gain de l'antenne d'émission du service fixe en direction de la station de réception du service de recherche spatiale (dB)</w:t>
      </w:r>
    </w:p>
    <w:p w:rsidR="00D869A6" w:rsidRPr="00D869A6" w:rsidRDefault="00D869A6" w:rsidP="003F6403">
      <w:pPr>
        <w:pStyle w:val="Equationlegend"/>
        <w:rPr>
          <w:lang w:val="fr-CH"/>
        </w:rPr>
      </w:pPr>
      <w:r>
        <w:rPr>
          <w:lang w:val="fr-CH"/>
        </w:rPr>
        <w:tab/>
      </w:r>
      <w:r w:rsidRPr="00D869A6">
        <w:rPr>
          <w:i/>
          <w:iCs/>
          <w:lang w:val="fr-CH"/>
        </w:rPr>
        <w:t>G</w:t>
      </w:r>
      <w:r w:rsidRPr="00D869A6">
        <w:rPr>
          <w:i/>
          <w:iCs/>
          <w:vertAlign w:val="subscript"/>
          <w:lang w:val="fr-CH"/>
        </w:rPr>
        <w:t>R</w:t>
      </w:r>
      <w:r w:rsidRPr="00D869A6">
        <w:rPr>
          <w:lang w:val="fr-CH"/>
        </w:rPr>
        <w:t>(</w:t>
      </w:r>
      <w:r>
        <w:rPr>
          <w:rFonts w:ascii="Symbol" w:hAnsi="Symbol"/>
        </w:rPr>
        <w:sym w:font="Symbol" w:char="F071"/>
      </w:r>
      <w:r w:rsidRPr="00D869A6">
        <w:rPr>
          <w:i/>
          <w:iCs/>
          <w:vertAlign w:val="subscript"/>
          <w:lang w:val="fr-CH"/>
        </w:rPr>
        <w:t>Rmin</w:t>
      </w:r>
      <w:r w:rsidRPr="00D869A6">
        <w:rPr>
          <w:lang w:val="fr-CH"/>
        </w:rPr>
        <w:t>)</w:t>
      </w:r>
      <w:r w:rsidRPr="00D869A6">
        <w:rPr>
          <w:i/>
          <w:iCs/>
          <w:sz w:val="12"/>
          <w:lang w:val="fr-CH"/>
        </w:rPr>
        <w:t xml:space="preserve">  </w:t>
      </w:r>
      <w:r w:rsidRPr="00D869A6">
        <w:rPr>
          <w:lang w:val="fr-CH"/>
        </w:rPr>
        <w:t>:</w:t>
      </w:r>
      <w:r w:rsidRPr="00D869A6">
        <w:rPr>
          <w:lang w:val="fr-CH"/>
        </w:rPr>
        <w:tab/>
        <w:t>gain maximal de l'antenne de réception du service de recherche spatiale en direction de la station du service fixe (dB).</w:t>
      </w:r>
    </w:p>
    <w:p w:rsidR="00D869A6" w:rsidRDefault="00D869A6" w:rsidP="003F6403">
      <w:pPr>
        <w:rPr>
          <w:lang w:val="fr-CH"/>
        </w:rPr>
      </w:pPr>
      <w:r>
        <w:rPr>
          <w:lang w:val="fr-CH"/>
        </w:rPr>
        <w:t>Une antenne de réception du service de recherche spatiale dont le diagramme de rayonnement de référence est conforme à celui de la Recommandation UIT-R SA.509 présente un gain maximal de </w:t>
      </w:r>
      <w:r>
        <w:rPr>
          <w:rFonts w:ascii="Symbol" w:hAnsi="Symbol"/>
          <w:lang w:val="fr-CH"/>
        </w:rPr>
        <w:t></w:t>
      </w:r>
      <w:r>
        <w:rPr>
          <w:lang w:val="fr-CH"/>
        </w:rPr>
        <w:t>7 dBi en direction de l'horizon lorsqu'elle est pointée suivant un angle d'élévation minimal de 10°.</w:t>
      </w:r>
    </w:p>
    <w:p w:rsidR="00D869A6" w:rsidRDefault="00D869A6" w:rsidP="003F6403">
      <w:pPr>
        <w:rPr>
          <w:lang w:val="fr-CH"/>
        </w:rPr>
      </w:pPr>
      <w:r>
        <w:rPr>
          <w:lang w:val="fr-CH"/>
        </w:rPr>
        <w:t>On détermine la valeur minimale admissible de l'affaiblissement de transmission de référence en utilisant les procédures données dans la Recommandation UIT-R SM.1448 pour:</w:t>
      </w:r>
    </w:p>
    <w:p w:rsidR="00D869A6" w:rsidRDefault="00D869A6" w:rsidP="003F6403">
      <w:pPr>
        <w:pStyle w:val="enumlev1"/>
        <w:rPr>
          <w:lang w:val="fr-CH"/>
        </w:rPr>
      </w:pPr>
      <w:r>
        <w:rPr>
          <w:lang w:val="fr-CH"/>
        </w:rPr>
        <w:sym w:font="Symbol" w:char="F02D"/>
      </w:r>
      <w:r>
        <w:rPr>
          <w:lang w:val="fr-CH"/>
        </w:rPr>
        <w:tab/>
        <w:t>une fréquence d'exploitation de 15 GHz;</w:t>
      </w:r>
    </w:p>
    <w:p w:rsidR="00D869A6" w:rsidRDefault="00D869A6" w:rsidP="003F6403">
      <w:pPr>
        <w:pStyle w:val="enumlev1"/>
        <w:rPr>
          <w:lang w:val="fr-CH"/>
        </w:rPr>
      </w:pPr>
      <w:r>
        <w:rPr>
          <w:lang w:val="fr-CH"/>
        </w:rPr>
        <w:sym w:font="Symbol" w:char="F02D"/>
      </w:r>
      <w:r>
        <w:rPr>
          <w:lang w:val="fr-CH"/>
        </w:rPr>
        <w:tab/>
        <w:t>une propagation au-dessus d'une terre régulière pour un trajet à l'intérieur des terres (zone A2);</w:t>
      </w:r>
    </w:p>
    <w:p w:rsidR="00D869A6" w:rsidRDefault="00D869A6" w:rsidP="003F6403">
      <w:pPr>
        <w:pStyle w:val="enumlev1"/>
        <w:rPr>
          <w:lang w:val="fr-CH"/>
        </w:rPr>
      </w:pPr>
      <w:r>
        <w:rPr>
          <w:lang w:val="fr-CH"/>
        </w:rPr>
        <w:sym w:font="Symbol" w:char="F02D"/>
      </w:r>
      <w:r>
        <w:rPr>
          <w:lang w:val="fr-CH"/>
        </w:rPr>
        <w:tab/>
        <w:t>le mode (1) de propagation, lorsque l'affaiblissement de transmission de référence minimal admissible est dépassé pendant plus de 0,1</w:t>
      </w:r>
      <w:r>
        <w:rPr>
          <w:rFonts w:ascii="Symbol" w:hAnsi="Symbol"/>
          <w:lang w:val="fr-CH"/>
        </w:rPr>
        <w:t></w:t>
      </w:r>
      <w:r>
        <w:rPr>
          <w:lang w:val="fr-CH"/>
        </w:rPr>
        <w:t xml:space="preserve"> du temps;</w:t>
      </w:r>
    </w:p>
    <w:p w:rsidR="00D869A6" w:rsidRDefault="00D869A6" w:rsidP="003F6403">
      <w:pPr>
        <w:pStyle w:val="enumlev1"/>
        <w:rPr>
          <w:lang w:val="fr-CH"/>
        </w:rPr>
      </w:pPr>
      <w:r>
        <w:rPr>
          <w:lang w:val="fr-CH"/>
        </w:rPr>
        <w:sym w:font="Symbol" w:char="F02D"/>
      </w:r>
      <w:r>
        <w:rPr>
          <w:lang w:val="fr-CH"/>
        </w:rPr>
        <w:tab/>
        <w:t>une antenne de réception de la station terrienne du service de recherche spatiale placée à 10 m au-dessus de la surface de la Terre;</w:t>
      </w:r>
    </w:p>
    <w:p w:rsidR="00D869A6" w:rsidRDefault="00D869A6" w:rsidP="003F6403">
      <w:pPr>
        <w:pStyle w:val="enumlev1"/>
        <w:rPr>
          <w:lang w:val="fr-CH"/>
        </w:rPr>
      </w:pPr>
      <w:r>
        <w:rPr>
          <w:lang w:val="fr-CH"/>
        </w:rPr>
        <w:sym w:font="Symbol" w:char="F02D"/>
      </w:r>
      <w:r>
        <w:rPr>
          <w:lang w:val="fr-CH"/>
        </w:rPr>
        <w:tab/>
        <w:t>une antenne d'émission de la station du service fixe placée à 30 m au-dessus de la surface de la Terre.</w:t>
      </w:r>
    </w:p>
    <w:p w:rsidR="00D869A6" w:rsidRDefault="00D869A6" w:rsidP="001F70DD">
      <w:pPr>
        <w:rPr>
          <w:lang w:val="fr-CH"/>
        </w:rPr>
      </w:pPr>
      <w:r>
        <w:rPr>
          <w:lang w:val="fr-CH"/>
        </w:rPr>
        <w:t>La Fig</w:t>
      </w:r>
      <w:r w:rsidR="001F70DD">
        <w:rPr>
          <w:lang w:val="fr-CH"/>
        </w:rPr>
        <w:t>ure</w:t>
      </w:r>
      <w:r>
        <w:rPr>
          <w:lang w:val="fr-CH"/>
        </w:rPr>
        <w:t> 3 indique la valeur de l'affaiblissement de transmission de référence en mode (1) en fonction de la distance de séparation obtenue sur la base des hypothèses susmentionnées et des procédures de la Recommandation UIT-R SM.1448.</w:t>
      </w:r>
    </w:p>
    <w:p w:rsidR="00D869A6" w:rsidRDefault="00D869A6" w:rsidP="001F70DD">
      <w:pPr>
        <w:rPr>
          <w:lang w:val="fr-CH"/>
        </w:rPr>
      </w:pPr>
      <w:r>
        <w:rPr>
          <w:lang w:val="fr-CH"/>
        </w:rPr>
        <w:t>Le Tableau 5 contient un résumé des calculs permettant de déterminer les distances de séparation. La protection des stations terriennes de réception du service de recherche spatiale contre les émissions des systèmes du service fixe présentant les caractéristiques données dans la Recommandation UIT-R F.758 peut être assurée pour des distances de séparation relativement courtes, à savoir de 18 km à 30</w:t>
      </w:r>
      <w:r w:rsidR="001F70DD">
        <w:rPr>
          <w:lang w:val="fr-CH"/>
        </w:rPr>
        <w:t> </w:t>
      </w:r>
      <w:r>
        <w:rPr>
          <w:lang w:val="fr-CH"/>
        </w:rPr>
        <w:t>km, dans des conditions favorables et pour des distances allant jusqu'à 200 km dans des conditions moins favorables. Ces distances ont été déterminées pour le mode (1) de propagation pour un trajet du grand cercle à l'intérieur des terres au-dessus d'une terre régulière (zone A2) à l'aide de la méthode décrite dans la Recommandation UIT-R SM.1448. On prévoit que ces distances de séparation pourront diminuer lorsqu'il sera tenu compte de facteurs tels que les plans de répartition des canaux, l'effet d'écran dû aux sites naturels, les obstacles dus au terrain et d'autres caractéristiques du terrain.</w:t>
      </w:r>
    </w:p>
    <w:p w:rsidR="0009349D" w:rsidRDefault="0009349D" w:rsidP="00E16B3C">
      <w:pPr>
        <w:pStyle w:val="FigureNo"/>
        <w:keepNext w:val="0"/>
        <w:keepLines w:val="0"/>
        <w:snapToGrid w:val="0"/>
        <w:spacing w:before="240"/>
        <w:rPr>
          <w:lang w:val="fr-CH"/>
        </w:rPr>
      </w:pPr>
      <w:r>
        <w:rPr>
          <w:lang w:val="fr-CH"/>
        </w:rPr>
        <w:t>FIGURE 3</w:t>
      </w:r>
    </w:p>
    <w:p w:rsidR="0009349D" w:rsidRPr="0009349D" w:rsidRDefault="0009349D" w:rsidP="002556C5">
      <w:pPr>
        <w:pStyle w:val="Figuretitle"/>
        <w:keepNext w:val="0"/>
        <w:snapToGrid w:val="0"/>
        <w:rPr>
          <w:iCs/>
          <w:vertAlign w:val="subscript"/>
          <w:lang w:val="fr-CH"/>
        </w:rPr>
      </w:pPr>
      <w:r>
        <w:rPr>
          <w:lang w:val="fr-CH"/>
        </w:rPr>
        <w:t xml:space="preserve">Affaiblissement de transmission de référence non dépassé pendant plus de 0,1% du temps en mode (1) </w:t>
      </w:r>
      <w:r>
        <w:rPr>
          <w:lang w:val="fr-CH"/>
        </w:rPr>
        <w:br/>
        <w:t>de propagation pour un trajet à l'intérieur des terres au-dessus d'une terre régulière</w:t>
      </w:r>
      <w:r w:rsidR="005F216C">
        <w:rPr>
          <w:lang w:val="fr-CH"/>
        </w:rPr>
        <w:t>:</w:t>
      </w:r>
      <w:r w:rsidR="005F216C">
        <w:rPr>
          <w:lang w:val="fr-CH"/>
        </w:rPr>
        <w:br/>
      </w:r>
      <w:r>
        <w:rPr>
          <w:i/>
          <w:iCs/>
          <w:lang w:val="fr-CH"/>
        </w:rPr>
        <w:t>f </w:t>
      </w:r>
      <w:r w:rsidR="00FF2173">
        <w:rPr>
          <w:lang w:val="fr-CH"/>
        </w:rPr>
        <w:t>= </w:t>
      </w:r>
      <w:r w:rsidR="005F216C">
        <w:rPr>
          <w:lang w:val="fr-CH"/>
        </w:rPr>
        <w:t xml:space="preserve">15 GHz; </w:t>
      </w:r>
      <w:r>
        <w:rPr>
          <w:i/>
          <w:iCs/>
          <w:lang w:val="fr-CH"/>
        </w:rPr>
        <w:t>h</w:t>
      </w:r>
      <w:r w:rsidRPr="001F70DD">
        <w:rPr>
          <w:vertAlign w:val="subscript"/>
          <w:lang w:val="fr-CH"/>
        </w:rPr>
        <w:t>1</w:t>
      </w:r>
      <w:r w:rsidR="005F216C">
        <w:rPr>
          <w:i/>
          <w:iCs/>
          <w:lang w:val="fr-CH"/>
        </w:rPr>
        <w:t> </w:t>
      </w:r>
      <w:r w:rsidR="005F216C" w:rsidRPr="005F216C">
        <w:rPr>
          <w:iCs/>
          <w:lang w:val="fr-CH"/>
        </w:rPr>
        <w:t>= 10 m</w:t>
      </w:r>
      <w:r w:rsidR="005F216C">
        <w:rPr>
          <w:i/>
          <w:iCs/>
          <w:lang w:val="fr-CH"/>
        </w:rPr>
        <w:t xml:space="preserve">; </w:t>
      </w:r>
      <w:r>
        <w:rPr>
          <w:i/>
          <w:iCs/>
          <w:vertAlign w:val="subscript"/>
          <w:lang w:val="fr-CH"/>
        </w:rPr>
        <w:t xml:space="preserve"> </w:t>
      </w:r>
      <w:r w:rsidR="005F216C">
        <w:rPr>
          <w:i/>
          <w:iCs/>
          <w:lang w:val="fr-CH"/>
        </w:rPr>
        <w:t>h</w:t>
      </w:r>
      <w:r w:rsidR="005F216C" w:rsidRPr="001F70DD">
        <w:rPr>
          <w:vertAlign w:val="subscript"/>
          <w:lang w:val="fr-CH"/>
        </w:rPr>
        <w:t>2</w:t>
      </w:r>
      <w:r w:rsidR="005F216C">
        <w:rPr>
          <w:i/>
          <w:iCs/>
          <w:lang w:val="fr-CH"/>
        </w:rPr>
        <w:t> </w:t>
      </w:r>
      <w:r w:rsidR="005F216C" w:rsidRPr="005F216C">
        <w:rPr>
          <w:iCs/>
          <w:lang w:val="fr-CH"/>
        </w:rPr>
        <w:t>= </w:t>
      </w:r>
      <w:r w:rsidR="005F216C">
        <w:rPr>
          <w:iCs/>
          <w:lang w:val="fr-CH"/>
        </w:rPr>
        <w:t>3</w:t>
      </w:r>
      <w:r w:rsidR="005F216C" w:rsidRPr="005F216C">
        <w:rPr>
          <w:iCs/>
          <w:lang w:val="fr-CH"/>
        </w:rPr>
        <w:t>0 m</w:t>
      </w:r>
    </w:p>
    <w:p w:rsidR="009C42E9" w:rsidRDefault="009C42E9" w:rsidP="009C42E9">
      <w:pPr>
        <w:pStyle w:val="Figure"/>
        <w:rPr>
          <w:noProof/>
          <w:lang w:val="en-US" w:eastAsia="zh-CN"/>
        </w:rPr>
      </w:pPr>
      <w:r>
        <w:rPr>
          <w:noProof/>
          <w:lang w:val="en-US" w:eastAsia="zh-CN"/>
        </w:rPr>
        <w:object w:dxaOrig="5855" w:dyaOrig="6001">
          <v:shape id="_x0000_i1068" type="#_x0000_t75" style="width:292.85pt;height:310.95pt" o:ole="">
            <v:imagedata r:id="rId24" o:title=""/>
          </v:shape>
          <o:OLEObject Type="Embed" ProgID="CorelDraw.Graphic.16" ShapeID="_x0000_i1068" DrawAspect="Content" ObjectID="_1475498918" r:id="rId25"/>
        </w:object>
      </w:r>
    </w:p>
    <w:p w:rsidR="009F0A0C" w:rsidRPr="009F0A0C" w:rsidRDefault="009F0A0C" w:rsidP="00594E23">
      <w:pPr>
        <w:pStyle w:val="TableNo"/>
      </w:pPr>
      <w:r w:rsidRPr="009F0A0C">
        <w:t>TABLEAU 5</w:t>
      </w:r>
    </w:p>
    <w:p w:rsidR="009F0A0C" w:rsidRDefault="009F0A0C" w:rsidP="009F0A0C">
      <w:pPr>
        <w:pStyle w:val="Tabletitle"/>
        <w:keepLines/>
        <w:rPr>
          <w:lang w:val="fr-CH"/>
        </w:rPr>
      </w:pPr>
      <w:r>
        <w:rPr>
          <w:lang w:val="fr-CH"/>
        </w:rPr>
        <w:t>Distances de séparation types entre une station terrienne de réception du service de recherche spatiale et des stations d'émission du service fixe à prévoir pour satisfaire aux critères de protection de la Recommandation UIT-R SA.609: hauteur de l'antenne de réception du service de recherche spatiale: 10 m au-dessus d'une terre régulière, hauteur de l'antenne d'émission du service fixe: 30 m au-dessus d'une terre régulière</w:t>
      </w:r>
    </w:p>
    <w:p w:rsidR="009F0A0C" w:rsidRPr="009F0A0C" w:rsidRDefault="009F0A0C" w:rsidP="009F0A0C">
      <w:pPr>
        <w:keepNext/>
        <w:keepLines/>
        <w:contextualSpacing/>
        <w:rPr>
          <w:lang w:val="fr-CH"/>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1134"/>
        <w:gridCol w:w="1134"/>
        <w:gridCol w:w="1134"/>
        <w:gridCol w:w="1134"/>
      </w:tblGrid>
      <w:tr w:rsidR="00E62FF1" w:rsidTr="00C5543B">
        <w:tc>
          <w:tcPr>
            <w:tcW w:w="5103" w:type="dxa"/>
            <w:vAlign w:val="bottom"/>
          </w:tcPr>
          <w:p w:rsidR="00E62FF1" w:rsidRPr="005F216C" w:rsidRDefault="00E62FF1" w:rsidP="009F0A0C">
            <w:pPr>
              <w:pStyle w:val="Tablehead"/>
              <w:keepLines/>
              <w:contextualSpacing/>
            </w:pPr>
            <w:r>
              <w:rPr>
                <w:lang w:val="fr-CH"/>
              </w:rPr>
              <w:t>Modulation</w:t>
            </w:r>
          </w:p>
        </w:tc>
        <w:tc>
          <w:tcPr>
            <w:tcW w:w="2268" w:type="dxa"/>
            <w:gridSpan w:val="2"/>
            <w:vAlign w:val="center"/>
          </w:tcPr>
          <w:p w:rsidR="00E62FF1" w:rsidRPr="005F216C" w:rsidRDefault="00E62FF1" w:rsidP="009F0A0C">
            <w:pPr>
              <w:pStyle w:val="Tablehead"/>
              <w:keepLines/>
              <w:contextualSpacing/>
            </w:pPr>
            <w:r>
              <w:rPr>
                <w:lang w:val="fr-CH"/>
              </w:rPr>
              <w:t>MAQ</w:t>
            </w:r>
            <w:r>
              <w:rPr>
                <w:lang w:val="fr-CH"/>
              </w:rPr>
              <w:noBreakHyphen/>
              <w:t>64</w:t>
            </w:r>
          </w:p>
        </w:tc>
        <w:tc>
          <w:tcPr>
            <w:tcW w:w="2268" w:type="dxa"/>
            <w:gridSpan w:val="2"/>
            <w:vAlign w:val="center"/>
          </w:tcPr>
          <w:p w:rsidR="00E62FF1" w:rsidRPr="005F216C" w:rsidRDefault="00E62FF1" w:rsidP="009F0A0C">
            <w:pPr>
              <w:pStyle w:val="Tablehead"/>
              <w:keepLines/>
              <w:contextualSpacing/>
            </w:pPr>
            <w:r>
              <w:rPr>
                <w:lang w:val="fr-CH"/>
              </w:rPr>
              <w:t>MDP</w:t>
            </w:r>
            <w:r>
              <w:rPr>
                <w:lang w:val="fr-CH"/>
              </w:rPr>
              <w:noBreakHyphen/>
              <w:t>8</w:t>
            </w:r>
          </w:p>
        </w:tc>
      </w:tr>
      <w:tr w:rsidR="00D869A6" w:rsidTr="00C5543B">
        <w:tc>
          <w:tcPr>
            <w:tcW w:w="5103" w:type="dxa"/>
            <w:vAlign w:val="bottom"/>
          </w:tcPr>
          <w:p w:rsidR="00D869A6" w:rsidRPr="005F216C" w:rsidRDefault="00D869A6" w:rsidP="009F0A0C">
            <w:pPr>
              <w:pStyle w:val="Tabletext"/>
              <w:keepNext/>
              <w:keepLines/>
              <w:contextualSpacing/>
            </w:pPr>
            <w:r w:rsidRPr="005F216C">
              <w:t>Capacité (Mbit/s)</w:t>
            </w:r>
          </w:p>
        </w:tc>
        <w:tc>
          <w:tcPr>
            <w:tcW w:w="2268" w:type="dxa"/>
            <w:gridSpan w:val="2"/>
            <w:vAlign w:val="center"/>
          </w:tcPr>
          <w:p w:rsidR="00D869A6" w:rsidRPr="005F216C" w:rsidRDefault="00D869A6" w:rsidP="009F0A0C">
            <w:pPr>
              <w:pStyle w:val="Tabletext"/>
              <w:keepNext/>
              <w:keepLines/>
              <w:contextualSpacing/>
              <w:jc w:val="center"/>
            </w:pPr>
            <w:r w:rsidRPr="005F216C">
              <w:t>140</w:t>
            </w:r>
          </w:p>
        </w:tc>
        <w:tc>
          <w:tcPr>
            <w:tcW w:w="2268" w:type="dxa"/>
            <w:gridSpan w:val="2"/>
            <w:vAlign w:val="center"/>
          </w:tcPr>
          <w:p w:rsidR="00D869A6" w:rsidRPr="005F216C" w:rsidRDefault="00D869A6" w:rsidP="009F0A0C">
            <w:pPr>
              <w:pStyle w:val="Tabletext"/>
              <w:keepNext/>
              <w:keepLines/>
              <w:contextualSpacing/>
              <w:jc w:val="center"/>
            </w:pPr>
            <w:r w:rsidRPr="005F216C">
              <w:t>156</w:t>
            </w:r>
          </w:p>
        </w:tc>
      </w:tr>
      <w:tr w:rsidR="00D869A6" w:rsidTr="00C5543B">
        <w:tc>
          <w:tcPr>
            <w:tcW w:w="5103" w:type="dxa"/>
            <w:vAlign w:val="bottom"/>
          </w:tcPr>
          <w:p w:rsidR="00D869A6" w:rsidRPr="005F216C" w:rsidRDefault="00D869A6" w:rsidP="009F0A0C">
            <w:pPr>
              <w:pStyle w:val="Tabletext"/>
              <w:keepNext/>
              <w:keepLines/>
              <w:contextualSpacing/>
            </w:pPr>
            <w:r w:rsidRPr="005F216C">
              <w:t>Puissance de sortie maximale de l'émetteur (dBW)</w:t>
            </w:r>
          </w:p>
        </w:tc>
        <w:tc>
          <w:tcPr>
            <w:tcW w:w="2268" w:type="dxa"/>
            <w:gridSpan w:val="2"/>
            <w:vAlign w:val="center"/>
          </w:tcPr>
          <w:p w:rsidR="00D869A6" w:rsidRPr="005F216C" w:rsidRDefault="00D869A6" w:rsidP="009F0A0C">
            <w:pPr>
              <w:pStyle w:val="Tabletext"/>
              <w:keepNext/>
              <w:keepLines/>
              <w:contextualSpacing/>
              <w:jc w:val="center"/>
            </w:pPr>
            <w:r w:rsidRPr="005F216C">
              <w:t>5</w:t>
            </w:r>
          </w:p>
        </w:tc>
        <w:tc>
          <w:tcPr>
            <w:tcW w:w="2268" w:type="dxa"/>
            <w:gridSpan w:val="2"/>
            <w:vAlign w:val="center"/>
          </w:tcPr>
          <w:p w:rsidR="00D869A6" w:rsidRPr="005F216C" w:rsidRDefault="00D869A6" w:rsidP="009F0A0C">
            <w:pPr>
              <w:pStyle w:val="Tabletext"/>
              <w:keepNext/>
              <w:keepLines/>
              <w:contextualSpacing/>
              <w:jc w:val="center"/>
            </w:pPr>
            <w:r w:rsidRPr="005F216C">
              <w:t>0</w:t>
            </w:r>
          </w:p>
        </w:tc>
      </w:tr>
      <w:tr w:rsidR="00D869A6" w:rsidTr="00C5543B">
        <w:tc>
          <w:tcPr>
            <w:tcW w:w="5103" w:type="dxa"/>
            <w:vAlign w:val="bottom"/>
          </w:tcPr>
          <w:p w:rsidR="00D869A6" w:rsidRPr="005F216C" w:rsidRDefault="00D869A6" w:rsidP="009F0A0C">
            <w:pPr>
              <w:pStyle w:val="Tabletext"/>
              <w:keepNext/>
              <w:keepLines/>
              <w:contextualSpacing/>
            </w:pPr>
            <w:r w:rsidRPr="005F216C">
              <w:t>Puissance crête/puissance moyenne (dB)</w:t>
            </w:r>
          </w:p>
        </w:tc>
        <w:tc>
          <w:tcPr>
            <w:tcW w:w="2268" w:type="dxa"/>
            <w:gridSpan w:val="2"/>
            <w:vAlign w:val="center"/>
          </w:tcPr>
          <w:p w:rsidR="00D869A6" w:rsidRPr="005F216C" w:rsidRDefault="00D869A6" w:rsidP="009F0A0C">
            <w:pPr>
              <w:pStyle w:val="Tabletext"/>
              <w:keepNext/>
              <w:keepLines/>
              <w:contextualSpacing/>
              <w:jc w:val="center"/>
            </w:pPr>
            <w:r w:rsidRPr="005F216C">
              <w:t>–3,7</w:t>
            </w:r>
          </w:p>
        </w:tc>
        <w:tc>
          <w:tcPr>
            <w:tcW w:w="2268" w:type="dxa"/>
            <w:gridSpan w:val="2"/>
            <w:vAlign w:val="center"/>
          </w:tcPr>
          <w:p w:rsidR="00D869A6" w:rsidRPr="005F216C" w:rsidRDefault="00D869A6" w:rsidP="009F0A0C">
            <w:pPr>
              <w:pStyle w:val="Tabletext"/>
              <w:keepNext/>
              <w:keepLines/>
              <w:contextualSpacing/>
              <w:jc w:val="center"/>
            </w:pPr>
            <w:r w:rsidRPr="005F216C">
              <w:t>0</w:t>
            </w:r>
          </w:p>
        </w:tc>
      </w:tr>
      <w:tr w:rsidR="00D869A6" w:rsidTr="00C5543B">
        <w:tc>
          <w:tcPr>
            <w:tcW w:w="5103" w:type="dxa"/>
            <w:vAlign w:val="bottom"/>
          </w:tcPr>
          <w:p w:rsidR="00D869A6" w:rsidRPr="005F216C" w:rsidRDefault="00D869A6" w:rsidP="009F0A0C">
            <w:pPr>
              <w:pStyle w:val="Tabletext"/>
              <w:keepNext/>
              <w:keepLines/>
              <w:contextualSpacing/>
            </w:pPr>
            <w:r w:rsidRPr="005F216C">
              <w:t>Réduction de puissance de sortie (dB)</w:t>
            </w:r>
          </w:p>
        </w:tc>
        <w:tc>
          <w:tcPr>
            <w:tcW w:w="2268" w:type="dxa"/>
            <w:gridSpan w:val="2"/>
            <w:vAlign w:val="center"/>
          </w:tcPr>
          <w:p w:rsidR="00D869A6" w:rsidRPr="005F216C" w:rsidRDefault="00D869A6" w:rsidP="009F0A0C">
            <w:pPr>
              <w:pStyle w:val="Tabletext"/>
              <w:keepNext/>
              <w:keepLines/>
              <w:contextualSpacing/>
              <w:jc w:val="center"/>
            </w:pPr>
            <w:r w:rsidRPr="005F216C">
              <w:t>–1,3</w:t>
            </w:r>
          </w:p>
        </w:tc>
        <w:tc>
          <w:tcPr>
            <w:tcW w:w="2268" w:type="dxa"/>
            <w:gridSpan w:val="2"/>
            <w:vAlign w:val="center"/>
          </w:tcPr>
          <w:p w:rsidR="00D869A6" w:rsidRPr="005F216C" w:rsidRDefault="00D869A6" w:rsidP="009F0A0C">
            <w:pPr>
              <w:pStyle w:val="Tabletext"/>
              <w:keepNext/>
              <w:keepLines/>
              <w:contextualSpacing/>
              <w:jc w:val="center"/>
            </w:pPr>
            <w:r w:rsidRPr="005F216C">
              <w:t>0</w:t>
            </w:r>
          </w:p>
        </w:tc>
      </w:tr>
      <w:tr w:rsidR="00D869A6" w:rsidTr="00C5543B">
        <w:tc>
          <w:tcPr>
            <w:tcW w:w="5103" w:type="dxa"/>
            <w:vAlign w:val="bottom"/>
          </w:tcPr>
          <w:p w:rsidR="00D869A6" w:rsidRPr="005F216C" w:rsidRDefault="00D869A6" w:rsidP="009F0A0C">
            <w:pPr>
              <w:pStyle w:val="Tabletext"/>
              <w:keepNext/>
              <w:keepLines/>
              <w:contextualSpacing/>
            </w:pPr>
            <w:r w:rsidRPr="005F216C">
              <w:t>Affaiblissement dans la ligne d'alimentation/dans le multiplexeur (dB)</w:t>
            </w:r>
          </w:p>
        </w:tc>
        <w:tc>
          <w:tcPr>
            <w:tcW w:w="2268" w:type="dxa"/>
            <w:gridSpan w:val="2"/>
            <w:vAlign w:val="center"/>
          </w:tcPr>
          <w:p w:rsidR="00D869A6" w:rsidRPr="005F216C" w:rsidRDefault="00D869A6" w:rsidP="009F0A0C">
            <w:pPr>
              <w:pStyle w:val="Tabletext"/>
              <w:keepNext/>
              <w:keepLines/>
              <w:contextualSpacing/>
              <w:jc w:val="center"/>
            </w:pPr>
            <w:r w:rsidRPr="005F216C">
              <w:t>–2</w:t>
            </w:r>
          </w:p>
        </w:tc>
        <w:tc>
          <w:tcPr>
            <w:tcW w:w="2268" w:type="dxa"/>
            <w:gridSpan w:val="2"/>
            <w:vAlign w:val="center"/>
          </w:tcPr>
          <w:p w:rsidR="00D869A6" w:rsidRPr="005F216C" w:rsidRDefault="00D869A6" w:rsidP="009F0A0C">
            <w:pPr>
              <w:pStyle w:val="Tabletext"/>
              <w:keepNext/>
              <w:keepLines/>
              <w:contextualSpacing/>
              <w:jc w:val="center"/>
            </w:pPr>
            <w:r w:rsidRPr="005F216C">
              <w:t>–5</w:t>
            </w:r>
          </w:p>
        </w:tc>
      </w:tr>
      <w:tr w:rsidR="00D869A6" w:rsidTr="00C5543B">
        <w:tc>
          <w:tcPr>
            <w:tcW w:w="5103" w:type="dxa"/>
            <w:vAlign w:val="bottom"/>
          </w:tcPr>
          <w:p w:rsidR="00D869A6" w:rsidRPr="005F216C" w:rsidRDefault="00D869A6" w:rsidP="009F0A0C">
            <w:pPr>
              <w:pStyle w:val="Tabletext"/>
              <w:keepNext/>
              <w:keepLines/>
              <w:contextualSpacing/>
            </w:pPr>
            <w:r w:rsidRPr="005F216C">
              <w:t>dsp (dB(W/4 kHz))</w:t>
            </w:r>
          </w:p>
        </w:tc>
        <w:tc>
          <w:tcPr>
            <w:tcW w:w="2268" w:type="dxa"/>
            <w:gridSpan w:val="2"/>
            <w:vAlign w:val="center"/>
          </w:tcPr>
          <w:p w:rsidR="00D869A6" w:rsidRPr="005F216C" w:rsidRDefault="00D869A6" w:rsidP="009F0A0C">
            <w:pPr>
              <w:pStyle w:val="Tabletext"/>
              <w:keepNext/>
              <w:keepLines/>
              <w:contextualSpacing/>
              <w:jc w:val="center"/>
            </w:pPr>
            <w:r w:rsidRPr="005F216C">
              <w:t>–39,7</w:t>
            </w:r>
          </w:p>
        </w:tc>
        <w:tc>
          <w:tcPr>
            <w:tcW w:w="2268" w:type="dxa"/>
            <w:gridSpan w:val="2"/>
            <w:vAlign w:val="center"/>
          </w:tcPr>
          <w:p w:rsidR="00D869A6" w:rsidRPr="005F216C" w:rsidRDefault="00D869A6" w:rsidP="009F0A0C">
            <w:pPr>
              <w:pStyle w:val="Tabletext"/>
              <w:keepNext/>
              <w:keepLines/>
              <w:contextualSpacing/>
              <w:jc w:val="center"/>
            </w:pPr>
            <w:r w:rsidRPr="005F216C">
              <w:t>–46</w:t>
            </w:r>
          </w:p>
        </w:tc>
      </w:tr>
      <w:tr w:rsidR="00D869A6" w:rsidTr="00C5543B">
        <w:tc>
          <w:tcPr>
            <w:tcW w:w="5103" w:type="dxa"/>
            <w:vAlign w:val="bottom"/>
          </w:tcPr>
          <w:p w:rsidR="00D869A6" w:rsidRPr="005F216C" w:rsidRDefault="00D869A6" w:rsidP="009F0A0C">
            <w:pPr>
              <w:pStyle w:val="Tabletext"/>
              <w:keepNext/>
              <w:keepLines/>
              <w:contextualSpacing/>
            </w:pPr>
            <w:r w:rsidRPr="005F216C">
              <w:t>Gain d'antenne en direction de la station terrienne</w:t>
            </w:r>
            <w:r w:rsidRPr="005F216C">
              <w:br/>
              <w:t xml:space="preserve">du </w:t>
            </w:r>
            <w:r w:rsidR="005F216C">
              <w:t>service de recherche spatiale</w:t>
            </w:r>
            <w:r w:rsidRPr="005F216C">
              <w:t xml:space="preserve"> (dB)</w:t>
            </w:r>
          </w:p>
        </w:tc>
        <w:tc>
          <w:tcPr>
            <w:tcW w:w="1134" w:type="dxa"/>
            <w:vAlign w:val="center"/>
          </w:tcPr>
          <w:p w:rsidR="00D869A6" w:rsidRPr="005F216C" w:rsidRDefault="00D869A6" w:rsidP="009F0A0C">
            <w:pPr>
              <w:pStyle w:val="Tabletext"/>
              <w:keepNext/>
              <w:keepLines/>
              <w:contextualSpacing/>
              <w:jc w:val="center"/>
            </w:pPr>
            <w:r w:rsidRPr="005F216C">
              <w:t>0</w:t>
            </w:r>
          </w:p>
        </w:tc>
        <w:tc>
          <w:tcPr>
            <w:tcW w:w="1134" w:type="dxa"/>
            <w:vAlign w:val="center"/>
          </w:tcPr>
          <w:p w:rsidR="00D869A6" w:rsidRPr="005F216C" w:rsidRDefault="00D869A6" w:rsidP="009F0A0C">
            <w:pPr>
              <w:pStyle w:val="Tabletext"/>
              <w:keepNext/>
              <w:keepLines/>
              <w:contextualSpacing/>
              <w:jc w:val="center"/>
            </w:pPr>
            <w:r w:rsidRPr="005F216C">
              <w:t>49</w:t>
            </w:r>
          </w:p>
        </w:tc>
        <w:tc>
          <w:tcPr>
            <w:tcW w:w="1134" w:type="dxa"/>
            <w:vAlign w:val="center"/>
          </w:tcPr>
          <w:p w:rsidR="00D869A6" w:rsidRPr="005F216C" w:rsidRDefault="00D869A6" w:rsidP="009F0A0C">
            <w:pPr>
              <w:pStyle w:val="Tabletext"/>
              <w:keepNext/>
              <w:keepLines/>
              <w:contextualSpacing/>
              <w:jc w:val="center"/>
            </w:pPr>
            <w:r w:rsidRPr="005F216C">
              <w:t>0</w:t>
            </w:r>
          </w:p>
        </w:tc>
        <w:tc>
          <w:tcPr>
            <w:tcW w:w="1134" w:type="dxa"/>
            <w:vAlign w:val="center"/>
          </w:tcPr>
          <w:p w:rsidR="00D869A6" w:rsidRPr="005F216C" w:rsidRDefault="00D869A6" w:rsidP="009F0A0C">
            <w:pPr>
              <w:pStyle w:val="Tabletext"/>
              <w:keepNext/>
              <w:keepLines/>
              <w:contextualSpacing/>
              <w:jc w:val="center"/>
            </w:pPr>
            <w:r w:rsidRPr="005F216C">
              <w:t>52</w:t>
            </w:r>
          </w:p>
        </w:tc>
      </w:tr>
      <w:tr w:rsidR="008D03FF" w:rsidTr="008D03FF">
        <w:tc>
          <w:tcPr>
            <w:tcW w:w="5103" w:type="dxa"/>
            <w:vAlign w:val="bottom"/>
          </w:tcPr>
          <w:p w:rsidR="008D03FF" w:rsidRDefault="008D03FF" w:rsidP="009F0A0C">
            <w:pPr>
              <w:pStyle w:val="Tabletext"/>
              <w:keepNext/>
              <w:keepLines/>
              <w:contextualSpacing/>
              <w:jc w:val="left"/>
              <w:rPr>
                <w:lang w:val="fr-CH"/>
              </w:rPr>
            </w:pPr>
            <w:r>
              <w:rPr>
                <w:lang w:val="fr-CH"/>
              </w:rPr>
              <w:t xml:space="preserve">Densité spectrale de p.i.r.e. en direction de la station terrienne du </w:t>
            </w:r>
            <w:r w:rsidR="00E62FF1">
              <w:t>service de recherche spatiale</w:t>
            </w:r>
            <w:r w:rsidR="00E62FF1">
              <w:rPr>
                <w:lang w:val="fr-CH"/>
              </w:rPr>
              <w:t xml:space="preserve"> (dB(W/4 </w:t>
            </w:r>
            <w:r>
              <w:rPr>
                <w:lang w:val="fr-CH"/>
              </w:rPr>
              <w:t>kHz))</w:t>
            </w:r>
          </w:p>
        </w:tc>
        <w:tc>
          <w:tcPr>
            <w:tcW w:w="1134" w:type="dxa"/>
            <w:vAlign w:val="center"/>
          </w:tcPr>
          <w:p w:rsidR="008D03FF" w:rsidRDefault="008D03FF" w:rsidP="009F0A0C">
            <w:pPr>
              <w:pStyle w:val="Tabletext"/>
              <w:keepNext/>
              <w:keepLines/>
              <w:contextualSpacing/>
              <w:jc w:val="center"/>
              <w:rPr>
                <w:lang w:val="fr-CH"/>
              </w:rPr>
            </w:pPr>
            <w:r>
              <w:rPr>
                <w:lang w:val="fr-CH"/>
              </w:rPr>
              <w:t>–39,7</w:t>
            </w:r>
          </w:p>
        </w:tc>
        <w:tc>
          <w:tcPr>
            <w:tcW w:w="1134" w:type="dxa"/>
            <w:vAlign w:val="center"/>
          </w:tcPr>
          <w:p w:rsidR="008D03FF" w:rsidRDefault="008D03FF" w:rsidP="009F0A0C">
            <w:pPr>
              <w:pStyle w:val="Tabletext"/>
              <w:keepNext/>
              <w:keepLines/>
              <w:contextualSpacing/>
              <w:jc w:val="center"/>
              <w:rPr>
                <w:lang w:val="fr-CH"/>
              </w:rPr>
            </w:pPr>
            <w:r>
              <w:rPr>
                <w:rFonts w:ascii="Symbol" w:hAnsi="Symbol"/>
                <w:lang w:val="fr-CH"/>
              </w:rPr>
              <w:t></w:t>
            </w:r>
            <w:r>
              <w:rPr>
                <w:lang w:val="fr-CH"/>
              </w:rPr>
              <w:t>9,3</w:t>
            </w:r>
          </w:p>
        </w:tc>
        <w:tc>
          <w:tcPr>
            <w:tcW w:w="1134" w:type="dxa"/>
            <w:vAlign w:val="center"/>
          </w:tcPr>
          <w:p w:rsidR="008D03FF" w:rsidRDefault="008D03FF" w:rsidP="009F0A0C">
            <w:pPr>
              <w:pStyle w:val="Tabletext"/>
              <w:keepNext/>
              <w:keepLines/>
              <w:contextualSpacing/>
              <w:jc w:val="center"/>
              <w:rPr>
                <w:lang w:val="fr-CH"/>
              </w:rPr>
            </w:pPr>
            <w:r>
              <w:rPr>
                <w:lang w:val="fr-CH"/>
              </w:rPr>
              <w:t>–46</w:t>
            </w:r>
          </w:p>
        </w:tc>
        <w:tc>
          <w:tcPr>
            <w:tcW w:w="1134" w:type="dxa"/>
            <w:vAlign w:val="center"/>
          </w:tcPr>
          <w:p w:rsidR="008D03FF" w:rsidRDefault="008D03FF" w:rsidP="009F0A0C">
            <w:pPr>
              <w:pStyle w:val="Tabletext"/>
              <w:keepNext/>
              <w:keepLines/>
              <w:contextualSpacing/>
              <w:jc w:val="center"/>
              <w:rPr>
                <w:lang w:val="fr-CH"/>
              </w:rPr>
            </w:pPr>
            <w:r>
              <w:rPr>
                <w:rFonts w:ascii="Symbol" w:hAnsi="Symbol"/>
                <w:lang w:val="fr-CH"/>
              </w:rPr>
              <w:t></w:t>
            </w:r>
            <w:r>
              <w:rPr>
                <w:lang w:val="fr-CH"/>
              </w:rPr>
              <w:t>6</w:t>
            </w:r>
          </w:p>
        </w:tc>
      </w:tr>
      <w:tr w:rsidR="008D03FF" w:rsidTr="008D03FF">
        <w:tc>
          <w:tcPr>
            <w:tcW w:w="5103" w:type="dxa"/>
            <w:vAlign w:val="bottom"/>
          </w:tcPr>
          <w:p w:rsidR="008D03FF" w:rsidRDefault="008D03FF" w:rsidP="009F0A0C">
            <w:pPr>
              <w:pStyle w:val="Tabletext"/>
              <w:keepNext/>
              <w:keepLines/>
              <w:contextualSpacing/>
              <w:jc w:val="left"/>
              <w:rPr>
                <w:lang w:val="fr-CH"/>
              </w:rPr>
            </w:pPr>
            <w:r>
              <w:rPr>
                <w:lang w:val="fr-CH"/>
              </w:rPr>
              <w:t xml:space="preserve">Gain maximal de l'antenne de la station terrienne du </w:t>
            </w:r>
            <w:r w:rsidR="00A777D5">
              <w:t>service de recherche spatiale</w:t>
            </w:r>
            <w:r>
              <w:rPr>
                <w:lang w:val="fr-CH"/>
              </w:rPr>
              <w:t xml:space="preserve"> en direction de la station du service fixe (dBi)</w:t>
            </w:r>
          </w:p>
        </w:tc>
        <w:tc>
          <w:tcPr>
            <w:tcW w:w="2268" w:type="dxa"/>
            <w:gridSpan w:val="2"/>
            <w:vAlign w:val="center"/>
          </w:tcPr>
          <w:p w:rsidR="008D03FF" w:rsidRDefault="008D03FF" w:rsidP="009F0A0C">
            <w:pPr>
              <w:pStyle w:val="Tabletext"/>
              <w:keepNext/>
              <w:keepLines/>
              <w:contextualSpacing/>
              <w:jc w:val="center"/>
              <w:rPr>
                <w:lang w:val="fr-CH"/>
              </w:rPr>
            </w:pPr>
            <w:r>
              <w:rPr>
                <w:rFonts w:ascii="Symbol" w:hAnsi="Symbol"/>
                <w:lang w:val="fr-CH"/>
              </w:rPr>
              <w:t></w:t>
            </w:r>
            <w:r>
              <w:rPr>
                <w:lang w:val="fr-CH"/>
              </w:rPr>
              <w:t>7</w:t>
            </w:r>
          </w:p>
        </w:tc>
        <w:tc>
          <w:tcPr>
            <w:tcW w:w="2268" w:type="dxa"/>
            <w:gridSpan w:val="2"/>
            <w:vAlign w:val="center"/>
          </w:tcPr>
          <w:p w:rsidR="008D03FF" w:rsidRDefault="008D03FF" w:rsidP="009F0A0C">
            <w:pPr>
              <w:pStyle w:val="Tabletext"/>
              <w:keepNext/>
              <w:keepLines/>
              <w:contextualSpacing/>
              <w:jc w:val="center"/>
              <w:rPr>
                <w:lang w:val="fr-CH"/>
              </w:rPr>
            </w:pPr>
            <w:r>
              <w:rPr>
                <w:rFonts w:ascii="Symbol" w:hAnsi="Symbol"/>
                <w:lang w:val="fr-CH"/>
              </w:rPr>
              <w:t></w:t>
            </w:r>
            <w:r>
              <w:rPr>
                <w:lang w:val="fr-CH"/>
              </w:rPr>
              <w:t>7</w:t>
            </w:r>
          </w:p>
        </w:tc>
      </w:tr>
      <w:tr w:rsidR="008D03FF" w:rsidTr="008D03FF">
        <w:tc>
          <w:tcPr>
            <w:tcW w:w="5103" w:type="dxa"/>
            <w:vAlign w:val="bottom"/>
          </w:tcPr>
          <w:p w:rsidR="008D03FF" w:rsidRDefault="008D03FF" w:rsidP="009F0A0C">
            <w:pPr>
              <w:pStyle w:val="Tabletext"/>
              <w:keepNext/>
              <w:keepLines/>
              <w:contextualSpacing/>
              <w:jc w:val="left"/>
              <w:rPr>
                <w:lang w:val="fr-CH"/>
              </w:rPr>
            </w:pPr>
            <w:r>
              <w:rPr>
                <w:lang w:val="fr-CH"/>
              </w:rPr>
              <w:t>Brouillage maximal (dB(W/4 kHz))</w:t>
            </w:r>
          </w:p>
        </w:tc>
        <w:tc>
          <w:tcPr>
            <w:tcW w:w="4536" w:type="dxa"/>
            <w:gridSpan w:val="4"/>
            <w:vAlign w:val="center"/>
          </w:tcPr>
          <w:p w:rsidR="008D03FF" w:rsidRDefault="008D03FF" w:rsidP="009F0A0C">
            <w:pPr>
              <w:pStyle w:val="Tabletext"/>
              <w:keepNext/>
              <w:keepLines/>
              <w:contextualSpacing/>
              <w:jc w:val="center"/>
              <w:rPr>
                <w:caps/>
                <w:lang w:val="fr-CH"/>
              </w:rPr>
            </w:pPr>
            <w:r>
              <w:rPr>
                <w:caps/>
                <w:lang w:val="fr-CH"/>
              </w:rPr>
              <w:t>–180</w:t>
            </w:r>
          </w:p>
        </w:tc>
      </w:tr>
      <w:tr w:rsidR="008D03FF" w:rsidTr="00E62FF1">
        <w:tc>
          <w:tcPr>
            <w:tcW w:w="5103" w:type="dxa"/>
            <w:tcBorders>
              <w:bottom w:val="single" w:sz="4" w:space="0" w:color="auto"/>
            </w:tcBorders>
            <w:vAlign w:val="bottom"/>
          </w:tcPr>
          <w:p w:rsidR="008D03FF" w:rsidRDefault="008D03FF" w:rsidP="009F0A0C">
            <w:pPr>
              <w:pStyle w:val="Tabletext"/>
              <w:keepNext/>
              <w:keepLines/>
              <w:contextualSpacing/>
              <w:jc w:val="left"/>
              <w:rPr>
                <w:lang w:val="fr-CH"/>
              </w:rPr>
            </w:pPr>
            <w:r>
              <w:rPr>
                <w:lang w:val="fr-CH"/>
              </w:rPr>
              <w:t>Affaiblissement de transmission de référence minimal admissible (dB)</w:t>
            </w:r>
          </w:p>
        </w:tc>
        <w:tc>
          <w:tcPr>
            <w:tcW w:w="1134" w:type="dxa"/>
            <w:tcBorders>
              <w:bottom w:val="single" w:sz="4" w:space="0" w:color="auto"/>
            </w:tcBorders>
            <w:vAlign w:val="center"/>
          </w:tcPr>
          <w:p w:rsidR="008D03FF" w:rsidRDefault="008D03FF" w:rsidP="009F0A0C">
            <w:pPr>
              <w:pStyle w:val="Tabletext"/>
              <w:keepNext/>
              <w:keepLines/>
              <w:contextualSpacing/>
              <w:jc w:val="center"/>
              <w:rPr>
                <w:lang w:val="fr-CH"/>
              </w:rPr>
            </w:pPr>
            <w:r>
              <w:rPr>
                <w:lang w:val="fr-CH"/>
              </w:rPr>
              <w:t>–147,3</w:t>
            </w:r>
          </w:p>
        </w:tc>
        <w:tc>
          <w:tcPr>
            <w:tcW w:w="1134" w:type="dxa"/>
            <w:tcBorders>
              <w:bottom w:val="single" w:sz="4" w:space="0" w:color="auto"/>
            </w:tcBorders>
            <w:vAlign w:val="center"/>
          </w:tcPr>
          <w:p w:rsidR="008D03FF" w:rsidRDefault="008D03FF" w:rsidP="009F0A0C">
            <w:pPr>
              <w:pStyle w:val="Tabletext"/>
              <w:keepNext/>
              <w:keepLines/>
              <w:contextualSpacing/>
              <w:jc w:val="center"/>
              <w:rPr>
                <w:lang w:val="fr-CH"/>
              </w:rPr>
            </w:pPr>
            <w:r>
              <w:rPr>
                <w:lang w:val="fr-CH"/>
              </w:rPr>
              <w:t>–196,3</w:t>
            </w:r>
          </w:p>
        </w:tc>
        <w:tc>
          <w:tcPr>
            <w:tcW w:w="1134" w:type="dxa"/>
            <w:tcBorders>
              <w:bottom w:val="single" w:sz="4" w:space="0" w:color="auto"/>
            </w:tcBorders>
            <w:vAlign w:val="center"/>
          </w:tcPr>
          <w:p w:rsidR="008D03FF" w:rsidRDefault="008D03FF" w:rsidP="009F0A0C">
            <w:pPr>
              <w:pStyle w:val="Tabletext"/>
              <w:keepNext/>
              <w:keepLines/>
              <w:contextualSpacing/>
              <w:jc w:val="center"/>
              <w:rPr>
                <w:lang w:val="fr-CH"/>
              </w:rPr>
            </w:pPr>
            <w:r>
              <w:rPr>
                <w:lang w:val="fr-CH"/>
              </w:rPr>
              <w:t>–141</w:t>
            </w:r>
          </w:p>
        </w:tc>
        <w:tc>
          <w:tcPr>
            <w:tcW w:w="1134" w:type="dxa"/>
            <w:tcBorders>
              <w:bottom w:val="single" w:sz="4" w:space="0" w:color="auto"/>
            </w:tcBorders>
            <w:vAlign w:val="center"/>
          </w:tcPr>
          <w:p w:rsidR="008D03FF" w:rsidRDefault="008D03FF" w:rsidP="009F0A0C">
            <w:pPr>
              <w:pStyle w:val="Tabletext"/>
              <w:keepNext/>
              <w:keepLines/>
              <w:contextualSpacing/>
              <w:jc w:val="center"/>
              <w:rPr>
                <w:lang w:val="fr-CH"/>
              </w:rPr>
            </w:pPr>
            <w:r>
              <w:rPr>
                <w:lang w:val="fr-CH"/>
              </w:rPr>
              <w:t>–193</w:t>
            </w:r>
          </w:p>
        </w:tc>
      </w:tr>
      <w:tr w:rsidR="00E62FF1" w:rsidTr="00E62FF1">
        <w:tc>
          <w:tcPr>
            <w:tcW w:w="5103" w:type="dxa"/>
            <w:tcBorders>
              <w:bottom w:val="single" w:sz="4" w:space="0" w:color="auto"/>
            </w:tcBorders>
            <w:vAlign w:val="bottom"/>
          </w:tcPr>
          <w:p w:rsidR="00E62FF1" w:rsidRDefault="00E62FF1" w:rsidP="009F0A0C">
            <w:pPr>
              <w:pStyle w:val="Tabletext"/>
              <w:keepNext/>
              <w:keepLines/>
              <w:contextualSpacing/>
              <w:jc w:val="left"/>
              <w:rPr>
                <w:lang w:val="fr-CH"/>
              </w:rPr>
            </w:pPr>
            <w:r>
              <w:rPr>
                <w:lang w:val="fr-CH"/>
              </w:rPr>
              <w:t>Distance de séparation (km)</w:t>
            </w:r>
          </w:p>
        </w:tc>
        <w:tc>
          <w:tcPr>
            <w:tcW w:w="1134" w:type="dxa"/>
            <w:tcBorders>
              <w:bottom w:val="single" w:sz="4" w:space="0" w:color="auto"/>
            </w:tcBorders>
            <w:vAlign w:val="center"/>
          </w:tcPr>
          <w:p w:rsidR="00E62FF1" w:rsidRDefault="00E62FF1" w:rsidP="009F0A0C">
            <w:pPr>
              <w:pStyle w:val="Tabletext"/>
              <w:keepNext/>
              <w:keepLines/>
              <w:contextualSpacing/>
              <w:jc w:val="center"/>
              <w:rPr>
                <w:lang w:val="fr-CH"/>
              </w:rPr>
            </w:pPr>
            <w:r>
              <w:rPr>
                <w:lang w:val="fr-CH"/>
              </w:rPr>
              <w:t>30</w:t>
            </w:r>
            <w:r>
              <w:rPr>
                <w:sz w:val="26"/>
                <w:vertAlign w:val="superscript"/>
              </w:rPr>
              <w:t>(1)</w:t>
            </w:r>
          </w:p>
        </w:tc>
        <w:tc>
          <w:tcPr>
            <w:tcW w:w="1134" w:type="dxa"/>
            <w:tcBorders>
              <w:bottom w:val="single" w:sz="4" w:space="0" w:color="auto"/>
            </w:tcBorders>
            <w:vAlign w:val="center"/>
          </w:tcPr>
          <w:p w:rsidR="00E62FF1" w:rsidRDefault="00E62FF1" w:rsidP="009F0A0C">
            <w:pPr>
              <w:pStyle w:val="Tabletext"/>
              <w:keepNext/>
              <w:keepLines/>
              <w:contextualSpacing/>
              <w:jc w:val="center"/>
              <w:rPr>
                <w:lang w:val="fr-CH"/>
              </w:rPr>
            </w:pPr>
            <w:r>
              <w:rPr>
                <w:lang w:val="fr-CH"/>
              </w:rPr>
              <w:t>200</w:t>
            </w:r>
          </w:p>
        </w:tc>
        <w:tc>
          <w:tcPr>
            <w:tcW w:w="1134" w:type="dxa"/>
            <w:tcBorders>
              <w:bottom w:val="single" w:sz="4" w:space="0" w:color="auto"/>
            </w:tcBorders>
            <w:vAlign w:val="center"/>
          </w:tcPr>
          <w:p w:rsidR="00E62FF1" w:rsidRDefault="00E62FF1" w:rsidP="009F0A0C">
            <w:pPr>
              <w:pStyle w:val="Tabletext"/>
              <w:keepNext/>
              <w:keepLines/>
              <w:contextualSpacing/>
              <w:jc w:val="center"/>
              <w:rPr>
                <w:lang w:val="fr-CH"/>
              </w:rPr>
            </w:pPr>
            <w:r>
              <w:rPr>
                <w:lang w:val="fr-CH"/>
              </w:rPr>
              <w:t>18</w:t>
            </w:r>
            <w:r>
              <w:rPr>
                <w:vertAlign w:val="superscript"/>
              </w:rPr>
              <w:t>(1)</w:t>
            </w:r>
          </w:p>
        </w:tc>
        <w:tc>
          <w:tcPr>
            <w:tcW w:w="1134" w:type="dxa"/>
            <w:tcBorders>
              <w:bottom w:val="single" w:sz="4" w:space="0" w:color="auto"/>
            </w:tcBorders>
            <w:vAlign w:val="center"/>
          </w:tcPr>
          <w:p w:rsidR="00E62FF1" w:rsidRDefault="00E62FF1" w:rsidP="009F0A0C">
            <w:pPr>
              <w:pStyle w:val="Tabletext"/>
              <w:keepNext/>
              <w:keepLines/>
              <w:contextualSpacing/>
              <w:jc w:val="center"/>
              <w:rPr>
                <w:lang w:val="fr-CH"/>
              </w:rPr>
            </w:pPr>
            <w:r>
              <w:rPr>
                <w:lang w:val="fr-CH"/>
              </w:rPr>
              <w:t>190</w:t>
            </w:r>
          </w:p>
        </w:tc>
      </w:tr>
    </w:tbl>
    <w:tbl>
      <w:tblPr>
        <w:tblW w:w="9639" w:type="dxa"/>
        <w:tblInd w:w="5" w:type="dxa"/>
        <w:tblLook w:val="0000" w:firstRow="0" w:lastRow="0" w:firstColumn="0" w:lastColumn="0" w:noHBand="0" w:noVBand="0"/>
      </w:tblPr>
      <w:tblGrid>
        <w:gridCol w:w="9639"/>
      </w:tblGrid>
      <w:tr w:rsidR="00D869A6" w:rsidTr="00E62FF1">
        <w:tc>
          <w:tcPr>
            <w:tcW w:w="9639" w:type="dxa"/>
            <w:vAlign w:val="bottom"/>
          </w:tcPr>
          <w:p w:rsidR="00D869A6" w:rsidRDefault="008D03FF" w:rsidP="009F0A0C">
            <w:pPr>
              <w:pStyle w:val="Tablelegend"/>
              <w:keepNext/>
              <w:keepLines/>
              <w:framePr w:hSpace="181" w:wrap="notBeside" w:vAnchor="text" w:hAnchor="text" w:xAlign="center" w:y="1"/>
              <w:contextualSpacing/>
              <w:rPr>
                <w:lang w:val="fr-CH"/>
              </w:rPr>
            </w:pPr>
            <w:r>
              <w:rPr>
                <w:vertAlign w:val="superscript"/>
              </w:rPr>
              <w:t xml:space="preserve"> </w:t>
            </w:r>
            <w:r w:rsidR="00D869A6">
              <w:rPr>
                <w:vertAlign w:val="superscript"/>
              </w:rPr>
              <w:t>(1)</w:t>
            </w:r>
            <w:r w:rsidR="00D869A6">
              <w:rPr>
                <w:lang w:val="fr-CH"/>
              </w:rPr>
              <w:tab/>
              <w:t>Cette distance est en visibilité directe.</w:t>
            </w:r>
          </w:p>
        </w:tc>
      </w:tr>
    </w:tbl>
    <w:p w:rsidR="00D869A6" w:rsidRDefault="00D869A6" w:rsidP="003F6403">
      <w:pPr>
        <w:pStyle w:val="Heading1"/>
        <w:rPr>
          <w:lang w:val="fr-CH"/>
        </w:rPr>
      </w:pPr>
      <w:r>
        <w:rPr>
          <w:lang w:val="fr-CH"/>
        </w:rPr>
        <w:t>7</w:t>
      </w:r>
      <w:r>
        <w:rPr>
          <w:lang w:val="fr-CH"/>
        </w:rPr>
        <w:tab/>
        <w:t>Protection d'un système à SRD contre les émissions de stations spatiales du service de recherche spatiale</w:t>
      </w:r>
    </w:p>
    <w:p w:rsidR="00D869A6" w:rsidRDefault="00D869A6" w:rsidP="003F6403">
      <w:pPr>
        <w:rPr>
          <w:lang w:val="fr-CH"/>
        </w:rPr>
      </w:pPr>
      <w:r>
        <w:rPr>
          <w:lang w:val="fr-CH"/>
        </w:rPr>
        <w:t>Un SRD OSG subira des brouillages causés par les émissions d'un satellite du service de recherche spatiale dans les trois cas principaux suivants:</w:t>
      </w:r>
    </w:p>
    <w:p w:rsidR="00D869A6" w:rsidRDefault="00D869A6" w:rsidP="003F6403">
      <w:pPr>
        <w:pStyle w:val="enumlev1"/>
        <w:rPr>
          <w:lang w:val="fr-CH"/>
        </w:rPr>
      </w:pPr>
      <w:r>
        <w:rPr>
          <w:i/>
          <w:iCs/>
          <w:lang w:val="fr-CH"/>
        </w:rPr>
        <w:t>Cas 1</w:t>
      </w:r>
      <w:r>
        <w:rPr>
          <w:lang w:val="fr-CH"/>
        </w:rPr>
        <w:t>:</w:t>
      </w:r>
      <w:r>
        <w:rPr>
          <w:lang w:val="fr-CH"/>
        </w:rPr>
        <w:tab/>
        <w:t xml:space="preserve">lorsqu'un satellite OSG d'émission du service de recherche spatiale et un SRD OSG de réception sont voisins l'un de l'autre. </w:t>
      </w:r>
    </w:p>
    <w:p w:rsidR="00D869A6" w:rsidRDefault="00D869A6" w:rsidP="003F6403">
      <w:pPr>
        <w:pStyle w:val="enumlev1"/>
        <w:rPr>
          <w:lang w:val="fr-CH"/>
        </w:rPr>
      </w:pPr>
      <w:r>
        <w:rPr>
          <w:i/>
          <w:iCs/>
          <w:lang w:val="fr-CH"/>
        </w:rPr>
        <w:t>Cas 2</w:t>
      </w:r>
      <w:r>
        <w:rPr>
          <w:lang w:val="fr-CH"/>
        </w:rPr>
        <w:t>:</w:t>
      </w:r>
      <w:r>
        <w:rPr>
          <w:lang w:val="fr-CH"/>
        </w:rPr>
        <w:tab/>
        <w:t>lorsqu'un satellite OSG d'émission du service de recherche spatiale et un SRD OSG de réception occupent des positions presque antipodales.</w:t>
      </w:r>
    </w:p>
    <w:p w:rsidR="00D869A6" w:rsidRDefault="00D869A6" w:rsidP="003F6403">
      <w:pPr>
        <w:pStyle w:val="enumlev1"/>
        <w:rPr>
          <w:lang w:val="fr-CH"/>
        </w:rPr>
      </w:pPr>
      <w:r>
        <w:rPr>
          <w:i/>
          <w:iCs/>
          <w:lang w:val="fr-CH"/>
        </w:rPr>
        <w:t>Cas 3</w:t>
      </w:r>
      <w:r>
        <w:rPr>
          <w:lang w:val="fr-CH"/>
        </w:rPr>
        <w:t>:</w:t>
      </w:r>
      <w:r>
        <w:rPr>
          <w:lang w:val="fr-CH"/>
        </w:rPr>
        <w:tab/>
        <w:t>lorsqu'un satellite d'émission en orbite basse du service de recherche spatiale devient visible depuis un SRD OSG de réception.</w:t>
      </w:r>
    </w:p>
    <w:p w:rsidR="00D869A6" w:rsidRDefault="00D869A6" w:rsidP="003F6403">
      <w:pPr>
        <w:rPr>
          <w:lang w:val="fr-CH"/>
        </w:rPr>
      </w:pPr>
      <w:r>
        <w:rPr>
          <w:lang w:val="fr-CH"/>
        </w:rPr>
        <w:t xml:space="preserve">Dans ces trois cas, on évaluera les conditions requises pour satisfaire aux critères de protection figurant dans la Recommandation UIT-R SA.1155. Dans les Cas 1 et 2, la dsp à l'entrée de l'antenne d'émission du satellite OSG du service de recherche spatiale est de –40,5 dB(W/kHz), d'après les caractéristiques données à titre d'exemple dans le Tableau 1. Dans le Cas 3, la dsp à l'entrée de l'antenne d'émission du satellite du service de recherche spatiale évoluant à une altitude de 800 km est de </w:t>
      </w:r>
      <w:r>
        <w:rPr>
          <w:lang w:val="fr-CH"/>
        </w:rPr>
        <w:sym w:font="Symbol" w:char="F02D"/>
      </w:r>
      <w:r>
        <w:rPr>
          <w:lang w:val="fr-CH"/>
        </w:rPr>
        <w:t>46,5 dB(W/kHz), toujours d'après les caractéristiques du Tableau 1. On suppose dans les trois cas que la propagation se fait en espace libre.</w:t>
      </w:r>
    </w:p>
    <w:p w:rsidR="00D869A6" w:rsidRDefault="00D869A6" w:rsidP="008D03FF">
      <w:pPr>
        <w:keepNext/>
        <w:keepLines/>
        <w:rPr>
          <w:lang w:val="fr-CH"/>
        </w:rPr>
      </w:pPr>
      <w:r>
        <w:rPr>
          <w:lang w:val="fr-CH"/>
        </w:rPr>
        <w:t>La dsp du brouillage reçu et la marge associée par rapport au critère de protection sont données par:</w:t>
      </w:r>
    </w:p>
    <w:p w:rsidR="00D869A6" w:rsidRDefault="00D869A6" w:rsidP="008D03FF">
      <w:pPr>
        <w:pStyle w:val="Equation"/>
        <w:keepNext/>
        <w:keepLines/>
        <w:rPr>
          <w:lang w:val="fr-CH"/>
        </w:rPr>
      </w:pPr>
      <w:r>
        <w:rPr>
          <w:lang w:val="fr-CH"/>
        </w:rPr>
        <w:tab/>
      </w:r>
      <w:r>
        <w:rPr>
          <w:lang w:val="fr-CH"/>
        </w:rPr>
        <w:tab/>
      </w:r>
      <w:r w:rsidR="00475A5C" w:rsidRPr="00475A5C">
        <w:rPr>
          <w:position w:val="-14"/>
          <w:lang w:val="fr-CH"/>
        </w:rPr>
        <w:object w:dxaOrig="3360" w:dyaOrig="380">
          <v:shape id="_x0000_i1031" type="#_x0000_t75" style="width:167.85pt;height:19.45pt" o:ole="">
            <v:imagedata r:id="rId26" o:title=""/>
          </v:shape>
          <o:OLEObject Type="Embed" ProgID="Equation.3" ShapeID="_x0000_i1031" DrawAspect="Content" ObjectID="_1475498919" r:id="rId27"/>
        </w:object>
      </w:r>
      <w:r>
        <w:rPr>
          <w:lang w:val="fr-CH"/>
        </w:rPr>
        <w:tab/>
        <w:t>(3a)</w:t>
      </w:r>
    </w:p>
    <w:p w:rsidR="00D869A6" w:rsidRDefault="00D869A6" w:rsidP="003F6403">
      <w:pPr>
        <w:pStyle w:val="Equation"/>
        <w:rPr>
          <w:lang w:val="fr-CH"/>
        </w:rPr>
      </w:pPr>
      <w:r>
        <w:rPr>
          <w:lang w:val="fr-CH"/>
        </w:rPr>
        <w:tab/>
      </w:r>
      <w:r>
        <w:rPr>
          <w:lang w:val="fr-CH"/>
        </w:rPr>
        <w:tab/>
      </w:r>
      <w:r>
        <w:rPr>
          <w:position w:val="-12"/>
          <w:lang w:val="fr-CH"/>
        </w:rPr>
        <w:object w:dxaOrig="1400" w:dyaOrig="360">
          <v:shape id="_x0000_i1032" type="#_x0000_t75" style="width:70.65pt;height:18.1pt" o:ole="">
            <v:imagedata r:id="rId28" o:title=""/>
          </v:shape>
          <o:OLEObject Type="Embed" ProgID="Equation.3" ShapeID="_x0000_i1032" DrawAspect="Content" ObjectID="_1475498920" r:id="rId29"/>
        </w:object>
      </w:r>
      <w:r>
        <w:rPr>
          <w:lang w:val="fr-CH"/>
        </w:rPr>
        <w:tab/>
        <w:t>(3b)</w:t>
      </w:r>
    </w:p>
    <w:p w:rsidR="00D869A6" w:rsidRDefault="00D869A6" w:rsidP="003F6403">
      <w:pPr>
        <w:spacing w:before="20"/>
        <w:rPr>
          <w:lang w:val="fr-CH"/>
        </w:rPr>
      </w:pPr>
      <w:r>
        <w:rPr>
          <w:lang w:val="fr-CH"/>
        </w:rPr>
        <w:t>où:</w:t>
      </w:r>
    </w:p>
    <w:p w:rsidR="00D869A6" w:rsidRDefault="00D869A6" w:rsidP="003F6403">
      <w:pPr>
        <w:pStyle w:val="Equationlegend"/>
        <w:rPr>
          <w:lang w:val="fr-CH"/>
        </w:rPr>
      </w:pPr>
      <w:r>
        <w:rPr>
          <w:lang w:val="fr-CH"/>
        </w:rPr>
        <w:tab/>
      </w:r>
      <w:r>
        <w:rPr>
          <w:i/>
          <w:iCs/>
          <w:lang w:val="fr-CH"/>
        </w:rPr>
        <w:t>I</w:t>
      </w:r>
      <w:r>
        <w:rPr>
          <w:i/>
          <w:iCs/>
          <w:vertAlign w:val="subscript"/>
          <w:lang w:val="fr-CH"/>
        </w:rPr>
        <w:t>R</w:t>
      </w:r>
      <w:r>
        <w:rPr>
          <w:i/>
          <w:iCs/>
          <w:sz w:val="12"/>
          <w:lang w:val="fr-CH"/>
        </w:rPr>
        <w:t> </w:t>
      </w:r>
      <w:r>
        <w:rPr>
          <w:lang w:val="fr-CH"/>
        </w:rPr>
        <w:t>:</w:t>
      </w:r>
      <w:r>
        <w:rPr>
          <w:lang w:val="fr-CH"/>
        </w:rPr>
        <w:tab/>
        <w:t>dsp du brouillage reçu (dB(W/kHz))</w:t>
      </w:r>
    </w:p>
    <w:p w:rsidR="00D869A6" w:rsidRDefault="00D869A6" w:rsidP="003F6403">
      <w:pPr>
        <w:pStyle w:val="Equationlegend"/>
        <w:rPr>
          <w:lang w:val="fr-CH"/>
        </w:rPr>
      </w:pPr>
      <w:r>
        <w:rPr>
          <w:lang w:val="fr-CH"/>
        </w:rPr>
        <w:tab/>
      </w:r>
      <w:r>
        <w:rPr>
          <w:i/>
          <w:iCs/>
          <w:lang w:val="fr-CH"/>
        </w:rPr>
        <w:t>I</w:t>
      </w:r>
      <w:r>
        <w:rPr>
          <w:i/>
          <w:iCs/>
          <w:sz w:val="28"/>
          <w:vertAlign w:val="subscript"/>
          <w:lang w:val="fr-CH"/>
        </w:rPr>
        <w:t>CP</w:t>
      </w:r>
      <w:r>
        <w:rPr>
          <w:i/>
          <w:iCs/>
          <w:sz w:val="12"/>
          <w:lang w:val="fr-CH"/>
        </w:rPr>
        <w:t> </w:t>
      </w:r>
      <w:r>
        <w:rPr>
          <w:lang w:val="fr-CH"/>
        </w:rPr>
        <w:t>:</w:t>
      </w:r>
      <w:r>
        <w:rPr>
          <w:lang w:val="fr-CH"/>
        </w:rPr>
        <w:tab/>
        <w:t>critère de protection du SRD indiqué dans la Recommandation UIT-R SA.1155 (dB(W/kHz))</w:t>
      </w:r>
    </w:p>
    <w:p w:rsidR="00D869A6" w:rsidRDefault="00D869A6" w:rsidP="003F6403">
      <w:pPr>
        <w:pStyle w:val="Equationlegend"/>
        <w:rPr>
          <w:lang w:val="fr-CH"/>
        </w:rPr>
      </w:pPr>
      <w:r>
        <w:rPr>
          <w:lang w:val="fr-CH"/>
        </w:rPr>
        <w:tab/>
      </w:r>
      <w:r>
        <w:rPr>
          <w:i/>
          <w:iCs/>
          <w:lang w:val="fr-CH"/>
        </w:rPr>
        <w:t>M</w:t>
      </w:r>
      <w:r>
        <w:rPr>
          <w:i/>
          <w:iCs/>
          <w:sz w:val="12"/>
          <w:lang w:val="fr-CH"/>
        </w:rPr>
        <w:t> </w:t>
      </w:r>
      <w:r>
        <w:rPr>
          <w:lang w:val="fr-CH"/>
        </w:rPr>
        <w:t>:</w:t>
      </w:r>
      <w:r>
        <w:rPr>
          <w:lang w:val="fr-CH"/>
        </w:rPr>
        <w:tab/>
        <w:t>marge par rapport au critère de brouillage (dB)</w:t>
      </w:r>
    </w:p>
    <w:p w:rsidR="00D869A6" w:rsidRDefault="00D869A6" w:rsidP="003F6403">
      <w:pPr>
        <w:pStyle w:val="Equationlegend"/>
        <w:rPr>
          <w:lang w:val="fr-CH"/>
        </w:rPr>
      </w:pPr>
      <w:r>
        <w:rPr>
          <w:lang w:val="fr-CH"/>
        </w:rPr>
        <w:tab/>
      </w:r>
      <w:r>
        <w:rPr>
          <w:i/>
          <w:iCs/>
          <w:lang w:val="fr-CH"/>
        </w:rPr>
        <w:t>L</w:t>
      </w:r>
      <w:r>
        <w:rPr>
          <w:i/>
          <w:iCs/>
          <w:vertAlign w:val="subscript"/>
          <w:lang w:val="fr-CH"/>
        </w:rPr>
        <w:t>bf</w:t>
      </w:r>
      <w:r>
        <w:rPr>
          <w:i/>
          <w:iCs/>
          <w:sz w:val="12"/>
          <w:lang w:val="fr-CH"/>
        </w:rPr>
        <w:t> </w:t>
      </w:r>
      <w:r>
        <w:rPr>
          <w:lang w:val="fr-CH"/>
        </w:rPr>
        <w:t>:</w:t>
      </w:r>
      <w:r>
        <w:rPr>
          <w:lang w:val="fr-CH"/>
        </w:rPr>
        <w:tab/>
        <w:t>affaiblissement d'espace libre (dB)</w:t>
      </w:r>
    </w:p>
    <w:p w:rsidR="00D869A6" w:rsidRDefault="00D869A6" w:rsidP="003F6403">
      <w:pPr>
        <w:pStyle w:val="Equationlegend"/>
        <w:rPr>
          <w:lang w:val="fr-CH"/>
        </w:rPr>
      </w:pPr>
      <w:r>
        <w:rPr>
          <w:lang w:val="fr-CH"/>
        </w:rPr>
        <w:tab/>
      </w:r>
      <w:r>
        <w:rPr>
          <w:i/>
          <w:iCs/>
          <w:lang w:val="fr-CH"/>
        </w:rPr>
        <w:t>dsp</w:t>
      </w:r>
      <w:r>
        <w:rPr>
          <w:i/>
          <w:iCs/>
          <w:sz w:val="12"/>
          <w:lang w:val="fr-CH"/>
        </w:rPr>
        <w:t> </w:t>
      </w:r>
      <w:r>
        <w:rPr>
          <w:lang w:val="fr-CH"/>
        </w:rPr>
        <w:t>:</w:t>
      </w:r>
      <w:r>
        <w:rPr>
          <w:lang w:val="fr-CH"/>
        </w:rPr>
        <w:tab/>
        <w:t>dsp à l'entrée de l'antenne d'émission (dB(W/kHz))</w:t>
      </w:r>
    </w:p>
    <w:p w:rsidR="00D869A6" w:rsidRDefault="00D869A6" w:rsidP="003F6403">
      <w:pPr>
        <w:pStyle w:val="Equationlegend"/>
        <w:rPr>
          <w:lang w:val="fr-CH"/>
        </w:rPr>
      </w:pPr>
      <w:r>
        <w:rPr>
          <w:lang w:val="fr-CH"/>
        </w:rPr>
        <w:tab/>
      </w:r>
      <w:r>
        <w:rPr>
          <w:i/>
          <w:iCs/>
          <w:lang w:val="fr-CH"/>
        </w:rPr>
        <w:t>G</w:t>
      </w:r>
      <w:r>
        <w:rPr>
          <w:i/>
          <w:iCs/>
          <w:sz w:val="28"/>
          <w:vertAlign w:val="subscript"/>
          <w:lang w:val="fr-CH"/>
        </w:rPr>
        <w:t>T</w:t>
      </w:r>
      <w:r>
        <w:rPr>
          <w:i/>
          <w:iCs/>
          <w:sz w:val="12"/>
          <w:vertAlign w:val="subscript"/>
          <w:lang w:val="fr-CH"/>
        </w:rPr>
        <w:t> </w:t>
      </w:r>
      <w:r>
        <w:rPr>
          <w:lang w:val="fr-CH"/>
        </w:rPr>
        <w:t>(</w:t>
      </w:r>
      <w:r>
        <w:rPr>
          <w:lang w:val="fr-CH"/>
        </w:rPr>
        <w:sym w:font="Symbol" w:char="F071"/>
      </w:r>
      <w:r>
        <w:rPr>
          <w:i/>
          <w:iCs/>
          <w:vertAlign w:val="subscript"/>
          <w:lang w:val="fr-CH"/>
        </w:rPr>
        <w:t>T</w:t>
      </w:r>
      <w:r>
        <w:rPr>
          <w:lang w:val="fr-CH"/>
        </w:rPr>
        <w:t>)</w:t>
      </w:r>
      <w:r>
        <w:rPr>
          <w:i/>
          <w:iCs/>
          <w:sz w:val="12"/>
          <w:lang w:val="fr-CH"/>
        </w:rPr>
        <w:t xml:space="preserve">  </w:t>
      </w:r>
      <w:r>
        <w:rPr>
          <w:lang w:val="fr-CH"/>
        </w:rPr>
        <w:t>:</w:t>
      </w:r>
      <w:r>
        <w:rPr>
          <w:lang w:val="fr-CH"/>
        </w:rPr>
        <w:tab/>
        <w:t>gain de l'antenne d'émission du satellite du service de recherche spatiale en direction du SRD (dBi)</w:t>
      </w:r>
    </w:p>
    <w:p w:rsidR="00D869A6" w:rsidRDefault="00D869A6" w:rsidP="003F6403">
      <w:pPr>
        <w:pStyle w:val="Equationlegend"/>
        <w:rPr>
          <w:lang w:val="fr-CH"/>
        </w:rPr>
      </w:pPr>
      <w:r>
        <w:rPr>
          <w:lang w:val="fr-CH"/>
        </w:rPr>
        <w:tab/>
      </w:r>
      <w:r>
        <w:rPr>
          <w:i/>
          <w:iCs/>
          <w:lang w:val="fr-CH"/>
        </w:rPr>
        <w:t>G</w:t>
      </w:r>
      <w:r>
        <w:rPr>
          <w:i/>
          <w:iCs/>
          <w:sz w:val="28"/>
          <w:vertAlign w:val="subscript"/>
          <w:lang w:val="fr-CH"/>
        </w:rPr>
        <w:t>R</w:t>
      </w:r>
      <w:r>
        <w:rPr>
          <w:lang w:val="fr-CH"/>
        </w:rPr>
        <w:t>(</w:t>
      </w:r>
      <w:r>
        <w:rPr>
          <w:lang w:val="fr-CH"/>
        </w:rPr>
        <w:sym w:font="Symbol" w:char="F071"/>
      </w:r>
      <w:r>
        <w:rPr>
          <w:i/>
          <w:iCs/>
          <w:vertAlign w:val="subscript"/>
          <w:lang w:val="fr-CH"/>
        </w:rPr>
        <w:t>R</w:t>
      </w:r>
      <w:r>
        <w:rPr>
          <w:lang w:val="fr-CH"/>
        </w:rPr>
        <w:t>)</w:t>
      </w:r>
      <w:r>
        <w:rPr>
          <w:i/>
          <w:iCs/>
          <w:sz w:val="12"/>
          <w:lang w:val="fr-CH"/>
        </w:rPr>
        <w:t xml:space="preserve">  </w:t>
      </w:r>
      <w:r>
        <w:rPr>
          <w:lang w:val="fr-CH"/>
        </w:rPr>
        <w:t>:</w:t>
      </w:r>
      <w:r>
        <w:rPr>
          <w:lang w:val="fr-CH"/>
        </w:rPr>
        <w:tab/>
        <w:t>gain de l'antenne de réception du SRD en direction du satellite du service de recherche spatiale (dBi)</w:t>
      </w:r>
    </w:p>
    <w:p w:rsidR="00D869A6" w:rsidRDefault="00D869A6" w:rsidP="003F6403">
      <w:pPr>
        <w:pStyle w:val="Equationlegend"/>
        <w:rPr>
          <w:lang w:val="fr-CH"/>
        </w:rPr>
      </w:pPr>
      <w:r>
        <w:rPr>
          <w:lang w:val="fr-CH"/>
        </w:rPr>
        <w:tab/>
      </w:r>
      <w:r>
        <w:rPr>
          <w:lang w:val="fr-CH"/>
        </w:rPr>
        <w:sym w:font="Symbol" w:char="F071"/>
      </w:r>
      <w:r>
        <w:rPr>
          <w:i/>
          <w:iCs/>
          <w:vertAlign w:val="subscript"/>
          <w:lang w:val="fr-CH"/>
        </w:rPr>
        <w:t>T</w:t>
      </w:r>
      <w:r>
        <w:rPr>
          <w:i/>
          <w:iCs/>
          <w:sz w:val="12"/>
          <w:lang w:val="fr-CH"/>
        </w:rPr>
        <w:t> </w:t>
      </w:r>
      <w:r>
        <w:rPr>
          <w:lang w:val="fr-CH"/>
        </w:rPr>
        <w:t>:</w:t>
      </w:r>
      <w:r>
        <w:rPr>
          <w:lang w:val="fr-CH"/>
        </w:rPr>
        <w:tab/>
        <w:t>angle entre l'axe de visée de l'antenne d'émission et le SRD (degrés)</w:t>
      </w:r>
    </w:p>
    <w:p w:rsidR="00D869A6" w:rsidRDefault="00D869A6" w:rsidP="003F6403">
      <w:pPr>
        <w:pStyle w:val="Equationlegend"/>
        <w:rPr>
          <w:lang w:val="fr-CH"/>
        </w:rPr>
      </w:pPr>
      <w:r>
        <w:rPr>
          <w:lang w:val="fr-CH"/>
        </w:rPr>
        <w:tab/>
      </w:r>
      <w:r>
        <w:rPr>
          <w:lang w:val="fr-CH"/>
        </w:rPr>
        <w:sym w:font="Symbol" w:char="F071"/>
      </w:r>
      <w:r>
        <w:rPr>
          <w:i/>
          <w:iCs/>
          <w:vertAlign w:val="subscript"/>
          <w:lang w:val="fr-CH"/>
        </w:rPr>
        <w:t>R</w:t>
      </w:r>
      <w:r>
        <w:rPr>
          <w:i/>
          <w:iCs/>
          <w:sz w:val="12"/>
          <w:lang w:val="fr-CH"/>
        </w:rPr>
        <w:t> </w:t>
      </w:r>
      <w:r>
        <w:rPr>
          <w:lang w:val="fr-CH"/>
        </w:rPr>
        <w:t>:</w:t>
      </w:r>
      <w:r>
        <w:rPr>
          <w:lang w:val="fr-CH"/>
        </w:rPr>
        <w:tab/>
        <w:t>angle entre l'axe de visée de l'antenne de réception du SRD et le satellite du service de recherche spatiale (degrés).</w:t>
      </w:r>
    </w:p>
    <w:p w:rsidR="00D869A6" w:rsidRDefault="00D869A6" w:rsidP="003F6403">
      <w:pPr>
        <w:rPr>
          <w:lang w:val="fr-CH"/>
        </w:rPr>
      </w:pPr>
      <w:r>
        <w:rPr>
          <w:lang w:val="fr-CH"/>
        </w:rPr>
        <w:t>Les pr</w:t>
      </w:r>
      <w:r w:rsidR="00A73675">
        <w:rPr>
          <w:lang w:val="fr-CH"/>
        </w:rPr>
        <w:t>incipaux résultats associés à l'</w:t>
      </w:r>
      <w:r>
        <w:rPr>
          <w:lang w:val="fr-CH"/>
        </w:rPr>
        <w:t>équation (3) pour chacun des trois cas sont résumés dans le Tableau 6.</w:t>
      </w:r>
    </w:p>
    <w:p w:rsidR="00D869A6" w:rsidRDefault="00C0053B" w:rsidP="003F6403">
      <w:pPr>
        <w:pStyle w:val="TableNo"/>
        <w:rPr>
          <w:lang w:val="fr-CH"/>
        </w:rPr>
      </w:pPr>
      <w:r>
        <w:rPr>
          <w:lang w:val="fr-CH"/>
        </w:rPr>
        <w:t xml:space="preserve">TABLEAU </w:t>
      </w:r>
      <w:r w:rsidR="00D869A6">
        <w:rPr>
          <w:lang w:val="fr-CH"/>
        </w:rPr>
        <w:t>6</w:t>
      </w:r>
    </w:p>
    <w:p w:rsidR="00D869A6" w:rsidRDefault="00D869A6" w:rsidP="003F6403">
      <w:pPr>
        <w:pStyle w:val="Tabletitle"/>
        <w:rPr>
          <w:lang w:val="fr-CH"/>
        </w:rPr>
      </w:pPr>
      <w:r>
        <w:rPr>
          <w:lang w:val="fr-CH"/>
        </w:rPr>
        <w:t>Niveau de brouillage et marge opérationnelle par rapport au critère de protection donné dans la Recommandation UIT-R SA.1155 dans le cas d'un SRD OSG subissant</w:t>
      </w:r>
      <w:r>
        <w:rPr>
          <w:lang w:val="fr-CH"/>
        </w:rPr>
        <w:br/>
        <w:t xml:space="preserve"> des brouillages causés par les émissions espace vers Terre</w:t>
      </w:r>
      <w:r>
        <w:rPr>
          <w:lang w:val="fr-CH"/>
        </w:rPr>
        <w:br/>
        <w:t> d'un satellite du service de recherche spatiale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7"/>
        <w:gridCol w:w="1418"/>
        <w:gridCol w:w="1418"/>
        <w:gridCol w:w="1418"/>
        <w:gridCol w:w="1418"/>
      </w:tblGrid>
      <w:tr w:rsidR="00D869A6" w:rsidTr="00C5543B">
        <w:tc>
          <w:tcPr>
            <w:tcW w:w="3967" w:type="dxa"/>
          </w:tcPr>
          <w:p w:rsidR="00D869A6" w:rsidRDefault="00D869A6" w:rsidP="003F6403">
            <w:pPr>
              <w:pStyle w:val="Tablehead"/>
              <w:framePr w:hSpace="181" w:wrap="notBeside" w:vAnchor="text" w:hAnchor="text" w:xAlign="center" w:y="1"/>
              <w:rPr>
                <w:lang w:val="fr-CH"/>
              </w:rPr>
            </w:pPr>
          </w:p>
        </w:tc>
        <w:tc>
          <w:tcPr>
            <w:tcW w:w="1418" w:type="dxa"/>
          </w:tcPr>
          <w:p w:rsidR="00D869A6" w:rsidRDefault="00D869A6" w:rsidP="003F6403">
            <w:pPr>
              <w:pStyle w:val="Tablehead"/>
              <w:framePr w:hSpace="181" w:wrap="notBeside" w:vAnchor="text" w:hAnchor="text" w:xAlign="center" w:y="1"/>
              <w:rPr>
                <w:lang w:val="fr-CH"/>
              </w:rPr>
            </w:pPr>
            <w:r>
              <w:rPr>
                <w:lang w:val="fr-CH"/>
              </w:rPr>
              <w:t>Cas 1</w:t>
            </w:r>
          </w:p>
        </w:tc>
        <w:tc>
          <w:tcPr>
            <w:tcW w:w="2836" w:type="dxa"/>
            <w:gridSpan w:val="2"/>
          </w:tcPr>
          <w:p w:rsidR="00D869A6" w:rsidRDefault="00D869A6" w:rsidP="003F6403">
            <w:pPr>
              <w:pStyle w:val="Tablehead"/>
              <w:framePr w:hSpace="181" w:wrap="notBeside" w:vAnchor="text" w:hAnchor="text" w:xAlign="center" w:y="1"/>
              <w:rPr>
                <w:lang w:val="fr-CH"/>
              </w:rPr>
            </w:pPr>
            <w:r>
              <w:rPr>
                <w:lang w:val="fr-CH"/>
              </w:rPr>
              <w:t>Cas 2</w:t>
            </w:r>
          </w:p>
        </w:tc>
        <w:tc>
          <w:tcPr>
            <w:tcW w:w="1418" w:type="dxa"/>
          </w:tcPr>
          <w:p w:rsidR="00D869A6" w:rsidRDefault="00D869A6" w:rsidP="003F6403">
            <w:pPr>
              <w:pStyle w:val="Tablehead"/>
              <w:framePr w:hSpace="181" w:wrap="notBeside" w:vAnchor="text" w:hAnchor="text" w:xAlign="center" w:y="1"/>
              <w:rPr>
                <w:lang w:val="fr-CH"/>
              </w:rPr>
            </w:pPr>
            <w:r>
              <w:rPr>
                <w:lang w:val="fr-CH"/>
              </w:rPr>
              <w:t>Cas 3</w:t>
            </w:r>
          </w:p>
        </w:tc>
      </w:tr>
      <w:tr w:rsidR="00D869A6" w:rsidTr="00C5543B">
        <w:tc>
          <w:tcPr>
            <w:tcW w:w="3967" w:type="dxa"/>
          </w:tcPr>
          <w:p w:rsidR="00D869A6" w:rsidRDefault="00D869A6" w:rsidP="003F6403">
            <w:pPr>
              <w:pStyle w:val="Tabletext"/>
              <w:framePr w:hSpace="181" w:wrap="notBeside" w:vAnchor="text" w:hAnchor="text" w:xAlign="center" w:y="1"/>
              <w:jc w:val="left"/>
              <w:rPr>
                <w:lang w:val="fr-CH"/>
              </w:rPr>
            </w:pPr>
            <w:r>
              <w:rPr>
                <w:lang w:val="fr-CH"/>
              </w:rPr>
              <w:t>dsp (dB(W/kHz))</w:t>
            </w:r>
          </w:p>
        </w:tc>
        <w:tc>
          <w:tcPr>
            <w:tcW w:w="1418" w:type="dxa"/>
          </w:tcPr>
          <w:p w:rsidR="00D869A6" w:rsidRDefault="00D869A6" w:rsidP="003F6403">
            <w:pPr>
              <w:pStyle w:val="Tabletext"/>
              <w:framePr w:hSpace="181" w:wrap="notBeside" w:vAnchor="text" w:hAnchor="text" w:xAlign="center" w:y="1"/>
              <w:jc w:val="center"/>
              <w:rPr>
                <w:lang w:val="fr-CH"/>
              </w:rPr>
            </w:pPr>
            <w:r>
              <w:rPr>
                <w:lang w:val="fr-CH"/>
              </w:rPr>
              <w:sym w:font="Symbol" w:char="F02D"/>
            </w:r>
            <w:r>
              <w:rPr>
                <w:lang w:val="fr-CH"/>
              </w:rPr>
              <w:t>40,5</w:t>
            </w:r>
          </w:p>
        </w:tc>
        <w:tc>
          <w:tcPr>
            <w:tcW w:w="2836" w:type="dxa"/>
            <w:gridSpan w:val="2"/>
          </w:tcPr>
          <w:p w:rsidR="00D869A6" w:rsidRDefault="00D869A6" w:rsidP="003F6403">
            <w:pPr>
              <w:pStyle w:val="Tabletext"/>
              <w:framePr w:hSpace="181" w:wrap="notBeside" w:vAnchor="text" w:hAnchor="text" w:xAlign="center" w:y="1"/>
              <w:jc w:val="center"/>
              <w:rPr>
                <w:lang w:val="fr-CH"/>
              </w:rPr>
            </w:pPr>
            <w:r>
              <w:rPr>
                <w:lang w:val="fr-CH"/>
              </w:rPr>
              <w:sym w:font="Symbol" w:char="F02D"/>
            </w:r>
            <w:r>
              <w:rPr>
                <w:lang w:val="fr-CH"/>
              </w:rPr>
              <w:t>40,5</w:t>
            </w:r>
          </w:p>
        </w:tc>
        <w:tc>
          <w:tcPr>
            <w:tcW w:w="1418" w:type="dxa"/>
          </w:tcPr>
          <w:p w:rsidR="00D869A6" w:rsidRDefault="00D869A6" w:rsidP="003F6403">
            <w:pPr>
              <w:pStyle w:val="Tabletext"/>
              <w:framePr w:hSpace="181" w:wrap="notBeside" w:vAnchor="text" w:hAnchor="text" w:xAlign="center" w:y="1"/>
              <w:jc w:val="center"/>
              <w:rPr>
                <w:lang w:val="fr-CH"/>
              </w:rPr>
            </w:pPr>
            <w:r>
              <w:rPr>
                <w:lang w:val="fr-CH"/>
              </w:rPr>
              <w:sym w:font="Symbol" w:char="F02D"/>
            </w:r>
            <w:r>
              <w:rPr>
                <w:lang w:val="fr-CH"/>
              </w:rPr>
              <w:t>46,5</w:t>
            </w:r>
          </w:p>
        </w:tc>
      </w:tr>
      <w:tr w:rsidR="00D869A6" w:rsidTr="00C5543B">
        <w:tc>
          <w:tcPr>
            <w:tcW w:w="3967" w:type="dxa"/>
          </w:tcPr>
          <w:p w:rsidR="00D869A6" w:rsidRDefault="00D869A6" w:rsidP="003F6403">
            <w:pPr>
              <w:pStyle w:val="Tabletext"/>
              <w:framePr w:hSpace="181" w:wrap="notBeside" w:vAnchor="text" w:hAnchor="text" w:xAlign="center" w:y="1"/>
              <w:jc w:val="left"/>
              <w:rPr>
                <w:lang w:val="fr-CH"/>
              </w:rPr>
            </w:pPr>
            <w:r>
              <w:rPr>
                <w:i/>
                <w:iCs/>
                <w:lang w:val="fr-CH"/>
              </w:rPr>
              <w:t>G</w:t>
            </w:r>
            <w:r>
              <w:rPr>
                <w:i/>
                <w:iCs/>
                <w:vertAlign w:val="subscript"/>
                <w:lang w:val="fr-CH"/>
              </w:rPr>
              <w:t>T</w:t>
            </w:r>
            <w:r>
              <w:rPr>
                <w:i/>
                <w:iCs/>
                <w:sz w:val="12"/>
                <w:vertAlign w:val="subscript"/>
                <w:lang w:val="fr-CH"/>
              </w:rPr>
              <w:t> </w:t>
            </w:r>
            <w:r>
              <w:rPr>
                <w:lang w:val="fr-CH"/>
              </w:rPr>
              <w:t>(</w:t>
            </w:r>
            <w:r>
              <w:rPr>
                <w:lang w:val="fr-CH"/>
              </w:rPr>
              <w:sym w:font="Symbol" w:char="F071"/>
            </w:r>
            <w:r>
              <w:rPr>
                <w:i/>
                <w:iCs/>
                <w:vertAlign w:val="subscript"/>
                <w:lang w:val="fr-CH"/>
              </w:rPr>
              <w:t>T</w:t>
            </w:r>
            <w:r>
              <w:rPr>
                <w:lang w:val="fr-CH"/>
              </w:rPr>
              <w:t>)</w:t>
            </w:r>
          </w:p>
        </w:tc>
        <w:tc>
          <w:tcPr>
            <w:tcW w:w="1418" w:type="dxa"/>
          </w:tcPr>
          <w:p w:rsidR="00D869A6" w:rsidRDefault="00D869A6" w:rsidP="003F6403">
            <w:pPr>
              <w:pStyle w:val="Tabletext"/>
              <w:framePr w:hSpace="181" w:wrap="notBeside" w:vAnchor="text" w:hAnchor="text" w:xAlign="center" w:y="1"/>
              <w:jc w:val="center"/>
              <w:rPr>
                <w:lang w:val="fr-CH"/>
              </w:rPr>
            </w:pPr>
            <w:r>
              <w:rPr>
                <w:lang w:val="fr-CH"/>
              </w:rPr>
              <w:t>0</w:t>
            </w:r>
          </w:p>
        </w:tc>
        <w:tc>
          <w:tcPr>
            <w:tcW w:w="2836" w:type="dxa"/>
            <w:gridSpan w:val="2"/>
          </w:tcPr>
          <w:p w:rsidR="00D869A6" w:rsidRDefault="00D869A6" w:rsidP="003F6403">
            <w:pPr>
              <w:pStyle w:val="Tabletext"/>
              <w:framePr w:hSpace="181" w:wrap="notBeside" w:vAnchor="text" w:hAnchor="text" w:xAlign="center" w:y="1"/>
              <w:jc w:val="center"/>
              <w:rPr>
                <w:lang w:val="fr-CH"/>
              </w:rPr>
            </w:pPr>
            <w:r>
              <w:rPr>
                <w:lang w:val="fr-CH"/>
              </w:rPr>
              <w:t>0</w:t>
            </w:r>
          </w:p>
        </w:tc>
        <w:tc>
          <w:tcPr>
            <w:tcW w:w="1418" w:type="dxa"/>
          </w:tcPr>
          <w:p w:rsidR="00D869A6" w:rsidRDefault="00D869A6" w:rsidP="003F6403">
            <w:pPr>
              <w:pStyle w:val="Tabletext"/>
              <w:framePr w:hSpace="181" w:wrap="notBeside" w:vAnchor="text" w:hAnchor="text" w:xAlign="center" w:y="1"/>
              <w:jc w:val="center"/>
              <w:rPr>
                <w:lang w:val="fr-CH"/>
              </w:rPr>
            </w:pPr>
            <w:r>
              <w:rPr>
                <w:lang w:val="fr-CH"/>
              </w:rPr>
              <w:t>0</w:t>
            </w:r>
          </w:p>
        </w:tc>
      </w:tr>
      <w:tr w:rsidR="00D869A6" w:rsidTr="00C5543B">
        <w:tc>
          <w:tcPr>
            <w:tcW w:w="3967" w:type="dxa"/>
          </w:tcPr>
          <w:p w:rsidR="00D869A6" w:rsidRDefault="00D869A6" w:rsidP="003F6403">
            <w:pPr>
              <w:pStyle w:val="Tabletext"/>
              <w:framePr w:hSpace="181" w:wrap="notBeside" w:vAnchor="text" w:hAnchor="text" w:xAlign="center" w:y="1"/>
              <w:jc w:val="left"/>
              <w:rPr>
                <w:lang w:val="fr-CH"/>
              </w:rPr>
            </w:pPr>
            <w:r>
              <w:rPr>
                <w:i/>
                <w:iCs/>
                <w:lang w:val="fr-CH"/>
              </w:rPr>
              <w:t>G</w:t>
            </w:r>
            <w:r>
              <w:rPr>
                <w:i/>
                <w:iCs/>
                <w:vertAlign w:val="subscript"/>
                <w:lang w:val="fr-CH"/>
              </w:rPr>
              <w:t>R</w:t>
            </w:r>
            <w:r>
              <w:rPr>
                <w:lang w:val="fr-CH"/>
              </w:rPr>
              <w:t>(</w:t>
            </w:r>
            <w:r>
              <w:rPr>
                <w:lang w:val="fr-CH"/>
              </w:rPr>
              <w:sym w:font="Symbol" w:char="F071"/>
            </w:r>
            <w:r>
              <w:rPr>
                <w:i/>
                <w:iCs/>
                <w:vertAlign w:val="subscript"/>
                <w:lang w:val="fr-CH"/>
              </w:rPr>
              <w:t>R</w:t>
            </w:r>
            <w:r>
              <w:rPr>
                <w:lang w:val="fr-CH"/>
              </w:rPr>
              <w:t>)</w:t>
            </w:r>
          </w:p>
        </w:tc>
        <w:tc>
          <w:tcPr>
            <w:tcW w:w="1418" w:type="dxa"/>
          </w:tcPr>
          <w:p w:rsidR="00D869A6" w:rsidRDefault="00D869A6" w:rsidP="003F6403">
            <w:pPr>
              <w:pStyle w:val="Tabletext"/>
              <w:framePr w:hSpace="181" w:wrap="notBeside" w:vAnchor="text" w:hAnchor="text" w:xAlign="center" w:y="1"/>
              <w:jc w:val="center"/>
              <w:rPr>
                <w:lang w:val="fr-CH"/>
              </w:rPr>
            </w:pPr>
            <w:r>
              <w:rPr>
                <w:lang w:val="fr-CH"/>
              </w:rPr>
              <w:t>0</w:t>
            </w:r>
          </w:p>
        </w:tc>
        <w:tc>
          <w:tcPr>
            <w:tcW w:w="1418" w:type="dxa"/>
          </w:tcPr>
          <w:p w:rsidR="00D869A6" w:rsidRDefault="00D869A6" w:rsidP="003F6403">
            <w:pPr>
              <w:pStyle w:val="Tabletext"/>
              <w:framePr w:hSpace="181" w:wrap="notBeside" w:vAnchor="text" w:hAnchor="text" w:xAlign="center" w:y="1"/>
              <w:jc w:val="center"/>
              <w:rPr>
                <w:lang w:val="fr-CH"/>
              </w:rPr>
            </w:pPr>
            <w:r>
              <w:rPr>
                <w:lang w:val="fr-CH"/>
              </w:rPr>
              <w:t>0</w:t>
            </w:r>
          </w:p>
        </w:tc>
        <w:tc>
          <w:tcPr>
            <w:tcW w:w="1418" w:type="dxa"/>
          </w:tcPr>
          <w:p w:rsidR="00D869A6" w:rsidRDefault="00D869A6" w:rsidP="003F6403">
            <w:pPr>
              <w:pStyle w:val="Tabletext"/>
              <w:framePr w:hSpace="181" w:wrap="notBeside" w:vAnchor="text" w:hAnchor="text" w:xAlign="center" w:y="1"/>
              <w:jc w:val="center"/>
              <w:rPr>
                <w:lang w:val="fr-CH"/>
              </w:rPr>
            </w:pPr>
            <w:r>
              <w:rPr>
                <w:lang w:val="fr-CH"/>
              </w:rPr>
              <w:t>53,3</w:t>
            </w:r>
            <w:r>
              <w:rPr>
                <w:vertAlign w:val="superscript"/>
              </w:rPr>
              <w:t>(1)</w:t>
            </w:r>
          </w:p>
        </w:tc>
        <w:tc>
          <w:tcPr>
            <w:tcW w:w="1418" w:type="dxa"/>
          </w:tcPr>
          <w:p w:rsidR="00D869A6" w:rsidRDefault="00D869A6" w:rsidP="003F6403">
            <w:pPr>
              <w:pStyle w:val="Tabletext"/>
              <w:framePr w:hSpace="181" w:wrap="notBeside" w:vAnchor="text" w:hAnchor="text" w:xAlign="center" w:y="1"/>
              <w:jc w:val="center"/>
              <w:rPr>
                <w:lang w:val="fr-CH"/>
              </w:rPr>
            </w:pPr>
            <w:r>
              <w:rPr>
                <w:lang w:val="fr-CH"/>
              </w:rPr>
              <w:t>53,3</w:t>
            </w:r>
            <w:r>
              <w:rPr>
                <w:vertAlign w:val="superscript"/>
              </w:rPr>
              <w:t>(1)</w:t>
            </w:r>
          </w:p>
        </w:tc>
      </w:tr>
      <w:tr w:rsidR="00D869A6" w:rsidTr="00C5543B">
        <w:tc>
          <w:tcPr>
            <w:tcW w:w="3967" w:type="dxa"/>
          </w:tcPr>
          <w:p w:rsidR="00D869A6" w:rsidRDefault="00D869A6" w:rsidP="003F6403">
            <w:pPr>
              <w:pStyle w:val="Tabletext"/>
              <w:framePr w:hSpace="181" w:wrap="notBeside" w:vAnchor="text" w:hAnchor="text" w:xAlign="center" w:y="1"/>
              <w:jc w:val="left"/>
              <w:rPr>
                <w:lang w:val="fr-CH"/>
              </w:rPr>
            </w:pPr>
            <w:r>
              <w:rPr>
                <w:lang w:val="fr-CH"/>
              </w:rPr>
              <w:t>Distance (km)</w:t>
            </w:r>
          </w:p>
        </w:tc>
        <w:tc>
          <w:tcPr>
            <w:tcW w:w="1418" w:type="dxa"/>
          </w:tcPr>
          <w:p w:rsidR="00D869A6" w:rsidRDefault="00D869A6" w:rsidP="003F6403">
            <w:pPr>
              <w:pStyle w:val="Tabletext"/>
              <w:framePr w:hSpace="181" w:wrap="notBeside" w:vAnchor="text" w:hAnchor="text" w:xAlign="center" w:y="1"/>
              <w:jc w:val="center"/>
              <w:rPr>
                <w:lang w:val="fr-CH"/>
              </w:rPr>
            </w:pPr>
            <w:r>
              <w:rPr>
                <w:lang w:val="fr-CH"/>
              </w:rPr>
              <w:t>11,9</w:t>
            </w:r>
          </w:p>
        </w:tc>
        <w:tc>
          <w:tcPr>
            <w:tcW w:w="2836" w:type="dxa"/>
            <w:gridSpan w:val="2"/>
          </w:tcPr>
          <w:p w:rsidR="00D869A6" w:rsidRDefault="00D869A6" w:rsidP="003F6403">
            <w:pPr>
              <w:pStyle w:val="Tabletext"/>
              <w:framePr w:hSpace="181" w:wrap="notBeside" w:vAnchor="text" w:hAnchor="text" w:xAlign="center" w:y="1"/>
              <w:jc w:val="center"/>
              <w:rPr>
                <w:lang w:val="fr-CH"/>
              </w:rPr>
            </w:pPr>
            <w:r>
              <w:rPr>
                <w:lang w:val="fr-CH"/>
              </w:rPr>
              <w:t>83 360</w:t>
            </w:r>
          </w:p>
        </w:tc>
        <w:tc>
          <w:tcPr>
            <w:tcW w:w="1418" w:type="dxa"/>
          </w:tcPr>
          <w:p w:rsidR="00D869A6" w:rsidRDefault="00D869A6" w:rsidP="003F6403">
            <w:pPr>
              <w:pStyle w:val="Tabletext"/>
              <w:framePr w:hSpace="181" w:wrap="notBeside" w:vAnchor="text" w:hAnchor="text" w:xAlign="center" w:y="1"/>
              <w:jc w:val="center"/>
              <w:rPr>
                <w:lang w:val="fr-CH"/>
              </w:rPr>
            </w:pPr>
            <w:r>
              <w:rPr>
                <w:lang w:val="fr-CH"/>
              </w:rPr>
              <w:t>34 985</w:t>
            </w:r>
            <w:r>
              <w:rPr>
                <w:vertAlign w:val="superscript"/>
              </w:rPr>
              <w:t>(2)</w:t>
            </w:r>
          </w:p>
        </w:tc>
      </w:tr>
      <w:tr w:rsidR="00D869A6" w:rsidTr="005D7019">
        <w:tc>
          <w:tcPr>
            <w:tcW w:w="3967" w:type="dxa"/>
          </w:tcPr>
          <w:p w:rsidR="00D869A6" w:rsidRDefault="00D869A6" w:rsidP="003F6403">
            <w:pPr>
              <w:pStyle w:val="Tabletext"/>
              <w:framePr w:hSpace="181" w:wrap="notBeside" w:vAnchor="text" w:hAnchor="text" w:xAlign="center" w:y="1"/>
              <w:jc w:val="left"/>
              <w:rPr>
                <w:lang w:val="fr-CH"/>
              </w:rPr>
            </w:pPr>
            <w:r>
              <w:rPr>
                <w:lang w:val="fr-CH"/>
              </w:rPr>
              <w:t>Affaiblissement de transmission de référence (dB)</w:t>
            </w:r>
          </w:p>
        </w:tc>
        <w:tc>
          <w:tcPr>
            <w:tcW w:w="1418" w:type="dxa"/>
            <w:vAlign w:val="center"/>
          </w:tcPr>
          <w:p w:rsidR="00D869A6" w:rsidRDefault="00D869A6">
            <w:pPr>
              <w:pStyle w:val="Tabletext"/>
              <w:framePr w:hSpace="181" w:wrap="notBeside" w:vAnchor="text" w:hAnchor="text" w:xAlign="center" w:y="1"/>
              <w:jc w:val="center"/>
              <w:rPr>
                <w:lang w:val="es-ES"/>
              </w:rPr>
            </w:pPr>
            <w:r>
              <w:rPr>
                <w:lang w:val="es-ES"/>
              </w:rPr>
              <w:t>137,5</w:t>
            </w:r>
          </w:p>
        </w:tc>
        <w:tc>
          <w:tcPr>
            <w:tcW w:w="2836" w:type="dxa"/>
            <w:gridSpan w:val="2"/>
            <w:vAlign w:val="center"/>
          </w:tcPr>
          <w:p w:rsidR="00D869A6" w:rsidRDefault="00D869A6">
            <w:pPr>
              <w:pStyle w:val="Tabletext"/>
              <w:framePr w:hSpace="181" w:wrap="notBeside" w:vAnchor="text" w:hAnchor="text" w:xAlign="center" w:y="1"/>
              <w:jc w:val="center"/>
              <w:rPr>
                <w:lang w:val="es-ES"/>
              </w:rPr>
            </w:pPr>
            <w:r>
              <w:rPr>
                <w:lang w:val="es-ES"/>
              </w:rPr>
              <w:t>214,4</w:t>
            </w:r>
          </w:p>
        </w:tc>
        <w:tc>
          <w:tcPr>
            <w:tcW w:w="1418" w:type="dxa"/>
            <w:vAlign w:val="center"/>
          </w:tcPr>
          <w:p w:rsidR="00D869A6" w:rsidRDefault="00D869A6">
            <w:pPr>
              <w:pStyle w:val="Tabletext"/>
              <w:framePr w:hSpace="181" w:wrap="notBeside" w:vAnchor="text" w:hAnchor="text" w:xAlign="center" w:y="1"/>
              <w:jc w:val="center"/>
              <w:rPr>
                <w:lang w:val="es-ES"/>
              </w:rPr>
            </w:pPr>
            <w:r>
              <w:rPr>
                <w:lang w:val="es-ES"/>
              </w:rPr>
              <w:t>206,8</w:t>
            </w:r>
          </w:p>
        </w:tc>
      </w:tr>
      <w:tr w:rsidR="00D869A6" w:rsidTr="00C5543B">
        <w:tc>
          <w:tcPr>
            <w:tcW w:w="3967" w:type="dxa"/>
          </w:tcPr>
          <w:p w:rsidR="00D869A6" w:rsidRDefault="00D869A6" w:rsidP="003F6403">
            <w:pPr>
              <w:pStyle w:val="Tabletext"/>
              <w:framePr w:hSpace="181" w:wrap="notBeside" w:vAnchor="text" w:hAnchor="text" w:xAlign="center" w:y="1"/>
              <w:jc w:val="left"/>
              <w:rPr>
                <w:lang w:val="es-ES"/>
              </w:rPr>
            </w:pPr>
            <w:r>
              <w:rPr>
                <w:i/>
                <w:iCs/>
                <w:lang w:val="es-ES"/>
              </w:rPr>
              <w:t>I</w:t>
            </w:r>
            <w:r>
              <w:rPr>
                <w:i/>
                <w:iCs/>
                <w:vertAlign w:val="subscript"/>
                <w:lang w:val="es-ES"/>
              </w:rPr>
              <w:t>R</w:t>
            </w:r>
            <w:r>
              <w:rPr>
                <w:lang w:val="es-ES"/>
              </w:rPr>
              <w:t xml:space="preserve"> (dB(W/kHz))</w:t>
            </w:r>
          </w:p>
        </w:tc>
        <w:tc>
          <w:tcPr>
            <w:tcW w:w="1418" w:type="dxa"/>
          </w:tcPr>
          <w:p w:rsidR="00D869A6" w:rsidRDefault="00D869A6" w:rsidP="003F6403">
            <w:pPr>
              <w:pStyle w:val="Tabletext"/>
              <w:framePr w:hSpace="181" w:wrap="notBeside" w:vAnchor="text" w:hAnchor="text" w:xAlign="center" w:y="1"/>
              <w:jc w:val="center"/>
              <w:rPr>
                <w:lang w:val="en-US"/>
              </w:rPr>
            </w:pPr>
            <w:r>
              <w:rPr>
                <w:lang w:val="fr-CH"/>
              </w:rPr>
              <w:sym w:font="Symbol" w:char="F02D"/>
            </w:r>
            <w:r>
              <w:rPr>
                <w:lang w:val="en-US"/>
              </w:rPr>
              <w:t>178</w:t>
            </w:r>
          </w:p>
        </w:tc>
        <w:tc>
          <w:tcPr>
            <w:tcW w:w="1418" w:type="dxa"/>
          </w:tcPr>
          <w:p w:rsidR="00D869A6" w:rsidRDefault="00D869A6" w:rsidP="003F6403">
            <w:pPr>
              <w:pStyle w:val="Tabletext"/>
              <w:framePr w:hSpace="181" w:wrap="notBeside" w:vAnchor="text" w:hAnchor="text" w:xAlign="center" w:y="1"/>
              <w:jc w:val="center"/>
              <w:rPr>
                <w:lang w:val="en-US"/>
              </w:rPr>
            </w:pPr>
            <w:r>
              <w:rPr>
                <w:lang w:val="fr-CH"/>
              </w:rPr>
              <w:sym w:font="Symbol" w:char="F02D"/>
            </w:r>
            <w:r>
              <w:rPr>
                <w:lang w:val="en-US"/>
              </w:rPr>
              <w:t>254,9</w:t>
            </w:r>
          </w:p>
        </w:tc>
        <w:tc>
          <w:tcPr>
            <w:tcW w:w="1418" w:type="dxa"/>
          </w:tcPr>
          <w:p w:rsidR="00D869A6" w:rsidRDefault="00D869A6" w:rsidP="003F6403">
            <w:pPr>
              <w:pStyle w:val="Tabletext"/>
              <w:framePr w:hSpace="181" w:wrap="notBeside" w:vAnchor="text" w:hAnchor="text" w:xAlign="center" w:y="1"/>
              <w:jc w:val="center"/>
              <w:rPr>
                <w:lang w:val="en-US"/>
              </w:rPr>
            </w:pPr>
            <w:r>
              <w:rPr>
                <w:lang w:val="fr-CH"/>
              </w:rPr>
              <w:sym w:font="Symbol" w:char="F02D"/>
            </w:r>
            <w:r>
              <w:rPr>
                <w:lang w:val="en-US"/>
              </w:rPr>
              <w:t>201,6</w:t>
            </w:r>
          </w:p>
        </w:tc>
        <w:tc>
          <w:tcPr>
            <w:tcW w:w="1418" w:type="dxa"/>
          </w:tcPr>
          <w:p w:rsidR="00D869A6" w:rsidRDefault="00D869A6" w:rsidP="003F6403">
            <w:pPr>
              <w:pStyle w:val="Tabletext"/>
              <w:framePr w:hSpace="181" w:wrap="notBeside" w:vAnchor="text" w:hAnchor="text" w:xAlign="center" w:y="1"/>
              <w:jc w:val="center"/>
              <w:rPr>
                <w:lang w:val="en-US"/>
              </w:rPr>
            </w:pPr>
            <w:r>
              <w:rPr>
                <w:lang w:val="fr-CH"/>
              </w:rPr>
              <w:sym w:font="Symbol" w:char="F02D"/>
            </w:r>
            <w:r>
              <w:rPr>
                <w:lang w:val="en-US"/>
              </w:rPr>
              <w:t>200</w:t>
            </w:r>
          </w:p>
        </w:tc>
      </w:tr>
      <w:tr w:rsidR="00D869A6" w:rsidTr="00C5543B">
        <w:tc>
          <w:tcPr>
            <w:tcW w:w="3967" w:type="dxa"/>
          </w:tcPr>
          <w:p w:rsidR="00D869A6" w:rsidRDefault="00D869A6" w:rsidP="003F6403">
            <w:pPr>
              <w:pStyle w:val="Tabletext"/>
              <w:framePr w:hSpace="181" w:wrap="notBeside" w:vAnchor="text" w:hAnchor="text" w:xAlign="center" w:y="1"/>
              <w:jc w:val="left"/>
              <w:rPr>
                <w:lang w:val="en-US"/>
              </w:rPr>
            </w:pPr>
            <w:r>
              <w:rPr>
                <w:i/>
                <w:iCs/>
                <w:lang w:val="en-US"/>
              </w:rPr>
              <w:t>I</w:t>
            </w:r>
            <w:r>
              <w:rPr>
                <w:i/>
                <w:iCs/>
                <w:vertAlign w:val="subscript"/>
                <w:lang w:val="en-US"/>
              </w:rPr>
              <w:t>CP</w:t>
            </w:r>
            <w:r>
              <w:rPr>
                <w:lang w:val="en-US"/>
              </w:rPr>
              <w:t xml:space="preserve"> (dB(W/kHz))</w:t>
            </w:r>
          </w:p>
        </w:tc>
        <w:tc>
          <w:tcPr>
            <w:tcW w:w="1418" w:type="dxa"/>
          </w:tcPr>
          <w:p w:rsidR="00D869A6" w:rsidRDefault="00D869A6" w:rsidP="003F6403">
            <w:pPr>
              <w:pStyle w:val="Tabletext"/>
              <w:framePr w:hSpace="181" w:wrap="notBeside" w:vAnchor="text" w:hAnchor="text" w:xAlign="center" w:y="1"/>
              <w:jc w:val="center"/>
              <w:rPr>
                <w:lang w:val="fr-CH"/>
              </w:rPr>
            </w:pPr>
            <w:r>
              <w:rPr>
                <w:lang w:val="fr-CH"/>
              </w:rPr>
              <w:sym w:font="Symbol" w:char="F02D"/>
            </w:r>
            <w:r>
              <w:rPr>
                <w:caps/>
                <w:lang w:val="fr-CH"/>
              </w:rPr>
              <w:t>178</w:t>
            </w:r>
            <w:r>
              <w:rPr>
                <w:vertAlign w:val="superscript"/>
              </w:rPr>
              <w:t>(3)</w:t>
            </w:r>
          </w:p>
        </w:tc>
        <w:tc>
          <w:tcPr>
            <w:tcW w:w="2836" w:type="dxa"/>
            <w:gridSpan w:val="2"/>
          </w:tcPr>
          <w:p w:rsidR="00D869A6" w:rsidRDefault="00D869A6" w:rsidP="003F6403">
            <w:pPr>
              <w:pStyle w:val="Tabletext"/>
              <w:framePr w:hSpace="181" w:wrap="notBeside" w:vAnchor="text" w:hAnchor="text" w:xAlign="center" w:y="1"/>
              <w:jc w:val="center"/>
              <w:rPr>
                <w:lang w:val="fr-CH"/>
              </w:rPr>
            </w:pPr>
            <w:r>
              <w:rPr>
                <w:lang w:val="fr-CH"/>
              </w:rPr>
              <w:sym w:font="Symbol" w:char="F02D"/>
            </w:r>
            <w:r>
              <w:rPr>
                <w:caps/>
                <w:lang w:val="fr-CH"/>
              </w:rPr>
              <w:t>178</w:t>
            </w:r>
            <w:r>
              <w:rPr>
                <w:vertAlign w:val="superscript"/>
              </w:rPr>
              <w:t>(3)</w:t>
            </w:r>
          </w:p>
        </w:tc>
        <w:tc>
          <w:tcPr>
            <w:tcW w:w="1418" w:type="dxa"/>
          </w:tcPr>
          <w:p w:rsidR="00D869A6" w:rsidRDefault="00D869A6" w:rsidP="003F6403">
            <w:pPr>
              <w:pStyle w:val="Tabletext"/>
              <w:framePr w:hSpace="181" w:wrap="notBeside" w:vAnchor="text" w:hAnchor="text" w:xAlign="center" w:y="1"/>
              <w:jc w:val="center"/>
              <w:rPr>
                <w:lang w:val="fr-CH"/>
              </w:rPr>
            </w:pPr>
            <w:r>
              <w:rPr>
                <w:lang w:val="fr-CH"/>
              </w:rPr>
              <w:sym w:font="Symbol" w:char="F02D"/>
            </w:r>
            <w:r>
              <w:rPr>
                <w:caps/>
                <w:lang w:val="fr-CH"/>
              </w:rPr>
              <w:t>178</w:t>
            </w:r>
            <w:r>
              <w:rPr>
                <w:vertAlign w:val="superscript"/>
              </w:rPr>
              <w:t>(3)</w:t>
            </w:r>
          </w:p>
        </w:tc>
      </w:tr>
      <w:tr w:rsidR="00D869A6" w:rsidTr="00C5543B">
        <w:tc>
          <w:tcPr>
            <w:tcW w:w="3967" w:type="dxa"/>
            <w:tcBorders>
              <w:bottom w:val="single" w:sz="4" w:space="0" w:color="auto"/>
            </w:tcBorders>
          </w:tcPr>
          <w:p w:rsidR="00D869A6" w:rsidRDefault="00D869A6" w:rsidP="003F6403">
            <w:pPr>
              <w:pStyle w:val="Tabletext"/>
              <w:framePr w:hSpace="181" w:wrap="notBeside" w:vAnchor="text" w:hAnchor="text" w:xAlign="center" w:y="1"/>
              <w:jc w:val="left"/>
              <w:rPr>
                <w:lang w:val="fr-CH"/>
              </w:rPr>
            </w:pPr>
            <w:r>
              <w:rPr>
                <w:lang w:val="fr-CH"/>
              </w:rPr>
              <w:t>Marge (dB)</w:t>
            </w:r>
          </w:p>
        </w:tc>
        <w:tc>
          <w:tcPr>
            <w:tcW w:w="1418" w:type="dxa"/>
            <w:tcBorders>
              <w:bottom w:val="single" w:sz="4" w:space="0" w:color="auto"/>
            </w:tcBorders>
          </w:tcPr>
          <w:p w:rsidR="00D869A6" w:rsidRDefault="00D869A6" w:rsidP="003F6403">
            <w:pPr>
              <w:pStyle w:val="Tabletext"/>
              <w:framePr w:hSpace="181" w:wrap="notBeside" w:vAnchor="text" w:hAnchor="text" w:xAlign="center" w:y="1"/>
              <w:jc w:val="center"/>
              <w:rPr>
                <w:caps/>
                <w:lang w:val="fr-CH"/>
              </w:rPr>
            </w:pPr>
            <w:r>
              <w:rPr>
                <w:caps/>
                <w:lang w:val="fr-CH"/>
              </w:rPr>
              <w:t>0</w:t>
            </w:r>
          </w:p>
        </w:tc>
        <w:tc>
          <w:tcPr>
            <w:tcW w:w="1418" w:type="dxa"/>
            <w:tcBorders>
              <w:bottom w:val="single" w:sz="4" w:space="0" w:color="auto"/>
            </w:tcBorders>
          </w:tcPr>
          <w:p w:rsidR="00D869A6" w:rsidRDefault="00D869A6" w:rsidP="003F6403">
            <w:pPr>
              <w:pStyle w:val="Tabletext"/>
              <w:framePr w:hSpace="181" w:wrap="notBeside" w:vAnchor="text" w:hAnchor="text" w:xAlign="center" w:y="1"/>
              <w:jc w:val="center"/>
              <w:rPr>
                <w:lang w:val="fr-CH"/>
              </w:rPr>
            </w:pPr>
            <w:r>
              <w:rPr>
                <w:rFonts w:ascii="Symbol" w:hAnsi="Symbol"/>
                <w:lang w:val="fr-CH"/>
              </w:rPr>
              <w:t></w:t>
            </w:r>
            <w:r>
              <w:rPr>
                <w:lang w:val="fr-CH"/>
              </w:rPr>
              <w:t>76,9</w:t>
            </w:r>
          </w:p>
        </w:tc>
        <w:tc>
          <w:tcPr>
            <w:tcW w:w="1418" w:type="dxa"/>
            <w:tcBorders>
              <w:bottom w:val="single" w:sz="4" w:space="0" w:color="auto"/>
            </w:tcBorders>
          </w:tcPr>
          <w:p w:rsidR="00D869A6" w:rsidRDefault="00D869A6" w:rsidP="003F6403">
            <w:pPr>
              <w:pStyle w:val="Tabletext"/>
              <w:framePr w:hSpace="181" w:wrap="notBeside" w:vAnchor="text" w:hAnchor="text" w:xAlign="center" w:y="1"/>
              <w:jc w:val="center"/>
              <w:rPr>
                <w:lang w:val="fr-CH"/>
              </w:rPr>
            </w:pPr>
            <w:r>
              <w:rPr>
                <w:rFonts w:ascii="Symbol" w:hAnsi="Symbol"/>
                <w:lang w:val="fr-CH"/>
              </w:rPr>
              <w:t></w:t>
            </w:r>
            <w:r>
              <w:rPr>
                <w:lang w:val="fr-CH"/>
              </w:rPr>
              <w:t>23,6</w:t>
            </w:r>
          </w:p>
        </w:tc>
        <w:tc>
          <w:tcPr>
            <w:tcW w:w="1418" w:type="dxa"/>
            <w:tcBorders>
              <w:bottom w:val="single" w:sz="4" w:space="0" w:color="auto"/>
            </w:tcBorders>
          </w:tcPr>
          <w:p w:rsidR="00D869A6" w:rsidRDefault="00D869A6" w:rsidP="003F6403">
            <w:pPr>
              <w:pStyle w:val="Tabletext"/>
              <w:framePr w:hSpace="181" w:wrap="notBeside" w:vAnchor="text" w:hAnchor="text" w:xAlign="center" w:y="1"/>
              <w:jc w:val="center"/>
              <w:rPr>
                <w:lang w:val="fr-CH"/>
              </w:rPr>
            </w:pPr>
            <w:r>
              <w:rPr>
                <w:rFonts w:ascii="Symbol" w:hAnsi="Symbol"/>
                <w:lang w:val="fr-CH"/>
              </w:rPr>
              <w:t></w:t>
            </w:r>
            <w:r>
              <w:rPr>
                <w:lang w:val="fr-CH"/>
              </w:rPr>
              <w:t>22,0</w:t>
            </w:r>
          </w:p>
        </w:tc>
      </w:tr>
      <w:tr w:rsidR="00D869A6" w:rsidTr="00C5543B">
        <w:tc>
          <w:tcPr>
            <w:tcW w:w="9639" w:type="dxa"/>
            <w:gridSpan w:val="5"/>
            <w:tcBorders>
              <w:left w:val="nil"/>
              <w:bottom w:val="nil"/>
              <w:right w:val="nil"/>
            </w:tcBorders>
          </w:tcPr>
          <w:p w:rsidR="00D869A6" w:rsidRDefault="00D869A6" w:rsidP="003F6403">
            <w:pPr>
              <w:pStyle w:val="Tablelegend"/>
              <w:framePr w:hSpace="181" w:wrap="notBeside" w:vAnchor="text" w:hAnchor="text" w:xAlign="center" w:y="1"/>
              <w:rPr>
                <w:lang w:val="fr-CH"/>
              </w:rPr>
            </w:pPr>
            <w:r>
              <w:rPr>
                <w:vertAlign w:val="superscript"/>
                <w:lang w:val="fr-CH"/>
              </w:rPr>
              <w:t>(1)</w:t>
            </w:r>
            <w:r>
              <w:rPr>
                <w:lang w:val="fr-CH"/>
              </w:rPr>
              <w:tab/>
              <w:t>Voir la Recommandation UIT-R SA.1414.</w:t>
            </w:r>
          </w:p>
          <w:p w:rsidR="00D869A6" w:rsidRDefault="00D869A6" w:rsidP="003F6403">
            <w:pPr>
              <w:pStyle w:val="Tablelegend"/>
              <w:framePr w:hSpace="181" w:wrap="notBeside" w:vAnchor="text" w:hAnchor="text" w:xAlign="center" w:y="1"/>
              <w:spacing w:before="40"/>
              <w:rPr>
                <w:lang w:val="fr-CH"/>
              </w:rPr>
            </w:pPr>
            <w:r>
              <w:rPr>
                <w:vertAlign w:val="superscript"/>
                <w:lang w:val="fr-CH"/>
              </w:rPr>
              <w:t>(2)</w:t>
            </w:r>
            <w:r>
              <w:rPr>
                <w:lang w:val="fr-CH"/>
              </w:rPr>
              <w:tab/>
              <w:t>Satellite à une altitude de 800 km situé dans le plan équatorial directement au</w:t>
            </w:r>
            <w:r>
              <w:rPr>
                <w:lang w:val="fr-CH"/>
              </w:rPr>
              <w:noBreakHyphen/>
              <w:t>dessous du SRD.</w:t>
            </w:r>
          </w:p>
          <w:p w:rsidR="00D869A6" w:rsidRDefault="00D869A6" w:rsidP="003F6403">
            <w:pPr>
              <w:pStyle w:val="Tablelegend"/>
              <w:framePr w:hSpace="181" w:wrap="notBeside" w:vAnchor="text" w:hAnchor="text" w:xAlign="center" w:y="1"/>
              <w:spacing w:before="40"/>
              <w:rPr>
                <w:lang w:val="fr-CH"/>
              </w:rPr>
            </w:pPr>
            <w:r>
              <w:rPr>
                <w:vertAlign w:val="superscript"/>
                <w:lang w:val="fr-CH"/>
              </w:rPr>
              <w:t>(3)</w:t>
            </w:r>
            <w:r>
              <w:rPr>
                <w:lang w:val="fr-CH"/>
              </w:rPr>
              <w:tab/>
              <w:t>Critères de protection tirés de la Recommandation UIT-R SA.1155.</w:t>
            </w:r>
          </w:p>
        </w:tc>
      </w:tr>
    </w:tbl>
    <w:p w:rsidR="00D869A6" w:rsidRPr="00D869A6" w:rsidRDefault="00D869A6" w:rsidP="003F6403">
      <w:pPr>
        <w:pStyle w:val="Tablefin"/>
        <w:rPr>
          <w:sz w:val="2"/>
          <w:lang w:val="fr-CH"/>
        </w:rPr>
      </w:pPr>
    </w:p>
    <w:p w:rsidR="00D869A6" w:rsidRDefault="00D869A6" w:rsidP="00C0053B">
      <w:r>
        <w:t xml:space="preserve">Il ressort de cette analyse qu'un réseau à SRD existant serait protégé contre les émissions des satellites en orbite basse et des satellites OSG donnés à titre d'exemple. On a constaté que la distance de séparation entre un SRD OSG de réception et un satellite OSG d'émission du service de recherche spatiale pouvait être relativement courte, à savoir 12 km (ce qui équivaut à un espacement orbital de moins de 0,02°). On a également observé qu'une marge de protection minimale de </w:t>
      </w:r>
      <w:r w:rsidR="00C0053B">
        <w:t>+</w:t>
      </w:r>
      <w:r>
        <w:t xml:space="preserve">23 dB existait lorsqu'un satellite OSG du service de recherche spatiale en position presque antipodale émettait en direction d'un SRD de réception. Des résultats analogues ont été obtenus dans le cas d'un satellite en orbite basse du service de recherche spatiale émettant dans le sens espace vers Terre, les émissions étant situées dans le faisceau principal de l'antenne de réception du SRD. Dans ce cas, la marge de brouillage par rapport au critère de brouillage donné dans la Recommandation UIT-R SA.1155 était de </w:t>
      </w:r>
      <w:r w:rsidR="00C0053B">
        <w:t>+</w:t>
      </w:r>
      <w:r>
        <w:t>22 dB.</w:t>
      </w:r>
    </w:p>
    <w:p w:rsidR="00D869A6" w:rsidRDefault="00D869A6" w:rsidP="003F6403">
      <w:pPr>
        <w:pStyle w:val="Heading1"/>
        <w:rPr>
          <w:lang w:val="fr-CH"/>
        </w:rPr>
      </w:pPr>
      <w:r>
        <w:rPr>
          <w:lang w:val="fr-CH"/>
        </w:rPr>
        <w:t>8</w:t>
      </w:r>
      <w:r>
        <w:rPr>
          <w:lang w:val="fr-CH"/>
        </w:rPr>
        <w:tab/>
        <w:t>Conclusions</w:t>
      </w:r>
    </w:p>
    <w:p w:rsidR="00D869A6" w:rsidRDefault="00D869A6" w:rsidP="003F6403">
      <w:pPr>
        <w:rPr>
          <w:spacing w:val="-2"/>
          <w:lang w:val="fr-CH"/>
        </w:rPr>
      </w:pPr>
      <w:r>
        <w:rPr>
          <w:spacing w:val="-2"/>
          <w:lang w:val="fr-CH"/>
        </w:rPr>
        <w:t xml:space="preserve">Les résultats des simulations concernant les probabilités pour qu'un brouillage soit causé par le service de recherche spatiale (dans l'hypothèse </w:t>
      </w:r>
      <w:r>
        <w:rPr>
          <w:iCs/>
          <w:spacing w:val="-2"/>
          <w:lang w:val="fr-CH"/>
        </w:rPr>
        <w:t>de la mise en place de 24 satellites OSG</w:t>
      </w:r>
      <w:r>
        <w:rPr>
          <w:spacing w:val="-2"/>
          <w:lang w:val="fr-CH"/>
        </w:rPr>
        <w:t>) à des systèmes numériques point à point du service fixe montrent que des limites de puissance surfacique dans la bande 10,7</w:t>
      </w:r>
      <w:r>
        <w:rPr>
          <w:spacing w:val="-2"/>
          <w:lang w:val="fr-CH"/>
        </w:rPr>
        <w:noBreakHyphen/>
        <w:t>11,7 GHz sont nécessaires pour protéger le service fixe dans la bande 14,8</w:t>
      </w:r>
      <w:r>
        <w:rPr>
          <w:spacing w:val="-2"/>
          <w:lang w:val="fr-CH"/>
        </w:rPr>
        <w:noBreakHyphen/>
        <w:t>15,35 GHz.</w:t>
      </w:r>
    </w:p>
    <w:p w:rsidR="00D869A6" w:rsidRDefault="00D869A6" w:rsidP="003F6403">
      <w:pPr>
        <w:rPr>
          <w:lang w:val="fr-CH"/>
        </w:rPr>
      </w:pPr>
      <w:r>
        <w:rPr>
          <w:lang w:val="fr-CH"/>
        </w:rPr>
        <w:t>Dans une largeur de bande de 1 MHz, ces limites sont les suivantes:</w:t>
      </w:r>
    </w:p>
    <w:p w:rsidR="00760D8E" w:rsidRPr="00C0053B" w:rsidRDefault="00760D8E" w:rsidP="00C0053B">
      <w:pPr>
        <w:pStyle w:val="enumlev1"/>
        <w:tabs>
          <w:tab w:val="clear" w:pos="794"/>
          <w:tab w:val="clear" w:pos="1985"/>
          <w:tab w:val="left" w:pos="1247"/>
          <w:tab w:val="left" w:pos="1304"/>
          <w:tab w:val="left" w:pos="5580"/>
          <w:tab w:val="left" w:pos="6300"/>
        </w:tabs>
        <w:ind w:left="1260" w:hanging="1260"/>
        <w:jc w:val="left"/>
        <w:rPr>
          <w:lang w:val="fr-CH"/>
        </w:rPr>
      </w:pPr>
      <w:r w:rsidRPr="005D7019">
        <w:rPr>
          <w:lang w:val="fr-CH"/>
        </w:rPr>
        <w:tab/>
      </w:r>
      <w:r w:rsidRPr="00C0053B">
        <w:rPr>
          <w:lang w:val="fr-CH"/>
        </w:rPr>
        <w:t>–126 dB(W/(m</w:t>
      </w:r>
      <w:r w:rsidRPr="00C0053B">
        <w:rPr>
          <w:vertAlign w:val="superscript"/>
          <w:lang w:val="fr-CH"/>
        </w:rPr>
        <w:t>2</w:t>
      </w:r>
      <w:r w:rsidRPr="00C0053B">
        <w:rPr>
          <w:lang w:val="fr-CH"/>
        </w:rPr>
        <w:t xml:space="preserve"> · MHz))</w:t>
      </w:r>
      <w:r w:rsidRPr="00C0053B">
        <w:rPr>
          <w:lang w:val="fr-CH"/>
        </w:rPr>
        <w:tab/>
        <w:t xml:space="preserve">pour </w:t>
      </w:r>
      <w:r w:rsidRPr="00C0053B">
        <w:rPr>
          <w:lang w:val="fr-CH"/>
        </w:rPr>
        <w:tab/>
        <w:t xml:space="preserve">  0</w:t>
      </w:r>
      <w:r w:rsidR="00C0053B" w:rsidRPr="00C0053B">
        <w:rPr>
          <w:lang w:val="fr-CH"/>
        </w:rPr>
        <w:t>°</w:t>
      </w:r>
      <w:r w:rsidRPr="00C0053B">
        <w:rPr>
          <w:lang w:val="fr-CH"/>
        </w:rPr>
        <w:t xml:space="preserve"> </w:t>
      </w:r>
      <w:r>
        <w:rPr>
          <w:rFonts w:ascii="Symbol" w:hAnsi="Symbol"/>
          <w:lang w:val="es-ES"/>
        </w:rPr>
        <w:t></w:t>
      </w:r>
      <w:r w:rsidRPr="00C0053B">
        <w:rPr>
          <w:lang w:val="fr-CH"/>
        </w:rPr>
        <w:t xml:space="preserve"> </w:t>
      </w:r>
      <w:r>
        <w:rPr>
          <w:rFonts w:ascii="Symbol" w:hAnsi="Symbol"/>
        </w:rPr>
        <w:sym w:font="Symbol" w:char="F064"/>
      </w:r>
      <w:r w:rsidRPr="00C0053B">
        <w:rPr>
          <w:lang w:val="fr-CH"/>
        </w:rPr>
        <w:t xml:space="preserve"> </w:t>
      </w:r>
      <w:r>
        <w:rPr>
          <w:rFonts w:ascii="Symbol" w:hAnsi="Symbol"/>
        </w:rPr>
        <w:sym w:font="Symbol" w:char="F0A3"/>
      </w:r>
      <w:r w:rsidRPr="00C0053B">
        <w:rPr>
          <w:lang w:val="fr-CH"/>
        </w:rPr>
        <w:t xml:space="preserve"> 5</w:t>
      </w:r>
      <w:r w:rsidR="00C0053B" w:rsidRPr="00C0053B">
        <w:rPr>
          <w:lang w:val="fr-CH"/>
        </w:rPr>
        <w:t>°</w:t>
      </w:r>
    </w:p>
    <w:p w:rsidR="00760D8E" w:rsidRDefault="00760D8E" w:rsidP="00C0053B">
      <w:pPr>
        <w:pStyle w:val="enumlev1"/>
        <w:tabs>
          <w:tab w:val="clear" w:pos="794"/>
          <w:tab w:val="clear" w:pos="1985"/>
          <w:tab w:val="left" w:pos="1247"/>
          <w:tab w:val="left" w:pos="1304"/>
          <w:tab w:val="left" w:pos="5580"/>
          <w:tab w:val="left" w:pos="6300"/>
        </w:tabs>
        <w:ind w:left="1260" w:hanging="1260"/>
        <w:jc w:val="left"/>
        <w:rPr>
          <w:lang w:val="es-ES"/>
        </w:rPr>
      </w:pPr>
      <w:r w:rsidRPr="00C0053B">
        <w:rPr>
          <w:lang w:val="fr-CH"/>
        </w:rPr>
        <w:tab/>
      </w:r>
      <w:r>
        <w:rPr>
          <w:lang w:val="es-ES"/>
        </w:rPr>
        <w:t xml:space="preserve">–126 </w:t>
      </w:r>
      <w:r>
        <w:rPr>
          <w:rFonts w:ascii="Symbol" w:hAnsi="Symbol"/>
          <w:lang w:val="es-ES"/>
        </w:rPr>
        <w:t></w:t>
      </w:r>
      <w:r>
        <w:rPr>
          <w:lang w:val="es-ES"/>
        </w:rPr>
        <w:t xml:space="preserve"> 0</w:t>
      </w:r>
      <w:r w:rsidR="00475A5C">
        <w:rPr>
          <w:lang w:val="es-ES"/>
        </w:rPr>
        <w:t>,</w:t>
      </w:r>
      <w:r>
        <w:rPr>
          <w:lang w:val="es-ES"/>
        </w:rPr>
        <w:t>5(</w:t>
      </w:r>
      <w:r>
        <w:rPr>
          <w:rFonts w:ascii="Symbol" w:hAnsi="Symbol"/>
        </w:rPr>
        <w:sym w:font="Symbol" w:char="F064"/>
      </w:r>
      <w:r>
        <w:rPr>
          <w:lang w:val="es-ES"/>
        </w:rPr>
        <w:t xml:space="preserve"> </w:t>
      </w:r>
      <w:r>
        <w:sym w:font="Symbol" w:char="F02D"/>
      </w:r>
      <w:r>
        <w:rPr>
          <w:lang w:val="es-ES"/>
        </w:rPr>
        <w:t xml:space="preserve"> 5) dB(W/(m</w:t>
      </w:r>
      <w:r>
        <w:rPr>
          <w:vertAlign w:val="superscript"/>
          <w:lang w:val="es-ES"/>
        </w:rPr>
        <w:t>2</w:t>
      </w:r>
      <w:r>
        <w:rPr>
          <w:lang w:val="es-ES"/>
        </w:rPr>
        <w:t xml:space="preserve"> · MHz))</w:t>
      </w:r>
      <w:r>
        <w:rPr>
          <w:lang w:val="es-ES"/>
        </w:rPr>
        <w:tab/>
        <w:t xml:space="preserve">pour </w:t>
      </w:r>
      <w:r>
        <w:rPr>
          <w:lang w:val="es-ES"/>
        </w:rPr>
        <w:tab/>
        <w:t xml:space="preserve">  5</w:t>
      </w:r>
      <w:r w:rsidR="00C0053B">
        <w:rPr>
          <w:lang w:val="es-ES"/>
        </w:rPr>
        <w:t>°</w:t>
      </w:r>
      <w:r>
        <w:rPr>
          <w:lang w:val="es-ES"/>
        </w:rPr>
        <w:t xml:space="preserve"> </w:t>
      </w:r>
      <w:r>
        <w:rPr>
          <w:rFonts w:ascii="Symbol" w:hAnsi="Symbol"/>
          <w:lang w:val="es-ES"/>
        </w:rPr>
        <w:t></w:t>
      </w:r>
      <w:r>
        <w:rPr>
          <w:lang w:val="es-ES"/>
        </w:rPr>
        <w:t xml:space="preserve"> </w:t>
      </w:r>
      <w:r>
        <w:rPr>
          <w:rFonts w:ascii="Symbol" w:hAnsi="Symbol"/>
        </w:rPr>
        <w:sym w:font="Symbol" w:char="F064"/>
      </w:r>
      <w:r>
        <w:rPr>
          <w:lang w:val="es-ES"/>
        </w:rPr>
        <w:t xml:space="preserve"> </w:t>
      </w:r>
      <w:r>
        <w:rPr>
          <w:rFonts w:ascii="Symbol" w:hAnsi="Symbol"/>
        </w:rPr>
        <w:sym w:font="Symbol" w:char="F0A3"/>
      </w:r>
      <w:r>
        <w:rPr>
          <w:lang w:val="es-ES"/>
        </w:rPr>
        <w:t xml:space="preserve"> 25</w:t>
      </w:r>
      <w:r w:rsidR="00C0053B">
        <w:rPr>
          <w:lang w:val="es-ES"/>
        </w:rPr>
        <w:t>°</w:t>
      </w:r>
    </w:p>
    <w:p w:rsidR="00760D8E" w:rsidRDefault="00760D8E" w:rsidP="00C0053B">
      <w:pPr>
        <w:pStyle w:val="enumlev1"/>
        <w:tabs>
          <w:tab w:val="clear" w:pos="794"/>
          <w:tab w:val="clear" w:pos="1985"/>
          <w:tab w:val="left" w:pos="1247"/>
          <w:tab w:val="left" w:pos="1304"/>
          <w:tab w:val="left" w:pos="5580"/>
          <w:tab w:val="left" w:pos="6300"/>
        </w:tabs>
        <w:ind w:left="1260" w:hanging="1260"/>
        <w:jc w:val="left"/>
        <w:rPr>
          <w:lang w:val="es-ES"/>
        </w:rPr>
      </w:pPr>
      <w:r>
        <w:rPr>
          <w:lang w:val="es-ES"/>
        </w:rPr>
        <w:tab/>
        <w:t>–116 dB(W/(m</w:t>
      </w:r>
      <w:r>
        <w:rPr>
          <w:vertAlign w:val="superscript"/>
          <w:lang w:val="es-ES"/>
        </w:rPr>
        <w:t>2</w:t>
      </w:r>
      <w:r>
        <w:rPr>
          <w:lang w:val="es-ES"/>
        </w:rPr>
        <w:t xml:space="preserve"> · MHz))</w:t>
      </w:r>
      <w:r>
        <w:rPr>
          <w:lang w:val="es-ES"/>
        </w:rPr>
        <w:tab/>
        <w:t xml:space="preserve">pour </w:t>
      </w:r>
      <w:r>
        <w:rPr>
          <w:lang w:val="es-ES"/>
        </w:rPr>
        <w:tab/>
        <w:t>25</w:t>
      </w:r>
      <w:r w:rsidR="00C0053B">
        <w:rPr>
          <w:lang w:val="es-ES"/>
        </w:rPr>
        <w:t>°</w:t>
      </w:r>
      <w:r>
        <w:rPr>
          <w:lang w:val="es-ES"/>
        </w:rPr>
        <w:t xml:space="preserve"> </w:t>
      </w:r>
      <w:r>
        <w:rPr>
          <w:rFonts w:ascii="Symbol" w:hAnsi="Symbol"/>
          <w:lang w:val="es-ES"/>
        </w:rPr>
        <w:t></w:t>
      </w:r>
      <w:r>
        <w:rPr>
          <w:lang w:val="es-ES"/>
        </w:rPr>
        <w:t xml:space="preserve"> </w:t>
      </w:r>
      <w:r>
        <w:rPr>
          <w:rFonts w:ascii="Symbol" w:hAnsi="Symbol"/>
        </w:rPr>
        <w:sym w:font="Symbol" w:char="F064"/>
      </w:r>
      <w:r>
        <w:rPr>
          <w:lang w:val="es-ES"/>
        </w:rPr>
        <w:t xml:space="preserve"> </w:t>
      </w:r>
      <w:r>
        <w:rPr>
          <w:rFonts w:ascii="Symbol" w:hAnsi="Symbol"/>
        </w:rPr>
        <w:sym w:font="Symbol" w:char="F0A3"/>
      </w:r>
      <w:r>
        <w:rPr>
          <w:lang w:val="es-ES"/>
        </w:rPr>
        <w:t xml:space="preserve"> 90</w:t>
      </w:r>
      <w:r w:rsidR="00C0053B">
        <w:rPr>
          <w:lang w:val="es-ES"/>
        </w:rPr>
        <w:t>°</w:t>
      </w:r>
    </w:p>
    <w:p w:rsidR="00D869A6" w:rsidRDefault="00D869A6" w:rsidP="003F6403">
      <w:pPr>
        <w:tabs>
          <w:tab w:val="left" w:pos="720"/>
          <w:tab w:val="left" w:pos="2410"/>
          <w:tab w:val="left" w:pos="5245"/>
        </w:tabs>
        <w:rPr>
          <w:lang w:val="fr-CH"/>
        </w:rPr>
      </w:pPr>
      <w:r>
        <w:rPr>
          <w:lang w:val="fr-CH"/>
        </w:rPr>
        <w:t xml:space="preserve">où </w:t>
      </w:r>
      <w:r>
        <w:rPr>
          <w:rFonts w:ascii="Symbol" w:hAnsi="Symbol"/>
          <w:lang w:val="fr-CH"/>
        </w:rPr>
        <w:sym w:font="Symbol" w:char="F064"/>
      </w:r>
      <w:r>
        <w:rPr>
          <w:rFonts w:ascii="Symbol" w:hAnsi="Symbol"/>
          <w:lang w:val="fr-CH"/>
        </w:rPr>
        <w:t></w:t>
      </w:r>
      <w:r>
        <w:rPr>
          <w:lang w:val="fr-CH"/>
        </w:rPr>
        <w:t>est l'angle d'incidence par rapport au plan horizontal (degrés).</w:t>
      </w:r>
    </w:p>
    <w:p w:rsidR="00D869A6" w:rsidRDefault="00D869A6" w:rsidP="003F6403">
      <w:pPr>
        <w:rPr>
          <w:lang w:val="fr-CH"/>
        </w:rPr>
      </w:pPr>
      <w:r>
        <w:rPr>
          <w:iCs/>
          <w:lang w:val="fr-CH"/>
        </w:rPr>
        <w:t>Ces limites de puissance surfacique devraient permettre l'exploitation de liaisons du service de recherche spatiale (espace vers Terre) à 400 Mbit/s, selon les besoins. Toutefois, un petit nombre de liaisons existantes du service fixe risquent d'être affectées si les antennes de ces stations sont dans l'axe des satellites OSG du service de recherche spatiale émettant dans le même canal.</w:t>
      </w:r>
    </w:p>
    <w:p w:rsidR="00D869A6" w:rsidRDefault="00D869A6" w:rsidP="003F6403">
      <w:pPr>
        <w:rPr>
          <w:iCs/>
          <w:lang w:val="fr-CH"/>
        </w:rPr>
      </w:pPr>
      <w:r>
        <w:rPr>
          <w:iCs/>
          <w:lang w:val="fr-CH"/>
        </w:rPr>
        <w:t>Les résultats d'études de simulation relatives aux brouillages causés par des systèmes à satellites non OSG du service de recherche spatiale à des systèmes point à point du service fixe montrent que le partage entre ces services est possible dans la bande 14,8</w:t>
      </w:r>
      <w:r>
        <w:rPr>
          <w:iCs/>
          <w:lang w:val="fr-CH"/>
        </w:rPr>
        <w:noBreakHyphen/>
        <w:t>15,35 GHz, si l'on utilise des limites de puissance surfacique supérieures de 2 dB à celles qui s'appliquent à la bande 10,7</w:t>
      </w:r>
      <w:r>
        <w:rPr>
          <w:iCs/>
          <w:lang w:val="fr-CH"/>
        </w:rPr>
        <w:noBreakHyphen/>
        <w:t>11,7 GHz.</w:t>
      </w:r>
    </w:p>
    <w:p w:rsidR="00D869A6" w:rsidRDefault="00D869A6" w:rsidP="003F6403">
      <w:pPr>
        <w:rPr>
          <w:iCs/>
          <w:lang w:val="fr-CH"/>
        </w:rPr>
      </w:pPr>
      <w:r>
        <w:rPr>
          <w:iCs/>
          <w:lang w:val="fr-CH"/>
        </w:rPr>
        <w:t>Ces limites sont les suivantes:</w:t>
      </w:r>
    </w:p>
    <w:p w:rsidR="00760D8E" w:rsidRPr="00C0053B" w:rsidRDefault="00760D8E" w:rsidP="00C0053B">
      <w:pPr>
        <w:pStyle w:val="enumlev1"/>
        <w:tabs>
          <w:tab w:val="clear" w:pos="794"/>
          <w:tab w:val="clear" w:pos="1985"/>
          <w:tab w:val="left" w:pos="1247"/>
          <w:tab w:val="left" w:pos="1304"/>
          <w:tab w:val="left" w:pos="5580"/>
          <w:tab w:val="left" w:pos="6300"/>
        </w:tabs>
        <w:ind w:left="1260" w:hanging="1260"/>
        <w:jc w:val="left"/>
        <w:rPr>
          <w:lang w:val="fr-CH"/>
        </w:rPr>
      </w:pPr>
      <w:r w:rsidRPr="005D7019">
        <w:rPr>
          <w:lang w:val="fr-CH"/>
        </w:rPr>
        <w:tab/>
      </w:r>
      <w:r w:rsidRPr="00C0053B">
        <w:rPr>
          <w:lang w:val="fr-CH"/>
        </w:rPr>
        <w:t>–12</w:t>
      </w:r>
      <w:r w:rsidR="00DA3F2F">
        <w:rPr>
          <w:lang w:val="fr-CH"/>
        </w:rPr>
        <w:t>4</w:t>
      </w:r>
      <w:r w:rsidRPr="00C0053B">
        <w:rPr>
          <w:lang w:val="fr-CH"/>
        </w:rPr>
        <w:t xml:space="preserve"> dB(W/(m</w:t>
      </w:r>
      <w:r w:rsidRPr="00C0053B">
        <w:rPr>
          <w:vertAlign w:val="superscript"/>
          <w:lang w:val="fr-CH"/>
        </w:rPr>
        <w:t>2</w:t>
      </w:r>
      <w:r w:rsidRPr="00C0053B">
        <w:rPr>
          <w:lang w:val="fr-CH"/>
        </w:rPr>
        <w:t xml:space="preserve"> · MHz))</w:t>
      </w:r>
      <w:r w:rsidRPr="00C0053B">
        <w:rPr>
          <w:lang w:val="fr-CH"/>
        </w:rPr>
        <w:tab/>
        <w:t xml:space="preserve">pour </w:t>
      </w:r>
      <w:r w:rsidRPr="00C0053B">
        <w:rPr>
          <w:lang w:val="fr-CH"/>
        </w:rPr>
        <w:tab/>
        <w:t xml:space="preserve">  0</w:t>
      </w:r>
      <w:r w:rsidR="00C0053B" w:rsidRPr="00C0053B">
        <w:rPr>
          <w:lang w:val="fr-CH"/>
        </w:rPr>
        <w:t>°</w:t>
      </w:r>
      <w:r w:rsidRPr="00C0053B">
        <w:rPr>
          <w:lang w:val="fr-CH"/>
        </w:rPr>
        <w:t xml:space="preserve"> </w:t>
      </w:r>
      <w:r>
        <w:rPr>
          <w:rFonts w:ascii="Symbol" w:hAnsi="Symbol"/>
          <w:lang w:val="es-ES"/>
        </w:rPr>
        <w:t></w:t>
      </w:r>
      <w:r w:rsidRPr="00C0053B">
        <w:rPr>
          <w:lang w:val="fr-CH"/>
        </w:rPr>
        <w:t xml:space="preserve"> </w:t>
      </w:r>
      <w:r>
        <w:rPr>
          <w:rFonts w:ascii="Symbol" w:hAnsi="Symbol"/>
        </w:rPr>
        <w:sym w:font="Symbol" w:char="F064"/>
      </w:r>
      <w:r w:rsidRPr="00C0053B">
        <w:rPr>
          <w:lang w:val="fr-CH"/>
        </w:rPr>
        <w:t xml:space="preserve"> </w:t>
      </w:r>
      <w:r>
        <w:rPr>
          <w:rFonts w:ascii="Symbol" w:hAnsi="Symbol"/>
        </w:rPr>
        <w:sym w:font="Symbol" w:char="F0A3"/>
      </w:r>
      <w:r w:rsidRPr="00C0053B">
        <w:rPr>
          <w:lang w:val="fr-CH"/>
        </w:rPr>
        <w:t xml:space="preserve"> 5</w:t>
      </w:r>
      <w:r w:rsidR="00C0053B" w:rsidRPr="00C0053B">
        <w:rPr>
          <w:lang w:val="fr-CH"/>
        </w:rPr>
        <w:t>°</w:t>
      </w:r>
    </w:p>
    <w:p w:rsidR="00760D8E" w:rsidRPr="00867EE9" w:rsidRDefault="00760D8E" w:rsidP="00C0053B">
      <w:pPr>
        <w:pStyle w:val="enumlev1"/>
        <w:tabs>
          <w:tab w:val="clear" w:pos="794"/>
          <w:tab w:val="clear" w:pos="1985"/>
          <w:tab w:val="left" w:pos="1247"/>
          <w:tab w:val="left" w:pos="1304"/>
          <w:tab w:val="left" w:pos="5580"/>
          <w:tab w:val="left" w:pos="6300"/>
        </w:tabs>
        <w:ind w:left="1260" w:hanging="1260"/>
        <w:jc w:val="left"/>
        <w:rPr>
          <w:lang w:val="fr-CH"/>
        </w:rPr>
      </w:pPr>
      <w:r w:rsidRPr="00C0053B">
        <w:rPr>
          <w:lang w:val="fr-CH"/>
        </w:rPr>
        <w:tab/>
      </w:r>
      <w:r w:rsidRPr="00867EE9">
        <w:rPr>
          <w:lang w:val="fr-CH"/>
        </w:rPr>
        <w:t>–12</w:t>
      </w:r>
      <w:r w:rsidR="00DA3F2F" w:rsidRPr="00867EE9">
        <w:rPr>
          <w:lang w:val="fr-CH"/>
        </w:rPr>
        <w:t>4</w:t>
      </w:r>
      <w:r w:rsidRPr="00867EE9">
        <w:rPr>
          <w:lang w:val="fr-CH"/>
        </w:rPr>
        <w:t xml:space="preserve"> </w:t>
      </w:r>
      <w:r>
        <w:rPr>
          <w:rFonts w:ascii="Symbol" w:hAnsi="Symbol"/>
          <w:lang w:val="es-ES"/>
        </w:rPr>
        <w:t></w:t>
      </w:r>
      <w:r w:rsidRPr="00867EE9">
        <w:rPr>
          <w:lang w:val="fr-CH"/>
        </w:rPr>
        <w:t xml:space="preserve"> 0</w:t>
      </w:r>
      <w:r w:rsidR="00475A5C" w:rsidRPr="00867EE9">
        <w:rPr>
          <w:lang w:val="fr-CH"/>
        </w:rPr>
        <w:t>,</w:t>
      </w:r>
      <w:r w:rsidRPr="00867EE9">
        <w:rPr>
          <w:lang w:val="fr-CH"/>
        </w:rPr>
        <w:t>5(</w:t>
      </w:r>
      <w:r>
        <w:rPr>
          <w:rFonts w:ascii="Symbol" w:hAnsi="Symbol"/>
        </w:rPr>
        <w:sym w:font="Symbol" w:char="F064"/>
      </w:r>
      <w:r w:rsidRPr="00867EE9">
        <w:rPr>
          <w:lang w:val="fr-CH"/>
        </w:rPr>
        <w:t xml:space="preserve"> </w:t>
      </w:r>
      <w:r>
        <w:sym w:font="Symbol" w:char="F02D"/>
      </w:r>
      <w:r w:rsidRPr="00867EE9">
        <w:rPr>
          <w:lang w:val="fr-CH"/>
        </w:rPr>
        <w:t xml:space="preserve"> 5) dB(W/(m</w:t>
      </w:r>
      <w:r w:rsidRPr="00867EE9">
        <w:rPr>
          <w:vertAlign w:val="superscript"/>
          <w:lang w:val="fr-CH"/>
        </w:rPr>
        <w:t>2</w:t>
      </w:r>
      <w:r w:rsidRPr="00867EE9">
        <w:rPr>
          <w:lang w:val="fr-CH"/>
        </w:rPr>
        <w:t xml:space="preserve"> · MHz))</w:t>
      </w:r>
      <w:r w:rsidRPr="00867EE9">
        <w:rPr>
          <w:lang w:val="fr-CH"/>
        </w:rPr>
        <w:tab/>
        <w:t xml:space="preserve">pour </w:t>
      </w:r>
      <w:r w:rsidRPr="00867EE9">
        <w:rPr>
          <w:lang w:val="fr-CH"/>
        </w:rPr>
        <w:tab/>
        <w:t xml:space="preserve">  5</w:t>
      </w:r>
      <w:r w:rsidR="00C0053B" w:rsidRPr="00867EE9">
        <w:rPr>
          <w:lang w:val="fr-CH"/>
        </w:rPr>
        <w:t>°</w:t>
      </w:r>
      <w:r w:rsidRPr="00867EE9">
        <w:rPr>
          <w:lang w:val="fr-CH"/>
        </w:rPr>
        <w:t xml:space="preserve"> </w:t>
      </w:r>
      <w:r>
        <w:rPr>
          <w:rFonts w:ascii="Symbol" w:hAnsi="Symbol"/>
          <w:lang w:val="es-ES"/>
        </w:rPr>
        <w:t></w:t>
      </w:r>
      <w:r w:rsidRPr="00867EE9">
        <w:rPr>
          <w:lang w:val="fr-CH"/>
        </w:rPr>
        <w:t xml:space="preserve"> </w:t>
      </w:r>
      <w:r>
        <w:rPr>
          <w:rFonts w:ascii="Symbol" w:hAnsi="Symbol"/>
        </w:rPr>
        <w:sym w:font="Symbol" w:char="F064"/>
      </w:r>
      <w:r w:rsidRPr="00867EE9">
        <w:rPr>
          <w:lang w:val="fr-CH"/>
        </w:rPr>
        <w:t xml:space="preserve"> </w:t>
      </w:r>
      <w:r>
        <w:rPr>
          <w:rFonts w:ascii="Symbol" w:hAnsi="Symbol"/>
        </w:rPr>
        <w:sym w:font="Symbol" w:char="F0A3"/>
      </w:r>
      <w:r w:rsidRPr="00867EE9">
        <w:rPr>
          <w:lang w:val="fr-CH"/>
        </w:rPr>
        <w:t xml:space="preserve"> 25</w:t>
      </w:r>
      <w:r w:rsidR="00C0053B" w:rsidRPr="00867EE9">
        <w:rPr>
          <w:lang w:val="fr-CH"/>
        </w:rPr>
        <w:t>°</w:t>
      </w:r>
    </w:p>
    <w:p w:rsidR="00760D8E" w:rsidRDefault="00760D8E" w:rsidP="00C0053B">
      <w:pPr>
        <w:pStyle w:val="enumlev1"/>
        <w:tabs>
          <w:tab w:val="clear" w:pos="794"/>
          <w:tab w:val="clear" w:pos="1985"/>
          <w:tab w:val="left" w:pos="1247"/>
          <w:tab w:val="left" w:pos="1304"/>
          <w:tab w:val="left" w:pos="5580"/>
          <w:tab w:val="left" w:pos="6300"/>
        </w:tabs>
        <w:ind w:left="1260" w:hanging="1260"/>
        <w:jc w:val="left"/>
        <w:rPr>
          <w:lang w:val="es-ES"/>
        </w:rPr>
      </w:pPr>
      <w:r w:rsidRPr="00867EE9">
        <w:rPr>
          <w:lang w:val="fr-CH"/>
        </w:rPr>
        <w:tab/>
      </w:r>
      <w:r>
        <w:rPr>
          <w:lang w:val="es-ES"/>
        </w:rPr>
        <w:t>–114 dB(W/(m</w:t>
      </w:r>
      <w:r>
        <w:rPr>
          <w:vertAlign w:val="superscript"/>
          <w:lang w:val="es-ES"/>
        </w:rPr>
        <w:t>2</w:t>
      </w:r>
      <w:r>
        <w:rPr>
          <w:lang w:val="es-ES"/>
        </w:rPr>
        <w:t xml:space="preserve"> · MHz))</w:t>
      </w:r>
      <w:r>
        <w:rPr>
          <w:lang w:val="es-ES"/>
        </w:rPr>
        <w:tab/>
        <w:t xml:space="preserve">pour </w:t>
      </w:r>
      <w:r>
        <w:rPr>
          <w:lang w:val="es-ES"/>
        </w:rPr>
        <w:tab/>
        <w:t>25</w:t>
      </w:r>
      <w:r w:rsidR="00C0053B">
        <w:rPr>
          <w:lang w:val="es-ES"/>
        </w:rPr>
        <w:t>°</w:t>
      </w:r>
      <w:r>
        <w:rPr>
          <w:lang w:val="es-ES"/>
        </w:rPr>
        <w:t xml:space="preserve"> </w:t>
      </w:r>
      <w:r>
        <w:rPr>
          <w:rFonts w:ascii="Symbol" w:hAnsi="Symbol"/>
          <w:lang w:val="es-ES"/>
        </w:rPr>
        <w:t></w:t>
      </w:r>
      <w:r>
        <w:rPr>
          <w:lang w:val="es-ES"/>
        </w:rPr>
        <w:t xml:space="preserve"> </w:t>
      </w:r>
      <w:r>
        <w:rPr>
          <w:rFonts w:ascii="Symbol" w:hAnsi="Symbol"/>
        </w:rPr>
        <w:sym w:font="Symbol" w:char="F064"/>
      </w:r>
      <w:r>
        <w:rPr>
          <w:lang w:val="es-ES"/>
        </w:rPr>
        <w:t xml:space="preserve"> </w:t>
      </w:r>
      <w:r>
        <w:rPr>
          <w:rFonts w:ascii="Symbol" w:hAnsi="Symbol"/>
        </w:rPr>
        <w:sym w:font="Symbol" w:char="F0A3"/>
      </w:r>
      <w:r>
        <w:rPr>
          <w:lang w:val="es-ES"/>
        </w:rPr>
        <w:t xml:space="preserve"> 90</w:t>
      </w:r>
      <w:r w:rsidR="00C0053B">
        <w:rPr>
          <w:lang w:val="es-ES"/>
        </w:rPr>
        <w:t>°</w:t>
      </w:r>
    </w:p>
    <w:p w:rsidR="00D869A6" w:rsidRDefault="00D869A6" w:rsidP="003F6403">
      <w:pPr>
        <w:tabs>
          <w:tab w:val="left" w:pos="720"/>
          <w:tab w:val="left" w:pos="2410"/>
          <w:tab w:val="left" w:pos="5245"/>
        </w:tabs>
        <w:rPr>
          <w:lang w:val="fr-CH"/>
        </w:rPr>
      </w:pPr>
      <w:r>
        <w:rPr>
          <w:iCs/>
          <w:lang w:val="fr-CH"/>
        </w:rPr>
        <w:t xml:space="preserve">où </w:t>
      </w:r>
      <w:r>
        <w:rPr>
          <w:rFonts w:ascii="Symbol" w:hAnsi="Symbol"/>
          <w:iCs/>
          <w:lang w:val="fr-CH"/>
        </w:rPr>
        <w:sym w:font="Symbol" w:char="F064"/>
      </w:r>
      <w:r>
        <w:rPr>
          <w:iCs/>
          <w:lang w:val="fr-CH"/>
        </w:rPr>
        <w:t xml:space="preserve"> est l'angle d'incidence au-dessus du plan horizontal (degrés)</w:t>
      </w:r>
      <w:r>
        <w:rPr>
          <w:lang w:val="fr-CH"/>
        </w:rPr>
        <w:t>.</w:t>
      </w:r>
    </w:p>
    <w:p w:rsidR="00D869A6" w:rsidRDefault="00D869A6" w:rsidP="00867EE9">
      <w:pPr>
        <w:rPr>
          <w:lang w:val="fr-CH"/>
        </w:rPr>
      </w:pPr>
      <w:r>
        <w:rPr>
          <w:lang w:val="fr-CH"/>
        </w:rPr>
        <w:t>La protection des stations terriennes de réception du service de recherche spatiale contre les émissions des systèmes du service fixe présentant les caractéristiques données dans la Recommandation UIT-R F.758 peut être assurée pour des distances de séparation relativement courtes, à savoir de 18 km à 30</w:t>
      </w:r>
      <w:r w:rsidR="00867EE9">
        <w:rPr>
          <w:lang w:val="fr-CH"/>
        </w:rPr>
        <w:t> </w:t>
      </w:r>
      <w:r>
        <w:rPr>
          <w:lang w:val="fr-CH"/>
        </w:rPr>
        <w:t>km, dans des conditions favorables, et pour des distances allant jusqu'à 200 km dans des conditions moins favorables. Ces distances ont été déterminées pour le mode (1) de propagation pour un trajet du grand cercle à l'intérieur des terres au-dessus d'une terre régulière (zone A2) à l'aide de la méthode décrite dans la Recommandation UIT-R SM.1448. On prévoit que ces distances de séparation pourront diminuer lorsqu'il sera tenu compte de facteurs tels que les plans de répartition des canaux, l'effet d'écran dû aux sites naturels, les obstacles dus au terrain et d'autres caractéristiques du terrain.</w:t>
      </w:r>
    </w:p>
    <w:p w:rsidR="00CB4327" w:rsidRPr="00D17EC3" w:rsidRDefault="00D869A6" w:rsidP="00867EE9">
      <w:pPr>
        <w:pStyle w:val="Reasons"/>
        <w:rPr>
          <w:lang w:val="fr-CH"/>
        </w:rPr>
      </w:pPr>
      <w:r>
        <w:rPr>
          <w:lang w:val="fr-CH"/>
        </w:rPr>
        <w:t xml:space="preserve">Il ressort de l'étude qu'un réseau à SRD existant serait protégé contre les émissions des satellites en orbite basse et des satellites OSG donnés à titre d'exemple. On a constaté que la distance de séparation entre un SRD OSG de réception et un satellite OSG d'émission du service de recherche spatiale pouvait être relativement courte, à savoir 12 km (ce qui équivaut à un espacement orbital de moins de 0,02°). On a également observé qu'une marge de protection minimale de </w:t>
      </w:r>
      <w:r w:rsidR="00867EE9">
        <w:rPr>
          <w:lang w:val="fr-CH"/>
        </w:rPr>
        <w:t>+</w:t>
      </w:r>
      <w:r>
        <w:rPr>
          <w:lang w:val="fr-CH"/>
        </w:rPr>
        <w:t xml:space="preserve">23 dB existait lorsqu'un satellite OSG du service de recherche spatiale en position presque antipodale émettait en direction d'un SRD de réception. Des résultats analogues ont été obtenus dans le cas d'un satellite en orbite basse du service de recherche spatiale émettant dans le sens espace vers Terre, les émissions étant situées dans le faisceau principal de l'antenne de réception du SRD. Dans ce cas, la marge de brouillage par rapport au critère de brouillage donné dans la Recommandation UIT-R SA.1155 était de </w:t>
      </w:r>
      <w:r w:rsidR="00867EE9">
        <w:rPr>
          <w:lang w:val="fr-CH"/>
        </w:rPr>
        <w:t>+</w:t>
      </w:r>
      <w:r>
        <w:rPr>
          <w:lang w:val="fr-CH"/>
        </w:rPr>
        <w:t>22 dB.</w:t>
      </w:r>
    </w:p>
    <w:p w:rsidR="00D869A6" w:rsidRDefault="00D869A6" w:rsidP="005D7019">
      <w:pPr>
        <w:jc w:val="left"/>
        <w:rPr>
          <w:lang w:val="fr-CH"/>
        </w:rPr>
      </w:pPr>
    </w:p>
    <w:p w:rsidR="00867EE9" w:rsidRDefault="00867EE9" w:rsidP="00867EE9">
      <w:pPr>
        <w:pStyle w:val="Line"/>
      </w:pPr>
    </w:p>
    <w:sectPr w:rsidR="00867EE9" w:rsidSect="005D7019">
      <w:headerReference w:type="even" r:id="rId30"/>
      <w:headerReference w:type="default" r:id="rId31"/>
      <w:footerReference w:type="default" r:id="rId32"/>
      <w:footnotePr>
        <w:pos w:val="beneathText"/>
      </w:footnotePr>
      <w:pgSz w:w="11907" w:h="16834" w:code="9"/>
      <w:pgMar w:top="1418" w:right="1134" w:bottom="1134" w:left="1134" w:header="720" w:footer="482" w:gutter="0"/>
      <w:paperSrc w:first="15" w:other="15"/>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42E9" w:rsidRDefault="009C42E9">
      <w:r>
        <w:separator/>
      </w:r>
    </w:p>
  </w:endnote>
  <w:endnote w:type="continuationSeparator" w:id="0">
    <w:p w:rsidR="009C42E9" w:rsidRDefault="009C42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2E9" w:rsidRPr="00F254DC" w:rsidRDefault="009C42E9" w:rsidP="002556C5">
    <w:pPr>
      <w:pStyle w:val="Foo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42E9" w:rsidRDefault="009C42E9">
      <w:r>
        <w:separator/>
      </w:r>
    </w:p>
  </w:footnote>
  <w:footnote w:type="continuationSeparator" w:id="0">
    <w:p w:rsidR="009C42E9" w:rsidRDefault="009C42E9">
      <w:r>
        <w:continuationSeparator/>
      </w:r>
    </w:p>
  </w:footnote>
  <w:footnote w:id="1">
    <w:p w:rsidR="009C42E9" w:rsidRDefault="009C42E9" w:rsidP="001323B5">
      <w:pPr>
        <w:pStyle w:val="FootnoteText"/>
      </w:pPr>
      <w:r>
        <w:rPr>
          <w:rStyle w:val="FootnoteReference"/>
        </w:rPr>
        <w:t>*</w:t>
      </w:r>
      <w:r>
        <w:t xml:space="preserve"> </w:t>
      </w:r>
      <w:r>
        <w:tab/>
        <w:t>La présente Recommandation devrait être portée à l'attention de la Commission d'études 5 des radiocommunications.</w:t>
      </w:r>
      <w:bookmarkStart w:id="3" w:name="_GoBack"/>
      <w:bookmarkEnd w:id="3"/>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2E9" w:rsidRDefault="009C42E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2E9" w:rsidRDefault="009C42E9" w:rsidP="00C5543B">
    <w:pPr>
      <w:pStyle w:val="Header"/>
      <w:ind w:right="360" w:firstLine="360"/>
    </w:pPr>
    <w:r>
      <w:rPr>
        <w:noProof/>
        <w:lang w:val="en-US" w:eastAsia="zh-CN"/>
      </w:rPr>
      <w:drawing>
        <wp:anchor distT="0" distB="0" distL="114300" distR="114300" simplePos="0" relativeHeight="251659264" behindDoc="1" locked="0" layoutInCell="1" allowOverlap="1" wp14:anchorId="54A7D0D8" wp14:editId="4503C742">
          <wp:simplePos x="0" y="0"/>
          <wp:positionH relativeFrom="page">
            <wp:posOffset>0</wp:posOffset>
          </wp:positionH>
          <wp:positionV relativeFrom="page">
            <wp:posOffset>0</wp:posOffset>
          </wp:positionV>
          <wp:extent cx="7592060" cy="10760075"/>
          <wp:effectExtent l="19050" t="0" r="8890" b="0"/>
          <wp:wrapNone/>
          <wp:docPr id="14" name="Picture 14"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2E9" w:rsidRPr="00B31E35" w:rsidRDefault="009C42E9" w:rsidP="00B31E35">
    <w:pPr>
      <w:pStyle w:val="Header"/>
    </w:pPr>
    <w:r>
      <w:tab/>
    </w:r>
    <w:r>
      <w:rPr>
        <w:b/>
        <w:bCs/>
      </w:rPr>
      <w:fldChar w:fldCharType="begin"/>
    </w:r>
    <w:r>
      <w:rPr>
        <w:b/>
        <w:bCs/>
      </w:rPr>
      <w:instrText xml:space="preserve"> DOCPROPERTY "Header" \* MERGEFORMAT </w:instrText>
    </w:r>
    <w:r>
      <w:rPr>
        <w:b/>
        <w:bCs/>
      </w:rPr>
      <w:fldChar w:fldCharType="separate"/>
    </w:r>
    <w:r w:rsidR="00CC1B2B">
      <w:rPr>
        <w:b/>
        <w:bCs/>
      </w:rPr>
      <w:t xml:space="preserve">Rec. </w:t>
    </w:r>
    <w:r>
      <w:rPr>
        <w:b/>
        <w:bCs/>
      </w:rPr>
      <w:fldChar w:fldCharType="end"/>
    </w:r>
    <w:r>
      <w:rPr>
        <w:b/>
        <w:bCs/>
      </w:rPr>
      <w:fldChar w:fldCharType="begin"/>
    </w:r>
    <w:r>
      <w:rPr>
        <w:b/>
        <w:bCs/>
      </w:rPr>
      <w:instrText>styleref href</w:instrText>
    </w:r>
    <w:r>
      <w:rPr>
        <w:b/>
        <w:bCs/>
      </w:rPr>
      <w:fldChar w:fldCharType="separate"/>
    </w:r>
    <w:r w:rsidR="00CC1B2B">
      <w:rPr>
        <w:b/>
        <w:bCs/>
        <w:noProof/>
      </w:rPr>
      <w:t>UIT-R  SA.1626-1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C1B2B">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2E9" w:rsidRPr="00D869A6" w:rsidRDefault="009C42E9" w:rsidP="00F02172">
    <w:pPr>
      <w:pStyle w:val="Header"/>
      <w:jc w:val="left"/>
      <w:rPr>
        <w:b/>
        <w:bCs/>
      </w:rPr>
    </w:pPr>
    <w:r>
      <w:rPr>
        <w:rStyle w:val="PageNumber"/>
        <w:b/>
        <w:bCs/>
      </w:rPr>
      <w:fldChar w:fldCharType="begin"/>
    </w:r>
    <w:r w:rsidRPr="00837CB5">
      <w:rPr>
        <w:rStyle w:val="PageNumber"/>
        <w:b/>
        <w:bCs/>
      </w:rPr>
      <w:instrText xml:space="preserve"> PAGE </w:instrText>
    </w:r>
    <w:r>
      <w:rPr>
        <w:rStyle w:val="PageNumber"/>
        <w:b/>
        <w:bCs/>
      </w:rPr>
      <w:fldChar w:fldCharType="separate"/>
    </w:r>
    <w:r w:rsidR="00CC1B2B">
      <w:rPr>
        <w:rStyle w:val="PageNumber"/>
        <w:b/>
        <w:bCs/>
        <w:noProof/>
      </w:rPr>
      <w:t>ii</w:t>
    </w:r>
    <w:r>
      <w:rPr>
        <w:rStyle w:val="PageNumber"/>
        <w:b/>
        <w:bCs/>
      </w:rPr>
      <w:fldChar w:fldCharType="end"/>
    </w:r>
    <w:r w:rsidRPr="00837CB5">
      <w:tab/>
    </w:r>
    <w:r w:rsidRPr="00D869A6">
      <w:rPr>
        <w:b/>
        <w:bCs/>
      </w:rPr>
      <w:t xml:space="preserve">Rec.  </w:t>
    </w:r>
    <w:r>
      <w:rPr>
        <w:b/>
        <w:bCs/>
      </w:rPr>
      <w:t>UIT</w:t>
    </w:r>
    <w:r w:rsidRPr="00D869A6">
      <w:rPr>
        <w:b/>
        <w:bCs/>
      </w:rPr>
      <w:t>--R  SA.1626-1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2E9" w:rsidRDefault="009C42E9">
    <w:pPr>
      <w:pStyle w:val="Header"/>
    </w:pPr>
    <w:r>
      <w:tab/>
    </w:r>
    <w:fldSimple w:instr=" DOCPROPERTY &quot;Header&quot; \* MERGEFORMAT ">
      <w:r w:rsidR="00CC1B2B" w:rsidRPr="00CC1B2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C1B2B">
      <w:rPr>
        <w:b/>
        <w:bCs/>
        <w:noProof/>
      </w:rPr>
      <w:t>UIT-R  SA.1626-1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2E9" w:rsidRDefault="009C42E9">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CC1B2B">
      <w:rPr>
        <w:rStyle w:val="PageNumber"/>
        <w:b/>
        <w:bCs/>
        <w:noProof/>
      </w:rPr>
      <w:t>2</w:t>
    </w:r>
    <w:r>
      <w:rPr>
        <w:rStyle w:val="PageNumber"/>
        <w:b/>
        <w:bCs/>
      </w:rPr>
      <w:fldChar w:fldCharType="end"/>
    </w:r>
    <w:r>
      <w:rPr>
        <w:rStyle w:val="PageNumber"/>
        <w:b/>
        <w:bCs/>
      </w:rPr>
      <w:tab/>
    </w:r>
    <w:r>
      <w:rPr>
        <w:b/>
        <w:bCs/>
      </w:rPr>
      <w:fldChar w:fldCharType="begin"/>
    </w:r>
    <w:r>
      <w:rPr>
        <w:b/>
        <w:bCs/>
      </w:rPr>
      <w:instrText xml:space="preserve"> DOCPROPERTY "Header" \* MERGEFORMAT </w:instrText>
    </w:r>
    <w:r>
      <w:rPr>
        <w:b/>
        <w:bCs/>
      </w:rPr>
      <w:fldChar w:fldCharType="separate"/>
    </w:r>
    <w:r w:rsidR="00CC1B2B">
      <w:rPr>
        <w:b/>
        <w:bCs/>
      </w:rPr>
      <w:t xml:space="preserve">Rec. </w:t>
    </w:r>
    <w:r>
      <w:rPr>
        <w:b/>
        <w:bCs/>
      </w:rPr>
      <w:fldChar w:fldCharType="end"/>
    </w:r>
    <w:r>
      <w:rPr>
        <w:b/>
        <w:bCs/>
      </w:rPr>
      <w:fldChar w:fldCharType="begin"/>
    </w:r>
    <w:r>
      <w:rPr>
        <w:b/>
        <w:bCs/>
      </w:rPr>
      <w:instrText>styleref href</w:instrText>
    </w:r>
    <w:r>
      <w:rPr>
        <w:b/>
        <w:bCs/>
      </w:rPr>
      <w:fldChar w:fldCharType="separate"/>
    </w:r>
    <w:r w:rsidR="00CC1B2B">
      <w:rPr>
        <w:b/>
        <w:bCs/>
        <w:noProof/>
      </w:rPr>
      <w:t>UIT-R  SA.1626-1</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2E9" w:rsidRDefault="009C42E9">
    <w:pPr>
      <w:pStyle w:val="Header"/>
    </w:pPr>
    <w:r>
      <w:tab/>
    </w:r>
    <w:r>
      <w:rPr>
        <w:b/>
        <w:bCs/>
      </w:rPr>
      <w:fldChar w:fldCharType="begin"/>
    </w:r>
    <w:r>
      <w:rPr>
        <w:b/>
        <w:bCs/>
      </w:rPr>
      <w:instrText xml:space="preserve"> DOCPROPERTY "Header" \* MERGEFORMAT </w:instrText>
    </w:r>
    <w:r>
      <w:rPr>
        <w:b/>
        <w:bCs/>
      </w:rPr>
      <w:fldChar w:fldCharType="separate"/>
    </w:r>
    <w:r w:rsidR="00CC1B2B">
      <w:rPr>
        <w:b/>
        <w:bCs/>
      </w:rPr>
      <w:t xml:space="preserve">Rec. </w:t>
    </w:r>
    <w:r>
      <w:rPr>
        <w:b/>
        <w:bCs/>
      </w:rPr>
      <w:fldChar w:fldCharType="end"/>
    </w:r>
    <w:r>
      <w:rPr>
        <w:b/>
        <w:bCs/>
      </w:rPr>
      <w:fldChar w:fldCharType="begin"/>
    </w:r>
    <w:r>
      <w:rPr>
        <w:b/>
        <w:bCs/>
      </w:rPr>
      <w:instrText>styleref href</w:instrText>
    </w:r>
    <w:r>
      <w:rPr>
        <w:b/>
        <w:bCs/>
      </w:rPr>
      <w:fldChar w:fldCharType="separate"/>
    </w:r>
    <w:r w:rsidR="00CC1B2B">
      <w:rPr>
        <w:b/>
        <w:bCs/>
        <w:noProof/>
      </w:rPr>
      <w:t>UIT-R  SA.1626-1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C1B2B">
      <w:rPr>
        <w:rStyle w:val="PageNumber"/>
        <w:b/>
        <w:bCs/>
        <w:noProof/>
      </w:rPr>
      <w:t>13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8E8"/>
    <w:rsid w:val="00010A0D"/>
    <w:rsid w:val="000359BF"/>
    <w:rsid w:val="000449AE"/>
    <w:rsid w:val="0007641C"/>
    <w:rsid w:val="0009349D"/>
    <w:rsid w:val="000A4F78"/>
    <w:rsid w:val="001323B5"/>
    <w:rsid w:val="00142A37"/>
    <w:rsid w:val="00171488"/>
    <w:rsid w:val="00196286"/>
    <w:rsid w:val="00197313"/>
    <w:rsid w:val="001E24BA"/>
    <w:rsid w:val="001F70DD"/>
    <w:rsid w:val="00217EBF"/>
    <w:rsid w:val="00242AEE"/>
    <w:rsid w:val="002556C5"/>
    <w:rsid w:val="002A6896"/>
    <w:rsid w:val="002D76C4"/>
    <w:rsid w:val="0038580D"/>
    <w:rsid w:val="003C35BC"/>
    <w:rsid w:val="003F6403"/>
    <w:rsid w:val="0046341B"/>
    <w:rsid w:val="00475A5C"/>
    <w:rsid w:val="00486521"/>
    <w:rsid w:val="004C423E"/>
    <w:rsid w:val="0052529D"/>
    <w:rsid w:val="0054410E"/>
    <w:rsid w:val="00594E23"/>
    <w:rsid w:val="00595ADE"/>
    <w:rsid w:val="005D7019"/>
    <w:rsid w:val="005F216C"/>
    <w:rsid w:val="00607D68"/>
    <w:rsid w:val="00621027"/>
    <w:rsid w:val="00622C65"/>
    <w:rsid w:val="006443BF"/>
    <w:rsid w:val="00705995"/>
    <w:rsid w:val="007468DA"/>
    <w:rsid w:val="00760D8E"/>
    <w:rsid w:val="007660D7"/>
    <w:rsid w:val="00792686"/>
    <w:rsid w:val="007A0D63"/>
    <w:rsid w:val="007F2066"/>
    <w:rsid w:val="00857D83"/>
    <w:rsid w:val="008606E7"/>
    <w:rsid w:val="008618EF"/>
    <w:rsid w:val="00867EE9"/>
    <w:rsid w:val="008D03FF"/>
    <w:rsid w:val="009151CE"/>
    <w:rsid w:val="00917C2D"/>
    <w:rsid w:val="00934BF8"/>
    <w:rsid w:val="009B135F"/>
    <w:rsid w:val="009C42E9"/>
    <w:rsid w:val="009E00A8"/>
    <w:rsid w:val="009F0A0C"/>
    <w:rsid w:val="00A61DA9"/>
    <w:rsid w:val="00A6617B"/>
    <w:rsid w:val="00A73675"/>
    <w:rsid w:val="00A777D5"/>
    <w:rsid w:val="00A909E4"/>
    <w:rsid w:val="00AB0DC8"/>
    <w:rsid w:val="00AD3A96"/>
    <w:rsid w:val="00AE76ED"/>
    <w:rsid w:val="00AF52ED"/>
    <w:rsid w:val="00AF5E24"/>
    <w:rsid w:val="00B31E35"/>
    <w:rsid w:val="00B3421D"/>
    <w:rsid w:val="00B44E24"/>
    <w:rsid w:val="00B512F5"/>
    <w:rsid w:val="00B9448A"/>
    <w:rsid w:val="00BC2CE7"/>
    <w:rsid w:val="00C0053B"/>
    <w:rsid w:val="00C13223"/>
    <w:rsid w:val="00C5543B"/>
    <w:rsid w:val="00CB4327"/>
    <w:rsid w:val="00CC1B2B"/>
    <w:rsid w:val="00CC752A"/>
    <w:rsid w:val="00D0629C"/>
    <w:rsid w:val="00D17EC3"/>
    <w:rsid w:val="00D479DB"/>
    <w:rsid w:val="00D679F1"/>
    <w:rsid w:val="00D766C4"/>
    <w:rsid w:val="00D869A6"/>
    <w:rsid w:val="00D962AC"/>
    <w:rsid w:val="00DA3215"/>
    <w:rsid w:val="00DA3F2F"/>
    <w:rsid w:val="00DA4FBF"/>
    <w:rsid w:val="00DF4176"/>
    <w:rsid w:val="00E16B3C"/>
    <w:rsid w:val="00E32097"/>
    <w:rsid w:val="00E33DBF"/>
    <w:rsid w:val="00E36209"/>
    <w:rsid w:val="00E4030D"/>
    <w:rsid w:val="00E448E8"/>
    <w:rsid w:val="00E62FF1"/>
    <w:rsid w:val="00E90862"/>
    <w:rsid w:val="00EA0ED3"/>
    <w:rsid w:val="00EB62E6"/>
    <w:rsid w:val="00EF284C"/>
    <w:rsid w:val="00EF4DD5"/>
    <w:rsid w:val="00F02172"/>
    <w:rsid w:val="00F17523"/>
    <w:rsid w:val="00F254DC"/>
    <w:rsid w:val="00F44488"/>
    <w:rsid w:val="00F444C2"/>
    <w:rsid w:val="00FF217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15EFCA8F-D2CC-48DA-87E4-94FD9D933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48E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rsid w:val="0038580D"/>
    <w:pPr>
      <w:spacing w:after="8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E448E8"/>
    <w:rPr>
      <w:color w:val="0000FF"/>
      <w:u w:val="single"/>
    </w:rPr>
  </w:style>
  <w:style w:type="character" w:customStyle="1" w:styleId="HeaderChar">
    <w:name w:val="Header Char"/>
    <w:basedOn w:val="DefaultParagraphFont"/>
    <w:link w:val="Header"/>
    <w:rsid w:val="00AD3A96"/>
    <w:rPr>
      <w:sz w:val="24"/>
      <w:lang w:val="fr-FR" w:eastAsia="en-US"/>
    </w:rPr>
  </w:style>
  <w:style w:type="character" w:customStyle="1" w:styleId="FooterChar">
    <w:name w:val="Footer Char"/>
    <w:basedOn w:val="DefaultParagraphFont"/>
    <w:link w:val="Footer"/>
    <w:rsid w:val="00AD3A96"/>
    <w:rPr>
      <w:noProof/>
      <w:sz w:val="18"/>
      <w:lang w:val="fr-FR" w:eastAsia="en-US"/>
    </w:rPr>
  </w:style>
  <w:style w:type="paragraph" w:customStyle="1" w:styleId="AnnexNotitle0">
    <w:name w:val="Annex_No &amp; title"/>
    <w:basedOn w:val="Normal"/>
    <w:next w:val="Normalaftertitle"/>
    <w:rsid w:val="00AD3A96"/>
    <w:pPr>
      <w:keepNext/>
      <w:keepLines/>
      <w:spacing w:before="480"/>
      <w:jc w:val="center"/>
    </w:pPr>
    <w:rPr>
      <w:b/>
      <w:sz w:val="28"/>
    </w:rPr>
  </w:style>
  <w:style w:type="paragraph" w:styleId="BalloonText">
    <w:name w:val="Balloon Text"/>
    <w:basedOn w:val="Normal"/>
    <w:link w:val="BalloonTextChar"/>
    <w:semiHidden/>
    <w:unhideWhenUsed/>
    <w:rsid w:val="00F17523"/>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F17523"/>
    <w:rPr>
      <w:rFonts w:ascii="Segoe UI" w:hAnsi="Segoe UI" w:cs="Segoe UI"/>
      <w:sz w:val="18"/>
      <w:szCs w:val="18"/>
      <w:lang w:val="fr-FR" w:eastAsia="en-US"/>
    </w:rPr>
  </w:style>
  <w:style w:type="character" w:customStyle="1" w:styleId="FootnoteTextChar">
    <w:name w:val="Footnote Text Char"/>
    <w:basedOn w:val="DefaultParagraphFont"/>
    <w:link w:val="FootnoteText"/>
    <w:semiHidden/>
    <w:rsid w:val="00D869A6"/>
    <w:rPr>
      <w:sz w:val="22"/>
      <w:lang w:val="fr-FR" w:eastAsia="en-US"/>
    </w:rPr>
  </w:style>
  <w:style w:type="character" w:customStyle="1" w:styleId="TabletextChar">
    <w:name w:val="Table_text Char"/>
    <w:link w:val="Tabletext"/>
    <w:locked/>
    <w:rsid w:val="00F444C2"/>
    <w:rPr>
      <w:sz w:val="22"/>
      <w:lang w:val="fr-FR" w:eastAsia="en-US"/>
    </w:rPr>
  </w:style>
  <w:style w:type="character" w:customStyle="1" w:styleId="TableheadChar">
    <w:name w:val="Table_head Char"/>
    <w:link w:val="Tablehead"/>
    <w:locked/>
    <w:rsid w:val="00F444C2"/>
    <w:rPr>
      <w:b/>
      <w:sz w:val="22"/>
      <w:lang w:val="fr-FR" w:eastAsia="en-US"/>
    </w:rPr>
  </w:style>
  <w:style w:type="character" w:customStyle="1" w:styleId="TableNo0">
    <w:name w:val="Table_No Знак"/>
    <w:link w:val="TableNo"/>
    <w:locked/>
    <w:rsid w:val="00F444C2"/>
    <w:rPr>
      <w:sz w:val="24"/>
      <w:lang w:val="fr-FR" w:eastAsia="en-US"/>
    </w:rPr>
  </w:style>
  <w:style w:type="paragraph" w:customStyle="1" w:styleId="Reasons">
    <w:name w:val="Reasons"/>
    <w:basedOn w:val="Normal"/>
    <w:qFormat/>
    <w:rsid w:val="00CB4327"/>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Strong">
    <w:name w:val="Strong"/>
    <w:basedOn w:val="DefaultParagraphFont"/>
    <w:qFormat/>
    <w:rsid w:val="00475A5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image" Target="media/image4.wmf"/><Relationship Id="rId26" Type="http://schemas.openxmlformats.org/officeDocument/2006/relationships/image" Target="media/image8.wmf"/><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w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publ/R-REC/fr" TargetMode="External"/><Relationship Id="rId24" Type="http://schemas.openxmlformats.org/officeDocument/2006/relationships/image" Target="media/image7.emf"/><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31"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2.e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ouiller\AppData\Roaming\Microsoft\Templates\POOL%20F%20-%20ITU\PF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C02575-9C64-4A9F-A138-8AA9D0640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PF_BR.dotm</Template>
  <TotalTime>108</TotalTime>
  <Pages>16</Pages>
  <Words>5573</Words>
  <Characters>29998</Characters>
  <Application>Microsoft Office Word</Application>
  <DocSecurity>0</DocSecurity>
  <Lines>749</Lines>
  <Paragraphs>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35565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Gachet, Christelle</cp:lastModifiedBy>
  <cp:revision>27</cp:revision>
  <cp:lastPrinted>2014-10-06T14:20:00Z</cp:lastPrinted>
  <dcterms:created xsi:type="dcterms:W3CDTF">2014-10-21T08:48:00Z</dcterms:created>
  <dcterms:modified xsi:type="dcterms:W3CDTF">2014-10-22T13:55:00Z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