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7D3" w:rsidRPr="00756B4D" w:rsidRDefault="004727D3" w:rsidP="004727D3">
      <w:pPr>
        <w:pStyle w:val="RecNo"/>
        <w:spacing w:before="0"/>
      </w:pPr>
      <w:bookmarkStart w:id="0" w:name="irecnoe"/>
      <w:bookmarkEnd w:id="0"/>
      <w:r w:rsidRPr="00756B4D">
        <w:t xml:space="preserve">RECOMMANDATION  </w:t>
      </w:r>
      <w:r>
        <w:rPr>
          <w:rStyle w:val="href"/>
        </w:rPr>
        <w:t>UIT</w:t>
      </w:r>
      <w:r w:rsidRPr="00756B4D">
        <w:rPr>
          <w:rStyle w:val="href"/>
        </w:rPr>
        <w:t xml:space="preserve">-R  </w:t>
      </w:r>
      <w:r>
        <w:rPr>
          <w:rStyle w:val="href"/>
        </w:rPr>
        <w:t>SA</w:t>
      </w:r>
      <w:r w:rsidRPr="00756B4D">
        <w:rPr>
          <w:rStyle w:val="href"/>
        </w:rPr>
        <w:t>.</w:t>
      </w:r>
      <w:r>
        <w:rPr>
          <w:rStyle w:val="href"/>
        </w:rPr>
        <w:t>1344-1</w:t>
      </w:r>
    </w:p>
    <w:p w:rsidR="004727D3" w:rsidRDefault="004727D3" w:rsidP="004727D3">
      <w:pPr>
        <w:pStyle w:val="Rectitle"/>
        <w:rPr>
          <w:lang w:eastAsia="ru-RU"/>
        </w:rPr>
      </w:pPr>
      <w:r>
        <w:rPr>
          <w:lang w:eastAsia="ru-RU"/>
        </w:rPr>
        <w:t xml:space="preserve">Bandes de fréquences et largeurs de bande préférées pour la transmission de données d'interférométrie spatiale à très grande base dans les bandes actuellement attribuées au service de recherche spatiale </w:t>
      </w:r>
    </w:p>
    <w:p w:rsidR="004727D3" w:rsidRDefault="004727D3" w:rsidP="004727D3">
      <w:pPr>
        <w:pStyle w:val="Recref"/>
        <w:rPr>
          <w:lang w:eastAsia="ru-RU"/>
        </w:rPr>
      </w:pPr>
      <w:r>
        <w:rPr>
          <w:lang w:eastAsia="ru-RU"/>
        </w:rPr>
        <w:t>(Question UIT-R 203/7)</w:t>
      </w:r>
    </w:p>
    <w:p w:rsidR="004727D3" w:rsidRPr="00E7322B" w:rsidRDefault="004727D3" w:rsidP="004727D3">
      <w:pPr>
        <w:pStyle w:val="Repdate"/>
        <w:rPr>
          <w:lang w:eastAsia="ru-RU"/>
        </w:rPr>
      </w:pPr>
      <w:r>
        <w:rPr>
          <w:lang w:eastAsia="ru-RU"/>
        </w:rPr>
        <w:t>(1998-2009)</w:t>
      </w:r>
    </w:p>
    <w:p w:rsidR="004727D3" w:rsidRDefault="004727D3" w:rsidP="004727D3">
      <w:pPr>
        <w:pStyle w:val="Headingb"/>
      </w:pPr>
      <w:r w:rsidRPr="008A707A">
        <w:t>Domaine d</w:t>
      </w:r>
      <w:r>
        <w:t>'</w:t>
      </w:r>
      <w:r w:rsidRPr="008A707A">
        <w:t>application</w:t>
      </w:r>
    </w:p>
    <w:p w:rsidR="004727D3" w:rsidRDefault="004727D3" w:rsidP="004727D3">
      <w:r>
        <w:t xml:space="preserve">On trouvera dans la </w:t>
      </w:r>
      <w:r w:rsidRPr="008A707A">
        <w:t>présente Recommandation les bandes de fréquences et</w:t>
      </w:r>
      <w:r>
        <w:t xml:space="preserve"> les</w:t>
      </w:r>
      <w:r w:rsidRPr="008A707A">
        <w:t xml:space="preserve"> largeurs de bande préférées pour la transmission de données scientifiques et</w:t>
      </w:r>
      <w:r>
        <w:rPr>
          <w:rFonts w:ascii="Times New Roman Bold" w:hAnsi="Times New Roman Bold" w:cs="Times New Roman Bold"/>
          <w:b/>
        </w:rPr>
        <w:t xml:space="preserve"> </w:t>
      </w:r>
      <w:r>
        <w:t xml:space="preserve">de signaux </w:t>
      </w:r>
      <w:r w:rsidRPr="008A707A">
        <w:t>de référence de temps et de phase</w:t>
      </w:r>
      <w:r>
        <w:t>.</w:t>
      </w:r>
    </w:p>
    <w:p w:rsidR="004727D3" w:rsidRPr="009655CB" w:rsidRDefault="004727D3" w:rsidP="004727D3">
      <w:pPr>
        <w:pStyle w:val="Normalaftertitle"/>
      </w:pPr>
      <w:r w:rsidRPr="009655CB">
        <w:t>L'Assemblée des radiocommunications de l'UIT,</w:t>
      </w:r>
    </w:p>
    <w:p w:rsidR="004727D3" w:rsidRPr="00D14A18" w:rsidRDefault="004727D3" w:rsidP="004727D3">
      <w:pPr>
        <w:pStyle w:val="Call"/>
      </w:pPr>
      <w:r w:rsidRPr="00D14A18">
        <w:t>considérant</w:t>
      </w:r>
    </w:p>
    <w:p w:rsidR="004727D3" w:rsidRPr="009655CB" w:rsidRDefault="004727D3" w:rsidP="004727D3">
      <w:r w:rsidRPr="009655CB">
        <w:t>a)</w:t>
      </w:r>
      <w:r w:rsidRPr="009655CB">
        <w:tab/>
        <w:t xml:space="preserve">que la résolution angulaire des mesures faites par interférométrie à très grande base (VLBI) </w:t>
      </w:r>
      <w:r>
        <w:t xml:space="preserve">s'améliore à mesure que </w:t>
      </w:r>
      <w:r w:rsidRPr="009655CB">
        <w:t>la distance séparant deux stations d'observation</w:t>
      </w:r>
      <w:r>
        <w:t xml:space="preserve"> augmente</w:t>
      </w:r>
      <w:r w:rsidRPr="009655CB">
        <w:t>;</w:t>
      </w:r>
    </w:p>
    <w:p w:rsidR="004727D3" w:rsidRPr="009655CB" w:rsidRDefault="004727D3" w:rsidP="004727D3">
      <w:r w:rsidRPr="009655CB">
        <w:t>b)</w:t>
      </w:r>
      <w:r w:rsidRPr="009655CB">
        <w:tab/>
        <w:t>que, par rapport à la distance maximale qui peut séparer deux stations d'observation sur Terre, la longueur de la base peut être considérablement accrue en positionnant une ou plusieurs des stations d'observation dans l'espace;</w:t>
      </w:r>
    </w:p>
    <w:p w:rsidR="004727D3" w:rsidRPr="009655CB" w:rsidRDefault="004727D3" w:rsidP="004727D3">
      <w:r w:rsidRPr="009655CB">
        <w:t>c)</w:t>
      </w:r>
      <w:r w:rsidRPr="009655CB">
        <w:tab/>
        <w:t xml:space="preserve">que les mesures VLBI utilisant des engins spatiaux permettent de </w:t>
      </w:r>
      <w:r>
        <w:t xml:space="preserve">réduire considérablement les erreurs propres </w:t>
      </w:r>
      <w:r w:rsidRPr="009655CB">
        <w:t>aux observations au sol imputables à l'absorption, aux variations de la longueur du t</w:t>
      </w:r>
      <w:r>
        <w:t>rajet et au bruit atmosphérique, voire de supprimer ces erreurs si les deux stations VLBI sont dans l'espace ;</w:t>
      </w:r>
    </w:p>
    <w:p w:rsidR="004727D3" w:rsidRPr="009655CB" w:rsidRDefault="004727D3" w:rsidP="004727D3">
      <w:r w:rsidRPr="009655CB">
        <w:t>d)</w:t>
      </w:r>
      <w:r w:rsidRPr="009655CB">
        <w:tab/>
        <w:t>que</w:t>
      </w:r>
      <w:r>
        <w:t xml:space="preserve"> grâce à la </w:t>
      </w:r>
      <w:r w:rsidRPr="009655CB">
        <w:t>VLBI</w:t>
      </w:r>
      <w:r>
        <w:t>, il est possible d'obtenir</w:t>
      </w:r>
      <w:r w:rsidRPr="009655CB">
        <w:t xml:space="preserve"> des </w:t>
      </w:r>
      <w:r>
        <w:t>données permettant de définir avec précision:</w:t>
      </w:r>
    </w:p>
    <w:p w:rsidR="004727D3" w:rsidRPr="00D14A18" w:rsidRDefault="004727D3" w:rsidP="004727D3">
      <w:pPr>
        <w:pStyle w:val="enumlev1"/>
      </w:pPr>
      <w:r w:rsidRPr="00D14A18">
        <w:t>–</w:t>
      </w:r>
      <w:r w:rsidRPr="00D14A18">
        <w:tab/>
        <w:t>la structure et les positions des radiosources;</w:t>
      </w:r>
    </w:p>
    <w:p w:rsidR="004727D3" w:rsidRPr="00D14A18" w:rsidRDefault="004727D3" w:rsidP="004727D3">
      <w:pPr>
        <w:pStyle w:val="enumlev1"/>
      </w:pPr>
      <w:r w:rsidRPr="00D14A18">
        <w:t>–</w:t>
      </w:r>
      <w:r w:rsidRPr="00D14A18">
        <w:tab/>
        <w:t>les paramètres géodynamiques</w:t>
      </w:r>
    </w:p>
    <w:p w:rsidR="004727D3" w:rsidRPr="00D14A18" w:rsidRDefault="004727D3" w:rsidP="004727D3">
      <w:pPr>
        <w:pStyle w:val="enumlev1"/>
      </w:pPr>
      <w:r w:rsidRPr="00D14A18">
        <w:t>–</w:t>
      </w:r>
      <w:r w:rsidRPr="00D14A18">
        <w:tab/>
        <w:t>la navigation dans l'espace lointain;</w:t>
      </w:r>
    </w:p>
    <w:p w:rsidR="004727D3" w:rsidRPr="009655CB" w:rsidRDefault="004727D3" w:rsidP="004727D3">
      <w:r w:rsidRPr="009655CB">
        <w:t>e)</w:t>
      </w:r>
      <w:r w:rsidRPr="009655CB">
        <w:tab/>
        <w:t>qu'il est nécessaire de transmettre des données à large bande des systèmes spatiaux VLBI dans le sens espace vers Terre;</w:t>
      </w:r>
    </w:p>
    <w:p w:rsidR="004727D3" w:rsidRDefault="004727D3" w:rsidP="004727D3">
      <w:r w:rsidRPr="009655CB">
        <w:t>f)</w:t>
      </w:r>
      <w:r w:rsidRPr="009655CB">
        <w:tab/>
        <w:t>que, pour les systèmes spatiaux VLBI</w:t>
      </w:r>
      <w:r>
        <w:t xml:space="preserve"> modernes</w:t>
      </w:r>
      <w:r w:rsidRPr="009655CB">
        <w:t>, il faut transmettre des signaux de référence de temps et de phase extrêmement précis dans les sens Terre ve</w:t>
      </w:r>
      <w:r>
        <w:t>rs espace et espace vers Terre;</w:t>
      </w:r>
    </w:p>
    <w:p w:rsidR="004727D3" w:rsidRDefault="004727D3" w:rsidP="004727D3">
      <w:r>
        <w:t>g)</w:t>
      </w:r>
      <w:r>
        <w:tab/>
        <w:t>que les systèmes spatiaux VLBI sont une application du service de recherche spatiale,</w:t>
      </w:r>
    </w:p>
    <w:p w:rsidR="004727D3" w:rsidRPr="000F6629" w:rsidRDefault="004727D3" w:rsidP="004727D3">
      <w:pPr>
        <w:pStyle w:val="Call"/>
      </w:pPr>
      <w:r>
        <w:br w:type="page"/>
      </w:r>
      <w:r w:rsidRPr="000F6629">
        <w:lastRenderedPageBreak/>
        <w:t>recommande</w:t>
      </w:r>
    </w:p>
    <w:p w:rsidR="004727D3" w:rsidRDefault="004727D3" w:rsidP="004727D3">
      <w:r w:rsidRPr="003F5FF3">
        <w:rPr>
          <w:b/>
          <w:bCs/>
        </w:rPr>
        <w:t>1</w:t>
      </w:r>
      <w:r>
        <w:tab/>
      </w:r>
      <w:r w:rsidRPr="000F6629">
        <w:t>que, pour la transmission de données de télémesure et de signaux de référence de temps et de phase dans le sens espace vers Terre, on utilise de préférence les ban</w:t>
      </w:r>
      <w:r>
        <w:t>des de fréquences suivantes:</w:t>
      </w:r>
    </w:p>
    <w:p w:rsidR="004727D3" w:rsidRDefault="004727D3" w:rsidP="004727D3"/>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4"/>
        <w:gridCol w:w="1985"/>
        <w:gridCol w:w="1985"/>
        <w:gridCol w:w="3685"/>
      </w:tblGrid>
      <w:tr w:rsidR="004727D3" w:rsidRPr="00282CDA" w:rsidTr="008A0C49">
        <w:trPr>
          <w:cantSplit/>
          <w:jc w:val="center"/>
        </w:trPr>
        <w:tc>
          <w:tcPr>
            <w:tcW w:w="1984" w:type="dxa"/>
          </w:tcPr>
          <w:p w:rsidR="004727D3" w:rsidRPr="003F5FF3" w:rsidRDefault="004727D3" w:rsidP="008A0C49">
            <w:pPr>
              <w:pStyle w:val="Tablehead"/>
            </w:pPr>
            <w:r w:rsidRPr="003F5FF3">
              <w:t>Bande de fréquences</w:t>
            </w:r>
            <w:r w:rsidRPr="003F5FF3">
              <w:br/>
              <w:t>(GHz)</w:t>
            </w:r>
          </w:p>
        </w:tc>
        <w:tc>
          <w:tcPr>
            <w:tcW w:w="1985" w:type="dxa"/>
          </w:tcPr>
          <w:p w:rsidR="004727D3" w:rsidRPr="003F5FF3" w:rsidRDefault="004727D3" w:rsidP="008A0C49">
            <w:pPr>
              <w:pStyle w:val="Tablehead"/>
            </w:pPr>
            <w:r w:rsidRPr="003F5FF3">
              <w:t>Largeur de bande</w:t>
            </w:r>
            <w:r w:rsidRPr="003F5FF3">
              <w:br/>
              <w:t>(RF)</w:t>
            </w:r>
            <w:r>
              <w:br/>
            </w:r>
            <w:r w:rsidRPr="003F5FF3">
              <w:t>(MHz)</w:t>
            </w:r>
          </w:p>
        </w:tc>
        <w:tc>
          <w:tcPr>
            <w:tcW w:w="1985" w:type="dxa"/>
          </w:tcPr>
          <w:p w:rsidR="004727D3" w:rsidRPr="003F5FF3" w:rsidRDefault="004727D3" w:rsidP="008A0C49">
            <w:pPr>
              <w:pStyle w:val="Tablehead"/>
            </w:pPr>
            <w:r w:rsidRPr="003F5FF3">
              <w:t>Statut de l</w:t>
            </w:r>
            <w:r>
              <w:t>'</w:t>
            </w:r>
            <w:r w:rsidRPr="003F5FF3">
              <w:t>attribution au service de recherche spatiale</w:t>
            </w:r>
          </w:p>
        </w:tc>
        <w:tc>
          <w:tcPr>
            <w:tcW w:w="3685" w:type="dxa"/>
          </w:tcPr>
          <w:p w:rsidR="004727D3" w:rsidRPr="003F5FF3" w:rsidRDefault="004727D3" w:rsidP="008A0C49">
            <w:pPr>
              <w:pStyle w:val="Tablehead"/>
            </w:pPr>
            <w:r w:rsidRPr="003F5FF3">
              <w:t>Sens de transmission</w:t>
            </w:r>
            <w:r w:rsidRPr="003F5FF3">
              <w:br/>
            </w:r>
            <w:r>
              <w:t xml:space="preserve">de </w:t>
            </w:r>
            <w:r w:rsidRPr="003F5FF3">
              <w:t>l</w:t>
            </w:r>
            <w:r>
              <w:t>'</w:t>
            </w:r>
            <w:r w:rsidRPr="003F5FF3">
              <w:t>attribution au service de recherche spatiale</w:t>
            </w:r>
          </w:p>
        </w:tc>
      </w:tr>
      <w:tr w:rsidR="004727D3" w:rsidRPr="00B90C2F" w:rsidTr="008A0C49">
        <w:trPr>
          <w:cantSplit/>
          <w:jc w:val="center"/>
        </w:trPr>
        <w:tc>
          <w:tcPr>
            <w:tcW w:w="1984" w:type="dxa"/>
            <w:vAlign w:val="center"/>
          </w:tcPr>
          <w:p w:rsidR="004727D3" w:rsidRPr="003F5FF3" w:rsidRDefault="004727D3" w:rsidP="008A0C49">
            <w:pPr>
              <w:pStyle w:val="Tabletext"/>
              <w:jc w:val="center"/>
            </w:pPr>
            <w:r>
              <w:t>8,45-8,</w:t>
            </w:r>
            <w:r w:rsidRPr="003F5FF3">
              <w:t>5</w:t>
            </w:r>
            <w:r w:rsidRPr="00D14A18">
              <w:rPr>
                <w:vertAlign w:val="superscript"/>
              </w:rPr>
              <w:t>(1), (2)</w:t>
            </w:r>
          </w:p>
        </w:tc>
        <w:tc>
          <w:tcPr>
            <w:tcW w:w="1985" w:type="dxa"/>
            <w:vAlign w:val="center"/>
          </w:tcPr>
          <w:p w:rsidR="004727D3" w:rsidRPr="003F5FF3" w:rsidRDefault="004727D3" w:rsidP="008A0C49">
            <w:pPr>
              <w:pStyle w:val="Tabletext"/>
              <w:jc w:val="center"/>
            </w:pPr>
            <w:r>
              <w:t>0,</w:t>
            </w:r>
            <w:r w:rsidRPr="003F5FF3">
              <w:t>1</w:t>
            </w:r>
          </w:p>
        </w:tc>
        <w:tc>
          <w:tcPr>
            <w:tcW w:w="1985" w:type="dxa"/>
            <w:vAlign w:val="center"/>
          </w:tcPr>
          <w:p w:rsidR="004727D3" w:rsidRPr="003F5FF3" w:rsidRDefault="004727D3" w:rsidP="008A0C49">
            <w:pPr>
              <w:pStyle w:val="Tabletext"/>
              <w:jc w:val="center"/>
            </w:pPr>
            <w:r w:rsidRPr="003F5FF3">
              <w:t>primaire</w:t>
            </w:r>
          </w:p>
        </w:tc>
        <w:tc>
          <w:tcPr>
            <w:tcW w:w="3685" w:type="dxa"/>
            <w:vAlign w:val="center"/>
          </w:tcPr>
          <w:p w:rsidR="004727D3" w:rsidRPr="003F5FF3" w:rsidRDefault="004727D3" w:rsidP="008A0C49">
            <w:pPr>
              <w:pStyle w:val="Tabletext"/>
              <w:jc w:val="center"/>
            </w:pPr>
            <w:r w:rsidRPr="003F5FF3">
              <w:t>espace vers Terre</w:t>
            </w:r>
          </w:p>
        </w:tc>
      </w:tr>
      <w:tr w:rsidR="004727D3" w:rsidRPr="00187933" w:rsidTr="008A0C49">
        <w:trPr>
          <w:cantSplit/>
          <w:jc w:val="center"/>
        </w:trPr>
        <w:tc>
          <w:tcPr>
            <w:tcW w:w="1984" w:type="dxa"/>
            <w:vAlign w:val="center"/>
          </w:tcPr>
          <w:p w:rsidR="004727D3" w:rsidRPr="003F5FF3" w:rsidRDefault="004727D3" w:rsidP="008A0C49">
            <w:pPr>
              <w:pStyle w:val="Tabletext"/>
              <w:jc w:val="center"/>
            </w:pPr>
            <w:r w:rsidRPr="003F5FF3">
              <w:t>14-14.3</w:t>
            </w:r>
          </w:p>
        </w:tc>
        <w:tc>
          <w:tcPr>
            <w:tcW w:w="1985" w:type="dxa"/>
            <w:vAlign w:val="center"/>
          </w:tcPr>
          <w:p w:rsidR="004727D3" w:rsidRPr="003F5FF3" w:rsidRDefault="004727D3" w:rsidP="008A0C49">
            <w:pPr>
              <w:pStyle w:val="Tabletext"/>
              <w:jc w:val="center"/>
            </w:pPr>
            <w:r w:rsidRPr="003F5FF3">
              <w:t>300</w:t>
            </w:r>
          </w:p>
        </w:tc>
        <w:tc>
          <w:tcPr>
            <w:tcW w:w="1985" w:type="dxa"/>
            <w:vAlign w:val="center"/>
          </w:tcPr>
          <w:p w:rsidR="004727D3" w:rsidRPr="003F5FF3" w:rsidRDefault="004727D3" w:rsidP="008A0C49">
            <w:pPr>
              <w:pStyle w:val="Tabletext"/>
              <w:jc w:val="center"/>
            </w:pPr>
            <w:r w:rsidRPr="003F5FF3">
              <w:t>secondaire</w:t>
            </w:r>
          </w:p>
        </w:tc>
        <w:tc>
          <w:tcPr>
            <w:tcW w:w="3685" w:type="dxa"/>
            <w:vAlign w:val="center"/>
          </w:tcPr>
          <w:p w:rsidR="004727D3" w:rsidRPr="003F5FF3" w:rsidRDefault="004727D3" w:rsidP="008A0C49">
            <w:pPr>
              <w:pStyle w:val="Tabletext"/>
              <w:jc w:val="center"/>
            </w:pPr>
            <w:r w:rsidRPr="003F5FF3">
              <w:t>tous les sens</w:t>
            </w:r>
          </w:p>
        </w:tc>
      </w:tr>
      <w:tr w:rsidR="004727D3" w:rsidRPr="00B90C2F" w:rsidTr="008A0C49">
        <w:trPr>
          <w:cantSplit/>
          <w:jc w:val="center"/>
        </w:trPr>
        <w:tc>
          <w:tcPr>
            <w:tcW w:w="1984" w:type="dxa"/>
            <w:vAlign w:val="center"/>
          </w:tcPr>
          <w:p w:rsidR="004727D3" w:rsidRPr="003F5FF3" w:rsidRDefault="004727D3" w:rsidP="008A0C49">
            <w:pPr>
              <w:pStyle w:val="Tabletext"/>
              <w:jc w:val="center"/>
            </w:pPr>
            <w:r>
              <w:t>14,</w:t>
            </w:r>
            <w:r w:rsidRPr="003F5FF3">
              <w:t>5-15</w:t>
            </w:r>
            <w:r>
              <w:t>,</w:t>
            </w:r>
            <w:r w:rsidRPr="003F5FF3">
              <w:t>35</w:t>
            </w:r>
          </w:p>
        </w:tc>
        <w:tc>
          <w:tcPr>
            <w:tcW w:w="1985" w:type="dxa"/>
            <w:vAlign w:val="center"/>
          </w:tcPr>
          <w:p w:rsidR="004727D3" w:rsidRPr="003F5FF3" w:rsidRDefault="004727D3" w:rsidP="008A0C49">
            <w:pPr>
              <w:pStyle w:val="Tabletext"/>
              <w:jc w:val="center"/>
            </w:pPr>
            <w:r w:rsidRPr="003F5FF3">
              <w:t>300-500</w:t>
            </w:r>
          </w:p>
        </w:tc>
        <w:tc>
          <w:tcPr>
            <w:tcW w:w="1985" w:type="dxa"/>
            <w:vAlign w:val="center"/>
          </w:tcPr>
          <w:p w:rsidR="004727D3" w:rsidRPr="003F5FF3" w:rsidRDefault="004727D3" w:rsidP="008A0C49">
            <w:pPr>
              <w:pStyle w:val="Tabletext"/>
              <w:jc w:val="center"/>
            </w:pPr>
            <w:r w:rsidRPr="003F5FF3">
              <w:t>secondaire</w:t>
            </w:r>
          </w:p>
        </w:tc>
        <w:tc>
          <w:tcPr>
            <w:tcW w:w="3685" w:type="dxa"/>
            <w:vAlign w:val="center"/>
          </w:tcPr>
          <w:p w:rsidR="004727D3" w:rsidRPr="003F5FF3" w:rsidRDefault="004727D3" w:rsidP="008A0C49">
            <w:pPr>
              <w:pStyle w:val="Tabletext"/>
              <w:jc w:val="center"/>
            </w:pPr>
            <w:r w:rsidRPr="003F5FF3">
              <w:t>tous les sens</w:t>
            </w:r>
          </w:p>
        </w:tc>
      </w:tr>
      <w:tr w:rsidR="004727D3" w:rsidRPr="00BF0253" w:rsidTr="008A0C49">
        <w:trPr>
          <w:cantSplit/>
          <w:jc w:val="center"/>
        </w:trPr>
        <w:tc>
          <w:tcPr>
            <w:tcW w:w="1984" w:type="dxa"/>
            <w:vAlign w:val="center"/>
          </w:tcPr>
          <w:p w:rsidR="004727D3" w:rsidRPr="003F5FF3" w:rsidRDefault="004727D3" w:rsidP="008A0C49">
            <w:pPr>
              <w:pStyle w:val="Tabletext"/>
              <w:jc w:val="center"/>
            </w:pPr>
            <w:r>
              <w:t>25,</w:t>
            </w:r>
            <w:r w:rsidRPr="003F5FF3">
              <w:t>5-27</w:t>
            </w:r>
          </w:p>
        </w:tc>
        <w:tc>
          <w:tcPr>
            <w:tcW w:w="1985" w:type="dxa"/>
            <w:vAlign w:val="center"/>
          </w:tcPr>
          <w:p w:rsidR="004727D3" w:rsidRPr="003F5FF3" w:rsidRDefault="004727D3" w:rsidP="008A0C49">
            <w:pPr>
              <w:pStyle w:val="Tabletext"/>
              <w:jc w:val="center"/>
            </w:pPr>
            <w:r w:rsidRPr="003F5FF3">
              <w:t>1 000</w:t>
            </w:r>
          </w:p>
        </w:tc>
        <w:tc>
          <w:tcPr>
            <w:tcW w:w="1985" w:type="dxa"/>
            <w:vAlign w:val="center"/>
          </w:tcPr>
          <w:p w:rsidR="004727D3" w:rsidRPr="003F5FF3" w:rsidRDefault="004727D3" w:rsidP="008A0C49">
            <w:pPr>
              <w:pStyle w:val="Tabletext"/>
              <w:jc w:val="center"/>
            </w:pPr>
            <w:r w:rsidRPr="003F5FF3">
              <w:t>primaire</w:t>
            </w:r>
          </w:p>
        </w:tc>
        <w:tc>
          <w:tcPr>
            <w:tcW w:w="3685" w:type="dxa"/>
            <w:vAlign w:val="center"/>
          </w:tcPr>
          <w:p w:rsidR="004727D3" w:rsidRPr="003F5FF3" w:rsidRDefault="004727D3" w:rsidP="008A0C49">
            <w:pPr>
              <w:pStyle w:val="Tabletext"/>
              <w:jc w:val="center"/>
            </w:pPr>
            <w:r w:rsidRPr="003F5FF3">
              <w:t>espace vers Terre</w:t>
            </w:r>
          </w:p>
        </w:tc>
      </w:tr>
      <w:tr w:rsidR="004727D3" w:rsidRPr="00BF0253" w:rsidTr="008A0C49">
        <w:trPr>
          <w:cantSplit/>
          <w:jc w:val="center"/>
        </w:trPr>
        <w:tc>
          <w:tcPr>
            <w:tcW w:w="1984" w:type="dxa"/>
            <w:vAlign w:val="center"/>
          </w:tcPr>
          <w:p w:rsidR="004727D3" w:rsidRPr="003F5FF3" w:rsidRDefault="004727D3" w:rsidP="008A0C49">
            <w:pPr>
              <w:pStyle w:val="Tabletext"/>
              <w:jc w:val="center"/>
            </w:pPr>
            <w:r w:rsidRPr="003F5FF3">
              <w:t>37-38</w:t>
            </w:r>
          </w:p>
        </w:tc>
        <w:tc>
          <w:tcPr>
            <w:tcW w:w="1985" w:type="dxa"/>
            <w:vAlign w:val="center"/>
          </w:tcPr>
          <w:p w:rsidR="004727D3" w:rsidRPr="003F5FF3" w:rsidRDefault="004727D3" w:rsidP="008A0C49">
            <w:pPr>
              <w:pStyle w:val="Tabletext"/>
              <w:jc w:val="center"/>
            </w:pPr>
            <w:r w:rsidRPr="003F5FF3">
              <w:t>1 000</w:t>
            </w:r>
          </w:p>
        </w:tc>
        <w:tc>
          <w:tcPr>
            <w:tcW w:w="1985" w:type="dxa"/>
            <w:vAlign w:val="center"/>
          </w:tcPr>
          <w:p w:rsidR="004727D3" w:rsidRPr="003F5FF3" w:rsidRDefault="004727D3" w:rsidP="008A0C49">
            <w:pPr>
              <w:pStyle w:val="Tabletext"/>
              <w:jc w:val="center"/>
            </w:pPr>
            <w:r w:rsidRPr="003F5FF3">
              <w:t>primaire</w:t>
            </w:r>
          </w:p>
        </w:tc>
        <w:tc>
          <w:tcPr>
            <w:tcW w:w="3685" w:type="dxa"/>
            <w:vAlign w:val="center"/>
          </w:tcPr>
          <w:p w:rsidR="004727D3" w:rsidRPr="003F5FF3" w:rsidRDefault="004727D3" w:rsidP="008A0C49">
            <w:pPr>
              <w:pStyle w:val="Tabletext"/>
              <w:jc w:val="center"/>
            </w:pPr>
            <w:r w:rsidRPr="003F5FF3">
              <w:t>espace vers Terre</w:t>
            </w:r>
          </w:p>
        </w:tc>
      </w:tr>
      <w:tr w:rsidR="004727D3" w:rsidRPr="00BF0253" w:rsidTr="008A0C49">
        <w:trPr>
          <w:cantSplit/>
          <w:jc w:val="center"/>
        </w:trPr>
        <w:tc>
          <w:tcPr>
            <w:tcW w:w="1984" w:type="dxa"/>
            <w:tcBorders>
              <w:bottom w:val="single" w:sz="4" w:space="0" w:color="auto"/>
            </w:tcBorders>
            <w:vAlign w:val="center"/>
          </w:tcPr>
          <w:p w:rsidR="004727D3" w:rsidRPr="003F5FF3" w:rsidRDefault="004727D3" w:rsidP="008A0C49">
            <w:pPr>
              <w:pStyle w:val="Tabletext"/>
              <w:jc w:val="center"/>
            </w:pPr>
            <w:r w:rsidRPr="003F5FF3">
              <w:t>74-84</w:t>
            </w:r>
          </w:p>
        </w:tc>
        <w:tc>
          <w:tcPr>
            <w:tcW w:w="1985" w:type="dxa"/>
            <w:tcBorders>
              <w:bottom w:val="single" w:sz="4" w:space="0" w:color="auto"/>
            </w:tcBorders>
            <w:vAlign w:val="center"/>
          </w:tcPr>
          <w:p w:rsidR="004727D3" w:rsidRPr="003F5FF3" w:rsidRDefault="004727D3" w:rsidP="008A0C49">
            <w:pPr>
              <w:pStyle w:val="Tabletext"/>
              <w:jc w:val="center"/>
            </w:pPr>
            <w:r w:rsidRPr="003F5FF3">
              <w:t>10 000</w:t>
            </w:r>
          </w:p>
        </w:tc>
        <w:tc>
          <w:tcPr>
            <w:tcW w:w="1985" w:type="dxa"/>
            <w:tcBorders>
              <w:bottom w:val="single" w:sz="4" w:space="0" w:color="auto"/>
            </w:tcBorders>
            <w:vAlign w:val="center"/>
          </w:tcPr>
          <w:p w:rsidR="004727D3" w:rsidRPr="003F5FF3" w:rsidRDefault="004727D3" w:rsidP="008A0C49">
            <w:pPr>
              <w:pStyle w:val="Tabletext"/>
              <w:jc w:val="center"/>
            </w:pPr>
            <w:r w:rsidRPr="003F5FF3">
              <w:t>secondaire</w:t>
            </w:r>
          </w:p>
        </w:tc>
        <w:tc>
          <w:tcPr>
            <w:tcW w:w="3685" w:type="dxa"/>
            <w:tcBorders>
              <w:bottom w:val="single" w:sz="4" w:space="0" w:color="auto"/>
            </w:tcBorders>
            <w:vAlign w:val="center"/>
          </w:tcPr>
          <w:p w:rsidR="004727D3" w:rsidRPr="003F5FF3" w:rsidRDefault="004727D3" w:rsidP="008A0C49">
            <w:pPr>
              <w:pStyle w:val="Tabletext"/>
              <w:jc w:val="center"/>
            </w:pPr>
            <w:r w:rsidRPr="003F5FF3">
              <w:t>espace vers Terre</w:t>
            </w:r>
          </w:p>
        </w:tc>
      </w:tr>
      <w:tr w:rsidR="004727D3" w:rsidRPr="00AA0FF6" w:rsidTr="008A0C49">
        <w:trPr>
          <w:cantSplit/>
          <w:trHeight w:val="216"/>
          <w:jc w:val="center"/>
        </w:trPr>
        <w:tc>
          <w:tcPr>
            <w:tcW w:w="9639" w:type="dxa"/>
            <w:gridSpan w:val="4"/>
            <w:tcBorders>
              <w:top w:val="single" w:sz="4" w:space="0" w:color="auto"/>
              <w:left w:val="nil"/>
              <w:bottom w:val="nil"/>
              <w:right w:val="nil"/>
            </w:tcBorders>
            <w:vAlign w:val="center"/>
          </w:tcPr>
          <w:p w:rsidR="004727D3" w:rsidRPr="00BD6086" w:rsidRDefault="004727D3" w:rsidP="008A0C49">
            <w:pPr>
              <w:pStyle w:val="Tablelegend"/>
              <w:ind w:hanging="284"/>
            </w:pPr>
            <w:r w:rsidRPr="00BD6086">
              <w:rPr>
                <w:vertAlign w:val="superscript"/>
              </w:rPr>
              <w:t>(1)</w:t>
            </w:r>
            <w:r w:rsidRPr="00BD6086">
              <w:tab/>
            </w:r>
            <w:r>
              <w:t>Le système Radioastron</w:t>
            </w:r>
            <w:bookmarkStart w:id="1" w:name="_GoBack"/>
            <w:bookmarkEnd w:id="1"/>
            <w:r>
              <w:t xml:space="preserve"> continuera d'utiliser la fréquence 8 400 MHz pour le transfert des signaux de référence de phase, au titre de la publication </w:t>
            </w:r>
            <w:r w:rsidRPr="00BD6086">
              <w:t>API/A/3957</w:t>
            </w:r>
            <w:r>
              <w:t xml:space="preserve"> actuelle de l'UIT-R</w:t>
            </w:r>
            <w:r w:rsidRPr="00BD6086">
              <w:t>.</w:t>
            </w:r>
          </w:p>
          <w:p w:rsidR="004727D3" w:rsidRPr="00AA0FF6" w:rsidRDefault="004727D3" w:rsidP="008A0C49">
            <w:pPr>
              <w:pStyle w:val="Tablelegend"/>
            </w:pPr>
            <w:r w:rsidRPr="00AA0FF6">
              <w:rPr>
                <w:vertAlign w:val="superscript"/>
              </w:rPr>
              <w:t>(2)</w:t>
            </w:r>
            <w:r w:rsidRPr="00AA0FF6">
              <w:tab/>
              <w:t>Réservé au transfert de</w:t>
            </w:r>
            <w:r>
              <w:t>s signaux de référence de</w:t>
            </w:r>
            <w:r w:rsidRPr="00AA0FF6">
              <w:t xml:space="preserve"> phase.</w:t>
            </w:r>
          </w:p>
        </w:tc>
      </w:tr>
    </w:tbl>
    <w:p w:rsidR="004727D3" w:rsidRPr="003F5FF3" w:rsidRDefault="004727D3" w:rsidP="004727D3">
      <w:r>
        <w:rPr>
          <w:b/>
          <w:bCs/>
        </w:rPr>
        <w:t>2</w:t>
      </w:r>
      <w:r>
        <w:rPr>
          <w:b/>
          <w:bCs/>
        </w:rPr>
        <w:tab/>
      </w:r>
      <w:r w:rsidRPr="003F5FF3">
        <w:t>que, pour la transmission de données de télécommande et de signaux de référence de temps et de phase dans le sens Terre vers espace, on utilise de préférence les bandes de fréquences suivantes:</w:t>
      </w:r>
    </w:p>
    <w:p w:rsidR="004727D3" w:rsidRPr="003F5FF3" w:rsidRDefault="004727D3" w:rsidP="004727D3">
      <w:pPr>
        <w:rPr>
          <w:sz w:val="12"/>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4"/>
        <w:gridCol w:w="1985"/>
        <w:gridCol w:w="1985"/>
        <w:gridCol w:w="3685"/>
      </w:tblGrid>
      <w:tr w:rsidR="004727D3" w:rsidRPr="005D17E6" w:rsidTr="008A0C49">
        <w:trPr>
          <w:cantSplit/>
          <w:jc w:val="center"/>
        </w:trPr>
        <w:tc>
          <w:tcPr>
            <w:tcW w:w="1984" w:type="dxa"/>
          </w:tcPr>
          <w:p w:rsidR="004727D3" w:rsidRPr="00BF0253" w:rsidRDefault="004727D3" w:rsidP="008A0C49">
            <w:pPr>
              <w:pStyle w:val="Tablehead"/>
            </w:pPr>
            <w:r>
              <w:t>Bande de fréquences</w:t>
            </w:r>
            <w:r w:rsidRPr="00BF0253">
              <w:br/>
            </w:r>
            <w:r>
              <w:t>(</w:t>
            </w:r>
            <w:r w:rsidRPr="00BF0253">
              <w:t>GHz</w:t>
            </w:r>
            <w:r>
              <w:t>)</w:t>
            </w:r>
          </w:p>
        </w:tc>
        <w:tc>
          <w:tcPr>
            <w:tcW w:w="1985" w:type="dxa"/>
          </w:tcPr>
          <w:p w:rsidR="004727D3" w:rsidRPr="00BF0253" w:rsidRDefault="004727D3" w:rsidP="008A0C49">
            <w:pPr>
              <w:pStyle w:val="Tablehead"/>
            </w:pPr>
            <w:r>
              <w:t>Largeur de bande</w:t>
            </w:r>
            <w:r w:rsidRPr="00BF0253">
              <w:br/>
            </w:r>
            <w:r>
              <w:t xml:space="preserve">(RF) </w:t>
            </w:r>
            <w:r>
              <w:br/>
              <w:t>(</w:t>
            </w:r>
            <w:r w:rsidRPr="00BF0253">
              <w:t>MHz</w:t>
            </w:r>
            <w:r>
              <w:t>)</w:t>
            </w:r>
          </w:p>
        </w:tc>
        <w:tc>
          <w:tcPr>
            <w:tcW w:w="1985" w:type="dxa"/>
          </w:tcPr>
          <w:p w:rsidR="004727D3" w:rsidRPr="00BF0253" w:rsidRDefault="004727D3" w:rsidP="008A0C49">
            <w:pPr>
              <w:pStyle w:val="Tablehead"/>
            </w:pPr>
            <w:r>
              <w:t>Statut de l'attribution au service de recherche spatiale</w:t>
            </w:r>
          </w:p>
        </w:tc>
        <w:tc>
          <w:tcPr>
            <w:tcW w:w="3685" w:type="dxa"/>
          </w:tcPr>
          <w:p w:rsidR="004727D3" w:rsidRPr="005D17E6" w:rsidRDefault="004727D3" w:rsidP="008A0C49">
            <w:pPr>
              <w:pStyle w:val="Tablehead"/>
            </w:pPr>
            <w:r>
              <w:t xml:space="preserve">Sens de </w:t>
            </w:r>
            <w:r w:rsidRPr="00282CDA">
              <w:t>transmission</w:t>
            </w:r>
            <w:r w:rsidRPr="00282CDA">
              <w:br/>
            </w:r>
            <w:r>
              <w:t>de l'attribution au service de recherche spatiale</w:t>
            </w:r>
          </w:p>
        </w:tc>
      </w:tr>
      <w:tr w:rsidR="004727D3" w:rsidRPr="003F5FF3" w:rsidTr="008A0C49">
        <w:trPr>
          <w:cantSplit/>
          <w:trHeight w:val="216"/>
          <w:jc w:val="center"/>
        </w:trPr>
        <w:tc>
          <w:tcPr>
            <w:tcW w:w="1984" w:type="dxa"/>
            <w:vAlign w:val="center"/>
          </w:tcPr>
          <w:p w:rsidR="004727D3" w:rsidRPr="003F5FF3" w:rsidRDefault="004727D3" w:rsidP="008A0C49">
            <w:pPr>
              <w:pStyle w:val="Tabletext"/>
              <w:jc w:val="center"/>
            </w:pPr>
            <w:r w:rsidRPr="003F5FF3">
              <w:t>7</w:t>
            </w:r>
            <w:r>
              <w:t>,</w:t>
            </w:r>
            <w:r w:rsidRPr="003F5FF3">
              <w:t>190-7</w:t>
            </w:r>
            <w:r>
              <w:t>,</w:t>
            </w:r>
            <w:r w:rsidRPr="003F5FF3">
              <w:t>235</w:t>
            </w:r>
          </w:p>
        </w:tc>
        <w:tc>
          <w:tcPr>
            <w:tcW w:w="1985" w:type="dxa"/>
            <w:vAlign w:val="center"/>
          </w:tcPr>
          <w:p w:rsidR="004727D3" w:rsidRPr="003F5FF3" w:rsidRDefault="004727D3" w:rsidP="008A0C49">
            <w:pPr>
              <w:pStyle w:val="Tabletext"/>
              <w:jc w:val="center"/>
            </w:pPr>
            <w:r w:rsidRPr="003F5FF3">
              <w:t>0</w:t>
            </w:r>
            <w:r>
              <w:t>,</w:t>
            </w:r>
            <w:r w:rsidRPr="003F5FF3">
              <w:t>1-2</w:t>
            </w:r>
          </w:p>
        </w:tc>
        <w:tc>
          <w:tcPr>
            <w:tcW w:w="1985" w:type="dxa"/>
            <w:vAlign w:val="center"/>
          </w:tcPr>
          <w:p w:rsidR="004727D3" w:rsidRPr="003F5FF3" w:rsidRDefault="004727D3" w:rsidP="008A0C49">
            <w:pPr>
              <w:pStyle w:val="Tabletext"/>
              <w:jc w:val="center"/>
            </w:pPr>
            <w:r w:rsidRPr="003F5FF3">
              <w:t>primaire</w:t>
            </w:r>
          </w:p>
        </w:tc>
        <w:tc>
          <w:tcPr>
            <w:tcW w:w="3685" w:type="dxa"/>
            <w:vAlign w:val="center"/>
          </w:tcPr>
          <w:p w:rsidR="004727D3" w:rsidRPr="003F5FF3" w:rsidRDefault="004727D3" w:rsidP="008A0C49">
            <w:pPr>
              <w:pStyle w:val="Tabletext"/>
              <w:jc w:val="center"/>
            </w:pPr>
            <w:r w:rsidRPr="003F5FF3">
              <w:t>Terre vers espace</w:t>
            </w:r>
          </w:p>
        </w:tc>
      </w:tr>
      <w:tr w:rsidR="004727D3" w:rsidRPr="003F5FF3" w:rsidTr="008A0C49">
        <w:trPr>
          <w:cantSplit/>
          <w:trHeight w:val="216"/>
          <w:jc w:val="center"/>
        </w:trPr>
        <w:tc>
          <w:tcPr>
            <w:tcW w:w="1984" w:type="dxa"/>
            <w:vAlign w:val="center"/>
          </w:tcPr>
          <w:p w:rsidR="004727D3" w:rsidRPr="003F5FF3" w:rsidRDefault="004727D3" w:rsidP="008A0C49">
            <w:pPr>
              <w:pStyle w:val="Tabletext"/>
              <w:jc w:val="center"/>
            </w:pPr>
            <w:r w:rsidRPr="003F5FF3">
              <w:t>15</w:t>
            </w:r>
            <w:r>
              <w:t>,</w:t>
            </w:r>
            <w:r w:rsidRPr="003F5FF3">
              <w:t>20-15</w:t>
            </w:r>
            <w:r>
              <w:t>,</w:t>
            </w:r>
            <w:r w:rsidRPr="003F5FF3">
              <w:t>35</w:t>
            </w:r>
          </w:p>
        </w:tc>
        <w:tc>
          <w:tcPr>
            <w:tcW w:w="1985" w:type="dxa"/>
            <w:vAlign w:val="center"/>
          </w:tcPr>
          <w:p w:rsidR="004727D3" w:rsidRPr="003F5FF3" w:rsidRDefault="004727D3" w:rsidP="008A0C49">
            <w:pPr>
              <w:pStyle w:val="Tabletext"/>
              <w:jc w:val="center"/>
            </w:pPr>
            <w:r w:rsidRPr="003F5FF3">
              <w:t>0</w:t>
            </w:r>
            <w:r>
              <w:t>,</w:t>
            </w:r>
            <w:r w:rsidRPr="003F5FF3">
              <w:t>1-2</w:t>
            </w:r>
          </w:p>
        </w:tc>
        <w:tc>
          <w:tcPr>
            <w:tcW w:w="1985" w:type="dxa"/>
            <w:vAlign w:val="center"/>
          </w:tcPr>
          <w:p w:rsidR="004727D3" w:rsidRPr="003F5FF3" w:rsidRDefault="004727D3" w:rsidP="008A0C49">
            <w:pPr>
              <w:pStyle w:val="Tabletext"/>
              <w:jc w:val="center"/>
            </w:pPr>
            <w:r w:rsidRPr="003F5FF3">
              <w:t>secondaire</w:t>
            </w:r>
          </w:p>
        </w:tc>
        <w:tc>
          <w:tcPr>
            <w:tcW w:w="3685" w:type="dxa"/>
            <w:vAlign w:val="center"/>
          </w:tcPr>
          <w:p w:rsidR="004727D3" w:rsidRPr="003F5FF3" w:rsidRDefault="004727D3" w:rsidP="008A0C49">
            <w:pPr>
              <w:pStyle w:val="Tabletext"/>
              <w:jc w:val="center"/>
            </w:pPr>
            <w:r w:rsidRPr="003F5FF3">
              <w:t>tous les sens</w:t>
            </w:r>
          </w:p>
        </w:tc>
      </w:tr>
      <w:tr w:rsidR="004727D3" w:rsidRPr="003F5FF3" w:rsidTr="008A0C49">
        <w:trPr>
          <w:cantSplit/>
          <w:trHeight w:val="216"/>
          <w:jc w:val="center"/>
        </w:trPr>
        <w:tc>
          <w:tcPr>
            <w:tcW w:w="1984" w:type="dxa"/>
            <w:vAlign w:val="center"/>
          </w:tcPr>
          <w:p w:rsidR="004727D3" w:rsidRPr="003F5FF3" w:rsidRDefault="004727D3" w:rsidP="008A0C49">
            <w:pPr>
              <w:pStyle w:val="Tabletext"/>
              <w:jc w:val="center"/>
            </w:pPr>
            <w:r w:rsidRPr="003F5FF3">
              <w:t>40-40</w:t>
            </w:r>
            <w:r>
              <w:t>,</w:t>
            </w:r>
            <w:r w:rsidRPr="003F5FF3">
              <w:t>5</w:t>
            </w:r>
          </w:p>
        </w:tc>
        <w:tc>
          <w:tcPr>
            <w:tcW w:w="1985" w:type="dxa"/>
            <w:vAlign w:val="center"/>
          </w:tcPr>
          <w:p w:rsidR="004727D3" w:rsidRPr="003F5FF3" w:rsidRDefault="004727D3" w:rsidP="008A0C49">
            <w:pPr>
              <w:pStyle w:val="Tabletext"/>
              <w:jc w:val="center"/>
            </w:pPr>
            <w:r w:rsidRPr="003F5FF3">
              <w:t>0</w:t>
            </w:r>
            <w:r>
              <w:t>,</w:t>
            </w:r>
            <w:r w:rsidRPr="003F5FF3">
              <w:t>1-2</w:t>
            </w:r>
          </w:p>
        </w:tc>
        <w:tc>
          <w:tcPr>
            <w:tcW w:w="1985" w:type="dxa"/>
            <w:vAlign w:val="center"/>
          </w:tcPr>
          <w:p w:rsidR="004727D3" w:rsidRPr="003F5FF3" w:rsidRDefault="004727D3" w:rsidP="008A0C49">
            <w:pPr>
              <w:pStyle w:val="Tabletext"/>
              <w:jc w:val="center"/>
            </w:pPr>
            <w:r w:rsidRPr="003F5FF3">
              <w:t>primaire</w:t>
            </w:r>
          </w:p>
        </w:tc>
        <w:tc>
          <w:tcPr>
            <w:tcW w:w="3685" w:type="dxa"/>
            <w:vAlign w:val="center"/>
          </w:tcPr>
          <w:p w:rsidR="004727D3" w:rsidRPr="003F5FF3" w:rsidRDefault="004727D3" w:rsidP="008A0C49">
            <w:pPr>
              <w:pStyle w:val="Tabletext"/>
              <w:jc w:val="center"/>
            </w:pPr>
            <w:r w:rsidRPr="003F5FF3">
              <w:t>Terre vers espace</w:t>
            </w:r>
          </w:p>
        </w:tc>
      </w:tr>
    </w:tbl>
    <w:p w:rsidR="004727D3" w:rsidRPr="00AA0FF6" w:rsidRDefault="004727D3" w:rsidP="004727D3"/>
    <w:p w:rsidR="00A6617B" w:rsidRPr="004727D3" w:rsidRDefault="00A6617B" w:rsidP="004727D3">
      <w:pPr>
        <w:pStyle w:val="Line"/>
      </w:pPr>
    </w:p>
    <w:sectPr w:rsidR="00A6617B" w:rsidRPr="004727D3">
      <w:headerReference w:type="even" r:id="rId6"/>
      <w:headerReference w:type="default" r:id="rId7"/>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7D3" w:rsidRDefault="004727D3">
      <w:r>
        <w:separator/>
      </w:r>
    </w:p>
  </w:endnote>
  <w:endnote w:type="continuationSeparator" w:id="0">
    <w:p w:rsidR="004727D3" w:rsidRDefault="0047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7D3" w:rsidRDefault="004727D3">
      <w:r>
        <w:separator/>
      </w:r>
    </w:p>
  </w:footnote>
  <w:footnote w:type="continuationSeparator" w:id="0">
    <w:p w:rsidR="004727D3" w:rsidRDefault="00472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279DC">
      <w:rPr>
        <w:rStyle w:val="PageNumber"/>
        <w:b/>
        <w:bCs/>
        <w:noProof/>
        <w:lang w:val="en-US"/>
      </w:rPr>
      <w:t>2</w:t>
    </w:r>
    <w:r>
      <w:rPr>
        <w:rStyle w:val="PageNumber"/>
        <w:b/>
        <w:bCs/>
      </w:rPr>
      <w:fldChar w:fldCharType="end"/>
    </w:r>
    <w:r>
      <w:rPr>
        <w:lang w:val="en-US"/>
      </w:rPr>
      <w:tab/>
    </w:r>
    <w:r w:rsidR="009E00A8">
      <w:fldChar w:fldCharType="begin"/>
    </w:r>
    <w:r w:rsidR="009E00A8" w:rsidRPr="009E00A8">
      <w:rPr>
        <w:lang w:val="en-US"/>
      </w:rPr>
      <w:instrText xml:space="preserve"> DOCPROPERTY "Header" \* MERGEFORMAT </w:instrText>
    </w:r>
    <w:r w:rsidR="009E00A8">
      <w:fldChar w:fldCharType="separate"/>
    </w:r>
    <w:r w:rsidR="004727D3" w:rsidRPr="004727D3">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B279DC">
      <w:rPr>
        <w:b/>
        <w:bCs/>
        <w:noProof/>
      </w:rPr>
      <w:t>UIT-R  SA.1344-1</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D68" w:rsidRDefault="00607D68">
    <w:pPr>
      <w:pStyle w:val="Header"/>
    </w:pPr>
    <w:r>
      <w:tab/>
    </w:r>
    <w:r w:rsidR="00B279DC">
      <w:fldChar w:fldCharType="begin"/>
    </w:r>
    <w:r w:rsidR="00B279DC">
      <w:instrText xml:space="preserve"> DOCPROPERTY "Header" \* MERGEFORMAT </w:instrText>
    </w:r>
    <w:r w:rsidR="00B279DC">
      <w:fldChar w:fldCharType="separate"/>
    </w:r>
    <w:r w:rsidR="004727D3" w:rsidRPr="004727D3">
      <w:rPr>
        <w:b/>
        <w:bCs/>
      </w:rPr>
      <w:t xml:space="preserve">Rec. </w:t>
    </w:r>
    <w:r w:rsidR="00B279DC">
      <w:rPr>
        <w:b/>
        <w:bCs/>
      </w:rPr>
      <w:fldChar w:fldCharType="end"/>
    </w:r>
    <w:r>
      <w:rPr>
        <w:b/>
        <w:bCs/>
      </w:rPr>
      <w:t xml:space="preserve"> </w:t>
    </w:r>
    <w:r>
      <w:rPr>
        <w:b/>
        <w:bCs/>
      </w:rPr>
      <w:fldChar w:fldCharType="begin"/>
    </w:r>
    <w:r>
      <w:rPr>
        <w:b/>
        <w:bCs/>
      </w:rPr>
      <w:instrText>styleref href</w:instrText>
    </w:r>
    <w:r>
      <w:rPr>
        <w:b/>
        <w:bCs/>
      </w:rPr>
      <w:fldChar w:fldCharType="separate"/>
    </w:r>
    <w:r w:rsidR="00B279DC">
      <w:rPr>
        <w:b/>
        <w:bCs/>
        <w:noProof/>
      </w:rPr>
      <w:t>UIT-R  SA.1344-1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B279DC">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D3"/>
    <w:rsid w:val="00217EBF"/>
    <w:rsid w:val="00242AEE"/>
    <w:rsid w:val="002D76C4"/>
    <w:rsid w:val="004727D3"/>
    <w:rsid w:val="0052529D"/>
    <w:rsid w:val="00607D68"/>
    <w:rsid w:val="007468DA"/>
    <w:rsid w:val="009E00A8"/>
    <w:rsid w:val="00A6617B"/>
    <w:rsid w:val="00AB0DC8"/>
    <w:rsid w:val="00B279DC"/>
    <w:rsid w:val="00B44E24"/>
    <w:rsid w:val="00DF4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AEA242-317C-47F5-821F-02199D4F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D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4727D3"/>
    <w:rPr>
      <w:b/>
      <w:sz w:val="24"/>
      <w:lang w:val="fr-FR" w:eastAsia="en-US"/>
    </w:rPr>
  </w:style>
  <w:style w:type="character" w:customStyle="1" w:styleId="HeaderChar">
    <w:name w:val="Header Char"/>
    <w:basedOn w:val="DefaultParagraphFont"/>
    <w:link w:val="Header"/>
    <w:rsid w:val="004727D3"/>
    <w:rPr>
      <w:sz w:val="24"/>
      <w:lang w:val="fr-FR" w:eastAsia="en-US"/>
    </w:rPr>
  </w:style>
  <w:style w:type="character" w:styleId="Hyperlink">
    <w:name w:val="Hyperlink"/>
    <w:basedOn w:val="DefaultParagraphFont"/>
    <w:rsid w:val="00472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1</TotalTime>
  <Pages>2</Pages>
  <Words>540</Words>
  <Characters>2760</Characters>
  <Application>Microsoft Office Word</Application>
  <DocSecurity>0</DocSecurity>
  <Lines>184</Lines>
  <Paragraphs>137</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Gachet, Christelle</cp:lastModifiedBy>
  <cp:revision>2</cp:revision>
  <cp:lastPrinted>2005-02-10T15:54:00Z</cp:lastPrinted>
  <dcterms:created xsi:type="dcterms:W3CDTF">2014-09-23T11:00:00Z</dcterms:created>
  <dcterms:modified xsi:type="dcterms:W3CDTF">2014-09-23T11:02:00Z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