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A7D97" w14:textId="77777777" w:rsidR="00734A78" w:rsidRDefault="00734A78" w:rsidP="00734A78"/>
    <w:p w14:paraId="2FE0C580" w14:textId="77777777" w:rsidR="00734A78" w:rsidRDefault="00734A78" w:rsidP="00734A78"/>
    <w:p w14:paraId="5D058974" w14:textId="77777777" w:rsidR="00734A78" w:rsidRDefault="00734A78" w:rsidP="00734A78"/>
    <w:p w14:paraId="38770BB2" w14:textId="77777777" w:rsidR="00734A78" w:rsidRDefault="00734A78" w:rsidP="00734A78"/>
    <w:p w14:paraId="4A087C5D" w14:textId="77777777" w:rsidR="00734A78" w:rsidRDefault="00734A78" w:rsidP="00734A78"/>
    <w:p w14:paraId="4297C750" w14:textId="77777777" w:rsidR="00734A78" w:rsidRDefault="00734A78" w:rsidP="00734A78"/>
    <w:p w14:paraId="53C6257F" w14:textId="77777777" w:rsidR="00734A78" w:rsidRDefault="00734A78" w:rsidP="00734A78"/>
    <w:p w14:paraId="73996661" w14:textId="77777777" w:rsidR="00734A78" w:rsidRDefault="00734A78" w:rsidP="00734A78"/>
    <w:p w14:paraId="5EF990FF" w14:textId="77777777" w:rsidR="00734A78" w:rsidRDefault="00734A78" w:rsidP="00734A78"/>
    <w:p w14:paraId="273C66EC" w14:textId="77777777" w:rsidR="00734A78" w:rsidRDefault="00734A78" w:rsidP="00734A78"/>
    <w:p w14:paraId="53452EDF" w14:textId="77777777" w:rsidR="00734A78" w:rsidRDefault="00734A78" w:rsidP="00734A78"/>
    <w:p w14:paraId="2023F143" w14:textId="77777777" w:rsidR="00734A78" w:rsidRDefault="00734A78" w:rsidP="00734A78"/>
    <w:tbl>
      <w:tblPr>
        <w:tblW w:w="10089" w:type="dxa"/>
        <w:tblLook w:val="01E0" w:firstRow="1" w:lastRow="1" w:firstColumn="1" w:lastColumn="1" w:noHBand="0" w:noVBand="0"/>
      </w:tblPr>
      <w:tblGrid>
        <w:gridCol w:w="10089"/>
      </w:tblGrid>
      <w:tr w:rsidR="00734A78" w:rsidRPr="00A443C2" w14:paraId="3F762171" w14:textId="77777777" w:rsidTr="00460F3C">
        <w:tc>
          <w:tcPr>
            <w:tcW w:w="10089" w:type="dxa"/>
          </w:tcPr>
          <w:p w14:paraId="1DEB5F6C" w14:textId="77777777" w:rsidR="00734A78" w:rsidRPr="00B033C8" w:rsidRDefault="00734A78" w:rsidP="00460F3C">
            <w:pPr>
              <w:spacing w:before="380" w:line="280" w:lineRule="exact"/>
              <w:jc w:val="right"/>
              <w:rPr>
                <w:rFonts w:ascii="Tahoma" w:hAnsi="Tahoma" w:cs="Tahoma"/>
                <w:b/>
                <w:bCs/>
                <w:iCs/>
                <w:color w:val="243285"/>
                <w:sz w:val="32"/>
                <w:szCs w:val="32"/>
                <w:lang w:val="en-US"/>
              </w:rPr>
            </w:pPr>
          </w:p>
          <w:p w14:paraId="69B88208" w14:textId="25989A25" w:rsidR="00734A78" w:rsidRPr="00A443C2" w:rsidRDefault="00734A78" w:rsidP="00734A7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1164-</w:t>
            </w:r>
            <w:r w:rsidR="006C060F">
              <w:rPr>
                <w:rFonts w:ascii="Tahoma" w:hAnsi="Tahoma" w:cs="Tahoma"/>
                <w:b/>
                <w:bCs/>
                <w:iCs/>
                <w:color w:val="243285"/>
                <w:sz w:val="36"/>
                <w:szCs w:val="36"/>
              </w:rPr>
              <w:t>4</w:t>
            </w:r>
          </w:p>
          <w:p w14:paraId="666157E7" w14:textId="31E69061" w:rsidR="00734A78" w:rsidRPr="00A443C2" w:rsidRDefault="00734A78" w:rsidP="00734A7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C060F">
              <w:rPr>
                <w:rFonts w:ascii="Tahoma" w:hAnsi="Tahoma" w:cs="Tahoma"/>
                <w:b/>
                <w:bCs/>
                <w:iCs/>
                <w:color w:val="243285"/>
                <w:szCs w:val="24"/>
              </w:rPr>
              <w:t>08</w:t>
            </w:r>
            <w:r w:rsidRPr="00A443C2">
              <w:rPr>
                <w:rFonts w:ascii="Tahoma" w:hAnsi="Tahoma" w:cs="Tahoma"/>
                <w:b/>
                <w:bCs/>
                <w:iCs/>
                <w:color w:val="243285"/>
                <w:szCs w:val="24"/>
              </w:rPr>
              <w:t>/</w:t>
            </w:r>
            <w:r>
              <w:rPr>
                <w:rFonts w:ascii="Tahoma" w:hAnsi="Tahoma" w:cs="Tahoma"/>
                <w:b/>
                <w:bCs/>
                <w:iCs/>
                <w:color w:val="243285"/>
                <w:szCs w:val="24"/>
              </w:rPr>
              <w:t>201</w:t>
            </w:r>
            <w:r w:rsidR="006C060F">
              <w:rPr>
                <w:rFonts w:ascii="Tahoma" w:hAnsi="Tahoma" w:cs="Tahoma"/>
                <w:b/>
                <w:bCs/>
                <w:iCs/>
                <w:color w:val="243285"/>
                <w:szCs w:val="24"/>
              </w:rPr>
              <w:t>9</w:t>
            </w:r>
            <w:r w:rsidRPr="00A443C2">
              <w:rPr>
                <w:rFonts w:ascii="Tahoma" w:hAnsi="Tahoma" w:cs="Tahoma"/>
                <w:b/>
                <w:bCs/>
                <w:iCs/>
                <w:color w:val="243285"/>
                <w:szCs w:val="24"/>
              </w:rPr>
              <w:t>)</w:t>
            </w:r>
          </w:p>
        </w:tc>
      </w:tr>
      <w:tr w:rsidR="00734A78" w:rsidRPr="00F54FBD" w14:paraId="6DAA9167" w14:textId="77777777" w:rsidTr="00460F3C">
        <w:tc>
          <w:tcPr>
            <w:tcW w:w="10089" w:type="dxa"/>
          </w:tcPr>
          <w:p w14:paraId="31EDD4CD" w14:textId="77777777" w:rsidR="00734A78" w:rsidRDefault="00734A78" w:rsidP="00460F3C">
            <w:pPr>
              <w:spacing w:before="80" w:line="500" w:lineRule="exact"/>
              <w:jc w:val="right"/>
              <w:rPr>
                <w:rFonts w:ascii="Tahoma" w:hAnsi="Tahoma" w:cs="Tahoma"/>
                <w:b/>
                <w:bCs/>
                <w:iCs/>
                <w:color w:val="243285"/>
                <w:sz w:val="44"/>
                <w:szCs w:val="44"/>
              </w:rPr>
            </w:pPr>
          </w:p>
          <w:p w14:paraId="0C0993C5" w14:textId="77777777" w:rsidR="00734A78" w:rsidRDefault="00734A78" w:rsidP="00734A78">
            <w:pPr>
              <w:spacing w:before="80" w:line="500" w:lineRule="exact"/>
              <w:jc w:val="right"/>
              <w:rPr>
                <w:rFonts w:ascii="Tahoma" w:hAnsi="Tahoma" w:cs="Tahoma"/>
                <w:b/>
                <w:bCs/>
                <w:iCs/>
                <w:color w:val="243285"/>
                <w:sz w:val="44"/>
                <w:szCs w:val="44"/>
              </w:rPr>
            </w:pPr>
            <w:r w:rsidRPr="00734A78">
              <w:rPr>
                <w:rFonts w:ascii="Tahoma" w:hAnsi="Tahoma" w:cs="Tahoma"/>
                <w:b/>
                <w:bCs/>
                <w:iCs/>
                <w:color w:val="243285"/>
                <w:sz w:val="44"/>
                <w:szCs w:val="44"/>
              </w:rPr>
              <w:t xml:space="preserve">Critères de partage et de coordination applicables aux liaisons de service des systèmes de collecte de données utilisant des satellites géostationnaires des services d'exploration de la Terre par satellite </w:t>
            </w:r>
            <w:r w:rsidRPr="00734A78">
              <w:rPr>
                <w:rFonts w:ascii="Tahoma" w:hAnsi="Tahoma" w:cs="Tahoma"/>
                <w:b/>
                <w:bCs/>
                <w:iCs/>
                <w:color w:val="243285"/>
                <w:sz w:val="44"/>
                <w:szCs w:val="44"/>
              </w:rPr>
              <w:br/>
              <w:t>et de météorologie par satellite</w:t>
            </w:r>
          </w:p>
          <w:p w14:paraId="66769121" w14:textId="77777777" w:rsidR="00734A78" w:rsidRPr="00F54FBD" w:rsidRDefault="00734A78" w:rsidP="00460F3C">
            <w:pPr>
              <w:spacing w:before="80" w:line="500" w:lineRule="exact"/>
              <w:jc w:val="right"/>
              <w:rPr>
                <w:rFonts w:ascii="Tahoma" w:hAnsi="Tahoma" w:cs="Tahoma"/>
                <w:b/>
                <w:bCs/>
                <w:iCs/>
                <w:color w:val="243285"/>
                <w:sz w:val="44"/>
                <w:szCs w:val="44"/>
              </w:rPr>
            </w:pPr>
          </w:p>
        </w:tc>
      </w:tr>
      <w:tr w:rsidR="00734A78" w:rsidRPr="00F54FBD" w14:paraId="59A0F659" w14:textId="77777777" w:rsidTr="00460F3C">
        <w:tc>
          <w:tcPr>
            <w:tcW w:w="10089" w:type="dxa"/>
          </w:tcPr>
          <w:p w14:paraId="43990445" w14:textId="77777777" w:rsidR="00734A78" w:rsidRPr="00F54FBD" w:rsidRDefault="00734A78" w:rsidP="00460F3C">
            <w:pPr>
              <w:spacing w:before="80" w:line="280" w:lineRule="exact"/>
              <w:ind w:right="640"/>
              <w:rPr>
                <w:rFonts w:ascii="Tahoma" w:hAnsi="Tahoma" w:cs="Tahoma"/>
                <w:b/>
                <w:bCs/>
                <w:iCs/>
                <w:color w:val="243285"/>
                <w:sz w:val="32"/>
                <w:szCs w:val="32"/>
              </w:rPr>
            </w:pPr>
          </w:p>
          <w:p w14:paraId="60459B9D" w14:textId="77777777" w:rsidR="00734A78" w:rsidRPr="00F54FBD" w:rsidRDefault="00734A78" w:rsidP="00460F3C">
            <w:pPr>
              <w:spacing w:before="80" w:line="280" w:lineRule="exact"/>
              <w:ind w:right="640"/>
              <w:rPr>
                <w:rFonts w:ascii="Tahoma" w:hAnsi="Tahoma" w:cs="Tahoma"/>
                <w:b/>
                <w:bCs/>
                <w:iCs/>
                <w:color w:val="243285"/>
                <w:sz w:val="32"/>
                <w:szCs w:val="32"/>
              </w:rPr>
            </w:pPr>
          </w:p>
          <w:p w14:paraId="696FB9FD" w14:textId="77777777" w:rsidR="00734A78" w:rsidRPr="00F54FBD" w:rsidRDefault="00734A78" w:rsidP="00460F3C">
            <w:pPr>
              <w:spacing w:before="80" w:after="180" w:line="360" w:lineRule="exact"/>
              <w:ind w:right="720"/>
              <w:rPr>
                <w:rFonts w:ascii="Tahoma" w:hAnsi="Tahoma" w:cs="Tahoma"/>
                <w:b/>
                <w:bCs/>
                <w:iCs/>
                <w:color w:val="243285"/>
                <w:sz w:val="36"/>
                <w:szCs w:val="36"/>
              </w:rPr>
            </w:pPr>
          </w:p>
          <w:p w14:paraId="7E3F0496" w14:textId="77777777" w:rsidR="00734A78" w:rsidRPr="00F54FBD" w:rsidRDefault="00734A78" w:rsidP="00460F3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14:paraId="529FDAFD" w14:textId="77777777" w:rsidR="00734A78" w:rsidRPr="00F54FBD" w:rsidRDefault="00734A78" w:rsidP="00460F3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14:paraId="0F179764" w14:textId="77777777" w:rsidR="00734A78" w:rsidRPr="00F54FBD" w:rsidRDefault="00734A78" w:rsidP="00734A78">
      <w:pPr>
        <w:spacing w:before="80"/>
        <w:rPr>
          <w:i/>
          <w:sz w:val="22"/>
        </w:rPr>
      </w:pPr>
    </w:p>
    <w:p w14:paraId="17178FC1" w14:textId="77777777" w:rsidR="00734A78" w:rsidRPr="00F54FBD" w:rsidRDefault="00734A78" w:rsidP="00734A78">
      <w:pPr>
        <w:spacing w:before="80"/>
        <w:rPr>
          <w:i/>
          <w:sz w:val="22"/>
        </w:rPr>
      </w:pPr>
    </w:p>
    <w:p w14:paraId="7DF289F8" w14:textId="77777777" w:rsidR="00734A78" w:rsidRPr="00F54FBD" w:rsidRDefault="00734A78" w:rsidP="00734A78">
      <w:pPr>
        <w:spacing w:before="80"/>
        <w:rPr>
          <w:i/>
          <w:sz w:val="22"/>
        </w:rPr>
      </w:pPr>
    </w:p>
    <w:p w14:paraId="5CA3EB66" w14:textId="77777777" w:rsidR="00734A78" w:rsidRPr="00F54FBD" w:rsidRDefault="00734A78" w:rsidP="00734A78">
      <w:pPr>
        <w:spacing w:before="80"/>
        <w:rPr>
          <w:i/>
          <w:sz w:val="22"/>
        </w:rPr>
      </w:pPr>
    </w:p>
    <w:p w14:paraId="178A8F15" w14:textId="77777777" w:rsidR="00734A78" w:rsidRPr="00F54FBD" w:rsidRDefault="00734A78" w:rsidP="00734A78">
      <w:pPr>
        <w:spacing w:before="80"/>
        <w:rPr>
          <w:i/>
          <w:sz w:val="22"/>
        </w:rPr>
      </w:pPr>
    </w:p>
    <w:p w14:paraId="399FE91A" w14:textId="77777777" w:rsidR="00734A78" w:rsidRPr="00F54FBD" w:rsidRDefault="00734A78" w:rsidP="00734A78">
      <w:pPr>
        <w:spacing w:before="80"/>
        <w:rPr>
          <w:i/>
          <w:sz w:val="22"/>
        </w:rPr>
      </w:pPr>
    </w:p>
    <w:p w14:paraId="46BE676E" w14:textId="77777777" w:rsidR="00734A78" w:rsidRPr="00F54FBD" w:rsidRDefault="00734A78" w:rsidP="00734A78">
      <w:pPr>
        <w:pStyle w:val="Equation"/>
        <w:tabs>
          <w:tab w:val="clear" w:pos="4820"/>
          <w:tab w:val="clear" w:pos="9639"/>
          <w:tab w:val="left" w:pos="1191"/>
          <w:tab w:val="left" w:pos="1588"/>
          <w:tab w:val="left" w:pos="1985"/>
        </w:tabs>
        <w:rPr>
          <w:rFonts w:ascii="Palatino Linotype" w:hAnsi="Palatino Linotype"/>
        </w:rPr>
        <w:sectPr w:rsidR="00734A78" w:rsidRPr="00F54FBD">
          <w:headerReference w:type="even" r:id="rId6"/>
          <w:headerReference w:type="default" r:id="rId7"/>
          <w:pgSz w:w="11907" w:h="16840" w:code="9"/>
          <w:pgMar w:top="1089" w:right="1089" w:bottom="284" w:left="1089" w:header="567" w:footer="284" w:gutter="0"/>
          <w:pgNumType w:start="1"/>
          <w:cols w:space="720"/>
        </w:sectPr>
      </w:pPr>
    </w:p>
    <w:p w14:paraId="1192D0C3" w14:textId="77777777" w:rsidR="00734A78" w:rsidRPr="00F54FBD" w:rsidRDefault="00734A78" w:rsidP="00734A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85F8E99" w14:textId="77777777" w:rsidR="00734A78" w:rsidRPr="00F54FBD" w:rsidRDefault="00734A78" w:rsidP="00734A7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4EE618C" w14:textId="77777777" w:rsidR="00734A78" w:rsidRPr="00F54FBD" w:rsidRDefault="00734A78" w:rsidP="00734A7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820E2CC" w14:textId="77777777" w:rsidR="00734A78" w:rsidRPr="00E44CBB" w:rsidRDefault="00734A78" w:rsidP="00734A7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40A962A8" w14:textId="77777777" w:rsidR="00734A78" w:rsidRPr="00E44CBB" w:rsidRDefault="00734A78" w:rsidP="00734A7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3D3AA9DD" w14:textId="77777777" w:rsidR="00734A78" w:rsidRPr="0086089D" w:rsidRDefault="00734A78" w:rsidP="00734A7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34A78" w:rsidRPr="009454F8" w14:paraId="6D933049" w14:textId="77777777" w:rsidTr="005D2939">
        <w:tc>
          <w:tcPr>
            <w:tcW w:w="9321" w:type="dxa"/>
            <w:gridSpan w:val="2"/>
          </w:tcPr>
          <w:p w14:paraId="0E934D2B" w14:textId="77777777" w:rsidR="00734A78" w:rsidRPr="009454F8" w:rsidRDefault="00734A78" w:rsidP="00460F3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40421D8" w14:textId="77777777" w:rsidR="00734A78" w:rsidRPr="009454F8"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34A78" w:rsidRPr="00036EE3" w14:paraId="42D9E06E" w14:textId="77777777" w:rsidTr="005D2939">
        <w:tc>
          <w:tcPr>
            <w:tcW w:w="1138" w:type="dxa"/>
            <w:tcBorders>
              <w:bottom w:val="nil"/>
            </w:tcBorders>
          </w:tcPr>
          <w:p w14:paraId="42B05209" w14:textId="77777777" w:rsidR="00734A78" w:rsidRPr="00614CC6" w:rsidRDefault="00734A78" w:rsidP="00460F3C">
            <w:pPr>
              <w:spacing w:before="90" w:after="100"/>
              <w:ind w:left="57"/>
              <w:rPr>
                <w:b/>
                <w:bCs/>
                <w:sz w:val="20"/>
                <w:lang w:val="en-US"/>
              </w:rPr>
            </w:pPr>
            <w:r w:rsidRPr="00614CC6">
              <w:rPr>
                <w:b/>
                <w:bCs/>
                <w:sz w:val="20"/>
                <w:lang w:val="en-US"/>
              </w:rPr>
              <w:t>Séries</w:t>
            </w:r>
          </w:p>
        </w:tc>
        <w:tc>
          <w:tcPr>
            <w:tcW w:w="8183" w:type="dxa"/>
            <w:tcBorders>
              <w:bottom w:val="nil"/>
            </w:tcBorders>
          </w:tcPr>
          <w:p w14:paraId="0148044E" w14:textId="77777777"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34A78" w:rsidRPr="005E427C" w14:paraId="7278C631" w14:textId="77777777" w:rsidTr="005D2939">
        <w:tc>
          <w:tcPr>
            <w:tcW w:w="1138" w:type="dxa"/>
            <w:tcBorders>
              <w:top w:val="nil"/>
              <w:bottom w:val="nil"/>
            </w:tcBorders>
            <w:shd w:val="clear" w:color="auto" w:fill="auto"/>
          </w:tcPr>
          <w:p w14:paraId="3B83A95D" w14:textId="77777777" w:rsidR="00734A78" w:rsidRPr="005E427C" w:rsidRDefault="00734A78" w:rsidP="00460F3C">
            <w:pPr>
              <w:spacing w:before="30" w:after="30"/>
              <w:ind w:left="57"/>
              <w:jc w:val="left"/>
              <w:rPr>
                <w:b/>
                <w:bCs/>
                <w:sz w:val="20"/>
                <w:lang w:val="en-US"/>
              </w:rPr>
            </w:pPr>
            <w:r w:rsidRPr="005E427C">
              <w:rPr>
                <w:b/>
                <w:bCs/>
                <w:sz w:val="20"/>
                <w:lang w:val="en-US"/>
              </w:rPr>
              <w:t>BO</w:t>
            </w:r>
          </w:p>
        </w:tc>
        <w:tc>
          <w:tcPr>
            <w:tcW w:w="8183" w:type="dxa"/>
            <w:tcBorders>
              <w:top w:val="nil"/>
              <w:bottom w:val="nil"/>
            </w:tcBorders>
            <w:shd w:val="clear" w:color="auto" w:fill="auto"/>
          </w:tcPr>
          <w:p w14:paraId="45052C14" w14:textId="77777777" w:rsidR="00734A78" w:rsidRPr="005E427C"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34A78" w:rsidRPr="009454F8" w14:paraId="51F804A6" w14:textId="77777777" w:rsidTr="005D2939">
        <w:tc>
          <w:tcPr>
            <w:tcW w:w="1138" w:type="dxa"/>
            <w:tcBorders>
              <w:top w:val="nil"/>
              <w:bottom w:val="nil"/>
            </w:tcBorders>
          </w:tcPr>
          <w:p w14:paraId="1E583838" w14:textId="77777777" w:rsidR="00734A78" w:rsidRPr="00614CC6" w:rsidRDefault="00734A78" w:rsidP="00460F3C">
            <w:pPr>
              <w:spacing w:before="30" w:after="30"/>
              <w:ind w:left="57"/>
              <w:jc w:val="left"/>
              <w:rPr>
                <w:b/>
                <w:bCs/>
                <w:sz w:val="20"/>
                <w:lang w:val="en-US"/>
              </w:rPr>
            </w:pPr>
            <w:r w:rsidRPr="00614CC6">
              <w:rPr>
                <w:b/>
                <w:bCs/>
                <w:sz w:val="20"/>
                <w:lang w:val="en-US"/>
              </w:rPr>
              <w:t>BR</w:t>
            </w:r>
          </w:p>
        </w:tc>
        <w:tc>
          <w:tcPr>
            <w:tcW w:w="8183" w:type="dxa"/>
            <w:tcBorders>
              <w:top w:val="nil"/>
              <w:bottom w:val="nil"/>
            </w:tcBorders>
          </w:tcPr>
          <w:p w14:paraId="39717DE8" w14:textId="77777777"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34A78" w:rsidRPr="00E80F1D" w14:paraId="1B4C4084" w14:textId="77777777" w:rsidTr="005D2939">
        <w:tc>
          <w:tcPr>
            <w:tcW w:w="1138" w:type="dxa"/>
            <w:tcBorders>
              <w:top w:val="nil"/>
              <w:bottom w:val="nil"/>
            </w:tcBorders>
            <w:shd w:val="clear" w:color="auto" w:fill="auto"/>
          </w:tcPr>
          <w:p w14:paraId="32D72634" w14:textId="77777777" w:rsidR="00734A78" w:rsidRPr="00E80F1D" w:rsidRDefault="00734A78" w:rsidP="00460F3C">
            <w:pPr>
              <w:spacing w:before="30" w:after="30"/>
              <w:ind w:left="57"/>
              <w:jc w:val="left"/>
              <w:rPr>
                <w:b/>
                <w:bCs/>
                <w:sz w:val="20"/>
                <w:lang w:val="en-US"/>
              </w:rPr>
            </w:pPr>
            <w:r w:rsidRPr="00E80F1D">
              <w:rPr>
                <w:b/>
                <w:bCs/>
                <w:sz w:val="20"/>
                <w:lang w:val="en-US"/>
              </w:rPr>
              <w:t>BS</w:t>
            </w:r>
          </w:p>
        </w:tc>
        <w:tc>
          <w:tcPr>
            <w:tcW w:w="8183" w:type="dxa"/>
            <w:tcBorders>
              <w:top w:val="nil"/>
              <w:bottom w:val="nil"/>
            </w:tcBorders>
            <w:shd w:val="clear" w:color="auto" w:fill="auto"/>
          </w:tcPr>
          <w:p w14:paraId="02E160D3" w14:textId="77777777" w:rsidR="00734A78" w:rsidRPr="00E80F1D"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34A78" w:rsidRPr="00ED2695" w14:paraId="3FB59D79" w14:textId="77777777" w:rsidTr="005D2939">
        <w:tc>
          <w:tcPr>
            <w:tcW w:w="1138" w:type="dxa"/>
            <w:tcBorders>
              <w:top w:val="nil"/>
              <w:bottom w:val="nil"/>
            </w:tcBorders>
            <w:shd w:val="clear" w:color="auto" w:fill="auto"/>
          </w:tcPr>
          <w:p w14:paraId="5753D4D5" w14:textId="77777777" w:rsidR="00734A78" w:rsidRPr="00614CC6" w:rsidRDefault="00734A78" w:rsidP="00460F3C">
            <w:pPr>
              <w:spacing w:before="30" w:after="30"/>
              <w:ind w:left="57"/>
              <w:jc w:val="left"/>
              <w:rPr>
                <w:b/>
                <w:bCs/>
                <w:sz w:val="20"/>
                <w:lang w:val="en-US"/>
              </w:rPr>
            </w:pPr>
            <w:r w:rsidRPr="00614CC6">
              <w:rPr>
                <w:b/>
                <w:bCs/>
                <w:sz w:val="20"/>
                <w:lang w:val="en-US"/>
              </w:rPr>
              <w:t>BT</w:t>
            </w:r>
          </w:p>
        </w:tc>
        <w:tc>
          <w:tcPr>
            <w:tcW w:w="8183" w:type="dxa"/>
            <w:tcBorders>
              <w:top w:val="nil"/>
              <w:bottom w:val="nil"/>
            </w:tcBorders>
            <w:shd w:val="clear" w:color="auto" w:fill="auto"/>
          </w:tcPr>
          <w:p w14:paraId="4618C7CB" w14:textId="77777777" w:rsidR="00734A78" w:rsidRPr="00614CC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34A78" w:rsidRPr="00DE5EA2" w14:paraId="58962168" w14:textId="77777777" w:rsidTr="005D2939">
        <w:tc>
          <w:tcPr>
            <w:tcW w:w="1138" w:type="dxa"/>
            <w:tcBorders>
              <w:top w:val="nil"/>
              <w:bottom w:val="nil"/>
            </w:tcBorders>
            <w:shd w:val="clear" w:color="auto" w:fill="auto"/>
          </w:tcPr>
          <w:p w14:paraId="356705EC" w14:textId="77777777" w:rsidR="00734A78" w:rsidRPr="00DE5EA2" w:rsidRDefault="00734A78" w:rsidP="00460F3C">
            <w:pPr>
              <w:spacing w:before="30" w:after="30"/>
              <w:ind w:left="57"/>
              <w:jc w:val="left"/>
              <w:rPr>
                <w:b/>
                <w:bCs/>
                <w:sz w:val="20"/>
                <w:lang w:val="fr-CH"/>
              </w:rPr>
            </w:pPr>
            <w:r w:rsidRPr="00DE5EA2">
              <w:rPr>
                <w:b/>
                <w:bCs/>
                <w:sz w:val="20"/>
                <w:lang w:val="fr-CH"/>
              </w:rPr>
              <w:t>F</w:t>
            </w:r>
          </w:p>
        </w:tc>
        <w:tc>
          <w:tcPr>
            <w:tcW w:w="8183" w:type="dxa"/>
            <w:tcBorders>
              <w:top w:val="nil"/>
              <w:bottom w:val="nil"/>
            </w:tcBorders>
            <w:shd w:val="clear" w:color="auto" w:fill="auto"/>
          </w:tcPr>
          <w:p w14:paraId="4C5AF5D7" w14:textId="77777777" w:rsidR="00734A78" w:rsidRPr="00DE5EA2"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34A78" w:rsidRPr="00B21066" w14:paraId="41E72176" w14:textId="77777777" w:rsidTr="005D2939">
        <w:tc>
          <w:tcPr>
            <w:tcW w:w="1138" w:type="dxa"/>
            <w:tcBorders>
              <w:top w:val="nil"/>
              <w:bottom w:val="nil"/>
            </w:tcBorders>
            <w:shd w:val="clear" w:color="auto" w:fill="auto"/>
          </w:tcPr>
          <w:p w14:paraId="128C66A1" w14:textId="77777777" w:rsidR="00734A78" w:rsidRPr="00B21066" w:rsidRDefault="00734A78" w:rsidP="00460F3C">
            <w:pPr>
              <w:spacing w:before="30" w:after="30"/>
              <w:ind w:left="57"/>
              <w:jc w:val="left"/>
              <w:rPr>
                <w:b/>
                <w:bCs/>
                <w:sz w:val="20"/>
                <w:lang w:val="en-US"/>
              </w:rPr>
            </w:pPr>
            <w:r w:rsidRPr="00B21066">
              <w:rPr>
                <w:b/>
                <w:bCs/>
                <w:sz w:val="20"/>
                <w:lang w:val="en-US"/>
              </w:rPr>
              <w:t>M</w:t>
            </w:r>
          </w:p>
        </w:tc>
        <w:tc>
          <w:tcPr>
            <w:tcW w:w="8183" w:type="dxa"/>
            <w:tcBorders>
              <w:top w:val="nil"/>
              <w:bottom w:val="nil"/>
            </w:tcBorders>
            <w:shd w:val="clear" w:color="auto" w:fill="auto"/>
          </w:tcPr>
          <w:p w14:paraId="2F49EBC8" w14:textId="77777777" w:rsidR="00734A78" w:rsidRPr="00B21066" w:rsidRDefault="00734A78" w:rsidP="00460F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34A78" w:rsidRPr="00EC361D" w14:paraId="3C3E5FB0" w14:textId="77777777" w:rsidTr="005D2939">
        <w:tc>
          <w:tcPr>
            <w:tcW w:w="1138" w:type="dxa"/>
            <w:tcBorders>
              <w:top w:val="nil"/>
              <w:bottom w:val="nil"/>
            </w:tcBorders>
            <w:shd w:val="clear" w:color="auto" w:fill="auto"/>
          </w:tcPr>
          <w:p w14:paraId="5AFB827C" w14:textId="77777777" w:rsidR="00734A78" w:rsidRPr="00EC361D" w:rsidRDefault="00734A78" w:rsidP="00460F3C">
            <w:pPr>
              <w:spacing w:before="30" w:after="30"/>
              <w:ind w:left="57"/>
              <w:jc w:val="left"/>
              <w:rPr>
                <w:b/>
                <w:bCs/>
                <w:sz w:val="20"/>
                <w:lang w:val="fr-CH"/>
              </w:rPr>
            </w:pPr>
            <w:r w:rsidRPr="00EC361D">
              <w:rPr>
                <w:b/>
                <w:bCs/>
                <w:sz w:val="20"/>
                <w:lang w:val="fr-CH"/>
              </w:rPr>
              <w:t>P</w:t>
            </w:r>
          </w:p>
        </w:tc>
        <w:tc>
          <w:tcPr>
            <w:tcW w:w="8183" w:type="dxa"/>
            <w:tcBorders>
              <w:top w:val="nil"/>
              <w:bottom w:val="nil"/>
            </w:tcBorders>
            <w:shd w:val="clear" w:color="auto" w:fill="auto"/>
          </w:tcPr>
          <w:p w14:paraId="7DC9A7FC" w14:textId="77777777" w:rsidR="00734A78" w:rsidRPr="00EC361D" w:rsidRDefault="00734A78" w:rsidP="00460F3C">
            <w:pPr>
              <w:spacing w:before="30" w:after="30"/>
              <w:jc w:val="left"/>
              <w:rPr>
                <w:sz w:val="20"/>
                <w:lang w:val="fr-CH"/>
              </w:rPr>
            </w:pPr>
            <w:r w:rsidRPr="00EC361D">
              <w:rPr>
                <w:sz w:val="20"/>
              </w:rPr>
              <w:t>Propagation des ondes radioélectriques</w:t>
            </w:r>
          </w:p>
        </w:tc>
      </w:tr>
      <w:tr w:rsidR="00734A78" w:rsidRPr="004822EF" w14:paraId="57CD4060" w14:textId="77777777" w:rsidTr="005D2939">
        <w:tc>
          <w:tcPr>
            <w:tcW w:w="1138" w:type="dxa"/>
            <w:tcBorders>
              <w:top w:val="nil"/>
              <w:bottom w:val="nil"/>
            </w:tcBorders>
            <w:shd w:val="clear" w:color="auto" w:fill="auto"/>
          </w:tcPr>
          <w:p w14:paraId="3FE9C791" w14:textId="77777777" w:rsidR="00734A78" w:rsidRPr="004822EF" w:rsidRDefault="00734A78" w:rsidP="00460F3C">
            <w:pPr>
              <w:spacing w:before="30" w:after="30"/>
              <w:ind w:left="57"/>
              <w:jc w:val="left"/>
              <w:rPr>
                <w:b/>
                <w:bCs/>
                <w:sz w:val="20"/>
                <w:lang w:val="en-US"/>
              </w:rPr>
            </w:pPr>
            <w:r w:rsidRPr="004822EF">
              <w:rPr>
                <w:b/>
                <w:bCs/>
                <w:sz w:val="20"/>
                <w:lang w:val="en-US"/>
              </w:rPr>
              <w:t>RA</w:t>
            </w:r>
          </w:p>
        </w:tc>
        <w:tc>
          <w:tcPr>
            <w:tcW w:w="8183" w:type="dxa"/>
            <w:tcBorders>
              <w:top w:val="nil"/>
              <w:bottom w:val="nil"/>
            </w:tcBorders>
            <w:shd w:val="clear" w:color="auto" w:fill="auto"/>
          </w:tcPr>
          <w:p w14:paraId="0699DD59" w14:textId="77777777" w:rsidR="00734A78" w:rsidRPr="004822EF"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34A78" w:rsidRPr="00326525" w14:paraId="3F297FD6" w14:textId="77777777" w:rsidTr="005D2939">
        <w:tc>
          <w:tcPr>
            <w:tcW w:w="1138" w:type="dxa"/>
            <w:tcBorders>
              <w:top w:val="nil"/>
              <w:bottom w:val="nil"/>
            </w:tcBorders>
            <w:shd w:val="clear" w:color="auto" w:fill="auto"/>
          </w:tcPr>
          <w:p w14:paraId="782B80AF" w14:textId="77777777" w:rsidR="00734A78" w:rsidRPr="00326525" w:rsidRDefault="00734A78" w:rsidP="00460F3C">
            <w:pPr>
              <w:spacing w:before="30" w:after="30"/>
              <w:ind w:left="57"/>
              <w:jc w:val="left"/>
              <w:rPr>
                <w:b/>
                <w:bCs/>
                <w:sz w:val="20"/>
                <w:lang w:val="en-US"/>
              </w:rPr>
            </w:pPr>
            <w:r w:rsidRPr="00326525">
              <w:rPr>
                <w:b/>
                <w:bCs/>
                <w:sz w:val="20"/>
                <w:lang w:val="en-US"/>
              </w:rPr>
              <w:t>RS</w:t>
            </w:r>
          </w:p>
        </w:tc>
        <w:tc>
          <w:tcPr>
            <w:tcW w:w="8183" w:type="dxa"/>
            <w:tcBorders>
              <w:top w:val="nil"/>
              <w:bottom w:val="nil"/>
            </w:tcBorders>
            <w:shd w:val="clear" w:color="auto" w:fill="auto"/>
          </w:tcPr>
          <w:p w14:paraId="37F4A34D" w14:textId="77777777" w:rsidR="00734A78" w:rsidRPr="00326525" w:rsidRDefault="00734A78" w:rsidP="00460F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34A78" w:rsidRPr="00C40D3E" w14:paraId="490EF8AB" w14:textId="77777777" w:rsidTr="005D2939">
        <w:tc>
          <w:tcPr>
            <w:tcW w:w="1138" w:type="dxa"/>
            <w:tcBorders>
              <w:top w:val="nil"/>
              <w:bottom w:val="nil"/>
            </w:tcBorders>
            <w:shd w:val="clear" w:color="auto" w:fill="auto"/>
          </w:tcPr>
          <w:p w14:paraId="361A1DCB" w14:textId="77777777" w:rsidR="00734A78" w:rsidRPr="00C40D3E" w:rsidRDefault="00734A78" w:rsidP="00460F3C">
            <w:pPr>
              <w:spacing w:before="30" w:after="30"/>
              <w:ind w:left="57"/>
              <w:jc w:val="left"/>
              <w:rPr>
                <w:b/>
                <w:bCs/>
                <w:sz w:val="20"/>
                <w:lang w:val="en-US"/>
              </w:rPr>
            </w:pPr>
            <w:r w:rsidRPr="00C40D3E">
              <w:rPr>
                <w:b/>
                <w:bCs/>
                <w:sz w:val="20"/>
                <w:lang w:val="en-US"/>
              </w:rPr>
              <w:t>S</w:t>
            </w:r>
          </w:p>
        </w:tc>
        <w:tc>
          <w:tcPr>
            <w:tcW w:w="8183" w:type="dxa"/>
            <w:tcBorders>
              <w:top w:val="nil"/>
              <w:bottom w:val="nil"/>
            </w:tcBorders>
            <w:shd w:val="clear" w:color="auto" w:fill="auto"/>
          </w:tcPr>
          <w:p w14:paraId="22F5C18D" w14:textId="77777777" w:rsidR="00734A78" w:rsidRPr="00C40D3E" w:rsidRDefault="00734A78" w:rsidP="00460F3C">
            <w:pPr>
              <w:spacing w:before="30" w:after="30"/>
              <w:jc w:val="left"/>
              <w:rPr>
                <w:sz w:val="20"/>
                <w:lang w:val="en-US"/>
              </w:rPr>
            </w:pPr>
            <w:r w:rsidRPr="00C40D3E">
              <w:rPr>
                <w:sz w:val="20"/>
              </w:rPr>
              <w:t>Service fixe par satellite</w:t>
            </w:r>
          </w:p>
        </w:tc>
      </w:tr>
      <w:tr w:rsidR="00734A78" w:rsidRPr="00C40D3E" w14:paraId="3D8DEEF4" w14:textId="77777777" w:rsidTr="005D2939">
        <w:tc>
          <w:tcPr>
            <w:tcW w:w="1138" w:type="dxa"/>
            <w:tcBorders>
              <w:top w:val="nil"/>
              <w:bottom w:val="nil"/>
            </w:tcBorders>
            <w:shd w:val="clear" w:color="auto" w:fill="F3F3F3"/>
          </w:tcPr>
          <w:p w14:paraId="5E6685AC" w14:textId="77777777" w:rsidR="00734A78" w:rsidRPr="00C40D3E" w:rsidRDefault="00734A78" w:rsidP="00460F3C">
            <w:pPr>
              <w:spacing w:before="30" w:after="30"/>
              <w:ind w:left="57"/>
              <w:jc w:val="left"/>
              <w:rPr>
                <w:b/>
                <w:bCs/>
                <w:color w:val="000080"/>
                <w:sz w:val="20"/>
                <w:lang w:val="en-US"/>
              </w:rPr>
            </w:pPr>
            <w:r w:rsidRPr="00C40D3E">
              <w:rPr>
                <w:b/>
                <w:bCs/>
                <w:color w:val="000080"/>
                <w:sz w:val="20"/>
                <w:lang w:val="en-US"/>
              </w:rPr>
              <w:t>SA</w:t>
            </w:r>
          </w:p>
        </w:tc>
        <w:tc>
          <w:tcPr>
            <w:tcW w:w="8183" w:type="dxa"/>
            <w:tcBorders>
              <w:top w:val="nil"/>
              <w:bottom w:val="nil"/>
            </w:tcBorders>
            <w:shd w:val="clear" w:color="auto" w:fill="F3F3F3"/>
          </w:tcPr>
          <w:p w14:paraId="1E22F140" w14:textId="77777777" w:rsidR="00734A78" w:rsidRPr="00C40D3E" w:rsidRDefault="00734A78" w:rsidP="00460F3C">
            <w:pPr>
              <w:spacing w:before="30" w:after="30"/>
              <w:jc w:val="left"/>
              <w:rPr>
                <w:b/>
                <w:bCs/>
                <w:color w:val="000080"/>
                <w:sz w:val="20"/>
                <w:lang w:val="en-US"/>
              </w:rPr>
            </w:pPr>
            <w:r w:rsidRPr="00C40D3E">
              <w:rPr>
                <w:b/>
                <w:bCs/>
                <w:color w:val="000080"/>
                <w:sz w:val="20"/>
              </w:rPr>
              <w:t>Applications spatiales et météorologie</w:t>
            </w:r>
          </w:p>
        </w:tc>
      </w:tr>
      <w:tr w:rsidR="00734A78" w:rsidRPr="00614CC6" w14:paraId="5F32E117" w14:textId="77777777" w:rsidTr="005D2939">
        <w:tc>
          <w:tcPr>
            <w:tcW w:w="1138" w:type="dxa"/>
            <w:tcBorders>
              <w:top w:val="nil"/>
            </w:tcBorders>
          </w:tcPr>
          <w:p w14:paraId="0914E428" w14:textId="77777777" w:rsidR="00734A78" w:rsidRPr="00614CC6" w:rsidRDefault="00734A78" w:rsidP="00460F3C">
            <w:pPr>
              <w:spacing w:before="30" w:after="30"/>
              <w:ind w:left="57"/>
              <w:jc w:val="left"/>
              <w:rPr>
                <w:b/>
                <w:bCs/>
                <w:sz w:val="20"/>
                <w:lang w:val="en-US"/>
              </w:rPr>
            </w:pPr>
            <w:r w:rsidRPr="00614CC6">
              <w:rPr>
                <w:b/>
                <w:bCs/>
                <w:sz w:val="20"/>
                <w:lang w:val="en-US"/>
              </w:rPr>
              <w:t>SF</w:t>
            </w:r>
          </w:p>
        </w:tc>
        <w:tc>
          <w:tcPr>
            <w:tcW w:w="8183" w:type="dxa"/>
            <w:tcBorders>
              <w:top w:val="nil"/>
            </w:tcBorders>
          </w:tcPr>
          <w:p w14:paraId="01817A06" w14:textId="77777777" w:rsidR="00734A78" w:rsidRPr="00614CC6" w:rsidRDefault="00734A78" w:rsidP="005D2939">
            <w:pPr>
              <w:spacing w:before="30" w:after="30"/>
              <w:jc w:val="left"/>
              <w:rPr>
                <w:sz w:val="20"/>
              </w:rPr>
            </w:pPr>
            <w:r w:rsidRPr="00614CC6">
              <w:rPr>
                <w:sz w:val="20"/>
              </w:rPr>
              <w:t>Partage des fréquences et coordination entre les systèmes du service fixe par satellite et du service</w:t>
            </w:r>
            <w:r w:rsidR="005D2939">
              <w:rPr>
                <w:sz w:val="20"/>
              </w:rPr>
              <w:t> </w:t>
            </w:r>
            <w:r w:rsidRPr="00614CC6">
              <w:rPr>
                <w:sz w:val="20"/>
              </w:rPr>
              <w:t>fixe</w:t>
            </w:r>
          </w:p>
        </w:tc>
      </w:tr>
      <w:tr w:rsidR="00734A78" w:rsidRPr="00036EE3" w14:paraId="466EB581" w14:textId="77777777" w:rsidTr="005D2939">
        <w:tc>
          <w:tcPr>
            <w:tcW w:w="1138" w:type="dxa"/>
            <w:shd w:val="clear" w:color="auto" w:fill="auto"/>
          </w:tcPr>
          <w:p w14:paraId="3DF20FF1" w14:textId="77777777" w:rsidR="00734A78" w:rsidRPr="00592F9F" w:rsidRDefault="00734A78" w:rsidP="00460F3C">
            <w:pPr>
              <w:spacing w:before="30" w:after="30"/>
              <w:ind w:left="57"/>
              <w:jc w:val="left"/>
              <w:rPr>
                <w:b/>
                <w:bCs/>
                <w:sz w:val="20"/>
                <w:lang w:val="en-US"/>
              </w:rPr>
            </w:pPr>
            <w:r w:rsidRPr="00592F9F">
              <w:rPr>
                <w:b/>
                <w:bCs/>
                <w:sz w:val="20"/>
                <w:lang w:val="en-US"/>
              </w:rPr>
              <w:t>SM</w:t>
            </w:r>
          </w:p>
        </w:tc>
        <w:tc>
          <w:tcPr>
            <w:tcW w:w="8183" w:type="dxa"/>
            <w:shd w:val="clear" w:color="auto" w:fill="auto"/>
          </w:tcPr>
          <w:p w14:paraId="0A5A54AA" w14:textId="77777777" w:rsidR="00734A78" w:rsidRPr="00592F9F" w:rsidRDefault="00734A78" w:rsidP="00460F3C">
            <w:pPr>
              <w:spacing w:before="30" w:after="30"/>
              <w:jc w:val="left"/>
              <w:rPr>
                <w:sz w:val="20"/>
                <w:lang w:val="en-US"/>
              </w:rPr>
            </w:pPr>
            <w:r w:rsidRPr="00592F9F">
              <w:rPr>
                <w:sz w:val="20"/>
              </w:rPr>
              <w:t>Gestion du spectre</w:t>
            </w:r>
          </w:p>
        </w:tc>
      </w:tr>
      <w:tr w:rsidR="00734A78" w:rsidRPr="00036EE3" w14:paraId="513F6D54" w14:textId="77777777" w:rsidTr="005D2939">
        <w:tc>
          <w:tcPr>
            <w:tcW w:w="1138" w:type="dxa"/>
          </w:tcPr>
          <w:p w14:paraId="2035F519" w14:textId="77777777" w:rsidR="00734A78" w:rsidRPr="00614CC6" w:rsidRDefault="00734A78" w:rsidP="00460F3C">
            <w:pPr>
              <w:spacing w:before="30" w:after="30"/>
              <w:ind w:left="57"/>
              <w:jc w:val="left"/>
              <w:rPr>
                <w:b/>
                <w:bCs/>
                <w:sz w:val="20"/>
                <w:lang w:val="en-US"/>
              </w:rPr>
            </w:pPr>
            <w:r w:rsidRPr="00614CC6">
              <w:rPr>
                <w:b/>
                <w:bCs/>
                <w:sz w:val="20"/>
                <w:lang w:val="en-US"/>
              </w:rPr>
              <w:t>SNG</w:t>
            </w:r>
          </w:p>
        </w:tc>
        <w:tc>
          <w:tcPr>
            <w:tcW w:w="8183" w:type="dxa"/>
          </w:tcPr>
          <w:p w14:paraId="510894C0" w14:textId="77777777" w:rsidR="00734A78" w:rsidRPr="00614CC6" w:rsidRDefault="00734A78" w:rsidP="00460F3C">
            <w:pPr>
              <w:spacing w:before="30" w:after="30"/>
              <w:jc w:val="left"/>
              <w:rPr>
                <w:sz w:val="20"/>
                <w:lang w:val="en-US"/>
              </w:rPr>
            </w:pPr>
            <w:r w:rsidRPr="00614CC6">
              <w:rPr>
                <w:sz w:val="20"/>
              </w:rPr>
              <w:t>Reportage d'actualités par satellite</w:t>
            </w:r>
          </w:p>
        </w:tc>
      </w:tr>
      <w:tr w:rsidR="00734A78" w:rsidRPr="00614CC6" w14:paraId="486DDFE9" w14:textId="77777777" w:rsidTr="005D2939">
        <w:tc>
          <w:tcPr>
            <w:tcW w:w="1138" w:type="dxa"/>
          </w:tcPr>
          <w:p w14:paraId="095218B8" w14:textId="77777777" w:rsidR="00734A78" w:rsidRPr="00614CC6" w:rsidRDefault="00734A78" w:rsidP="00460F3C">
            <w:pPr>
              <w:spacing w:before="30" w:after="30"/>
              <w:ind w:left="57"/>
              <w:jc w:val="left"/>
              <w:rPr>
                <w:b/>
                <w:bCs/>
                <w:sz w:val="20"/>
                <w:lang w:val="en-US"/>
              </w:rPr>
            </w:pPr>
            <w:r w:rsidRPr="00614CC6">
              <w:rPr>
                <w:b/>
                <w:bCs/>
                <w:sz w:val="20"/>
                <w:lang w:val="en-US"/>
              </w:rPr>
              <w:t>TF</w:t>
            </w:r>
          </w:p>
        </w:tc>
        <w:tc>
          <w:tcPr>
            <w:tcW w:w="8183" w:type="dxa"/>
          </w:tcPr>
          <w:p w14:paraId="2D8AFF38" w14:textId="77777777" w:rsidR="00734A78" w:rsidRPr="00614CC6" w:rsidRDefault="00734A78" w:rsidP="00460F3C">
            <w:pPr>
              <w:spacing w:before="30" w:after="30"/>
              <w:jc w:val="left"/>
              <w:rPr>
                <w:sz w:val="20"/>
              </w:rPr>
            </w:pPr>
            <w:r w:rsidRPr="00614CC6">
              <w:rPr>
                <w:sz w:val="20"/>
              </w:rPr>
              <w:t>Emissions de fréquences étalon et de signaux horaires</w:t>
            </w:r>
          </w:p>
        </w:tc>
      </w:tr>
      <w:tr w:rsidR="00734A78" w:rsidRPr="00036EE3" w14:paraId="2DEB0613" w14:textId="77777777" w:rsidTr="005D2939">
        <w:tc>
          <w:tcPr>
            <w:tcW w:w="1138" w:type="dxa"/>
          </w:tcPr>
          <w:p w14:paraId="3A33BBF2" w14:textId="77777777" w:rsidR="00734A78" w:rsidRPr="00614CC6" w:rsidRDefault="00734A78" w:rsidP="00460F3C">
            <w:pPr>
              <w:spacing w:before="30" w:after="30"/>
              <w:ind w:left="57"/>
              <w:jc w:val="left"/>
              <w:rPr>
                <w:b/>
                <w:bCs/>
                <w:sz w:val="20"/>
                <w:lang w:val="en-US"/>
              </w:rPr>
            </w:pPr>
            <w:r w:rsidRPr="00614CC6">
              <w:rPr>
                <w:b/>
                <w:bCs/>
                <w:sz w:val="20"/>
                <w:lang w:val="en-US"/>
              </w:rPr>
              <w:t>V</w:t>
            </w:r>
          </w:p>
        </w:tc>
        <w:tc>
          <w:tcPr>
            <w:tcW w:w="8183" w:type="dxa"/>
          </w:tcPr>
          <w:p w14:paraId="6DBE05A2" w14:textId="77777777" w:rsidR="00734A78" w:rsidRPr="00614CC6" w:rsidRDefault="00734A78" w:rsidP="00460F3C">
            <w:pPr>
              <w:spacing w:before="30" w:after="140"/>
              <w:jc w:val="left"/>
              <w:rPr>
                <w:sz w:val="20"/>
                <w:lang w:val="en-US"/>
              </w:rPr>
            </w:pPr>
            <w:r w:rsidRPr="00614CC6">
              <w:rPr>
                <w:sz w:val="20"/>
              </w:rPr>
              <w:t>Vocabulaire et sujets associés</w:t>
            </w:r>
          </w:p>
        </w:tc>
      </w:tr>
    </w:tbl>
    <w:p w14:paraId="2C54C1DF" w14:textId="77777777" w:rsidR="00734A78" w:rsidRPr="00036EE3" w:rsidRDefault="00734A78" w:rsidP="00734A78">
      <w:pPr>
        <w:spacing w:before="0"/>
        <w:jc w:val="center"/>
        <w:rPr>
          <w:sz w:val="20"/>
          <w:lang w:val="en-US"/>
        </w:rPr>
      </w:pPr>
    </w:p>
    <w:p w14:paraId="4A9E5FFA" w14:textId="77777777" w:rsidR="00734A78" w:rsidRPr="00036EE3" w:rsidRDefault="00734A78" w:rsidP="00734A7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34A78" w:rsidRPr="00756B4D" w14:paraId="5932FBC5" w14:textId="77777777" w:rsidTr="00460F3C">
        <w:tc>
          <w:tcPr>
            <w:tcW w:w="9360" w:type="dxa"/>
          </w:tcPr>
          <w:p w14:paraId="38D4DD1A" w14:textId="77777777" w:rsidR="00734A78" w:rsidRPr="00756B4D" w:rsidRDefault="00734A78" w:rsidP="00460F3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13F19FCB" w14:textId="77777777" w:rsidR="00734A78" w:rsidRPr="00756B4D" w:rsidRDefault="00734A78" w:rsidP="00734A78">
      <w:pPr>
        <w:spacing w:before="0"/>
        <w:jc w:val="center"/>
        <w:rPr>
          <w:sz w:val="22"/>
        </w:rPr>
      </w:pPr>
    </w:p>
    <w:p w14:paraId="378BDF73" w14:textId="77777777" w:rsidR="00734A78" w:rsidRPr="00614CC6" w:rsidRDefault="00734A78" w:rsidP="00734A78">
      <w:pPr>
        <w:spacing w:before="100"/>
        <w:jc w:val="right"/>
        <w:rPr>
          <w:i/>
          <w:iCs/>
          <w:sz w:val="20"/>
        </w:rPr>
      </w:pPr>
      <w:r w:rsidRPr="00614CC6">
        <w:rPr>
          <w:i/>
          <w:iCs/>
          <w:sz w:val="20"/>
        </w:rPr>
        <w:t>Publication électronique</w:t>
      </w:r>
    </w:p>
    <w:p w14:paraId="0C081B2B" w14:textId="6AD06451" w:rsidR="00734A78" w:rsidRPr="00614CC6" w:rsidRDefault="00734A78" w:rsidP="00734A78">
      <w:pPr>
        <w:spacing w:before="0"/>
        <w:jc w:val="right"/>
        <w:rPr>
          <w:sz w:val="20"/>
        </w:rPr>
      </w:pPr>
      <w:r w:rsidRPr="00614CC6">
        <w:rPr>
          <w:sz w:val="20"/>
        </w:rPr>
        <w:t>Genève, 20</w:t>
      </w:r>
      <w:r w:rsidR="00BB2F60">
        <w:rPr>
          <w:sz w:val="20"/>
        </w:rPr>
        <w:t>20</w:t>
      </w:r>
    </w:p>
    <w:p w14:paraId="2E06F2AD" w14:textId="21B22E83" w:rsidR="00734A78" w:rsidRPr="00614CC6" w:rsidRDefault="00734A78" w:rsidP="00734A7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BB2F60">
        <w:rPr>
          <w:sz w:val="20"/>
        </w:rPr>
        <w:t>20</w:t>
      </w:r>
    </w:p>
    <w:p w14:paraId="5B989736" w14:textId="77777777" w:rsidR="00734A78" w:rsidRPr="00614CC6" w:rsidRDefault="00734A78" w:rsidP="00734A7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07EDCD95" w14:textId="77777777" w:rsidR="00734A78" w:rsidRPr="00614CC6" w:rsidRDefault="00734A78" w:rsidP="00734A78">
      <w:pPr>
        <w:spacing w:before="160"/>
        <w:rPr>
          <w:i/>
          <w:sz w:val="20"/>
          <w:highlight w:val="yellow"/>
        </w:rPr>
        <w:sectPr w:rsidR="00734A78"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48F4943C" w14:textId="0BC07265" w:rsidR="00734A78" w:rsidRPr="00756B4D" w:rsidRDefault="00734A78" w:rsidP="00734A78">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1164-</w:t>
      </w:r>
      <w:r w:rsidR="006C060F">
        <w:rPr>
          <w:rStyle w:val="href"/>
        </w:rPr>
        <w:t>4</w:t>
      </w:r>
    </w:p>
    <w:p w14:paraId="69E7AA18" w14:textId="6F98C75E" w:rsidR="00734A78" w:rsidRPr="00D00E44" w:rsidRDefault="00BB2F60" w:rsidP="00734A78">
      <w:pPr>
        <w:pStyle w:val="Rectitle"/>
      </w:pPr>
      <w:r w:rsidRPr="00BB2F60">
        <w:rPr>
          <w:bCs/>
          <w:iCs/>
        </w:rPr>
        <w:t xml:space="preserve">Critères de partage et de coordination applicables aux liaisons de service des systèmes de collecte de données utilisant des satellites géostationnaires des services d'exploration de la Terre par satellite </w:t>
      </w:r>
      <w:r w:rsidRPr="00BB2F60">
        <w:rPr>
          <w:bCs/>
          <w:iCs/>
        </w:rPr>
        <w:br/>
        <w:t>et de météorologie par satellite</w:t>
      </w:r>
    </w:p>
    <w:p w14:paraId="777554EC" w14:textId="77777777" w:rsidR="00734A78" w:rsidRPr="00D00E44" w:rsidRDefault="00734A78" w:rsidP="00734A78">
      <w:pPr>
        <w:pStyle w:val="Questionref"/>
      </w:pPr>
      <w:r w:rsidRPr="00D00E44">
        <w:t xml:space="preserve">(Question </w:t>
      </w:r>
      <w:r>
        <w:t>UIT</w:t>
      </w:r>
      <w:r w:rsidRPr="00D00E44">
        <w:t>-R 142/7)</w:t>
      </w:r>
    </w:p>
    <w:p w14:paraId="6B47EBC0" w14:textId="18538C6E" w:rsidR="00734A78" w:rsidRPr="00D00E44" w:rsidRDefault="00734A78" w:rsidP="00734A78">
      <w:pPr>
        <w:pStyle w:val="Recdate"/>
      </w:pPr>
      <w:r w:rsidRPr="00D00E44">
        <w:t>(1995-1997-1999-2018</w:t>
      </w:r>
      <w:r w:rsidR="006C060F">
        <w:t>-2019</w:t>
      </w:r>
      <w:r w:rsidRPr="00D00E44">
        <w:t>)</w:t>
      </w:r>
    </w:p>
    <w:p w14:paraId="412C1511" w14:textId="77777777" w:rsidR="00734A78" w:rsidRPr="00D00E44" w:rsidRDefault="00734A78" w:rsidP="00734A78">
      <w:pPr>
        <w:pStyle w:val="HeadingSum"/>
        <w:rPr>
          <w:lang w:val="fr-FR"/>
        </w:rPr>
      </w:pPr>
      <w:r w:rsidRPr="00D00E44">
        <w:rPr>
          <w:lang w:val="fr-FR"/>
        </w:rPr>
        <w:t>Champ d</w:t>
      </w:r>
      <w:r>
        <w:rPr>
          <w:lang w:val="fr-FR"/>
        </w:rPr>
        <w:t>'</w:t>
      </w:r>
      <w:r w:rsidRPr="00D00E44">
        <w:rPr>
          <w:lang w:val="fr-FR"/>
        </w:rPr>
        <w:t>application</w:t>
      </w:r>
    </w:p>
    <w:p w14:paraId="533111CE" w14:textId="77777777" w:rsidR="00734A78" w:rsidRPr="00D00E44" w:rsidRDefault="00734A78" w:rsidP="00734A78">
      <w:pPr>
        <w:pStyle w:val="Summary"/>
        <w:rPr>
          <w:lang w:val="fr-FR"/>
        </w:rPr>
      </w:pPr>
      <w:r w:rsidRPr="00D00E44">
        <w:rPr>
          <w:lang w:val="fr-FR"/>
        </w:rPr>
        <w:t xml:space="preserve">La présente Recommandation </w:t>
      </w:r>
      <w:r>
        <w:rPr>
          <w:lang w:val="fr-FR"/>
        </w:rPr>
        <w:t>expose</w:t>
      </w:r>
      <w:r w:rsidRPr="00D00E44">
        <w:rPr>
          <w:lang w:val="fr-FR"/>
        </w:rPr>
        <w:t xml:space="preserve"> les critères de partage et de coordination à appliquer pour protéger les liaisons de service des systèmes de collecte de données </w:t>
      </w:r>
      <w:r>
        <w:rPr>
          <w:lang w:val="fr-FR"/>
        </w:rPr>
        <w:t xml:space="preserve">utilisés </w:t>
      </w:r>
      <w:r w:rsidRPr="00D00E44">
        <w:rPr>
          <w:lang w:val="fr-FR"/>
        </w:rPr>
        <w:t>dans les services d</w:t>
      </w:r>
      <w:r>
        <w:rPr>
          <w:lang w:val="fr-FR"/>
        </w:rPr>
        <w:t>'</w:t>
      </w:r>
      <w:r w:rsidRPr="00D00E44">
        <w:rPr>
          <w:lang w:val="fr-FR"/>
        </w:rPr>
        <w:t>exploration de la Terre par satellite et de météorologie par satellite</w:t>
      </w:r>
      <w:r>
        <w:rPr>
          <w:lang w:val="fr-FR"/>
        </w:rPr>
        <w:t xml:space="preserve">, sur la base des </w:t>
      </w:r>
      <w:r w:rsidRPr="00D00E44">
        <w:rPr>
          <w:lang w:val="fr-FR"/>
        </w:rPr>
        <w:t>critères de brouillage cumulatif décrit</w:t>
      </w:r>
      <w:r>
        <w:rPr>
          <w:lang w:val="fr-FR"/>
        </w:rPr>
        <w:t>s</w:t>
      </w:r>
      <w:r w:rsidRPr="00D00E44">
        <w:rPr>
          <w:lang w:val="fr-FR"/>
        </w:rPr>
        <w:t xml:space="preserve"> dans la Recommandation UIT-R SA.1163.</w:t>
      </w:r>
    </w:p>
    <w:p w14:paraId="1C84E381" w14:textId="77777777" w:rsidR="00734A78" w:rsidRPr="00D00E44" w:rsidRDefault="00734A78" w:rsidP="00734A78">
      <w:pPr>
        <w:pStyle w:val="Headingb"/>
      </w:pPr>
      <w:r w:rsidRPr="00D00E44">
        <w:t>Mots clés</w:t>
      </w:r>
    </w:p>
    <w:p w14:paraId="31189345" w14:textId="77777777" w:rsidR="00734A78" w:rsidRPr="00D00E44" w:rsidRDefault="00734A78" w:rsidP="00734A78">
      <w:r w:rsidRPr="00D00E44">
        <w:t>Critères de partage, critères de coordination, limites de puissance, systèmes de collecte de données</w:t>
      </w:r>
    </w:p>
    <w:p w14:paraId="16D69BE1" w14:textId="77777777" w:rsidR="00734A78" w:rsidRPr="00D00E44" w:rsidRDefault="00734A78" w:rsidP="00734A78">
      <w:pPr>
        <w:pStyle w:val="Headingb"/>
      </w:pPr>
      <w:r w:rsidRPr="00D00E44">
        <w:t>Recommandations et Rapports de l</w:t>
      </w:r>
      <w:r>
        <w:t>'</w:t>
      </w:r>
      <w:r w:rsidRPr="00D00E44">
        <w:t>UIT-R connexes</w:t>
      </w:r>
    </w:p>
    <w:p w14:paraId="4226CA19" w14:textId="77777777" w:rsidR="00734A78" w:rsidRPr="00D00E44" w:rsidRDefault="00734A78" w:rsidP="00D14D2E">
      <w:pPr>
        <w:pStyle w:val="Reftext"/>
      </w:pPr>
      <w:r w:rsidRPr="00D00E44">
        <w:t>Recommandation UIT-R SA.1023 – Méthode permettant d</w:t>
      </w:r>
      <w:r>
        <w:t>'</w:t>
      </w:r>
      <w:r w:rsidRPr="00D00E44">
        <w:t>établir des critères de partage et de coordination pour les systèmes utilisés dans les services d</w:t>
      </w:r>
      <w:r>
        <w:t>'</w:t>
      </w:r>
      <w:r w:rsidRPr="00D00E44">
        <w:t>exploration de la terre par satellite et de météorologie par satellite</w:t>
      </w:r>
    </w:p>
    <w:p w14:paraId="6524063C" w14:textId="77777777" w:rsidR="00734A78" w:rsidRPr="00D00E44" w:rsidRDefault="00734A78" w:rsidP="00D14D2E">
      <w:pPr>
        <w:pStyle w:val="Reftext"/>
      </w:pPr>
      <w:r w:rsidRPr="00D00E44">
        <w:t>Recommandation UIT-R SA.1163 – Critères de brouillage applicables aux liaisons de service des systèmes de collecte de données des services d</w:t>
      </w:r>
      <w:r>
        <w:t>'</w:t>
      </w:r>
      <w:r w:rsidRPr="00D00E44">
        <w:t>exploration de la terre par satellite et de météorologie par satellite</w:t>
      </w:r>
    </w:p>
    <w:p w14:paraId="32100DE1" w14:textId="77777777" w:rsidR="00734A78" w:rsidRPr="00D00E44" w:rsidRDefault="00734A78" w:rsidP="00D14D2E">
      <w:pPr>
        <w:pStyle w:val="Reftext"/>
      </w:pPr>
      <w:r w:rsidRPr="00D00E44">
        <w:t>Recommandation UIT-R SM.1</w:t>
      </w:r>
      <w:r w:rsidR="00155F67">
        <w:t>4</w:t>
      </w:r>
      <w:r w:rsidRPr="00D00E44">
        <w:t>48 – Détermination de la zone de coordination autour d</w:t>
      </w:r>
      <w:r>
        <w:t>'</w:t>
      </w:r>
      <w:r w:rsidRPr="00D00E44">
        <w:t>une station terrienne fonctionnant dans des bandes de fréquences comprises entre 100 MHz et 105 GHz</w:t>
      </w:r>
    </w:p>
    <w:p w14:paraId="2CF141AA" w14:textId="77777777" w:rsidR="00734A78" w:rsidRPr="00D00E44" w:rsidRDefault="00734A78" w:rsidP="00734A78">
      <w:pPr>
        <w:pStyle w:val="Normalaftertitle"/>
      </w:pPr>
      <w:r w:rsidRPr="00D00E44">
        <w:t>L</w:t>
      </w:r>
      <w:r>
        <w:t>'</w:t>
      </w:r>
      <w:r w:rsidRPr="00D00E44">
        <w:t>Assemblée des radiocommunications de l</w:t>
      </w:r>
      <w:r>
        <w:t>'</w:t>
      </w:r>
      <w:r w:rsidRPr="00D00E44">
        <w:t>UIT,</w:t>
      </w:r>
    </w:p>
    <w:p w14:paraId="3E70D0D4" w14:textId="77777777" w:rsidR="00734A78" w:rsidRPr="00D00E44" w:rsidRDefault="00734A78" w:rsidP="00734A78">
      <w:pPr>
        <w:pStyle w:val="call0"/>
        <w:rPr>
          <w:lang w:val="fr-FR"/>
        </w:rPr>
      </w:pPr>
      <w:r w:rsidRPr="00D00E44">
        <w:rPr>
          <w:lang w:val="fr-FR"/>
        </w:rPr>
        <w:t>considérant</w:t>
      </w:r>
    </w:p>
    <w:p w14:paraId="09082617" w14:textId="77777777" w:rsidR="00734A78" w:rsidRPr="00D00E44" w:rsidRDefault="00734A78" w:rsidP="00734A78">
      <w:r w:rsidRPr="00D00E44">
        <w:rPr>
          <w:i/>
          <w:iCs/>
        </w:rPr>
        <w:t>a)</w:t>
      </w:r>
      <w:r w:rsidRPr="00D00E44">
        <w:tab/>
        <w:t>que les bandes de fréquences attribuées au service d</w:t>
      </w:r>
      <w:r>
        <w:t>'</w:t>
      </w:r>
      <w:r w:rsidRPr="00D00E44">
        <w:t>exploration de la Terre par satellite (et au service de météorologie par satellite (MetSat)) peuvent être utilisées en partage par plusieurs systèmes, y compris ceux qui sont exploités dans d</w:t>
      </w:r>
      <w:r>
        <w:t>'</w:t>
      </w:r>
      <w:r w:rsidRPr="00D00E44">
        <w:t>autres services;</w:t>
      </w:r>
    </w:p>
    <w:p w14:paraId="18AA085D" w14:textId="77777777" w:rsidR="00734A78" w:rsidRPr="00D00E44" w:rsidRDefault="00734A78" w:rsidP="00734A78">
      <w:r w:rsidRPr="00D00E44">
        <w:rPr>
          <w:i/>
          <w:iCs/>
        </w:rPr>
        <w:t>b)</w:t>
      </w:r>
      <w:r w:rsidRPr="00D00E44">
        <w:tab/>
        <w:t>que la Recommandation UIT-R SA.1163 spécifie les critères de brouillage nécessaires à la détermination des critères de partage;</w:t>
      </w:r>
    </w:p>
    <w:p w14:paraId="4E0FA09D" w14:textId="77777777" w:rsidR="00734A78" w:rsidRPr="00D00E44" w:rsidRDefault="00734A78" w:rsidP="00734A78">
      <w:r w:rsidRPr="00D00E44">
        <w:rPr>
          <w:i/>
          <w:iCs/>
        </w:rPr>
        <w:t>c)</w:t>
      </w:r>
      <w:r w:rsidRPr="00D00E44">
        <w:tab/>
        <w:t>que les critères de partage peuvent être déterminés à l</w:t>
      </w:r>
      <w:r>
        <w:t>'</w:t>
      </w:r>
      <w:r w:rsidRPr="00D00E44">
        <w:t>aide de la méthodologie décrite dans la Recommandation UIT-R SA.1023;</w:t>
      </w:r>
    </w:p>
    <w:p w14:paraId="48919627" w14:textId="77777777" w:rsidR="00734A78" w:rsidRPr="00D00E44" w:rsidRDefault="00734A78" w:rsidP="00734A78">
      <w:r w:rsidRPr="00D00E44">
        <w:rPr>
          <w:i/>
          <w:iCs/>
        </w:rPr>
        <w:t>d)</w:t>
      </w:r>
      <w:r w:rsidRPr="00D00E44">
        <w:tab/>
        <w:t>que le déploiement type des stations brouilleuses peut évoluer en quelques années en raison de la multiplication des systèmes et des révisions apportées aux attributions de bandes de fréquences dans le cadre des conférences mondiales des radiocommunications;</w:t>
      </w:r>
    </w:p>
    <w:p w14:paraId="143A3E52" w14:textId="77777777" w:rsidR="00734A78" w:rsidRPr="00D00E44" w:rsidRDefault="00734A78" w:rsidP="00734A78">
      <w:r w:rsidRPr="00D00E44">
        <w:rPr>
          <w:i/>
          <w:iCs/>
        </w:rPr>
        <w:t>e)</w:t>
      </w:r>
      <w:r w:rsidRPr="00D00E44">
        <w:tab/>
        <w:t>que les administrations peuvent, en réglementant l</w:t>
      </w:r>
      <w:r>
        <w:t>'</w:t>
      </w:r>
      <w:r w:rsidRPr="00D00E44">
        <w:t>utilisation du spectre radioélectrique sur leur territoire et en coordonnant les assignations de fréquence au niveau international, exercer un certain contrôle quant au nombre de systèmes susceptibles d</w:t>
      </w:r>
      <w:r>
        <w:t>'</w:t>
      </w:r>
      <w:r w:rsidRPr="00D00E44">
        <w:t>occasionner des niveaux de brouillage significatifs;</w:t>
      </w:r>
    </w:p>
    <w:p w14:paraId="197595B3" w14:textId="77777777" w:rsidR="00734A78" w:rsidRPr="00D00E44" w:rsidRDefault="00734A78" w:rsidP="00734A78">
      <w:r w:rsidRPr="00D00E44">
        <w:rPr>
          <w:i/>
          <w:iCs/>
        </w:rPr>
        <w:t>f)</w:t>
      </w:r>
      <w:r w:rsidRPr="00D00E44">
        <w:tab/>
        <w:t>qu</w:t>
      </w:r>
      <w:r>
        <w:t>'</w:t>
      </w:r>
      <w:r w:rsidRPr="00D00E44">
        <w:t>il est peu probable que les niveaux de brouillage subis par les stations terriennes du service MetSat embarquées sur des navires soient supérieurs aux brouillages subis par les stations terriennes exploitées à terre;</w:t>
      </w:r>
    </w:p>
    <w:p w14:paraId="4EFCB98F" w14:textId="77777777" w:rsidR="00734A78" w:rsidRPr="00D00E44" w:rsidRDefault="00734A78" w:rsidP="00734A78">
      <w:r w:rsidRPr="00760D34">
        <w:rPr>
          <w:i/>
          <w:iCs/>
        </w:rPr>
        <w:t>g)</w:t>
      </w:r>
      <w:r w:rsidRPr="00D00E44">
        <w:tab/>
        <w:t>la Recommandation UIT-R SM.1448, qui présente les méthodologies de détermination du besoin de coordination entre stations d</w:t>
      </w:r>
      <w:r>
        <w:t>'</w:t>
      </w:r>
      <w:r w:rsidRPr="00D00E44">
        <w:t>émission de Terre et stations terriennes,</w:t>
      </w:r>
    </w:p>
    <w:p w14:paraId="5067925E" w14:textId="77777777" w:rsidR="00734A78" w:rsidRPr="00D00E44" w:rsidRDefault="00734A78" w:rsidP="00734A78">
      <w:pPr>
        <w:pStyle w:val="call0"/>
        <w:rPr>
          <w:lang w:val="fr-FR"/>
        </w:rPr>
      </w:pPr>
      <w:r w:rsidRPr="00D00E44">
        <w:rPr>
          <w:lang w:val="fr-FR"/>
        </w:rPr>
        <w:t>recommande</w:t>
      </w:r>
    </w:p>
    <w:p w14:paraId="3066FDCF" w14:textId="77777777" w:rsidR="00734A78" w:rsidRPr="00D00E44" w:rsidRDefault="00734A78" w:rsidP="00734A78">
      <w:r w:rsidRPr="00D00E44">
        <w:rPr>
          <w:b/>
          <w:bCs/>
        </w:rPr>
        <w:t>1</w:t>
      </w:r>
      <w:r w:rsidRPr="00D00E44">
        <w:tab/>
        <w:t>que les niveaux de brouillage par source unique spécifiés pour certaines bandes de fréquences dans le Tableau 1</w:t>
      </w:r>
      <w:r>
        <w:t xml:space="preserve"> d'après </w:t>
      </w:r>
      <w:r w:rsidRPr="00D00E44">
        <w:t>l</w:t>
      </w:r>
      <w:r>
        <w:t>'</w:t>
      </w:r>
      <w:r w:rsidRPr="00D00E44">
        <w:t>analyse décrite dans l</w:t>
      </w:r>
      <w:r>
        <w:t>'</w:t>
      </w:r>
      <w:r w:rsidRPr="00D00E44">
        <w:t>Annexe 1</w:t>
      </w:r>
      <w:r>
        <w:t xml:space="preserve"> </w:t>
      </w:r>
      <w:r w:rsidRPr="00D00E44">
        <w:t>soient ut</w:t>
      </w:r>
      <w:r>
        <w:t>ilisés</w:t>
      </w:r>
      <w:r w:rsidRPr="00D00E44">
        <w:t xml:space="preserve"> comme critères de partage et de coordination ou comme base de détermination d</w:t>
      </w:r>
      <w:r>
        <w:t>'</w:t>
      </w:r>
      <w:r w:rsidRPr="00D00E44">
        <w:t>autres for</w:t>
      </w:r>
      <w:r w:rsidR="00982167">
        <w:t>mes de critères de partage (par </w:t>
      </w:r>
      <w:r w:rsidRPr="00D00E44">
        <w:t>exemple sous forme de limites de puissance surfacique), pour la protection des stations exploitées dans le service d</w:t>
      </w:r>
      <w:r>
        <w:t>'</w:t>
      </w:r>
      <w:r w:rsidRPr="00D00E44">
        <w:t>exploration de la Terre par satellite et les services MetSat;</w:t>
      </w:r>
    </w:p>
    <w:p w14:paraId="7A23C9FC" w14:textId="77777777" w:rsidR="00734A78" w:rsidRPr="00D00E44" w:rsidRDefault="00734A78" w:rsidP="00734A78">
      <w:r w:rsidRPr="00D00E44">
        <w:rPr>
          <w:b/>
          <w:bCs/>
        </w:rPr>
        <w:t>2</w:t>
      </w:r>
      <w:r w:rsidRPr="00D00E44">
        <w:tab/>
        <w:t>qu</w:t>
      </w:r>
      <w:r>
        <w:t>'</w:t>
      </w:r>
      <w:r w:rsidRPr="00D00E44">
        <w:t>on utilise une augmentation de 6% de la température équivalente de bruit de la liaison comme seuil de coordination entre stations spatiales d</w:t>
      </w:r>
      <w:r>
        <w:t>'</w:t>
      </w:r>
      <w:r w:rsidRPr="00D00E44">
        <w:t>émission et stations terriennes de réception fonctionnant dans le service MetSat;</w:t>
      </w:r>
    </w:p>
    <w:p w14:paraId="4A08B5F1" w14:textId="77777777" w:rsidR="00734A78" w:rsidRPr="00D00E44" w:rsidRDefault="00734A78" w:rsidP="00734A78">
      <w:r w:rsidRPr="00D00E44">
        <w:rPr>
          <w:b/>
          <w:bCs/>
        </w:rPr>
        <w:t>3</w:t>
      </w:r>
      <w:r w:rsidRPr="00D00E44">
        <w:tab/>
        <w:t>que le déploiement des brouilleurs spécifiés dans l</w:t>
      </w:r>
      <w:r>
        <w:t>'</w:t>
      </w:r>
      <w:r w:rsidRPr="00D00E44">
        <w:t>Annexe 1, et dans l</w:t>
      </w:r>
      <w:r>
        <w:t>'Annexe 2 pour la bande </w:t>
      </w:r>
      <w:r w:rsidRPr="00D00E44">
        <w:t>401-403 MHz, soit périodiquement passé en revue afin de déterminer s</w:t>
      </w:r>
      <w:r>
        <w:t>'</w:t>
      </w:r>
      <w:r w:rsidRPr="00D00E44">
        <w:t>il y a lieu de réviser la définition type de l</w:t>
      </w:r>
      <w:r>
        <w:t>'</w:t>
      </w:r>
      <w:r w:rsidRPr="00D00E44">
        <w:t>environnement brouilleur et donc les critères de brouillage correspondants.</w:t>
      </w:r>
    </w:p>
    <w:p w14:paraId="4B38BFE2" w14:textId="77777777" w:rsidR="00734A78" w:rsidRPr="00D00E44" w:rsidRDefault="00734A78" w:rsidP="00734A78">
      <w:pPr>
        <w:pStyle w:val="TableNo"/>
      </w:pPr>
      <w:r w:rsidRPr="00D00E44">
        <w:t>TABLEAU 1</w:t>
      </w:r>
    </w:p>
    <w:p w14:paraId="5B261911" w14:textId="77777777" w:rsidR="00734A78" w:rsidRPr="00D00E44" w:rsidRDefault="00734A78" w:rsidP="00734A78">
      <w:pPr>
        <w:pStyle w:val="Tabletitle"/>
      </w:pPr>
      <w:r w:rsidRPr="00D00E44">
        <w:t>Critères de partage applicables aux stations du service d</w:t>
      </w:r>
      <w:r>
        <w:t>'</w:t>
      </w:r>
      <w:r w:rsidRPr="00D00E44">
        <w:t>exploration</w:t>
      </w:r>
      <w:r w:rsidRPr="00D00E44">
        <w:br/>
        <w:t xml:space="preserve">de la Terre par satellite et </w:t>
      </w:r>
      <w:r>
        <w:t>du service</w:t>
      </w:r>
      <w:r w:rsidRPr="00D00E44">
        <w:t xml:space="preserve"> MetSat</w:t>
      </w:r>
    </w:p>
    <w:tbl>
      <w:tblPr>
        <w:tblStyle w:val="TableGrid"/>
        <w:tblW w:w="9639" w:type="dxa"/>
        <w:jc w:val="center"/>
        <w:tblLayout w:type="fixed"/>
        <w:tblLook w:val="04A0" w:firstRow="1" w:lastRow="0" w:firstColumn="1" w:lastColumn="0" w:noHBand="0" w:noVBand="1"/>
      </w:tblPr>
      <w:tblGrid>
        <w:gridCol w:w="1866"/>
        <w:gridCol w:w="1390"/>
        <w:gridCol w:w="1559"/>
        <w:gridCol w:w="1559"/>
        <w:gridCol w:w="1681"/>
        <w:gridCol w:w="1584"/>
      </w:tblGrid>
      <w:tr w:rsidR="00734A78" w:rsidRPr="00982167" w14:paraId="2A3D5975" w14:textId="77777777" w:rsidTr="00223696">
        <w:trPr>
          <w:jc w:val="center"/>
        </w:trPr>
        <w:tc>
          <w:tcPr>
            <w:tcW w:w="1866" w:type="dxa"/>
            <w:vMerge w:val="restart"/>
          </w:tcPr>
          <w:p w14:paraId="5F9C8474" w14:textId="77777777" w:rsidR="00734A78" w:rsidRPr="00982167" w:rsidRDefault="00734A78" w:rsidP="00982167">
            <w:pPr>
              <w:pStyle w:val="Tablehead"/>
              <w:rPr>
                <w:b w:val="0"/>
                <w:szCs w:val="22"/>
              </w:rPr>
            </w:pPr>
            <w:r w:rsidRPr="00982167">
              <w:rPr>
                <w:szCs w:val="22"/>
              </w:rPr>
              <w:t>Bande de fréquences (MHz)</w:t>
            </w:r>
          </w:p>
        </w:tc>
        <w:tc>
          <w:tcPr>
            <w:tcW w:w="1390" w:type="dxa"/>
            <w:vMerge w:val="restart"/>
          </w:tcPr>
          <w:p w14:paraId="129249D5" w14:textId="77777777" w:rsidR="00734A78" w:rsidRPr="00982167" w:rsidRDefault="00734A78" w:rsidP="00460F3C">
            <w:pPr>
              <w:pStyle w:val="Tablehead"/>
              <w:rPr>
                <w:b w:val="0"/>
                <w:bCs/>
                <w:szCs w:val="22"/>
              </w:rPr>
            </w:pPr>
            <w:r w:rsidRPr="00982167">
              <w:rPr>
                <w:bCs/>
                <w:szCs w:val="22"/>
              </w:rPr>
              <w:t>Station</w:t>
            </w:r>
            <w:r w:rsidRPr="00982167">
              <w:rPr>
                <w:bCs/>
                <w:szCs w:val="22"/>
              </w:rPr>
              <w:br/>
              <w:t>affectée</w:t>
            </w:r>
          </w:p>
        </w:tc>
        <w:tc>
          <w:tcPr>
            <w:tcW w:w="3118" w:type="dxa"/>
            <w:gridSpan w:val="2"/>
          </w:tcPr>
          <w:p w14:paraId="1127353E" w14:textId="77777777" w:rsidR="00734A78" w:rsidRPr="00982167" w:rsidRDefault="00734A78" w:rsidP="00460F3C">
            <w:pPr>
              <w:pStyle w:val="Tablehead"/>
              <w:rPr>
                <w:b w:val="0"/>
                <w:bCs/>
                <w:szCs w:val="22"/>
              </w:rPr>
            </w:pPr>
            <w:r w:rsidRPr="00982167">
              <w:rPr>
                <w:bCs/>
                <w:szCs w:val="22"/>
              </w:rPr>
              <w:t>Puissance du signal brouilleur (dBW) qui ne doit pas être dépassée pendant plus de 20% du temps dans la largeur de bande de référence</w:t>
            </w:r>
          </w:p>
        </w:tc>
        <w:tc>
          <w:tcPr>
            <w:tcW w:w="3265" w:type="dxa"/>
            <w:gridSpan w:val="2"/>
          </w:tcPr>
          <w:p w14:paraId="28323C3B" w14:textId="77777777" w:rsidR="00734A78" w:rsidRPr="00982167" w:rsidRDefault="00734A78" w:rsidP="00460F3C">
            <w:pPr>
              <w:pStyle w:val="Tablehead"/>
              <w:rPr>
                <w:b w:val="0"/>
                <w:bCs/>
                <w:szCs w:val="22"/>
              </w:rPr>
            </w:pPr>
            <w:r w:rsidRPr="00982167">
              <w:rPr>
                <w:bCs/>
                <w:szCs w:val="22"/>
              </w:rPr>
              <w:t xml:space="preserve">Puissance du signal brouilleur (dBW) qui ne doit pas être dépassée pendant plus de </w:t>
            </w:r>
            <w:r w:rsidRPr="00982167">
              <w:rPr>
                <w:bCs/>
                <w:i/>
                <w:iCs/>
                <w:szCs w:val="22"/>
              </w:rPr>
              <w:t>p</w:t>
            </w:r>
            <w:r w:rsidR="00982167" w:rsidRPr="00982167">
              <w:rPr>
                <w:bCs/>
                <w:szCs w:val="22"/>
              </w:rPr>
              <w:t>%</w:t>
            </w:r>
            <w:r w:rsidR="00982167" w:rsidRPr="00982167">
              <w:rPr>
                <w:bCs/>
                <w:szCs w:val="22"/>
              </w:rPr>
              <w:br/>
              <w:t>du temps dans la largeur</w:t>
            </w:r>
            <w:r w:rsidR="00982167" w:rsidRPr="00982167">
              <w:rPr>
                <w:bCs/>
                <w:szCs w:val="22"/>
              </w:rPr>
              <w:br/>
            </w:r>
            <w:r w:rsidRPr="00982167">
              <w:rPr>
                <w:bCs/>
                <w:szCs w:val="22"/>
              </w:rPr>
              <w:t>de bande de référence</w:t>
            </w:r>
          </w:p>
        </w:tc>
      </w:tr>
      <w:tr w:rsidR="00734A78" w:rsidRPr="00982167" w14:paraId="7C5F2CE7" w14:textId="77777777" w:rsidTr="00223696">
        <w:trPr>
          <w:jc w:val="center"/>
        </w:trPr>
        <w:tc>
          <w:tcPr>
            <w:tcW w:w="1866" w:type="dxa"/>
            <w:vMerge/>
          </w:tcPr>
          <w:p w14:paraId="0E9DB5EC" w14:textId="77777777" w:rsidR="00734A78" w:rsidRPr="00982167" w:rsidRDefault="00734A78" w:rsidP="00460F3C">
            <w:pPr>
              <w:pStyle w:val="Tablehead"/>
              <w:rPr>
                <w:b w:val="0"/>
                <w:bCs/>
                <w:szCs w:val="22"/>
              </w:rPr>
            </w:pPr>
          </w:p>
        </w:tc>
        <w:tc>
          <w:tcPr>
            <w:tcW w:w="1390" w:type="dxa"/>
            <w:vMerge/>
          </w:tcPr>
          <w:p w14:paraId="5358DF19" w14:textId="77777777" w:rsidR="00734A78" w:rsidRPr="00982167" w:rsidRDefault="00734A78" w:rsidP="00460F3C">
            <w:pPr>
              <w:pStyle w:val="Tablehead"/>
              <w:rPr>
                <w:b w:val="0"/>
                <w:bCs/>
                <w:szCs w:val="22"/>
              </w:rPr>
            </w:pPr>
          </w:p>
        </w:tc>
        <w:tc>
          <w:tcPr>
            <w:tcW w:w="1559" w:type="dxa"/>
          </w:tcPr>
          <w:p w14:paraId="13739D0C" w14:textId="77777777" w:rsidR="00734A78" w:rsidRPr="00982167" w:rsidRDefault="00734A78" w:rsidP="00460F3C">
            <w:pPr>
              <w:pStyle w:val="Tablehead"/>
              <w:rPr>
                <w:b w:val="0"/>
                <w:bCs/>
                <w:szCs w:val="22"/>
              </w:rPr>
            </w:pPr>
            <w:r w:rsidRPr="00982167">
              <w:rPr>
                <w:bCs/>
                <w:szCs w:val="22"/>
              </w:rPr>
              <w:t>Espace vers Terre</w:t>
            </w:r>
          </w:p>
        </w:tc>
        <w:tc>
          <w:tcPr>
            <w:tcW w:w="1559" w:type="dxa"/>
          </w:tcPr>
          <w:p w14:paraId="555C9C77" w14:textId="77777777" w:rsidR="00734A78" w:rsidRPr="00982167" w:rsidRDefault="00734A78" w:rsidP="00460F3C">
            <w:pPr>
              <w:pStyle w:val="Tablehead"/>
              <w:rPr>
                <w:b w:val="0"/>
                <w:bCs/>
                <w:szCs w:val="22"/>
              </w:rPr>
            </w:pPr>
            <w:r w:rsidRPr="00982167">
              <w:rPr>
                <w:bCs/>
                <w:szCs w:val="22"/>
              </w:rPr>
              <w:t>De Terre</w:t>
            </w:r>
          </w:p>
        </w:tc>
        <w:tc>
          <w:tcPr>
            <w:tcW w:w="1681" w:type="dxa"/>
          </w:tcPr>
          <w:p w14:paraId="5CEB6987" w14:textId="77777777" w:rsidR="00734A78" w:rsidRPr="00982167" w:rsidRDefault="00734A78" w:rsidP="00460F3C">
            <w:pPr>
              <w:pStyle w:val="Tablehead"/>
              <w:rPr>
                <w:b w:val="0"/>
                <w:bCs/>
                <w:szCs w:val="22"/>
              </w:rPr>
            </w:pPr>
            <w:r w:rsidRPr="00982167">
              <w:rPr>
                <w:bCs/>
                <w:szCs w:val="22"/>
              </w:rPr>
              <w:t>Espace vers Terre</w:t>
            </w:r>
          </w:p>
        </w:tc>
        <w:tc>
          <w:tcPr>
            <w:tcW w:w="1584" w:type="dxa"/>
          </w:tcPr>
          <w:p w14:paraId="4E3C5A40" w14:textId="77777777" w:rsidR="00734A78" w:rsidRPr="00982167" w:rsidRDefault="00734A78" w:rsidP="00460F3C">
            <w:pPr>
              <w:pStyle w:val="Tablehead"/>
              <w:rPr>
                <w:b w:val="0"/>
                <w:bCs/>
                <w:szCs w:val="22"/>
              </w:rPr>
            </w:pPr>
            <w:r w:rsidRPr="00982167">
              <w:rPr>
                <w:bCs/>
                <w:szCs w:val="22"/>
              </w:rPr>
              <w:t>De Terre</w:t>
            </w:r>
          </w:p>
        </w:tc>
      </w:tr>
      <w:tr w:rsidR="00734A78" w:rsidRPr="00982167" w14:paraId="557DE720" w14:textId="77777777" w:rsidTr="00223696">
        <w:trPr>
          <w:jc w:val="center"/>
        </w:trPr>
        <w:tc>
          <w:tcPr>
            <w:tcW w:w="1866" w:type="dxa"/>
          </w:tcPr>
          <w:p w14:paraId="6A4A8A15"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401-403</w:t>
            </w:r>
            <w:r w:rsidRPr="00982167">
              <w:rPr>
                <w:rFonts w:asciiTheme="majorBidi" w:hAnsiTheme="majorBidi" w:cstheme="majorBidi"/>
                <w:szCs w:val="22"/>
              </w:rPr>
              <w:br/>
              <w:t>Terre vers espace</w:t>
            </w:r>
          </w:p>
        </w:tc>
        <w:tc>
          <w:tcPr>
            <w:tcW w:w="1390" w:type="dxa"/>
          </w:tcPr>
          <w:p w14:paraId="48A044AF"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spatiale</w:t>
            </w:r>
          </w:p>
        </w:tc>
        <w:tc>
          <w:tcPr>
            <w:tcW w:w="1559" w:type="dxa"/>
          </w:tcPr>
          <w:p w14:paraId="4777CD7B" w14:textId="77777777" w:rsidR="00734A78" w:rsidRPr="00982167" w:rsidRDefault="00D14D2E" w:rsidP="0045171D">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201,5 dBW par 100 Hz </w:t>
            </w:r>
            <w:r w:rsidR="00734A78" w:rsidRPr="00982167">
              <w:rPr>
                <w:rStyle w:val="FootnoteReference"/>
                <w:rFonts w:asciiTheme="majorBidi" w:hAnsiTheme="majorBidi" w:cstheme="majorBidi"/>
                <w:sz w:val="22"/>
                <w:szCs w:val="22"/>
                <w:vertAlign w:val="superscript"/>
              </w:rPr>
              <w:t>(2) (3)</w:t>
            </w:r>
          </w:p>
        </w:tc>
        <w:tc>
          <w:tcPr>
            <w:tcW w:w="1559" w:type="dxa"/>
          </w:tcPr>
          <w:p w14:paraId="5A12D4B4"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201,5 dBW par 100 Hz </w:t>
            </w:r>
            <w:r w:rsidR="00734A78" w:rsidRPr="00982167">
              <w:rPr>
                <w:rStyle w:val="FootnoteReference"/>
                <w:rFonts w:asciiTheme="majorBidi" w:hAnsiTheme="majorBidi" w:cstheme="majorBidi"/>
                <w:sz w:val="22"/>
                <w:szCs w:val="22"/>
                <w:vertAlign w:val="superscript"/>
              </w:rPr>
              <w:t>(2)</w:t>
            </w:r>
          </w:p>
        </w:tc>
        <w:tc>
          <w:tcPr>
            <w:tcW w:w="1681" w:type="dxa"/>
          </w:tcPr>
          <w:p w14:paraId="1F76E23F"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186,4 dBW par 100 </w:t>
            </w:r>
            <w:r w:rsidR="00734A78" w:rsidRPr="00155F67">
              <w:rPr>
                <w:rFonts w:asciiTheme="majorBidi" w:hAnsiTheme="majorBidi" w:cstheme="majorBidi"/>
                <w:szCs w:val="22"/>
              </w:rPr>
              <w:t xml:space="preserve">Hz </w:t>
            </w:r>
            <w:r w:rsidR="00734A78" w:rsidRPr="00982167">
              <w:rPr>
                <w:rStyle w:val="FootnoteReference"/>
                <w:rFonts w:asciiTheme="majorBidi" w:hAnsiTheme="majorBidi" w:cstheme="majorBidi"/>
                <w:sz w:val="22"/>
                <w:szCs w:val="22"/>
                <w:vertAlign w:val="superscript"/>
              </w:rPr>
              <w:t>(1) (3)</w:t>
            </w:r>
            <w:r w:rsidR="00734A78" w:rsidRPr="00982167">
              <w:rPr>
                <w:rFonts w:asciiTheme="majorBidi" w:hAnsiTheme="majorBidi" w:cstheme="majorBidi"/>
                <w:position w:val="6"/>
                <w:szCs w:val="22"/>
                <w:vertAlign w:val="superscript"/>
              </w:rPr>
              <w:t xml:space="preserve"> </w:t>
            </w:r>
            <w:r w:rsidR="00734A78" w:rsidRPr="00982167">
              <w:rPr>
                <w:rFonts w:asciiTheme="majorBidi" w:hAnsiTheme="majorBidi" w:cstheme="majorBidi"/>
                <w:position w:val="6"/>
                <w:szCs w:val="22"/>
                <w:vertAlign w:val="superscript"/>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0,075</w:t>
            </w:r>
          </w:p>
        </w:tc>
        <w:tc>
          <w:tcPr>
            <w:tcW w:w="1584" w:type="dxa"/>
          </w:tcPr>
          <w:p w14:paraId="2ED25119" w14:textId="77777777"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187,7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0,025</w:t>
            </w:r>
          </w:p>
        </w:tc>
      </w:tr>
      <w:tr w:rsidR="00734A78" w:rsidRPr="00982167" w14:paraId="043C2E94" w14:textId="77777777" w:rsidTr="00223696">
        <w:trPr>
          <w:jc w:val="center"/>
        </w:trPr>
        <w:tc>
          <w:tcPr>
            <w:tcW w:w="1866" w:type="dxa"/>
          </w:tcPr>
          <w:p w14:paraId="5A18958F"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1 670-1 690</w:t>
            </w:r>
            <w:r w:rsidRPr="00982167">
              <w:rPr>
                <w:rFonts w:asciiTheme="majorBidi" w:hAnsiTheme="majorBidi" w:cstheme="majorBidi"/>
                <w:szCs w:val="22"/>
              </w:rPr>
              <w:br/>
              <w:t>espace vers Terre</w:t>
            </w:r>
          </w:p>
        </w:tc>
        <w:tc>
          <w:tcPr>
            <w:tcW w:w="1390" w:type="dxa"/>
          </w:tcPr>
          <w:p w14:paraId="7C2E6E1B"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terrienne</w:t>
            </w:r>
          </w:p>
        </w:tc>
        <w:tc>
          <w:tcPr>
            <w:tcW w:w="1559" w:type="dxa"/>
          </w:tcPr>
          <w:p w14:paraId="1C42F5E0"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218,8 dBW par 100 Hz </w:t>
            </w:r>
            <w:r w:rsidR="00734A78" w:rsidRPr="00982167">
              <w:rPr>
                <w:rStyle w:val="FootnoteReference"/>
                <w:rFonts w:asciiTheme="majorBidi" w:hAnsiTheme="majorBidi" w:cstheme="majorBidi"/>
                <w:sz w:val="22"/>
                <w:szCs w:val="22"/>
                <w:vertAlign w:val="superscript"/>
              </w:rPr>
              <w:t>(2)</w:t>
            </w:r>
          </w:p>
        </w:tc>
        <w:tc>
          <w:tcPr>
            <w:tcW w:w="1559" w:type="dxa"/>
          </w:tcPr>
          <w:p w14:paraId="4FDF53C9"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198,8 dBW par 100 Hz </w:t>
            </w:r>
            <w:r w:rsidR="00734A78" w:rsidRPr="00982167">
              <w:rPr>
                <w:rStyle w:val="FootnoteReference"/>
                <w:rFonts w:asciiTheme="majorBidi" w:hAnsiTheme="majorBidi" w:cstheme="majorBidi"/>
                <w:sz w:val="22"/>
                <w:szCs w:val="22"/>
                <w:vertAlign w:val="superscript"/>
              </w:rPr>
              <w:t>(2)</w:t>
            </w:r>
          </w:p>
        </w:tc>
        <w:tc>
          <w:tcPr>
            <w:tcW w:w="1681" w:type="dxa"/>
          </w:tcPr>
          <w:p w14:paraId="459E35D0" w14:textId="77777777"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195,1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0,0025</w:t>
            </w:r>
          </w:p>
        </w:tc>
        <w:tc>
          <w:tcPr>
            <w:tcW w:w="1584" w:type="dxa"/>
          </w:tcPr>
          <w:p w14:paraId="618346B3" w14:textId="77CDDE23"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6C060F">
              <w:rPr>
                <w:rFonts w:asciiTheme="majorBidi" w:hAnsiTheme="majorBidi" w:cstheme="majorBidi"/>
                <w:szCs w:val="22"/>
              </w:rPr>
              <w:t>194,3</w:t>
            </w:r>
            <w:r w:rsidR="00734A78" w:rsidRPr="00982167">
              <w:rPr>
                <w:rFonts w:asciiTheme="majorBidi" w:hAnsiTheme="majorBidi" w:cstheme="majorBidi"/>
                <w:szCs w:val="22"/>
              </w:rPr>
              <w:t xml:space="preserve">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0,011</w:t>
            </w:r>
          </w:p>
        </w:tc>
      </w:tr>
      <w:tr w:rsidR="00734A78" w:rsidRPr="00982167" w14:paraId="59438A64" w14:textId="77777777" w:rsidTr="00223696">
        <w:trPr>
          <w:jc w:val="center"/>
        </w:trPr>
        <w:tc>
          <w:tcPr>
            <w:tcW w:w="1866" w:type="dxa"/>
            <w:tcBorders>
              <w:bottom w:val="single" w:sz="4" w:space="0" w:color="auto"/>
            </w:tcBorders>
          </w:tcPr>
          <w:p w14:paraId="13D38650"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2 025-2 110</w:t>
            </w:r>
            <w:r w:rsidRPr="00982167">
              <w:rPr>
                <w:rFonts w:asciiTheme="majorBidi" w:hAnsiTheme="majorBidi" w:cstheme="majorBidi"/>
                <w:szCs w:val="22"/>
              </w:rPr>
              <w:br/>
              <w:t>Terre vers espace</w:t>
            </w:r>
          </w:p>
        </w:tc>
        <w:tc>
          <w:tcPr>
            <w:tcW w:w="1390" w:type="dxa"/>
            <w:tcBorders>
              <w:bottom w:val="single" w:sz="4" w:space="0" w:color="auto"/>
            </w:tcBorders>
          </w:tcPr>
          <w:p w14:paraId="34D4546D"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spatiale</w:t>
            </w:r>
          </w:p>
        </w:tc>
        <w:tc>
          <w:tcPr>
            <w:tcW w:w="1559" w:type="dxa"/>
            <w:tcBorders>
              <w:bottom w:val="single" w:sz="4" w:space="0" w:color="auto"/>
            </w:tcBorders>
          </w:tcPr>
          <w:p w14:paraId="50B79743"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211,2 dBW par 100 Hz </w:t>
            </w:r>
            <w:r w:rsidR="00734A78" w:rsidRPr="00982167">
              <w:rPr>
                <w:rStyle w:val="FootnoteReference"/>
                <w:rFonts w:asciiTheme="majorBidi" w:hAnsiTheme="majorBidi" w:cstheme="majorBidi"/>
                <w:sz w:val="22"/>
                <w:szCs w:val="22"/>
                <w:vertAlign w:val="superscript"/>
              </w:rPr>
              <w:t>(2)</w:t>
            </w:r>
          </w:p>
        </w:tc>
        <w:tc>
          <w:tcPr>
            <w:tcW w:w="1559" w:type="dxa"/>
            <w:tcBorders>
              <w:bottom w:val="single" w:sz="4" w:space="0" w:color="auto"/>
            </w:tcBorders>
          </w:tcPr>
          <w:p w14:paraId="2E32D1FD"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194,3 dBW par 100 Hz </w:t>
            </w:r>
            <w:r w:rsidR="00734A78" w:rsidRPr="00982167">
              <w:rPr>
                <w:rStyle w:val="FootnoteReference"/>
                <w:rFonts w:asciiTheme="majorBidi" w:hAnsiTheme="majorBidi" w:cstheme="majorBidi"/>
                <w:sz w:val="22"/>
                <w:szCs w:val="22"/>
                <w:vertAlign w:val="superscript"/>
              </w:rPr>
              <w:t>(2)</w:t>
            </w:r>
          </w:p>
        </w:tc>
        <w:tc>
          <w:tcPr>
            <w:tcW w:w="1681" w:type="dxa"/>
            <w:tcBorders>
              <w:bottom w:val="single" w:sz="4" w:space="0" w:color="auto"/>
            </w:tcBorders>
          </w:tcPr>
          <w:p w14:paraId="6EAE98EB" w14:textId="77777777"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187,6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0,0025</w:t>
            </w:r>
          </w:p>
        </w:tc>
        <w:tc>
          <w:tcPr>
            <w:tcW w:w="1584" w:type="dxa"/>
            <w:tcBorders>
              <w:bottom w:val="single" w:sz="4" w:space="0" w:color="auto"/>
            </w:tcBorders>
          </w:tcPr>
          <w:p w14:paraId="3B2D708C" w14:textId="1B3F16E4"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186,</w:t>
            </w:r>
            <w:r w:rsidR="006C060F">
              <w:rPr>
                <w:rFonts w:asciiTheme="majorBidi" w:hAnsiTheme="majorBidi" w:cstheme="majorBidi"/>
                <w:szCs w:val="22"/>
              </w:rPr>
              <w:t>7</w:t>
            </w:r>
            <w:r w:rsidR="00734A78" w:rsidRPr="00982167">
              <w:rPr>
                <w:rFonts w:asciiTheme="majorBidi" w:hAnsiTheme="majorBidi" w:cstheme="majorBidi"/>
                <w:szCs w:val="22"/>
              </w:rPr>
              <w:t xml:space="preserve">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0,011</w:t>
            </w:r>
          </w:p>
        </w:tc>
      </w:tr>
      <w:tr w:rsidR="00734A78" w:rsidRPr="00982167" w14:paraId="0E059FAF" w14:textId="77777777" w:rsidTr="00223696">
        <w:trPr>
          <w:jc w:val="center"/>
        </w:trPr>
        <w:tc>
          <w:tcPr>
            <w:tcW w:w="1866" w:type="dxa"/>
            <w:tcBorders>
              <w:bottom w:val="single" w:sz="4" w:space="0" w:color="auto"/>
            </w:tcBorders>
          </w:tcPr>
          <w:p w14:paraId="0F210EE0"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460-470</w:t>
            </w:r>
            <w:r w:rsidRPr="00982167">
              <w:rPr>
                <w:rFonts w:asciiTheme="majorBidi" w:hAnsiTheme="majorBidi" w:cstheme="majorBidi"/>
                <w:szCs w:val="22"/>
              </w:rPr>
              <w:br/>
              <w:t>espace vers Terre</w:t>
            </w:r>
          </w:p>
        </w:tc>
        <w:tc>
          <w:tcPr>
            <w:tcW w:w="1390" w:type="dxa"/>
            <w:tcBorders>
              <w:bottom w:val="single" w:sz="4" w:space="0" w:color="auto"/>
            </w:tcBorders>
          </w:tcPr>
          <w:p w14:paraId="0244541C" w14:textId="77777777" w:rsidR="00734A78" w:rsidRPr="00982167" w:rsidRDefault="00734A78" w:rsidP="00982167">
            <w:pPr>
              <w:pStyle w:val="Tabletext"/>
              <w:jc w:val="center"/>
              <w:rPr>
                <w:rFonts w:asciiTheme="majorBidi" w:hAnsiTheme="majorBidi" w:cstheme="majorBidi"/>
                <w:szCs w:val="22"/>
              </w:rPr>
            </w:pPr>
            <w:r w:rsidRPr="00982167">
              <w:rPr>
                <w:rFonts w:asciiTheme="majorBidi" w:hAnsiTheme="majorBidi" w:cstheme="majorBidi"/>
                <w:szCs w:val="22"/>
              </w:rPr>
              <w:t>Station terrienne</w:t>
            </w:r>
          </w:p>
        </w:tc>
        <w:tc>
          <w:tcPr>
            <w:tcW w:w="1559" w:type="dxa"/>
            <w:tcBorders>
              <w:bottom w:val="single" w:sz="4" w:space="0" w:color="auto"/>
            </w:tcBorders>
          </w:tcPr>
          <w:p w14:paraId="125B7A82"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207,5 dBW par 100 Hz </w:t>
            </w:r>
            <w:r w:rsidR="00734A78" w:rsidRPr="00982167">
              <w:rPr>
                <w:rStyle w:val="FootnoteReference"/>
                <w:rFonts w:asciiTheme="majorBidi" w:hAnsiTheme="majorBidi" w:cstheme="majorBidi"/>
                <w:sz w:val="22"/>
                <w:szCs w:val="22"/>
                <w:vertAlign w:val="superscript"/>
              </w:rPr>
              <w:t>(1)</w:t>
            </w:r>
          </w:p>
        </w:tc>
        <w:tc>
          <w:tcPr>
            <w:tcW w:w="1559" w:type="dxa"/>
            <w:tcBorders>
              <w:bottom w:val="single" w:sz="4" w:space="0" w:color="auto"/>
            </w:tcBorders>
          </w:tcPr>
          <w:p w14:paraId="5A7799E1" w14:textId="77777777"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187,5 dBW par 100 Hz </w:t>
            </w:r>
            <w:r w:rsidR="00734A78" w:rsidRPr="00982167">
              <w:rPr>
                <w:rStyle w:val="FootnoteReference"/>
                <w:rFonts w:asciiTheme="majorBidi" w:hAnsiTheme="majorBidi" w:cstheme="majorBidi"/>
                <w:sz w:val="22"/>
                <w:szCs w:val="22"/>
                <w:vertAlign w:val="superscript"/>
              </w:rPr>
              <w:t>(1)</w:t>
            </w:r>
          </w:p>
        </w:tc>
        <w:tc>
          <w:tcPr>
            <w:tcW w:w="1681" w:type="dxa"/>
            <w:tcBorders>
              <w:bottom w:val="single" w:sz="4" w:space="0" w:color="auto"/>
            </w:tcBorders>
          </w:tcPr>
          <w:p w14:paraId="3957369D" w14:textId="77777777" w:rsidR="00734A78" w:rsidRPr="00982167" w:rsidRDefault="00D14D2E" w:rsidP="00982167">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183,9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0,01</w:t>
            </w:r>
          </w:p>
        </w:tc>
        <w:tc>
          <w:tcPr>
            <w:tcW w:w="1584" w:type="dxa"/>
            <w:tcBorders>
              <w:bottom w:val="single" w:sz="4" w:space="0" w:color="auto"/>
            </w:tcBorders>
          </w:tcPr>
          <w:p w14:paraId="61D6F1C3" w14:textId="4864C52E" w:rsidR="00734A78" w:rsidRPr="00982167" w:rsidRDefault="00D14D2E" w:rsidP="00460F3C">
            <w:pPr>
              <w:pStyle w:val="Tabletext"/>
              <w:jc w:val="center"/>
              <w:rPr>
                <w:rFonts w:asciiTheme="majorBidi" w:hAnsiTheme="majorBidi" w:cstheme="majorBidi"/>
                <w:szCs w:val="22"/>
              </w:rPr>
            </w:pPr>
            <w:r w:rsidRPr="00982167">
              <w:rPr>
                <w:rFonts w:asciiTheme="majorBidi" w:hAnsiTheme="majorBidi" w:cstheme="majorBidi"/>
                <w:szCs w:val="22"/>
              </w:rPr>
              <w:t>−</w:t>
            </w:r>
            <w:r w:rsidR="00734A78" w:rsidRPr="00982167">
              <w:rPr>
                <w:rFonts w:asciiTheme="majorBidi" w:hAnsiTheme="majorBidi" w:cstheme="majorBidi"/>
                <w:szCs w:val="22"/>
              </w:rPr>
              <w:t xml:space="preserve">183 dBW par 100 Hz </w:t>
            </w:r>
            <w:r w:rsidR="00734A78" w:rsidRPr="00982167">
              <w:rPr>
                <w:rStyle w:val="FootnoteReference"/>
                <w:rFonts w:asciiTheme="majorBidi" w:hAnsiTheme="majorBidi" w:cstheme="majorBidi"/>
                <w:sz w:val="22"/>
                <w:szCs w:val="22"/>
                <w:vertAlign w:val="superscript"/>
              </w:rPr>
              <w:t>(2)</w:t>
            </w:r>
            <w:r w:rsidR="00734A78" w:rsidRPr="00982167">
              <w:rPr>
                <w:rFonts w:asciiTheme="majorBidi" w:hAnsiTheme="majorBidi" w:cstheme="majorBidi"/>
                <w:position w:val="6"/>
                <w:szCs w:val="22"/>
              </w:rPr>
              <w:t xml:space="preserve"> </w:t>
            </w:r>
            <w:r w:rsidR="00734A78" w:rsidRPr="00982167">
              <w:rPr>
                <w:rFonts w:asciiTheme="majorBidi" w:hAnsiTheme="majorBidi" w:cstheme="majorBidi"/>
                <w:position w:val="6"/>
                <w:szCs w:val="22"/>
              </w:rPr>
              <w:br/>
            </w:r>
            <w:r w:rsidR="00734A78" w:rsidRPr="00982167">
              <w:rPr>
                <w:rFonts w:asciiTheme="majorBidi" w:hAnsiTheme="majorBidi" w:cstheme="majorBidi"/>
                <w:i/>
                <w:iCs/>
                <w:szCs w:val="22"/>
              </w:rPr>
              <w:t>p</w:t>
            </w:r>
            <w:r w:rsidR="00734A78" w:rsidRPr="00982167">
              <w:rPr>
                <w:rFonts w:asciiTheme="majorBidi" w:hAnsiTheme="majorBidi" w:cstheme="majorBidi"/>
                <w:szCs w:val="22"/>
              </w:rPr>
              <w:t xml:space="preserve"> </w:t>
            </w:r>
            <w:r w:rsidR="00982167">
              <w:rPr>
                <w:rFonts w:asciiTheme="majorBidi" w:hAnsiTheme="majorBidi" w:cstheme="majorBidi"/>
                <w:szCs w:val="22"/>
              </w:rPr>
              <w:t>=</w:t>
            </w:r>
            <w:r w:rsidR="00734A78" w:rsidRPr="00982167">
              <w:rPr>
                <w:rFonts w:asciiTheme="majorBidi" w:hAnsiTheme="majorBidi" w:cstheme="majorBidi"/>
                <w:szCs w:val="22"/>
              </w:rPr>
              <w:t xml:space="preserve"> 0,045</w:t>
            </w:r>
          </w:p>
        </w:tc>
      </w:tr>
      <w:tr w:rsidR="00734A78" w:rsidRPr="00D76C73" w14:paraId="72EAADC0" w14:textId="77777777" w:rsidTr="00223696">
        <w:trPr>
          <w:jc w:val="center"/>
        </w:trPr>
        <w:tc>
          <w:tcPr>
            <w:tcW w:w="9639" w:type="dxa"/>
            <w:gridSpan w:val="6"/>
            <w:tcBorders>
              <w:left w:val="nil"/>
              <w:bottom w:val="nil"/>
              <w:right w:val="nil"/>
            </w:tcBorders>
          </w:tcPr>
          <w:p w14:paraId="08CBA7E3" w14:textId="77777777"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position w:val="6"/>
                <w:sz w:val="20"/>
                <w:szCs w:val="18"/>
                <w:vertAlign w:val="superscript"/>
              </w:rPr>
              <w:t>(1)</w:t>
            </w:r>
            <w:r w:rsidRPr="00D76C73">
              <w:rPr>
                <w:rFonts w:asciiTheme="majorBidi" w:hAnsiTheme="majorBidi" w:cstheme="majorBidi"/>
                <w:sz w:val="20"/>
                <w:szCs w:val="18"/>
                <w:vertAlign w:val="superscript"/>
              </w:rPr>
              <w:tab/>
            </w:r>
            <w:r w:rsidRPr="00D76C73">
              <w:rPr>
                <w:rFonts w:asciiTheme="majorBidi" w:hAnsiTheme="majorBidi" w:cstheme="majorBidi"/>
                <w:sz w:val="20"/>
                <w:szCs w:val="18"/>
              </w:rPr>
              <w:t>La puissance du signal brouilleur (dBW) dans la largeur de bande de référence est donnée pour une réception à des angles d'élévation supérieur</w:t>
            </w:r>
            <w:r w:rsidR="005D2939">
              <w:rPr>
                <w:rFonts w:asciiTheme="majorBidi" w:hAnsiTheme="majorBidi" w:cstheme="majorBidi"/>
                <w:sz w:val="20"/>
                <w:szCs w:val="18"/>
              </w:rPr>
              <w:t>s</w:t>
            </w:r>
            <w:r w:rsidRPr="00D76C73">
              <w:rPr>
                <w:rFonts w:asciiTheme="majorBidi" w:hAnsiTheme="majorBidi" w:cstheme="majorBidi"/>
                <w:sz w:val="20"/>
                <w:szCs w:val="18"/>
              </w:rPr>
              <w:t xml:space="preserve"> à 5</w:t>
            </w:r>
            <w:r w:rsidR="00D76C73">
              <w:rPr>
                <w:rFonts w:asciiTheme="majorBidi" w:hAnsiTheme="majorBidi" w:cstheme="majorBidi"/>
                <w:sz w:val="20"/>
                <w:szCs w:val="18"/>
              </w:rPr>
              <w:t>°</w:t>
            </w:r>
            <w:r w:rsidRPr="00D76C73">
              <w:rPr>
                <w:rFonts w:asciiTheme="majorBidi" w:hAnsiTheme="majorBidi" w:cstheme="majorBidi"/>
                <w:sz w:val="20"/>
                <w:szCs w:val="18"/>
              </w:rPr>
              <w:t>.</w:t>
            </w:r>
          </w:p>
          <w:p w14:paraId="07F4627F" w14:textId="77777777"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position w:val="6"/>
                <w:sz w:val="20"/>
                <w:szCs w:val="18"/>
                <w:vertAlign w:val="superscript"/>
              </w:rPr>
              <w:t>(2)</w:t>
            </w:r>
            <w:r w:rsidRPr="00D76C73">
              <w:rPr>
                <w:rFonts w:asciiTheme="majorBidi" w:hAnsiTheme="majorBidi" w:cstheme="majorBidi"/>
                <w:sz w:val="20"/>
                <w:szCs w:val="18"/>
              </w:rPr>
              <w:tab/>
              <w:t>La puissance du signal brouilleur (dBW) dans la largeur de bande de référence est donnée pour une réception à des angles d'élévation supérieurs à 3</w:t>
            </w:r>
            <w:r w:rsidR="00D76C73">
              <w:rPr>
                <w:rFonts w:asciiTheme="majorBidi" w:hAnsiTheme="majorBidi" w:cstheme="majorBidi"/>
                <w:sz w:val="20"/>
                <w:szCs w:val="18"/>
              </w:rPr>
              <w:t>°</w:t>
            </w:r>
            <w:r w:rsidRPr="00D76C73">
              <w:rPr>
                <w:rFonts w:asciiTheme="majorBidi" w:hAnsiTheme="majorBidi" w:cstheme="majorBidi"/>
                <w:sz w:val="20"/>
                <w:szCs w:val="18"/>
              </w:rPr>
              <w:t>.</w:t>
            </w:r>
          </w:p>
          <w:p w14:paraId="45734A00" w14:textId="77777777" w:rsidR="00734A78" w:rsidRPr="00D76C73" w:rsidRDefault="00734A78" w:rsidP="00D76C73">
            <w:pPr>
              <w:pStyle w:val="Tabletext"/>
              <w:ind w:left="284" w:hanging="284"/>
              <w:rPr>
                <w:rFonts w:asciiTheme="majorBidi" w:hAnsiTheme="majorBidi" w:cstheme="majorBidi"/>
                <w:sz w:val="20"/>
                <w:szCs w:val="18"/>
              </w:rPr>
            </w:pPr>
            <w:r w:rsidRPr="00D76C73">
              <w:rPr>
                <w:rFonts w:asciiTheme="majorBidi" w:hAnsiTheme="majorBidi" w:cstheme="majorBidi"/>
                <w:sz w:val="20"/>
                <w:szCs w:val="18"/>
                <w:vertAlign w:val="superscript"/>
              </w:rPr>
              <w:t>(3)</w:t>
            </w:r>
            <w:r w:rsidRPr="00D76C73">
              <w:rPr>
                <w:rFonts w:asciiTheme="majorBidi" w:hAnsiTheme="majorBidi" w:cstheme="majorBidi"/>
                <w:sz w:val="20"/>
                <w:szCs w:val="18"/>
              </w:rPr>
              <w:tab/>
              <w:t>Ces valeurs correspondent à la présence de plusieurs brouilleurs dans le sens espace-espace. Voir l'Annexe 2.</w:t>
            </w:r>
          </w:p>
        </w:tc>
      </w:tr>
      <w:tr w:rsidR="00734A78" w:rsidRPr="007662F4" w14:paraId="1C6AC70D" w14:textId="77777777" w:rsidTr="00223696">
        <w:trPr>
          <w:jc w:val="center"/>
        </w:trPr>
        <w:tc>
          <w:tcPr>
            <w:tcW w:w="9639" w:type="dxa"/>
            <w:gridSpan w:val="6"/>
            <w:tcBorders>
              <w:top w:val="nil"/>
              <w:left w:val="nil"/>
              <w:bottom w:val="nil"/>
              <w:right w:val="nil"/>
            </w:tcBorders>
          </w:tcPr>
          <w:p w14:paraId="30189118" w14:textId="77777777" w:rsidR="00734A78" w:rsidRPr="007662F4" w:rsidRDefault="00734A78" w:rsidP="00460F3C">
            <w:pPr>
              <w:pStyle w:val="TableLegend0"/>
              <w:keepNext w:val="0"/>
              <w:spacing w:before="120" w:line="240" w:lineRule="auto"/>
              <w:rPr>
                <w:i/>
                <w:iCs/>
                <w:sz w:val="22"/>
                <w:szCs w:val="22"/>
                <w:lang w:val="fr-FR"/>
              </w:rPr>
            </w:pPr>
            <w:r w:rsidRPr="007662F4">
              <w:rPr>
                <w:i/>
                <w:iCs/>
                <w:sz w:val="22"/>
                <w:szCs w:val="22"/>
                <w:lang w:val="fr-FR"/>
              </w:rPr>
              <w:t>Notes relatives au Tableau 1:</w:t>
            </w:r>
          </w:p>
          <w:p w14:paraId="39830063" w14:textId="77777777" w:rsidR="00734A78" w:rsidRPr="007662F4" w:rsidRDefault="00734A78" w:rsidP="0045171D">
            <w:pPr>
              <w:pStyle w:val="TableLegend0"/>
              <w:keepNext w:val="0"/>
              <w:spacing w:line="240" w:lineRule="auto"/>
              <w:rPr>
                <w:sz w:val="22"/>
                <w:szCs w:val="22"/>
                <w:lang w:val="fr-FR"/>
              </w:rPr>
            </w:pPr>
            <w:r w:rsidRPr="007662F4">
              <w:rPr>
                <w:sz w:val="22"/>
                <w:szCs w:val="22"/>
                <w:lang w:val="fr-FR"/>
              </w:rPr>
              <w:t>NOTE 1 – Les seuils de puissance du signal brouilleur par source unique figurant dans le Tableau 1 sont les niveaux admissibles de puissance de signal brouilleur qui se trouvent dans la largeur de bande de référence spécifiée. En conséquence, il y a lieu de tenir compte, dans les analyses de partage de fréquence,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faut appliquer le taux de rejection dont on dispose en fonction de la fréquence, tout en tenant compte des niveaux admissibles de brouillage spécifiés. Il conviendra de consulter les directives indiquées à ce sujet dans les Recommandations UIT</w:t>
            </w:r>
            <w:r w:rsidR="0045171D">
              <w:rPr>
                <w:sz w:val="22"/>
                <w:szCs w:val="22"/>
                <w:lang w:val="fr-FR"/>
              </w:rPr>
              <w:noBreakHyphen/>
            </w:r>
            <w:r w:rsidRPr="007662F4">
              <w:rPr>
                <w:sz w:val="22"/>
                <w:szCs w:val="22"/>
                <w:lang w:val="fr-FR"/>
              </w:rPr>
              <w:t>R applicables de la série SM.</w:t>
            </w:r>
          </w:p>
          <w:p w14:paraId="71B2B86B" w14:textId="77777777" w:rsidR="00734A78" w:rsidRPr="007662F4" w:rsidRDefault="00734A78" w:rsidP="00460F3C">
            <w:pPr>
              <w:pStyle w:val="TableLegend0"/>
              <w:keepNext w:val="0"/>
              <w:spacing w:line="240" w:lineRule="auto"/>
              <w:rPr>
                <w:sz w:val="22"/>
                <w:szCs w:val="22"/>
                <w:lang w:val="fr-FR"/>
              </w:rPr>
            </w:pPr>
            <w:r w:rsidRPr="007662F4">
              <w:rPr>
                <w:sz w:val="22"/>
                <w:szCs w:val="22"/>
                <w:lang w:val="fr-FR"/>
              </w:rPr>
              <w:t>NOTE 2 – On peut exprimer les critères de partage sous forme de puissance surfacique admissible dans le faisceau principal de l'antenne de réception en soustrayant 10 log (</w:t>
            </w:r>
            <w:r w:rsidRPr="007662F4">
              <w:rPr>
                <w:i/>
                <w:iCs/>
                <w:sz w:val="22"/>
                <w:szCs w:val="22"/>
                <w:lang w:val="fr-FR"/>
              </w:rPr>
              <w:t xml:space="preserve">G </w:t>
            </w:r>
            <w:r w:rsidRPr="007662F4">
              <w:rPr>
                <w:sz w:val="22"/>
                <w:szCs w:val="22"/>
                <w:lang w:val="fr-FR"/>
              </w:rPr>
              <w:sym w:font="Symbol" w:char="F06C"/>
            </w:r>
            <w:r w:rsidRPr="004067B3">
              <w:rPr>
                <w:position w:val="6"/>
                <w:sz w:val="22"/>
                <w:szCs w:val="22"/>
                <w:vertAlign w:val="superscript"/>
                <w:lang w:val="fr-FR"/>
              </w:rPr>
              <w:t>2</w:t>
            </w:r>
            <w:r w:rsidRPr="007662F4">
              <w:rPr>
                <w:sz w:val="22"/>
                <w:szCs w:val="22"/>
                <w:lang w:val="fr-FR"/>
              </w:rPr>
              <w:t>/4</w:t>
            </w:r>
            <w:r w:rsidRPr="007662F4">
              <w:rPr>
                <w:sz w:val="22"/>
                <w:szCs w:val="22"/>
                <w:lang w:val="fr-FR"/>
              </w:rPr>
              <w:sym w:font="Symbol" w:char="F070"/>
            </w:r>
            <w:r w:rsidRPr="007662F4">
              <w:rPr>
                <w:sz w:val="22"/>
                <w:szCs w:val="22"/>
                <w:lang w:val="fr-FR"/>
              </w:rPr>
              <w:t xml:space="preserve">) des valeurs données dans le Tableau 1, où </w:t>
            </w:r>
            <w:r w:rsidRPr="007662F4">
              <w:rPr>
                <w:i/>
                <w:iCs/>
                <w:sz w:val="22"/>
                <w:szCs w:val="22"/>
                <w:lang w:val="fr-FR"/>
              </w:rPr>
              <w:t xml:space="preserve">G </w:t>
            </w:r>
            <w:r w:rsidRPr="007662F4">
              <w:rPr>
                <w:sz w:val="22"/>
                <w:szCs w:val="22"/>
                <w:lang w:val="fr-FR"/>
              </w:rPr>
              <w:t xml:space="preserve">est le gain d'antenne et </w:t>
            </w:r>
            <w:r w:rsidRPr="007662F4">
              <w:rPr>
                <w:sz w:val="22"/>
                <w:szCs w:val="22"/>
                <w:lang w:val="fr-FR"/>
              </w:rPr>
              <w:sym w:font="Symbol" w:char="F06C"/>
            </w:r>
            <w:r w:rsidRPr="007662F4">
              <w:rPr>
                <w:sz w:val="22"/>
                <w:szCs w:val="22"/>
                <w:lang w:val="fr-FR"/>
              </w:rPr>
              <w:t xml:space="preserve"> est la longueur d'onde.</w:t>
            </w:r>
          </w:p>
          <w:p w14:paraId="7059D4A2" w14:textId="77777777" w:rsidR="00734A78" w:rsidRPr="007662F4" w:rsidRDefault="00734A78" w:rsidP="00460F3C">
            <w:pPr>
              <w:pStyle w:val="TableLegend0"/>
              <w:keepNext w:val="0"/>
              <w:spacing w:line="240" w:lineRule="auto"/>
              <w:rPr>
                <w:sz w:val="22"/>
                <w:szCs w:val="22"/>
                <w:lang w:val="fr-FR"/>
              </w:rPr>
            </w:pPr>
            <w:r w:rsidRPr="007662F4">
              <w:rPr>
                <w:sz w:val="22"/>
                <w:szCs w:val="22"/>
                <w:lang w:val="fr-FR"/>
              </w:rPr>
              <w:t>NOTE 3 – Pour déduire les critères de partage ci-dessus à partir des niveaux admissibles de puissance totale du signal brouilleur, on n'a tenu aucun compte du brouillage dû à des rayonnements non essentiels.</w:t>
            </w:r>
          </w:p>
          <w:p w14:paraId="413F3D1E" w14:textId="77777777" w:rsidR="00734A78" w:rsidRPr="007662F4" w:rsidRDefault="00734A78" w:rsidP="00460F3C">
            <w:pPr>
              <w:pStyle w:val="TableLegend0"/>
              <w:keepNext w:val="0"/>
              <w:spacing w:line="240" w:lineRule="auto"/>
              <w:rPr>
                <w:sz w:val="22"/>
                <w:szCs w:val="22"/>
                <w:lang w:val="fr-FR"/>
              </w:rPr>
            </w:pPr>
            <w:r w:rsidRPr="007662F4">
              <w:rPr>
                <w:sz w:val="22"/>
                <w:szCs w:val="22"/>
                <w:lang w:val="fr-FR"/>
              </w:rPr>
              <w:t>NOTE 4 – Le niveau spécifié de puissance d'un signal brouilleur de source unique peut être directement converti en valeur équivalente de densité de puissance surfacique, et appliqué comme tel, dans le seul cas des stations terriennes dotées d'une antenne sans poursuite à faible gain.</w:t>
            </w:r>
          </w:p>
          <w:p w14:paraId="321881E3" w14:textId="77777777" w:rsidR="00734A78" w:rsidRPr="007662F4" w:rsidRDefault="00734A78" w:rsidP="00460F3C">
            <w:pPr>
              <w:pStyle w:val="TableLegend0"/>
              <w:keepNext w:val="0"/>
              <w:spacing w:line="240" w:lineRule="auto"/>
              <w:rPr>
                <w:sz w:val="22"/>
                <w:szCs w:val="22"/>
                <w:lang w:val="fr-FR"/>
              </w:rPr>
            </w:pPr>
            <w:r w:rsidRPr="007662F4">
              <w:rPr>
                <w:sz w:val="22"/>
                <w:szCs w:val="22"/>
                <w:lang w:val="fr-FR"/>
              </w:rPr>
              <w:t>NOTE 5 – Les critères de partage à long terme (20% du temps) et à court terme (moins de 1% du temps) doivent être respectés tous les deux, de manière que les brouillages ne dépassent pas les niveaux admissibles.</w:t>
            </w:r>
          </w:p>
          <w:p w14:paraId="713BC112" w14:textId="77777777" w:rsidR="00734A78" w:rsidRPr="007662F4" w:rsidRDefault="00734A78" w:rsidP="00460F3C">
            <w:pPr>
              <w:pStyle w:val="TableLegend0"/>
              <w:keepNext w:val="0"/>
              <w:tabs>
                <w:tab w:val="left" w:pos="273"/>
              </w:tabs>
              <w:spacing w:before="120" w:line="240" w:lineRule="auto"/>
              <w:rPr>
                <w:position w:val="6"/>
                <w:sz w:val="22"/>
                <w:szCs w:val="22"/>
                <w:lang w:val="fr-FR"/>
              </w:rPr>
            </w:pPr>
            <w:r w:rsidRPr="007662F4">
              <w:rPr>
                <w:sz w:val="22"/>
                <w:szCs w:val="22"/>
                <w:lang w:val="fr-FR"/>
              </w:rPr>
              <w:t>NOTE 6 – Les critères de brouillage spécifiés pour les trajets des signaux de Terre sont applicables aux stations au sol. Les critères spécifiés pour les trajets des signaux espace vers Terre s'appliquent également aux trajets air-sol.</w:t>
            </w:r>
          </w:p>
        </w:tc>
      </w:tr>
    </w:tbl>
    <w:p w14:paraId="3DEDD39C" w14:textId="77777777" w:rsidR="00734A78" w:rsidRDefault="00734A78" w:rsidP="00734A78"/>
    <w:p w14:paraId="67DBCCAE" w14:textId="77777777" w:rsidR="0045171D" w:rsidRPr="00D00E44" w:rsidRDefault="0045171D" w:rsidP="00734A78"/>
    <w:p w14:paraId="76481436" w14:textId="77777777" w:rsidR="00734A78" w:rsidRPr="00D00E44" w:rsidRDefault="00734A78" w:rsidP="00734A78">
      <w:pPr>
        <w:pStyle w:val="AnnexNoTitle"/>
      </w:pPr>
      <w:r w:rsidRPr="00D00E44">
        <w:t>Annexe 1</w:t>
      </w:r>
      <w:r w:rsidRPr="00D00E44">
        <w:br/>
      </w:r>
      <w:r w:rsidRPr="00D00E44">
        <w:br/>
        <w:t>Base pour les critères de partage et de coordination</w:t>
      </w:r>
    </w:p>
    <w:p w14:paraId="463C5620" w14:textId="77777777" w:rsidR="00734A78" w:rsidRPr="00D00E44" w:rsidRDefault="00734A78" w:rsidP="00734A78">
      <w:pPr>
        <w:pStyle w:val="Heading1"/>
      </w:pPr>
      <w:r w:rsidRPr="00D00E44">
        <w:t>1</w:t>
      </w:r>
      <w:r w:rsidRPr="00D00E44">
        <w:tab/>
        <w:t>Introduction</w:t>
      </w:r>
    </w:p>
    <w:p w14:paraId="13C0E2DE" w14:textId="77777777" w:rsidR="00734A78" w:rsidRPr="00D00E44" w:rsidRDefault="00734A78" w:rsidP="00734A78">
      <w:r w:rsidRPr="00D00E44">
        <w:t>La présente Annexe définit l</w:t>
      </w:r>
      <w:r>
        <w:t>'</w:t>
      </w:r>
      <w:r w:rsidRPr="00D00E44">
        <w:t>application de la Recommandation UIT-R SA.1023 lorsque l</w:t>
      </w:r>
      <w:r>
        <w:t>'</w:t>
      </w:r>
      <w:r w:rsidRPr="00D00E44">
        <w:t>on utilise les critères de brouillage calculés selon la Recommandation UIT-R SA.1163. Les niveaux de brouillage admissibles sont subdivisés, conformément à la Recommandation UIT-R SA.1023, en deux catégories «espace» et «de Terre» – puis selon le nombre de brouilleurs prévus dans chaque catégorie. La structure de cette classification est reprise dans le Tableau 2, tandis que les lignes qui suivent résument les conditions de brouillage dans chaque bande.</w:t>
      </w:r>
    </w:p>
    <w:p w14:paraId="69CC1EEF" w14:textId="77777777" w:rsidR="00734A78" w:rsidRPr="00D00E44" w:rsidRDefault="00734A78" w:rsidP="00734A78">
      <w:pPr>
        <w:pStyle w:val="Heading1"/>
      </w:pPr>
      <w:r w:rsidRPr="00D00E44">
        <w:t>2</w:t>
      </w:r>
      <w:r w:rsidRPr="00D00E44">
        <w:tab/>
        <w:t>Bande 401-403 MHz</w:t>
      </w:r>
    </w:p>
    <w:p w14:paraId="56CBB12E" w14:textId="77777777" w:rsidR="00734A78" w:rsidRPr="00D00E44" w:rsidRDefault="00734A78" w:rsidP="00734A78">
      <w:r w:rsidRPr="00D00E44">
        <w:t>La bande 401-402 MHz est attribuée à titre primaire au service des auxiliaires de la météorologie, au service d</w:t>
      </w:r>
      <w:r>
        <w:t>'</w:t>
      </w:r>
      <w:r w:rsidRPr="00D00E44">
        <w:t>exploitation sp</w:t>
      </w:r>
      <w:r>
        <w:t xml:space="preserve">atiale (espace vers </w:t>
      </w:r>
      <w:r w:rsidRPr="00D00E44">
        <w:t>Terre), au service d</w:t>
      </w:r>
      <w:r>
        <w:t>'</w:t>
      </w:r>
      <w:r w:rsidRPr="00D00E44">
        <w:t>exploration d</w:t>
      </w:r>
      <w:r>
        <w:t xml:space="preserve">e la Terre par satellite (Terre vers </w:t>
      </w:r>
      <w:r w:rsidRPr="00D00E44">
        <w:t>espace</w:t>
      </w:r>
      <w:r>
        <w:t xml:space="preserve">) et au service MetSat (Terre vers </w:t>
      </w:r>
      <w:r w:rsidRPr="00D00E44">
        <w:t>espace), et à titre secondaire au service fixe et au service mobile (sauf mobile aéronautique).</w:t>
      </w:r>
      <w:r w:rsidRPr="00D00E44">
        <w:rPr>
          <w:szCs w:val="24"/>
        </w:rPr>
        <w:t xml:space="preserve"> Il est nécessaire que les attributions aux services spatiaux dans les deux sens à l</w:t>
      </w:r>
      <w:r>
        <w:rPr>
          <w:szCs w:val="24"/>
        </w:rPr>
        <w:t>'</w:t>
      </w:r>
      <w:r w:rsidRPr="00D00E44">
        <w:rPr>
          <w:szCs w:val="24"/>
        </w:rPr>
        <w:t>intérieur de cette bande tien</w:t>
      </w:r>
      <w:r>
        <w:rPr>
          <w:szCs w:val="24"/>
        </w:rPr>
        <w:t>nent compte des brouillages pouvant se produire dans le sens espace-</w:t>
      </w:r>
      <w:r w:rsidRPr="00D00E44">
        <w:rPr>
          <w:szCs w:val="24"/>
        </w:rPr>
        <w:t xml:space="preserve">espace. Ce cas est abordé plus </w:t>
      </w:r>
      <w:r>
        <w:rPr>
          <w:szCs w:val="24"/>
        </w:rPr>
        <w:t>en détails</w:t>
      </w:r>
      <w:r w:rsidRPr="00D00E44">
        <w:rPr>
          <w:szCs w:val="24"/>
        </w:rPr>
        <w:t xml:space="preserve"> dans</w:t>
      </w:r>
      <w:r>
        <w:rPr>
          <w:szCs w:val="24"/>
        </w:rPr>
        <w:t xml:space="preserve"> l'Annexe </w:t>
      </w:r>
      <w:r w:rsidRPr="00D00E44">
        <w:rPr>
          <w:szCs w:val="24"/>
        </w:rPr>
        <w:t>2.</w:t>
      </w:r>
    </w:p>
    <w:p w14:paraId="5F59234D" w14:textId="77777777" w:rsidR="00734A78" w:rsidRPr="00D00E44" w:rsidRDefault="00734A78" w:rsidP="00734A78">
      <w:r w:rsidRPr="00D00E44">
        <w:t xml:space="preserve">La bande 402-403 MHz est attribuée </w:t>
      </w:r>
      <w:r>
        <w:t xml:space="preserve">à titre primaire </w:t>
      </w:r>
      <w:r w:rsidRPr="00D00E44">
        <w:t>au service des auxiliaires de la météorologie, au service d</w:t>
      </w:r>
      <w:r>
        <w:t>'</w:t>
      </w:r>
      <w:r w:rsidRPr="00D00E44">
        <w:t>exploration d</w:t>
      </w:r>
      <w:r>
        <w:t xml:space="preserve">e la Terre par satellite (Terre vers </w:t>
      </w:r>
      <w:r w:rsidRPr="00D00E44">
        <w:t xml:space="preserve">espace) et au </w:t>
      </w:r>
      <w:r>
        <w:t xml:space="preserve">service MetSat (Terre vers </w:t>
      </w:r>
      <w:r w:rsidRPr="00D00E44">
        <w:t>espace), et à titre secondaire au service fixe et au service mobile (sauf mobile aéronautique).</w:t>
      </w:r>
    </w:p>
    <w:p w14:paraId="79AC28E5" w14:textId="77777777" w:rsidR="00734A78" w:rsidRPr="00D00E44" w:rsidRDefault="00734A78" w:rsidP="00734A78">
      <w:r w:rsidRPr="00D00E44">
        <w:t>La plupart du temps, les stations du service d</w:t>
      </w:r>
      <w:r>
        <w:t>'</w:t>
      </w:r>
      <w:r w:rsidRPr="00D00E44">
        <w:t>exploration de la Terre par satellite et du service MetSat occasionneront des niveaux de brouillage supérieurs à ceux des services de Terre. A court terme, les améliorations de la propagation sur les trajets de Terre des signaux brouilleurs et les variations d</w:t>
      </w:r>
      <w:r>
        <w:t>'</w:t>
      </w:r>
      <w:r w:rsidRPr="00D00E44">
        <w:t>emplacement des stations mobiles pourront se traduire par des niveaux de brouillage a</w:t>
      </w:r>
      <w:r>
        <w:t xml:space="preserve">nalogues sur les trajets espace vers </w:t>
      </w:r>
      <w:r w:rsidRPr="00D00E44">
        <w:t>Terre et les liaisons des stations de Terre.</w:t>
      </w:r>
    </w:p>
    <w:p w14:paraId="5CA9D6EB" w14:textId="77777777" w:rsidR="00734A78" w:rsidRPr="00D00E44" w:rsidRDefault="00734A78" w:rsidP="00734A78">
      <w:pPr>
        <w:pStyle w:val="Heading1"/>
      </w:pPr>
      <w:r w:rsidRPr="00D00E44">
        <w:t>3</w:t>
      </w:r>
      <w:r w:rsidRPr="00D00E44">
        <w:tab/>
        <w:t>Bande 460-470 MHz</w:t>
      </w:r>
    </w:p>
    <w:p w14:paraId="7AA6EDC7" w14:textId="77777777" w:rsidR="00734A78" w:rsidRPr="00D00E44" w:rsidRDefault="00734A78" w:rsidP="00734A78">
      <w:r w:rsidRPr="00D00E44">
        <w:t>La bande 460-470 MHz est attribuée aux services fixe et mobile à titre primaire, ainsi qu</w:t>
      </w:r>
      <w:r>
        <w:t>'</w:t>
      </w:r>
      <w:r w:rsidRPr="00D00E44">
        <w:t>au service de météorologie par satellite. La plupart du temps, le brouillage est occasionné par les stations de Terre. Pendant de brèves périodes, d</w:t>
      </w:r>
      <w:r>
        <w:t>'</w:t>
      </w:r>
      <w:r w:rsidRPr="00D00E44">
        <w:t>autres sources de brouilleurs peuvent être attendues des systèmes spatiaux.</w:t>
      </w:r>
    </w:p>
    <w:p w14:paraId="70FCE785" w14:textId="77777777" w:rsidR="00734A78" w:rsidRPr="00D00E44" w:rsidRDefault="00734A78" w:rsidP="00734A78">
      <w:pPr>
        <w:pStyle w:val="Heading1"/>
      </w:pPr>
      <w:r w:rsidRPr="00D00E44">
        <w:t>4</w:t>
      </w:r>
      <w:r w:rsidRPr="00D00E44">
        <w:tab/>
        <w:t>Bande 1 670-1 690 MHz</w:t>
      </w:r>
    </w:p>
    <w:p w14:paraId="314ADFD0" w14:textId="77777777" w:rsidR="00734A78" w:rsidRPr="00D00E44" w:rsidRDefault="00734A78" w:rsidP="00734A78">
      <w:r w:rsidRPr="00D00E44">
        <w:t>La bande 1 670-1 690 MHz est attribuée à titre primaire au service des auxiliaires de la météorologie, au service MetSat (</w:t>
      </w:r>
      <w:r>
        <w:t>espace vers Terre</w:t>
      </w:r>
      <w:r w:rsidRPr="00D00E44">
        <w:t>), au</w:t>
      </w:r>
      <w:r>
        <w:t>x</w:t>
      </w:r>
      <w:r w:rsidRPr="00D00E44">
        <w:t xml:space="preserve"> service</w:t>
      </w:r>
      <w:r>
        <w:t>s</w:t>
      </w:r>
      <w:r w:rsidRPr="00D00E44">
        <w:t xml:space="preserve"> mobile et fixe, et la bande 1 670-1 675 MHz est attribuée à titre primaire au service mobile par satellite (</w:t>
      </w:r>
      <w:r>
        <w:t>Terre vers espace</w:t>
      </w:r>
      <w:r w:rsidRPr="00D00E44">
        <w:t>).</w:t>
      </w:r>
    </w:p>
    <w:p w14:paraId="20790A34" w14:textId="77777777" w:rsidR="00734A78" w:rsidRPr="00D00E44" w:rsidRDefault="00734A78" w:rsidP="00734A78">
      <w:pPr>
        <w:pStyle w:val="Heading1"/>
      </w:pPr>
      <w:r w:rsidRPr="00D00E44">
        <w:t>5</w:t>
      </w:r>
      <w:r w:rsidRPr="00D00E44">
        <w:tab/>
        <w:t>Bande 2 025-2 110 MHz</w:t>
      </w:r>
    </w:p>
    <w:p w14:paraId="5E8925FC" w14:textId="77777777" w:rsidR="00734A78" w:rsidRPr="00D00E44" w:rsidRDefault="00734A78" w:rsidP="00734A78">
      <w:r w:rsidRPr="00D00E44">
        <w:t>La bande 2 025-2 110 MHz est attribuée à titre primaire au service fixe et au service mobile, au service de recherche spatiale (</w:t>
      </w:r>
      <w:r>
        <w:t xml:space="preserve"> Terre vers espace</w:t>
      </w:r>
      <w:r w:rsidRPr="00D00E44">
        <w:t xml:space="preserve"> et </w:t>
      </w:r>
      <w:r>
        <w:t>espace-espace</w:t>
      </w:r>
      <w:r w:rsidRPr="00D00E44">
        <w:t>), au service d</w:t>
      </w:r>
      <w:r>
        <w:t>'</w:t>
      </w:r>
      <w:r w:rsidRPr="00D00E44">
        <w:t>exploitation spatiale (</w:t>
      </w:r>
      <w:r>
        <w:t>Terre vers espace</w:t>
      </w:r>
      <w:r w:rsidRPr="00D00E44">
        <w:t xml:space="preserve"> et </w:t>
      </w:r>
      <w:r>
        <w:t>espace-espace</w:t>
      </w:r>
      <w:r w:rsidRPr="00D00E44">
        <w:t>) et au service d</w:t>
      </w:r>
      <w:r>
        <w:t>'</w:t>
      </w:r>
      <w:r w:rsidRPr="00D00E44">
        <w:t>exploration de la Terre par satellite (</w:t>
      </w:r>
      <w:r>
        <w:t>Terre vers espace</w:t>
      </w:r>
      <w:r w:rsidRPr="00D00E44">
        <w:t xml:space="preserve"> et </w:t>
      </w:r>
      <w:r>
        <w:t>espace-espace</w:t>
      </w:r>
      <w:r w:rsidRPr="00D00E44">
        <w:t>).</w:t>
      </w:r>
    </w:p>
    <w:p w14:paraId="4E831E1F" w14:textId="77777777" w:rsidR="00734A78" w:rsidRDefault="00734A78" w:rsidP="00734A78">
      <w:pPr>
        <w:pStyle w:val="TableNo"/>
      </w:pPr>
      <w:r w:rsidRPr="00D00E44">
        <w:t>TABLEAU 2</w:t>
      </w:r>
    </w:p>
    <w:p w14:paraId="1727627B" w14:textId="77777777" w:rsidR="00734A78" w:rsidRDefault="00734A78" w:rsidP="00734A78">
      <w:pPr>
        <w:pStyle w:val="Tabletitle"/>
      </w:pPr>
      <w:r>
        <w:t xml:space="preserve">Paramètres utilisés dans le calcul des critères de partage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273"/>
        <w:gridCol w:w="992"/>
        <w:gridCol w:w="1134"/>
        <w:gridCol w:w="996"/>
        <w:gridCol w:w="1131"/>
        <w:gridCol w:w="995"/>
        <w:gridCol w:w="1051"/>
        <w:gridCol w:w="938"/>
      </w:tblGrid>
      <w:tr w:rsidR="00734A78" w:rsidRPr="00995FA9" w14:paraId="49C32C45" w14:textId="77777777" w:rsidTr="00F56CE9">
        <w:trPr>
          <w:cantSplit/>
          <w:jc w:val="center"/>
        </w:trPr>
        <w:tc>
          <w:tcPr>
            <w:tcW w:w="1129" w:type="dxa"/>
            <w:vMerge w:val="restart"/>
            <w:vAlign w:val="center"/>
          </w:tcPr>
          <w:p w14:paraId="5CF9CCA4" w14:textId="77777777" w:rsidR="00734A78" w:rsidRPr="00995FA9" w:rsidRDefault="00734A78" w:rsidP="00995FA9">
            <w:pPr>
              <w:pStyle w:val="Tablehead"/>
              <w:rPr>
                <w:sz w:val="20"/>
                <w:szCs w:val="18"/>
              </w:rPr>
            </w:pPr>
            <w:r w:rsidRPr="00995FA9">
              <w:rPr>
                <w:sz w:val="20"/>
                <w:szCs w:val="18"/>
              </w:rPr>
              <w:t>Bande de</w:t>
            </w:r>
            <w:r w:rsidRPr="00995FA9">
              <w:rPr>
                <w:sz w:val="20"/>
                <w:szCs w:val="18"/>
              </w:rPr>
              <w:br/>
              <w:t>fréquences (MHz)</w:t>
            </w:r>
          </w:p>
        </w:tc>
        <w:tc>
          <w:tcPr>
            <w:tcW w:w="2265" w:type="dxa"/>
            <w:gridSpan w:val="2"/>
          </w:tcPr>
          <w:p w14:paraId="762CA61D" w14:textId="77777777" w:rsidR="00734A78" w:rsidRPr="00995FA9" w:rsidRDefault="00734A78" w:rsidP="00995FA9">
            <w:pPr>
              <w:pStyle w:val="Tablehead"/>
              <w:rPr>
                <w:sz w:val="20"/>
                <w:szCs w:val="18"/>
              </w:rPr>
            </w:pPr>
            <w:r w:rsidRPr="00995FA9">
              <w:rPr>
                <w:sz w:val="20"/>
                <w:szCs w:val="18"/>
              </w:rPr>
              <w:t>Répartition</w:t>
            </w:r>
            <w:r w:rsidR="0017034B" w:rsidRPr="00995FA9">
              <w:rPr>
                <w:sz w:val="20"/>
                <w:szCs w:val="18"/>
              </w:rPr>
              <w:br/>
            </w:r>
            <w:r w:rsidRPr="00995FA9">
              <w:rPr>
                <w:sz w:val="20"/>
                <w:szCs w:val="18"/>
              </w:rPr>
              <w:t>à</w:t>
            </w:r>
            <w:r w:rsidR="0017034B" w:rsidRPr="00995FA9">
              <w:rPr>
                <w:sz w:val="20"/>
                <w:szCs w:val="18"/>
              </w:rPr>
              <w:t xml:space="preserve"> </w:t>
            </w:r>
            <w:r w:rsidRPr="00995FA9">
              <w:rPr>
                <w:sz w:val="20"/>
                <w:szCs w:val="18"/>
              </w:rPr>
              <w:t>long</w:t>
            </w:r>
            <w:r w:rsidR="0017034B" w:rsidRPr="00995FA9">
              <w:rPr>
                <w:sz w:val="20"/>
                <w:szCs w:val="18"/>
              </w:rPr>
              <w:t xml:space="preserve"> </w:t>
            </w:r>
            <w:r w:rsidRPr="00995FA9">
              <w:rPr>
                <w:sz w:val="20"/>
                <w:szCs w:val="18"/>
              </w:rPr>
              <w:t>terme entre</w:t>
            </w:r>
            <w:r w:rsidR="0017034B" w:rsidRPr="00995FA9">
              <w:rPr>
                <w:sz w:val="20"/>
                <w:szCs w:val="18"/>
              </w:rPr>
              <w:t xml:space="preserve"> </w:t>
            </w:r>
            <w:r w:rsidRPr="00995FA9">
              <w:rPr>
                <w:sz w:val="20"/>
                <w:szCs w:val="18"/>
              </w:rPr>
              <w:t>catégories de</w:t>
            </w:r>
            <w:r w:rsidR="0017034B" w:rsidRPr="00995FA9">
              <w:rPr>
                <w:sz w:val="20"/>
                <w:szCs w:val="18"/>
              </w:rPr>
              <w:t xml:space="preserve"> </w:t>
            </w:r>
            <w:r w:rsidRPr="00995FA9">
              <w:rPr>
                <w:sz w:val="20"/>
                <w:szCs w:val="18"/>
              </w:rPr>
              <w:t>brouilleurs</w:t>
            </w:r>
          </w:p>
        </w:tc>
        <w:tc>
          <w:tcPr>
            <w:tcW w:w="2130" w:type="dxa"/>
            <w:gridSpan w:val="2"/>
          </w:tcPr>
          <w:p w14:paraId="29ED8E03" w14:textId="77777777" w:rsidR="00734A78" w:rsidRPr="00995FA9" w:rsidRDefault="00734A78" w:rsidP="00995FA9">
            <w:pPr>
              <w:pStyle w:val="Tablehead"/>
              <w:rPr>
                <w:sz w:val="20"/>
                <w:szCs w:val="18"/>
              </w:rPr>
            </w:pPr>
            <w:r w:rsidRPr="00995FA9">
              <w:rPr>
                <w:sz w:val="20"/>
                <w:szCs w:val="18"/>
              </w:rPr>
              <w:t>R</w:t>
            </w:r>
            <w:r w:rsidR="0017034B" w:rsidRPr="00995FA9">
              <w:rPr>
                <w:sz w:val="20"/>
                <w:szCs w:val="18"/>
              </w:rPr>
              <w:t>épartition</w:t>
            </w:r>
            <w:r w:rsidR="0017034B" w:rsidRPr="00995FA9">
              <w:rPr>
                <w:sz w:val="20"/>
                <w:szCs w:val="18"/>
              </w:rPr>
              <w:br/>
              <w:t xml:space="preserve">à court </w:t>
            </w:r>
            <w:r w:rsidRPr="00995FA9">
              <w:rPr>
                <w:sz w:val="20"/>
                <w:szCs w:val="18"/>
              </w:rPr>
              <w:t>terme entre</w:t>
            </w:r>
            <w:r w:rsidR="0017034B" w:rsidRPr="00995FA9">
              <w:rPr>
                <w:sz w:val="20"/>
                <w:szCs w:val="18"/>
              </w:rPr>
              <w:t xml:space="preserve"> catégories de </w:t>
            </w:r>
            <w:r w:rsidRPr="00995FA9">
              <w:rPr>
                <w:sz w:val="20"/>
                <w:szCs w:val="18"/>
              </w:rPr>
              <w:t>brouilleurs</w:t>
            </w:r>
          </w:p>
        </w:tc>
        <w:tc>
          <w:tcPr>
            <w:tcW w:w="2126" w:type="dxa"/>
            <w:gridSpan w:val="2"/>
          </w:tcPr>
          <w:p w14:paraId="196DDD16" w14:textId="77777777" w:rsidR="00734A78" w:rsidRPr="00995FA9" w:rsidRDefault="00734A78" w:rsidP="00995FA9">
            <w:pPr>
              <w:pStyle w:val="Tablehead"/>
              <w:rPr>
                <w:sz w:val="20"/>
                <w:szCs w:val="18"/>
              </w:rPr>
            </w:pPr>
            <w:r w:rsidRPr="00995FA9">
              <w:rPr>
                <w:sz w:val="20"/>
                <w:szCs w:val="18"/>
              </w:rPr>
              <w:t xml:space="preserve">Nombre équivalent </w:t>
            </w:r>
            <w:r w:rsidR="0017034B" w:rsidRPr="00995FA9">
              <w:rPr>
                <w:sz w:val="20"/>
                <w:szCs w:val="18"/>
              </w:rPr>
              <w:br/>
            </w:r>
            <w:r w:rsidRPr="00995FA9">
              <w:rPr>
                <w:sz w:val="20"/>
                <w:szCs w:val="18"/>
              </w:rPr>
              <w:t>de</w:t>
            </w:r>
            <w:r w:rsidR="0017034B" w:rsidRPr="00995FA9">
              <w:rPr>
                <w:sz w:val="20"/>
                <w:szCs w:val="18"/>
              </w:rPr>
              <w:t xml:space="preserve"> brouilleurs </w:t>
            </w:r>
            <w:r w:rsidR="0017034B" w:rsidRPr="00995FA9">
              <w:rPr>
                <w:sz w:val="20"/>
                <w:szCs w:val="18"/>
              </w:rPr>
              <w:br/>
              <w:t xml:space="preserve">à </w:t>
            </w:r>
            <w:r w:rsidRPr="00995FA9">
              <w:rPr>
                <w:sz w:val="20"/>
                <w:szCs w:val="18"/>
              </w:rPr>
              <w:t>long terme</w:t>
            </w:r>
          </w:p>
        </w:tc>
        <w:tc>
          <w:tcPr>
            <w:tcW w:w="1989" w:type="dxa"/>
            <w:gridSpan w:val="2"/>
          </w:tcPr>
          <w:p w14:paraId="26C76039" w14:textId="77777777" w:rsidR="00734A78" w:rsidRPr="00995FA9" w:rsidRDefault="0017034B" w:rsidP="00995FA9">
            <w:pPr>
              <w:pStyle w:val="Tablehead"/>
              <w:rPr>
                <w:sz w:val="20"/>
                <w:szCs w:val="18"/>
              </w:rPr>
            </w:pPr>
            <w:r w:rsidRPr="00995FA9">
              <w:rPr>
                <w:sz w:val="20"/>
                <w:szCs w:val="18"/>
              </w:rPr>
              <w:t>Nombre équivalent</w:t>
            </w:r>
            <w:r w:rsidRPr="00995FA9">
              <w:rPr>
                <w:sz w:val="20"/>
                <w:szCs w:val="18"/>
              </w:rPr>
              <w:br/>
            </w:r>
            <w:r w:rsidR="00734A78" w:rsidRPr="00995FA9">
              <w:rPr>
                <w:sz w:val="20"/>
                <w:szCs w:val="18"/>
              </w:rPr>
              <w:t>de</w:t>
            </w:r>
            <w:r w:rsidRPr="00995FA9">
              <w:rPr>
                <w:sz w:val="20"/>
                <w:szCs w:val="18"/>
              </w:rPr>
              <w:t xml:space="preserve"> </w:t>
            </w:r>
            <w:r w:rsidR="00734A78" w:rsidRPr="00995FA9">
              <w:rPr>
                <w:sz w:val="20"/>
                <w:szCs w:val="18"/>
              </w:rPr>
              <w:t>brouilleurs</w:t>
            </w:r>
            <w:r w:rsidRPr="00995FA9">
              <w:rPr>
                <w:sz w:val="20"/>
                <w:szCs w:val="18"/>
              </w:rPr>
              <w:br/>
              <w:t xml:space="preserve">à </w:t>
            </w:r>
            <w:r w:rsidR="00734A78" w:rsidRPr="00995FA9">
              <w:rPr>
                <w:sz w:val="20"/>
                <w:szCs w:val="18"/>
              </w:rPr>
              <w:t>court terme</w:t>
            </w:r>
          </w:p>
        </w:tc>
      </w:tr>
      <w:tr w:rsidR="00734A78" w:rsidRPr="00995FA9" w14:paraId="6E0F4805" w14:textId="77777777" w:rsidTr="00F56CE9">
        <w:trPr>
          <w:cantSplit/>
          <w:jc w:val="center"/>
        </w:trPr>
        <w:tc>
          <w:tcPr>
            <w:tcW w:w="1129" w:type="dxa"/>
            <w:vMerge/>
          </w:tcPr>
          <w:p w14:paraId="5F862A6E" w14:textId="77777777" w:rsidR="00734A78" w:rsidRPr="00995FA9" w:rsidRDefault="00734A78" w:rsidP="00995FA9">
            <w:pPr>
              <w:pStyle w:val="Tablehead"/>
              <w:rPr>
                <w:sz w:val="20"/>
                <w:szCs w:val="18"/>
              </w:rPr>
            </w:pPr>
          </w:p>
        </w:tc>
        <w:tc>
          <w:tcPr>
            <w:tcW w:w="2265" w:type="dxa"/>
            <w:gridSpan w:val="2"/>
          </w:tcPr>
          <w:p w14:paraId="3916B639" w14:textId="77777777" w:rsidR="00734A78" w:rsidRPr="00995FA9" w:rsidRDefault="00734A78" w:rsidP="00995FA9">
            <w:pPr>
              <w:pStyle w:val="Tablehead"/>
              <w:rPr>
                <w:sz w:val="20"/>
                <w:szCs w:val="18"/>
              </w:rPr>
            </w:pPr>
            <w:r w:rsidRPr="00995FA9">
              <w:rPr>
                <w:sz w:val="20"/>
                <w:szCs w:val="18"/>
              </w:rPr>
              <w:t>Trajet du signal brouilleur</w:t>
            </w:r>
          </w:p>
        </w:tc>
        <w:tc>
          <w:tcPr>
            <w:tcW w:w="2130" w:type="dxa"/>
            <w:gridSpan w:val="2"/>
          </w:tcPr>
          <w:p w14:paraId="375970A4" w14:textId="77777777" w:rsidR="00734A78" w:rsidRPr="00995FA9" w:rsidRDefault="00734A78" w:rsidP="00995FA9">
            <w:pPr>
              <w:pStyle w:val="Tablehead"/>
              <w:rPr>
                <w:sz w:val="20"/>
                <w:szCs w:val="18"/>
              </w:rPr>
            </w:pPr>
            <w:r w:rsidRPr="00995FA9">
              <w:rPr>
                <w:sz w:val="20"/>
                <w:szCs w:val="18"/>
              </w:rPr>
              <w:t>Trajet du signal brouilleur</w:t>
            </w:r>
          </w:p>
        </w:tc>
        <w:tc>
          <w:tcPr>
            <w:tcW w:w="2126" w:type="dxa"/>
            <w:gridSpan w:val="2"/>
          </w:tcPr>
          <w:p w14:paraId="7D430570" w14:textId="77777777" w:rsidR="00734A78" w:rsidRPr="00995FA9" w:rsidRDefault="00734A78" w:rsidP="00995FA9">
            <w:pPr>
              <w:pStyle w:val="Tablehead"/>
              <w:rPr>
                <w:sz w:val="20"/>
                <w:szCs w:val="18"/>
              </w:rPr>
            </w:pPr>
            <w:r w:rsidRPr="00995FA9">
              <w:rPr>
                <w:sz w:val="20"/>
                <w:szCs w:val="18"/>
              </w:rPr>
              <w:t>Trajet du signal brouilleur</w:t>
            </w:r>
          </w:p>
        </w:tc>
        <w:tc>
          <w:tcPr>
            <w:tcW w:w="1989" w:type="dxa"/>
            <w:gridSpan w:val="2"/>
          </w:tcPr>
          <w:p w14:paraId="0F348CEE" w14:textId="77777777" w:rsidR="00734A78" w:rsidRPr="00995FA9" w:rsidRDefault="00734A78" w:rsidP="00995FA9">
            <w:pPr>
              <w:pStyle w:val="Tablehead"/>
              <w:rPr>
                <w:sz w:val="20"/>
                <w:szCs w:val="18"/>
              </w:rPr>
            </w:pPr>
            <w:r w:rsidRPr="00995FA9">
              <w:rPr>
                <w:sz w:val="20"/>
                <w:szCs w:val="18"/>
              </w:rPr>
              <w:t>Trajet du signal brouilleur</w:t>
            </w:r>
          </w:p>
        </w:tc>
      </w:tr>
      <w:tr w:rsidR="0017034B" w:rsidRPr="00995FA9" w14:paraId="691C573A" w14:textId="77777777" w:rsidTr="00F56CE9">
        <w:trPr>
          <w:cantSplit/>
          <w:jc w:val="center"/>
        </w:trPr>
        <w:tc>
          <w:tcPr>
            <w:tcW w:w="1129" w:type="dxa"/>
            <w:vMerge/>
          </w:tcPr>
          <w:p w14:paraId="5B4AE58B" w14:textId="77777777" w:rsidR="00734A78" w:rsidRPr="00995FA9" w:rsidRDefault="00734A78" w:rsidP="00995FA9">
            <w:pPr>
              <w:pStyle w:val="Tablehead"/>
              <w:rPr>
                <w:sz w:val="20"/>
                <w:szCs w:val="18"/>
              </w:rPr>
            </w:pPr>
          </w:p>
        </w:tc>
        <w:tc>
          <w:tcPr>
            <w:tcW w:w="1273" w:type="dxa"/>
          </w:tcPr>
          <w:p w14:paraId="6354FDE7" w14:textId="77777777"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2" w:type="dxa"/>
          </w:tcPr>
          <w:p w14:paraId="4E9D8326" w14:textId="77777777" w:rsidR="00734A78" w:rsidRPr="00995FA9" w:rsidRDefault="00734A78" w:rsidP="00995FA9">
            <w:pPr>
              <w:pStyle w:val="Tablehead"/>
              <w:rPr>
                <w:sz w:val="20"/>
                <w:szCs w:val="18"/>
              </w:rPr>
            </w:pPr>
            <w:r w:rsidRPr="00995FA9">
              <w:rPr>
                <w:sz w:val="20"/>
                <w:szCs w:val="18"/>
              </w:rPr>
              <w:t>De Terre</w:t>
            </w:r>
          </w:p>
        </w:tc>
        <w:tc>
          <w:tcPr>
            <w:tcW w:w="1134" w:type="dxa"/>
          </w:tcPr>
          <w:p w14:paraId="0BBD28CB" w14:textId="77777777"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6" w:type="dxa"/>
          </w:tcPr>
          <w:p w14:paraId="72D29B01" w14:textId="77777777" w:rsidR="00734A78" w:rsidRPr="00995FA9" w:rsidRDefault="00734A78" w:rsidP="00995FA9">
            <w:pPr>
              <w:pStyle w:val="Tablehead"/>
              <w:rPr>
                <w:sz w:val="20"/>
                <w:szCs w:val="18"/>
              </w:rPr>
            </w:pPr>
            <w:r w:rsidRPr="00995FA9">
              <w:rPr>
                <w:sz w:val="20"/>
                <w:szCs w:val="18"/>
              </w:rPr>
              <w:t>De Terre</w:t>
            </w:r>
          </w:p>
        </w:tc>
        <w:tc>
          <w:tcPr>
            <w:tcW w:w="1131" w:type="dxa"/>
          </w:tcPr>
          <w:p w14:paraId="14917C76" w14:textId="77777777"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95" w:type="dxa"/>
          </w:tcPr>
          <w:p w14:paraId="2C608187" w14:textId="77777777" w:rsidR="00734A78" w:rsidRPr="00995FA9" w:rsidRDefault="00734A78" w:rsidP="00995FA9">
            <w:pPr>
              <w:pStyle w:val="Tablehead"/>
              <w:rPr>
                <w:sz w:val="20"/>
                <w:szCs w:val="18"/>
              </w:rPr>
            </w:pPr>
            <w:r w:rsidRPr="00995FA9">
              <w:rPr>
                <w:sz w:val="20"/>
                <w:szCs w:val="18"/>
              </w:rPr>
              <w:t>De Terre</w:t>
            </w:r>
          </w:p>
        </w:tc>
        <w:tc>
          <w:tcPr>
            <w:tcW w:w="1051" w:type="dxa"/>
          </w:tcPr>
          <w:p w14:paraId="0D55D689" w14:textId="77777777" w:rsidR="00734A78" w:rsidRPr="00995FA9" w:rsidRDefault="00734A78" w:rsidP="006E4CFE">
            <w:pPr>
              <w:pStyle w:val="Tablehead"/>
              <w:rPr>
                <w:sz w:val="20"/>
                <w:szCs w:val="18"/>
              </w:rPr>
            </w:pPr>
            <w:r w:rsidRPr="00995FA9">
              <w:rPr>
                <w:sz w:val="20"/>
                <w:szCs w:val="18"/>
              </w:rPr>
              <w:t>Espace vers</w:t>
            </w:r>
            <w:r w:rsidR="006E4CFE">
              <w:rPr>
                <w:sz w:val="20"/>
                <w:szCs w:val="18"/>
              </w:rPr>
              <w:t> </w:t>
            </w:r>
            <w:r w:rsidRPr="00995FA9">
              <w:rPr>
                <w:sz w:val="20"/>
                <w:szCs w:val="18"/>
              </w:rPr>
              <w:t>Terre</w:t>
            </w:r>
          </w:p>
        </w:tc>
        <w:tc>
          <w:tcPr>
            <w:tcW w:w="938" w:type="dxa"/>
          </w:tcPr>
          <w:p w14:paraId="31140BFB" w14:textId="77777777" w:rsidR="00734A78" w:rsidRPr="00995FA9" w:rsidRDefault="00734A78" w:rsidP="00995FA9">
            <w:pPr>
              <w:pStyle w:val="Tablehead"/>
              <w:rPr>
                <w:sz w:val="20"/>
                <w:szCs w:val="18"/>
              </w:rPr>
            </w:pPr>
            <w:r w:rsidRPr="00995FA9">
              <w:rPr>
                <w:sz w:val="20"/>
                <w:szCs w:val="18"/>
              </w:rPr>
              <w:t>De Terre</w:t>
            </w:r>
          </w:p>
        </w:tc>
      </w:tr>
      <w:tr w:rsidR="0017034B" w:rsidRPr="00995FA9" w14:paraId="57856619" w14:textId="77777777" w:rsidTr="00F56CE9">
        <w:trPr>
          <w:cantSplit/>
          <w:jc w:val="center"/>
        </w:trPr>
        <w:tc>
          <w:tcPr>
            <w:tcW w:w="1129" w:type="dxa"/>
          </w:tcPr>
          <w:p w14:paraId="7F4B2B00"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401-403</w:t>
            </w:r>
          </w:p>
        </w:tc>
        <w:tc>
          <w:tcPr>
            <w:tcW w:w="1273" w:type="dxa"/>
          </w:tcPr>
          <w:p w14:paraId="01BDA487"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992" w:type="dxa"/>
          </w:tcPr>
          <w:p w14:paraId="635D7687"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1134" w:type="dxa"/>
          </w:tcPr>
          <w:p w14:paraId="13990EB0"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75%</w:t>
            </w:r>
          </w:p>
        </w:tc>
        <w:tc>
          <w:tcPr>
            <w:tcW w:w="996" w:type="dxa"/>
          </w:tcPr>
          <w:p w14:paraId="71D520CB"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25%</w:t>
            </w:r>
          </w:p>
        </w:tc>
        <w:tc>
          <w:tcPr>
            <w:tcW w:w="1131" w:type="dxa"/>
          </w:tcPr>
          <w:p w14:paraId="1858080E"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w:t>
            </w:r>
            <w:r w:rsidR="00995FA9">
              <w:rPr>
                <w:rFonts w:asciiTheme="majorBidi" w:hAnsiTheme="majorBidi" w:cstheme="majorBidi"/>
                <w:sz w:val="20"/>
              </w:rPr>
              <w:t xml:space="preserve"> </w:t>
            </w:r>
            <w:r w:rsidRPr="00995FA9">
              <w:rPr>
                <w:rFonts w:asciiTheme="majorBidi" w:hAnsiTheme="majorBidi" w:cstheme="majorBidi"/>
                <w:sz w:val="20"/>
                <w:vertAlign w:val="superscript"/>
              </w:rPr>
              <w:t>(1)</w:t>
            </w:r>
          </w:p>
        </w:tc>
        <w:tc>
          <w:tcPr>
            <w:tcW w:w="995" w:type="dxa"/>
          </w:tcPr>
          <w:p w14:paraId="0439C1C1"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Pr>
          <w:p w14:paraId="36CAB339"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14:paraId="194A6EB2"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r>
      <w:tr w:rsidR="0017034B" w:rsidRPr="00995FA9" w14:paraId="58D49139" w14:textId="77777777" w:rsidTr="00F56CE9">
        <w:trPr>
          <w:cantSplit/>
          <w:jc w:val="center"/>
        </w:trPr>
        <w:tc>
          <w:tcPr>
            <w:tcW w:w="1129" w:type="dxa"/>
          </w:tcPr>
          <w:p w14:paraId="33AAB934"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1 670-1 690</w:t>
            </w:r>
          </w:p>
        </w:tc>
        <w:tc>
          <w:tcPr>
            <w:tcW w:w="1273" w:type="dxa"/>
          </w:tcPr>
          <w:p w14:paraId="378FDDDA"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Pr>
          <w:p w14:paraId="253EC57F"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Pr>
          <w:p w14:paraId="742B4FAF"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Pr>
          <w:p w14:paraId="3C9CCF68"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Pr>
          <w:p w14:paraId="66CD92BC"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Pr>
          <w:p w14:paraId="77831AD9"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Pr>
          <w:p w14:paraId="7BA9EDE4"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14:paraId="411835CB"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17034B" w:rsidRPr="00995FA9" w14:paraId="23C2DA90" w14:textId="77777777" w:rsidTr="00F56CE9">
        <w:trPr>
          <w:cantSplit/>
          <w:jc w:val="center"/>
        </w:trPr>
        <w:tc>
          <w:tcPr>
            <w:tcW w:w="1129" w:type="dxa"/>
          </w:tcPr>
          <w:p w14:paraId="6DD427CC"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2 025-2 110</w:t>
            </w:r>
          </w:p>
        </w:tc>
        <w:tc>
          <w:tcPr>
            <w:tcW w:w="1273" w:type="dxa"/>
          </w:tcPr>
          <w:p w14:paraId="7F07B31E"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Pr>
          <w:p w14:paraId="656F8965"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Pr>
          <w:p w14:paraId="02F6DF81"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Pr>
          <w:p w14:paraId="53E91C59"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Pr>
          <w:p w14:paraId="30F15CED"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Pr>
          <w:p w14:paraId="3686AB5E"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c>
          <w:tcPr>
            <w:tcW w:w="1051" w:type="dxa"/>
          </w:tcPr>
          <w:p w14:paraId="6769029F"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Pr>
          <w:p w14:paraId="429686EC"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17034B" w:rsidRPr="00995FA9" w14:paraId="6949E14D" w14:textId="77777777" w:rsidTr="00F56CE9">
        <w:trPr>
          <w:cantSplit/>
          <w:jc w:val="center"/>
        </w:trPr>
        <w:tc>
          <w:tcPr>
            <w:tcW w:w="1129" w:type="dxa"/>
            <w:tcBorders>
              <w:bottom w:val="single" w:sz="4" w:space="0" w:color="auto"/>
            </w:tcBorders>
          </w:tcPr>
          <w:p w14:paraId="05477D17"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460-470</w:t>
            </w:r>
          </w:p>
        </w:tc>
        <w:tc>
          <w:tcPr>
            <w:tcW w:w="1273" w:type="dxa"/>
            <w:tcBorders>
              <w:bottom w:val="single" w:sz="4" w:space="0" w:color="auto"/>
            </w:tcBorders>
          </w:tcPr>
          <w:p w14:paraId="2296865E"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2" w:type="dxa"/>
            <w:tcBorders>
              <w:bottom w:val="single" w:sz="4" w:space="0" w:color="auto"/>
            </w:tcBorders>
          </w:tcPr>
          <w:p w14:paraId="03AD81AB"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99%</w:t>
            </w:r>
          </w:p>
        </w:tc>
        <w:tc>
          <w:tcPr>
            <w:tcW w:w="1134" w:type="dxa"/>
            <w:tcBorders>
              <w:bottom w:val="single" w:sz="4" w:space="0" w:color="auto"/>
            </w:tcBorders>
          </w:tcPr>
          <w:p w14:paraId="32543578"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10%</w:t>
            </w:r>
          </w:p>
        </w:tc>
        <w:tc>
          <w:tcPr>
            <w:tcW w:w="996" w:type="dxa"/>
            <w:tcBorders>
              <w:bottom w:val="single" w:sz="4" w:space="0" w:color="auto"/>
            </w:tcBorders>
          </w:tcPr>
          <w:p w14:paraId="639406D9"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90%</w:t>
            </w:r>
          </w:p>
        </w:tc>
        <w:tc>
          <w:tcPr>
            <w:tcW w:w="1131" w:type="dxa"/>
            <w:tcBorders>
              <w:bottom w:val="single" w:sz="4" w:space="0" w:color="auto"/>
            </w:tcBorders>
          </w:tcPr>
          <w:p w14:paraId="40D78CE5"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95" w:type="dxa"/>
            <w:tcBorders>
              <w:bottom w:val="single" w:sz="4" w:space="0" w:color="auto"/>
            </w:tcBorders>
          </w:tcPr>
          <w:p w14:paraId="284513C5"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1051" w:type="dxa"/>
            <w:tcBorders>
              <w:bottom w:val="single" w:sz="4" w:space="0" w:color="auto"/>
            </w:tcBorders>
          </w:tcPr>
          <w:p w14:paraId="7D143997"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1</w:t>
            </w:r>
          </w:p>
        </w:tc>
        <w:tc>
          <w:tcPr>
            <w:tcW w:w="938" w:type="dxa"/>
            <w:tcBorders>
              <w:bottom w:val="single" w:sz="4" w:space="0" w:color="auto"/>
            </w:tcBorders>
          </w:tcPr>
          <w:p w14:paraId="0BF24B92" w14:textId="77777777" w:rsidR="00734A78" w:rsidRPr="00995FA9" w:rsidRDefault="00734A78" w:rsidP="00460F3C">
            <w:pPr>
              <w:pStyle w:val="Tabletext"/>
              <w:jc w:val="center"/>
              <w:rPr>
                <w:rFonts w:asciiTheme="majorBidi" w:hAnsiTheme="majorBidi" w:cstheme="majorBidi"/>
                <w:sz w:val="20"/>
              </w:rPr>
            </w:pPr>
            <w:r w:rsidRPr="00995FA9">
              <w:rPr>
                <w:rFonts w:asciiTheme="majorBidi" w:hAnsiTheme="majorBidi" w:cstheme="majorBidi"/>
                <w:sz w:val="20"/>
              </w:rPr>
              <w:t>2</w:t>
            </w:r>
          </w:p>
        </w:tc>
      </w:tr>
      <w:tr w:rsidR="00734A78" w:rsidRPr="00995FA9" w14:paraId="280C2F66" w14:textId="77777777" w:rsidTr="00995FA9">
        <w:trPr>
          <w:cantSplit/>
          <w:jc w:val="center"/>
        </w:trPr>
        <w:tc>
          <w:tcPr>
            <w:tcW w:w="9639" w:type="dxa"/>
            <w:gridSpan w:val="9"/>
            <w:tcBorders>
              <w:left w:val="nil"/>
              <w:bottom w:val="nil"/>
              <w:right w:val="nil"/>
            </w:tcBorders>
          </w:tcPr>
          <w:p w14:paraId="525528D4" w14:textId="77777777" w:rsidR="00734A78" w:rsidRPr="00995FA9" w:rsidRDefault="00734A78" w:rsidP="00995FA9">
            <w:pPr>
              <w:pStyle w:val="Tabletext"/>
              <w:ind w:left="284" w:hanging="284"/>
              <w:rPr>
                <w:rFonts w:asciiTheme="majorBidi" w:hAnsiTheme="majorBidi" w:cstheme="majorBidi"/>
                <w:sz w:val="20"/>
              </w:rPr>
            </w:pPr>
            <w:r w:rsidRPr="00995FA9">
              <w:rPr>
                <w:rFonts w:asciiTheme="majorBidi" w:hAnsiTheme="majorBidi" w:cstheme="majorBidi"/>
                <w:sz w:val="20"/>
                <w:vertAlign w:val="superscript"/>
              </w:rPr>
              <w:t>(1</w:t>
            </w:r>
            <w:r w:rsidR="00995FA9" w:rsidRPr="00995FA9">
              <w:rPr>
                <w:rFonts w:asciiTheme="majorBidi" w:hAnsiTheme="majorBidi" w:cstheme="majorBidi"/>
                <w:sz w:val="20"/>
                <w:vertAlign w:val="superscript"/>
              </w:rPr>
              <w:t>)</w:t>
            </w:r>
            <w:r w:rsidR="00995FA9" w:rsidRPr="00995FA9">
              <w:rPr>
                <w:rFonts w:asciiTheme="majorBidi" w:hAnsiTheme="majorBidi" w:cstheme="majorBidi"/>
                <w:sz w:val="20"/>
                <w:vertAlign w:val="superscript"/>
              </w:rPr>
              <w:tab/>
            </w:r>
            <w:r w:rsidRPr="00995FA9">
              <w:rPr>
                <w:rFonts w:asciiTheme="majorBidi" w:hAnsiTheme="majorBidi" w:cstheme="majorBidi"/>
                <w:sz w:val="20"/>
              </w:rPr>
              <w:t>Cette valeur correspond au nombre de brouilleurs dans le sens espace vers Terre visibles depuis la liaison Terre vers espace brouillée au niveau de l'OSG. Voir l'Annexe 2.</w:t>
            </w:r>
          </w:p>
        </w:tc>
      </w:tr>
    </w:tbl>
    <w:p w14:paraId="7683227C" w14:textId="77777777" w:rsidR="00734A78" w:rsidRPr="00D00E44" w:rsidRDefault="00734A78" w:rsidP="00CF5A78">
      <w:pPr>
        <w:pStyle w:val="Tablefin"/>
      </w:pPr>
    </w:p>
    <w:p w14:paraId="1FCEE55C" w14:textId="77777777" w:rsidR="00734A78" w:rsidRDefault="00734A78" w:rsidP="00CF5A78"/>
    <w:p w14:paraId="5F41CD11" w14:textId="77777777" w:rsidR="00734A78" w:rsidRPr="00D00E44" w:rsidRDefault="00734A78" w:rsidP="00734A78">
      <w:pPr>
        <w:tabs>
          <w:tab w:val="clear" w:pos="794"/>
          <w:tab w:val="clear" w:pos="1191"/>
          <w:tab w:val="clear" w:pos="1588"/>
          <w:tab w:val="clear" w:pos="1985"/>
        </w:tabs>
        <w:overflowPunct/>
        <w:autoSpaceDE/>
        <w:autoSpaceDN/>
        <w:adjustRightInd/>
        <w:spacing w:before="0"/>
        <w:jc w:val="left"/>
        <w:textAlignment w:val="auto"/>
      </w:pPr>
    </w:p>
    <w:p w14:paraId="7A64EC6C" w14:textId="77777777" w:rsidR="00734A78" w:rsidRPr="00D00E44" w:rsidRDefault="00734A78" w:rsidP="00734A78">
      <w:pPr>
        <w:pStyle w:val="AnnexNoTitle"/>
      </w:pPr>
      <w:r w:rsidRPr="00D00E44">
        <w:t>Annexe 2</w:t>
      </w:r>
      <w:r w:rsidRPr="00D00E44">
        <w:br/>
      </w:r>
      <w:r w:rsidRPr="00D00E44">
        <w:br/>
        <w:t xml:space="preserve">Application des critères de partage et de coordination </w:t>
      </w:r>
      <w:r>
        <w:br/>
      </w:r>
      <w:r w:rsidRPr="00D00E44">
        <w:t>dans la bande 401-403 MHz</w:t>
      </w:r>
    </w:p>
    <w:p w14:paraId="0CCEF6FB" w14:textId="77777777" w:rsidR="00734A78" w:rsidRPr="00D00E44" w:rsidRDefault="00734A78" w:rsidP="00734A78">
      <w:pPr>
        <w:pStyle w:val="Heading1"/>
        <w:rPr>
          <w:lang w:eastAsia="zh-CN"/>
        </w:rPr>
      </w:pPr>
      <w:r w:rsidRPr="00D00E44">
        <w:rPr>
          <w:lang w:eastAsia="zh-CN"/>
        </w:rPr>
        <w:t>1</w:t>
      </w:r>
      <w:r w:rsidRPr="00D00E44">
        <w:rPr>
          <w:lang w:eastAsia="zh-CN"/>
        </w:rPr>
        <w:tab/>
        <w:t>Introduction</w:t>
      </w:r>
    </w:p>
    <w:p w14:paraId="7AE5A584" w14:textId="77777777" w:rsidR="00734A78" w:rsidRPr="00D00E44" w:rsidRDefault="00734A78" w:rsidP="00EA22D9">
      <w:pPr>
        <w:rPr>
          <w:szCs w:val="24"/>
          <w:lang w:eastAsia="zh-CN"/>
        </w:rPr>
      </w:pPr>
      <w:r w:rsidRPr="00D00E44">
        <w:rPr>
          <w:szCs w:val="24"/>
          <w:lang w:eastAsia="zh-CN"/>
        </w:rPr>
        <w:t xml:space="preserve">La présente </w:t>
      </w:r>
      <w:r w:rsidR="000F22B9">
        <w:rPr>
          <w:szCs w:val="24"/>
          <w:lang w:eastAsia="zh-CN"/>
        </w:rPr>
        <w:t>A</w:t>
      </w:r>
      <w:r w:rsidRPr="00D00E44">
        <w:rPr>
          <w:szCs w:val="24"/>
          <w:lang w:eastAsia="zh-CN"/>
        </w:rPr>
        <w:t>nnexe traite des critères de partage à appliquer pour protéger les systèmes de collecte de données (SCD) dans la bande 401-403, compte tenu des nouvelles attributions et des attributions en cours d</w:t>
      </w:r>
      <w:r>
        <w:rPr>
          <w:szCs w:val="24"/>
          <w:lang w:eastAsia="zh-CN"/>
        </w:rPr>
        <w:t>'</w:t>
      </w:r>
      <w:r w:rsidRPr="00D00E44">
        <w:rPr>
          <w:szCs w:val="24"/>
          <w:lang w:eastAsia="zh-CN"/>
        </w:rPr>
        <w:t>étude.</w:t>
      </w:r>
    </w:p>
    <w:p w14:paraId="570BAAD8" w14:textId="77777777" w:rsidR="00734A78" w:rsidRPr="00D00E44" w:rsidRDefault="00734A78" w:rsidP="00734A78">
      <w:pPr>
        <w:rPr>
          <w:szCs w:val="24"/>
          <w:lang w:eastAsia="zh-CN"/>
        </w:rPr>
      </w:pPr>
      <w:r w:rsidRPr="00D00E44">
        <w:rPr>
          <w:szCs w:val="24"/>
          <w:lang w:eastAsia="zh-CN"/>
        </w:rPr>
        <w:t>Ces derniers temps, on a constaté un intérêt croissant concernant l</w:t>
      </w:r>
      <w:r>
        <w:rPr>
          <w:szCs w:val="24"/>
          <w:lang w:eastAsia="zh-CN"/>
        </w:rPr>
        <w:t>'</w:t>
      </w:r>
      <w:r w:rsidRPr="00D00E44">
        <w:rPr>
          <w:szCs w:val="24"/>
          <w:lang w:eastAsia="zh-CN"/>
        </w:rPr>
        <w:t>utilisation de petits systèmes à satellite</w:t>
      </w:r>
      <w:r>
        <w:rPr>
          <w:szCs w:val="24"/>
          <w:lang w:eastAsia="zh-CN"/>
        </w:rPr>
        <w:t>s</w:t>
      </w:r>
      <w:r w:rsidRPr="00D00E44">
        <w:rPr>
          <w:szCs w:val="24"/>
          <w:lang w:eastAsia="zh-CN"/>
        </w:rPr>
        <w:t xml:space="preserve"> </w:t>
      </w:r>
      <w:r>
        <w:rPr>
          <w:szCs w:val="24"/>
          <w:lang w:eastAsia="zh-CN"/>
        </w:rPr>
        <w:t>à des fins très diverses</w:t>
      </w:r>
      <w:r w:rsidRPr="00D00E44">
        <w:rPr>
          <w:szCs w:val="24"/>
          <w:lang w:eastAsia="zh-CN"/>
        </w:rPr>
        <w:t xml:space="preserve">, y compris les missions de </w:t>
      </w:r>
      <w:r>
        <w:rPr>
          <w:szCs w:val="24"/>
          <w:lang w:eastAsia="zh-CN"/>
        </w:rPr>
        <w:t>télé</w:t>
      </w:r>
      <w:r w:rsidRPr="00D00E44">
        <w:rPr>
          <w:szCs w:val="24"/>
          <w:lang w:eastAsia="zh-CN"/>
        </w:rPr>
        <w:t xml:space="preserve">détection </w:t>
      </w:r>
      <w:r>
        <w:rPr>
          <w:szCs w:val="24"/>
          <w:lang w:eastAsia="zh-CN"/>
        </w:rPr>
        <w:t xml:space="preserve">pour l'exploration de la Terre </w:t>
      </w:r>
      <w:r w:rsidRPr="00D00E44">
        <w:rPr>
          <w:szCs w:val="24"/>
          <w:lang w:eastAsia="zh-CN"/>
        </w:rPr>
        <w:t>et les missions de communication</w:t>
      </w:r>
      <w:r w:rsidRPr="00D00E44">
        <w:rPr>
          <w:rStyle w:val="FootnoteReference"/>
          <w:szCs w:val="24"/>
          <w:lang w:eastAsia="zh-CN"/>
        </w:rPr>
        <w:footnoteReference w:id="1"/>
      </w:r>
      <w:r w:rsidRPr="00D00E44">
        <w:rPr>
          <w:szCs w:val="24"/>
          <w:lang w:eastAsia="zh-CN"/>
        </w:rPr>
        <w:t>. Des demandes ont été déposées concernant l</w:t>
      </w:r>
      <w:r>
        <w:rPr>
          <w:szCs w:val="24"/>
          <w:lang w:eastAsia="zh-CN"/>
        </w:rPr>
        <w:t>'</w:t>
      </w:r>
      <w:r w:rsidRPr="00D00E44">
        <w:rPr>
          <w:szCs w:val="24"/>
          <w:lang w:eastAsia="zh-CN"/>
        </w:rPr>
        <w:t>exploitation de certains de ces nouveaux systèmes dans la bande 401-402 MHz réservée</w:t>
      </w:r>
      <w:r>
        <w:rPr>
          <w:szCs w:val="24"/>
          <w:lang w:eastAsia="zh-CN"/>
        </w:rPr>
        <w:t xml:space="preserve"> à l'exploitation spatiale (espace vers Terre), qui est attribuée à titre primaire avec égalité des droits au service des</w:t>
      </w:r>
      <w:r w:rsidRPr="00550FA3">
        <w:t xml:space="preserve"> </w:t>
      </w:r>
      <w:r w:rsidRPr="00D00E44">
        <w:t>auxiliaires de la météorologie</w:t>
      </w:r>
      <w:r>
        <w:t>, au service d'exploration de la Terre par satellite (Terre vers espace) et au service de météorologie par satellite (Terre vers espace).</w:t>
      </w:r>
    </w:p>
    <w:p w14:paraId="75A5FDE7" w14:textId="77777777" w:rsidR="00734A78" w:rsidRPr="00D00E44" w:rsidRDefault="00734A78" w:rsidP="00734A78">
      <w:pPr>
        <w:rPr>
          <w:szCs w:val="24"/>
          <w:lang w:eastAsia="zh-CN"/>
        </w:rPr>
      </w:pPr>
      <w:r>
        <w:rPr>
          <w:szCs w:val="24"/>
          <w:lang w:eastAsia="zh-CN"/>
        </w:rPr>
        <w:t xml:space="preserve">Les petits satellites peuvent utiliser la bande </w:t>
      </w:r>
      <w:r w:rsidRPr="00D00E44">
        <w:rPr>
          <w:szCs w:val="24"/>
          <w:lang w:eastAsia="zh-CN"/>
        </w:rPr>
        <w:t>401-402 MHz</w:t>
      </w:r>
      <w:r>
        <w:rPr>
          <w:szCs w:val="24"/>
          <w:lang w:eastAsia="zh-CN"/>
        </w:rPr>
        <w:t xml:space="preserve"> pour l'exploitation spatiale dans le sens espace vers Terre. Du fait de cette caractéristique, les antennes utilisées pour les communications  dans le sens espace vers Terre peuvent elles aussi être de petite taille, ce qui limite la valeur du gain d'antenne susceptible d'être atteint</w:t>
      </w:r>
      <w:r w:rsidRPr="00D00E44">
        <w:rPr>
          <w:rStyle w:val="FootnoteReference"/>
          <w:szCs w:val="24"/>
          <w:lang w:eastAsia="zh-CN"/>
        </w:rPr>
        <w:footnoteReference w:id="2"/>
      </w:r>
      <w:r w:rsidRPr="00D00E44">
        <w:rPr>
          <w:szCs w:val="24"/>
          <w:lang w:eastAsia="zh-CN"/>
        </w:rPr>
        <w:t xml:space="preserve">. </w:t>
      </w:r>
      <w:r>
        <w:rPr>
          <w:szCs w:val="24"/>
          <w:lang w:eastAsia="zh-CN"/>
        </w:rPr>
        <w:t>En outre, il est possible que le maintien du pointage d'une antenne espace vers Terre ne puisse pas être assuré. Ces facteurs pourraient se traduire en un niveau élevé d'émissions radioélectriques brouilleuses vers l'orbite des satellites géostationnaires, où des satellites de météorologie reçoivent les signaux des SCD.</w:t>
      </w:r>
    </w:p>
    <w:p w14:paraId="7C0A7429" w14:textId="77777777" w:rsidR="00734A78" w:rsidRPr="00D00E44" w:rsidRDefault="00734A78" w:rsidP="00734A78">
      <w:pPr>
        <w:pStyle w:val="Heading1"/>
      </w:pPr>
      <w:r w:rsidRPr="00D00E44">
        <w:t>2</w:t>
      </w:r>
      <w:r w:rsidRPr="00D00E44">
        <w:tab/>
        <w:t xml:space="preserve">Limite de puissance </w:t>
      </w:r>
      <w:r>
        <w:t xml:space="preserve">à utiliser pour </w:t>
      </w:r>
      <w:r w:rsidRPr="00D00E44">
        <w:t>protéger le</w:t>
      </w:r>
      <w:r>
        <w:t>s</w:t>
      </w:r>
      <w:r w:rsidRPr="00D00E44">
        <w:t xml:space="preserve"> SCD</w:t>
      </w:r>
    </w:p>
    <w:p w14:paraId="381742CE" w14:textId="77777777" w:rsidR="00734A78" w:rsidRPr="00D00E44" w:rsidRDefault="00734A78" w:rsidP="00734A78">
      <w:pPr>
        <w:rPr>
          <w:szCs w:val="24"/>
        </w:rPr>
      </w:pPr>
      <w:r>
        <w:rPr>
          <w:szCs w:val="24"/>
        </w:rPr>
        <w:t>La présente</w:t>
      </w:r>
      <w:r w:rsidR="00DB49A3">
        <w:rPr>
          <w:szCs w:val="24"/>
        </w:rPr>
        <w:t xml:space="preserve"> </w:t>
      </w:r>
      <w:r w:rsidR="00EA1C2E">
        <w:rPr>
          <w:szCs w:val="24"/>
        </w:rPr>
        <w:t>A</w:t>
      </w:r>
      <w:r w:rsidRPr="00D00E44">
        <w:rPr>
          <w:szCs w:val="24"/>
        </w:rPr>
        <w:t>nnex</w:t>
      </w:r>
      <w:r>
        <w:rPr>
          <w:szCs w:val="24"/>
        </w:rPr>
        <w:t>e apporte des précisions sur les limites de puissance nécessaires pour tenir compte des émetteurs utilisés dans le service d'exploitation spatiale dans la bande</w:t>
      </w:r>
      <w:r w:rsidRPr="00D00E44">
        <w:rPr>
          <w:szCs w:val="24"/>
        </w:rPr>
        <w:t xml:space="preserve"> 401-403 MHz, </w:t>
      </w:r>
      <w:r>
        <w:rPr>
          <w:szCs w:val="24"/>
        </w:rPr>
        <w:t>afin de protéger les stations spatiales de réception du SETS et du service MetSat à bord de satellites géostationnaires, lorsque le trajet de brouillage se produit dans le sens espace-espace. Cette analyse illustre la manière dont les critères de partage existants peuvent être adaptés dans le cas particulier d'une utilisation étendue de l'attribution espace vers Terre, en vue de contrôler les brouillages qui pourraient être causés au fonctionnement des SCD.</w:t>
      </w:r>
    </w:p>
    <w:p w14:paraId="6F6AA0B1" w14:textId="77777777" w:rsidR="00734A78" w:rsidRDefault="00734A78" w:rsidP="00734A78">
      <w:pPr>
        <w:rPr>
          <w:szCs w:val="24"/>
        </w:rPr>
      </w:pPr>
      <w:r>
        <w:rPr>
          <w:szCs w:val="24"/>
        </w:rPr>
        <w:t xml:space="preserve">Le </w:t>
      </w:r>
      <w:r w:rsidRPr="00D00E44">
        <w:rPr>
          <w:szCs w:val="24"/>
        </w:rPr>
        <w:t>Table</w:t>
      </w:r>
      <w:r>
        <w:rPr>
          <w:szCs w:val="24"/>
        </w:rPr>
        <w:t>au</w:t>
      </w:r>
      <w:r w:rsidRPr="00D00E44">
        <w:rPr>
          <w:szCs w:val="24"/>
        </w:rPr>
        <w:t xml:space="preserve"> 1 </w:t>
      </w:r>
      <w:r>
        <w:rPr>
          <w:szCs w:val="24"/>
        </w:rPr>
        <w:t>de la Recommandation UIT</w:t>
      </w:r>
      <w:r w:rsidRPr="00D00E44">
        <w:rPr>
          <w:szCs w:val="24"/>
        </w:rPr>
        <w:t xml:space="preserve">-R SA.1163 </w:t>
      </w:r>
      <w:r>
        <w:rPr>
          <w:szCs w:val="24"/>
        </w:rPr>
        <w:t>spécifie les critères de brouillage à long terme et à court terme pour la bande 401-403 MHz. Le critère à long terme, indiqué à l'entrée du récepteur du satellite, est fixé à −191,</w:t>
      </w:r>
      <w:r w:rsidRPr="00D00E44">
        <w:rPr>
          <w:szCs w:val="24"/>
        </w:rPr>
        <w:t xml:space="preserve">5 dB(W/100 Hz). </w:t>
      </w:r>
      <w:r>
        <w:rPr>
          <w:szCs w:val="24"/>
        </w:rPr>
        <w:t>Cette valeur est importante pour l'analyse, car les brouillages provenant d'une constellation complète de satellites en orbite terrestre basse peuvent être caractérisés comme des brouillages à long terme lorsqu'ils sont visibles depuis un récepteur du SETS ou du service MetSat situé sur l'orbite des satellites géostationnaires.</w:t>
      </w:r>
    </w:p>
    <w:p w14:paraId="68A3878E" w14:textId="77777777" w:rsidR="00734A78" w:rsidRPr="00D00E44" w:rsidRDefault="00734A78" w:rsidP="00734A78">
      <w:pPr>
        <w:rPr>
          <w:szCs w:val="24"/>
        </w:rPr>
      </w:pPr>
      <w:r>
        <w:rPr>
          <w:szCs w:val="24"/>
        </w:rPr>
        <w:t>Dans les paragraphes ci-après, on a calculé la limite de puissance nécessaire pour protéger les récepteurs du SETS et du service MetSat, puis traduit cette valeur en une puissance surfacique pouvant être estimée au niveau de l'orbite des satellites géostationnaires. Une méthode rationnelle est décrite pour évaluer le rapport entre les critères de brouillage cumulatif et la limite de puissance surfacique pour une seule source de brouillage, dans le contexte actuel de croissance rapide des systèmes spatiaux. Tout d'abord, on estime le nombre maximum d'émetteurs du service d'exploitation spatiale visibles en orbite terrestre basse susceptibles d'émettre sur une même fréquence. Ensuite, le critère de brouillage applicable indiqué dans la Recommandation UIT-R SA.1163 est divisé par cette valeur de façon à obtenir une limite de puissance de brouillage par source unique au niveau du récepteur du SETS sur l'orbite des satellites géostationnaires. Cette limite de puissance par source unique est enfin convertie en limite de puissance surfacique pour une seule source de brouillage, qui peut être estimée au niveau de l'orbite des satellites géostationnaires.</w:t>
      </w:r>
    </w:p>
    <w:p w14:paraId="64944A18" w14:textId="77777777" w:rsidR="00734A78" w:rsidRPr="00D00E44" w:rsidRDefault="00734A78" w:rsidP="009E08AC">
      <w:pPr>
        <w:pStyle w:val="Heading2"/>
      </w:pPr>
      <w:r w:rsidRPr="00D00E44">
        <w:t>2.1</w:t>
      </w:r>
      <w:r w:rsidRPr="00D00E44">
        <w:tab/>
        <w:t xml:space="preserve">Estimation </w:t>
      </w:r>
      <w:r>
        <w:t xml:space="preserve">du nombre d'émetteurs du service d'exploitation spatiale en orbite terrestre basse </w:t>
      </w:r>
      <w:r w:rsidRPr="009E08AC">
        <w:t>fonctionnant</w:t>
      </w:r>
      <w:r>
        <w:t xml:space="preserve"> sur une même fréquence, visibles depuis l'orbite des satellites géostationnaires</w:t>
      </w:r>
    </w:p>
    <w:p w14:paraId="27EB700F" w14:textId="77777777" w:rsidR="00734A78" w:rsidRPr="00D00E44" w:rsidRDefault="00734A78" w:rsidP="009E08AC">
      <w:pPr>
        <w:rPr>
          <w:spacing w:val="-2"/>
          <w:szCs w:val="24"/>
        </w:rPr>
      </w:pPr>
      <w:r>
        <w:rPr>
          <w:spacing w:val="-2"/>
          <w:szCs w:val="24"/>
        </w:rPr>
        <w:t>On part du pri</w:t>
      </w:r>
      <w:r w:rsidRPr="009E08AC">
        <w:t>n</w:t>
      </w:r>
      <w:r>
        <w:rPr>
          <w:spacing w:val="-2"/>
          <w:szCs w:val="24"/>
        </w:rPr>
        <w:t xml:space="preserve">cipe qu'il ne peut y avoir plus d'un satellite en orbite terrestre basse émettant vers une station au sol du service d'exploitation spatiale sur une fréquence donnée. On appellera la zone autour de la station au sol à l'intérieur de laquelle ce critère s'applique, la zone d'exclusion pour une même fréquence. En supposant une altitude orbitale commune aux satellites de la constellation de 400 km, la zone d'exclusion pour une même fréquence est évaluée à une surface d'environ </w:t>
      </w:r>
      <w:r w:rsidRPr="00D00E44">
        <w:rPr>
          <w:spacing w:val="-2"/>
          <w:szCs w:val="24"/>
        </w:rPr>
        <w:t>9 200 000 km</w:t>
      </w:r>
      <w:r w:rsidRPr="00D00E44">
        <w:rPr>
          <w:spacing w:val="-2"/>
          <w:szCs w:val="24"/>
          <w:vertAlign w:val="superscript"/>
        </w:rPr>
        <w:t>2</w:t>
      </w:r>
      <w:r w:rsidRPr="00D00E44">
        <w:rPr>
          <w:spacing w:val="-2"/>
          <w:szCs w:val="24"/>
        </w:rPr>
        <w:t xml:space="preserve"> (</w:t>
      </w:r>
      <w:r w:rsidR="009E08AC">
        <w:rPr>
          <w:spacing w:val="-2"/>
          <w:szCs w:val="24"/>
        </w:rPr>
        <w:t>voir la </w:t>
      </w:r>
      <w:r w:rsidR="00F24C5C">
        <w:rPr>
          <w:spacing w:val="-2"/>
          <w:szCs w:val="24"/>
        </w:rPr>
        <w:t>Fig. </w:t>
      </w:r>
      <w:r w:rsidRPr="00D00E44">
        <w:rPr>
          <w:spacing w:val="-2"/>
          <w:szCs w:val="24"/>
        </w:rPr>
        <w:t xml:space="preserve">1). </w:t>
      </w:r>
      <w:r>
        <w:rPr>
          <w:spacing w:val="-2"/>
          <w:szCs w:val="24"/>
        </w:rPr>
        <w:t xml:space="preserve">La surface totale visible depuis le satellite géostationnaire est de </w:t>
      </w:r>
      <w:r w:rsidRPr="00D00E44">
        <w:rPr>
          <w:spacing w:val="-2"/>
          <w:szCs w:val="24"/>
        </w:rPr>
        <w:t>226 000 000 km</w:t>
      </w:r>
      <w:r w:rsidRPr="00D00E44">
        <w:rPr>
          <w:spacing w:val="-2"/>
          <w:szCs w:val="24"/>
          <w:vertAlign w:val="superscript"/>
        </w:rPr>
        <w:t>2</w:t>
      </w:r>
      <w:r w:rsidRPr="00D00E44">
        <w:rPr>
          <w:spacing w:val="-2"/>
          <w:szCs w:val="24"/>
        </w:rPr>
        <w:t xml:space="preserve">. </w:t>
      </w:r>
      <w:r w:rsidR="00F24C5C">
        <w:rPr>
          <w:spacing w:val="-2"/>
          <w:szCs w:val="24"/>
        </w:rPr>
        <w:t>Environ 25 </w:t>
      </w:r>
      <w:r>
        <w:rPr>
          <w:spacing w:val="-2"/>
          <w:szCs w:val="24"/>
        </w:rPr>
        <w:t>zones d'exclusion de ce type sont donc visibles depuis un satellite géostationnaire. En outre, si l'on part du principe que la même fréquence ne peut pas être utilisée dans des zones d'exclusion adjacentes, car cela se traduirait dans la réalité par un chevauchement géographique; alors, dans le cas où la densité est la plus élevée, la même fréquence pourrait être utilisée dans environ un tiers de ces zones d'exclusion (réutilisation de fréquences à trois couleurs), s</w:t>
      </w:r>
      <w:r w:rsidR="00F24C5C">
        <w:rPr>
          <w:spacing w:val="-2"/>
          <w:szCs w:val="24"/>
        </w:rPr>
        <w:t>oit 8 ou 9 zones (voir la Fig.</w:t>
      </w:r>
      <w:r>
        <w:rPr>
          <w:spacing w:val="-2"/>
          <w:szCs w:val="24"/>
        </w:rPr>
        <w:t xml:space="preserve"> 2). Dans cette analyse, on suppose que 9 zones visibles depuis un satellite géostationnaire pourraient réutiliser une fréquence commune du service d'exploitation spatiale.</w:t>
      </w:r>
      <w:r w:rsidRPr="00D00E44">
        <w:rPr>
          <w:spacing w:val="-2"/>
          <w:szCs w:val="24"/>
        </w:rPr>
        <w:t xml:space="preserve"> </w:t>
      </w:r>
    </w:p>
    <w:p w14:paraId="0E36B429" w14:textId="77777777" w:rsidR="00734A78" w:rsidRPr="00D00E44" w:rsidRDefault="00734A78" w:rsidP="00734A78">
      <w:pPr>
        <w:pStyle w:val="FigureNo"/>
      </w:pPr>
      <w:r w:rsidRPr="00D00E44">
        <w:t>FIGURE 1</w:t>
      </w:r>
    </w:p>
    <w:p w14:paraId="63AA5206" w14:textId="77777777" w:rsidR="00734A78" w:rsidRPr="00D00E44" w:rsidRDefault="00734A78" w:rsidP="00734A78">
      <w:pPr>
        <w:pStyle w:val="Figuretitle"/>
        <w:spacing w:after="360"/>
      </w:pPr>
      <w:r>
        <w:t>Zone d'exclusion pour une même fréquence</w:t>
      </w:r>
    </w:p>
    <w:p w14:paraId="181994D0" w14:textId="77777777" w:rsidR="00734A78" w:rsidRDefault="00734A78" w:rsidP="00734A78">
      <w:pPr>
        <w:pStyle w:val="Figure"/>
      </w:pPr>
      <w:r>
        <w:object w:dxaOrig="5310" w:dyaOrig="3878" w14:anchorId="0B88D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93.5pt" o:ole="">
            <v:imagedata r:id="rId12" o:title=""/>
          </v:shape>
          <o:OLEObject Type="Embed" ProgID="CorelDraw.Graphic.17" ShapeID="_x0000_i1025" DrawAspect="Content" ObjectID="_1639902915" r:id="rId13"/>
        </w:object>
      </w:r>
    </w:p>
    <w:p w14:paraId="286EA0DE" w14:textId="77777777" w:rsidR="00734A78" w:rsidRPr="00D00E44" w:rsidRDefault="00734A78" w:rsidP="00734A78">
      <w:pPr>
        <w:pStyle w:val="FigureNo"/>
      </w:pPr>
      <w:r w:rsidRPr="00D00E44">
        <w:t>FIGURE 2</w:t>
      </w:r>
    </w:p>
    <w:p w14:paraId="371E2C0E" w14:textId="77777777" w:rsidR="00734A78" w:rsidRPr="00D00E44" w:rsidRDefault="00734A78" w:rsidP="00CC07D5">
      <w:pPr>
        <w:pStyle w:val="Figuretitle"/>
        <w:spacing w:after="240"/>
      </w:pPr>
      <w:r>
        <w:t>Réutilisation d'une fréquence à trois couleurs</w:t>
      </w:r>
    </w:p>
    <w:p w14:paraId="1B8CF2E6" w14:textId="77777777" w:rsidR="00734A78" w:rsidRPr="00D00E44" w:rsidRDefault="006747A3" w:rsidP="00734A78">
      <w:pPr>
        <w:pStyle w:val="Figure"/>
      </w:pPr>
      <w:r>
        <w:rPr>
          <w:noProof/>
          <w:lang w:val="fr-CH" w:eastAsia="zh-CN"/>
        </w:rPr>
        <w:object w:dxaOrig="5054" w:dyaOrig="5343" w14:anchorId="1BF7D31F">
          <v:shape id="_x0000_i1026" type="#_x0000_t75" style="width:250.5pt;height:265.5pt" o:ole="">
            <v:imagedata r:id="rId14" o:title=""/>
          </v:shape>
          <o:OLEObject Type="Embed" ProgID="CorelDraw.Graphic.17" ShapeID="_x0000_i1026" DrawAspect="Content" ObjectID="_1639902916" r:id="rId15"/>
        </w:object>
      </w:r>
    </w:p>
    <w:p w14:paraId="094F24EB" w14:textId="77777777" w:rsidR="00734A78" w:rsidRPr="00D00E44" w:rsidRDefault="00734A78" w:rsidP="00734A78">
      <w:pPr>
        <w:pStyle w:val="Heading2"/>
        <w:rPr>
          <w:szCs w:val="24"/>
        </w:rPr>
      </w:pPr>
      <w:r w:rsidRPr="00D00E44">
        <w:rPr>
          <w:szCs w:val="24"/>
        </w:rPr>
        <w:t>2.2</w:t>
      </w:r>
      <w:r w:rsidRPr="00D00E44">
        <w:rPr>
          <w:szCs w:val="24"/>
        </w:rPr>
        <w:tab/>
      </w:r>
      <w:r>
        <w:rPr>
          <w:szCs w:val="24"/>
        </w:rPr>
        <w:t>Calcul de la limite de puissance</w:t>
      </w:r>
      <w:r w:rsidRPr="00D00E44">
        <w:rPr>
          <w:szCs w:val="24"/>
        </w:rPr>
        <w:t xml:space="preserve"> (</w:t>
      </w:r>
      <w:r>
        <w:rPr>
          <w:szCs w:val="24"/>
        </w:rPr>
        <w:t xml:space="preserve">brouillage à long </w:t>
      </w:r>
      <w:r w:rsidRPr="00D00E44">
        <w:rPr>
          <w:szCs w:val="24"/>
        </w:rPr>
        <w:t>term</w:t>
      </w:r>
      <w:r>
        <w:rPr>
          <w:szCs w:val="24"/>
        </w:rPr>
        <w:t>e</w:t>
      </w:r>
      <w:r w:rsidRPr="00D00E44">
        <w:rPr>
          <w:szCs w:val="24"/>
        </w:rPr>
        <w:t xml:space="preserve">) </w:t>
      </w:r>
      <w:r>
        <w:rPr>
          <w:szCs w:val="24"/>
        </w:rPr>
        <w:t>pour protéger les SCD</w:t>
      </w:r>
    </w:p>
    <w:p w14:paraId="3C480A29" w14:textId="77777777" w:rsidR="00734A78" w:rsidRPr="00D00E44" w:rsidRDefault="00734A78" w:rsidP="006747A3">
      <w:r>
        <w:t>On estime que neuf satellites visibles depuis le récepteur d'un SCD pourraient utiliser la même fréquence, et que la répartition de la puissance brouilleuse sur le trajet espace vers Terre est de 90% de la puissance de brouillage totale (voir le Tableau 2); on peut donc déduire que la limite de puissance de brouillage pour une seule source au niveau du récepteur du satellite pour les RCPD est donnée par:</w:t>
      </w:r>
    </w:p>
    <w:p w14:paraId="32BAA8FA" w14:textId="77777777" w:rsidR="00734A78" w:rsidRPr="00D00E44" w:rsidRDefault="00734A78" w:rsidP="00734A78">
      <w:pPr>
        <w:pStyle w:val="Equation"/>
      </w:pPr>
      <w:r>
        <w:tab/>
        <w:t>−191,5 dB(W/100 Hz) + 10*LOG10(0,</w:t>
      </w:r>
      <w:r w:rsidRPr="00D00E44">
        <w:t>9) − 10*LOG10(</w:t>
      </w:r>
      <w:r>
        <w:t>9) = −201,</w:t>
      </w:r>
      <w:r w:rsidRPr="00D00E44">
        <w:t>5 dB(W/100 Hz).</w:t>
      </w:r>
    </w:p>
    <w:p w14:paraId="3DF14FBE" w14:textId="77777777" w:rsidR="00734A78" w:rsidRPr="00D00E44" w:rsidRDefault="00734A78" w:rsidP="00734A78">
      <w:pPr>
        <w:pStyle w:val="Heading2"/>
        <w:rPr>
          <w:szCs w:val="24"/>
        </w:rPr>
      </w:pPr>
      <w:r w:rsidRPr="00D00E44">
        <w:rPr>
          <w:szCs w:val="24"/>
        </w:rPr>
        <w:t>2.3</w:t>
      </w:r>
      <w:r w:rsidRPr="00D00E44">
        <w:rPr>
          <w:szCs w:val="24"/>
        </w:rPr>
        <w:tab/>
      </w:r>
      <w:r>
        <w:rPr>
          <w:szCs w:val="24"/>
        </w:rPr>
        <w:t xml:space="preserve">Calcul de la limite de puissance surfacique </w:t>
      </w:r>
      <w:r w:rsidRPr="00D00E44">
        <w:rPr>
          <w:szCs w:val="24"/>
        </w:rPr>
        <w:t>(</w:t>
      </w:r>
      <w:r>
        <w:rPr>
          <w:szCs w:val="24"/>
        </w:rPr>
        <w:t xml:space="preserve">brouillage à long </w:t>
      </w:r>
      <w:r w:rsidRPr="00D00E44">
        <w:rPr>
          <w:szCs w:val="24"/>
        </w:rPr>
        <w:t>term</w:t>
      </w:r>
      <w:r>
        <w:rPr>
          <w:szCs w:val="24"/>
        </w:rPr>
        <w:t>e</w:t>
      </w:r>
      <w:r w:rsidRPr="00D00E44">
        <w:rPr>
          <w:szCs w:val="24"/>
        </w:rPr>
        <w:t xml:space="preserve">) </w:t>
      </w:r>
      <w:r>
        <w:rPr>
          <w:szCs w:val="24"/>
        </w:rPr>
        <w:t>à utiliser pour protéger les SCD</w:t>
      </w:r>
    </w:p>
    <w:p w14:paraId="6D8D0C74" w14:textId="77777777" w:rsidR="00734A78" w:rsidRPr="00D00E44" w:rsidRDefault="00734A78" w:rsidP="00734A78">
      <w:pPr>
        <w:rPr>
          <w:szCs w:val="24"/>
        </w:rPr>
      </w:pPr>
      <w:r>
        <w:rPr>
          <w:szCs w:val="24"/>
        </w:rPr>
        <w:t xml:space="preserve">La </w:t>
      </w:r>
      <w:r w:rsidRPr="00D00E44">
        <w:rPr>
          <w:szCs w:val="24"/>
        </w:rPr>
        <w:t xml:space="preserve">conversion </w:t>
      </w:r>
      <w:r>
        <w:rPr>
          <w:szCs w:val="24"/>
        </w:rPr>
        <w:t xml:space="preserve">en limite de puissance surfacique pour une seule source de brouillage est donnée dans le </w:t>
      </w:r>
      <w:r w:rsidRPr="00D00E44">
        <w:rPr>
          <w:szCs w:val="24"/>
        </w:rPr>
        <w:t>Table</w:t>
      </w:r>
      <w:r>
        <w:rPr>
          <w:szCs w:val="24"/>
        </w:rPr>
        <w:t>au</w:t>
      </w:r>
      <w:r w:rsidRPr="00D00E44">
        <w:rPr>
          <w:szCs w:val="24"/>
        </w:rPr>
        <w:t xml:space="preserve"> 3.</w:t>
      </w:r>
    </w:p>
    <w:p w14:paraId="5723B593" w14:textId="77777777" w:rsidR="00734A78" w:rsidRPr="00D00E44" w:rsidRDefault="00734A78" w:rsidP="00734A78">
      <w:pPr>
        <w:pStyle w:val="TableNo"/>
      </w:pPr>
      <w:r w:rsidRPr="00D00E44">
        <w:t>TABLEAU 3</w:t>
      </w:r>
    </w:p>
    <w:p w14:paraId="0FF9B6ED" w14:textId="77777777" w:rsidR="00734A78" w:rsidRPr="00D00E44" w:rsidRDefault="00734A78" w:rsidP="00734A78">
      <w:pPr>
        <w:pStyle w:val="Tabletitle"/>
      </w:pPr>
      <w:r>
        <w:t xml:space="preserve">Critères de partage à long </w:t>
      </w:r>
      <w:r w:rsidRPr="00D00E44">
        <w:t>term</w:t>
      </w:r>
      <w:r>
        <w:t>e</w:t>
      </w:r>
      <w:r w:rsidRPr="00D00E44">
        <w:t xml:space="preserve"> </w:t>
      </w:r>
      <w:r>
        <w:t xml:space="preserve">et calcul de la puissance surfacique à utiliser </w:t>
      </w:r>
      <w:r>
        <w:br/>
        <w:t>pour protéger un élément du SCD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2"/>
        <w:gridCol w:w="1700"/>
        <w:gridCol w:w="1837"/>
      </w:tblGrid>
      <w:tr w:rsidR="00734A78" w:rsidRPr="00D86E3D" w14:paraId="7793C707" w14:textId="77777777" w:rsidTr="00441830">
        <w:trPr>
          <w:trHeight w:val="320"/>
        </w:trPr>
        <w:tc>
          <w:tcPr>
            <w:tcW w:w="3163" w:type="pct"/>
            <w:shd w:val="clear" w:color="auto" w:fill="auto"/>
            <w:noWrap/>
            <w:vAlign w:val="bottom"/>
            <w:hideMark/>
          </w:tcPr>
          <w:p w14:paraId="79EB5280" w14:textId="77777777" w:rsidR="00734A78" w:rsidRPr="00D86E3D" w:rsidRDefault="00734A78" w:rsidP="00460F3C">
            <w:pPr>
              <w:pStyle w:val="Tablehead"/>
              <w:rPr>
                <w:b w:val="0"/>
                <w:bCs/>
              </w:rPr>
            </w:pPr>
            <w:r w:rsidRPr="00D86E3D">
              <w:rPr>
                <w:bCs/>
              </w:rPr>
              <w:t>Critères de partage à long terme et calcul de la puissance surfacique à utiliser pour protéger un élément du SCD</w:t>
            </w:r>
          </w:p>
        </w:tc>
        <w:tc>
          <w:tcPr>
            <w:tcW w:w="883" w:type="pct"/>
            <w:shd w:val="clear" w:color="auto" w:fill="auto"/>
            <w:noWrap/>
            <w:vAlign w:val="bottom"/>
            <w:hideMark/>
          </w:tcPr>
          <w:p w14:paraId="53C8DF60" w14:textId="77777777" w:rsidR="00734A78" w:rsidRPr="00D86E3D" w:rsidRDefault="00734A78" w:rsidP="00460F3C">
            <w:pPr>
              <w:pStyle w:val="Tablehead"/>
              <w:rPr>
                <w:b w:val="0"/>
                <w:bCs/>
              </w:rPr>
            </w:pPr>
            <w:r w:rsidRPr="00D86E3D">
              <w:rPr>
                <w:bCs/>
              </w:rPr>
              <w:t>Valeur</w:t>
            </w:r>
          </w:p>
        </w:tc>
        <w:tc>
          <w:tcPr>
            <w:tcW w:w="954" w:type="pct"/>
            <w:shd w:val="clear" w:color="auto" w:fill="auto"/>
            <w:noWrap/>
            <w:vAlign w:val="bottom"/>
            <w:hideMark/>
          </w:tcPr>
          <w:p w14:paraId="5C2E4ED9" w14:textId="77777777" w:rsidR="00734A78" w:rsidRPr="00D86E3D" w:rsidRDefault="00734A78" w:rsidP="00460F3C">
            <w:pPr>
              <w:pStyle w:val="Tablehead"/>
              <w:rPr>
                <w:b w:val="0"/>
                <w:bCs/>
              </w:rPr>
            </w:pPr>
            <w:r w:rsidRPr="00D86E3D">
              <w:rPr>
                <w:bCs/>
              </w:rPr>
              <w:t>Unité</w:t>
            </w:r>
          </w:p>
        </w:tc>
      </w:tr>
      <w:tr w:rsidR="00734A78" w:rsidRPr="00D00E44" w14:paraId="7F536A5B" w14:textId="77777777" w:rsidTr="00441830">
        <w:tc>
          <w:tcPr>
            <w:tcW w:w="3163" w:type="pct"/>
            <w:shd w:val="clear" w:color="auto" w:fill="auto"/>
            <w:noWrap/>
            <w:hideMark/>
          </w:tcPr>
          <w:p w14:paraId="7B473C78" w14:textId="77777777" w:rsidR="00734A78" w:rsidRPr="00D00E44" w:rsidRDefault="00734A78" w:rsidP="00441830">
            <w:pPr>
              <w:pStyle w:val="Tabletext"/>
              <w:jc w:val="left"/>
            </w:pPr>
            <w:r>
              <w:t xml:space="preserve">Critères de brouillage (Rec. </w:t>
            </w:r>
            <w:r w:rsidRPr="00D00E44">
              <w:t>U</w:t>
            </w:r>
            <w:r>
              <w:t>IT</w:t>
            </w:r>
            <w:r w:rsidRPr="00D00E44">
              <w:t>-R SA.1163, Table</w:t>
            </w:r>
            <w:r>
              <w:t>au</w:t>
            </w:r>
            <w:r w:rsidRPr="00D00E44">
              <w:t xml:space="preserve"> 1)</w:t>
            </w:r>
          </w:p>
        </w:tc>
        <w:tc>
          <w:tcPr>
            <w:tcW w:w="883" w:type="pct"/>
            <w:shd w:val="clear" w:color="auto" w:fill="auto"/>
            <w:noWrap/>
            <w:hideMark/>
          </w:tcPr>
          <w:p w14:paraId="76E7BB35" w14:textId="77777777" w:rsidR="00734A78" w:rsidRPr="00D00E44" w:rsidRDefault="00734A78" w:rsidP="00441830">
            <w:pPr>
              <w:pStyle w:val="Tabletext"/>
              <w:jc w:val="center"/>
            </w:pPr>
            <w:r>
              <w:t>−191,</w:t>
            </w:r>
            <w:r w:rsidRPr="00D00E44">
              <w:t>5</w:t>
            </w:r>
          </w:p>
        </w:tc>
        <w:tc>
          <w:tcPr>
            <w:tcW w:w="954" w:type="pct"/>
            <w:shd w:val="clear" w:color="auto" w:fill="auto"/>
            <w:noWrap/>
            <w:hideMark/>
          </w:tcPr>
          <w:p w14:paraId="3305C496" w14:textId="77777777" w:rsidR="00734A78" w:rsidRPr="00D00E44" w:rsidRDefault="00734A78" w:rsidP="00441830">
            <w:pPr>
              <w:pStyle w:val="Tabletext"/>
              <w:jc w:val="center"/>
            </w:pPr>
            <w:r w:rsidRPr="00D00E44">
              <w:t>dB(W/100 Hz)</w:t>
            </w:r>
          </w:p>
        </w:tc>
      </w:tr>
      <w:tr w:rsidR="00734A78" w:rsidRPr="00D00E44" w14:paraId="5DBD1F46" w14:textId="77777777" w:rsidTr="00441830">
        <w:tc>
          <w:tcPr>
            <w:tcW w:w="3163" w:type="pct"/>
            <w:shd w:val="clear" w:color="auto" w:fill="auto"/>
            <w:noWrap/>
            <w:hideMark/>
          </w:tcPr>
          <w:p w14:paraId="3E242A48" w14:textId="77777777" w:rsidR="00734A78" w:rsidRPr="00D00E44" w:rsidRDefault="00734A78" w:rsidP="00441830">
            <w:pPr>
              <w:pStyle w:val="Tabletext"/>
              <w:jc w:val="left"/>
            </w:pPr>
            <w:r>
              <w:t>Répartition sur le trajet des signaux brouilleurs dans le sens espace vers Terre</w:t>
            </w:r>
          </w:p>
        </w:tc>
        <w:tc>
          <w:tcPr>
            <w:tcW w:w="883" w:type="pct"/>
            <w:shd w:val="clear" w:color="auto" w:fill="auto"/>
            <w:noWrap/>
            <w:hideMark/>
          </w:tcPr>
          <w:p w14:paraId="0C76E480" w14:textId="77777777" w:rsidR="00734A78" w:rsidRPr="00D00E44" w:rsidRDefault="00734A78" w:rsidP="00441830">
            <w:pPr>
              <w:pStyle w:val="Tabletext"/>
              <w:jc w:val="center"/>
            </w:pPr>
            <w:r w:rsidRPr="00D00E44">
              <w:t>90</w:t>
            </w:r>
          </w:p>
        </w:tc>
        <w:tc>
          <w:tcPr>
            <w:tcW w:w="954" w:type="pct"/>
            <w:shd w:val="clear" w:color="auto" w:fill="auto"/>
            <w:noWrap/>
            <w:hideMark/>
          </w:tcPr>
          <w:p w14:paraId="4828BBE5" w14:textId="77777777" w:rsidR="00734A78" w:rsidRPr="00D00E44" w:rsidRDefault="00734A78" w:rsidP="00441830">
            <w:pPr>
              <w:pStyle w:val="Tabletext"/>
              <w:jc w:val="center"/>
            </w:pPr>
            <w:r w:rsidRPr="00D00E44">
              <w:t>%</w:t>
            </w:r>
          </w:p>
        </w:tc>
      </w:tr>
      <w:tr w:rsidR="00734A78" w:rsidRPr="00D00E44" w14:paraId="122AAB10" w14:textId="77777777" w:rsidTr="00441830">
        <w:tc>
          <w:tcPr>
            <w:tcW w:w="3163" w:type="pct"/>
            <w:shd w:val="clear" w:color="auto" w:fill="auto"/>
            <w:noWrap/>
            <w:hideMark/>
          </w:tcPr>
          <w:p w14:paraId="3B65AD87" w14:textId="77777777" w:rsidR="00734A78" w:rsidRPr="00D00E44" w:rsidRDefault="00734A78" w:rsidP="00441830">
            <w:pPr>
              <w:pStyle w:val="Tabletext"/>
              <w:jc w:val="left"/>
            </w:pPr>
            <w:r>
              <w:t>Critères de brouillage</w:t>
            </w:r>
            <w:r w:rsidRPr="00D00E44">
              <w:t xml:space="preserve">, </w:t>
            </w:r>
            <w:r>
              <w:t>composante du trajet e</w:t>
            </w:r>
            <w:r w:rsidRPr="00D00E44">
              <w:t>space</w:t>
            </w:r>
            <w:r>
              <w:t xml:space="preserve"> vers Terre</w:t>
            </w:r>
          </w:p>
        </w:tc>
        <w:tc>
          <w:tcPr>
            <w:tcW w:w="883" w:type="pct"/>
            <w:shd w:val="clear" w:color="auto" w:fill="auto"/>
            <w:noWrap/>
            <w:hideMark/>
          </w:tcPr>
          <w:p w14:paraId="46BED980" w14:textId="77777777" w:rsidR="00734A78" w:rsidRPr="00D00E44" w:rsidRDefault="00734A78" w:rsidP="00441830">
            <w:pPr>
              <w:pStyle w:val="Tabletext"/>
              <w:jc w:val="center"/>
            </w:pPr>
            <w:r>
              <w:t>−192,</w:t>
            </w:r>
            <w:r w:rsidRPr="00D00E44">
              <w:t>0</w:t>
            </w:r>
          </w:p>
        </w:tc>
        <w:tc>
          <w:tcPr>
            <w:tcW w:w="954" w:type="pct"/>
            <w:shd w:val="clear" w:color="auto" w:fill="auto"/>
            <w:noWrap/>
            <w:hideMark/>
          </w:tcPr>
          <w:p w14:paraId="22AAEBF4" w14:textId="77777777" w:rsidR="00734A78" w:rsidRPr="00D00E44" w:rsidRDefault="00734A78" w:rsidP="00441830">
            <w:pPr>
              <w:pStyle w:val="Tabletext"/>
              <w:jc w:val="center"/>
            </w:pPr>
            <w:r w:rsidRPr="00D00E44">
              <w:t>dB(W/100 Hz)</w:t>
            </w:r>
          </w:p>
        </w:tc>
      </w:tr>
      <w:tr w:rsidR="00734A78" w:rsidRPr="00D00E44" w14:paraId="1E1DB94E" w14:textId="77777777" w:rsidTr="00441830">
        <w:tc>
          <w:tcPr>
            <w:tcW w:w="3163" w:type="pct"/>
            <w:shd w:val="clear" w:color="auto" w:fill="auto"/>
            <w:noWrap/>
            <w:hideMark/>
          </w:tcPr>
          <w:p w14:paraId="09F139DE" w14:textId="77777777" w:rsidR="00734A78" w:rsidRPr="00D00E44" w:rsidRDefault="00734A78" w:rsidP="00441830">
            <w:pPr>
              <w:pStyle w:val="Tabletext"/>
              <w:jc w:val="left"/>
            </w:pPr>
            <w:r>
              <w:t>Nombre é</w:t>
            </w:r>
            <w:r w:rsidRPr="00D00E44">
              <w:t xml:space="preserve">quivalent </w:t>
            </w:r>
            <w:r>
              <w:t>de brouilleurs à long terme</w:t>
            </w:r>
          </w:p>
        </w:tc>
        <w:tc>
          <w:tcPr>
            <w:tcW w:w="883" w:type="pct"/>
            <w:shd w:val="clear" w:color="auto" w:fill="auto"/>
            <w:noWrap/>
            <w:hideMark/>
          </w:tcPr>
          <w:p w14:paraId="06459DD8" w14:textId="77777777" w:rsidR="00734A78" w:rsidRPr="00D00E44" w:rsidRDefault="00734A78" w:rsidP="00441830">
            <w:pPr>
              <w:pStyle w:val="Tabletext"/>
              <w:jc w:val="center"/>
            </w:pPr>
            <w:r w:rsidRPr="00D00E44">
              <w:t>9</w:t>
            </w:r>
          </w:p>
        </w:tc>
        <w:tc>
          <w:tcPr>
            <w:tcW w:w="954" w:type="pct"/>
            <w:shd w:val="clear" w:color="auto" w:fill="auto"/>
            <w:noWrap/>
            <w:hideMark/>
          </w:tcPr>
          <w:p w14:paraId="37C510AE" w14:textId="77777777" w:rsidR="00734A78" w:rsidRPr="00D00E44" w:rsidRDefault="00441830" w:rsidP="00441830">
            <w:pPr>
              <w:pStyle w:val="Tabletext"/>
              <w:jc w:val="center"/>
            </w:pPr>
            <w:r>
              <w:t>–</w:t>
            </w:r>
          </w:p>
        </w:tc>
      </w:tr>
      <w:tr w:rsidR="00734A78" w:rsidRPr="00D00E44" w14:paraId="4264B0BB" w14:textId="77777777" w:rsidTr="00441830">
        <w:tc>
          <w:tcPr>
            <w:tcW w:w="3163" w:type="pct"/>
            <w:shd w:val="clear" w:color="auto" w:fill="auto"/>
            <w:noWrap/>
            <w:hideMark/>
          </w:tcPr>
          <w:p w14:paraId="755AB3DC" w14:textId="77777777" w:rsidR="00734A78" w:rsidRPr="00D00E44" w:rsidRDefault="00734A78" w:rsidP="00441830">
            <w:pPr>
              <w:pStyle w:val="Tabletext"/>
              <w:jc w:val="left"/>
            </w:pPr>
            <w:r>
              <w:t>Critères de partage</w:t>
            </w:r>
            <w:r w:rsidRPr="00D00E44">
              <w:t xml:space="preserve"> (</w:t>
            </w:r>
            <w:r>
              <w:t>source unique</w:t>
            </w:r>
            <w:r w:rsidRPr="00D00E44">
              <w:t>)</w:t>
            </w:r>
          </w:p>
        </w:tc>
        <w:tc>
          <w:tcPr>
            <w:tcW w:w="883" w:type="pct"/>
            <w:shd w:val="clear" w:color="auto" w:fill="auto"/>
            <w:noWrap/>
            <w:hideMark/>
          </w:tcPr>
          <w:p w14:paraId="33B2E68C" w14:textId="77777777" w:rsidR="00734A78" w:rsidRPr="00D00E44" w:rsidRDefault="00734A78" w:rsidP="00441830">
            <w:pPr>
              <w:pStyle w:val="Tabletext"/>
              <w:jc w:val="center"/>
            </w:pPr>
            <w:r>
              <w:t>−201,</w:t>
            </w:r>
            <w:r w:rsidRPr="00D00E44">
              <w:t>5</w:t>
            </w:r>
          </w:p>
        </w:tc>
        <w:tc>
          <w:tcPr>
            <w:tcW w:w="954" w:type="pct"/>
            <w:shd w:val="clear" w:color="auto" w:fill="auto"/>
            <w:noWrap/>
            <w:hideMark/>
          </w:tcPr>
          <w:p w14:paraId="71436ACA" w14:textId="77777777" w:rsidR="00734A78" w:rsidRPr="00D00E44" w:rsidRDefault="00734A78" w:rsidP="00441830">
            <w:pPr>
              <w:pStyle w:val="Tabletext"/>
              <w:jc w:val="center"/>
            </w:pPr>
            <w:r w:rsidRPr="00D00E44">
              <w:t>dB(W/100 Hz)</w:t>
            </w:r>
          </w:p>
        </w:tc>
      </w:tr>
    </w:tbl>
    <w:p w14:paraId="2BDCDEC3" w14:textId="77777777" w:rsidR="00A66BEA" w:rsidRDefault="00A66BEA">
      <w:r>
        <w:br w:type="page"/>
      </w:r>
    </w:p>
    <w:p w14:paraId="535A96BC" w14:textId="77777777" w:rsidR="00A66BEA" w:rsidRPr="00D00E44" w:rsidRDefault="00A66BEA" w:rsidP="00A66BEA">
      <w:pPr>
        <w:pStyle w:val="TableNo"/>
      </w:pPr>
      <w:r w:rsidRPr="00D00E44">
        <w:t>TABLEAU 3</w:t>
      </w:r>
      <w:r>
        <w:t xml:space="preserve"> (</w:t>
      </w:r>
      <w:r w:rsidRPr="00A66BEA">
        <w:rPr>
          <w:i/>
        </w:rPr>
        <w:t>fin</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2"/>
        <w:gridCol w:w="1700"/>
        <w:gridCol w:w="1837"/>
      </w:tblGrid>
      <w:tr w:rsidR="00A66BEA" w:rsidRPr="00D86E3D" w14:paraId="2FD5FC99" w14:textId="77777777" w:rsidTr="003A4758">
        <w:trPr>
          <w:trHeight w:val="320"/>
        </w:trPr>
        <w:tc>
          <w:tcPr>
            <w:tcW w:w="3163" w:type="pct"/>
            <w:shd w:val="clear" w:color="auto" w:fill="auto"/>
            <w:noWrap/>
            <w:vAlign w:val="bottom"/>
            <w:hideMark/>
          </w:tcPr>
          <w:p w14:paraId="55559777" w14:textId="77777777" w:rsidR="00A66BEA" w:rsidRPr="00D86E3D" w:rsidRDefault="00A66BEA" w:rsidP="003A4758">
            <w:pPr>
              <w:pStyle w:val="Tablehead"/>
              <w:rPr>
                <w:b w:val="0"/>
                <w:bCs/>
              </w:rPr>
            </w:pPr>
            <w:r w:rsidRPr="00D86E3D">
              <w:rPr>
                <w:bCs/>
              </w:rPr>
              <w:t>Critères de partage à long terme et calcul de la puissance surfacique à utiliser pour protéger un élément du SCD</w:t>
            </w:r>
          </w:p>
        </w:tc>
        <w:tc>
          <w:tcPr>
            <w:tcW w:w="883" w:type="pct"/>
            <w:shd w:val="clear" w:color="auto" w:fill="auto"/>
            <w:noWrap/>
            <w:vAlign w:val="bottom"/>
            <w:hideMark/>
          </w:tcPr>
          <w:p w14:paraId="4FA0A305" w14:textId="77777777" w:rsidR="00A66BEA" w:rsidRPr="00D86E3D" w:rsidRDefault="00A66BEA" w:rsidP="003A4758">
            <w:pPr>
              <w:pStyle w:val="Tablehead"/>
              <w:rPr>
                <w:b w:val="0"/>
                <w:bCs/>
              </w:rPr>
            </w:pPr>
            <w:r w:rsidRPr="00D86E3D">
              <w:rPr>
                <w:bCs/>
              </w:rPr>
              <w:t>Valeur</w:t>
            </w:r>
          </w:p>
        </w:tc>
        <w:tc>
          <w:tcPr>
            <w:tcW w:w="954" w:type="pct"/>
            <w:shd w:val="clear" w:color="auto" w:fill="auto"/>
            <w:noWrap/>
            <w:vAlign w:val="bottom"/>
            <w:hideMark/>
          </w:tcPr>
          <w:p w14:paraId="609ADB25" w14:textId="77777777" w:rsidR="00A66BEA" w:rsidRPr="00D86E3D" w:rsidRDefault="00A66BEA" w:rsidP="003A4758">
            <w:pPr>
              <w:pStyle w:val="Tablehead"/>
              <w:rPr>
                <w:b w:val="0"/>
                <w:bCs/>
              </w:rPr>
            </w:pPr>
            <w:r w:rsidRPr="00D86E3D">
              <w:rPr>
                <w:bCs/>
              </w:rPr>
              <w:t>Unité</w:t>
            </w:r>
          </w:p>
        </w:tc>
      </w:tr>
      <w:tr w:rsidR="00734A78" w:rsidRPr="00D00E44" w14:paraId="10071771" w14:textId="77777777" w:rsidTr="00441830">
        <w:tc>
          <w:tcPr>
            <w:tcW w:w="3163" w:type="pct"/>
            <w:shd w:val="clear" w:color="auto" w:fill="auto"/>
            <w:noWrap/>
            <w:hideMark/>
          </w:tcPr>
          <w:p w14:paraId="3F485179" w14:textId="77777777" w:rsidR="00734A78" w:rsidRPr="00D00E44" w:rsidRDefault="00734A78" w:rsidP="00441830">
            <w:pPr>
              <w:pStyle w:val="Tabletext"/>
              <w:jc w:val="left"/>
            </w:pPr>
            <w:r>
              <w:t>Gain de l'antenne de réception d'un engin spatial</w:t>
            </w:r>
            <w:r w:rsidRPr="00D00E44">
              <w:t xml:space="preserve"> </w:t>
            </w:r>
            <w:r>
              <w:t>pour les RCPD</w:t>
            </w:r>
            <w:r w:rsidR="002911ED">
              <w:t xml:space="preserve"> </w:t>
            </w:r>
            <w:r w:rsidRPr="00D00E44">
              <w:rPr>
                <w:vertAlign w:val="superscript"/>
              </w:rPr>
              <w:t>(1)</w:t>
            </w:r>
          </w:p>
        </w:tc>
        <w:tc>
          <w:tcPr>
            <w:tcW w:w="883" w:type="pct"/>
            <w:shd w:val="clear" w:color="auto" w:fill="auto"/>
            <w:noWrap/>
            <w:hideMark/>
          </w:tcPr>
          <w:p w14:paraId="546A6B45" w14:textId="77777777" w:rsidR="00734A78" w:rsidRPr="00D00E44" w:rsidRDefault="00734A78" w:rsidP="00441830">
            <w:pPr>
              <w:pStyle w:val="Tabletext"/>
              <w:jc w:val="center"/>
            </w:pPr>
            <w:r>
              <w:t>13,</w:t>
            </w:r>
            <w:r w:rsidRPr="00D00E44">
              <w:t>8</w:t>
            </w:r>
          </w:p>
        </w:tc>
        <w:tc>
          <w:tcPr>
            <w:tcW w:w="954" w:type="pct"/>
            <w:shd w:val="clear" w:color="auto" w:fill="auto"/>
            <w:noWrap/>
            <w:hideMark/>
          </w:tcPr>
          <w:p w14:paraId="11A20784" w14:textId="77777777" w:rsidR="00734A78" w:rsidRPr="00D00E44" w:rsidRDefault="00734A78" w:rsidP="00441830">
            <w:pPr>
              <w:pStyle w:val="Tabletext"/>
              <w:jc w:val="center"/>
            </w:pPr>
            <w:r w:rsidRPr="00D00E44">
              <w:t>dBi</w:t>
            </w:r>
          </w:p>
        </w:tc>
      </w:tr>
      <w:tr w:rsidR="00734A78" w:rsidRPr="00D00E44" w14:paraId="3F05C944" w14:textId="77777777" w:rsidTr="00A74034">
        <w:tc>
          <w:tcPr>
            <w:tcW w:w="3163" w:type="pct"/>
            <w:tcBorders>
              <w:bottom w:val="single" w:sz="4" w:space="0" w:color="auto"/>
            </w:tcBorders>
            <w:shd w:val="clear" w:color="auto" w:fill="auto"/>
            <w:noWrap/>
            <w:hideMark/>
          </w:tcPr>
          <w:p w14:paraId="7B1AFE46" w14:textId="77777777" w:rsidR="00734A78" w:rsidRPr="00D00E44" w:rsidRDefault="00734A78" w:rsidP="00441830">
            <w:pPr>
              <w:pStyle w:val="Tabletext"/>
              <w:jc w:val="left"/>
            </w:pPr>
            <w:r>
              <w:t>Zone isotrope de réception</w:t>
            </w:r>
          </w:p>
        </w:tc>
        <w:tc>
          <w:tcPr>
            <w:tcW w:w="883" w:type="pct"/>
            <w:tcBorders>
              <w:bottom w:val="single" w:sz="4" w:space="0" w:color="auto"/>
            </w:tcBorders>
            <w:shd w:val="clear" w:color="auto" w:fill="auto"/>
            <w:noWrap/>
            <w:hideMark/>
          </w:tcPr>
          <w:p w14:paraId="5599B46C" w14:textId="77777777" w:rsidR="00734A78" w:rsidRPr="00D00E44" w:rsidRDefault="00734A78" w:rsidP="00441830">
            <w:pPr>
              <w:pStyle w:val="Tabletext"/>
              <w:jc w:val="center"/>
            </w:pPr>
            <w:r>
              <w:t>−13,</w:t>
            </w:r>
            <w:r w:rsidRPr="00D00E44">
              <w:t>5</w:t>
            </w:r>
          </w:p>
        </w:tc>
        <w:tc>
          <w:tcPr>
            <w:tcW w:w="954" w:type="pct"/>
            <w:tcBorders>
              <w:bottom w:val="single" w:sz="4" w:space="0" w:color="auto"/>
            </w:tcBorders>
            <w:shd w:val="clear" w:color="auto" w:fill="auto"/>
            <w:noWrap/>
            <w:hideMark/>
          </w:tcPr>
          <w:p w14:paraId="04AB69C8" w14:textId="77777777" w:rsidR="00734A78" w:rsidRPr="00D00E44" w:rsidRDefault="00734A78" w:rsidP="00441830">
            <w:pPr>
              <w:pStyle w:val="Tabletext"/>
              <w:jc w:val="center"/>
            </w:pPr>
            <w:r w:rsidRPr="00D00E44">
              <w:t>dB(m</w:t>
            </w:r>
            <w:r w:rsidRPr="00D00E44">
              <w:rPr>
                <w:vertAlign w:val="superscript"/>
              </w:rPr>
              <w:t>2</w:t>
            </w:r>
            <w:r w:rsidRPr="00D00E44">
              <w:t>)</w:t>
            </w:r>
          </w:p>
        </w:tc>
      </w:tr>
      <w:tr w:rsidR="00734A78" w:rsidRPr="00D00E44" w14:paraId="188063B7" w14:textId="77777777" w:rsidTr="00964DEF">
        <w:tc>
          <w:tcPr>
            <w:tcW w:w="3163" w:type="pct"/>
            <w:tcBorders>
              <w:bottom w:val="single" w:sz="4" w:space="0" w:color="auto"/>
            </w:tcBorders>
            <w:shd w:val="clear" w:color="auto" w:fill="auto"/>
            <w:noWrap/>
          </w:tcPr>
          <w:p w14:paraId="5C07049A" w14:textId="77777777" w:rsidR="00734A78" w:rsidRPr="00D00E44" w:rsidRDefault="00734A78" w:rsidP="00441830">
            <w:pPr>
              <w:pStyle w:val="Tabletext"/>
              <w:jc w:val="left"/>
            </w:pPr>
            <w:r>
              <w:t xml:space="preserve">Puissance surfacique </w:t>
            </w:r>
            <w:r w:rsidRPr="00D00E44">
              <w:t>(</w:t>
            </w:r>
            <w:r>
              <w:t>source unique</w:t>
            </w:r>
            <w:r w:rsidRPr="00D00E44">
              <w:t xml:space="preserve">) </w:t>
            </w:r>
            <w:r>
              <w:t>dans la largeur de bande de référence</w:t>
            </w:r>
          </w:p>
        </w:tc>
        <w:tc>
          <w:tcPr>
            <w:tcW w:w="883" w:type="pct"/>
            <w:tcBorders>
              <w:bottom w:val="single" w:sz="4" w:space="0" w:color="auto"/>
            </w:tcBorders>
            <w:shd w:val="clear" w:color="auto" w:fill="auto"/>
            <w:noWrap/>
          </w:tcPr>
          <w:p w14:paraId="14486C0D" w14:textId="77777777" w:rsidR="00734A78" w:rsidRPr="00D00E44" w:rsidRDefault="00734A78" w:rsidP="00441830">
            <w:pPr>
              <w:pStyle w:val="Tabletext"/>
              <w:jc w:val="center"/>
            </w:pPr>
            <w:r>
              <w:t>−201,</w:t>
            </w:r>
            <w:r w:rsidRPr="00D00E44">
              <w:t>8</w:t>
            </w:r>
          </w:p>
        </w:tc>
        <w:tc>
          <w:tcPr>
            <w:tcW w:w="954" w:type="pct"/>
            <w:tcBorders>
              <w:bottom w:val="single" w:sz="4" w:space="0" w:color="auto"/>
            </w:tcBorders>
            <w:shd w:val="clear" w:color="auto" w:fill="auto"/>
            <w:noWrap/>
          </w:tcPr>
          <w:p w14:paraId="3965FBF9" w14:textId="77777777" w:rsidR="00734A78" w:rsidRPr="00D00E44" w:rsidRDefault="00734A78" w:rsidP="00441830">
            <w:pPr>
              <w:pStyle w:val="Tabletext"/>
              <w:jc w:val="center"/>
            </w:pPr>
            <w:r w:rsidRPr="00D00E44">
              <w:t>dB(W/m</w:t>
            </w:r>
            <w:r w:rsidRPr="00D00E44">
              <w:rPr>
                <w:vertAlign w:val="superscript"/>
              </w:rPr>
              <w:t>2</w:t>
            </w:r>
            <w:r w:rsidRPr="00D00E44">
              <w:t>/100 Hz)</w:t>
            </w:r>
          </w:p>
        </w:tc>
      </w:tr>
      <w:tr w:rsidR="00734A78" w:rsidRPr="006747A3" w14:paraId="50774459" w14:textId="77777777" w:rsidTr="00964DEF">
        <w:tc>
          <w:tcPr>
            <w:tcW w:w="5000" w:type="pct"/>
            <w:gridSpan w:val="3"/>
            <w:tcBorders>
              <w:top w:val="single" w:sz="4" w:space="0" w:color="auto"/>
              <w:left w:val="nil"/>
              <w:bottom w:val="nil"/>
              <w:right w:val="nil"/>
            </w:tcBorders>
            <w:shd w:val="clear" w:color="auto" w:fill="auto"/>
            <w:noWrap/>
            <w:vAlign w:val="center"/>
          </w:tcPr>
          <w:p w14:paraId="107E184F" w14:textId="77777777" w:rsidR="00734A78" w:rsidRPr="006747A3" w:rsidRDefault="00734A78" w:rsidP="006747A3">
            <w:pPr>
              <w:pStyle w:val="Tabletext"/>
              <w:ind w:left="284" w:hanging="284"/>
            </w:pPr>
            <w:r w:rsidRPr="006747A3">
              <w:rPr>
                <w:vertAlign w:val="superscript"/>
              </w:rPr>
              <w:t>(1)</w:t>
            </w:r>
            <w:r w:rsidRPr="006747A3">
              <w:rPr>
                <w:vertAlign w:val="superscript"/>
              </w:rPr>
              <w:tab/>
            </w:r>
            <w:r w:rsidRPr="006747A3">
              <w:t>Le gain de l'antenne de réception d'un engin spatial pour les RCPD est tiré de la Rec. UIT-R SA.1163, Tableau 1.</w:t>
            </w:r>
          </w:p>
        </w:tc>
      </w:tr>
    </w:tbl>
    <w:p w14:paraId="0A85E646" w14:textId="77777777" w:rsidR="00BC240B" w:rsidRDefault="00BC240B" w:rsidP="00BC240B">
      <w:pPr>
        <w:pStyle w:val="Tablefin"/>
      </w:pPr>
    </w:p>
    <w:p w14:paraId="4DDFBA09" w14:textId="77777777" w:rsidR="00734A78" w:rsidRPr="00EC79E2" w:rsidRDefault="00734A78" w:rsidP="00BC240B">
      <w:r>
        <w:t>Le critère de partage équivalent</w:t>
      </w:r>
      <w:r w:rsidRPr="00D00E44">
        <w:t xml:space="preserve">, </w:t>
      </w:r>
      <w:r>
        <w:t>indiqué en tant que puissance surfacique pour une seule source de brouillage au niveau de l'orbite des satellites géostationnaires</w:t>
      </w:r>
      <w:r w:rsidRPr="00D00E44">
        <w:t xml:space="preserve">, </w:t>
      </w:r>
      <w:r>
        <w:t>est donc de −201,</w:t>
      </w:r>
      <w:r w:rsidRPr="00D00E44">
        <w:t>8 dB(W/m</w:t>
      </w:r>
      <w:r w:rsidRPr="00D00E44">
        <w:rPr>
          <w:vertAlign w:val="superscript"/>
        </w:rPr>
        <w:t>2</w:t>
      </w:r>
      <w:r w:rsidRPr="00D00E44">
        <w:t xml:space="preserve">/100 Hz). </w:t>
      </w:r>
      <w:r>
        <w:t>Cette limite pour une seule source de brouillage s'applique à tous les satellites du service d'exploitation spatiale fonctionnant dans la bande 401-</w:t>
      </w:r>
      <w:r w:rsidRPr="00D00E44">
        <w:t>403 MHz.</w:t>
      </w:r>
    </w:p>
    <w:p w14:paraId="1AF0C45D" w14:textId="77777777" w:rsidR="00734A78" w:rsidRDefault="00734A78" w:rsidP="00734A78"/>
    <w:p w14:paraId="21A9D624" w14:textId="77777777" w:rsidR="00856446" w:rsidRPr="00C57711" w:rsidRDefault="00856446" w:rsidP="00856446">
      <w:pPr>
        <w:pStyle w:val="Line"/>
        <w:rPr>
          <w:lang w:val="fr-FR"/>
        </w:rPr>
      </w:pPr>
      <w:bookmarkStart w:id="3" w:name="_GoBack"/>
      <w:bookmarkEnd w:id="3"/>
    </w:p>
    <w:sectPr w:rsidR="00856446" w:rsidRPr="00C57711" w:rsidSect="00734A78">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1610D" w14:textId="77777777" w:rsidR="00734A78" w:rsidRDefault="00734A78">
      <w:r>
        <w:separator/>
      </w:r>
    </w:p>
  </w:endnote>
  <w:endnote w:type="continuationSeparator" w:id="0">
    <w:p w14:paraId="791F1D34" w14:textId="77777777" w:rsidR="00734A78" w:rsidRDefault="0073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B14DF" w14:textId="77777777" w:rsidR="00734A78" w:rsidRDefault="00734A78">
      <w:r>
        <w:separator/>
      </w:r>
    </w:p>
  </w:footnote>
  <w:footnote w:type="continuationSeparator" w:id="0">
    <w:p w14:paraId="5639866F" w14:textId="77777777" w:rsidR="00734A78" w:rsidRDefault="00734A78">
      <w:r>
        <w:continuationSeparator/>
      </w:r>
    </w:p>
  </w:footnote>
  <w:footnote w:id="1">
    <w:p w14:paraId="77264B3C" w14:textId="77777777" w:rsidR="00734A78" w:rsidRPr="002C1184" w:rsidRDefault="00734A78" w:rsidP="00734A78">
      <w:pPr>
        <w:pStyle w:val="FootnoteText"/>
        <w:spacing w:before="80"/>
        <w:rPr>
          <w:lang w:val="fr-CH"/>
        </w:rPr>
      </w:pPr>
      <w:r>
        <w:rPr>
          <w:rStyle w:val="FootnoteReference"/>
        </w:rPr>
        <w:footnoteRef/>
      </w:r>
      <w:r w:rsidRPr="002C1184">
        <w:rPr>
          <w:lang w:val="fr-CH"/>
        </w:rPr>
        <w:t xml:space="preserve"> </w:t>
      </w:r>
      <w:r w:rsidRPr="002C1184">
        <w:rPr>
          <w:lang w:val="fr-CH"/>
        </w:rPr>
        <w:tab/>
      </w:r>
      <w:r>
        <w:rPr>
          <w:lang w:val="fr-CH"/>
        </w:rPr>
        <w:t>Voir le</w:t>
      </w:r>
      <w:r w:rsidRPr="002C1184">
        <w:rPr>
          <w:lang w:val="fr-CH"/>
        </w:rPr>
        <w:t xml:space="preserve"> R</w:t>
      </w:r>
      <w:r>
        <w:rPr>
          <w:lang w:val="fr-CH"/>
        </w:rPr>
        <w:t>ap</w:t>
      </w:r>
      <w:r w:rsidRPr="002C1184">
        <w:rPr>
          <w:lang w:val="fr-CH"/>
        </w:rPr>
        <w:t>port U</w:t>
      </w:r>
      <w:r>
        <w:rPr>
          <w:lang w:val="fr-CH"/>
        </w:rPr>
        <w:t>IT</w:t>
      </w:r>
      <w:r w:rsidRPr="002C1184">
        <w:rPr>
          <w:lang w:val="fr-CH"/>
        </w:rPr>
        <w:t xml:space="preserve">-R SA.2312-0 – </w:t>
      </w:r>
      <w:r>
        <w:rPr>
          <w:lang w:val="fr-CH"/>
        </w:rPr>
        <w:t>C</w:t>
      </w:r>
      <w:r w:rsidRPr="002C1184">
        <w:rPr>
          <w:lang w:val="fr-CH"/>
        </w:rPr>
        <w:t>aractéristiques, définitions et besoins de spectre des nanosatellites et des picosatellites ainsi que des systèmes composés de satellites de ce type</w:t>
      </w:r>
      <w:r>
        <w:rPr>
          <w:lang w:val="fr-CH"/>
        </w:rPr>
        <w:t>.</w:t>
      </w:r>
    </w:p>
  </w:footnote>
  <w:footnote w:id="2">
    <w:p w14:paraId="13212A32" w14:textId="77777777" w:rsidR="00734A78" w:rsidRPr="00436776" w:rsidRDefault="00734A78" w:rsidP="00734A78">
      <w:pPr>
        <w:pStyle w:val="FootnoteText"/>
        <w:spacing w:before="80"/>
      </w:pPr>
      <w:r>
        <w:rPr>
          <w:rStyle w:val="FootnoteReference"/>
        </w:rPr>
        <w:footnoteRef/>
      </w:r>
      <w:r w:rsidRPr="00436776">
        <w:t xml:space="preserve"> </w:t>
      </w:r>
      <w:r w:rsidRPr="00436776">
        <w:tab/>
        <w:t>Dans le Tableau 2 du Rapport UIT-R SA.2312-0, la directivité de l</w:t>
      </w:r>
      <w:r>
        <w:t>'</w:t>
      </w:r>
      <w:r w:rsidRPr="00436776">
        <w:t>antenne de systèmes type</w:t>
      </w:r>
      <w:r>
        <w:t>s</w:t>
      </w:r>
      <w:r w:rsidRPr="00436776">
        <w:t xml:space="preserve"> à nanosatellites et picosate</w:t>
      </w:r>
      <w:r>
        <w:t>llites est décrite comme suit: «</w:t>
      </w:r>
      <w:r w:rsidRPr="00436776">
        <w:t>Généralement, seulement 1 ou 2 antennes actives par bande, souvent équidirectives (en raison, par exemple, de l</w:t>
      </w:r>
      <w:r>
        <w:t>'</w:t>
      </w:r>
      <w:r w:rsidRPr="00436776">
        <w:t xml:space="preserve">absence de commande </w:t>
      </w:r>
      <w:r>
        <w:t xml:space="preserve">d'attitude </w:t>
      </w:r>
      <w:r w:rsidRPr="00436776">
        <w:t>ou de mécanisme de pointage de l</w:t>
      </w:r>
      <w:r>
        <w:t>'</w:t>
      </w:r>
      <w:r w:rsidRPr="00436776">
        <w:t>antenne)</w:t>
      </w:r>
      <w:r>
        <w:t>»</w:t>
      </w:r>
      <w:r w:rsidRPr="0043677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CCF51" w14:textId="77777777" w:rsidR="00734A78" w:rsidRDefault="00734A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7675" w14:textId="77777777" w:rsidR="00734A78" w:rsidRDefault="00734A78" w:rsidP="00C668C8">
    <w:pPr>
      <w:pStyle w:val="Header"/>
      <w:ind w:right="360" w:firstLine="360"/>
    </w:pPr>
    <w:r>
      <w:rPr>
        <w:noProof/>
        <w:lang w:val="en-GB" w:eastAsia="en-GB"/>
      </w:rPr>
      <w:drawing>
        <wp:anchor distT="0" distB="0" distL="114300" distR="114300" simplePos="0" relativeHeight="251659264" behindDoc="1" locked="0" layoutInCell="1" allowOverlap="1" wp14:anchorId="163DA99F" wp14:editId="56A0F00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E45C" w14:textId="171E6E03" w:rsidR="00734A78" w:rsidRPr="00837CB5" w:rsidRDefault="00734A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95D64">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2514A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95D64">
      <w:rPr>
        <w:b/>
        <w:bCs/>
        <w:noProof/>
      </w:rPr>
      <w:t>UIT-R  SA.1164-4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A90F" w14:textId="77777777" w:rsidR="00734A78" w:rsidRDefault="00734A78">
    <w:pPr>
      <w:pStyle w:val="Header"/>
    </w:pPr>
    <w:r>
      <w:tab/>
    </w:r>
    <w:r>
      <w:rPr>
        <w:b/>
        <w:bCs/>
      </w:rPr>
      <w:fldChar w:fldCharType="begin"/>
    </w:r>
    <w:r>
      <w:rPr>
        <w:b/>
        <w:bCs/>
      </w:rPr>
      <w:instrText xml:space="preserve"> DOCPROPERTY "Header" \* MERGEFORMAT </w:instrText>
    </w:r>
    <w:r>
      <w:rPr>
        <w:b/>
        <w:bCs/>
      </w:rPr>
      <w:fldChar w:fldCharType="separate"/>
    </w:r>
    <w:r w:rsidR="002514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514AC">
      <w:rPr>
        <w:b/>
        <w:bCs/>
        <w:noProof/>
      </w:rPr>
      <w:t>UIT-R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5A971" w14:textId="74EAD75B"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09B9">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514AC" w:rsidRPr="002514A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509B9">
      <w:rPr>
        <w:b/>
        <w:bCs/>
        <w:noProof/>
        <w:lang w:val="en-US"/>
      </w:rPr>
      <w:t>UIT-R  SA.1164-4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6D3D" w14:textId="7F34CA5E" w:rsidR="00607D68" w:rsidRDefault="00607D68">
    <w:pPr>
      <w:pStyle w:val="Header"/>
    </w:pPr>
    <w:r>
      <w:tab/>
    </w:r>
    <w:r w:rsidR="008509B9">
      <w:fldChar w:fldCharType="begin"/>
    </w:r>
    <w:r w:rsidR="008509B9">
      <w:instrText xml:space="preserve"> DOCPROPERTY "Header" \* MERGEFORMAT </w:instrText>
    </w:r>
    <w:r w:rsidR="008509B9">
      <w:fldChar w:fldCharType="separate"/>
    </w:r>
    <w:r w:rsidR="002514AC" w:rsidRPr="002514AC">
      <w:rPr>
        <w:b/>
        <w:bCs/>
      </w:rPr>
      <w:t xml:space="preserve">Rec. </w:t>
    </w:r>
    <w:r w:rsidR="008509B9">
      <w:rPr>
        <w:b/>
        <w:bCs/>
      </w:rPr>
      <w:fldChar w:fldCharType="end"/>
    </w:r>
    <w:r>
      <w:rPr>
        <w:b/>
        <w:bCs/>
      </w:rPr>
      <w:t xml:space="preserve"> </w:t>
    </w:r>
    <w:r>
      <w:rPr>
        <w:b/>
        <w:bCs/>
      </w:rPr>
      <w:fldChar w:fldCharType="begin"/>
    </w:r>
    <w:r>
      <w:rPr>
        <w:b/>
        <w:bCs/>
      </w:rPr>
      <w:instrText>styleref href</w:instrText>
    </w:r>
    <w:r>
      <w:rPr>
        <w:b/>
        <w:bCs/>
      </w:rPr>
      <w:fldChar w:fldCharType="separate"/>
    </w:r>
    <w:r w:rsidR="008509B9">
      <w:rPr>
        <w:b/>
        <w:bCs/>
        <w:noProof/>
      </w:rPr>
      <w:t>UIT-R  SA.1164-4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09B9">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131078" w:nlCheck="1" w:checkStyle="0"/>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78"/>
    <w:rsid w:val="00085FC4"/>
    <w:rsid w:val="000D5EE1"/>
    <w:rsid w:val="000F22B9"/>
    <w:rsid w:val="00155F67"/>
    <w:rsid w:val="0017034B"/>
    <w:rsid w:val="00217EBF"/>
    <w:rsid w:val="00223696"/>
    <w:rsid w:val="00242AEE"/>
    <w:rsid w:val="002514AC"/>
    <w:rsid w:val="00277A84"/>
    <w:rsid w:val="002911ED"/>
    <w:rsid w:val="002D76C4"/>
    <w:rsid w:val="003F5202"/>
    <w:rsid w:val="004067B3"/>
    <w:rsid w:val="00441830"/>
    <w:rsid w:val="0045171D"/>
    <w:rsid w:val="0052529D"/>
    <w:rsid w:val="005D2939"/>
    <w:rsid w:val="00607045"/>
    <w:rsid w:val="00607D68"/>
    <w:rsid w:val="00647055"/>
    <w:rsid w:val="006747A3"/>
    <w:rsid w:val="006C060F"/>
    <w:rsid w:val="006E4CFE"/>
    <w:rsid w:val="00734A78"/>
    <w:rsid w:val="007468DA"/>
    <w:rsid w:val="007662F4"/>
    <w:rsid w:val="007E5E63"/>
    <w:rsid w:val="00813D3F"/>
    <w:rsid w:val="008509B9"/>
    <w:rsid w:val="00856446"/>
    <w:rsid w:val="00964DEF"/>
    <w:rsid w:val="00982167"/>
    <w:rsid w:val="00995FA9"/>
    <w:rsid w:val="009E00A8"/>
    <w:rsid w:val="009E08AC"/>
    <w:rsid w:val="009F151E"/>
    <w:rsid w:val="00A507B2"/>
    <w:rsid w:val="00A6617B"/>
    <w:rsid w:val="00A66BEA"/>
    <w:rsid w:val="00A74034"/>
    <w:rsid w:val="00AB0DC8"/>
    <w:rsid w:val="00B0315A"/>
    <w:rsid w:val="00B44E24"/>
    <w:rsid w:val="00B95D64"/>
    <w:rsid w:val="00BB2F60"/>
    <w:rsid w:val="00BC240B"/>
    <w:rsid w:val="00C57711"/>
    <w:rsid w:val="00CC07D5"/>
    <w:rsid w:val="00CF5A78"/>
    <w:rsid w:val="00D14D2E"/>
    <w:rsid w:val="00D76C73"/>
    <w:rsid w:val="00DB49A3"/>
    <w:rsid w:val="00DF4176"/>
    <w:rsid w:val="00EA1C2E"/>
    <w:rsid w:val="00EA22D9"/>
    <w:rsid w:val="00F24C5C"/>
    <w:rsid w:val="00F32BA8"/>
    <w:rsid w:val="00F56CE9"/>
    <w:rsid w:val="00FA7C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8A8C9DB"/>
  <w15:docId w15:val="{05565516-5AD4-4E52-9A74-FF57151C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A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5771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34A78"/>
    <w:rPr>
      <w:b/>
      <w:sz w:val="24"/>
      <w:lang w:val="fr-FR" w:eastAsia="en-US"/>
    </w:rPr>
  </w:style>
  <w:style w:type="character" w:customStyle="1" w:styleId="HeaderChar">
    <w:name w:val="Header Char"/>
    <w:basedOn w:val="DefaultParagraphFont"/>
    <w:link w:val="Header"/>
    <w:rsid w:val="00734A78"/>
    <w:rPr>
      <w:sz w:val="24"/>
      <w:lang w:val="fr-FR" w:eastAsia="en-US"/>
    </w:rPr>
  </w:style>
  <w:style w:type="character" w:styleId="Hyperlink">
    <w:name w:val="Hyperlink"/>
    <w:basedOn w:val="DefaultParagraphFont"/>
    <w:rsid w:val="00734A78"/>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734A78"/>
    <w:rPr>
      <w:sz w:val="22"/>
      <w:lang w:val="fr-FR" w:eastAsia="en-US"/>
    </w:rPr>
  </w:style>
  <w:style w:type="paragraph" w:customStyle="1" w:styleId="TableLegend0">
    <w:name w:val="Table_Legend"/>
    <w:basedOn w:val="Normal"/>
    <w:next w:val="Normal"/>
    <w:rsid w:val="00734A78"/>
    <w:pPr>
      <w:keepNext/>
      <w:spacing w:before="86" w:line="199" w:lineRule="exact"/>
      <w:ind w:left="-85" w:right="-85"/>
    </w:pPr>
    <w:rPr>
      <w:sz w:val="18"/>
      <w:lang w:val="en-GB"/>
    </w:rPr>
  </w:style>
  <w:style w:type="paragraph" w:customStyle="1" w:styleId="call0">
    <w:name w:val="call"/>
    <w:basedOn w:val="Normal"/>
    <w:next w:val="Normal"/>
    <w:rsid w:val="00734A78"/>
    <w:pPr>
      <w:keepNext/>
      <w:keepLines/>
      <w:tabs>
        <w:tab w:val="clear" w:pos="1191"/>
        <w:tab w:val="clear" w:pos="1588"/>
        <w:tab w:val="clear" w:pos="1985"/>
      </w:tabs>
      <w:spacing w:before="227"/>
      <w:ind w:left="794"/>
      <w:jc w:val="left"/>
    </w:pPr>
    <w:rPr>
      <w:i/>
      <w:lang w:val="en-GB"/>
    </w:rPr>
  </w:style>
  <w:style w:type="table" w:styleId="TableGrid">
    <w:name w:val="Table Grid"/>
    <w:basedOn w:val="TableNormal"/>
    <w:rsid w:val="00734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734A78"/>
    <w:rPr>
      <w:sz w:val="22"/>
      <w:lang w:val="fr-FR" w:eastAsia="en-US"/>
    </w:rPr>
  </w:style>
  <w:style w:type="character" w:customStyle="1" w:styleId="FiguretitleChar">
    <w:name w:val="Figure_title Char"/>
    <w:basedOn w:val="DefaultParagraphFont"/>
    <w:link w:val="Figuretitle"/>
    <w:locked/>
    <w:rsid w:val="00734A78"/>
    <w:rPr>
      <w:rFonts w:ascii="Times New Roman Bold" w:hAnsi="Times New Roman Bold"/>
      <w:b/>
      <w:sz w:val="18"/>
      <w:lang w:val="fr-FR" w:eastAsia="en-US"/>
    </w:rPr>
  </w:style>
  <w:style w:type="character" w:customStyle="1" w:styleId="FigureNoChar">
    <w:name w:val="Figure_No Char"/>
    <w:basedOn w:val="DefaultParagraphFont"/>
    <w:link w:val="FigureNo"/>
    <w:locked/>
    <w:rsid w:val="00734A78"/>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10</Pages>
  <Words>3502</Words>
  <Characters>18809</Characters>
  <Application>Microsoft Office Word</Application>
  <DocSecurity>0</DocSecurity>
  <Lines>512</Lines>
  <Paragraphs>243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SA.1164-4 - Critères de partage et de coordination applicables aux liaisons de service des systèmes de collecte de données utilisant des satellites géostationnaires des services d'exploration de la Terre par satellite  et de météorologie par satellite</dc:title>
  <dc:subject>Série SA = Applications spatiales</dc:subject>
  <dc:creator>Bureau des radiocommunications de l'UIT (BR)</dc:creator>
  <cp:keywords>SA,1164-4</cp:keywords>
  <dc:description>Gachetc, 07/01/2020, ITU51013811</dc:description>
  <cp:lastModifiedBy>Gachet, Christelle</cp:lastModifiedBy>
  <cp:revision>6</cp:revision>
  <cp:lastPrinted>2019-03-26T08:19:00Z</cp:lastPrinted>
  <dcterms:created xsi:type="dcterms:W3CDTF">2020-01-07T10:41:00Z</dcterms:created>
  <dcterms:modified xsi:type="dcterms:W3CDTF">2020-01-07T10:47:00Z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07 January 2020</vt:lpwstr>
  </property>
</Properties>
</file>