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A70A28" w:rsidRDefault="00FE79FE">
      <w:pPr>
        <w:rPr>
          <w:lang w:val="ru-RU"/>
        </w:rPr>
      </w:pPr>
      <w:bookmarkStart w:id="0" w:name="_GoBack"/>
      <w:bookmarkEnd w:id="0"/>
    </w:p>
    <w:p w:rsidR="00FE79FE" w:rsidRPr="00A70A28" w:rsidRDefault="00FE79FE">
      <w:pPr>
        <w:rPr>
          <w:lang w:val="ru-RU"/>
        </w:rPr>
      </w:pPr>
    </w:p>
    <w:p w:rsidR="00FE79FE" w:rsidRPr="00A70A28" w:rsidRDefault="00FE79FE">
      <w:pPr>
        <w:rPr>
          <w:lang w:val="ru-RU"/>
        </w:rPr>
      </w:pPr>
    </w:p>
    <w:p w:rsidR="00FE79FE" w:rsidRPr="00A70A28" w:rsidRDefault="00FE79FE">
      <w:pPr>
        <w:rPr>
          <w:lang w:val="ru-RU"/>
        </w:rPr>
      </w:pPr>
    </w:p>
    <w:p w:rsidR="00FE79FE" w:rsidRPr="00A70A28" w:rsidRDefault="00FE79FE">
      <w:pPr>
        <w:rPr>
          <w:lang w:val="ru-RU"/>
        </w:rPr>
      </w:pPr>
    </w:p>
    <w:p w:rsidR="00013002" w:rsidRPr="00A70A28" w:rsidRDefault="00013002">
      <w:pPr>
        <w:rPr>
          <w:lang w:val="ru-RU"/>
        </w:rPr>
      </w:pPr>
    </w:p>
    <w:p w:rsidR="00013002" w:rsidRPr="00A70A28" w:rsidRDefault="00013002">
      <w:pPr>
        <w:rPr>
          <w:lang w:val="ru-RU"/>
        </w:rPr>
      </w:pPr>
    </w:p>
    <w:p w:rsidR="00013002" w:rsidRPr="00A70A28" w:rsidRDefault="00013002">
      <w:pPr>
        <w:rPr>
          <w:lang w:val="ru-RU"/>
        </w:rPr>
      </w:pPr>
    </w:p>
    <w:p w:rsidR="00FE79FE" w:rsidRPr="00A70A28" w:rsidRDefault="00FE79FE">
      <w:pPr>
        <w:rPr>
          <w:lang w:val="ru-RU"/>
        </w:rPr>
      </w:pPr>
    </w:p>
    <w:p w:rsidR="00FE79FE" w:rsidRPr="00A70A28" w:rsidRDefault="00FE79FE">
      <w:pPr>
        <w:rPr>
          <w:lang w:val="ru-RU"/>
        </w:rPr>
      </w:pPr>
    </w:p>
    <w:p w:rsidR="00FE79FE" w:rsidRPr="00A70A28" w:rsidRDefault="00FE79FE">
      <w:pPr>
        <w:rPr>
          <w:lang w:val="ru-RU"/>
        </w:rPr>
      </w:pPr>
    </w:p>
    <w:p w:rsidR="00FE79FE" w:rsidRPr="00A70A28" w:rsidRDefault="00FE79FE">
      <w:pPr>
        <w:rPr>
          <w:lang w:val="ru-RU"/>
        </w:rPr>
      </w:pPr>
    </w:p>
    <w:tbl>
      <w:tblPr>
        <w:tblW w:w="10089" w:type="dxa"/>
        <w:tblLook w:val="01E0" w:firstRow="1" w:lastRow="1" w:firstColumn="1" w:lastColumn="1" w:noHBand="0" w:noVBand="0"/>
      </w:tblPr>
      <w:tblGrid>
        <w:gridCol w:w="10089"/>
      </w:tblGrid>
      <w:tr w:rsidR="00FE79FE" w:rsidRPr="00A70A28">
        <w:tc>
          <w:tcPr>
            <w:tcW w:w="10089" w:type="dxa"/>
          </w:tcPr>
          <w:p w:rsidR="00276D21" w:rsidRPr="00A70A28" w:rsidRDefault="00276D21" w:rsidP="00013002">
            <w:pPr>
              <w:spacing w:before="380" w:line="280" w:lineRule="exact"/>
              <w:jc w:val="right"/>
              <w:rPr>
                <w:rFonts w:ascii="Tahoma" w:hAnsi="Tahoma" w:cs="Tahoma"/>
                <w:b/>
                <w:bCs/>
                <w:iCs/>
                <w:color w:val="243285"/>
                <w:sz w:val="32"/>
                <w:szCs w:val="32"/>
                <w:lang w:val="ru-RU"/>
              </w:rPr>
            </w:pPr>
          </w:p>
          <w:p w:rsidR="00FE79FE" w:rsidRPr="00A70A28" w:rsidRDefault="00131900" w:rsidP="00FC4C8B">
            <w:pPr>
              <w:spacing w:before="380" w:line="280" w:lineRule="exact"/>
              <w:jc w:val="right"/>
              <w:rPr>
                <w:rFonts w:ascii="Tahoma" w:hAnsi="Tahoma" w:cs="Tahoma"/>
                <w:b/>
                <w:bCs/>
                <w:iCs/>
                <w:color w:val="243285"/>
                <w:sz w:val="36"/>
                <w:szCs w:val="36"/>
                <w:lang w:val="ru-RU"/>
              </w:rPr>
            </w:pPr>
            <w:r w:rsidRPr="00A70A28">
              <w:rPr>
                <w:rFonts w:ascii="Tahoma" w:hAnsi="Tahoma" w:cs="Tahoma"/>
                <w:b/>
                <w:bCs/>
                <w:iCs/>
                <w:color w:val="243285"/>
                <w:sz w:val="36"/>
                <w:szCs w:val="36"/>
                <w:lang w:val="ru-RU"/>
              </w:rPr>
              <w:t>Рекомендация  МСЭ</w:t>
            </w:r>
            <w:r w:rsidR="00FE79FE" w:rsidRPr="00A70A28">
              <w:rPr>
                <w:rFonts w:ascii="Tahoma" w:hAnsi="Tahoma" w:cs="Tahoma"/>
                <w:b/>
                <w:bCs/>
                <w:iCs/>
                <w:color w:val="243285"/>
                <w:sz w:val="36"/>
                <w:szCs w:val="36"/>
                <w:lang w:val="ru-RU"/>
              </w:rPr>
              <w:t xml:space="preserve">-R  </w:t>
            </w:r>
            <w:r w:rsidR="00A62A14" w:rsidRPr="00A70A28">
              <w:rPr>
                <w:rFonts w:ascii="Tahoma" w:hAnsi="Tahoma" w:cs="Tahoma"/>
                <w:b/>
                <w:bCs/>
                <w:iCs/>
                <w:color w:val="243285"/>
                <w:sz w:val="36"/>
                <w:szCs w:val="36"/>
                <w:lang w:val="ru-RU"/>
              </w:rPr>
              <w:t>S</w:t>
            </w:r>
            <w:r w:rsidR="00FD3C61" w:rsidRPr="00A70A28">
              <w:rPr>
                <w:rFonts w:ascii="Tahoma" w:hAnsi="Tahoma" w:cs="Tahoma"/>
                <w:b/>
                <w:bCs/>
                <w:iCs/>
                <w:color w:val="243285"/>
                <w:sz w:val="36"/>
                <w:szCs w:val="36"/>
                <w:lang w:val="ru-RU"/>
              </w:rPr>
              <w:t>A</w:t>
            </w:r>
            <w:r w:rsidR="00FE79FE" w:rsidRPr="00A70A28">
              <w:rPr>
                <w:rFonts w:ascii="Tahoma" w:hAnsi="Tahoma" w:cs="Tahoma"/>
                <w:b/>
                <w:bCs/>
                <w:iCs/>
                <w:color w:val="243285"/>
                <w:sz w:val="36"/>
                <w:szCs w:val="36"/>
                <w:lang w:val="ru-RU"/>
              </w:rPr>
              <w:t>.</w:t>
            </w:r>
            <w:r w:rsidR="007F5A9D" w:rsidRPr="00A70A28">
              <w:rPr>
                <w:rFonts w:ascii="Tahoma" w:hAnsi="Tahoma" w:cs="Tahoma"/>
                <w:b/>
                <w:bCs/>
                <w:iCs/>
                <w:color w:val="243285"/>
                <w:sz w:val="36"/>
                <w:szCs w:val="36"/>
                <w:lang w:val="ru-RU"/>
              </w:rPr>
              <w:t>1164-3</w:t>
            </w:r>
          </w:p>
          <w:p w:rsidR="00FE79FE" w:rsidRPr="00A70A28" w:rsidRDefault="00FE79FE" w:rsidP="007F5A9D">
            <w:pPr>
              <w:spacing w:before="80" w:line="280" w:lineRule="exact"/>
              <w:jc w:val="right"/>
              <w:rPr>
                <w:rFonts w:ascii="Tahoma" w:hAnsi="Tahoma" w:cs="Tahoma"/>
                <w:b/>
                <w:bCs/>
                <w:iCs/>
                <w:color w:val="243285"/>
                <w:sz w:val="24"/>
                <w:szCs w:val="24"/>
                <w:lang w:val="ru-RU"/>
              </w:rPr>
            </w:pPr>
            <w:r w:rsidRPr="00A70A28">
              <w:rPr>
                <w:rFonts w:ascii="Tahoma" w:hAnsi="Tahoma" w:cs="Tahoma"/>
                <w:b/>
                <w:bCs/>
                <w:iCs/>
                <w:color w:val="243285"/>
                <w:sz w:val="24"/>
                <w:szCs w:val="24"/>
                <w:lang w:val="ru-RU"/>
              </w:rPr>
              <w:t>(</w:t>
            </w:r>
            <w:r w:rsidR="007F5A9D" w:rsidRPr="00A70A28">
              <w:rPr>
                <w:rFonts w:ascii="Tahoma" w:hAnsi="Tahoma" w:cs="Tahoma"/>
                <w:b/>
                <w:bCs/>
                <w:iCs/>
                <w:color w:val="243285"/>
                <w:sz w:val="24"/>
                <w:szCs w:val="24"/>
                <w:lang w:val="ru-RU"/>
              </w:rPr>
              <w:t>12</w:t>
            </w:r>
            <w:r w:rsidRPr="00A70A28">
              <w:rPr>
                <w:rFonts w:ascii="Tahoma" w:hAnsi="Tahoma" w:cs="Tahoma"/>
                <w:b/>
                <w:bCs/>
                <w:iCs/>
                <w:color w:val="243285"/>
                <w:sz w:val="24"/>
                <w:szCs w:val="24"/>
                <w:lang w:val="ru-RU"/>
              </w:rPr>
              <w:t>/</w:t>
            </w:r>
            <w:r w:rsidR="006114CA" w:rsidRPr="00A70A28">
              <w:rPr>
                <w:rFonts w:ascii="Tahoma" w:hAnsi="Tahoma" w:cs="Tahoma"/>
                <w:b/>
                <w:bCs/>
                <w:iCs/>
                <w:color w:val="243285"/>
                <w:sz w:val="24"/>
                <w:szCs w:val="24"/>
                <w:lang w:val="ru-RU"/>
              </w:rPr>
              <w:t>201</w:t>
            </w:r>
            <w:r w:rsidR="007F5A9D" w:rsidRPr="00A70A28">
              <w:rPr>
                <w:rFonts w:ascii="Tahoma" w:hAnsi="Tahoma" w:cs="Tahoma"/>
                <w:b/>
                <w:bCs/>
                <w:iCs/>
                <w:color w:val="243285"/>
                <w:sz w:val="24"/>
                <w:szCs w:val="24"/>
                <w:lang w:val="ru-RU"/>
              </w:rPr>
              <w:t>8</w:t>
            </w:r>
            <w:r w:rsidRPr="00A70A28">
              <w:rPr>
                <w:rFonts w:ascii="Tahoma" w:hAnsi="Tahoma" w:cs="Tahoma"/>
                <w:b/>
                <w:bCs/>
                <w:iCs/>
                <w:color w:val="243285"/>
                <w:sz w:val="24"/>
                <w:szCs w:val="24"/>
                <w:lang w:val="ru-RU"/>
              </w:rPr>
              <w:t>)</w:t>
            </w:r>
          </w:p>
        </w:tc>
      </w:tr>
      <w:tr w:rsidR="00FE79FE" w:rsidRPr="00A70A28">
        <w:tc>
          <w:tcPr>
            <w:tcW w:w="10089" w:type="dxa"/>
          </w:tcPr>
          <w:p w:rsidR="00013002" w:rsidRPr="00A70A28" w:rsidRDefault="00013002" w:rsidP="00FE79FE">
            <w:pPr>
              <w:spacing w:before="80" w:line="500" w:lineRule="exact"/>
              <w:jc w:val="right"/>
              <w:rPr>
                <w:rFonts w:ascii="Tahoma" w:hAnsi="Tahoma" w:cs="Tahoma"/>
                <w:b/>
                <w:bCs/>
                <w:iCs/>
                <w:color w:val="243285"/>
                <w:sz w:val="44"/>
                <w:szCs w:val="44"/>
                <w:lang w:val="ru-RU"/>
              </w:rPr>
            </w:pPr>
          </w:p>
          <w:p w:rsidR="00A62A14" w:rsidRPr="00A70A28" w:rsidRDefault="007F5A9D" w:rsidP="00FE79FE">
            <w:pPr>
              <w:spacing w:before="80" w:line="500" w:lineRule="exact"/>
              <w:jc w:val="right"/>
              <w:rPr>
                <w:rFonts w:ascii="Tahoma" w:hAnsi="Tahoma" w:cs="Tahoma"/>
                <w:b/>
                <w:bCs/>
                <w:iCs/>
                <w:color w:val="243285"/>
                <w:sz w:val="40"/>
                <w:szCs w:val="40"/>
                <w:lang w:val="ru-RU"/>
              </w:rPr>
            </w:pPr>
            <w:r w:rsidRPr="00A70A28">
              <w:rPr>
                <w:rFonts w:ascii="Tahoma" w:hAnsi="Tahoma" w:cs="Tahoma"/>
                <w:b/>
                <w:bCs/>
                <w:iCs/>
                <w:color w:val="243285"/>
                <w:sz w:val="44"/>
                <w:szCs w:val="44"/>
                <w:lang w:val="ru-RU"/>
              </w:rPr>
              <w:t>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и в метеорологической спутниковой службе</w:t>
            </w:r>
          </w:p>
        </w:tc>
      </w:tr>
      <w:tr w:rsidR="00FE79FE" w:rsidRPr="00A70A28">
        <w:tc>
          <w:tcPr>
            <w:tcW w:w="10089" w:type="dxa"/>
          </w:tcPr>
          <w:p w:rsidR="009E3058" w:rsidRPr="00A70A28" w:rsidRDefault="009E3058" w:rsidP="009E3058">
            <w:pPr>
              <w:spacing w:before="80" w:line="280" w:lineRule="exact"/>
              <w:ind w:right="640"/>
              <w:rPr>
                <w:rFonts w:ascii="Tahoma" w:hAnsi="Tahoma" w:cs="Tahoma"/>
                <w:b/>
                <w:bCs/>
                <w:iCs/>
                <w:color w:val="243285"/>
                <w:sz w:val="32"/>
                <w:szCs w:val="32"/>
                <w:lang w:val="ru-RU"/>
              </w:rPr>
            </w:pPr>
          </w:p>
          <w:p w:rsidR="009E3058" w:rsidRPr="00A70A28" w:rsidRDefault="009E3058" w:rsidP="009E3058">
            <w:pPr>
              <w:spacing w:before="80" w:line="280" w:lineRule="exact"/>
              <w:ind w:right="640"/>
              <w:rPr>
                <w:rFonts w:ascii="Tahoma" w:hAnsi="Tahoma" w:cs="Tahoma"/>
                <w:b/>
                <w:bCs/>
                <w:iCs/>
                <w:color w:val="243285"/>
                <w:sz w:val="32"/>
                <w:szCs w:val="32"/>
                <w:lang w:val="ru-RU"/>
              </w:rPr>
            </w:pPr>
          </w:p>
          <w:p w:rsidR="009E3058" w:rsidRPr="00A70A28" w:rsidRDefault="009E3058" w:rsidP="009E3058">
            <w:pPr>
              <w:spacing w:before="80" w:after="180" w:line="360" w:lineRule="exact"/>
              <w:ind w:right="720"/>
              <w:rPr>
                <w:rFonts w:ascii="Tahoma" w:hAnsi="Tahoma" w:cs="Tahoma"/>
                <w:b/>
                <w:bCs/>
                <w:iCs/>
                <w:color w:val="243285"/>
                <w:sz w:val="36"/>
                <w:szCs w:val="36"/>
                <w:lang w:val="ru-RU"/>
              </w:rPr>
            </w:pPr>
          </w:p>
          <w:p w:rsidR="00276D21" w:rsidRPr="00A70A28" w:rsidRDefault="00276D21" w:rsidP="00013002">
            <w:pPr>
              <w:spacing w:before="80" w:after="180" w:line="360" w:lineRule="exact"/>
              <w:jc w:val="right"/>
              <w:rPr>
                <w:rFonts w:ascii="Tahoma" w:hAnsi="Tahoma" w:cs="Tahoma"/>
                <w:b/>
                <w:bCs/>
                <w:iCs/>
                <w:color w:val="243285"/>
                <w:sz w:val="36"/>
                <w:szCs w:val="36"/>
                <w:lang w:val="ru-RU"/>
              </w:rPr>
            </w:pPr>
          </w:p>
          <w:p w:rsidR="00013002" w:rsidRPr="00A70A28" w:rsidRDefault="00131900" w:rsidP="006114CA">
            <w:pPr>
              <w:spacing w:before="80" w:after="180" w:line="360" w:lineRule="exact"/>
              <w:jc w:val="right"/>
              <w:rPr>
                <w:rFonts w:ascii="Tahoma" w:hAnsi="Tahoma" w:cs="Tahoma"/>
                <w:b/>
                <w:bCs/>
                <w:iCs/>
                <w:color w:val="243285"/>
                <w:sz w:val="36"/>
                <w:szCs w:val="36"/>
                <w:lang w:val="ru-RU"/>
              </w:rPr>
            </w:pPr>
            <w:r w:rsidRPr="00A70A28">
              <w:rPr>
                <w:rFonts w:ascii="Tahoma" w:hAnsi="Tahoma" w:cs="Tahoma"/>
                <w:b/>
                <w:bCs/>
                <w:iCs/>
                <w:color w:val="243285"/>
                <w:sz w:val="36"/>
                <w:szCs w:val="36"/>
                <w:lang w:val="ru-RU"/>
              </w:rPr>
              <w:t xml:space="preserve">Серия </w:t>
            </w:r>
            <w:r w:rsidR="00A62A14" w:rsidRPr="00A70A28">
              <w:rPr>
                <w:rFonts w:ascii="Tahoma" w:hAnsi="Tahoma" w:cs="Tahoma"/>
                <w:b/>
                <w:bCs/>
                <w:iCs/>
                <w:color w:val="243285"/>
                <w:sz w:val="36"/>
                <w:szCs w:val="36"/>
                <w:lang w:val="ru-RU"/>
              </w:rPr>
              <w:t>S</w:t>
            </w:r>
            <w:r w:rsidR="006114CA" w:rsidRPr="00A70A28">
              <w:rPr>
                <w:rFonts w:ascii="Tahoma" w:hAnsi="Tahoma" w:cs="Tahoma"/>
                <w:b/>
                <w:bCs/>
                <w:iCs/>
                <w:color w:val="243285"/>
                <w:sz w:val="36"/>
                <w:szCs w:val="36"/>
                <w:lang w:val="ru-RU"/>
              </w:rPr>
              <w:t>A</w:t>
            </w:r>
          </w:p>
          <w:p w:rsidR="00FE79FE" w:rsidRPr="00A70A28" w:rsidRDefault="006114CA" w:rsidP="006114CA">
            <w:pPr>
              <w:spacing w:before="80" w:after="180" w:line="360" w:lineRule="exact"/>
              <w:jc w:val="right"/>
              <w:rPr>
                <w:rFonts w:ascii="Tahoma" w:hAnsi="Tahoma" w:cs="Tahoma"/>
                <w:b/>
                <w:bCs/>
                <w:iCs/>
                <w:color w:val="243285"/>
                <w:sz w:val="36"/>
                <w:szCs w:val="36"/>
                <w:lang w:val="ru-RU"/>
              </w:rPr>
            </w:pPr>
            <w:r w:rsidRPr="00A70A28">
              <w:rPr>
                <w:rFonts w:ascii="Tahoma" w:hAnsi="Tahoma" w:cs="Tahoma"/>
                <w:b/>
                <w:bCs/>
                <w:iCs/>
                <w:color w:val="243285"/>
                <w:sz w:val="36"/>
                <w:szCs w:val="36"/>
                <w:lang w:val="ru-RU"/>
              </w:rPr>
              <w:t>Космические применения и метеорология</w:t>
            </w:r>
          </w:p>
          <w:p w:rsidR="00FE79FE" w:rsidRPr="00A70A28" w:rsidRDefault="00FE79FE" w:rsidP="00FE79FE">
            <w:pPr>
              <w:spacing w:before="80" w:line="360" w:lineRule="exact"/>
              <w:jc w:val="right"/>
              <w:rPr>
                <w:rFonts w:ascii="Tahoma" w:hAnsi="Tahoma" w:cs="Tahoma"/>
                <w:b/>
                <w:bCs/>
                <w:iCs/>
                <w:color w:val="243285"/>
                <w:sz w:val="32"/>
                <w:szCs w:val="32"/>
                <w:lang w:val="ru-RU"/>
              </w:rPr>
            </w:pPr>
          </w:p>
        </w:tc>
      </w:tr>
    </w:tbl>
    <w:p w:rsidR="00A71FE5" w:rsidRPr="00A70A28" w:rsidRDefault="00A71FE5" w:rsidP="00CD659B">
      <w:pPr>
        <w:spacing w:before="80"/>
        <w:rPr>
          <w:i/>
          <w:lang w:val="ru-RU"/>
        </w:rPr>
      </w:pPr>
    </w:p>
    <w:p w:rsidR="00FE79FE" w:rsidRPr="00A70A28" w:rsidRDefault="00FE79FE" w:rsidP="00CD659B">
      <w:pPr>
        <w:spacing w:before="80"/>
        <w:rPr>
          <w:i/>
          <w:lang w:val="ru-RU"/>
        </w:rPr>
      </w:pPr>
    </w:p>
    <w:p w:rsidR="00FE79FE" w:rsidRPr="00A70A28" w:rsidRDefault="00FE79FE" w:rsidP="00CD659B">
      <w:pPr>
        <w:spacing w:before="80"/>
        <w:rPr>
          <w:i/>
          <w:lang w:val="ru-RU"/>
        </w:rPr>
      </w:pPr>
    </w:p>
    <w:p w:rsidR="00FE79FE" w:rsidRPr="00A70A28" w:rsidRDefault="00FE79FE" w:rsidP="00CD659B">
      <w:pPr>
        <w:spacing w:before="80"/>
        <w:rPr>
          <w:i/>
          <w:lang w:val="ru-RU"/>
        </w:rPr>
      </w:pPr>
    </w:p>
    <w:p w:rsidR="00A71FE5" w:rsidRPr="00A70A28" w:rsidRDefault="00A71FE5" w:rsidP="00CD659B">
      <w:pPr>
        <w:spacing w:before="80"/>
        <w:rPr>
          <w:i/>
          <w:lang w:val="ru-RU"/>
        </w:rPr>
      </w:pPr>
    </w:p>
    <w:p w:rsidR="00CD659B" w:rsidRPr="00A70A28"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A70A28">
          <w:headerReference w:type="even" r:id="rId8"/>
          <w:headerReference w:type="default" r:id="rId9"/>
          <w:pgSz w:w="11907" w:h="16840" w:code="9"/>
          <w:pgMar w:top="1089" w:right="1089" w:bottom="284" w:left="1089" w:header="567" w:footer="284" w:gutter="0"/>
          <w:pgNumType w:start="1"/>
          <w:cols w:space="720"/>
        </w:sectPr>
      </w:pPr>
    </w:p>
    <w:p w:rsidR="00F05137" w:rsidRPr="00A70A28" w:rsidRDefault="00F05137" w:rsidP="00F05137">
      <w:pPr>
        <w:spacing w:before="0"/>
        <w:jc w:val="center"/>
        <w:rPr>
          <w:b/>
          <w:bCs/>
          <w:szCs w:val="22"/>
          <w:lang w:val="ru-RU"/>
        </w:rPr>
      </w:pPr>
      <w:bookmarkStart w:id="1" w:name="c2tope"/>
      <w:bookmarkEnd w:id="1"/>
      <w:r w:rsidRPr="00A70A28">
        <w:rPr>
          <w:b/>
          <w:bCs/>
          <w:szCs w:val="22"/>
          <w:lang w:val="ru-RU"/>
        </w:rPr>
        <w:lastRenderedPageBreak/>
        <w:t>Предисловие</w:t>
      </w:r>
    </w:p>
    <w:p w:rsidR="00F05137" w:rsidRPr="00A70A28" w:rsidRDefault="00F05137" w:rsidP="00F05137">
      <w:pPr>
        <w:rPr>
          <w:sz w:val="20"/>
          <w:lang w:val="ru-RU"/>
        </w:rPr>
      </w:pPr>
      <w:r w:rsidRPr="00A70A2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A70A28" w:rsidRDefault="00F05137" w:rsidP="00F05137">
      <w:pPr>
        <w:rPr>
          <w:sz w:val="20"/>
          <w:lang w:val="ru-RU"/>
        </w:rPr>
      </w:pPr>
      <w:r w:rsidRPr="00A70A2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05137" w:rsidRPr="00A70A28" w:rsidRDefault="00F05137" w:rsidP="00F05137">
      <w:pPr>
        <w:spacing w:before="360"/>
        <w:jc w:val="center"/>
        <w:rPr>
          <w:b/>
          <w:bCs/>
          <w:szCs w:val="22"/>
          <w:lang w:val="ru-RU"/>
        </w:rPr>
      </w:pPr>
      <w:r w:rsidRPr="00A70A28">
        <w:rPr>
          <w:b/>
          <w:bCs/>
          <w:szCs w:val="22"/>
          <w:lang w:val="ru-RU"/>
        </w:rPr>
        <w:t>Политика в области прав интеллектуальной собственности (ПИС)</w:t>
      </w:r>
    </w:p>
    <w:p w:rsidR="00F05137" w:rsidRPr="00A70A28" w:rsidRDefault="00F05137" w:rsidP="00D92BE8">
      <w:pPr>
        <w:rPr>
          <w:sz w:val="20"/>
          <w:lang w:val="ru-RU"/>
        </w:rPr>
      </w:pPr>
      <w:r w:rsidRPr="00A70A28">
        <w:rPr>
          <w:sz w:val="20"/>
          <w:lang w:val="ru-RU"/>
        </w:rPr>
        <w:t>Политика МСЭ-R в области ПИС излагается в общей патентной политике МСЭ-Т/МСЭ-R/ИСО/МЭК, упоминаемой в Резолюции МСЭ-R</w:t>
      </w:r>
      <w:r w:rsidR="0094477C" w:rsidRPr="00A70A28">
        <w:rPr>
          <w:sz w:val="20"/>
          <w:lang w:val="ru-RU"/>
        </w:rPr>
        <w:t xml:space="preserve"> 1</w:t>
      </w:r>
      <w:r w:rsidRPr="00A70A2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A70A28">
          <w:rPr>
            <w:rStyle w:val="Hyperlink"/>
            <w:rFonts w:eastAsia="SimSun"/>
            <w:sz w:val="20"/>
            <w:lang w:val="ru-RU"/>
          </w:rPr>
          <w:t>http://www.itu.int/ITU-R/go/patents/en</w:t>
        </w:r>
      </w:hyperlink>
      <w:r w:rsidRPr="00A70A2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A70A28"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A70A28" w:rsidTr="00D40BEE">
        <w:trPr>
          <w:jc w:val="center"/>
        </w:trPr>
        <w:tc>
          <w:tcPr>
            <w:tcW w:w="8856" w:type="dxa"/>
            <w:gridSpan w:val="2"/>
          </w:tcPr>
          <w:p w:rsidR="00F05137" w:rsidRPr="00A70A28" w:rsidRDefault="00F05137" w:rsidP="00D40BEE">
            <w:pPr>
              <w:spacing w:before="180"/>
              <w:jc w:val="center"/>
              <w:rPr>
                <w:b/>
                <w:bCs/>
                <w:szCs w:val="22"/>
                <w:lang w:val="ru-RU"/>
              </w:rPr>
            </w:pPr>
            <w:r w:rsidRPr="00A70A28">
              <w:rPr>
                <w:b/>
                <w:bCs/>
                <w:szCs w:val="22"/>
                <w:lang w:val="ru-RU"/>
              </w:rPr>
              <w:t>Серии Рекомендаций МСЭ-R</w:t>
            </w:r>
          </w:p>
          <w:p w:rsidR="00F05137" w:rsidRPr="00A70A28" w:rsidRDefault="00F05137" w:rsidP="00D40BEE">
            <w:pPr>
              <w:spacing w:after="240"/>
              <w:jc w:val="center"/>
              <w:rPr>
                <w:rFonts w:eastAsia="SimSun"/>
                <w:sz w:val="18"/>
                <w:szCs w:val="18"/>
                <w:lang w:val="ru-RU" w:eastAsia="zh-CN"/>
              </w:rPr>
            </w:pPr>
            <w:r w:rsidRPr="00A70A28">
              <w:rPr>
                <w:sz w:val="18"/>
                <w:szCs w:val="18"/>
                <w:lang w:val="ru-RU"/>
              </w:rPr>
              <w:t xml:space="preserve">(Представлены также в онлайновой форме по адресу: </w:t>
            </w:r>
            <w:hyperlink r:id="rId11" w:history="1">
              <w:r w:rsidRPr="00A70A28">
                <w:rPr>
                  <w:rStyle w:val="Hyperlink"/>
                  <w:sz w:val="18"/>
                  <w:lang w:val="ru-RU"/>
                </w:rPr>
                <w:t>http://www.itu.int/publ/R-REC/en</w:t>
              </w:r>
            </w:hyperlink>
            <w:r w:rsidRPr="00A70A28">
              <w:rPr>
                <w:sz w:val="18"/>
                <w:szCs w:val="18"/>
                <w:lang w:val="ru-RU"/>
              </w:rPr>
              <w:t>.)</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Серия</w:t>
            </w:r>
          </w:p>
        </w:tc>
        <w:tc>
          <w:tcPr>
            <w:tcW w:w="7668" w:type="dxa"/>
          </w:tcPr>
          <w:p w:rsidR="00F05137" w:rsidRPr="00A70A28" w:rsidRDefault="00F05137" w:rsidP="00D40BEE">
            <w:pPr>
              <w:spacing w:before="40" w:after="40"/>
              <w:jc w:val="center"/>
              <w:rPr>
                <w:b/>
                <w:bCs/>
                <w:sz w:val="20"/>
                <w:lang w:val="ru-RU"/>
              </w:rPr>
            </w:pPr>
            <w:r w:rsidRPr="00A70A28">
              <w:rPr>
                <w:b/>
                <w:bCs/>
                <w:sz w:val="20"/>
                <w:lang w:val="ru-RU"/>
              </w:rPr>
              <w:t>Название</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BO</w:t>
            </w:r>
          </w:p>
        </w:tc>
        <w:tc>
          <w:tcPr>
            <w:tcW w:w="7668" w:type="dxa"/>
          </w:tcPr>
          <w:p w:rsidR="00F05137" w:rsidRPr="00A70A28" w:rsidRDefault="00F05137" w:rsidP="00FC4C8B">
            <w:pPr>
              <w:spacing w:before="40" w:after="40"/>
              <w:jc w:val="left"/>
              <w:rPr>
                <w:sz w:val="20"/>
                <w:lang w:val="ru-RU"/>
              </w:rPr>
            </w:pPr>
            <w:r w:rsidRPr="00A70A28">
              <w:rPr>
                <w:sz w:val="20"/>
                <w:lang w:val="ru-RU"/>
              </w:rPr>
              <w:t>Спутниковое радиовещание</w:t>
            </w:r>
          </w:p>
        </w:tc>
      </w:tr>
      <w:tr w:rsidR="00F05137" w:rsidRPr="00A70A28" w:rsidTr="00F05137">
        <w:trPr>
          <w:jc w:val="center"/>
        </w:trPr>
        <w:tc>
          <w:tcPr>
            <w:tcW w:w="1188" w:type="dxa"/>
            <w:tcBorders>
              <w:bottom w:val="nil"/>
            </w:tcBorders>
          </w:tcPr>
          <w:p w:rsidR="00F05137" w:rsidRPr="00A70A28" w:rsidRDefault="00F05137" w:rsidP="00D40BEE">
            <w:pPr>
              <w:spacing w:before="40" w:after="40"/>
              <w:rPr>
                <w:b/>
                <w:bCs/>
                <w:sz w:val="20"/>
                <w:lang w:val="ru-RU"/>
              </w:rPr>
            </w:pPr>
            <w:r w:rsidRPr="00A70A28">
              <w:rPr>
                <w:b/>
                <w:bCs/>
                <w:sz w:val="20"/>
                <w:lang w:val="ru-RU"/>
              </w:rPr>
              <w:t>BR</w:t>
            </w:r>
          </w:p>
        </w:tc>
        <w:tc>
          <w:tcPr>
            <w:tcW w:w="7668" w:type="dxa"/>
            <w:tcBorders>
              <w:bottom w:val="nil"/>
            </w:tcBorders>
          </w:tcPr>
          <w:p w:rsidR="00F05137" w:rsidRPr="00A70A28" w:rsidRDefault="00F05137" w:rsidP="00FC4C8B">
            <w:pPr>
              <w:spacing w:before="40" w:after="40"/>
              <w:jc w:val="left"/>
              <w:rPr>
                <w:sz w:val="20"/>
                <w:lang w:val="ru-RU"/>
              </w:rPr>
            </w:pPr>
            <w:r w:rsidRPr="00A70A28">
              <w:rPr>
                <w:sz w:val="20"/>
                <w:lang w:val="ru-RU"/>
              </w:rPr>
              <w:t>Запись для производства, архивирования и воспроизведения; пленки для телевидения</w:t>
            </w:r>
          </w:p>
        </w:tc>
      </w:tr>
      <w:tr w:rsidR="00F05137" w:rsidRPr="00A70A28" w:rsidTr="00F05137">
        <w:trPr>
          <w:jc w:val="center"/>
        </w:trPr>
        <w:tc>
          <w:tcPr>
            <w:tcW w:w="1188" w:type="dxa"/>
            <w:tcBorders>
              <w:top w:val="nil"/>
              <w:bottom w:val="nil"/>
            </w:tcBorders>
            <w:shd w:val="clear" w:color="auto" w:fill="FFFFFF" w:themeFill="background1"/>
          </w:tcPr>
          <w:p w:rsidR="00F05137" w:rsidRPr="00A70A28" w:rsidRDefault="00F05137" w:rsidP="00D40BEE">
            <w:pPr>
              <w:spacing w:before="40" w:after="40"/>
              <w:rPr>
                <w:rFonts w:ascii="Times New Roman Bold" w:hAnsi="Times New Roman Bold" w:cs="Times New Roman Bold"/>
                <w:b/>
                <w:bCs/>
                <w:color w:val="000080"/>
                <w:sz w:val="20"/>
                <w:lang w:val="ru-RU"/>
              </w:rPr>
            </w:pPr>
            <w:r w:rsidRPr="00A70A28">
              <w:rPr>
                <w:b/>
                <w:bCs/>
                <w:sz w:val="20"/>
                <w:lang w:val="ru-RU"/>
              </w:rPr>
              <w:t>BS</w:t>
            </w:r>
          </w:p>
        </w:tc>
        <w:tc>
          <w:tcPr>
            <w:tcW w:w="7668" w:type="dxa"/>
            <w:tcBorders>
              <w:top w:val="nil"/>
              <w:bottom w:val="nil"/>
            </w:tcBorders>
            <w:shd w:val="clear" w:color="auto" w:fill="FFFFFF" w:themeFill="background1"/>
          </w:tcPr>
          <w:p w:rsidR="00F05137" w:rsidRPr="00A70A28" w:rsidRDefault="00F05137" w:rsidP="00FC4C8B">
            <w:pPr>
              <w:spacing w:before="40" w:after="40"/>
              <w:jc w:val="left"/>
              <w:rPr>
                <w:rFonts w:ascii="Times New Roman Bold" w:hAnsi="Times New Roman Bold" w:cs="Times New Roman Bold"/>
                <w:b/>
                <w:bCs/>
                <w:color w:val="000080"/>
                <w:sz w:val="20"/>
                <w:lang w:val="ru-RU"/>
              </w:rPr>
            </w:pPr>
            <w:r w:rsidRPr="00A70A28">
              <w:rPr>
                <w:sz w:val="20"/>
                <w:lang w:val="ru-RU"/>
              </w:rPr>
              <w:t>Радиовещательная служба (звуковая)</w:t>
            </w:r>
          </w:p>
        </w:tc>
      </w:tr>
      <w:tr w:rsidR="00F05137" w:rsidRPr="00A70A28" w:rsidTr="00F05137">
        <w:trPr>
          <w:jc w:val="center"/>
        </w:trPr>
        <w:tc>
          <w:tcPr>
            <w:tcW w:w="1188" w:type="dxa"/>
            <w:tcBorders>
              <w:top w:val="nil"/>
            </w:tcBorders>
          </w:tcPr>
          <w:p w:rsidR="00F05137" w:rsidRPr="00A70A28" w:rsidRDefault="00F05137" w:rsidP="00D40BEE">
            <w:pPr>
              <w:spacing w:before="40" w:after="40"/>
              <w:rPr>
                <w:b/>
                <w:bCs/>
                <w:sz w:val="20"/>
                <w:lang w:val="ru-RU"/>
              </w:rPr>
            </w:pPr>
            <w:r w:rsidRPr="00A70A28">
              <w:rPr>
                <w:b/>
                <w:bCs/>
                <w:sz w:val="20"/>
                <w:lang w:val="ru-RU"/>
              </w:rPr>
              <w:t>BT</w:t>
            </w:r>
          </w:p>
        </w:tc>
        <w:tc>
          <w:tcPr>
            <w:tcW w:w="7668" w:type="dxa"/>
            <w:tcBorders>
              <w:top w:val="nil"/>
            </w:tcBorders>
          </w:tcPr>
          <w:p w:rsidR="00F05137" w:rsidRPr="00A70A28" w:rsidRDefault="00F05137" w:rsidP="00FC4C8B">
            <w:pPr>
              <w:spacing w:before="40" w:after="40"/>
              <w:jc w:val="left"/>
              <w:rPr>
                <w:sz w:val="20"/>
                <w:lang w:val="ru-RU"/>
              </w:rPr>
            </w:pPr>
            <w:r w:rsidRPr="00A70A28">
              <w:rPr>
                <w:sz w:val="20"/>
                <w:lang w:val="ru-RU"/>
              </w:rPr>
              <w:t>Радиовещательная служба (телевизионная)</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F</w:t>
            </w:r>
          </w:p>
        </w:tc>
        <w:tc>
          <w:tcPr>
            <w:tcW w:w="7668" w:type="dxa"/>
          </w:tcPr>
          <w:p w:rsidR="00F05137" w:rsidRPr="00A70A28" w:rsidRDefault="00F05137" w:rsidP="00FC4C8B">
            <w:pPr>
              <w:spacing w:before="40" w:after="40"/>
              <w:jc w:val="left"/>
              <w:rPr>
                <w:sz w:val="20"/>
                <w:lang w:val="ru-RU"/>
              </w:rPr>
            </w:pPr>
            <w:r w:rsidRPr="00A70A28">
              <w:rPr>
                <w:sz w:val="20"/>
                <w:lang w:val="ru-RU"/>
              </w:rPr>
              <w:t>Фиксированная служба</w:t>
            </w:r>
          </w:p>
        </w:tc>
      </w:tr>
      <w:tr w:rsidR="00F05137" w:rsidRPr="00A70A28" w:rsidTr="00D40BEE">
        <w:trPr>
          <w:jc w:val="center"/>
        </w:trPr>
        <w:tc>
          <w:tcPr>
            <w:tcW w:w="1188" w:type="dxa"/>
            <w:shd w:val="clear" w:color="auto" w:fill="FFFFFF"/>
          </w:tcPr>
          <w:p w:rsidR="00F05137" w:rsidRPr="00A70A28" w:rsidRDefault="00F05137" w:rsidP="00D40BEE">
            <w:pPr>
              <w:spacing w:before="40" w:after="40"/>
              <w:rPr>
                <w:b/>
                <w:bCs/>
                <w:sz w:val="20"/>
                <w:lang w:val="ru-RU"/>
              </w:rPr>
            </w:pPr>
            <w:r w:rsidRPr="00A70A28">
              <w:rPr>
                <w:b/>
                <w:bCs/>
                <w:sz w:val="20"/>
                <w:lang w:val="ru-RU"/>
              </w:rPr>
              <w:t>M</w:t>
            </w:r>
          </w:p>
        </w:tc>
        <w:tc>
          <w:tcPr>
            <w:tcW w:w="7668" w:type="dxa"/>
            <w:shd w:val="clear" w:color="auto" w:fill="FFFFFF"/>
          </w:tcPr>
          <w:p w:rsidR="00F05137" w:rsidRPr="00A70A28" w:rsidRDefault="00B031B7" w:rsidP="00FC4C8B">
            <w:pPr>
              <w:spacing w:before="40" w:after="40"/>
              <w:jc w:val="left"/>
              <w:rPr>
                <w:sz w:val="20"/>
                <w:lang w:val="ru-RU"/>
              </w:rPr>
            </w:pPr>
            <w:r w:rsidRPr="00A70A28">
              <w:rPr>
                <w:sz w:val="20"/>
                <w:lang w:val="ru-RU"/>
              </w:rPr>
              <w:t>Подвижные службы, служба радиоопределения, любительская служба и относящиеся к ним спутниковые службы</w:t>
            </w:r>
          </w:p>
        </w:tc>
      </w:tr>
      <w:tr w:rsidR="00F05137" w:rsidRPr="00A70A28" w:rsidTr="00D40BEE">
        <w:trPr>
          <w:jc w:val="center"/>
        </w:trPr>
        <w:tc>
          <w:tcPr>
            <w:tcW w:w="1188" w:type="dxa"/>
            <w:shd w:val="clear" w:color="auto" w:fill="FFFFFF" w:themeFill="background1"/>
          </w:tcPr>
          <w:p w:rsidR="00F05137" w:rsidRPr="00A70A28" w:rsidRDefault="00F05137" w:rsidP="00D40BEE">
            <w:pPr>
              <w:spacing w:before="40" w:after="40"/>
              <w:rPr>
                <w:b/>
                <w:bCs/>
                <w:sz w:val="20"/>
                <w:lang w:val="ru-RU"/>
              </w:rPr>
            </w:pPr>
            <w:r w:rsidRPr="00A70A28">
              <w:rPr>
                <w:b/>
                <w:bCs/>
                <w:sz w:val="20"/>
                <w:lang w:val="ru-RU"/>
              </w:rPr>
              <w:t>P</w:t>
            </w:r>
          </w:p>
        </w:tc>
        <w:tc>
          <w:tcPr>
            <w:tcW w:w="7668" w:type="dxa"/>
            <w:shd w:val="clear" w:color="auto" w:fill="FFFFFF" w:themeFill="background1"/>
          </w:tcPr>
          <w:p w:rsidR="00F05137" w:rsidRPr="00A70A28" w:rsidRDefault="00F05137" w:rsidP="00FC4C8B">
            <w:pPr>
              <w:spacing w:before="40" w:after="40"/>
              <w:jc w:val="left"/>
              <w:rPr>
                <w:sz w:val="20"/>
                <w:lang w:val="ru-RU"/>
              </w:rPr>
            </w:pPr>
            <w:r w:rsidRPr="00A70A28">
              <w:rPr>
                <w:sz w:val="20"/>
                <w:lang w:val="ru-RU"/>
              </w:rPr>
              <w:t>Распространение радиоволн</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RA</w:t>
            </w:r>
          </w:p>
        </w:tc>
        <w:tc>
          <w:tcPr>
            <w:tcW w:w="7668" w:type="dxa"/>
          </w:tcPr>
          <w:p w:rsidR="00F05137" w:rsidRPr="00A70A28" w:rsidRDefault="00F05137" w:rsidP="00FC4C8B">
            <w:pPr>
              <w:spacing w:before="40" w:after="40"/>
              <w:jc w:val="left"/>
              <w:rPr>
                <w:sz w:val="20"/>
                <w:lang w:val="ru-RU"/>
              </w:rPr>
            </w:pPr>
            <w:r w:rsidRPr="00A70A28">
              <w:rPr>
                <w:sz w:val="20"/>
                <w:lang w:val="ru-RU"/>
              </w:rPr>
              <w:t>Радиоастрономия</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RS</w:t>
            </w:r>
          </w:p>
        </w:tc>
        <w:tc>
          <w:tcPr>
            <w:tcW w:w="7668" w:type="dxa"/>
          </w:tcPr>
          <w:p w:rsidR="00F05137" w:rsidRPr="00A70A28" w:rsidRDefault="00F05137" w:rsidP="00FC4C8B">
            <w:pPr>
              <w:spacing w:before="40" w:after="40"/>
              <w:jc w:val="left"/>
              <w:rPr>
                <w:sz w:val="20"/>
                <w:lang w:val="ru-RU"/>
              </w:rPr>
            </w:pPr>
            <w:r w:rsidRPr="00A70A28">
              <w:rPr>
                <w:sz w:val="20"/>
                <w:lang w:val="ru-RU"/>
              </w:rPr>
              <w:t>Системы дистанционного зондирования</w:t>
            </w:r>
          </w:p>
        </w:tc>
      </w:tr>
      <w:tr w:rsidR="00F05137" w:rsidRPr="00A70A28" w:rsidTr="00F05137">
        <w:trPr>
          <w:jc w:val="center"/>
        </w:trPr>
        <w:tc>
          <w:tcPr>
            <w:tcW w:w="1188" w:type="dxa"/>
            <w:tcBorders>
              <w:bottom w:val="nil"/>
            </w:tcBorders>
          </w:tcPr>
          <w:p w:rsidR="00F05137" w:rsidRPr="00A70A28" w:rsidRDefault="00F05137" w:rsidP="00D40BEE">
            <w:pPr>
              <w:spacing w:before="40" w:after="40"/>
              <w:rPr>
                <w:b/>
                <w:bCs/>
                <w:sz w:val="20"/>
                <w:lang w:val="ru-RU"/>
              </w:rPr>
            </w:pPr>
            <w:r w:rsidRPr="00A70A28">
              <w:rPr>
                <w:b/>
                <w:bCs/>
                <w:sz w:val="20"/>
                <w:lang w:val="ru-RU"/>
              </w:rPr>
              <w:t>S</w:t>
            </w:r>
          </w:p>
        </w:tc>
        <w:tc>
          <w:tcPr>
            <w:tcW w:w="7668" w:type="dxa"/>
            <w:tcBorders>
              <w:bottom w:val="nil"/>
            </w:tcBorders>
          </w:tcPr>
          <w:p w:rsidR="00F05137" w:rsidRPr="00A70A28" w:rsidRDefault="00F05137" w:rsidP="00FC4C8B">
            <w:pPr>
              <w:spacing w:before="40" w:after="40"/>
              <w:jc w:val="left"/>
              <w:rPr>
                <w:sz w:val="20"/>
                <w:lang w:val="ru-RU"/>
              </w:rPr>
            </w:pPr>
            <w:r w:rsidRPr="00A70A28">
              <w:rPr>
                <w:sz w:val="20"/>
                <w:lang w:val="ru-RU"/>
              </w:rPr>
              <w:t>Фиксированная спутниковая служба</w:t>
            </w:r>
          </w:p>
        </w:tc>
      </w:tr>
      <w:tr w:rsidR="00F05137" w:rsidRPr="00A70A28" w:rsidTr="00F05137">
        <w:trPr>
          <w:jc w:val="center"/>
        </w:trPr>
        <w:tc>
          <w:tcPr>
            <w:tcW w:w="1188" w:type="dxa"/>
            <w:tcBorders>
              <w:top w:val="nil"/>
              <w:bottom w:val="nil"/>
            </w:tcBorders>
            <w:shd w:val="clear" w:color="auto" w:fill="F2F2F2" w:themeFill="background1" w:themeFillShade="F2"/>
          </w:tcPr>
          <w:p w:rsidR="00F05137" w:rsidRPr="00A70A28" w:rsidRDefault="00F05137" w:rsidP="00D40BEE">
            <w:pPr>
              <w:spacing w:before="40" w:after="40"/>
              <w:rPr>
                <w:b/>
                <w:bCs/>
                <w:color w:val="000080"/>
                <w:sz w:val="20"/>
                <w:lang w:val="ru-RU"/>
              </w:rPr>
            </w:pPr>
            <w:r w:rsidRPr="00A70A28">
              <w:rPr>
                <w:b/>
                <w:bCs/>
                <w:color w:val="000080"/>
                <w:sz w:val="20"/>
                <w:lang w:val="ru-RU"/>
              </w:rPr>
              <w:t>SA</w:t>
            </w:r>
          </w:p>
        </w:tc>
        <w:tc>
          <w:tcPr>
            <w:tcW w:w="7668" w:type="dxa"/>
            <w:tcBorders>
              <w:top w:val="nil"/>
              <w:bottom w:val="nil"/>
            </w:tcBorders>
            <w:shd w:val="clear" w:color="auto" w:fill="F2F2F2" w:themeFill="background1" w:themeFillShade="F2"/>
          </w:tcPr>
          <w:p w:rsidR="00F05137" w:rsidRPr="00A70A28" w:rsidRDefault="00F05137" w:rsidP="00FC4C8B">
            <w:pPr>
              <w:spacing w:before="40" w:after="40"/>
              <w:jc w:val="left"/>
              <w:rPr>
                <w:b/>
                <w:bCs/>
                <w:color w:val="000080"/>
                <w:sz w:val="20"/>
                <w:lang w:val="ru-RU"/>
              </w:rPr>
            </w:pPr>
            <w:r w:rsidRPr="00A70A28">
              <w:rPr>
                <w:b/>
                <w:bCs/>
                <w:color w:val="000080"/>
                <w:sz w:val="20"/>
                <w:lang w:val="ru-RU"/>
              </w:rPr>
              <w:t>Космические применения и метеорология</w:t>
            </w:r>
          </w:p>
        </w:tc>
      </w:tr>
      <w:tr w:rsidR="00F05137" w:rsidRPr="00A70A28" w:rsidTr="00F05137">
        <w:trPr>
          <w:jc w:val="center"/>
        </w:trPr>
        <w:tc>
          <w:tcPr>
            <w:tcW w:w="1188" w:type="dxa"/>
            <w:tcBorders>
              <w:top w:val="nil"/>
            </w:tcBorders>
          </w:tcPr>
          <w:p w:rsidR="00F05137" w:rsidRPr="00A70A28" w:rsidRDefault="00F05137" w:rsidP="00D40BEE">
            <w:pPr>
              <w:spacing w:before="40" w:after="40"/>
              <w:rPr>
                <w:b/>
                <w:bCs/>
                <w:sz w:val="20"/>
                <w:lang w:val="ru-RU"/>
              </w:rPr>
            </w:pPr>
            <w:r w:rsidRPr="00A70A28">
              <w:rPr>
                <w:b/>
                <w:bCs/>
                <w:sz w:val="20"/>
                <w:lang w:val="ru-RU"/>
              </w:rPr>
              <w:t>SF</w:t>
            </w:r>
          </w:p>
        </w:tc>
        <w:tc>
          <w:tcPr>
            <w:tcW w:w="7668" w:type="dxa"/>
            <w:tcBorders>
              <w:top w:val="nil"/>
            </w:tcBorders>
          </w:tcPr>
          <w:p w:rsidR="00F05137" w:rsidRPr="00A70A28" w:rsidRDefault="00F05137" w:rsidP="00FC4C8B">
            <w:pPr>
              <w:spacing w:before="40" w:after="40"/>
              <w:jc w:val="left"/>
              <w:rPr>
                <w:sz w:val="20"/>
                <w:lang w:val="ru-RU"/>
              </w:rPr>
            </w:pPr>
            <w:r w:rsidRPr="00A70A2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A70A28" w:rsidTr="00D40BEE">
        <w:trPr>
          <w:jc w:val="center"/>
        </w:trPr>
        <w:tc>
          <w:tcPr>
            <w:tcW w:w="1188" w:type="dxa"/>
            <w:shd w:val="clear" w:color="auto" w:fill="auto"/>
          </w:tcPr>
          <w:p w:rsidR="00F05137" w:rsidRPr="00A70A28" w:rsidRDefault="00F05137" w:rsidP="00D40BEE">
            <w:pPr>
              <w:spacing w:before="40" w:after="40"/>
              <w:rPr>
                <w:b/>
                <w:bCs/>
                <w:sz w:val="20"/>
                <w:lang w:val="ru-RU"/>
              </w:rPr>
            </w:pPr>
            <w:r w:rsidRPr="00A70A28">
              <w:rPr>
                <w:b/>
                <w:bCs/>
                <w:sz w:val="20"/>
                <w:lang w:val="ru-RU"/>
              </w:rPr>
              <w:t>SM</w:t>
            </w:r>
          </w:p>
        </w:tc>
        <w:tc>
          <w:tcPr>
            <w:tcW w:w="7668" w:type="dxa"/>
            <w:shd w:val="clear" w:color="auto" w:fill="auto"/>
          </w:tcPr>
          <w:p w:rsidR="00F05137" w:rsidRPr="00A70A28" w:rsidRDefault="00F05137" w:rsidP="00FC4C8B">
            <w:pPr>
              <w:spacing w:before="40" w:after="40"/>
              <w:jc w:val="left"/>
              <w:rPr>
                <w:sz w:val="20"/>
                <w:lang w:val="ru-RU"/>
              </w:rPr>
            </w:pPr>
            <w:r w:rsidRPr="00A70A28">
              <w:rPr>
                <w:sz w:val="20"/>
                <w:lang w:val="ru-RU"/>
              </w:rPr>
              <w:t>Управление использованием спектра</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SNG</w:t>
            </w:r>
          </w:p>
        </w:tc>
        <w:tc>
          <w:tcPr>
            <w:tcW w:w="7668" w:type="dxa"/>
          </w:tcPr>
          <w:p w:rsidR="00F05137" w:rsidRPr="00A70A28" w:rsidRDefault="00F05137" w:rsidP="00FC4C8B">
            <w:pPr>
              <w:spacing w:before="40" w:after="40"/>
              <w:jc w:val="left"/>
              <w:rPr>
                <w:sz w:val="20"/>
                <w:lang w:val="ru-RU"/>
              </w:rPr>
            </w:pPr>
            <w:r w:rsidRPr="00A70A28">
              <w:rPr>
                <w:sz w:val="20"/>
                <w:lang w:val="ru-RU"/>
              </w:rPr>
              <w:t>Спутниковый сбор новостей</w:t>
            </w:r>
          </w:p>
        </w:tc>
      </w:tr>
      <w:tr w:rsidR="00F05137" w:rsidRPr="00A70A28" w:rsidTr="00D40BEE">
        <w:trPr>
          <w:jc w:val="center"/>
        </w:trPr>
        <w:tc>
          <w:tcPr>
            <w:tcW w:w="1188" w:type="dxa"/>
          </w:tcPr>
          <w:p w:rsidR="00F05137" w:rsidRPr="00A70A28" w:rsidRDefault="00F05137" w:rsidP="00D40BEE">
            <w:pPr>
              <w:spacing w:before="40" w:after="40"/>
              <w:rPr>
                <w:b/>
                <w:bCs/>
                <w:sz w:val="20"/>
                <w:lang w:val="ru-RU"/>
              </w:rPr>
            </w:pPr>
            <w:r w:rsidRPr="00A70A28">
              <w:rPr>
                <w:b/>
                <w:bCs/>
                <w:sz w:val="20"/>
                <w:lang w:val="ru-RU"/>
              </w:rPr>
              <w:t>TF</w:t>
            </w:r>
          </w:p>
        </w:tc>
        <w:tc>
          <w:tcPr>
            <w:tcW w:w="7668" w:type="dxa"/>
          </w:tcPr>
          <w:p w:rsidR="00F05137" w:rsidRPr="00A70A28" w:rsidRDefault="00F05137" w:rsidP="00FC4C8B">
            <w:pPr>
              <w:spacing w:before="40" w:after="40"/>
              <w:jc w:val="left"/>
              <w:rPr>
                <w:sz w:val="20"/>
                <w:lang w:val="ru-RU"/>
              </w:rPr>
            </w:pPr>
            <w:r w:rsidRPr="00A70A28">
              <w:rPr>
                <w:sz w:val="20"/>
                <w:lang w:val="ru-RU"/>
              </w:rPr>
              <w:t>Передача сигналов времени и эталонных частот</w:t>
            </w:r>
          </w:p>
        </w:tc>
      </w:tr>
      <w:tr w:rsidR="00F05137" w:rsidRPr="00A70A28" w:rsidTr="00D40BEE">
        <w:trPr>
          <w:jc w:val="center"/>
        </w:trPr>
        <w:tc>
          <w:tcPr>
            <w:tcW w:w="1188" w:type="dxa"/>
          </w:tcPr>
          <w:p w:rsidR="00F05137" w:rsidRPr="00A70A28" w:rsidRDefault="00F05137" w:rsidP="00D40BEE">
            <w:pPr>
              <w:spacing w:before="40" w:after="180"/>
              <w:rPr>
                <w:b/>
                <w:bCs/>
                <w:sz w:val="20"/>
                <w:lang w:val="ru-RU"/>
              </w:rPr>
            </w:pPr>
            <w:r w:rsidRPr="00A70A28">
              <w:rPr>
                <w:b/>
                <w:bCs/>
                <w:sz w:val="20"/>
                <w:lang w:val="ru-RU"/>
              </w:rPr>
              <w:t>V</w:t>
            </w:r>
          </w:p>
        </w:tc>
        <w:tc>
          <w:tcPr>
            <w:tcW w:w="7668" w:type="dxa"/>
          </w:tcPr>
          <w:p w:rsidR="00F05137" w:rsidRPr="00A70A28" w:rsidRDefault="00F05137" w:rsidP="00FC4C8B">
            <w:pPr>
              <w:spacing w:before="40" w:after="180"/>
              <w:jc w:val="left"/>
              <w:rPr>
                <w:sz w:val="20"/>
                <w:lang w:val="ru-RU"/>
              </w:rPr>
            </w:pPr>
            <w:r w:rsidRPr="00A70A28">
              <w:rPr>
                <w:sz w:val="20"/>
                <w:lang w:val="ru-RU"/>
              </w:rPr>
              <w:t>Словарь и связанные с ним вопросы</w:t>
            </w:r>
          </w:p>
        </w:tc>
      </w:tr>
    </w:tbl>
    <w:p w:rsidR="00F05137" w:rsidRPr="00A70A28"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A70A28" w:rsidTr="00D40BEE">
        <w:trPr>
          <w:jc w:val="center"/>
        </w:trPr>
        <w:tc>
          <w:tcPr>
            <w:tcW w:w="8856" w:type="dxa"/>
          </w:tcPr>
          <w:p w:rsidR="00F05137" w:rsidRPr="00A70A28" w:rsidRDefault="00F05137" w:rsidP="0094477C">
            <w:pPr>
              <w:spacing w:after="120"/>
              <w:jc w:val="left"/>
              <w:rPr>
                <w:rFonts w:eastAsia="SimSun"/>
                <w:i/>
                <w:iCs/>
                <w:sz w:val="20"/>
                <w:lang w:val="ru-RU" w:eastAsia="zh-CN"/>
              </w:rPr>
            </w:pPr>
            <w:r w:rsidRPr="00A70A28">
              <w:rPr>
                <w:b/>
                <w:bCs/>
                <w:i/>
                <w:iCs/>
                <w:sz w:val="20"/>
                <w:lang w:val="ru-RU"/>
              </w:rPr>
              <w:t>Примечание</w:t>
            </w:r>
            <w:r w:rsidRPr="00A70A28">
              <w:rPr>
                <w:i/>
                <w:iCs/>
                <w:sz w:val="20"/>
                <w:lang w:val="ru-RU"/>
              </w:rPr>
              <w:t>. – Настоящая Рекомендация МСЭ-R утверждена на английском языке в</w:t>
            </w:r>
            <w:r w:rsidR="00FC4C8B" w:rsidRPr="00A70A28">
              <w:rPr>
                <w:i/>
                <w:iCs/>
                <w:sz w:val="20"/>
                <w:lang w:val="ru-RU"/>
              </w:rPr>
              <w:t> </w:t>
            </w:r>
            <w:r w:rsidRPr="00A70A28">
              <w:rPr>
                <w:i/>
                <w:iCs/>
                <w:sz w:val="20"/>
                <w:lang w:val="ru-RU"/>
              </w:rPr>
              <w:t>соответствии с процедурой, изложенной в Резолюции МСЭ-R</w:t>
            </w:r>
            <w:r w:rsidR="0094477C" w:rsidRPr="00A70A28">
              <w:rPr>
                <w:i/>
                <w:iCs/>
                <w:sz w:val="20"/>
                <w:lang w:val="ru-RU"/>
              </w:rPr>
              <w:t xml:space="preserve"> 1</w:t>
            </w:r>
            <w:r w:rsidRPr="00A70A28">
              <w:rPr>
                <w:i/>
                <w:iCs/>
                <w:sz w:val="20"/>
                <w:lang w:val="ru-RU"/>
              </w:rPr>
              <w:t>.</w:t>
            </w:r>
          </w:p>
        </w:tc>
      </w:tr>
    </w:tbl>
    <w:p w:rsidR="00F05137" w:rsidRPr="00A70A28" w:rsidRDefault="00F05137" w:rsidP="00D92BE8">
      <w:pPr>
        <w:spacing w:before="360"/>
        <w:jc w:val="right"/>
        <w:rPr>
          <w:sz w:val="20"/>
          <w:lang w:val="ru-RU"/>
        </w:rPr>
      </w:pPr>
      <w:r w:rsidRPr="00A70A28">
        <w:rPr>
          <w:i/>
          <w:iCs/>
          <w:sz w:val="20"/>
          <w:lang w:val="ru-RU"/>
        </w:rPr>
        <w:t>Электронная публикация</w:t>
      </w:r>
      <w:r w:rsidRPr="00A70A28">
        <w:rPr>
          <w:i/>
          <w:iCs/>
          <w:sz w:val="20"/>
          <w:lang w:val="ru-RU"/>
        </w:rPr>
        <w:br/>
      </w:r>
      <w:r w:rsidRPr="00A70A28">
        <w:rPr>
          <w:sz w:val="20"/>
          <w:lang w:val="ru-RU"/>
        </w:rPr>
        <w:t>Женева, 201</w:t>
      </w:r>
      <w:r w:rsidR="00D92BE8" w:rsidRPr="00A70A28">
        <w:rPr>
          <w:sz w:val="20"/>
          <w:lang w:val="ru-RU"/>
        </w:rPr>
        <w:t>9</w:t>
      </w:r>
      <w:r w:rsidRPr="00A70A28">
        <w:rPr>
          <w:sz w:val="20"/>
          <w:lang w:val="ru-RU"/>
        </w:rPr>
        <w:t xml:space="preserve"> г.</w:t>
      </w:r>
    </w:p>
    <w:p w:rsidR="00F05137" w:rsidRPr="00A70A28" w:rsidRDefault="00E60DAA" w:rsidP="00D92BE8">
      <w:pPr>
        <w:spacing w:before="480" w:after="120"/>
        <w:jc w:val="center"/>
        <w:rPr>
          <w:rFonts w:eastAsia="SimSun"/>
          <w:sz w:val="20"/>
          <w:lang w:val="ru-RU" w:eastAsia="zh-CN"/>
        </w:rPr>
      </w:pPr>
      <w:r w:rsidRPr="00A70A28">
        <w:rPr>
          <w:sz w:val="20"/>
          <w:lang w:val="ru-RU"/>
        </w:rPr>
        <w:sym w:font="Symbol" w:char="F0E3"/>
      </w:r>
      <w:r w:rsidRPr="00A70A28">
        <w:rPr>
          <w:sz w:val="20"/>
          <w:lang w:val="ru-RU"/>
        </w:rPr>
        <w:t xml:space="preserve"> ITU </w:t>
      </w:r>
      <w:bookmarkStart w:id="2" w:name="iiannee"/>
      <w:bookmarkEnd w:id="2"/>
      <w:r w:rsidRPr="00A70A28">
        <w:rPr>
          <w:sz w:val="20"/>
          <w:lang w:val="ru-RU"/>
        </w:rPr>
        <w:t>201</w:t>
      </w:r>
      <w:r w:rsidR="00D92BE8" w:rsidRPr="00A70A28">
        <w:rPr>
          <w:sz w:val="20"/>
          <w:lang w:val="ru-RU"/>
        </w:rPr>
        <w:t>9</w:t>
      </w:r>
    </w:p>
    <w:p w:rsidR="00E60DAA" w:rsidRPr="00A70A28" w:rsidRDefault="00F05137" w:rsidP="00E60DAA">
      <w:pPr>
        <w:rPr>
          <w:sz w:val="18"/>
          <w:szCs w:val="18"/>
          <w:lang w:val="ru-RU"/>
        </w:rPr>
      </w:pPr>
      <w:r w:rsidRPr="00A70A2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A70A28" w:rsidRDefault="00E60DAA" w:rsidP="00E60DAA">
      <w:pPr>
        <w:spacing w:before="160"/>
        <w:rPr>
          <w:i/>
          <w:sz w:val="20"/>
          <w:lang w:val="ru-RU"/>
        </w:rPr>
        <w:sectPr w:rsidR="00E60DAA" w:rsidRPr="00A70A2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C4C8B" w:rsidRPr="00A70A28" w:rsidRDefault="00FC4C8B" w:rsidP="00FC4C8B">
      <w:pPr>
        <w:pStyle w:val="RecNo"/>
        <w:spacing w:before="0"/>
        <w:rPr>
          <w:lang w:val="ru-RU"/>
        </w:rPr>
      </w:pPr>
      <w:bookmarkStart w:id="3" w:name="irecnoe"/>
      <w:bookmarkEnd w:id="3"/>
      <w:r w:rsidRPr="00A70A28">
        <w:rPr>
          <w:lang w:val="ru-RU"/>
        </w:rPr>
        <w:lastRenderedPageBreak/>
        <w:t xml:space="preserve">РЕКОМЕНДАЦИЯ  </w:t>
      </w:r>
      <w:r w:rsidRPr="00A70A28">
        <w:rPr>
          <w:rStyle w:val="href"/>
          <w:lang w:val="ru-RU"/>
        </w:rPr>
        <w:t>МСЭ-R  SA.</w:t>
      </w:r>
      <w:r w:rsidR="007F5A9D" w:rsidRPr="00A70A28">
        <w:rPr>
          <w:rStyle w:val="href"/>
          <w:szCs w:val="26"/>
          <w:lang w:val="ru-RU"/>
        </w:rPr>
        <w:t>1164-3</w:t>
      </w:r>
    </w:p>
    <w:p w:rsidR="007F5A9D" w:rsidRPr="00A70A28" w:rsidRDefault="007F5A9D" w:rsidP="007F5A9D">
      <w:pPr>
        <w:pStyle w:val="Rectitle"/>
        <w:rPr>
          <w:szCs w:val="26"/>
          <w:lang w:val="ru-RU"/>
        </w:rPr>
      </w:pPr>
      <w:r w:rsidRPr="00A70A28">
        <w:rPr>
          <w:szCs w:val="26"/>
          <w:lang w:val="ru-RU"/>
        </w:rPr>
        <w:t xml:space="preserve">Критерии совместного использования частот и критерии координации для служебных линий систем сбора данных, использующих спутники ГСО, в спутниковой службе исследования Земли </w:t>
      </w:r>
      <w:r w:rsidRPr="00A70A28">
        <w:rPr>
          <w:szCs w:val="26"/>
          <w:lang w:val="ru-RU"/>
        </w:rPr>
        <w:br/>
        <w:t>и в метеорологической спутниковой службе</w:t>
      </w:r>
    </w:p>
    <w:p w:rsidR="007F5A9D" w:rsidRPr="00A70A28" w:rsidRDefault="007F5A9D" w:rsidP="007F5A9D">
      <w:pPr>
        <w:pStyle w:val="Questionref"/>
        <w:rPr>
          <w:szCs w:val="22"/>
          <w:lang w:val="ru-RU"/>
        </w:rPr>
      </w:pPr>
      <w:r w:rsidRPr="00A70A28">
        <w:rPr>
          <w:szCs w:val="22"/>
          <w:lang w:val="ru-RU"/>
        </w:rPr>
        <w:t>(Вопрос МСЭ-R 142/7)</w:t>
      </w:r>
    </w:p>
    <w:p w:rsidR="007F5A9D" w:rsidRPr="00A70A28" w:rsidRDefault="007F5A9D" w:rsidP="007F5A9D">
      <w:pPr>
        <w:pStyle w:val="Recdate"/>
        <w:rPr>
          <w:szCs w:val="22"/>
          <w:lang w:val="ru-RU"/>
        </w:rPr>
      </w:pPr>
      <w:r w:rsidRPr="00A70A28">
        <w:rPr>
          <w:szCs w:val="22"/>
          <w:lang w:val="ru-RU"/>
        </w:rPr>
        <w:t>(1995-1997-1999-2018)</w:t>
      </w:r>
    </w:p>
    <w:p w:rsidR="007F5A9D" w:rsidRPr="009277B5" w:rsidRDefault="007F5A9D" w:rsidP="009277B5">
      <w:pPr>
        <w:pStyle w:val="HeadingSum"/>
      </w:pPr>
      <w:r w:rsidRPr="009277B5">
        <w:t>Сфера применения</w:t>
      </w:r>
    </w:p>
    <w:p w:rsidR="007F5A9D" w:rsidRPr="00A70A28" w:rsidRDefault="007F5A9D" w:rsidP="007F5A9D">
      <w:pPr>
        <w:pStyle w:val="Summary"/>
        <w:rPr>
          <w:sz w:val="18"/>
          <w:lang w:val="ru-RU"/>
        </w:rPr>
      </w:pPr>
      <w:r w:rsidRPr="00A70A28">
        <w:rPr>
          <w:lang w:val="ru-RU"/>
        </w:rPr>
        <w:t>В настоящей Рекомендации представлены критерии совместного использования частот и критерии координации для защиты служебных линий систем сбора данных в спутниковой службе исследования Земли и метеорологической спутниковой службе, определенные с использованием критериев суммарных помех, которые приведены в Рекомендации МСЭ-R SA.1163.</w:t>
      </w:r>
    </w:p>
    <w:p w:rsidR="007F5A9D" w:rsidRPr="00A70A28" w:rsidRDefault="007F5A9D" w:rsidP="007F5A9D">
      <w:pPr>
        <w:pStyle w:val="Headingb"/>
        <w:rPr>
          <w:lang w:val="ru-RU"/>
        </w:rPr>
      </w:pPr>
      <w:r w:rsidRPr="00A70A28">
        <w:rPr>
          <w:lang w:val="ru-RU"/>
        </w:rPr>
        <w:t>Ключевые слова</w:t>
      </w:r>
    </w:p>
    <w:p w:rsidR="007F5A9D" w:rsidRPr="00A70A28" w:rsidRDefault="007F5A9D" w:rsidP="007F5A9D">
      <w:pPr>
        <w:rPr>
          <w:lang w:val="ru-RU"/>
        </w:rPr>
      </w:pPr>
      <w:r w:rsidRPr="00A70A28">
        <w:rPr>
          <w:lang w:val="ru-RU"/>
        </w:rPr>
        <w:t>Критерии совместного использования частот, критерии координации, предельные уровни мощности, системы сбора данных.</w:t>
      </w:r>
    </w:p>
    <w:p w:rsidR="007F5A9D" w:rsidRPr="00A70A28" w:rsidRDefault="007F5A9D" w:rsidP="007F5A9D">
      <w:pPr>
        <w:pStyle w:val="Headingb"/>
        <w:rPr>
          <w:szCs w:val="22"/>
          <w:lang w:val="ru-RU" w:eastAsia="zh-CN"/>
        </w:rPr>
      </w:pPr>
      <w:r w:rsidRPr="00A70A28">
        <w:rPr>
          <w:szCs w:val="22"/>
          <w:lang w:val="ru-RU" w:eastAsia="zh-CN"/>
        </w:rPr>
        <w:t>Соответствующие Рекомендации и Отчеты МСЭ-R</w:t>
      </w:r>
    </w:p>
    <w:p w:rsidR="007F5A9D" w:rsidRPr="00A70A28" w:rsidRDefault="007F5A9D" w:rsidP="007F5A9D">
      <w:pPr>
        <w:pStyle w:val="Reftext"/>
        <w:rPr>
          <w:sz w:val="20"/>
          <w:lang w:val="ru-RU"/>
        </w:rPr>
      </w:pPr>
      <w:r w:rsidRPr="00A70A28">
        <w:rPr>
          <w:sz w:val="20"/>
          <w:szCs w:val="24"/>
          <w:lang w:val="ru-RU" w:eastAsia="zh-CN"/>
        </w:rPr>
        <w:t>Рекомендации МСЭ-R SA.1023</w:t>
      </w:r>
      <w:r w:rsidR="003D6F5F" w:rsidRPr="00A70A28">
        <w:rPr>
          <w:sz w:val="20"/>
          <w:szCs w:val="24"/>
          <w:lang w:val="ru-RU" w:eastAsia="zh-CN"/>
        </w:rPr>
        <w:t>:</w:t>
      </w:r>
      <w:r w:rsidRPr="00A70A28">
        <w:rPr>
          <w:sz w:val="20"/>
          <w:szCs w:val="24"/>
          <w:lang w:val="ru-RU" w:eastAsia="zh-CN"/>
        </w:rPr>
        <w:t xml:space="preserve"> Методика определения критериев совместного использования частот и координации для систем спутниковой службы исследования Земли и метеорологической спутниковой службы</w:t>
      </w:r>
    </w:p>
    <w:p w:rsidR="007F5A9D" w:rsidRPr="00A70A28" w:rsidRDefault="007F5A9D" w:rsidP="007F5A9D">
      <w:pPr>
        <w:pStyle w:val="Reftext"/>
        <w:rPr>
          <w:sz w:val="20"/>
          <w:lang w:val="ru-RU"/>
        </w:rPr>
      </w:pPr>
      <w:r w:rsidRPr="00A70A28">
        <w:rPr>
          <w:sz w:val="20"/>
          <w:szCs w:val="24"/>
          <w:lang w:val="ru-RU" w:eastAsia="zh-CN"/>
        </w:rPr>
        <w:t>Рекомендации МСЭ-R SA.1163</w:t>
      </w:r>
      <w:r w:rsidR="003D6F5F" w:rsidRPr="00A70A28">
        <w:rPr>
          <w:sz w:val="20"/>
          <w:szCs w:val="24"/>
          <w:lang w:val="ru-RU" w:eastAsia="zh-CN"/>
        </w:rPr>
        <w:t>:</w:t>
      </w:r>
      <w:r w:rsidRPr="00A70A28">
        <w:rPr>
          <w:sz w:val="20"/>
          <w:szCs w:val="24"/>
          <w:lang w:val="ru-RU" w:eastAsia="zh-CN"/>
        </w:rPr>
        <w:t xml:space="preserve"> Критерии помех для служебных линий систем сбора данных и систем на платформах в спутниковой службе исследования Земли и метеорологической спутниковой службе</w:t>
      </w:r>
    </w:p>
    <w:p w:rsidR="007F5A9D" w:rsidRPr="00A70A28" w:rsidRDefault="007F5A9D" w:rsidP="007F5A9D">
      <w:pPr>
        <w:pStyle w:val="Reftext"/>
        <w:rPr>
          <w:sz w:val="20"/>
          <w:szCs w:val="24"/>
          <w:lang w:val="ru-RU" w:eastAsia="zh-CN"/>
        </w:rPr>
      </w:pPr>
      <w:r w:rsidRPr="00A70A28">
        <w:rPr>
          <w:sz w:val="20"/>
          <w:szCs w:val="24"/>
          <w:lang w:val="ru-RU" w:eastAsia="zh-CN"/>
        </w:rPr>
        <w:t>Рекомендации МСЭ-R SM.1448</w:t>
      </w:r>
      <w:r w:rsidR="003D6F5F" w:rsidRPr="00A70A28">
        <w:rPr>
          <w:sz w:val="20"/>
          <w:szCs w:val="24"/>
          <w:lang w:val="ru-RU" w:eastAsia="zh-CN"/>
        </w:rPr>
        <w:t>:</w:t>
      </w:r>
      <w:r w:rsidRPr="00A70A28">
        <w:rPr>
          <w:sz w:val="20"/>
          <w:szCs w:val="24"/>
          <w:lang w:val="ru-RU" w:eastAsia="zh-CN"/>
        </w:rPr>
        <w:t xml:space="preserve"> Определение координационной зоны вокруг земной станции в полосах частот между 100 МГц и 105 ГГц</w:t>
      </w:r>
    </w:p>
    <w:p w:rsidR="007F5A9D" w:rsidRPr="00A70A28" w:rsidRDefault="007F5A9D" w:rsidP="007F5A9D">
      <w:pPr>
        <w:pStyle w:val="Normalaftertitle"/>
        <w:rPr>
          <w:lang w:val="ru-RU"/>
        </w:rPr>
      </w:pPr>
      <w:r w:rsidRPr="00A70A28">
        <w:rPr>
          <w:lang w:val="ru-RU"/>
        </w:rPr>
        <w:t>Ассамблея радиосвязи МСЭ,</w:t>
      </w:r>
    </w:p>
    <w:p w:rsidR="007F5A9D" w:rsidRPr="00A70A28" w:rsidRDefault="007F5A9D" w:rsidP="007F5A9D">
      <w:pPr>
        <w:pStyle w:val="Call"/>
        <w:rPr>
          <w:lang w:val="ru-RU"/>
        </w:rPr>
      </w:pPr>
      <w:r w:rsidRPr="00A70A28">
        <w:rPr>
          <w:lang w:val="ru-RU"/>
        </w:rPr>
        <w:t>учитывая,</w:t>
      </w:r>
    </w:p>
    <w:p w:rsidR="007F5A9D" w:rsidRPr="00A70A28" w:rsidRDefault="007F5A9D" w:rsidP="007F5A9D">
      <w:pPr>
        <w:rPr>
          <w:lang w:val="ru-RU"/>
        </w:rPr>
      </w:pPr>
      <w:r w:rsidRPr="00A70A28">
        <w:rPr>
          <w:i/>
          <w:iCs/>
          <w:lang w:val="ru-RU"/>
        </w:rPr>
        <w:t>a)</w:t>
      </w:r>
      <w:r w:rsidRPr="00A70A28">
        <w:rPr>
          <w:lang w:val="ru-RU"/>
        </w:rPr>
        <w:tab/>
        <w:t>что полосы частот, распределенные спутниковой службе исследования Земли (ССИЗ) (включая метеорологическую спутниковую службу (МетСат)), могут совместно использоваться несколькими системами, в том числе работающими в других службах;</w:t>
      </w:r>
    </w:p>
    <w:p w:rsidR="007F5A9D" w:rsidRPr="00A70A28" w:rsidRDefault="007F5A9D" w:rsidP="007F5A9D">
      <w:pPr>
        <w:rPr>
          <w:lang w:val="ru-RU"/>
        </w:rPr>
      </w:pPr>
      <w:r w:rsidRPr="00A70A28">
        <w:rPr>
          <w:i/>
          <w:iCs/>
          <w:lang w:val="ru-RU"/>
        </w:rPr>
        <w:t>b)</w:t>
      </w:r>
      <w:r w:rsidRPr="00A70A28">
        <w:rPr>
          <w:lang w:val="ru-RU"/>
        </w:rPr>
        <w:tab/>
        <w:t>что в Рекомендации МСЭ-R SA.1163 указаны критерии помех, необходимые для определения критериев совместного использования частот;</w:t>
      </w:r>
    </w:p>
    <w:p w:rsidR="007F5A9D" w:rsidRPr="00A70A28" w:rsidRDefault="007F5A9D" w:rsidP="007F5A9D">
      <w:pPr>
        <w:rPr>
          <w:lang w:val="ru-RU"/>
        </w:rPr>
      </w:pPr>
      <w:r w:rsidRPr="00A70A28">
        <w:rPr>
          <w:i/>
          <w:iCs/>
          <w:lang w:val="ru-RU"/>
        </w:rPr>
        <w:t>c)</w:t>
      </w:r>
      <w:r w:rsidRPr="00A70A28">
        <w:rPr>
          <w:lang w:val="ru-RU"/>
        </w:rPr>
        <w:tab/>
        <w:t>что критерии совместного использования частот могут быть определены с использованием методики, описанной в Рекомендации МСЭ-R SA.1023;</w:t>
      </w:r>
    </w:p>
    <w:p w:rsidR="007F5A9D" w:rsidRPr="00A70A28" w:rsidRDefault="007F5A9D" w:rsidP="007F5A9D">
      <w:pPr>
        <w:rPr>
          <w:lang w:val="ru-RU"/>
        </w:rPr>
      </w:pPr>
      <w:r w:rsidRPr="00A70A28">
        <w:rPr>
          <w:i/>
          <w:lang w:val="ru-RU"/>
        </w:rPr>
        <w:t>d)</w:t>
      </w:r>
      <w:r w:rsidRPr="00A70A28">
        <w:rPr>
          <w:lang w:val="ru-RU"/>
        </w:rPr>
        <w:tab/>
        <w:t>что типовое развертывание станций, создающих помехи, может в течение несколько лет измениться в результате роста числа систем и пересмотра распределений полос частот всемирными конференциями радиосвязи;</w:t>
      </w:r>
    </w:p>
    <w:p w:rsidR="007F5A9D" w:rsidRPr="00A70A28" w:rsidRDefault="007F5A9D" w:rsidP="007F5A9D">
      <w:pPr>
        <w:rPr>
          <w:lang w:val="ru-RU"/>
        </w:rPr>
      </w:pPr>
      <w:r w:rsidRPr="00A70A28">
        <w:rPr>
          <w:i/>
          <w:lang w:val="ru-RU"/>
        </w:rPr>
        <w:t>е)</w:t>
      </w:r>
      <w:r w:rsidRPr="00A70A28">
        <w:rPr>
          <w:lang w:val="ru-RU"/>
        </w:rPr>
        <w:tab/>
        <w:t>что администрации путем регулирования использования радиочастотного спектра на своей территории и проведения международной координации частотных присвоений могут осуществлять определенный контроль над целым рядом систем, способных создавать помехи значительных уровней;</w:t>
      </w:r>
    </w:p>
    <w:p w:rsidR="003D6F5F" w:rsidRPr="00A70A28" w:rsidRDefault="003D6F5F">
      <w:pPr>
        <w:tabs>
          <w:tab w:val="clear" w:pos="794"/>
          <w:tab w:val="clear" w:pos="1191"/>
          <w:tab w:val="clear" w:pos="1588"/>
          <w:tab w:val="clear" w:pos="1985"/>
        </w:tabs>
        <w:overflowPunct/>
        <w:autoSpaceDE/>
        <w:autoSpaceDN/>
        <w:adjustRightInd/>
        <w:spacing w:before="0"/>
        <w:jc w:val="left"/>
        <w:textAlignment w:val="auto"/>
        <w:rPr>
          <w:i/>
          <w:lang w:val="ru-RU"/>
        </w:rPr>
      </w:pPr>
      <w:r w:rsidRPr="00A70A28">
        <w:rPr>
          <w:i/>
          <w:lang w:val="ru-RU"/>
        </w:rPr>
        <w:br w:type="page"/>
      </w:r>
    </w:p>
    <w:p w:rsidR="007F5A9D" w:rsidRPr="00A70A28" w:rsidRDefault="007F5A9D" w:rsidP="007F5A9D">
      <w:pPr>
        <w:rPr>
          <w:lang w:val="ru-RU"/>
        </w:rPr>
      </w:pPr>
      <w:r w:rsidRPr="00A70A28">
        <w:rPr>
          <w:i/>
          <w:lang w:val="ru-RU"/>
        </w:rPr>
        <w:lastRenderedPageBreak/>
        <w:t>f)</w:t>
      </w:r>
      <w:r w:rsidRPr="00A70A28">
        <w:rPr>
          <w:lang w:val="ru-RU"/>
        </w:rPr>
        <w:tab/>
        <w:t>что мала вероятность того, что уровни помех, которые воздействуют на земные станции МетСат, работающие на борту судов, превысят уровни помех, которые воздействуют на земные станции, работающие на суше;</w:t>
      </w:r>
    </w:p>
    <w:p w:rsidR="007F5A9D" w:rsidRPr="00A70A28" w:rsidRDefault="007F5A9D" w:rsidP="007F5A9D">
      <w:pPr>
        <w:rPr>
          <w:lang w:val="ru-RU"/>
        </w:rPr>
      </w:pPr>
      <w:r w:rsidRPr="00A70A28">
        <w:rPr>
          <w:i/>
          <w:lang w:val="ru-RU"/>
        </w:rPr>
        <w:t>g)</w:t>
      </w:r>
      <w:r w:rsidRPr="00A70A28">
        <w:rPr>
          <w:lang w:val="ru-RU"/>
        </w:rPr>
        <w:tab/>
        <w:t>что в Рекомендации МСЭ-R SM.1448 приведены методики определения необходимости координации передающих наземных станций и земных станций,</w:t>
      </w:r>
    </w:p>
    <w:p w:rsidR="007F5A9D" w:rsidRPr="00A70A28" w:rsidRDefault="007F5A9D" w:rsidP="003D6F5F">
      <w:pPr>
        <w:pStyle w:val="Call"/>
        <w:rPr>
          <w:lang w:val="ru-RU"/>
        </w:rPr>
      </w:pPr>
      <w:r w:rsidRPr="00A70A28">
        <w:rPr>
          <w:lang w:val="ru-RU"/>
        </w:rPr>
        <w:t>рекомендует</w:t>
      </w:r>
    </w:p>
    <w:p w:rsidR="007F5A9D" w:rsidRPr="00A70A28" w:rsidRDefault="007F5A9D" w:rsidP="007F5A9D">
      <w:pPr>
        <w:rPr>
          <w:spacing w:val="-2"/>
          <w:lang w:val="ru-RU"/>
        </w:rPr>
      </w:pPr>
      <w:r w:rsidRPr="00A70A28">
        <w:rPr>
          <w:b/>
          <w:lang w:val="ru-RU"/>
        </w:rPr>
        <w:t>1</w:t>
      </w:r>
      <w:r w:rsidRPr="00A70A28">
        <w:rPr>
          <w:lang w:val="ru-RU"/>
        </w:rPr>
        <w:tab/>
      </w:r>
      <w:r w:rsidRPr="00A70A28">
        <w:rPr>
          <w:spacing w:val="-2"/>
          <w:lang w:val="ru-RU"/>
        </w:rPr>
        <w:t>использовать для защиты станций, работающих в ССИЗ и МетСат, уровни единичных помех, которые указаны в таблице 1 и определены на основе приведенного в Приложении 1 анализа, в качестве критериев совместного использования частот и координации или в качестве основы для альтернативных форм критериев совместного использования частот (например, пределов п.п.м.);</w:t>
      </w:r>
    </w:p>
    <w:p w:rsidR="007F5A9D" w:rsidRPr="00A70A28" w:rsidRDefault="007F5A9D" w:rsidP="007F5A9D">
      <w:pPr>
        <w:rPr>
          <w:lang w:val="ru-RU"/>
        </w:rPr>
      </w:pPr>
      <w:r w:rsidRPr="00A70A28">
        <w:rPr>
          <w:b/>
          <w:lang w:val="ru-RU"/>
        </w:rPr>
        <w:t>2</w:t>
      </w:r>
      <w:r w:rsidRPr="00A70A28">
        <w:rPr>
          <w:lang w:val="ru-RU"/>
        </w:rPr>
        <w:tab/>
        <w:t>использовать в качестве порога для координации передающих космических станций и приемных земных станций, работающих в МетСат, пиковое повышение эквивалентной шумовой температуры линии на 6%;</w:t>
      </w:r>
    </w:p>
    <w:p w:rsidR="007F5A9D" w:rsidRPr="00A70A28" w:rsidRDefault="007F5A9D" w:rsidP="007F5A9D">
      <w:pPr>
        <w:rPr>
          <w:lang w:val="ru-RU"/>
        </w:rPr>
      </w:pPr>
      <w:r w:rsidRPr="00A70A28">
        <w:rPr>
          <w:b/>
          <w:lang w:val="ru-RU"/>
        </w:rPr>
        <w:t>3</w:t>
      </w:r>
      <w:r w:rsidRPr="00A70A28">
        <w:rPr>
          <w:lang w:val="ru-RU"/>
        </w:rPr>
        <w:tab/>
        <w:t>периодически анализировать распределение источников помех, приведенное в Приложении 1, а также в Приложении 2 для полосы 401–403 МГц, в целях определения необходимости пересмотра типовой помеховой обстановки и обусловленных ею критериев совместного использования частот.</w:t>
      </w:r>
    </w:p>
    <w:p w:rsidR="007F5A9D" w:rsidRPr="00A70A28" w:rsidRDefault="007F5A9D" w:rsidP="00E13253">
      <w:pPr>
        <w:pStyle w:val="TableNo"/>
        <w:rPr>
          <w:lang w:val="ru-RU"/>
        </w:rPr>
      </w:pPr>
      <w:r w:rsidRPr="00A70A28">
        <w:rPr>
          <w:lang w:val="ru-RU"/>
        </w:rPr>
        <w:t>ТАБЛИЦА 1</w:t>
      </w:r>
    </w:p>
    <w:p w:rsidR="007F5A9D" w:rsidRPr="00A70A28" w:rsidRDefault="007F5A9D" w:rsidP="00E13253">
      <w:pPr>
        <w:pStyle w:val="Tabletitle"/>
        <w:rPr>
          <w:lang w:val="ru-RU"/>
        </w:rPr>
      </w:pPr>
      <w:r w:rsidRPr="00A70A28">
        <w:rPr>
          <w:lang w:val="ru-RU"/>
        </w:rPr>
        <w:t>Критерии совместного использования частот для станций,</w:t>
      </w:r>
      <w:r w:rsidRPr="00A70A28">
        <w:rPr>
          <w:lang w:val="ru-RU"/>
        </w:rPr>
        <w:br/>
        <w:t>работающих в ССИЗ и МетСат</w:t>
      </w:r>
    </w:p>
    <w:tbl>
      <w:tblPr>
        <w:tblStyle w:val="TableGrid"/>
        <w:tblW w:w="9639" w:type="dxa"/>
        <w:tblLook w:val="04A0" w:firstRow="1" w:lastRow="0" w:firstColumn="1" w:lastColumn="0" w:noHBand="0" w:noVBand="1"/>
      </w:tblPr>
      <w:tblGrid>
        <w:gridCol w:w="1587"/>
        <w:gridCol w:w="1456"/>
        <w:gridCol w:w="1819"/>
        <w:gridCol w:w="1409"/>
        <w:gridCol w:w="1775"/>
        <w:gridCol w:w="1593"/>
      </w:tblGrid>
      <w:tr w:rsidR="007F5A9D" w:rsidRPr="00A70A28" w:rsidTr="003D6F5F">
        <w:tc>
          <w:tcPr>
            <w:tcW w:w="1587" w:type="dxa"/>
            <w:vAlign w:val="center"/>
          </w:tcPr>
          <w:p w:rsidR="007F5A9D" w:rsidRPr="00A70A28" w:rsidRDefault="007F5A9D" w:rsidP="00E13253">
            <w:pPr>
              <w:pStyle w:val="Tablehead"/>
              <w:rPr>
                <w:lang w:val="ru-RU"/>
              </w:rPr>
            </w:pPr>
            <w:r w:rsidRPr="00A70A28">
              <w:rPr>
                <w:lang w:val="ru-RU"/>
              </w:rPr>
              <w:t>Полоса частот (МГц)</w:t>
            </w:r>
          </w:p>
        </w:tc>
        <w:tc>
          <w:tcPr>
            <w:tcW w:w="1456" w:type="dxa"/>
            <w:vAlign w:val="center"/>
          </w:tcPr>
          <w:p w:rsidR="007F5A9D" w:rsidRPr="00A70A28" w:rsidRDefault="007F5A9D" w:rsidP="00E13253">
            <w:pPr>
              <w:pStyle w:val="Tablehead"/>
              <w:rPr>
                <w:lang w:val="ru-RU"/>
              </w:rPr>
            </w:pPr>
            <w:r w:rsidRPr="00A70A28">
              <w:rPr>
                <w:lang w:val="ru-RU"/>
              </w:rPr>
              <w:t>Станция, на которую воздействуют помехи</w:t>
            </w:r>
          </w:p>
        </w:tc>
        <w:tc>
          <w:tcPr>
            <w:tcW w:w="3228" w:type="dxa"/>
            <w:gridSpan w:val="2"/>
            <w:vAlign w:val="center"/>
          </w:tcPr>
          <w:p w:rsidR="007F5A9D" w:rsidRPr="00A70A28" w:rsidRDefault="007F5A9D" w:rsidP="00E13253">
            <w:pPr>
              <w:pStyle w:val="Tablehead"/>
              <w:rPr>
                <w:lang w:val="ru-RU"/>
              </w:rPr>
            </w:pPr>
            <w:r w:rsidRPr="00A70A28">
              <w:rPr>
                <w:lang w:val="ru-RU"/>
              </w:rPr>
              <w:t>Мощность мешающего сигнала (дБВт) в эталонной ширине полосы, которая не должна превышаться в течение более 20% времени</w:t>
            </w:r>
          </w:p>
        </w:tc>
        <w:tc>
          <w:tcPr>
            <w:tcW w:w="3368" w:type="dxa"/>
            <w:gridSpan w:val="2"/>
            <w:vAlign w:val="center"/>
          </w:tcPr>
          <w:p w:rsidR="007F5A9D" w:rsidRPr="00A70A28" w:rsidRDefault="007F5A9D" w:rsidP="00E13253">
            <w:pPr>
              <w:pStyle w:val="Tablehead"/>
              <w:rPr>
                <w:lang w:val="ru-RU"/>
              </w:rPr>
            </w:pPr>
            <w:r w:rsidRPr="00A70A28">
              <w:rPr>
                <w:lang w:val="ru-RU"/>
              </w:rPr>
              <w:t>Мощность мешающего сигнала (дБВт) в эталонной ширине полосы, которая не должна превышаться в течение</w:t>
            </w:r>
            <w:r w:rsidRPr="00A70A28">
              <w:rPr>
                <w:lang w:val="ru-RU"/>
              </w:rPr>
              <w:br/>
              <w:t>более p% времени</w:t>
            </w:r>
          </w:p>
        </w:tc>
      </w:tr>
      <w:tr w:rsidR="007F5A9D" w:rsidRPr="00A70A28" w:rsidTr="003D6F5F">
        <w:tc>
          <w:tcPr>
            <w:tcW w:w="1587" w:type="dxa"/>
          </w:tcPr>
          <w:p w:rsidR="007F5A9D" w:rsidRPr="00A70A28" w:rsidRDefault="007F5A9D" w:rsidP="00705307">
            <w:pPr>
              <w:pStyle w:val="Tabletext"/>
              <w:rPr>
                <w:rFonts w:ascii="Times New Roman" w:hAnsi="Times New Roman"/>
                <w:lang w:val="ru-RU"/>
              </w:rPr>
            </w:pPr>
          </w:p>
        </w:tc>
        <w:tc>
          <w:tcPr>
            <w:tcW w:w="1456" w:type="dxa"/>
          </w:tcPr>
          <w:p w:rsidR="007F5A9D" w:rsidRPr="00A70A28" w:rsidRDefault="007F5A9D" w:rsidP="00705307">
            <w:pPr>
              <w:pStyle w:val="Tabletext"/>
              <w:rPr>
                <w:rFonts w:ascii="Times New Roman" w:hAnsi="Times New Roman"/>
                <w:lang w:val="ru-RU"/>
              </w:rPr>
            </w:pPr>
          </w:p>
        </w:tc>
        <w:tc>
          <w:tcPr>
            <w:tcW w:w="1819" w:type="dxa"/>
          </w:tcPr>
          <w:p w:rsidR="007F5A9D" w:rsidRPr="00A70A28" w:rsidRDefault="007F5A9D" w:rsidP="00E13253">
            <w:pPr>
              <w:pStyle w:val="Tablehead"/>
              <w:rPr>
                <w:lang w:val="ru-RU"/>
              </w:rPr>
            </w:pPr>
            <w:r w:rsidRPr="00A70A28">
              <w:rPr>
                <w:lang w:val="ru-RU"/>
              </w:rPr>
              <w:t>Трасса</w:t>
            </w:r>
            <w:r w:rsidRPr="00A70A28">
              <w:rPr>
                <w:lang w:val="ru-RU"/>
              </w:rPr>
              <w:br/>
              <w:t>космос-Земля</w:t>
            </w:r>
          </w:p>
        </w:tc>
        <w:tc>
          <w:tcPr>
            <w:tcW w:w="1409" w:type="dxa"/>
          </w:tcPr>
          <w:p w:rsidR="007F5A9D" w:rsidRPr="00A70A28" w:rsidRDefault="007F5A9D" w:rsidP="00E13253">
            <w:pPr>
              <w:pStyle w:val="Tablehead"/>
              <w:rPr>
                <w:lang w:val="ru-RU"/>
              </w:rPr>
            </w:pPr>
            <w:r w:rsidRPr="00A70A28">
              <w:rPr>
                <w:lang w:val="ru-RU"/>
              </w:rPr>
              <w:t>Наземная</w:t>
            </w:r>
            <w:r w:rsidRPr="00A70A28">
              <w:rPr>
                <w:lang w:val="ru-RU"/>
              </w:rPr>
              <w:br/>
              <w:t>трасса</w:t>
            </w:r>
          </w:p>
        </w:tc>
        <w:tc>
          <w:tcPr>
            <w:tcW w:w="1775" w:type="dxa"/>
          </w:tcPr>
          <w:p w:rsidR="007F5A9D" w:rsidRPr="00A70A28" w:rsidRDefault="007F5A9D" w:rsidP="00E13253">
            <w:pPr>
              <w:pStyle w:val="Tablehead"/>
              <w:rPr>
                <w:lang w:val="ru-RU"/>
              </w:rPr>
            </w:pPr>
            <w:r w:rsidRPr="00A70A28">
              <w:rPr>
                <w:lang w:val="ru-RU"/>
              </w:rPr>
              <w:t>Трасса</w:t>
            </w:r>
            <w:r w:rsidRPr="00A70A28">
              <w:rPr>
                <w:lang w:val="ru-RU"/>
              </w:rPr>
              <w:br/>
              <w:t>космос-Земля</w:t>
            </w:r>
          </w:p>
        </w:tc>
        <w:tc>
          <w:tcPr>
            <w:tcW w:w="1593" w:type="dxa"/>
          </w:tcPr>
          <w:p w:rsidR="007F5A9D" w:rsidRPr="00A70A28" w:rsidRDefault="007F5A9D" w:rsidP="00E13253">
            <w:pPr>
              <w:pStyle w:val="Tablehead"/>
              <w:rPr>
                <w:lang w:val="ru-RU"/>
              </w:rPr>
            </w:pPr>
            <w:r w:rsidRPr="00A70A28">
              <w:rPr>
                <w:lang w:val="ru-RU"/>
              </w:rPr>
              <w:t>Наземная</w:t>
            </w:r>
            <w:r w:rsidRPr="00A70A28">
              <w:rPr>
                <w:lang w:val="ru-RU"/>
              </w:rPr>
              <w:br/>
              <w:t>трасса</w:t>
            </w:r>
          </w:p>
        </w:tc>
      </w:tr>
      <w:tr w:rsidR="007F5A9D" w:rsidRPr="00A70A28" w:rsidTr="003D6F5F">
        <w:tc>
          <w:tcPr>
            <w:tcW w:w="1587"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401–403</w:t>
            </w:r>
            <w:r w:rsidRPr="00A70A28">
              <w:rPr>
                <w:rFonts w:ascii="Times New Roman" w:hAnsi="Times New Roman"/>
                <w:lang w:val="ru-RU"/>
              </w:rPr>
              <w:br/>
              <w:t>Земля-космос</w:t>
            </w:r>
          </w:p>
        </w:tc>
        <w:tc>
          <w:tcPr>
            <w:tcW w:w="1456"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Космическая станция</w:t>
            </w:r>
          </w:p>
        </w:tc>
        <w:tc>
          <w:tcPr>
            <w:tcW w:w="1819"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–201,5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 (3)</w:t>
            </w:r>
          </w:p>
        </w:tc>
        <w:tc>
          <w:tcPr>
            <w:tcW w:w="1409"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–201,5 дБВт </w:t>
            </w:r>
            <w:r w:rsidRPr="00A70A28">
              <w:rPr>
                <w:rFonts w:ascii="Times New Roman" w:hAnsi="Times New Roman"/>
                <w:lang w:val="ru-RU"/>
              </w:rPr>
              <w:br/>
              <w:t>в полосе 100 Гц</w:t>
            </w:r>
            <w:r w:rsidRPr="00A70A28">
              <w:rPr>
                <w:rFonts w:ascii="Times New Roman" w:hAnsi="Times New Roman"/>
                <w:vertAlign w:val="superscript"/>
                <w:lang w:val="ru-RU"/>
              </w:rPr>
              <w:t>(2)</w:t>
            </w:r>
          </w:p>
        </w:tc>
        <w:tc>
          <w:tcPr>
            <w:tcW w:w="1775"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–186,4 дБВт в полосе</w:t>
            </w:r>
            <w:r w:rsidRPr="00A70A28">
              <w:rPr>
                <w:rFonts w:ascii="Times New Roman" w:hAnsi="Times New Roman"/>
                <w:lang w:val="ru-RU"/>
              </w:rPr>
              <w:br/>
              <w:t>100 Гц</w:t>
            </w:r>
            <w:r w:rsidRPr="00A70A28">
              <w:rPr>
                <w:rFonts w:ascii="Times New Roman" w:hAnsi="Times New Roman"/>
                <w:vertAlign w:val="superscript"/>
                <w:lang w:val="ru-RU"/>
              </w:rPr>
              <w:t>(1), (3)</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0,075</w:t>
            </w:r>
          </w:p>
        </w:tc>
        <w:tc>
          <w:tcPr>
            <w:tcW w:w="1593"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–187,7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0,025</w:t>
            </w:r>
          </w:p>
        </w:tc>
      </w:tr>
      <w:tr w:rsidR="007F5A9D" w:rsidRPr="00A70A28" w:rsidTr="003D6F5F">
        <w:tc>
          <w:tcPr>
            <w:tcW w:w="1587"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1 670–1 690</w:t>
            </w:r>
            <w:r w:rsidRPr="00A70A28">
              <w:rPr>
                <w:rFonts w:ascii="Times New Roman" w:hAnsi="Times New Roman"/>
                <w:lang w:val="ru-RU"/>
              </w:rPr>
              <w:br/>
              <w:t>космос-Земля</w:t>
            </w:r>
          </w:p>
        </w:tc>
        <w:tc>
          <w:tcPr>
            <w:tcW w:w="1456"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Земная станция</w:t>
            </w:r>
          </w:p>
        </w:tc>
        <w:tc>
          <w:tcPr>
            <w:tcW w:w="1819"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–218,8 дБВт</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p>
        </w:tc>
        <w:tc>
          <w:tcPr>
            <w:tcW w:w="1409"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–198,8 дБВт в полосе 100 Гц</w:t>
            </w:r>
            <w:r w:rsidRPr="00A70A28">
              <w:rPr>
                <w:rFonts w:ascii="Times New Roman" w:hAnsi="Times New Roman"/>
                <w:vertAlign w:val="superscript"/>
                <w:lang w:val="ru-RU"/>
              </w:rPr>
              <w:t>(2)</w:t>
            </w:r>
          </w:p>
        </w:tc>
        <w:tc>
          <w:tcPr>
            <w:tcW w:w="1775"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–195,1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vertAlign w:val="superscript"/>
                <w:lang w:val="ru-RU"/>
              </w:rPr>
              <w:br/>
            </w:r>
            <w:r w:rsidRPr="00A70A28">
              <w:rPr>
                <w:rFonts w:ascii="Times New Roman" w:hAnsi="Times New Roman"/>
                <w:i/>
                <w:iCs/>
                <w:lang w:val="ru-RU"/>
              </w:rPr>
              <w:t>p</w:t>
            </w:r>
            <w:r w:rsidRPr="00A70A28">
              <w:rPr>
                <w:rFonts w:ascii="Times New Roman" w:hAnsi="Times New Roman"/>
                <w:lang w:val="ru-RU"/>
              </w:rPr>
              <w:t xml:space="preserve"> = 0,0025</w:t>
            </w:r>
          </w:p>
        </w:tc>
        <w:tc>
          <w:tcPr>
            <w:tcW w:w="1593" w:type="dxa"/>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–193,6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0,011</w:t>
            </w:r>
          </w:p>
        </w:tc>
      </w:tr>
      <w:tr w:rsidR="007F5A9D" w:rsidRPr="00A70A28" w:rsidTr="003D6F5F">
        <w:tc>
          <w:tcPr>
            <w:tcW w:w="1587"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2 025–2 110</w:t>
            </w:r>
            <w:r w:rsidRPr="00A70A28">
              <w:rPr>
                <w:rFonts w:ascii="Times New Roman" w:hAnsi="Times New Roman"/>
                <w:lang w:val="ru-RU"/>
              </w:rPr>
              <w:br/>
              <w:t>Земля-космос</w:t>
            </w:r>
          </w:p>
        </w:tc>
        <w:tc>
          <w:tcPr>
            <w:tcW w:w="1456"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Космическая станция</w:t>
            </w:r>
          </w:p>
        </w:tc>
        <w:tc>
          <w:tcPr>
            <w:tcW w:w="1819"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–211,2 дБВт</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p>
        </w:tc>
        <w:tc>
          <w:tcPr>
            <w:tcW w:w="1409"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–194,3 дБВт в полосе 100 Гц</w:t>
            </w:r>
            <w:r w:rsidRPr="00A70A28">
              <w:rPr>
                <w:rFonts w:ascii="Times New Roman" w:hAnsi="Times New Roman"/>
                <w:vertAlign w:val="superscript"/>
                <w:lang w:val="ru-RU"/>
              </w:rPr>
              <w:t>(2)</w:t>
            </w:r>
          </w:p>
        </w:tc>
        <w:tc>
          <w:tcPr>
            <w:tcW w:w="1775"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–187,6 дБВт 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t xml:space="preserve"> </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0,0025</w:t>
            </w:r>
          </w:p>
        </w:tc>
        <w:tc>
          <w:tcPr>
            <w:tcW w:w="1593"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–186,0 дБВт 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0,011</w:t>
            </w:r>
          </w:p>
        </w:tc>
      </w:tr>
      <w:tr w:rsidR="007F5A9D" w:rsidRPr="00A70A28" w:rsidTr="003D6F5F">
        <w:tc>
          <w:tcPr>
            <w:tcW w:w="1587"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460–470</w:t>
            </w:r>
            <w:r w:rsidRPr="00A70A28">
              <w:rPr>
                <w:rFonts w:ascii="Times New Roman" w:hAnsi="Times New Roman"/>
                <w:lang w:val="ru-RU"/>
              </w:rPr>
              <w:br/>
              <w:t>космос-Земля</w:t>
            </w:r>
          </w:p>
        </w:tc>
        <w:tc>
          <w:tcPr>
            <w:tcW w:w="1456"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Земная станция</w:t>
            </w:r>
          </w:p>
        </w:tc>
        <w:tc>
          <w:tcPr>
            <w:tcW w:w="1819"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–207,5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(1)</w:t>
            </w:r>
          </w:p>
        </w:tc>
        <w:tc>
          <w:tcPr>
            <w:tcW w:w="1409"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–187,5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(1)</w:t>
            </w:r>
          </w:p>
        </w:tc>
        <w:tc>
          <w:tcPr>
            <w:tcW w:w="1775"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–183,9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0,01</w:t>
            </w:r>
          </w:p>
        </w:tc>
        <w:tc>
          <w:tcPr>
            <w:tcW w:w="1593" w:type="dxa"/>
            <w:tcBorders>
              <w:bottom w:val="single" w:sz="4" w:space="0" w:color="auto"/>
            </w:tcBorders>
          </w:tcPr>
          <w:p w:rsidR="007F5A9D" w:rsidRPr="00A70A28" w:rsidRDefault="007F5A9D" w:rsidP="00705307">
            <w:pPr>
              <w:pStyle w:val="Tabletext"/>
              <w:jc w:val="center"/>
              <w:rPr>
                <w:rFonts w:ascii="Times New Roman" w:hAnsi="Times New Roman"/>
                <w:lang w:val="ru-RU"/>
              </w:rPr>
            </w:pPr>
            <w:r w:rsidRPr="00A70A28">
              <w:rPr>
                <w:rFonts w:ascii="Times New Roman" w:hAnsi="Times New Roman"/>
                <w:lang w:val="ru-RU"/>
              </w:rPr>
              <w:t xml:space="preserve">–182,3 дБВт </w:t>
            </w:r>
            <w:r w:rsidRPr="00A70A28">
              <w:rPr>
                <w:rFonts w:ascii="Times New Roman" w:hAnsi="Times New Roman"/>
                <w:lang w:val="ru-RU"/>
              </w:rPr>
              <w:br/>
              <w:t>в полосе</w:t>
            </w:r>
            <w:r w:rsidRPr="00A70A28">
              <w:rPr>
                <w:rFonts w:ascii="Times New Roman" w:hAnsi="Times New Roman"/>
                <w:lang w:val="ru-RU"/>
              </w:rPr>
              <w:br/>
              <w:t>100 Гц</w:t>
            </w:r>
            <w:r w:rsidRPr="00A70A28">
              <w:rPr>
                <w:rFonts w:ascii="Times New Roman" w:hAnsi="Times New Roman"/>
                <w:vertAlign w:val="superscript"/>
                <w:lang w:val="ru-RU"/>
              </w:rPr>
              <w:t>(2)</w:t>
            </w:r>
            <w:r w:rsidRPr="00A70A28">
              <w:rPr>
                <w:rFonts w:ascii="Times New Roman" w:hAnsi="Times New Roman"/>
                <w:position w:val="6"/>
                <w:lang w:val="ru-RU"/>
              </w:rPr>
              <w:br/>
            </w:r>
            <w:r w:rsidRPr="00A70A28">
              <w:rPr>
                <w:rFonts w:ascii="Times New Roman" w:hAnsi="Times New Roman"/>
                <w:i/>
                <w:iCs/>
                <w:lang w:val="ru-RU"/>
              </w:rPr>
              <w:t>p</w:t>
            </w:r>
            <w:r w:rsidRPr="00A70A28">
              <w:rPr>
                <w:rFonts w:ascii="Times New Roman" w:hAnsi="Times New Roman"/>
                <w:lang w:val="ru-RU"/>
              </w:rPr>
              <w:t xml:space="preserve"> = 0,045</w:t>
            </w:r>
          </w:p>
        </w:tc>
      </w:tr>
    </w:tbl>
    <w:p w:rsidR="003D6F5F" w:rsidRPr="00A70A28" w:rsidRDefault="003D6F5F" w:rsidP="00E13253">
      <w:pPr>
        <w:pStyle w:val="Tablelegend"/>
        <w:rPr>
          <w:lang w:val="ru-RU"/>
        </w:rPr>
      </w:pPr>
      <w:r w:rsidRPr="00A70A28">
        <w:rPr>
          <w:vertAlign w:val="superscript"/>
          <w:lang w:val="ru-RU"/>
        </w:rPr>
        <w:t>(1)</w:t>
      </w:r>
      <w:r w:rsidRPr="00A70A28">
        <w:rPr>
          <w:lang w:val="ru-RU"/>
        </w:rPr>
        <w:tab/>
        <w:t>Значения мощности мешающего сигнала (дБВт) в эталонной ширине полосы указаны для приема при углах места &gt; 5°.</w:t>
      </w:r>
    </w:p>
    <w:p w:rsidR="003D6F5F" w:rsidRPr="00A70A28" w:rsidRDefault="003D6F5F" w:rsidP="00E13253">
      <w:pPr>
        <w:pStyle w:val="Tablelegend"/>
        <w:rPr>
          <w:lang w:val="ru-RU"/>
        </w:rPr>
      </w:pPr>
      <w:r w:rsidRPr="00A70A28">
        <w:rPr>
          <w:vertAlign w:val="superscript"/>
          <w:lang w:val="ru-RU"/>
        </w:rPr>
        <w:t>(2)</w:t>
      </w:r>
      <w:r w:rsidRPr="00A70A28">
        <w:rPr>
          <w:lang w:val="ru-RU"/>
        </w:rPr>
        <w:tab/>
        <w:t>Значения мощности мешающего сигнала (дБВт) в эталонной ширине полосы указаны для приема при углах места &gt; 3°.</w:t>
      </w:r>
    </w:p>
    <w:p w:rsidR="003D6F5F" w:rsidRPr="00A70A28" w:rsidRDefault="003D6F5F" w:rsidP="00E13253">
      <w:pPr>
        <w:pStyle w:val="Tablelegend"/>
        <w:rPr>
          <w:lang w:val="ru-RU"/>
        </w:rPr>
      </w:pPr>
      <w:r w:rsidRPr="00A70A28">
        <w:rPr>
          <w:vertAlign w:val="superscript"/>
          <w:lang w:val="ru-RU"/>
        </w:rPr>
        <w:t>(3)</w:t>
      </w:r>
      <w:r w:rsidRPr="00A70A28">
        <w:rPr>
          <w:lang w:val="ru-RU"/>
        </w:rPr>
        <w:tab/>
        <w:t>В этих значениях учтены несколько источников помех в направлении космос-космос. См. Приложение 2.</w:t>
      </w:r>
    </w:p>
    <w:p w:rsidR="003D6F5F" w:rsidRPr="00A70A28" w:rsidRDefault="003D6F5F" w:rsidP="00E13253">
      <w:pPr>
        <w:pStyle w:val="TableLegendNote"/>
        <w:rPr>
          <w:i/>
          <w:lang w:val="ru-RU"/>
        </w:rPr>
      </w:pPr>
      <w:r w:rsidRPr="00A70A28">
        <w:rPr>
          <w:lang w:val="ru-RU"/>
        </w:rPr>
        <w:br w:type="page"/>
      </w:r>
      <w:r w:rsidRPr="00A70A28">
        <w:rPr>
          <w:i/>
          <w:lang w:val="ru-RU"/>
        </w:rPr>
        <w:lastRenderedPageBreak/>
        <w:t>Примечания к таблице 1</w:t>
      </w:r>
    </w:p>
    <w:p w:rsidR="003D6F5F" w:rsidRPr="00A70A28" w:rsidRDefault="003D6F5F" w:rsidP="00E13253">
      <w:pPr>
        <w:pStyle w:val="TableLegendNote"/>
        <w:rPr>
          <w:lang w:val="ru-RU"/>
        </w:rPr>
      </w:pPr>
      <w:r w:rsidRPr="00A70A28">
        <w:rPr>
          <w:lang w:val="ru-RU"/>
        </w:rPr>
        <w:t xml:space="preserve">ПРИМЕЧАНИЕ 1. – Пороговые значения мощности единичного мешающего сигнала, приведенные в таблице 1, соответствуют допустимым уровням мощности мешающих сигналов, находящихся в пределах указанной эталонной ширины полосы. Соответственно при анализе совместного использования частот следует учитывать общую мощность мешающих сигналов, ширина полоса которых у́же эталонной ширины полосы. В тех случаях, когда ширина полосы мешающего сигнала превышает эталонную ширину полосы или не полностью перекрывает полосу пропускания конкретного исследуемого приемника, следует применять доступный метод частотно-зависимого подавления в сочетании с указанными допустимыми уровнями помех. За руководством по этому вопросу следует обращаться к соответствующим Рекомендациям МСЭ-R серии SM. </w:t>
      </w:r>
    </w:p>
    <w:p w:rsidR="003D6F5F" w:rsidRPr="00A70A28" w:rsidRDefault="003D6F5F" w:rsidP="00E13253">
      <w:pPr>
        <w:pStyle w:val="TableLegendNote"/>
        <w:rPr>
          <w:lang w:val="ru-RU"/>
        </w:rPr>
      </w:pPr>
      <w:r w:rsidRPr="00A70A28">
        <w:rPr>
          <w:lang w:val="ru-RU"/>
        </w:rPr>
        <w:t>ПРИМЕЧАНИЕ 2. – Критерии совместного использования частот могут быть выражены как допустимые значения п.п.м. основного луча приемной антенны путем вычитания 10 log(</w:t>
      </w:r>
      <w:r w:rsidRPr="00A70A28">
        <w:rPr>
          <w:i/>
          <w:lang w:val="ru-RU"/>
        </w:rPr>
        <w:t>G</w:t>
      </w:r>
      <w:r w:rsidRPr="00A70A28">
        <w:rPr>
          <w:lang w:val="ru-RU"/>
        </w:rPr>
        <w:sym w:font="Symbol" w:char="F06C"/>
      </w:r>
      <w:r w:rsidRPr="00A70A28">
        <w:rPr>
          <w:vertAlign w:val="superscript"/>
          <w:lang w:val="ru-RU"/>
        </w:rPr>
        <w:t>2</w:t>
      </w:r>
      <w:r w:rsidRPr="00A70A28">
        <w:rPr>
          <w:lang w:val="ru-RU"/>
        </w:rPr>
        <w:t>/4</w:t>
      </w:r>
      <w:r w:rsidRPr="00A70A28">
        <w:rPr>
          <w:lang w:val="ru-RU"/>
        </w:rPr>
        <w:sym w:font="Symbol" w:char="F070"/>
      </w:r>
      <w:r w:rsidRPr="00A70A28">
        <w:rPr>
          <w:lang w:val="ru-RU"/>
        </w:rPr>
        <w:t xml:space="preserve">) из значения, указанного в таблице 1, где </w:t>
      </w:r>
      <w:r w:rsidRPr="00A70A28">
        <w:rPr>
          <w:i/>
          <w:lang w:val="ru-RU"/>
        </w:rPr>
        <w:t>G</w:t>
      </w:r>
      <w:r w:rsidRPr="00A70A28">
        <w:rPr>
          <w:lang w:val="ru-RU"/>
        </w:rPr>
        <w:t xml:space="preserve"> – усиление приемной антенны, а </w:t>
      </w:r>
      <w:r w:rsidRPr="00A70A28">
        <w:rPr>
          <w:lang w:val="ru-RU"/>
        </w:rPr>
        <w:sym w:font="Symbol" w:char="F06C"/>
      </w:r>
      <w:r w:rsidRPr="00A70A28">
        <w:rPr>
          <w:lang w:val="ru-RU"/>
        </w:rPr>
        <w:t xml:space="preserve"> – длина волны.</w:t>
      </w:r>
    </w:p>
    <w:p w:rsidR="003D6F5F" w:rsidRPr="00A70A28" w:rsidRDefault="003D6F5F" w:rsidP="00E13253">
      <w:pPr>
        <w:pStyle w:val="TableLegendNote"/>
        <w:rPr>
          <w:lang w:val="ru-RU"/>
        </w:rPr>
      </w:pPr>
      <w:r w:rsidRPr="00A70A28">
        <w:rPr>
          <w:lang w:val="ru-RU"/>
        </w:rPr>
        <w:t>ПРИМЕЧАНИЕ 3. – При выводе вышеупомянутых критериев совместного использования частот из допустимых общих уровней мощности мешающих сигналов не учитывались помехи от побочных излучений.</w:t>
      </w:r>
    </w:p>
    <w:p w:rsidR="003D6F5F" w:rsidRPr="00A70A28" w:rsidRDefault="003D6F5F" w:rsidP="00E13253">
      <w:pPr>
        <w:pStyle w:val="TableLegendNote"/>
        <w:rPr>
          <w:lang w:val="ru-RU"/>
        </w:rPr>
      </w:pPr>
      <w:r w:rsidRPr="00A70A28">
        <w:rPr>
          <w:lang w:val="ru-RU"/>
        </w:rPr>
        <w:t>ПРИМЕЧАНИЕ 4. – Указанный уровень мощности единичного мешающего сигнала может быть напрямую преобразован в эквивалентные значения п.п.м. и применяться в качестве таковых только для земных станций, в которых используются неследящие антенны малого усиления.</w:t>
      </w:r>
    </w:p>
    <w:p w:rsidR="003D6F5F" w:rsidRPr="00A70A28" w:rsidRDefault="003D6F5F" w:rsidP="00E13253">
      <w:pPr>
        <w:pStyle w:val="TableLegendNote"/>
        <w:rPr>
          <w:lang w:val="ru-RU"/>
        </w:rPr>
      </w:pPr>
      <w:r w:rsidRPr="00A70A28">
        <w:rPr>
          <w:lang w:val="ru-RU"/>
        </w:rPr>
        <w:t>ПРИМЕЧАНИЕ 5. – Для обеспечения допустимых или более низких уровней помех должны соблюдаться как долговременные (20% времени), так и кратковременные (&lt; 1% времени) критерии совместного использования частот.</w:t>
      </w:r>
    </w:p>
    <w:p w:rsidR="003D6F5F" w:rsidRPr="00A70A28" w:rsidRDefault="003D6F5F" w:rsidP="00E13253">
      <w:pPr>
        <w:pStyle w:val="TableLegendNote"/>
        <w:rPr>
          <w:position w:val="6"/>
          <w:sz w:val="14"/>
          <w:lang w:val="ru-RU"/>
        </w:rPr>
      </w:pPr>
      <w:r w:rsidRPr="00A70A28">
        <w:rPr>
          <w:lang w:val="ru-RU"/>
        </w:rPr>
        <w:t>ПРИМЕЧАНИЕ 6. – Критерии совместного использования частот, определенные для наземных трасс распространения мешающих сигналов, применимы к наземным станциям. Критерии для трасс распространения мешающих сигналов космос-Земля также относятся к трассам воздух-земля.</w:t>
      </w:r>
    </w:p>
    <w:p w:rsidR="007F5A9D" w:rsidRPr="00A70A28" w:rsidRDefault="007F5A9D" w:rsidP="007F5A9D">
      <w:pPr>
        <w:rPr>
          <w:lang w:val="ru-RU"/>
        </w:rPr>
      </w:pPr>
    </w:p>
    <w:p w:rsidR="007F5A9D" w:rsidRPr="00A70A28" w:rsidRDefault="007F5A9D" w:rsidP="007F5A9D">
      <w:pPr>
        <w:rPr>
          <w:lang w:val="ru-RU"/>
        </w:rPr>
      </w:pPr>
    </w:p>
    <w:p w:rsidR="007F5A9D" w:rsidRPr="00A70A28" w:rsidRDefault="007F5A9D" w:rsidP="007F5A9D">
      <w:pPr>
        <w:pStyle w:val="AnnexNoTitle"/>
        <w:rPr>
          <w:szCs w:val="26"/>
          <w:lang w:val="ru-RU"/>
        </w:rPr>
      </w:pPr>
      <w:r w:rsidRPr="00A70A28">
        <w:rPr>
          <w:szCs w:val="26"/>
          <w:lang w:val="ru-RU"/>
        </w:rPr>
        <w:t>Приложение 1</w:t>
      </w:r>
      <w:r w:rsidRPr="00A70A28">
        <w:rPr>
          <w:szCs w:val="26"/>
          <w:lang w:val="ru-RU"/>
        </w:rPr>
        <w:br/>
      </w:r>
      <w:r w:rsidRPr="00A70A28">
        <w:rPr>
          <w:szCs w:val="26"/>
          <w:lang w:val="ru-RU"/>
        </w:rPr>
        <w:br/>
        <w:t>Основа для определения критериев совместного использования частот и критериев координации</w:t>
      </w:r>
    </w:p>
    <w:p w:rsidR="007F5A9D" w:rsidRPr="00A70A28" w:rsidRDefault="007F5A9D" w:rsidP="007F5A9D">
      <w:pPr>
        <w:pStyle w:val="Heading1"/>
        <w:rPr>
          <w:lang w:val="ru-RU"/>
        </w:rPr>
      </w:pPr>
      <w:r w:rsidRPr="00A70A28">
        <w:rPr>
          <w:lang w:val="ru-RU"/>
        </w:rPr>
        <w:t>1</w:t>
      </w:r>
      <w:r w:rsidRPr="00A70A28">
        <w:rPr>
          <w:lang w:val="ru-RU"/>
        </w:rPr>
        <w:tab/>
        <w:t>Введение</w:t>
      </w:r>
    </w:p>
    <w:p w:rsidR="007F5A9D" w:rsidRPr="00A70A28" w:rsidRDefault="007F5A9D" w:rsidP="007F5A9D">
      <w:pPr>
        <w:rPr>
          <w:spacing w:val="-2"/>
          <w:lang w:val="ru-RU"/>
        </w:rPr>
      </w:pPr>
      <w:r w:rsidRPr="00A70A28">
        <w:rPr>
          <w:spacing w:val="-2"/>
          <w:lang w:val="ru-RU"/>
        </w:rPr>
        <w:t>В настоящем Приложении представлена реализация Рекомендации МСЭ-R SA.1023 с использованием критериев помех, определенных в Рекомендации МСЭ-R SA.1163. Допустимые уровни помех в соответствии с Рекомендацией МСЭ-R SA.1023 разбиваются на категории источников помех – космические и наземные, а затем на количество ожидаемых источников помех в каждой категории. Основа для этого распределения приведена в таблице 2, а рассмотрение помеховой обстановки в каждой полосе частот представлено ниже.</w:t>
      </w:r>
    </w:p>
    <w:p w:rsidR="007F5A9D" w:rsidRPr="00A70A28" w:rsidRDefault="007F5A9D" w:rsidP="007F5A9D">
      <w:pPr>
        <w:pStyle w:val="Heading1"/>
        <w:rPr>
          <w:lang w:val="ru-RU"/>
        </w:rPr>
      </w:pPr>
      <w:r w:rsidRPr="00A70A28">
        <w:rPr>
          <w:lang w:val="ru-RU"/>
        </w:rPr>
        <w:t>2</w:t>
      </w:r>
      <w:r w:rsidRPr="00A70A28">
        <w:rPr>
          <w:lang w:val="ru-RU"/>
        </w:rPr>
        <w:tab/>
        <w:t>Полоса 401–403 МГц</w:t>
      </w:r>
    </w:p>
    <w:p w:rsidR="007F5A9D" w:rsidRPr="00A70A28" w:rsidRDefault="007F5A9D" w:rsidP="007F5A9D">
      <w:pPr>
        <w:rPr>
          <w:lang w:val="ru-RU"/>
        </w:rPr>
      </w:pPr>
      <w:r w:rsidRPr="00A70A28">
        <w:rPr>
          <w:lang w:val="ru-RU"/>
        </w:rPr>
        <w:t>Полоса 401–402 МГц распределена на первичной основе вспомогательной службе метеорологии, службе космической эксплуатации (направление космос-Земля), ССИЗ (Земля-космос) и МетСат (Земля-космос), а на вторичной основе – фиксированной и подвижной (за исключением воздушной подвижной) службам. Распределения частот космическим службам в обоих направлениях в указанной полосе обусловливают необходимость учитывать помехи, которые могут возникать в направлении космос-космос. Этот случай более подробно рассматривается в Приложении 2.</w:t>
      </w:r>
    </w:p>
    <w:p w:rsidR="003D6F5F" w:rsidRPr="00A70A28" w:rsidRDefault="003D6F5F">
      <w:pPr>
        <w:tabs>
          <w:tab w:val="clear" w:pos="794"/>
          <w:tab w:val="clear" w:pos="1191"/>
          <w:tab w:val="clear" w:pos="1588"/>
          <w:tab w:val="clear" w:pos="1985"/>
        </w:tabs>
        <w:overflowPunct/>
        <w:autoSpaceDE/>
        <w:autoSpaceDN/>
        <w:adjustRightInd/>
        <w:spacing w:before="0"/>
        <w:jc w:val="left"/>
        <w:textAlignment w:val="auto"/>
        <w:rPr>
          <w:lang w:val="ru-RU"/>
        </w:rPr>
      </w:pPr>
      <w:r w:rsidRPr="00A70A28">
        <w:rPr>
          <w:lang w:val="ru-RU"/>
        </w:rPr>
        <w:br w:type="page"/>
      </w:r>
    </w:p>
    <w:p w:rsidR="007F5A9D" w:rsidRPr="00A70A28" w:rsidRDefault="007F5A9D" w:rsidP="007F5A9D">
      <w:pPr>
        <w:rPr>
          <w:lang w:val="ru-RU"/>
        </w:rPr>
      </w:pPr>
      <w:r w:rsidRPr="00A70A28">
        <w:rPr>
          <w:lang w:val="ru-RU"/>
        </w:rPr>
        <w:lastRenderedPageBreak/>
        <w:t>Полоса 402–403 МГц распределена на первичной основе вспомогательной службе метеорологии, ССИЗ (Земля-космос) и МетСат (Земля-космос), а на вторичной основе – фиксированной и подвижной (за исключением воздушной подвижной) службам.</w:t>
      </w:r>
    </w:p>
    <w:p w:rsidR="007F5A9D" w:rsidRPr="00A70A28" w:rsidRDefault="007F5A9D" w:rsidP="007F5A9D">
      <w:pPr>
        <w:rPr>
          <w:lang w:val="ru-RU"/>
        </w:rPr>
      </w:pPr>
      <w:r w:rsidRPr="00A70A28">
        <w:rPr>
          <w:lang w:val="ru-RU"/>
        </w:rPr>
        <w:t>Ожидается, что бо́льшую часть времени станции служб ССИЗ и МетСат будут создавать более высокие уровни помех, чем наземные службы. В краткосрочной перспективе усиление мешающего сигнала на наземных трассах при распространении и изменчивость местоположения подвижных станций могут привести к аналогичным уровням помех от станций, работающих в направлении космос-Земля, и наземных станций.</w:t>
      </w:r>
    </w:p>
    <w:p w:rsidR="007F5A9D" w:rsidRPr="00A70A28" w:rsidRDefault="007F5A9D" w:rsidP="007F5A9D">
      <w:pPr>
        <w:pStyle w:val="Heading1"/>
        <w:rPr>
          <w:lang w:val="ru-RU"/>
        </w:rPr>
      </w:pPr>
      <w:r w:rsidRPr="00A70A28">
        <w:rPr>
          <w:lang w:val="ru-RU"/>
        </w:rPr>
        <w:t>3</w:t>
      </w:r>
      <w:r w:rsidRPr="00A70A28">
        <w:rPr>
          <w:lang w:val="ru-RU"/>
        </w:rPr>
        <w:tab/>
        <w:t>Полоса 460–470 МГц</w:t>
      </w:r>
    </w:p>
    <w:p w:rsidR="007F5A9D" w:rsidRPr="00A70A28" w:rsidRDefault="007F5A9D" w:rsidP="007F5A9D">
      <w:pPr>
        <w:rPr>
          <w:lang w:val="ru-RU"/>
        </w:rPr>
      </w:pPr>
      <w:r w:rsidRPr="00A70A28">
        <w:rPr>
          <w:lang w:val="ru-RU"/>
        </w:rPr>
        <w:t>Полоса 460–470 МГц распределена подвижной и фиксированной службам на первичной основе, а также метеорологической спутниковой службе. Бо́льшую часть времени источником помех являются наземные станции. В течение коротких периодов времени могут ожидаться дополнительные помехи со стороны космических систем.</w:t>
      </w:r>
    </w:p>
    <w:p w:rsidR="007F5A9D" w:rsidRPr="00A70A28" w:rsidRDefault="007F5A9D" w:rsidP="007F5A9D">
      <w:pPr>
        <w:pStyle w:val="Heading1"/>
        <w:rPr>
          <w:lang w:val="ru-RU"/>
        </w:rPr>
      </w:pPr>
      <w:r w:rsidRPr="00A70A28">
        <w:rPr>
          <w:lang w:val="ru-RU"/>
        </w:rPr>
        <w:t>4</w:t>
      </w:r>
      <w:r w:rsidRPr="00A70A28">
        <w:rPr>
          <w:lang w:val="ru-RU"/>
        </w:rPr>
        <w:tab/>
        <w:t>Полоса 1670–1690 МГц</w:t>
      </w:r>
    </w:p>
    <w:p w:rsidR="007F5A9D" w:rsidRPr="00A70A28" w:rsidRDefault="007F5A9D" w:rsidP="007F5A9D">
      <w:pPr>
        <w:rPr>
          <w:lang w:val="ru-RU"/>
        </w:rPr>
      </w:pPr>
      <w:r w:rsidRPr="00A70A28">
        <w:rPr>
          <w:lang w:val="ru-RU"/>
        </w:rPr>
        <w:t>Полоса 1670–1690 МГц распределена на первичной основе вспомогательной службе метеорологии, МетСат (космос-Земля) и фиксированной и подвижной службам; полоса 1670–1675 МГц распределена на первичной основе подвижной спутниковой службе (Земля-космос).</w:t>
      </w:r>
    </w:p>
    <w:p w:rsidR="007F5A9D" w:rsidRPr="00A70A28" w:rsidRDefault="007F5A9D" w:rsidP="007F5A9D">
      <w:pPr>
        <w:pStyle w:val="Heading1"/>
        <w:rPr>
          <w:lang w:val="ru-RU"/>
        </w:rPr>
      </w:pPr>
      <w:r w:rsidRPr="00A70A28">
        <w:rPr>
          <w:lang w:val="ru-RU"/>
        </w:rPr>
        <w:t>5</w:t>
      </w:r>
      <w:r w:rsidRPr="00A70A28">
        <w:rPr>
          <w:lang w:val="ru-RU"/>
        </w:rPr>
        <w:tab/>
        <w:t>Полоса 2025–2110 МГц</w:t>
      </w:r>
    </w:p>
    <w:p w:rsidR="007F5A9D" w:rsidRPr="00A70A28" w:rsidRDefault="007F5A9D" w:rsidP="007F5A9D">
      <w:pPr>
        <w:rPr>
          <w:lang w:val="ru-RU"/>
        </w:rPr>
      </w:pPr>
      <w:r w:rsidRPr="00A70A28">
        <w:rPr>
          <w:lang w:val="ru-RU"/>
        </w:rPr>
        <w:t>Полоса 2025–2110 МГц распределена на первичной основе фиксированной и подвижной службам, службе космических исследований (Земля-космос и космос-космос), службе космической эксплуатации (Земля-космос и космос-космос) и ССИЗ (Земля-космос и космос-космос).</w:t>
      </w:r>
    </w:p>
    <w:p w:rsidR="007F5A9D" w:rsidRPr="00A70A28" w:rsidRDefault="007F5A9D" w:rsidP="00E13253">
      <w:pPr>
        <w:pStyle w:val="TableNo"/>
        <w:rPr>
          <w:lang w:val="ru-RU"/>
        </w:rPr>
      </w:pPr>
      <w:r w:rsidRPr="00A70A28">
        <w:rPr>
          <w:lang w:val="ru-RU"/>
        </w:rPr>
        <w:t>ТАБЛИЦА 2</w:t>
      </w:r>
    </w:p>
    <w:p w:rsidR="007F5A9D" w:rsidRPr="00A70A28" w:rsidRDefault="007F5A9D" w:rsidP="00E13253">
      <w:pPr>
        <w:pStyle w:val="Tabletitle"/>
        <w:rPr>
          <w:lang w:val="ru-RU"/>
        </w:rPr>
      </w:pPr>
      <w:r w:rsidRPr="00A70A28">
        <w:rPr>
          <w:lang w:val="ru-RU"/>
        </w:rPr>
        <w:t>Параметры, используемые для определения критериев совместного использования частот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426"/>
        <w:gridCol w:w="1134"/>
        <w:gridCol w:w="992"/>
        <w:gridCol w:w="1134"/>
        <w:gridCol w:w="992"/>
        <w:gridCol w:w="992"/>
        <w:gridCol w:w="993"/>
        <w:gridCol w:w="992"/>
        <w:gridCol w:w="994"/>
      </w:tblGrid>
      <w:tr w:rsidR="007F5A9D" w:rsidRPr="00A70A28" w:rsidTr="00705307">
        <w:trPr>
          <w:jc w:val="center"/>
        </w:trPr>
        <w:tc>
          <w:tcPr>
            <w:tcW w:w="1426" w:type="dxa"/>
            <w:vMerge w:val="restart"/>
            <w:vAlign w:val="center"/>
          </w:tcPr>
          <w:p w:rsidR="007F5A9D" w:rsidRPr="00A70A28" w:rsidRDefault="007F5A9D" w:rsidP="00705307">
            <w:pPr>
              <w:pStyle w:val="Tablehead"/>
              <w:rPr>
                <w:lang w:val="ru-RU"/>
              </w:rPr>
            </w:pPr>
            <w:r w:rsidRPr="00A70A28">
              <w:rPr>
                <w:lang w:val="ru-RU"/>
              </w:rPr>
              <w:t>Полоса частот (МГц)</w:t>
            </w:r>
          </w:p>
        </w:tc>
        <w:tc>
          <w:tcPr>
            <w:tcW w:w="2126" w:type="dxa"/>
            <w:gridSpan w:val="2"/>
          </w:tcPr>
          <w:p w:rsidR="007F5A9D" w:rsidRPr="00A70A28" w:rsidRDefault="007F5A9D" w:rsidP="00776819">
            <w:pPr>
              <w:pStyle w:val="Tablehead"/>
              <w:rPr>
                <w:lang w:val="ru-RU"/>
              </w:rPr>
            </w:pPr>
            <w:r w:rsidRPr="00A70A28">
              <w:rPr>
                <w:lang w:val="ru-RU"/>
              </w:rPr>
              <w:t xml:space="preserve">Долговременное долевое распределение </w:t>
            </w:r>
            <w:r w:rsidRPr="00A70A28">
              <w:rPr>
                <w:lang w:val="ru-RU"/>
              </w:rPr>
              <w:br/>
              <w:t>между категориями источников помех</w:t>
            </w:r>
          </w:p>
        </w:tc>
        <w:tc>
          <w:tcPr>
            <w:tcW w:w="2126" w:type="dxa"/>
            <w:gridSpan w:val="2"/>
          </w:tcPr>
          <w:p w:rsidR="007F5A9D" w:rsidRPr="00A70A28" w:rsidRDefault="007F5A9D" w:rsidP="00776819">
            <w:pPr>
              <w:pStyle w:val="Tablehead"/>
              <w:rPr>
                <w:lang w:val="ru-RU"/>
              </w:rPr>
            </w:pPr>
            <w:r w:rsidRPr="00A70A28">
              <w:rPr>
                <w:lang w:val="ru-RU"/>
              </w:rPr>
              <w:t xml:space="preserve">Кратковременное долевое распределение </w:t>
            </w:r>
            <w:r w:rsidRPr="00A70A28">
              <w:rPr>
                <w:lang w:val="ru-RU"/>
              </w:rPr>
              <w:br/>
              <w:t>между категориями источников помех</w:t>
            </w:r>
          </w:p>
        </w:tc>
        <w:tc>
          <w:tcPr>
            <w:tcW w:w="1985" w:type="dxa"/>
            <w:gridSpan w:val="2"/>
          </w:tcPr>
          <w:p w:rsidR="007F5A9D" w:rsidRPr="00A70A28" w:rsidRDefault="007F5A9D" w:rsidP="00705307">
            <w:pPr>
              <w:pStyle w:val="Tablehead"/>
              <w:rPr>
                <w:lang w:val="ru-RU"/>
              </w:rPr>
            </w:pPr>
            <w:r w:rsidRPr="00A70A28">
              <w:rPr>
                <w:lang w:val="ru-RU"/>
              </w:rPr>
              <w:t>Эквивалентное количество источников долговременных помех</w:t>
            </w:r>
          </w:p>
        </w:tc>
        <w:tc>
          <w:tcPr>
            <w:tcW w:w="1986" w:type="dxa"/>
            <w:gridSpan w:val="2"/>
          </w:tcPr>
          <w:p w:rsidR="007F5A9D" w:rsidRPr="00A70A28" w:rsidRDefault="007F5A9D" w:rsidP="00705307">
            <w:pPr>
              <w:pStyle w:val="Tablehead"/>
              <w:rPr>
                <w:lang w:val="ru-RU"/>
              </w:rPr>
            </w:pPr>
            <w:r w:rsidRPr="00A70A28">
              <w:rPr>
                <w:lang w:val="ru-RU"/>
              </w:rPr>
              <w:t>Эквивалентное количество источников</w:t>
            </w:r>
            <w:r w:rsidRPr="00A70A28">
              <w:rPr>
                <w:lang w:val="ru-RU"/>
              </w:rPr>
              <w:br/>
              <w:t>кратковременных помех</w:t>
            </w:r>
          </w:p>
        </w:tc>
      </w:tr>
      <w:tr w:rsidR="007F5A9D" w:rsidRPr="00A70A28" w:rsidTr="00705307">
        <w:trPr>
          <w:jc w:val="center"/>
        </w:trPr>
        <w:tc>
          <w:tcPr>
            <w:tcW w:w="1426" w:type="dxa"/>
            <w:vMerge/>
          </w:tcPr>
          <w:p w:rsidR="007F5A9D" w:rsidRPr="00A70A28" w:rsidRDefault="007F5A9D" w:rsidP="00705307">
            <w:pPr>
              <w:pStyle w:val="Tablehead"/>
              <w:rPr>
                <w:lang w:val="ru-RU"/>
              </w:rPr>
            </w:pPr>
          </w:p>
        </w:tc>
        <w:tc>
          <w:tcPr>
            <w:tcW w:w="2126" w:type="dxa"/>
            <w:gridSpan w:val="2"/>
          </w:tcPr>
          <w:p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2126" w:type="dxa"/>
            <w:gridSpan w:val="2"/>
          </w:tcPr>
          <w:p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1985" w:type="dxa"/>
            <w:gridSpan w:val="2"/>
          </w:tcPr>
          <w:p w:rsidR="007F5A9D" w:rsidRPr="00A70A28" w:rsidRDefault="007F5A9D" w:rsidP="00705307">
            <w:pPr>
              <w:pStyle w:val="Tablehead"/>
              <w:rPr>
                <w:lang w:val="ru-RU"/>
              </w:rPr>
            </w:pPr>
            <w:r w:rsidRPr="00A70A28">
              <w:rPr>
                <w:lang w:val="ru-RU"/>
              </w:rPr>
              <w:t>Трасса распространения мешающего сигнала</w:t>
            </w:r>
          </w:p>
        </w:tc>
        <w:tc>
          <w:tcPr>
            <w:tcW w:w="1986" w:type="dxa"/>
            <w:gridSpan w:val="2"/>
          </w:tcPr>
          <w:p w:rsidR="007F5A9D" w:rsidRPr="00A70A28" w:rsidRDefault="007F5A9D" w:rsidP="00705307">
            <w:pPr>
              <w:pStyle w:val="Tablehead"/>
              <w:rPr>
                <w:lang w:val="ru-RU"/>
              </w:rPr>
            </w:pPr>
            <w:r w:rsidRPr="00A70A28">
              <w:rPr>
                <w:lang w:val="ru-RU"/>
              </w:rPr>
              <w:t>Трасса распространения мешающего сигнала</w:t>
            </w:r>
          </w:p>
        </w:tc>
      </w:tr>
      <w:tr w:rsidR="007F5A9D" w:rsidRPr="00A70A28" w:rsidTr="00705307">
        <w:trPr>
          <w:jc w:val="center"/>
        </w:trPr>
        <w:tc>
          <w:tcPr>
            <w:tcW w:w="1426" w:type="dxa"/>
            <w:vMerge/>
          </w:tcPr>
          <w:p w:rsidR="007F5A9D" w:rsidRPr="00A70A28" w:rsidRDefault="007F5A9D" w:rsidP="00705307">
            <w:pPr>
              <w:pStyle w:val="Tablehead"/>
              <w:rPr>
                <w:lang w:val="ru-RU"/>
              </w:rPr>
            </w:pPr>
          </w:p>
        </w:tc>
        <w:tc>
          <w:tcPr>
            <w:tcW w:w="1134" w:type="dxa"/>
            <w:tcBorders>
              <w:top w:val="nil"/>
            </w:tcBorders>
          </w:tcPr>
          <w:p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2" w:type="dxa"/>
          </w:tcPr>
          <w:p w:rsidR="007F5A9D" w:rsidRPr="00A70A28" w:rsidRDefault="007F5A9D" w:rsidP="00705307">
            <w:pPr>
              <w:pStyle w:val="Tablehead"/>
              <w:rPr>
                <w:lang w:val="ru-RU"/>
              </w:rPr>
            </w:pPr>
            <w:r w:rsidRPr="00A70A28">
              <w:rPr>
                <w:lang w:val="ru-RU"/>
              </w:rPr>
              <w:t>наземная</w:t>
            </w:r>
          </w:p>
        </w:tc>
        <w:tc>
          <w:tcPr>
            <w:tcW w:w="1134" w:type="dxa"/>
          </w:tcPr>
          <w:p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2" w:type="dxa"/>
          </w:tcPr>
          <w:p w:rsidR="007F5A9D" w:rsidRPr="00A70A28" w:rsidRDefault="007F5A9D" w:rsidP="00705307">
            <w:pPr>
              <w:pStyle w:val="Tablehead"/>
              <w:rPr>
                <w:lang w:val="ru-RU"/>
              </w:rPr>
            </w:pPr>
            <w:r w:rsidRPr="00A70A28">
              <w:rPr>
                <w:lang w:val="ru-RU"/>
              </w:rPr>
              <w:t>наземная</w:t>
            </w:r>
          </w:p>
        </w:tc>
        <w:tc>
          <w:tcPr>
            <w:tcW w:w="992" w:type="dxa"/>
          </w:tcPr>
          <w:p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3" w:type="dxa"/>
          </w:tcPr>
          <w:p w:rsidR="007F5A9D" w:rsidRPr="00A70A28" w:rsidRDefault="007F5A9D" w:rsidP="00705307">
            <w:pPr>
              <w:pStyle w:val="Tablehead"/>
              <w:rPr>
                <w:lang w:val="ru-RU"/>
              </w:rPr>
            </w:pPr>
            <w:r w:rsidRPr="00A70A28">
              <w:rPr>
                <w:lang w:val="ru-RU"/>
              </w:rPr>
              <w:t>наземная</w:t>
            </w:r>
          </w:p>
        </w:tc>
        <w:tc>
          <w:tcPr>
            <w:tcW w:w="992" w:type="dxa"/>
          </w:tcPr>
          <w:p w:rsidR="007F5A9D" w:rsidRPr="00A70A28" w:rsidRDefault="007F5A9D" w:rsidP="00705307">
            <w:pPr>
              <w:pStyle w:val="Tablehead"/>
              <w:rPr>
                <w:lang w:val="ru-RU"/>
              </w:rPr>
            </w:pPr>
            <w:r w:rsidRPr="00A70A28">
              <w:rPr>
                <w:lang w:val="ru-RU"/>
              </w:rPr>
              <w:t>космос-</w:t>
            </w:r>
            <w:r w:rsidRPr="00A70A28">
              <w:rPr>
                <w:lang w:val="ru-RU"/>
              </w:rPr>
              <w:br/>
              <w:t>Земля</w:t>
            </w:r>
          </w:p>
        </w:tc>
        <w:tc>
          <w:tcPr>
            <w:tcW w:w="994" w:type="dxa"/>
          </w:tcPr>
          <w:p w:rsidR="007F5A9D" w:rsidRPr="00A70A28" w:rsidRDefault="007F5A9D" w:rsidP="00705307">
            <w:pPr>
              <w:pStyle w:val="Tablehead"/>
              <w:rPr>
                <w:lang w:val="ru-RU"/>
              </w:rPr>
            </w:pPr>
            <w:r w:rsidRPr="00A70A28">
              <w:rPr>
                <w:lang w:val="ru-RU"/>
              </w:rPr>
              <w:t>наземная</w:t>
            </w:r>
          </w:p>
        </w:tc>
      </w:tr>
      <w:tr w:rsidR="007F5A9D" w:rsidRPr="00A70A28" w:rsidTr="00705307">
        <w:trPr>
          <w:jc w:val="center"/>
        </w:trPr>
        <w:tc>
          <w:tcPr>
            <w:tcW w:w="1426" w:type="dxa"/>
          </w:tcPr>
          <w:p w:rsidR="007F5A9D" w:rsidRPr="00A70A28" w:rsidRDefault="007F5A9D" w:rsidP="00705307">
            <w:pPr>
              <w:pStyle w:val="Tabletext"/>
              <w:jc w:val="center"/>
              <w:rPr>
                <w:lang w:val="ru-RU"/>
              </w:rPr>
            </w:pPr>
            <w:r w:rsidRPr="00A70A28">
              <w:rPr>
                <w:lang w:val="ru-RU"/>
              </w:rPr>
              <w:t>401–403</w:t>
            </w:r>
          </w:p>
        </w:tc>
        <w:tc>
          <w:tcPr>
            <w:tcW w:w="1134" w:type="dxa"/>
          </w:tcPr>
          <w:p w:rsidR="007F5A9D" w:rsidRPr="00A70A28" w:rsidRDefault="007F5A9D" w:rsidP="00705307">
            <w:pPr>
              <w:pStyle w:val="Tabletext"/>
              <w:jc w:val="center"/>
              <w:rPr>
                <w:lang w:val="ru-RU"/>
              </w:rPr>
            </w:pPr>
            <w:r w:rsidRPr="00A70A28">
              <w:rPr>
                <w:lang w:val="ru-RU"/>
              </w:rPr>
              <w:t>90%</w:t>
            </w:r>
          </w:p>
        </w:tc>
        <w:tc>
          <w:tcPr>
            <w:tcW w:w="992" w:type="dxa"/>
          </w:tcPr>
          <w:p w:rsidR="007F5A9D" w:rsidRPr="00A70A28" w:rsidRDefault="007F5A9D" w:rsidP="00705307">
            <w:pPr>
              <w:pStyle w:val="Tabletext"/>
              <w:jc w:val="center"/>
              <w:rPr>
                <w:lang w:val="ru-RU"/>
              </w:rPr>
            </w:pPr>
            <w:r w:rsidRPr="00A70A28">
              <w:rPr>
                <w:lang w:val="ru-RU"/>
              </w:rPr>
              <w:t>10%</w:t>
            </w:r>
          </w:p>
        </w:tc>
        <w:tc>
          <w:tcPr>
            <w:tcW w:w="1134" w:type="dxa"/>
          </w:tcPr>
          <w:p w:rsidR="007F5A9D" w:rsidRPr="00A70A28" w:rsidRDefault="007F5A9D" w:rsidP="00705307">
            <w:pPr>
              <w:pStyle w:val="Tabletext"/>
              <w:jc w:val="center"/>
              <w:rPr>
                <w:lang w:val="ru-RU"/>
              </w:rPr>
            </w:pPr>
            <w:r w:rsidRPr="00A70A28">
              <w:rPr>
                <w:lang w:val="ru-RU"/>
              </w:rPr>
              <w:t>75%</w:t>
            </w:r>
          </w:p>
        </w:tc>
        <w:tc>
          <w:tcPr>
            <w:tcW w:w="992" w:type="dxa"/>
          </w:tcPr>
          <w:p w:rsidR="007F5A9D" w:rsidRPr="00A70A28" w:rsidRDefault="007F5A9D" w:rsidP="00705307">
            <w:pPr>
              <w:pStyle w:val="Tabletext"/>
              <w:jc w:val="center"/>
              <w:rPr>
                <w:lang w:val="ru-RU"/>
              </w:rPr>
            </w:pPr>
            <w:r w:rsidRPr="00A70A28">
              <w:rPr>
                <w:lang w:val="ru-RU"/>
              </w:rPr>
              <w:t>25%</w:t>
            </w:r>
          </w:p>
        </w:tc>
        <w:tc>
          <w:tcPr>
            <w:tcW w:w="992" w:type="dxa"/>
          </w:tcPr>
          <w:p w:rsidR="007F5A9D" w:rsidRPr="00A70A28" w:rsidRDefault="007F5A9D" w:rsidP="00705307">
            <w:pPr>
              <w:pStyle w:val="Tabletext"/>
              <w:jc w:val="center"/>
              <w:rPr>
                <w:lang w:val="ru-RU"/>
              </w:rPr>
            </w:pPr>
            <w:r w:rsidRPr="00A70A28">
              <w:rPr>
                <w:lang w:val="ru-RU"/>
              </w:rPr>
              <w:t>9</w:t>
            </w:r>
            <w:r w:rsidRPr="00A70A28">
              <w:rPr>
                <w:vertAlign w:val="superscript"/>
                <w:lang w:val="ru-RU"/>
              </w:rPr>
              <w:t>(1)</w:t>
            </w:r>
          </w:p>
        </w:tc>
        <w:tc>
          <w:tcPr>
            <w:tcW w:w="993" w:type="dxa"/>
          </w:tcPr>
          <w:p w:rsidR="007F5A9D" w:rsidRPr="00A70A28" w:rsidRDefault="007F5A9D" w:rsidP="00705307">
            <w:pPr>
              <w:pStyle w:val="Tabletext"/>
              <w:jc w:val="center"/>
              <w:rPr>
                <w:lang w:val="ru-RU"/>
              </w:rPr>
            </w:pPr>
            <w:r w:rsidRPr="00A70A28">
              <w:rPr>
                <w:lang w:val="ru-RU"/>
              </w:rPr>
              <w:t>1</w:t>
            </w:r>
          </w:p>
        </w:tc>
        <w:tc>
          <w:tcPr>
            <w:tcW w:w="992" w:type="dxa"/>
          </w:tcPr>
          <w:p w:rsidR="007F5A9D" w:rsidRPr="00A70A28" w:rsidRDefault="007F5A9D" w:rsidP="00705307">
            <w:pPr>
              <w:pStyle w:val="Tabletext"/>
              <w:jc w:val="center"/>
              <w:rPr>
                <w:lang w:val="ru-RU"/>
              </w:rPr>
            </w:pPr>
            <w:r w:rsidRPr="00A70A28">
              <w:rPr>
                <w:lang w:val="ru-RU"/>
              </w:rPr>
              <w:t>1</w:t>
            </w:r>
          </w:p>
        </w:tc>
        <w:tc>
          <w:tcPr>
            <w:tcW w:w="994" w:type="dxa"/>
          </w:tcPr>
          <w:p w:rsidR="007F5A9D" w:rsidRPr="00A70A28" w:rsidRDefault="007F5A9D" w:rsidP="00705307">
            <w:pPr>
              <w:pStyle w:val="Tabletext"/>
              <w:jc w:val="center"/>
              <w:rPr>
                <w:lang w:val="ru-RU"/>
              </w:rPr>
            </w:pPr>
            <w:r w:rsidRPr="00A70A28">
              <w:rPr>
                <w:lang w:val="ru-RU"/>
              </w:rPr>
              <w:t>1</w:t>
            </w:r>
          </w:p>
        </w:tc>
      </w:tr>
      <w:tr w:rsidR="007F5A9D" w:rsidRPr="00A70A28" w:rsidTr="00705307">
        <w:trPr>
          <w:jc w:val="center"/>
        </w:trPr>
        <w:tc>
          <w:tcPr>
            <w:tcW w:w="1426" w:type="dxa"/>
          </w:tcPr>
          <w:p w:rsidR="007F5A9D" w:rsidRPr="00A70A28" w:rsidRDefault="007F5A9D" w:rsidP="00705307">
            <w:pPr>
              <w:pStyle w:val="Tabletext"/>
              <w:jc w:val="center"/>
              <w:rPr>
                <w:lang w:val="ru-RU"/>
              </w:rPr>
            </w:pPr>
            <w:r w:rsidRPr="00A70A28">
              <w:rPr>
                <w:lang w:val="ru-RU"/>
              </w:rPr>
              <w:t>1 670–1 690</w:t>
            </w:r>
          </w:p>
        </w:tc>
        <w:tc>
          <w:tcPr>
            <w:tcW w:w="1134" w:type="dxa"/>
          </w:tcPr>
          <w:p w:rsidR="007F5A9D" w:rsidRPr="00A70A28" w:rsidRDefault="007F5A9D" w:rsidP="00705307">
            <w:pPr>
              <w:pStyle w:val="Tabletext"/>
              <w:jc w:val="center"/>
              <w:rPr>
                <w:lang w:val="ru-RU"/>
              </w:rPr>
            </w:pPr>
            <w:r w:rsidRPr="00A70A28">
              <w:rPr>
                <w:lang w:val="ru-RU"/>
              </w:rPr>
              <w:t>1%</w:t>
            </w:r>
          </w:p>
        </w:tc>
        <w:tc>
          <w:tcPr>
            <w:tcW w:w="992" w:type="dxa"/>
          </w:tcPr>
          <w:p w:rsidR="007F5A9D" w:rsidRPr="00A70A28" w:rsidRDefault="007F5A9D" w:rsidP="00705307">
            <w:pPr>
              <w:pStyle w:val="Tabletext"/>
              <w:jc w:val="center"/>
              <w:rPr>
                <w:lang w:val="ru-RU"/>
              </w:rPr>
            </w:pPr>
            <w:r w:rsidRPr="00A70A28">
              <w:rPr>
                <w:lang w:val="ru-RU"/>
              </w:rPr>
              <w:t>99%</w:t>
            </w:r>
          </w:p>
        </w:tc>
        <w:tc>
          <w:tcPr>
            <w:tcW w:w="1134" w:type="dxa"/>
          </w:tcPr>
          <w:p w:rsidR="007F5A9D" w:rsidRPr="00A70A28" w:rsidRDefault="007F5A9D" w:rsidP="00705307">
            <w:pPr>
              <w:pStyle w:val="Tabletext"/>
              <w:jc w:val="center"/>
              <w:rPr>
                <w:lang w:val="ru-RU"/>
              </w:rPr>
            </w:pPr>
            <w:r w:rsidRPr="00A70A28">
              <w:rPr>
                <w:lang w:val="ru-RU"/>
              </w:rPr>
              <w:t>10%</w:t>
            </w:r>
          </w:p>
        </w:tc>
        <w:tc>
          <w:tcPr>
            <w:tcW w:w="992" w:type="dxa"/>
          </w:tcPr>
          <w:p w:rsidR="007F5A9D" w:rsidRPr="00A70A28" w:rsidRDefault="007F5A9D" w:rsidP="00705307">
            <w:pPr>
              <w:pStyle w:val="Tabletext"/>
              <w:jc w:val="center"/>
              <w:rPr>
                <w:lang w:val="ru-RU"/>
              </w:rPr>
            </w:pPr>
            <w:r w:rsidRPr="00A70A28">
              <w:rPr>
                <w:lang w:val="ru-RU"/>
              </w:rPr>
              <w:t>90%</w:t>
            </w:r>
          </w:p>
        </w:tc>
        <w:tc>
          <w:tcPr>
            <w:tcW w:w="992" w:type="dxa"/>
          </w:tcPr>
          <w:p w:rsidR="007F5A9D" w:rsidRPr="00A70A28" w:rsidRDefault="007F5A9D" w:rsidP="00705307">
            <w:pPr>
              <w:pStyle w:val="Tabletext"/>
              <w:jc w:val="center"/>
              <w:rPr>
                <w:lang w:val="ru-RU"/>
              </w:rPr>
            </w:pPr>
            <w:r w:rsidRPr="00A70A28">
              <w:rPr>
                <w:lang w:val="ru-RU"/>
              </w:rPr>
              <w:t>1</w:t>
            </w:r>
          </w:p>
        </w:tc>
        <w:tc>
          <w:tcPr>
            <w:tcW w:w="993" w:type="dxa"/>
          </w:tcPr>
          <w:p w:rsidR="007F5A9D" w:rsidRPr="00A70A28" w:rsidRDefault="007F5A9D" w:rsidP="00705307">
            <w:pPr>
              <w:pStyle w:val="Tabletext"/>
              <w:jc w:val="center"/>
              <w:rPr>
                <w:lang w:val="ru-RU"/>
              </w:rPr>
            </w:pPr>
            <w:r w:rsidRPr="00A70A28">
              <w:rPr>
                <w:lang w:val="ru-RU"/>
              </w:rPr>
              <w:t>1</w:t>
            </w:r>
          </w:p>
        </w:tc>
        <w:tc>
          <w:tcPr>
            <w:tcW w:w="992" w:type="dxa"/>
          </w:tcPr>
          <w:p w:rsidR="007F5A9D" w:rsidRPr="00A70A28" w:rsidRDefault="007F5A9D" w:rsidP="00705307">
            <w:pPr>
              <w:pStyle w:val="Tabletext"/>
              <w:jc w:val="center"/>
              <w:rPr>
                <w:lang w:val="ru-RU"/>
              </w:rPr>
            </w:pPr>
            <w:r w:rsidRPr="00A70A28">
              <w:rPr>
                <w:lang w:val="ru-RU"/>
              </w:rPr>
              <w:t>1</w:t>
            </w:r>
          </w:p>
        </w:tc>
        <w:tc>
          <w:tcPr>
            <w:tcW w:w="994" w:type="dxa"/>
          </w:tcPr>
          <w:p w:rsidR="007F5A9D" w:rsidRPr="00A70A28" w:rsidRDefault="007F5A9D" w:rsidP="00705307">
            <w:pPr>
              <w:pStyle w:val="Tabletext"/>
              <w:jc w:val="center"/>
              <w:rPr>
                <w:lang w:val="ru-RU"/>
              </w:rPr>
            </w:pPr>
            <w:r w:rsidRPr="00A70A28">
              <w:rPr>
                <w:lang w:val="ru-RU"/>
              </w:rPr>
              <w:t>2</w:t>
            </w:r>
          </w:p>
        </w:tc>
      </w:tr>
      <w:tr w:rsidR="007F5A9D" w:rsidRPr="00A70A28" w:rsidTr="00705307">
        <w:trPr>
          <w:jc w:val="center"/>
        </w:trPr>
        <w:tc>
          <w:tcPr>
            <w:tcW w:w="1426" w:type="dxa"/>
          </w:tcPr>
          <w:p w:rsidR="007F5A9D" w:rsidRPr="00A70A28" w:rsidRDefault="007F5A9D" w:rsidP="00705307">
            <w:pPr>
              <w:pStyle w:val="Tabletext"/>
              <w:jc w:val="center"/>
              <w:rPr>
                <w:lang w:val="ru-RU"/>
              </w:rPr>
            </w:pPr>
            <w:r w:rsidRPr="00A70A28">
              <w:rPr>
                <w:lang w:val="ru-RU"/>
              </w:rPr>
              <w:t>2 025–2 110</w:t>
            </w:r>
          </w:p>
        </w:tc>
        <w:tc>
          <w:tcPr>
            <w:tcW w:w="1134" w:type="dxa"/>
          </w:tcPr>
          <w:p w:rsidR="007F5A9D" w:rsidRPr="00A70A28" w:rsidRDefault="007F5A9D" w:rsidP="00705307">
            <w:pPr>
              <w:pStyle w:val="Tabletext"/>
              <w:jc w:val="center"/>
              <w:rPr>
                <w:lang w:val="ru-RU"/>
              </w:rPr>
            </w:pPr>
            <w:r w:rsidRPr="00A70A28">
              <w:rPr>
                <w:lang w:val="ru-RU"/>
              </w:rPr>
              <w:t>1%</w:t>
            </w:r>
          </w:p>
        </w:tc>
        <w:tc>
          <w:tcPr>
            <w:tcW w:w="992" w:type="dxa"/>
          </w:tcPr>
          <w:p w:rsidR="007F5A9D" w:rsidRPr="00A70A28" w:rsidRDefault="007F5A9D" w:rsidP="00705307">
            <w:pPr>
              <w:pStyle w:val="Tabletext"/>
              <w:jc w:val="center"/>
              <w:rPr>
                <w:lang w:val="ru-RU"/>
              </w:rPr>
            </w:pPr>
            <w:r w:rsidRPr="00A70A28">
              <w:rPr>
                <w:lang w:val="ru-RU"/>
              </w:rPr>
              <w:t>99%</w:t>
            </w:r>
          </w:p>
        </w:tc>
        <w:tc>
          <w:tcPr>
            <w:tcW w:w="1134" w:type="dxa"/>
          </w:tcPr>
          <w:p w:rsidR="007F5A9D" w:rsidRPr="00A70A28" w:rsidRDefault="007F5A9D" w:rsidP="00705307">
            <w:pPr>
              <w:pStyle w:val="Tabletext"/>
              <w:jc w:val="center"/>
              <w:rPr>
                <w:lang w:val="ru-RU"/>
              </w:rPr>
            </w:pPr>
            <w:r w:rsidRPr="00A70A28">
              <w:rPr>
                <w:lang w:val="ru-RU"/>
              </w:rPr>
              <w:t>10%</w:t>
            </w:r>
          </w:p>
        </w:tc>
        <w:tc>
          <w:tcPr>
            <w:tcW w:w="992" w:type="dxa"/>
          </w:tcPr>
          <w:p w:rsidR="007F5A9D" w:rsidRPr="00A70A28" w:rsidRDefault="007F5A9D" w:rsidP="00705307">
            <w:pPr>
              <w:pStyle w:val="Tabletext"/>
              <w:jc w:val="center"/>
              <w:rPr>
                <w:lang w:val="ru-RU"/>
              </w:rPr>
            </w:pPr>
            <w:r w:rsidRPr="00A70A28">
              <w:rPr>
                <w:lang w:val="ru-RU"/>
              </w:rPr>
              <w:t>90%</w:t>
            </w:r>
          </w:p>
        </w:tc>
        <w:tc>
          <w:tcPr>
            <w:tcW w:w="992" w:type="dxa"/>
          </w:tcPr>
          <w:p w:rsidR="007F5A9D" w:rsidRPr="00A70A28" w:rsidRDefault="007F5A9D" w:rsidP="00705307">
            <w:pPr>
              <w:pStyle w:val="Tabletext"/>
              <w:jc w:val="center"/>
              <w:rPr>
                <w:lang w:val="ru-RU"/>
              </w:rPr>
            </w:pPr>
            <w:r w:rsidRPr="00A70A28">
              <w:rPr>
                <w:lang w:val="ru-RU"/>
              </w:rPr>
              <w:t>1</w:t>
            </w:r>
          </w:p>
        </w:tc>
        <w:tc>
          <w:tcPr>
            <w:tcW w:w="993" w:type="dxa"/>
          </w:tcPr>
          <w:p w:rsidR="007F5A9D" w:rsidRPr="00A70A28" w:rsidRDefault="007F5A9D" w:rsidP="00705307">
            <w:pPr>
              <w:pStyle w:val="Tabletext"/>
              <w:jc w:val="center"/>
              <w:rPr>
                <w:lang w:val="ru-RU"/>
              </w:rPr>
            </w:pPr>
            <w:r w:rsidRPr="00A70A28">
              <w:rPr>
                <w:lang w:val="ru-RU"/>
              </w:rPr>
              <w:t>2</w:t>
            </w:r>
          </w:p>
        </w:tc>
        <w:tc>
          <w:tcPr>
            <w:tcW w:w="992" w:type="dxa"/>
          </w:tcPr>
          <w:p w:rsidR="007F5A9D" w:rsidRPr="00A70A28" w:rsidRDefault="007F5A9D" w:rsidP="00705307">
            <w:pPr>
              <w:pStyle w:val="Tabletext"/>
              <w:jc w:val="center"/>
              <w:rPr>
                <w:lang w:val="ru-RU"/>
              </w:rPr>
            </w:pPr>
            <w:r w:rsidRPr="00A70A28">
              <w:rPr>
                <w:lang w:val="ru-RU"/>
              </w:rPr>
              <w:t>1</w:t>
            </w:r>
          </w:p>
        </w:tc>
        <w:tc>
          <w:tcPr>
            <w:tcW w:w="994" w:type="dxa"/>
          </w:tcPr>
          <w:p w:rsidR="007F5A9D" w:rsidRPr="00A70A28" w:rsidRDefault="007F5A9D" w:rsidP="00705307">
            <w:pPr>
              <w:pStyle w:val="Tabletext"/>
              <w:jc w:val="center"/>
              <w:rPr>
                <w:lang w:val="ru-RU"/>
              </w:rPr>
            </w:pPr>
            <w:r w:rsidRPr="00A70A28">
              <w:rPr>
                <w:lang w:val="ru-RU"/>
              </w:rPr>
              <w:t>2</w:t>
            </w:r>
          </w:p>
        </w:tc>
      </w:tr>
      <w:tr w:rsidR="007F5A9D" w:rsidRPr="00A70A28" w:rsidTr="00705307">
        <w:trPr>
          <w:jc w:val="center"/>
        </w:trPr>
        <w:tc>
          <w:tcPr>
            <w:tcW w:w="1426" w:type="dxa"/>
            <w:tcBorders>
              <w:bottom w:val="single" w:sz="6" w:space="0" w:color="000000"/>
            </w:tcBorders>
          </w:tcPr>
          <w:p w:rsidR="007F5A9D" w:rsidRPr="00A70A28" w:rsidRDefault="007F5A9D" w:rsidP="00705307">
            <w:pPr>
              <w:pStyle w:val="Tabletext"/>
              <w:jc w:val="center"/>
              <w:rPr>
                <w:lang w:val="ru-RU"/>
              </w:rPr>
            </w:pPr>
            <w:r w:rsidRPr="00A70A28">
              <w:rPr>
                <w:lang w:val="ru-RU"/>
              </w:rPr>
              <w:t>460–470</w:t>
            </w:r>
          </w:p>
        </w:tc>
        <w:tc>
          <w:tcPr>
            <w:tcW w:w="1134" w:type="dxa"/>
            <w:tcBorders>
              <w:bottom w:val="single" w:sz="6" w:space="0" w:color="000000"/>
            </w:tcBorders>
          </w:tcPr>
          <w:p w:rsidR="007F5A9D" w:rsidRPr="00A70A28" w:rsidRDefault="007F5A9D" w:rsidP="00705307">
            <w:pPr>
              <w:pStyle w:val="Tabletext"/>
              <w:jc w:val="center"/>
              <w:rPr>
                <w:lang w:val="ru-RU"/>
              </w:rPr>
            </w:pPr>
            <w:r w:rsidRPr="00A70A28">
              <w:rPr>
                <w:lang w:val="ru-RU"/>
              </w:rPr>
              <w:t>1%</w:t>
            </w:r>
          </w:p>
        </w:tc>
        <w:tc>
          <w:tcPr>
            <w:tcW w:w="992" w:type="dxa"/>
            <w:tcBorders>
              <w:bottom w:val="single" w:sz="6" w:space="0" w:color="000000"/>
            </w:tcBorders>
          </w:tcPr>
          <w:p w:rsidR="007F5A9D" w:rsidRPr="00A70A28" w:rsidRDefault="007F5A9D" w:rsidP="00705307">
            <w:pPr>
              <w:pStyle w:val="Tabletext"/>
              <w:jc w:val="center"/>
              <w:rPr>
                <w:lang w:val="ru-RU"/>
              </w:rPr>
            </w:pPr>
            <w:r w:rsidRPr="00A70A28">
              <w:rPr>
                <w:lang w:val="ru-RU"/>
              </w:rPr>
              <w:t>99%</w:t>
            </w:r>
          </w:p>
        </w:tc>
        <w:tc>
          <w:tcPr>
            <w:tcW w:w="1134" w:type="dxa"/>
            <w:tcBorders>
              <w:bottom w:val="single" w:sz="6" w:space="0" w:color="000000"/>
            </w:tcBorders>
          </w:tcPr>
          <w:p w:rsidR="007F5A9D" w:rsidRPr="00A70A28" w:rsidRDefault="007F5A9D" w:rsidP="00705307">
            <w:pPr>
              <w:pStyle w:val="Tabletext"/>
              <w:jc w:val="center"/>
              <w:rPr>
                <w:lang w:val="ru-RU"/>
              </w:rPr>
            </w:pPr>
            <w:r w:rsidRPr="00A70A28">
              <w:rPr>
                <w:lang w:val="ru-RU"/>
              </w:rPr>
              <w:t>10%</w:t>
            </w:r>
          </w:p>
        </w:tc>
        <w:tc>
          <w:tcPr>
            <w:tcW w:w="992" w:type="dxa"/>
            <w:tcBorders>
              <w:bottom w:val="single" w:sz="6" w:space="0" w:color="000000"/>
            </w:tcBorders>
          </w:tcPr>
          <w:p w:rsidR="007F5A9D" w:rsidRPr="00A70A28" w:rsidRDefault="007F5A9D" w:rsidP="00705307">
            <w:pPr>
              <w:pStyle w:val="Tabletext"/>
              <w:jc w:val="center"/>
              <w:rPr>
                <w:lang w:val="ru-RU"/>
              </w:rPr>
            </w:pPr>
            <w:r w:rsidRPr="00A70A28">
              <w:rPr>
                <w:lang w:val="ru-RU"/>
              </w:rPr>
              <w:t>90%</w:t>
            </w:r>
          </w:p>
        </w:tc>
        <w:tc>
          <w:tcPr>
            <w:tcW w:w="992" w:type="dxa"/>
            <w:tcBorders>
              <w:bottom w:val="single" w:sz="6" w:space="0" w:color="000000"/>
            </w:tcBorders>
          </w:tcPr>
          <w:p w:rsidR="007F5A9D" w:rsidRPr="00A70A28" w:rsidRDefault="007F5A9D" w:rsidP="00705307">
            <w:pPr>
              <w:pStyle w:val="Tabletext"/>
              <w:jc w:val="center"/>
              <w:rPr>
                <w:lang w:val="ru-RU"/>
              </w:rPr>
            </w:pPr>
            <w:r w:rsidRPr="00A70A28">
              <w:rPr>
                <w:lang w:val="ru-RU"/>
              </w:rPr>
              <w:t>1</w:t>
            </w:r>
          </w:p>
        </w:tc>
        <w:tc>
          <w:tcPr>
            <w:tcW w:w="993" w:type="dxa"/>
            <w:tcBorders>
              <w:bottom w:val="single" w:sz="6" w:space="0" w:color="000000"/>
            </w:tcBorders>
          </w:tcPr>
          <w:p w:rsidR="007F5A9D" w:rsidRPr="00A70A28" w:rsidRDefault="007F5A9D" w:rsidP="00705307">
            <w:pPr>
              <w:pStyle w:val="Tabletext"/>
              <w:jc w:val="center"/>
              <w:rPr>
                <w:lang w:val="ru-RU"/>
              </w:rPr>
            </w:pPr>
            <w:r w:rsidRPr="00A70A28">
              <w:rPr>
                <w:lang w:val="ru-RU"/>
              </w:rPr>
              <w:t>1</w:t>
            </w:r>
          </w:p>
        </w:tc>
        <w:tc>
          <w:tcPr>
            <w:tcW w:w="992" w:type="dxa"/>
            <w:tcBorders>
              <w:bottom w:val="single" w:sz="6" w:space="0" w:color="000000"/>
            </w:tcBorders>
          </w:tcPr>
          <w:p w:rsidR="007F5A9D" w:rsidRPr="00A70A28" w:rsidRDefault="007F5A9D" w:rsidP="00705307">
            <w:pPr>
              <w:pStyle w:val="Tabletext"/>
              <w:jc w:val="center"/>
              <w:rPr>
                <w:lang w:val="ru-RU"/>
              </w:rPr>
            </w:pPr>
            <w:r w:rsidRPr="00A70A28">
              <w:rPr>
                <w:lang w:val="ru-RU"/>
              </w:rPr>
              <w:t>1</w:t>
            </w:r>
          </w:p>
        </w:tc>
        <w:tc>
          <w:tcPr>
            <w:tcW w:w="994" w:type="dxa"/>
            <w:tcBorders>
              <w:bottom w:val="single" w:sz="6" w:space="0" w:color="000000"/>
            </w:tcBorders>
          </w:tcPr>
          <w:p w:rsidR="007F5A9D" w:rsidRPr="00A70A28" w:rsidRDefault="007F5A9D" w:rsidP="00705307">
            <w:pPr>
              <w:pStyle w:val="Tabletext"/>
              <w:jc w:val="center"/>
              <w:rPr>
                <w:lang w:val="ru-RU"/>
              </w:rPr>
            </w:pPr>
            <w:r w:rsidRPr="00A70A28">
              <w:rPr>
                <w:lang w:val="ru-RU"/>
              </w:rPr>
              <w:t>2</w:t>
            </w:r>
          </w:p>
        </w:tc>
      </w:tr>
      <w:tr w:rsidR="007F5A9D" w:rsidRPr="00A70A28" w:rsidTr="00705307">
        <w:trPr>
          <w:jc w:val="center"/>
        </w:trPr>
        <w:tc>
          <w:tcPr>
            <w:tcW w:w="9649" w:type="dxa"/>
            <w:gridSpan w:val="9"/>
            <w:tcBorders>
              <w:left w:val="nil"/>
              <w:bottom w:val="nil"/>
              <w:right w:val="nil"/>
            </w:tcBorders>
          </w:tcPr>
          <w:p w:rsidR="007F5A9D" w:rsidRPr="00A70A28" w:rsidRDefault="00A70A28" w:rsidP="00A70A28">
            <w:pPr>
              <w:pStyle w:val="Tablelegend"/>
              <w:ind w:hanging="284"/>
              <w:rPr>
                <w:lang w:val="ru-RU"/>
              </w:rPr>
            </w:pPr>
            <w:r>
              <w:rPr>
                <w:vertAlign w:val="superscript"/>
                <w:lang w:val="ru-RU"/>
              </w:rPr>
              <w:t>(1</w:t>
            </w:r>
            <w:r w:rsidR="007F5A9D" w:rsidRPr="00A70A28">
              <w:rPr>
                <w:vertAlign w:val="superscript"/>
                <w:lang w:val="ru-RU"/>
              </w:rPr>
              <w:t>)</w:t>
            </w:r>
            <w:r w:rsidR="007F5A9D" w:rsidRPr="00A70A28">
              <w:rPr>
                <w:lang w:val="ru-RU"/>
              </w:rPr>
              <w:tab/>
              <w:t>В этом значении учтено количество источников помех на трассе космос-Земля со стороны испытывающей помехи линии связи Земля-космос на ГСО. См. Приложение 2.</w:t>
            </w:r>
          </w:p>
        </w:tc>
      </w:tr>
    </w:tbl>
    <w:p w:rsidR="007F5A9D" w:rsidRPr="00A70A28" w:rsidRDefault="007F5A9D" w:rsidP="007F5A9D">
      <w:pPr>
        <w:pStyle w:val="Tablefin"/>
        <w:rPr>
          <w:lang w:val="ru-RU"/>
        </w:rPr>
      </w:pPr>
    </w:p>
    <w:p w:rsidR="007F5A9D" w:rsidRPr="00A70A28" w:rsidRDefault="007F5A9D" w:rsidP="007F5A9D">
      <w:pPr>
        <w:tabs>
          <w:tab w:val="clear" w:pos="794"/>
          <w:tab w:val="clear" w:pos="1191"/>
          <w:tab w:val="clear" w:pos="1588"/>
          <w:tab w:val="clear" w:pos="1985"/>
        </w:tabs>
        <w:overflowPunct/>
        <w:autoSpaceDE/>
        <w:autoSpaceDN/>
        <w:adjustRightInd/>
        <w:spacing w:before="0"/>
        <w:jc w:val="left"/>
        <w:textAlignment w:val="auto"/>
        <w:rPr>
          <w:lang w:val="ru-RU"/>
        </w:rPr>
      </w:pPr>
      <w:r w:rsidRPr="00A70A28">
        <w:rPr>
          <w:lang w:val="ru-RU"/>
        </w:rPr>
        <w:br w:type="page"/>
      </w:r>
    </w:p>
    <w:p w:rsidR="007F5A9D" w:rsidRPr="00A70A28" w:rsidRDefault="007F5A9D" w:rsidP="007F5A9D">
      <w:pPr>
        <w:pStyle w:val="AnnexNoTitle"/>
        <w:rPr>
          <w:szCs w:val="26"/>
          <w:lang w:val="ru-RU"/>
        </w:rPr>
      </w:pPr>
      <w:r w:rsidRPr="00A70A28">
        <w:rPr>
          <w:szCs w:val="26"/>
          <w:lang w:val="ru-RU"/>
        </w:rPr>
        <w:lastRenderedPageBreak/>
        <w:t xml:space="preserve">Приложение 2 </w:t>
      </w:r>
      <w:r w:rsidRPr="00A70A28">
        <w:rPr>
          <w:szCs w:val="26"/>
          <w:lang w:val="ru-RU"/>
        </w:rPr>
        <w:br/>
      </w:r>
      <w:r w:rsidRPr="00A70A28">
        <w:rPr>
          <w:szCs w:val="26"/>
          <w:lang w:val="ru-RU"/>
        </w:rPr>
        <w:br/>
        <w:t>Применение критериев совместного использования частот и координации в полосе 401–403 МГц</w:t>
      </w:r>
    </w:p>
    <w:p w:rsidR="007F5A9D" w:rsidRPr="00A70A28" w:rsidRDefault="007F5A9D" w:rsidP="007F5A9D">
      <w:pPr>
        <w:pStyle w:val="Heading1"/>
        <w:rPr>
          <w:lang w:val="ru-RU" w:eastAsia="zh-CN"/>
        </w:rPr>
      </w:pPr>
      <w:r w:rsidRPr="00A70A28">
        <w:rPr>
          <w:lang w:val="ru-RU" w:eastAsia="zh-CN"/>
        </w:rPr>
        <w:t>1</w:t>
      </w:r>
      <w:r w:rsidRPr="00A70A28">
        <w:rPr>
          <w:lang w:val="ru-RU" w:eastAsia="zh-CN"/>
        </w:rPr>
        <w:tab/>
        <w:t>Введение</w:t>
      </w:r>
    </w:p>
    <w:p w:rsidR="007F5A9D" w:rsidRPr="00A70A28" w:rsidRDefault="007F5A9D" w:rsidP="007F5A9D">
      <w:pPr>
        <w:rPr>
          <w:lang w:val="ru-RU" w:eastAsia="zh-CN"/>
        </w:rPr>
      </w:pPr>
      <w:r w:rsidRPr="00A70A28">
        <w:rPr>
          <w:lang w:val="ru-RU" w:eastAsia="zh-CN"/>
        </w:rPr>
        <w:t>В настоящем Приложении рассматривается применение критериев совместного использования для защиты систем сбора данных (DCS) в полосе 401–403 МГц с учетом обновлений распределения и предполагаемого использования.</w:t>
      </w:r>
    </w:p>
    <w:p w:rsidR="007F5A9D" w:rsidRPr="00A70A28" w:rsidRDefault="007F5A9D" w:rsidP="007F5A9D">
      <w:pPr>
        <w:rPr>
          <w:lang w:val="ru-RU" w:eastAsia="zh-CN"/>
        </w:rPr>
      </w:pPr>
      <w:r w:rsidRPr="00A70A28">
        <w:rPr>
          <w:lang w:val="ru-RU" w:eastAsia="zh-CN"/>
        </w:rPr>
        <w:t>В последнее время растет интерес к использованию небольших спутниковых систем для различных целей, включая программы зондирования Земли и программы связи</w:t>
      </w:r>
      <w:r w:rsidRPr="00A70A28">
        <w:rPr>
          <w:rStyle w:val="FootnoteReference"/>
          <w:lang w:val="ru-RU"/>
        </w:rPr>
        <w:footnoteReference w:id="1"/>
      </w:r>
      <w:r w:rsidRPr="00A70A28">
        <w:rPr>
          <w:lang w:val="ru-RU" w:eastAsia="zh-CN"/>
        </w:rPr>
        <w:t>. Владельцы некоторых из этих новых систем подали заявки на использование полосы 401–402 МГц, распределенной службе космической эксплуатации (космос-Земля) на совместной первичной основе со вспомогательной службой метеорологии, спутниковой службой исследования Земли (Земля-космос) (ССИЗ) и метеорологической спутниковой службой (Земля-космос) (МетСат).</w:t>
      </w:r>
    </w:p>
    <w:p w:rsidR="007F5A9D" w:rsidRPr="00A70A28" w:rsidRDefault="007F5A9D" w:rsidP="007F5A9D">
      <w:pPr>
        <w:rPr>
          <w:spacing w:val="-2"/>
          <w:lang w:val="ru-RU" w:eastAsia="zh-CN"/>
        </w:rPr>
      </w:pPr>
      <w:r w:rsidRPr="00A70A28">
        <w:rPr>
          <w:spacing w:val="-2"/>
          <w:lang w:val="ru-RU" w:eastAsia="zh-CN"/>
        </w:rPr>
        <w:t>Малые спутники могут использовать полосу 401–402 МГц для космической эксплуатации в направлении космос-Земля. Ввиду небольшого размера таких спутников антенны, используемые на них для связи космос-Земля, также могут быть невелики, что ограничивает достижимую величину усиления антенны</w:t>
      </w:r>
      <w:r w:rsidRPr="00A70A28">
        <w:rPr>
          <w:rStyle w:val="FootnoteReference"/>
          <w:lang w:val="ru-RU"/>
        </w:rPr>
        <w:footnoteReference w:id="2"/>
      </w:r>
      <w:r w:rsidRPr="00A70A28">
        <w:rPr>
          <w:spacing w:val="-2"/>
          <w:lang w:val="ru-RU" w:eastAsia="zh-CN"/>
        </w:rPr>
        <w:t>. Кроме того, вероятно, что поддержание наведения антенны космос-Земля окажется невозможным. Эти факторы могут обусловить значительный уровень мешающей радиочастотной энергии в направлении на геостационарную орбиту, где метеорологические спутники принимают сигналы DCS.</w:t>
      </w:r>
    </w:p>
    <w:p w:rsidR="007F5A9D" w:rsidRPr="00A70A28" w:rsidRDefault="007F5A9D" w:rsidP="007F5A9D">
      <w:pPr>
        <w:pStyle w:val="Heading1"/>
        <w:rPr>
          <w:lang w:val="ru-RU"/>
        </w:rPr>
      </w:pPr>
      <w:r w:rsidRPr="00A70A28">
        <w:rPr>
          <w:lang w:val="ru-RU"/>
        </w:rPr>
        <w:t>2</w:t>
      </w:r>
      <w:r w:rsidRPr="00A70A28">
        <w:rPr>
          <w:lang w:val="ru-RU"/>
        </w:rPr>
        <w:tab/>
        <w:t xml:space="preserve">Предельные уровни мощности для защиты системы </w:t>
      </w:r>
      <w:r w:rsidRPr="00A70A28">
        <w:rPr>
          <w:lang w:val="ru-RU" w:eastAsia="zh-CN"/>
        </w:rPr>
        <w:t>DCS</w:t>
      </w:r>
    </w:p>
    <w:p w:rsidR="007F5A9D" w:rsidRPr="00A70A28" w:rsidRDefault="007F5A9D" w:rsidP="007F5A9D">
      <w:pPr>
        <w:rPr>
          <w:lang w:val="ru-RU"/>
        </w:rPr>
      </w:pPr>
      <w:r w:rsidRPr="00A70A28">
        <w:rPr>
          <w:lang w:val="ru-RU"/>
        </w:rPr>
        <w:t xml:space="preserve">В настоящем Приложении рассматривается необходимость ограничения мощности для учета передатчиков службы космической эксплуатации в полосе 401–403 МГц для защиты приемных космических станций ССИЗ и МетСат на геостационарных спутниках, когда помехи распространяются в направлении космос-космос. Этот анализ иллюстрирует адаптацию существующих критериев совместного использования частот к особому случаю расширения использования распределения космос-Земля для контроля потенциальных помех работе системы </w:t>
      </w:r>
      <w:r w:rsidRPr="00A70A28">
        <w:rPr>
          <w:lang w:val="ru-RU" w:eastAsia="zh-CN"/>
        </w:rPr>
        <w:t>DCS</w:t>
      </w:r>
      <w:r w:rsidRPr="00A70A28">
        <w:rPr>
          <w:lang w:val="ru-RU"/>
        </w:rPr>
        <w:t>.</w:t>
      </w:r>
    </w:p>
    <w:p w:rsidR="007F5A9D" w:rsidRPr="00A70A28" w:rsidRDefault="007F5A9D" w:rsidP="007F5A9D">
      <w:pPr>
        <w:rPr>
          <w:lang w:val="ru-RU"/>
        </w:rPr>
      </w:pPr>
      <w:r w:rsidRPr="00A70A28">
        <w:rPr>
          <w:lang w:val="ru-RU"/>
        </w:rPr>
        <w:t>В таблице 1 Рекомендации МСЭ-R SA.1163 определены критерии долго- и кратковременных помех в полосе 401–403 МГц. Долговременный критерий, указанный для входа спутникового приемника, составляет –191,5 дБ(Вт/100 Гц). Значение данного критерия актуально для этого анализа, поскольку помехи от полной группировки спутников на низкой околоземной орбите можно охарактеризовать как долговременные со стороны приемника ССИЗ или МетСат, работающего на геостационарной орбите.</w:t>
      </w:r>
    </w:p>
    <w:p w:rsidR="003D6F5F" w:rsidRPr="00A70A28" w:rsidRDefault="003D6F5F">
      <w:pPr>
        <w:tabs>
          <w:tab w:val="clear" w:pos="794"/>
          <w:tab w:val="clear" w:pos="1191"/>
          <w:tab w:val="clear" w:pos="1588"/>
          <w:tab w:val="clear" w:pos="1985"/>
        </w:tabs>
        <w:overflowPunct/>
        <w:autoSpaceDE/>
        <w:autoSpaceDN/>
        <w:adjustRightInd/>
        <w:spacing w:before="0"/>
        <w:jc w:val="left"/>
        <w:textAlignment w:val="auto"/>
        <w:rPr>
          <w:spacing w:val="-2"/>
          <w:lang w:val="ru-RU"/>
        </w:rPr>
      </w:pPr>
      <w:r w:rsidRPr="00A70A28">
        <w:rPr>
          <w:spacing w:val="-2"/>
          <w:lang w:val="ru-RU"/>
        </w:rPr>
        <w:br w:type="page"/>
      </w:r>
    </w:p>
    <w:p w:rsidR="007F5A9D" w:rsidRPr="00A70A28" w:rsidRDefault="007F5A9D" w:rsidP="007F5A9D">
      <w:pPr>
        <w:rPr>
          <w:spacing w:val="-2"/>
          <w:lang w:val="ru-RU"/>
        </w:rPr>
      </w:pPr>
      <w:r w:rsidRPr="00A70A28">
        <w:rPr>
          <w:spacing w:val="-2"/>
          <w:lang w:val="ru-RU"/>
        </w:rPr>
        <w:lastRenderedPageBreak/>
        <w:t>В нижеследующих разделах определяется предельный уровень мощности для защиты приемников ССИЗ и МетСат, а затем он преобразуется в значение п.п.м., которое можно оценить на геостационарной орбите. Описан рациональный метод оценки взаимосвязи критериев суммарных помех и предельных уровней единичных помех в современных условиях быстрого развития космических систем. Сначала рассчитывается вероятное максимальное число видимых спутниковых передатчиков, работающих на одной частоте на низкой околоземной орбите в службе космической эксплуатации. Затем применимый критерий помех из Рекомендации МСЭ-R SA.1163 делится на это число для получения предельного уровня мощности единичных помех на входе приемника ССИЗ на геостационарной орбите. Наконец этот предельный уровень мощности единичных помех преобразуется в предельный уровень п.п.м. единичных помех, которое можно получить на геостационарной орбите.</w:t>
      </w:r>
    </w:p>
    <w:p w:rsidR="007F5A9D" w:rsidRPr="00A70A28" w:rsidRDefault="007F5A9D" w:rsidP="007F5A9D">
      <w:pPr>
        <w:pStyle w:val="Heading2"/>
        <w:rPr>
          <w:lang w:val="ru-RU"/>
        </w:rPr>
      </w:pPr>
      <w:r w:rsidRPr="00A70A28">
        <w:rPr>
          <w:lang w:val="ru-RU"/>
        </w:rPr>
        <w:t>2.1</w:t>
      </w:r>
      <w:r w:rsidRPr="00A70A28">
        <w:rPr>
          <w:lang w:val="ru-RU"/>
        </w:rPr>
        <w:tab/>
        <w:t>Расчет числа видимых с геостационарной орбиты передатчиков, работающих на одной частоте на низкой околоземной орбите в службе космической эксплуатации</w:t>
      </w:r>
    </w:p>
    <w:p w:rsidR="007F5A9D" w:rsidRPr="00A70A28" w:rsidRDefault="007F5A9D" w:rsidP="007F5A9D">
      <w:pPr>
        <w:rPr>
          <w:lang w:val="ru-RU"/>
        </w:rPr>
      </w:pPr>
      <w:r w:rsidRPr="00A70A28">
        <w:rPr>
          <w:lang w:val="ru-RU"/>
        </w:rPr>
        <w:t>Предполагается, что на низкой околоземной орбите может находиться не более одного спутника, осуществляющего передачи на какую-либо наземную станцию службы космической эксплуатации на данной частоте. Зону вокруг наземной станции, к которой это относится, можно назвать одночастотной зоной исключения. При предполагаемой общей высоте орбиты группировки спутников, равной 400 км, площадь одночастотной зоны исключения составляет примерно 9 200 000 км</w:t>
      </w:r>
      <w:r w:rsidRPr="00A70A28">
        <w:rPr>
          <w:vertAlign w:val="superscript"/>
          <w:lang w:val="ru-RU"/>
        </w:rPr>
        <w:t>2</w:t>
      </w:r>
      <w:r w:rsidRPr="00A70A28">
        <w:rPr>
          <w:lang w:val="ru-RU"/>
        </w:rPr>
        <w:t xml:space="preserve"> (см. рисунок 1). Общая площадь, видимая с геостационарного спутника, составляет 226 000 000 км</w:t>
      </w:r>
      <w:r w:rsidRPr="00A70A28">
        <w:rPr>
          <w:vertAlign w:val="superscript"/>
          <w:lang w:val="ru-RU"/>
        </w:rPr>
        <w:t>2</w:t>
      </w:r>
      <w:r w:rsidRPr="00A70A28">
        <w:rPr>
          <w:lang w:val="ru-RU"/>
        </w:rPr>
        <w:t>. В этом случае в пределах видимости геостационарного спутника находится примерно 25 таких зон исключения. Если далее предположить, что в соседних зонах исключения не может использоваться одна и та же частота, поскольку в этом случае будет иметь место географическое перекрытие, то при наивысшей плотности одна и та же частота может использоваться примерно в 1/3 этих зон исключения (трехцветная карта повторного использования частот) или примерно в восьми–девяти зонах (см. рисунок 2). Этот анализ предполагает, что в пределах видимости геостационарного спутника общая частота, присвоенная службе космической эксплуатации, может повторно использоваться в девяти зонах.</w:t>
      </w:r>
    </w:p>
    <w:p w:rsidR="007F5A9D" w:rsidRPr="00A70A28" w:rsidRDefault="007F5A9D" w:rsidP="00E13253">
      <w:pPr>
        <w:pStyle w:val="FigureNo"/>
        <w:rPr>
          <w:lang w:val="ru-RU"/>
        </w:rPr>
      </w:pPr>
      <w:r w:rsidRPr="00A70A28">
        <w:rPr>
          <w:lang w:val="ru-RU"/>
        </w:rPr>
        <w:t>рисунок 1</w:t>
      </w:r>
    </w:p>
    <w:p w:rsidR="007F5A9D" w:rsidRPr="00A70A28" w:rsidRDefault="007F5A9D" w:rsidP="00E13253">
      <w:pPr>
        <w:pStyle w:val="Figuretitle"/>
        <w:rPr>
          <w:lang w:val="ru-RU"/>
        </w:rPr>
      </w:pPr>
      <w:r w:rsidRPr="00A70A28">
        <w:rPr>
          <w:lang w:val="ru-RU"/>
        </w:rPr>
        <w:t>Одночастотная зона исключения</w:t>
      </w:r>
    </w:p>
    <w:p w:rsidR="007F5A9D" w:rsidRPr="00A70A28" w:rsidRDefault="007F5A9D" w:rsidP="00E13253">
      <w:pPr>
        <w:pStyle w:val="Figure"/>
        <w:rPr>
          <w:lang w:val="ru-RU"/>
        </w:rPr>
      </w:pPr>
      <w:r w:rsidRPr="00A70A28">
        <w:rPr>
          <w:lang w:val="ru-RU"/>
        </w:rPr>
        <w:object w:dxaOrig="6257" w:dyaOrig="4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1pt;height:213.8pt" o:ole="">
            <v:imagedata r:id="rId14" o:title="" croptop="4254f" cropbottom="3552f"/>
          </v:shape>
          <o:OLEObject Type="Embed" ProgID="CorelDraw.Graphic.17" ShapeID="_x0000_i1025" DrawAspect="Content" ObjectID="_1625311652" r:id="rId15"/>
        </w:object>
      </w:r>
    </w:p>
    <w:p w:rsidR="007F5A9D" w:rsidRPr="00A70A28" w:rsidRDefault="007F5A9D" w:rsidP="00E13253">
      <w:pPr>
        <w:pStyle w:val="FigureNo"/>
        <w:rPr>
          <w:lang w:val="ru-RU"/>
        </w:rPr>
      </w:pPr>
      <w:r w:rsidRPr="00A70A28">
        <w:rPr>
          <w:lang w:val="ru-RU"/>
        </w:rPr>
        <w:lastRenderedPageBreak/>
        <w:t>рисунок 2</w:t>
      </w:r>
    </w:p>
    <w:p w:rsidR="007F5A9D" w:rsidRPr="00A70A28" w:rsidRDefault="007F5A9D" w:rsidP="00E13253">
      <w:pPr>
        <w:pStyle w:val="Figuretitle"/>
        <w:rPr>
          <w:lang w:val="ru-RU"/>
        </w:rPr>
      </w:pPr>
      <w:r w:rsidRPr="00A70A28">
        <w:rPr>
          <w:lang w:val="ru-RU"/>
        </w:rPr>
        <w:t>Трехцветная карта повторного использования частот</w:t>
      </w:r>
    </w:p>
    <w:p w:rsidR="007F5A9D" w:rsidRPr="00A70A28" w:rsidRDefault="007F5A9D" w:rsidP="00E13253">
      <w:pPr>
        <w:pStyle w:val="Figure"/>
        <w:rPr>
          <w:lang w:val="ru-RU"/>
        </w:rPr>
      </w:pPr>
      <w:r w:rsidRPr="00A70A28">
        <w:rPr>
          <w:lang w:val="ru-RU"/>
        </w:rPr>
        <w:object w:dxaOrig="6266" w:dyaOrig="6398">
          <v:shape id="_x0000_i1026" type="#_x0000_t75" style="width:258pt;height:258.55pt" o:ole="">
            <v:imagedata r:id="rId16" o:title="" cropbottom="3841f" cropright="2752f"/>
          </v:shape>
          <o:OLEObject Type="Embed" ProgID="CorelDraw.Graphic.17" ShapeID="_x0000_i1026" DrawAspect="Content" ObjectID="_1625311653" r:id="rId17"/>
        </w:object>
      </w:r>
    </w:p>
    <w:p w:rsidR="007F5A9D" w:rsidRPr="00A70A28" w:rsidRDefault="007F5A9D" w:rsidP="007F5A9D">
      <w:pPr>
        <w:pStyle w:val="Heading2"/>
        <w:spacing w:before="240"/>
        <w:rPr>
          <w:lang w:val="ru-RU"/>
        </w:rPr>
      </w:pPr>
      <w:r w:rsidRPr="00A70A28">
        <w:rPr>
          <w:lang w:val="ru-RU"/>
        </w:rPr>
        <w:t>2.2</w:t>
      </w:r>
      <w:r w:rsidRPr="00A70A28">
        <w:rPr>
          <w:lang w:val="ru-RU"/>
        </w:rPr>
        <w:tab/>
        <w:t>Расчет предельного уровня (долговременной) мощности для защиты систем DCS</w:t>
      </w:r>
    </w:p>
    <w:p w:rsidR="007F5A9D" w:rsidRPr="00A70A28" w:rsidRDefault="007F5A9D" w:rsidP="007F5A9D">
      <w:pPr>
        <w:rPr>
          <w:lang w:val="ru-RU"/>
        </w:rPr>
      </w:pPr>
      <w:r w:rsidRPr="00A70A28">
        <w:rPr>
          <w:lang w:val="ru-RU"/>
        </w:rPr>
        <w:t>С учетом того, что одну и ту же частоту могут использовать, по оценкам, девять спутников в пределах видимости приемника DCS и что распределение мощности помех на трассе распространения космос-Земля составляет 90% от общей мощности помех (из таблицы 2), предельный уровень мощности единичных помех на входе спутникового приемника DCP-R составляет</w:t>
      </w:r>
    </w:p>
    <w:p w:rsidR="007F5A9D" w:rsidRPr="00A70A28" w:rsidRDefault="007F5A9D" w:rsidP="007F5A9D">
      <w:pPr>
        <w:pStyle w:val="Equation"/>
        <w:rPr>
          <w:lang w:val="ru-RU"/>
        </w:rPr>
      </w:pPr>
      <w:r w:rsidRPr="00A70A28">
        <w:rPr>
          <w:lang w:val="ru-RU"/>
        </w:rPr>
        <w:tab/>
        <w:t>−191,5 дБ(Вт/100 Гц) + 10*LOG10(0,9) − 10*LOG10(9) = −201,5 дБ(Вт/100 Гц).</w:t>
      </w:r>
    </w:p>
    <w:p w:rsidR="007F5A9D" w:rsidRPr="00A70A28" w:rsidRDefault="007F5A9D" w:rsidP="007F5A9D">
      <w:pPr>
        <w:pStyle w:val="Heading2"/>
        <w:spacing w:before="240"/>
        <w:rPr>
          <w:lang w:val="ru-RU"/>
        </w:rPr>
      </w:pPr>
      <w:r w:rsidRPr="00A70A28">
        <w:rPr>
          <w:lang w:val="ru-RU"/>
        </w:rPr>
        <w:t>2.3</w:t>
      </w:r>
      <w:r w:rsidRPr="00A70A28">
        <w:rPr>
          <w:lang w:val="ru-RU"/>
        </w:rPr>
        <w:tab/>
        <w:t>Расчет (долговременной) п.п.м. для защиты систем DCS</w:t>
      </w:r>
    </w:p>
    <w:p w:rsidR="007F5A9D" w:rsidRPr="00A70A28" w:rsidRDefault="007F5A9D" w:rsidP="007F5A9D">
      <w:pPr>
        <w:rPr>
          <w:lang w:val="ru-RU"/>
        </w:rPr>
      </w:pPr>
      <w:r w:rsidRPr="00A70A28">
        <w:rPr>
          <w:lang w:val="ru-RU"/>
        </w:rPr>
        <w:t>Результат преобразования в предельный уровень п.п.м. единичных помех приведен в таблице 3.</w:t>
      </w:r>
    </w:p>
    <w:p w:rsidR="007F5A9D" w:rsidRPr="00A70A28" w:rsidRDefault="007F5A9D" w:rsidP="00E13253">
      <w:pPr>
        <w:pStyle w:val="TableNo"/>
        <w:rPr>
          <w:lang w:val="ru-RU"/>
        </w:rPr>
      </w:pPr>
      <w:r w:rsidRPr="00A70A28">
        <w:rPr>
          <w:lang w:val="ru-RU"/>
        </w:rPr>
        <w:t>ТАБЛИЦА 3</w:t>
      </w:r>
    </w:p>
    <w:p w:rsidR="007F5A9D" w:rsidRPr="00A70A28" w:rsidRDefault="007F5A9D" w:rsidP="00E13253">
      <w:pPr>
        <w:pStyle w:val="Tabletitle"/>
        <w:rPr>
          <w:lang w:val="ru-RU"/>
        </w:rPr>
      </w:pPr>
      <w:r w:rsidRPr="00A70A28">
        <w:rPr>
          <w:lang w:val="ru-RU"/>
        </w:rPr>
        <w:t xml:space="preserve">Долговременные критерии совместного использования частот </w:t>
      </w:r>
      <w:r w:rsidRPr="00A70A28">
        <w:rPr>
          <w:lang w:val="ru-RU"/>
        </w:rPr>
        <w:br/>
        <w:t>и расчет п.п.м. для защиты элемента DCS</w:t>
      </w:r>
    </w:p>
    <w:tbl>
      <w:tblPr>
        <w:tblW w:w="9639" w:type="dxa"/>
        <w:tblLook w:val="04A0" w:firstRow="1" w:lastRow="0" w:firstColumn="1" w:lastColumn="0" w:noHBand="0" w:noVBand="1"/>
      </w:tblPr>
      <w:tblGrid>
        <w:gridCol w:w="6037"/>
        <w:gridCol w:w="1308"/>
        <w:gridCol w:w="2294"/>
      </w:tblGrid>
      <w:tr w:rsidR="007F5A9D" w:rsidRPr="00A70A28" w:rsidTr="00705307">
        <w:trPr>
          <w:trHeight w:val="320"/>
        </w:trPr>
        <w:tc>
          <w:tcPr>
            <w:tcW w:w="6037"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rsidR="007F5A9D" w:rsidRPr="00A70A28" w:rsidRDefault="007F5A9D" w:rsidP="00E13253">
            <w:pPr>
              <w:pStyle w:val="Tablehead"/>
              <w:rPr>
                <w:lang w:val="ru-RU"/>
              </w:rPr>
            </w:pPr>
            <w:r w:rsidRPr="00A70A28">
              <w:rPr>
                <w:lang w:val="ru-RU"/>
              </w:rPr>
              <w:t>Долговременные критерии совместного использования частот и расчет п.п.м. для защиты элемента DCS</w:t>
            </w:r>
          </w:p>
        </w:tc>
        <w:tc>
          <w:tcPr>
            <w:tcW w:w="1308" w:type="dxa"/>
            <w:tcBorders>
              <w:top w:val="single" w:sz="2" w:space="0" w:color="auto"/>
              <w:left w:val="nil"/>
              <w:bottom w:val="single" w:sz="4" w:space="0" w:color="auto"/>
              <w:right w:val="single" w:sz="4" w:space="0" w:color="auto"/>
            </w:tcBorders>
            <w:shd w:val="clear" w:color="auto" w:fill="auto"/>
            <w:noWrap/>
            <w:vAlign w:val="center"/>
            <w:hideMark/>
          </w:tcPr>
          <w:p w:rsidR="007F5A9D" w:rsidRPr="00A70A28" w:rsidRDefault="007F5A9D" w:rsidP="00E13253">
            <w:pPr>
              <w:pStyle w:val="Tablehead"/>
              <w:rPr>
                <w:lang w:val="ru-RU"/>
              </w:rPr>
            </w:pPr>
            <w:r w:rsidRPr="00A70A28">
              <w:rPr>
                <w:lang w:val="ru-RU"/>
              </w:rPr>
              <w:t>Значение</w:t>
            </w:r>
          </w:p>
        </w:tc>
        <w:tc>
          <w:tcPr>
            <w:tcW w:w="2294" w:type="dxa"/>
            <w:tcBorders>
              <w:top w:val="single" w:sz="2" w:space="0" w:color="auto"/>
              <w:left w:val="nil"/>
              <w:bottom w:val="single" w:sz="4" w:space="0" w:color="auto"/>
              <w:right w:val="single" w:sz="2" w:space="0" w:color="auto"/>
            </w:tcBorders>
            <w:shd w:val="clear" w:color="auto" w:fill="auto"/>
            <w:noWrap/>
            <w:vAlign w:val="center"/>
            <w:hideMark/>
          </w:tcPr>
          <w:p w:rsidR="007F5A9D" w:rsidRPr="00A70A28" w:rsidRDefault="007F5A9D" w:rsidP="00E13253">
            <w:pPr>
              <w:pStyle w:val="Tablehead"/>
              <w:rPr>
                <w:lang w:val="ru-RU"/>
              </w:rPr>
            </w:pPr>
            <w:r w:rsidRPr="00A70A28">
              <w:rPr>
                <w:lang w:val="ru-RU"/>
              </w:rPr>
              <w:t>Единицы измерения</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Критерии помех (Рек. МСЭ-R SA.1163, таблица 1)</w:t>
            </w:r>
          </w:p>
        </w:tc>
        <w:tc>
          <w:tcPr>
            <w:tcW w:w="1308" w:type="dxa"/>
            <w:tcBorders>
              <w:top w:val="nil"/>
              <w:left w:val="nil"/>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−191,5</w:t>
            </w:r>
          </w:p>
        </w:tc>
        <w:tc>
          <w:tcPr>
            <w:tcW w:w="2294" w:type="dxa"/>
            <w:tcBorders>
              <w:top w:val="nil"/>
              <w:left w:val="nil"/>
              <w:bottom w:val="single" w:sz="4" w:space="0" w:color="auto"/>
              <w:right w:val="single" w:sz="8"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дБ(Вт/100 Гц)</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Доля, распределенная трассе распространения помех космос-Земля</w:t>
            </w:r>
          </w:p>
        </w:tc>
        <w:tc>
          <w:tcPr>
            <w:tcW w:w="1308" w:type="dxa"/>
            <w:tcBorders>
              <w:top w:val="nil"/>
              <w:left w:val="nil"/>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90</w:t>
            </w:r>
          </w:p>
        </w:tc>
        <w:tc>
          <w:tcPr>
            <w:tcW w:w="2294" w:type="dxa"/>
            <w:tcBorders>
              <w:top w:val="nil"/>
              <w:left w:val="nil"/>
              <w:bottom w:val="single" w:sz="4" w:space="0" w:color="auto"/>
              <w:right w:val="single" w:sz="8"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Критерии помех, участок трассы космос-Земля</w:t>
            </w:r>
          </w:p>
        </w:tc>
        <w:tc>
          <w:tcPr>
            <w:tcW w:w="1308" w:type="dxa"/>
            <w:tcBorders>
              <w:top w:val="nil"/>
              <w:left w:val="nil"/>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−192,0</w:t>
            </w:r>
          </w:p>
        </w:tc>
        <w:tc>
          <w:tcPr>
            <w:tcW w:w="2294" w:type="dxa"/>
            <w:tcBorders>
              <w:top w:val="nil"/>
              <w:left w:val="nil"/>
              <w:bottom w:val="single" w:sz="4" w:space="0" w:color="auto"/>
              <w:right w:val="single" w:sz="8"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дБ(Вт/100 Гц)</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Эквивалентное количество источников долговременных помех</w:t>
            </w:r>
          </w:p>
        </w:tc>
        <w:tc>
          <w:tcPr>
            <w:tcW w:w="1308" w:type="dxa"/>
            <w:tcBorders>
              <w:top w:val="nil"/>
              <w:left w:val="nil"/>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9</w:t>
            </w:r>
          </w:p>
        </w:tc>
        <w:tc>
          <w:tcPr>
            <w:tcW w:w="2294" w:type="dxa"/>
            <w:tcBorders>
              <w:top w:val="nil"/>
              <w:left w:val="nil"/>
              <w:bottom w:val="single" w:sz="4" w:space="0" w:color="auto"/>
              <w:right w:val="single" w:sz="8"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Критерии совместного использования частот (единичные помехи)</w:t>
            </w:r>
          </w:p>
        </w:tc>
        <w:tc>
          <w:tcPr>
            <w:tcW w:w="1308" w:type="dxa"/>
            <w:tcBorders>
              <w:top w:val="nil"/>
              <w:left w:val="nil"/>
              <w:bottom w:val="single" w:sz="4" w:space="0" w:color="auto"/>
              <w:right w:val="single" w:sz="4"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−201,5</w:t>
            </w:r>
          </w:p>
        </w:tc>
        <w:tc>
          <w:tcPr>
            <w:tcW w:w="2294" w:type="dxa"/>
            <w:tcBorders>
              <w:top w:val="nil"/>
              <w:left w:val="nil"/>
              <w:bottom w:val="single" w:sz="4" w:space="0" w:color="auto"/>
              <w:right w:val="single" w:sz="8" w:space="0" w:color="auto"/>
            </w:tcBorders>
            <w:shd w:val="clear" w:color="auto" w:fill="auto"/>
            <w:noWrap/>
            <w:vAlign w:val="bottom"/>
            <w:hideMark/>
          </w:tcPr>
          <w:p w:rsidR="007F5A9D" w:rsidRPr="00A70A28" w:rsidRDefault="007F5A9D" w:rsidP="003D6F5F">
            <w:pPr>
              <w:pStyle w:val="Tabletext"/>
              <w:rPr>
                <w:lang w:val="ru-RU"/>
              </w:rPr>
            </w:pPr>
            <w:r w:rsidRPr="00A70A28">
              <w:rPr>
                <w:lang w:val="ru-RU"/>
              </w:rPr>
              <w:t>дБ(Вт/100 Гц)</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Коэффициент усиления приемной антенны космического аппарата DCPR1)</w:t>
            </w:r>
          </w:p>
        </w:tc>
        <w:tc>
          <w:tcPr>
            <w:tcW w:w="1308" w:type="dxa"/>
            <w:tcBorders>
              <w:top w:val="nil"/>
              <w:left w:val="nil"/>
              <w:bottom w:val="single" w:sz="4" w:space="0" w:color="auto"/>
              <w:right w:val="single" w:sz="4"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13,8</w:t>
            </w:r>
          </w:p>
        </w:tc>
        <w:tc>
          <w:tcPr>
            <w:tcW w:w="2294" w:type="dxa"/>
            <w:tcBorders>
              <w:top w:val="nil"/>
              <w:left w:val="nil"/>
              <w:bottom w:val="single" w:sz="4" w:space="0" w:color="auto"/>
              <w:right w:val="single" w:sz="8"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дБи</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Изотропная зона приема</w:t>
            </w:r>
          </w:p>
        </w:tc>
        <w:tc>
          <w:tcPr>
            <w:tcW w:w="1308" w:type="dxa"/>
            <w:tcBorders>
              <w:top w:val="nil"/>
              <w:left w:val="nil"/>
              <w:bottom w:val="single" w:sz="4" w:space="0" w:color="auto"/>
              <w:right w:val="single" w:sz="4"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−13,5</w:t>
            </w:r>
          </w:p>
        </w:tc>
        <w:tc>
          <w:tcPr>
            <w:tcW w:w="2294" w:type="dxa"/>
            <w:tcBorders>
              <w:top w:val="nil"/>
              <w:left w:val="nil"/>
              <w:bottom w:val="single" w:sz="4" w:space="0" w:color="auto"/>
              <w:right w:val="single" w:sz="8" w:space="0" w:color="auto"/>
            </w:tcBorders>
            <w:shd w:val="clear" w:color="auto" w:fill="auto"/>
            <w:noWrap/>
            <w:vAlign w:val="center"/>
            <w:hideMark/>
          </w:tcPr>
          <w:p w:rsidR="007F5A9D" w:rsidRPr="00A70A28" w:rsidRDefault="007F5A9D" w:rsidP="003D6F5F">
            <w:pPr>
              <w:pStyle w:val="Tabletext"/>
              <w:rPr>
                <w:lang w:val="ru-RU"/>
              </w:rPr>
            </w:pPr>
            <w:r w:rsidRPr="00A70A28">
              <w:rPr>
                <w:lang w:val="ru-RU"/>
              </w:rPr>
              <w:t>дБ(м2)</w:t>
            </w:r>
          </w:p>
        </w:tc>
      </w:tr>
      <w:tr w:rsidR="007F5A9D" w:rsidRPr="00A70A28" w:rsidTr="00705307">
        <w:tc>
          <w:tcPr>
            <w:tcW w:w="6037" w:type="dxa"/>
            <w:tcBorders>
              <w:top w:val="nil"/>
              <w:left w:val="single" w:sz="8" w:space="0" w:color="auto"/>
              <w:bottom w:val="single" w:sz="4" w:space="0" w:color="auto"/>
              <w:right w:val="single" w:sz="4" w:space="0" w:color="auto"/>
            </w:tcBorders>
            <w:shd w:val="clear" w:color="auto" w:fill="auto"/>
            <w:noWrap/>
            <w:vAlign w:val="center"/>
          </w:tcPr>
          <w:p w:rsidR="007F5A9D" w:rsidRPr="00A70A28" w:rsidRDefault="007F5A9D" w:rsidP="003D6F5F">
            <w:pPr>
              <w:pStyle w:val="Tabletext"/>
              <w:rPr>
                <w:lang w:val="ru-RU"/>
              </w:rPr>
            </w:pPr>
            <w:r w:rsidRPr="00A70A28">
              <w:rPr>
                <w:lang w:val="ru-RU"/>
              </w:rPr>
              <w:t>п.п.м. (единичных помех) в эталонной ширине полосы</w:t>
            </w:r>
          </w:p>
        </w:tc>
        <w:tc>
          <w:tcPr>
            <w:tcW w:w="1308" w:type="dxa"/>
            <w:tcBorders>
              <w:top w:val="nil"/>
              <w:left w:val="nil"/>
              <w:bottom w:val="single" w:sz="4" w:space="0" w:color="auto"/>
              <w:right w:val="single" w:sz="4" w:space="0" w:color="auto"/>
            </w:tcBorders>
            <w:shd w:val="clear" w:color="auto" w:fill="auto"/>
            <w:noWrap/>
            <w:vAlign w:val="center"/>
          </w:tcPr>
          <w:p w:rsidR="007F5A9D" w:rsidRPr="00A70A28" w:rsidRDefault="007F5A9D" w:rsidP="003D6F5F">
            <w:pPr>
              <w:pStyle w:val="Tabletext"/>
              <w:rPr>
                <w:lang w:val="ru-RU"/>
              </w:rPr>
            </w:pPr>
            <w:r w:rsidRPr="00A70A28">
              <w:rPr>
                <w:lang w:val="ru-RU"/>
              </w:rPr>
              <w:t>−201,8</w:t>
            </w:r>
          </w:p>
        </w:tc>
        <w:tc>
          <w:tcPr>
            <w:tcW w:w="2294" w:type="dxa"/>
            <w:tcBorders>
              <w:top w:val="nil"/>
              <w:left w:val="nil"/>
              <w:bottom w:val="single" w:sz="4" w:space="0" w:color="auto"/>
              <w:right w:val="single" w:sz="8" w:space="0" w:color="auto"/>
            </w:tcBorders>
            <w:shd w:val="clear" w:color="auto" w:fill="auto"/>
            <w:noWrap/>
            <w:vAlign w:val="center"/>
          </w:tcPr>
          <w:p w:rsidR="007F5A9D" w:rsidRPr="00A70A28" w:rsidRDefault="007F5A9D" w:rsidP="003D6F5F">
            <w:pPr>
              <w:pStyle w:val="Tabletext"/>
              <w:rPr>
                <w:lang w:val="ru-RU"/>
              </w:rPr>
            </w:pPr>
            <w:r w:rsidRPr="00A70A28">
              <w:rPr>
                <w:lang w:val="ru-RU"/>
              </w:rPr>
              <w:t>дБ(Вт/м2/100 Гц)</w:t>
            </w:r>
          </w:p>
        </w:tc>
      </w:tr>
      <w:tr w:rsidR="007F5A9D" w:rsidRPr="00A70A28" w:rsidTr="00705307">
        <w:tc>
          <w:tcPr>
            <w:tcW w:w="9639" w:type="dxa"/>
            <w:gridSpan w:val="3"/>
            <w:tcBorders>
              <w:top w:val="single" w:sz="4" w:space="0" w:color="auto"/>
            </w:tcBorders>
            <w:shd w:val="clear" w:color="auto" w:fill="auto"/>
            <w:noWrap/>
            <w:vAlign w:val="center"/>
          </w:tcPr>
          <w:p w:rsidR="007F5A9D" w:rsidRPr="00A70A28" w:rsidRDefault="007F5A9D" w:rsidP="00E13253">
            <w:pPr>
              <w:pStyle w:val="Tablelegend"/>
              <w:rPr>
                <w:lang w:val="ru-RU"/>
              </w:rPr>
            </w:pPr>
            <w:r w:rsidRPr="00A70A28">
              <w:rPr>
                <w:vertAlign w:val="superscript"/>
                <w:lang w:val="ru-RU"/>
              </w:rPr>
              <w:t>1)</w:t>
            </w:r>
            <w:r w:rsidRPr="00A70A28">
              <w:rPr>
                <w:lang w:val="ru-RU"/>
              </w:rPr>
              <w:tab/>
              <w:t>Значение усиления приемной антенны космического аппарата DCPR взято из таблицы 1Рекомендации МСЭ-R SA.1163.</w:t>
            </w:r>
          </w:p>
        </w:tc>
      </w:tr>
    </w:tbl>
    <w:p w:rsidR="007F5A9D" w:rsidRPr="00A70A28" w:rsidRDefault="007F5A9D" w:rsidP="007F5A9D">
      <w:pPr>
        <w:spacing w:before="80"/>
        <w:rPr>
          <w:spacing w:val="-2"/>
          <w:lang w:val="ru-RU"/>
        </w:rPr>
      </w:pPr>
      <w:r w:rsidRPr="00A70A28">
        <w:rPr>
          <w:spacing w:val="-2"/>
          <w:lang w:val="ru-RU"/>
        </w:rPr>
        <w:lastRenderedPageBreak/>
        <w:t>В таком случае эквивалентный критерий совместного использования частот в виде п.п.м. единичных помех на геостационарной орбите составляет –201,8 дБ(Вт/м</w:t>
      </w:r>
      <w:r w:rsidRPr="00A70A28">
        <w:rPr>
          <w:spacing w:val="-2"/>
          <w:vertAlign w:val="superscript"/>
          <w:lang w:val="ru-RU"/>
        </w:rPr>
        <w:t>2</w:t>
      </w:r>
      <w:r w:rsidRPr="00A70A28">
        <w:rPr>
          <w:spacing w:val="-2"/>
          <w:lang w:val="ru-RU"/>
        </w:rPr>
        <w:t>/100 Гц). Это предельный уровень единичных помех, который должен соблюдаться любым спутником службы космической эксплуатации, работающим в полосе частот 401–403 МГц.</w:t>
      </w:r>
    </w:p>
    <w:p w:rsidR="007F5A9D" w:rsidRPr="00A70A28" w:rsidRDefault="007F5A9D" w:rsidP="00411C49">
      <w:pPr>
        <w:pStyle w:val="Reasons"/>
        <w:rPr>
          <w:lang w:val="ru-RU"/>
        </w:rPr>
      </w:pPr>
    </w:p>
    <w:p w:rsidR="007F5A9D" w:rsidRPr="00A70A28" w:rsidRDefault="007F5A9D">
      <w:pPr>
        <w:jc w:val="center"/>
        <w:rPr>
          <w:lang w:val="ru-RU"/>
        </w:rPr>
      </w:pPr>
      <w:r w:rsidRPr="00A70A28">
        <w:rPr>
          <w:lang w:val="ru-RU"/>
        </w:rPr>
        <w:t>______________</w:t>
      </w:r>
    </w:p>
    <w:sectPr w:rsidR="007F5A9D" w:rsidRPr="00A70A28" w:rsidSect="00FC4C8B">
      <w:headerReference w:type="default" r:id="rId18"/>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7F" w:rsidRDefault="001D407F">
      <w:r>
        <w:separator/>
      </w:r>
    </w:p>
  </w:footnote>
  <w:footnote w:type="continuationSeparator" w:id="0">
    <w:p w:rsidR="001D407F" w:rsidRDefault="001D407F">
      <w:r>
        <w:continuationSeparator/>
      </w:r>
    </w:p>
  </w:footnote>
  <w:footnote w:id="1">
    <w:p w:rsidR="007F5A9D" w:rsidRPr="007C162F" w:rsidRDefault="007F5A9D" w:rsidP="007F5A9D">
      <w:pPr>
        <w:pStyle w:val="FootnoteText"/>
        <w:spacing w:before="80"/>
      </w:pPr>
      <w:r w:rsidRPr="00776819">
        <w:rPr>
          <w:rStyle w:val="FootnoteReference"/>
        </w:rPr>
        <w:footnoteRef/>
      </w:r>
      <w:r w:rsidRPr="007C162F">
        <w:tab/>
      </w:r>
      <w:r w:rsidRPr="00136B8F">
        <w:t>См. Отчет МСЭ-R SA.2312-0</w:t>
      </w:r>
      <w:r>
        <w:t>,</w:t>
      </w:r>
      <w:r w:rsidRPr="00136B8F">
        <w:t xml:space="preserve"> Характеристики, определения и </w:t>
      </w:r>
      <w:r>
        <w:t>потребности в спектре</w:t>
      </w:r>
      <w:r w:rsidRPr="00136B8F">
        <w:t xml:space="preserve"> наноспутников и</w:t>
      </w:r>
      <w:r>
        <w:t> </w:t>
      </w:r>
      <w:r w:rsidRPr="00136B8F">
        <w:t>пикоспутников, а также систем, состоящих из таких спутников.</w:t>
      </w:r>
    </w:p>
  </w:footnote>
  <w:footnote w:id="2">
    <w:p w:rsidR="007F5A9D" w:rsidRPr="00136B8F" w:rsidRDefault="007F5A9D" w:rsidP="007F5A9D">
      <w:pPr>
        <w:pStyle w:val="FootnoteText"/>
        <w:spacing w:before="80"/>
      </w:pPr>
      <w:r w:rsidRPr="00776819">
        <w:rPr>
          <w:rStyle w:val="FootnoteReference"/>
        </w:rPr>
        <w:footnoteRef/>
      </w:r>
      <w:r w:rsidRPr="00136B8F">
        <w:tab/>
        <w:t>В таблице</w:t>
      </w:r>
      <w:r>
        <w:t> </w:t>
      </w:r>
      <w:r w:rsidRPr="00136B8F">
        <w:t>2 Отчета МСЭ-R SA.2312-0 направленность антенн тип</w:t>
      </w:r>
      <w:r>
        <w:t>ов</w:t>
      </w:r>
      <w:r w:rsidRPr="00136B8F">
        <w:t>ых систем наноспутников и</w:t>
      </w:r>
      <w:r>
        <w:t> </w:t>
      </w:r>
      <w:r w:rsidRPr="00136B8F">
        <w:t>пикоспутников описана следующим образом: "</w:t>
      </w:r>
      <w:r>
        <w:t>Как правило,</w:t>
      </w:r>
      <w:r w:rsidRPr="00136B8F">
        <w:t xml:space="preserve"> только одна или две активные антенны на полосу частот, часто всенаправленны</w:t>
      </w:r>
      <w:r>
        <w:t>е</w:t>
      </w:r>
      <w:r w:rsidRPr="00136B8F">
        <w:t xml:space="preserve"> (например, ввиду отсутствия механизмов управления ориентацией и/или</w:t>
      </w:r>
      <w:r>
        <w:t> </w:t>
      </w:r>
      <w:r w:rsidRPr="00136B8F">
        <w:t>наведения антенны)".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359C6A47" wp14:editId="4CA5EB4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6159">
      <w:rPr>
        <w:rStyle w:val="PageNumber"/>
        <w:b/>
        <w:bCs/>
        <w:noProof/>
        <w:lang w:val="en-US"/>
      </w:rPr>
      <w:t>8</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DA6159">
      <w:rPr>
        <w:b/>
        <w:bCs/>
        <w:noProof/>
        <w:szCs w:val="22"/>
        <w:lang w:val="en-US"/>
      </w:rPr>
      <w:t>МСЭ-R  SA.1164-3</w:t>
    </w:r>
    <w:r w:rsidR="00B713CA"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DAA" w:rsidRDefault="00E60DAA">
    <w:pPr>
      <w:pStyle w:val="Header"/>
    </w:pPr>
    <w:r>
      <w:tab/>
    </w:r>
    <w:fldSimple w:instr=" DOCPROPERTY &quot;Header&quot; \* MERGEFORMAT ">
      <w:r w:rsidR="00DA6159" w:rsidRPr="00DA61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A6159">
      <w:rPr>
        <w:b/>
        <w:bCs/>
        <w:noProof/>
      </w:rPr>
      <w:t>МСЭ-R  SA.1164-3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5A9D">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A9D" w:rsidRDefault="007F5A9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A6159">
      <w:rPr>
        <w:b/>
        <w:bCs/>
        <w:noProof/>
        <w:szCs w:val="22"/>
        <w:lang w:val="en-US"/>
      </w:rPr>
      <w:t>МСЭ-R  SA.1164-3</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6159">
      <w:rPr>
        <w:rStyle w:val="PageNumber"/>
        <w:b/>
        <w:bCs/>
        <w:noProof/>
      </w:rPr>
      <w:t>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C8B" w:rsidRPr="00FC4C8B" w:rsidRDefault="00FC4C8B" w:rsidP="00FC4C8B">
    <w:pPr>
      <w:pStyle w:val="Header"/>
      <w:jc w:val="left"/>
      <w:rPr>
        <w:szCs w:val="22"/>
        <w:lang w:val="en-US"/>
      </w:rPr>
    </w:pP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A6159">
      <w:rPr>
        <w:b/>
        <w:bCs/>
        <w:noProof/>
        <w:szCs w:val="22"/>
        <w:lang w:val="en-US"/>
      </w:rPr>
      <w:t>МСЭ-R  SA.1164-3</w:t>
    </w:r>
    <w:r w:rsidRPr="00553C5F">
      <w:rPr>
        <w:b/>
        <w:bCs/>
        <w:szCs w:val="22"/>
        <w:lang w:val="en-US"/>
      </w:rPr>
      <w:fldChar w:fldCharType="end"/>
    </w:r>
    <w:r>
      <w:rPr>
        <w:rStyle w:val="PageNumber"/>
        <w:b/>
        <w:bCs/>
        <w:szCs w:val="22"/>
        <w:lang w:val="en-US"/>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DA6159">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02A"/>
    <w:rsid w:val="00036EE3"/>
    <w:rsid w:val="00072484"/>
    <w:rsid w:val="00096612"/>
    <w:rsid w:val="000B3FC0"/>
    <w:rsid w:val="000B7683"/>
    <w:rsid w:val="000D0677"/>
    <w:rsid w:val="000E6A6E"/>
    <w:rsid w:val="00102934"/>
    <w:rsid w:val="00131900"/>
    <w:rsid w:val="00147110"/>
    <w:rsid w:val="001511A6"/>
    <w:rsid w:val="00197B47"/>
    <w:rsid w:val="001D407F"/>
    <w:rsid w:val="002058CE"/>
    <w:rsid w:val="002165F1"/>
    <w:rsid w:val="0024330E"/>
    <w:rsid w:val="00276D21"/>
    <w:rsid w:val="00296D7F"/>
    <w:rsid w:val="002A59D3"/>
    <w:rsid w:val="002B3CF6"/>
    <w:rsid w:val="002C768A"/>
    <w:rsid w:val="002D76C4"/>
    <w:rsid w:val="002F5199"/>
    <w:rsid w:val="00305A41"/>
    <w:rsid w:val="003240B2"/>
    <w:rsid w:val="00356B5D"/>
    <w:rsid w:val="003646F2"/>
    <w:rsid w:val="003C38BA"/>
    <w:rsid w:val="003D6F5F"/>
    <w:rsid w:val="003F0E0D"/>
    <w:rsid w:val="00420DFD"/>
    <w:rsid w:val="00437A76"/>
    <w:rsid w:val="00467C4F"/>
    <w:rsid w:val="00470E28"/>
    <w:rsid w:val="004934C5"/>
    <w:rsid w:val="00556548"/>
    <w:rsid w:val="00561F86"/>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1723"/>
    <w:rsid w:val="00776819"/>
    <w:rsid w:val="007A6AA8"/>
    <w:rsid w:val="007C27C0"/>
    <w:rsid w:val="007F5A9D"/>
    <w:rsid w:val="008310C9"/>
    <w:rsid w:val="00853CC5"/>
    <w:rsid w:val="00870848"/>
    <w:rsid w:val="008C7848"/>
    <w:rsid w:val="00906589"/>
    <w:rsid w:val="00906AD6"/>
    <w:rsid w:val="00917AF2"/>
    <w:rsid w:val="0092418A"/>
    <w:rsid w:val="009271DF"/>
    <w:rsid w:val="009277B5"/>
    <w:rsid w:val="00934ED7"/>
    <w:rsid w:val="0094477C"/>
    <w:rsid w:val="009543C3"/>
    <w:rsid w:val="00966E1B"/>
    <w:rsid w:val="009947C0"/>
    <w:rsid w:val="009E3058"/>
    <w:rsid w:val="009F2D2C"/>
    <w:rsid w:val="00A25DEC"/>
    <w:rsid w:val="00A31928"/>
    <w:rsid w:val="00A62A14"/>
    <w:rsid w:val="00A6617B"/>
    <w:rsid w:val="00A70A28"/>
    <w:rsid w:val="00A71FE5"/>
    <w:rsid w:val="00A971A1"/>
    <w:rsid w:val="00AA3AD8"/>
    <w:rsid w:val="00AB0DC8"/>
    <w:rsid w:val="00AC3B0C"/>
    <w:rsid w:val="00AF302B"/>
    <w:rsid w:val="00B031B7"/>
    <w:rsid w:val="00B033C8"/>
    <w:rsid w:val="00B33425"/>
    <w:rsid w:val="00B44E24"/>
    <w:rsid w:val="00B54ECC"/>
    <w:rsid w:val="00B713CA"/>
    <w:rsid w:val="00B714F3"/>
    <w:rsid w:val="00B87B6B"/>
    <w:rsid w:val="00BB283C"/>
    <w:rsid w:val="00BC5D77"/>
    <w:rsid w:val="00BF0366"/>
    <w:rsid w:val="00BF487A"/>
    <w:rsid w:val="00C24722"/>
    <w:rsid w:val="00C46BD9"/>
    <w:rsid w:val="00C55258"/>
    <w:rsid w:val="00C73560"/>
    <w:rsid w:val="00CB0F14"/>
    <w:rsid w:val="00CD659B"/>
    <w:rsid w:val="00CE0A43"/>
    <w:rsid w:val="00D25ACB"/>
    <w:rsid w:val="00D54BEC"/>
    <w:rsid w:val="00D83556"/>
    <w:rsid w:val="00D92BE8"/>
    <w:rsid w:val="00DA6159"/>
    <w:rsid w:val="00DF4176"/>
    <w:rsid w:val="00E13253"/>
    <w:rsid w:val="00E17240"/>
    <w:rsid w:val="00E60DAA"/>
    <w:rsid w:val="00E7185E"/>
    <w:rsid w:val="00E74595"/>
    <w:rsid w:val="00EB30B5"/>
    <w:rsid w:val="00EB7C57"/>
    <w:rsid w:val="00ED2695"/>
    <w:rsid w:val="00F05137"/>
    <w:rsid w:val="00F074C2"/>
    <w:rsid w:val="00F30C9B"/>
    <w:rsid w:val="00F32A0B"/>
    <w:rsid w:val="00F335AF"/>
    <w:rsid w:val="00F354B1"/>
    <w:rsid w:val="00F41CFD"/>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5:docId w15:val="{1889B0C9-2ADA-45DD-828C-1ECCCBF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25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13253"/>
    <w:pPr>
      <w:keepNext/>
      <w:keepLines/>
      <w:spacing w:before="480"/>
      <w:ind w:left="794" w:hanging="794"/>
      <w:outlineLvl w:val="0"/>
    </w:pPr>
    <w:rPr>
      <w:b/>
    </w:rPr>
  </w:style>
  <w:style w:type="paragraph" w:styleId="Heading2">
    <w:name w:val="heading 2"/>
    <w:basedOn w:val="Heading1"/>
    <w:next w:val="Normal"/>
    <w:qFormat/>
    <w:rsid w:val="00E13253"/>
    <w:pPr>
      <w:spacing w:before="320"/>
      <w:outlineLvl w:val="1"/>
    </w:pPr>
  </w:style>
  <w:style w:type="paragraph" w:styleId="Heading3">
    <w:name w:val="heading 3"/>
    <w:basedOn w:val="Heading1"/>
    <w:next w:val="Normal"/>
    <w:qFormat/>
    <w:rsid w:val="00E13253"/>
    <w:pPr>
      <w:spacing w:before="200"/>
      <w:outlineLvl w:val="2"/>
    </w:pPr>
  </w:style>
  <w:style w:type="paragraph" w:styleId="Heading4">
    <w:name w:val="heading 4"/>
    <w:basedOn w:val="Heading3"/>
    <w:next w:val="Normal"/>
    <w:qFormat/>
    <w:rsid w:val="00E13253"/>
    <w:pPr>
      <w:tabs>
        <w:tab w:val="clear" w:pos="794"/>
        <w:tab w:val="left" w:pos="992"/>
      </w:tabs>
      <w:ind w:left="992" w:hanging="992"/>
      <w:outlineLvl w:val="3"/>
    </w:pPr>
  </w:style>
  <w:style w:type="paragraph" w:styleId="Heading5">
    <w:name w:val="heading 5"/>
    <w:basedOn w:val="Heading4"/>
    <w:next w:val="Normal"/>
    <w:qFormat/>
    <w:rsid w:val="00E13253"/>
    <w:pPr>
      <w:outlineLvl w:val="4"/>
    </w:pPr>
  </w:style>
  <w:style w:type="paragraph" w:styleId="Heading6">
    <w:name w:val="heading 6"/>
    <w:basedOn w:val="Heading4"/>
    <w:next w:val="Normal"/>
    <w:qFormat/>
    <w:rsid w:val="00E13253"/>
    <w:pPr>
      <w:tabs>
        <w:tab w:val="clear" w:pos="992"/>
        <w:tab w:val="clear" w:pos="1191"/>
      </w:tabs>
      <w:ind w:left="1588" w:hanging="1588"/>
      <w:outlineLvl w:val="5"/>
    </w:pPr>
  </w:style>
  <w:style w:type="paragraph" w:styleId="Heading7">
    <w:name w:val="heading 7"/>
    <w:basedOn w:val="Heading6"/>
    <w:next w:val="Normal"/>
    <w:qFormat/>
    <w:rsid w:val="00E13253"/>
    <w:pPr>
      <w:outlineLvl w:val="6"/>
    </w:pPr>
  </w:style>
  <w:style w:type="paragraph" w:styleId="Heading8">
    <w:name w:val="heading 8"/>
    <w:basedOn w:val="Heading6"/>
    <w:next w:val="Normal"/>
    <w:qFormat/>
    <w:rsid w:val="00E13253"/>
    <w:pPr>
      <w:outlineLvl w:val="7"/>
    </w:pPr>
  </w:style>
  <w:style w:type="paragraph" w:styleId="Heading9">
    <w:name w:val="heading 9"/>
    <w:basedOn w:val="Heading6"/>
    <w:next w:val="Normal"/>
    <w:qFormat/>
    <w:rsid w:val="00E1325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1325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1325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13253"/>
  </w:style>
  <w:style w:type="paragraph" w:customStyle="1" w:styleId="Headingb">
    <w:name w:val="Heading_b"/>
    <w:basedOn w:val="Heading3"/>
    <w:next w:val="Normal"/>
    <w:link w:val="HeadingbChar"/>
    <w:rsid w:val="00E13253"/>
    <w:pPr>
      <w:spacing w:before="160"/>
      <w:ind w:left="0" w:firstLine="0"/>
      <w:outlineLvl w:val="9"/>
    </w:pPr>
  </w:style>
  <w:style w:type="paragraph" w:customStyle="1" w:styleId="Headingi">
    <w:name w:val="Heading_i"/>
    <w:basedOn w:val="Heading3"/>
    <w:next w:val="Normal"/>
    <w:rsid w:val="00E13253"/>
    <w:pPr>
      <w:spacing w:before="160"/>
      <w:ind w:left="0" w:firstLine="0"/>
    </w:pPr>
    <w:rPr>
      <w:b w:val="0"/>
      <w:i/>
    </w:rPr>
  </w:style>
  <w:style w:type="character" w:customStyle="1" w:styleId="href">
    <w:name w:val="href"/>
    <w:basedOn w:val="DefaultParagraphFont"/>
    <w:rsid w:val="00E13253"/>
  </w:style>
  <w:style w:type="paragraph" w:customStyle="1" w:styleId="AnnexNoTitle">
    <w:name w:val="Annex_NoTitle"/>
    <w:basedOn w:val="Normal"/>
    <w:next w:val="Normal"/>
    <w:rsid w:val="00E13253"/>
    <w:pPr>
      <w:keepNext/>
      <w:keepLines/>
      <w:spacing w:before="480" w:after="80"/>
      <w:jc w:val="center"/>
    </w:pPr>
    <w:rPr>
      <w:b/>
      <w:sz w:val="26"/>
    </w:rPr>
  </w:style>
  <w:style w:type="paragraph" w:customStyle="1" w:styleId="Normalaftertitle">
    <w:name w:val="Normal_after_title"/>
    <w:basedOn w:val="Normal"/>
    <w:next w:val="Normal"/>
    <w:link w:val="NormalaftertitleChar"/>
    <w:rsid w:val="00E13253"/>
    <w:pPr>
      <w:spacing w:before="320"/>
    </w:pPr>
  </w:style>
  <w:style w:type="paragraph" w:customStyle="1" w:styleId="enumlev2">
    <w:name w:val="enumlev2"/>
    <w:basedOn w:val="enumlev1"/>
    <w:rsid w:val="00E13253"/>
    <w:pPr>
      <w:ind w:left="1191" w:hanging="397"/>
    </w:pPr>
  </w:style>
  <w:style w:type="paragraph" w:customStyle="1" w:styleId="enumlev1">
    <w:name w:val="enumlev1"/>
    <w:basedOn w:val="Normal"/>
    <w:link w:val="enumlev1Char"/>
    <w:rsid w:val="00E13253"/>
    <w:pPr>
      <w:spacing w:before="80"/>
      <w:ind w:left="794" w:hanging="794"/>
    </w:pPr>
  </w:style>
  <w:style w:type="paragraph" w:customStyle="1" w:styleId="enumlev3">
    <w:name w:val="enumlev3"/>
    <w:basedOn w:val="enumlev2"/>
    <w:rsid w:val="00E13253"/>
    <w:pPr>
      <w:ind w:left="1588"/>
    </w:pPr>
  </w:style>
  <w:style w:type="paragraph" w:customStyle="1" w:styleId="Note">
    <w:name w:val="Note"/>
    <w:basedOn w:val="Normal"/>
    <w:rsid w:val="00E13253"/>
    <w:pPr>
      <w:tabs>
        <w:tab w:val="clear" w:pos="794"/>
        <w:tab w:val="clear" w:pos="1191"/>
        <w:tab w:val="clear" w:pos="1588"/>
        <w:tab w:val="clear" w:pos="1985"/>
      </w:tabs>
      <w:spacing w:before="80"/>
    </w:pPr>
  </w:style>
  <w:style w:type="paragraph" w:customStyle="1" w:styleId="RecNo">
    <w:name w:val="Rec_No"/>
    <w:basedOn w:val="Normal"/>
    <w:next w:val="Rectitle"/>
    <w:rsid w:val="00E1325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13253"/>
    <w:pPr>
      <w:keepNext/>
      <w:keepLines/>
      <w:spacing w:before="240"/>
      <w:jc w:val="center"/>
    </w:pPr>
    <w:rPr>
      <w:b/>
      <w:sz w:val="26"/>
    </w:rPr>
  </w:style>
  <w:style w:type="paragraph" w:customStyle="1" w:styleId="Recref">
    <w:name w:val="Rec_ref"/>
    <w:basedOn w:val="Normal"/>
    <w:next w:val="Recdate"/>
    <w:rsid w:val="00E13253"/>
    <w:pPr>
      <w:jc w:val="center"/>
    </w:pPr>
  </w:style>
  <w:style w:type="paragraph" w:customStyle="1" w:styleId="Recdate">
    <w:name w:val="Rec_date"/>
    <w:basedOn w:val="Recref"/>
    <w:next w:val="Normal"/>
    <w:rsid w:val="00E13253"/>
    <w:pPr>
      <w:jc w:val="right"/>
    </w:pPr>
  </w:style>
  <w:style w:type="paragraph" w:customStyle="1" w:styleId="HeadingSum">
    <w:name w:val="Heading_Sum"/>
    <w:basedOn w:val="Headingb"/>
    <w:next w:val="Normal"/>
    <w:autoRedefine/>
    <w:rsid w:val="00E13253"/>
    <w:pPr>
      <w:spacing w:before="240"/>
    </w:pPr>
    <w:rPr>
      <w:lang w:val="es-ES_tradnl"/>
    </w:rPr>
  </w:style>
  <w:style w:type="paragraph" w:customStyle="1" w:styleId="AppendixNoTitle">
    <w:name w:val="Appendix_NoTitle"/>
    <w:basedOn w:val="AnnexNoTitle"/>
    <w:next w:val="Normal"/>
    <w:rsid w:val="00E13253"/>
  </w:style>
  <w:style w:type="paragraph" w:customStyle="1" w:styleId="Tablefin">
    <w:name w:val="Table_fin"/>
    <w:basedOn w:val="Normal"/>
    <w:next w:val="Normal"/>
    <w:rsid w:val="00E13253"/>
    <w:pPr>
      <w:spacing w:before="0"/>
    </w:pPr>
    <w:rPr>
      <w:sz w:val="20"/>
      <w:lang w:val="en-GB"/>
    </w:rPr>
  </w:style>
  <w:style w:type="paragraph" w:customStyle="1" w:styleId="Tablehead">
    <w:name w:val="Table_head"/>
    <w:basedOn w:val="Normal"/>
    <w:next w:val="Normal"/>
    <w:rsid w:val="00E1325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132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13253"/>
    <w:pPr>
      <w:keepNext/>
      <w:spacing w:before="360" w:after="120"/>
      <w:jc w:val="center"/>
    </w:pPr>
  </w:style>
  <w:style w:type="paragraph" w:customStyle="1" w:styleId="Tabletext">
    <w:name w:val="Table_text"/>
    <w:basedOn w:val="Normal"/>
    <w:link w:val="TabletextChar"/>
    <w:rsid w:val="00E132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13253"/>
    <w:pPr>
      <w:tabs>
        <w:tab w:val="clear" w:pos="1191"/>
        <w:tab w:val="clear" w:pos="1588"/>
        <w:tab w:val="clear" w:pos="1985"/>
        <w:tab w:val="center" w:pos="4820"/>
        <w:tab w:val="right" w:pos="9639"/>
      </w:tabs>
    </w:pPr>
  </w:style>
  <w:style w:type="paragraph" w:customStyle="1" w:styleId="Equationlegend">
    <w:name w:val="Equation_legend"/>
    <w:basedOn w:val="NormalIndent"/>
    <w:rsid w:val="00E1325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13253"/>
    <w:pPr>
      <w:ind w:left="794"/>
    </w:pPr>
  </w:style>
  <w:style w:type="paragraph" w:customStyle="1" w:styleId="Figurelegend">
    <w:name w:val="Figure_legend"/>
    <w:basedOn w:val="Normal"/>
    <w:rsid w:val="00E1325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13253"/>
    <w:pPr>
      <w:keepNext/>
      <w:keepLines/>
      <w:spacing w:before="480" w:after="80"/>
      <w:jc w:val="center"/>
    </w:pPr>
    <w:rPr>
      <w:caps/>
      <w:sz w:val="18"/>
    </w:rPr>
  </w:style>
  <w:style w:type="paragraph" w:customStyle="1" w:styleId="Figuretitle">
    <w:name w:val="Figure_title"/>
    <w:basedOn w:val="Normal"/>
    <w:next w:val="Figure"/>
    <w:link w:val="FiguretitleChar"/>
    <w:rsid w:val="00E13253"/>
    <w:pPr>
      <w:keepNext/>
      <w:spacing w:before="0" w:after="120"/>
      <w:jc w:val="center"/>
    </w:pPr>
    <w:rPr>
      <w:rFonts w:ascii="Times New Roman Bold" w:hAnsi="Times New Roman Bold"/>
      <w:b/>
      <w:sz w:val="18"/>
    </w:rPr>
  </w:style>
  <w:style w:type="paragraph" w:customStyle="1" w:styleId="Figure">
    <w:name w:val="Figure"/>
    <w:basedOn w:val="FigureNo"/>
    <w:next w:val="Normal"/>
    <w:rsid w:val="00E13253"/>
    <w:pPr>
      <w:keepNext w:val="0"/>
      <w:spacing w:before="0" w:after="240"/>
    </w:pPr>
  </w:style>
  <w:style w:type="paragraph" w:customStyle="1" w:styleId="tocpart">
    <w:name w:val="tocpart"/>
    <w:basedOn w:val="Normal"/>
    <w:rsid w:val="00E1325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13253"/>
    <w:pPr>
      <w:keepNext/>
      <w:keepLines/>
      <w:spacing w:before="480"/>
      <w:jc w:val="center"/>
    </w:pPr>
    <w:rPr>
      <w:sz w:val="28"/>
    </w:rPr>
  </w:style>
  <w:style w:type="paragraph" w:customStyle="1" w:styleId="Arttitle">
    <w:name w:val="Art_title"/>
    <w:basedOn w:val="Normal"/>
    <w:next w:val="Normal"/>
    <w:rsid w:val="00E13253"/>
    <w:pPr>
      <w:keepNext/>
      <w:keepLines/>
      <w:spacing w:before="240"/>
      <w:jc w:val="center"/>
    </w:pPr>
    <w:rPr>
      <w:b/>
      <w:sz w:val="26"/>
    </w:rPr>
  </w:style>
  <w:style w:type="paragraph" w:customStyle="1" w:styleId="Blanc">
    <w:name w:val="Blanc"/>
    <w:basedOn w:val="Normal"/>
    <w:next w:val="Tabletext"/>
    <w:rsid w:val="00E1325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1325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13253"/>
    <w:pPr>
      <w:keepNext/>
      <w:keepLines/>
      <w:spacing w:before="160"/>
      <w:ind w:left="794"/>
    </w:pPr>
    <w:rPr>
      <w:i/>
    </w:rPr>
  </w:style>
  <w:style w:type="paragraph" w:customStyle="1" w:styleId="ChapNo">
    <w:name w:val="Chap_No"/>
    <w:basedOn w:val="ArtNo"/>
    <w:next w:val="Chaptitle"/>
    <w:rsid w:val="00E13253"/>
    <w:rPr>
      <w:b/>
      <w:sz w:val="26"/>
    </w:rPr>
  </w:style>
  <w:style w:type="paragraph" w:customStyle="1" w:styleId="Chaptitle">
    <w:name w:val="Chap_title"/>
    <w:basedOn w:val="Arttitle"/>
    <w:next w:val="Normal"/>
    <w:rsid w:val="00E13253"/>
  </w:style>
  <w:style w:type="character" w:styleId="FootnoteReference">
    <w:name w:val="footnote reference"/>
    <w:basedOn w:val="DefaultParagraphFont"/>
    <w:rsid w:val="00E13253"/>
    <w:rPr>
      <w:position w:val="6"/>
      <w:sz w:val="16"/>
    </w:rPr>
  </w:style>
  <w:style w:type="paragraph" w:styleId="FootnoteText">
    <w:name w:val="footnote text"/>
    <w:basedOn w:val="Normal"/>
    <w:link w:val="FootnoteTextChar"/>
    <w:rsid w:val="00E13253"/>
    <w:pPr>
      <w:keepLines/>
      <w:tabs>
        <w:tab w:val="left" w:pos="284"/>
      </w:tabs>
      <w:spacing w:before="60"/>
      <w:ind w:left="284" w:hanging="284"/>
    </w:pPr>
    <w:rPr>
      <w:sz w:val="20"/>
      <w:lang w:val="ru-RU"/>
    </w:rPr>
  </w:style>
  <w:style w:type="paragraph" w:styleId="Index1">
    <w:name w:val="index 1"/>
    <w:basedOn w:val="Normal"/>
    <w:next w:val="Normal"/>
    <w:semiHidden/>
    <w:rsid w:val="00E13253"/>
  </w:style>
  <w:style w:type="paragraph" w:styleId="Index2">
    <w:name w:val="index 2"/>
    <w:basedOn w:val="Normal"/>
    <w:next w:val="Normal"/>
    <w:semiHidden/>
    <w:rsid w:val="00E13253"/>
    <w:pPr>
      <w:ind w:left="283"/>
    </w:pPr>
  </w:style>
  <w:style w:type="paragraph" w:styleId="Index3">
    <w:name w:val="index 3"/>
    <w:basedOn w:val="Normal"/>
    <w:next w:val="Normal"/>
    <w:semiHidden/>
    <w:rsid w:val="00E13253"/>
    <w:pPr>
      <w:ind w:left="566"/>
    </w:pPr>
  </w:style>
  <w:style w:type="paragraph" w:styleId="IndexHeading">
    <w:name w:val="index heading"/>
    <w:basedOn w:val="Normal"/>
    <w:next w:val="Index1"/>
    <w:semiHidden/>
    <w:rsid w:val="00E13253"/>
  </w:style>
  <w:style w:type="paragraph" w:customStyle="1" w:styleId="Line">
    <w:name w:val="Line"/>
    <w:basedOn w:val="Normal"/>
    <w:next w:val="Normal"/>
    <w:rsid w:val="00E1325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1325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13253"/>
  </w:style>
  <w:style w:type="paragraph" w:customStyle="1" w:styleId="Partref">
    <w:name w:val="Part_ref"/>
    <w:basedOn w:val="Normal"/>
    <w:next w:val="Normal"/>
    <w:rsid w:val="00E13253"/>
    <w:pPr>
      <w:keepNext/>
      <w:keepLines/>
      <w:spacing w:after="280"/>
      <w:jc w:val="center"/>
    </w:pPr>
  </w:style>
  <w:style w:type="paragraph" w:customStyle="1" w:styleId="Parttitle">
    <w:name w:val="Part_title"/>
    <w:basedOn w:val="Normal"/>
    <w:next w:val="Normal"/>
    <w:rsid w:val="00E1325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
    <w:rsid w:val="00E13253"/>
  </w:style>
  <w:style w:type="paragraph" w:customStyle="1" w:styleId="QuestionNo">
    <w:name w:val="Question_No"/>
    <w:basedOn w:val="RecNo"/>
    <w:next w:val="Normal"/>
    <w:rsid w:val="00E13253"/>
  </w:style>
  <w:style w:type="paragraph" w:customStyle="1" w:styleId="Questionref">
    <w:name w:val="Question_ref"/>
    <w:basedOn w:val="Recref"/>
    <w:next w:val="Questiondate"/>
    <w:rsid w:val="00E13253"/>
  </w:style>
  <w:style w:type="paragraph" w:customStyle="1" w:styleId="Questiontitle">
    <w:name w:val="Question_title"/>
    <w:basedOn w:val="Normal"/>
    <w:next w:val="Questionref"/>
    <w:rsid w:val="00E13253"/>
  </w:style>
  <w:style w:type="paragraph" w:customStyle="1" w:styleId="Reftext">
    <w:name w:val="Ref_text"/>
    <w:basedOn w:val="Normal"/>
    <w:rsid w:val="00E13253"/>
    <w:pPr>
      <w:ind w:left="794" w:hanging="794"/>
    </w:pPr>
  </w:style>
  <w:style w:type="paragraph" w:customStyle="1" w:styleId="Reftitle">
    <w:name w:val="Ref_title"/>
    <w:basedOn w:val="Normal"/>
    <w:next w:val="Reftext"/>
    <w:rsid w:val="00E1325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13253"/>
  </w:style>
  <w:style w:type="paragraph" w:customStyle="1" w:styleId="RepNo">
    <w:name w:val="Rep_No"/>
    <w:basedOn w:val="RecNo"/>
    <w:next w:val="Reptitle"/>
    <w:rsid w:val="00E13253"/>
  </w:style>
  <w:style w:type="paragraph" w:customStyle="1" w:styleId="Reptitle">
    <w:name w:val="Rep_title"/>
    <w:basedOn w:val="Rectitle"/>
    <w:next w:val="Repref"/>
    <w:rsid w:val="00E13253"/>
  </w:style>
  <w:style w:type="paragraph" w:customStyle="1" w:styleId="Repref">
    <w:name w:val="Rep_ref"/>
    <w:basedOn w:val="Recref"/>
    <w:next w:val="Repdate"/>
    <w:rsid w:val="00E13253"/>
  </w:style>
  <w:style w:type="paragraph" w:customStyle="1" w:styleId="Resdate">
    <w:name w:val="Res_date"/>
    <w:basedOn w:val="Recdate"/>
    <w:next w:val="Normal"/>
    <w:rsid w:val="00E13253"/>
  </w:style>
  <w:style w:type="paragraph" w:customStyle="1" w:styleId="ResNo">
    <w:name w:val="Res_No"/>
    <w:basedOn w:val="RecNo"/>
    <w:next w:val="Restitle"/>
    <w:rsid w:val="00E13253"/>
  </w:style>
  <w:style w:type="paragraph" w:customStyle="1" w:styleId="Restitle">
    <w:name w:val="Res_title"/>
    <w:basedOn w:val="Normal"/>
    <w:next w:val="Resref"/>
    <w:rsid w:val="00E13253"/>
    <w:pPr>
      <w:spacing w:before="240"/>
      <w:jc w:val="center"/>
    </w:pPr>
    <w:rPr>
      <w:b/>
      <w:sz w:val="28"/>
    </w:rPr>
  </w:style>
  <w:style w:type="paragraph" w:customStyle="1" w:styleId="Resref">
    <w:name w:val="Res_ref"/>
    <w:basedOn w:val="Recref"/>
    <w:next w:val="Resdate"/>
    <w:rsid w:val="00E13253"/>
  </w:style>
  <w:style w:type="paragraph" w:customStyle="1" w:styleId="SectionNo">
    <w:name w:val="Section_No"/>
    <w:basedOn w:val="Normal"/>
    <w:next w:val="Normal"/>
    <w:rsid w:val="00E13253"/>
  </w:style>
  <w:style w:type="paragraph" w:customStyle="1" w:styleId="Sectiontitle">
    <w:name w:val="Section_title"/>
    <w:basedOn w:val="Normal"/>
    <w:next w:val="Normal"/>
    <w:rsid w:val="00E1325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13253"/>
    <w:pPr>
      <w:tabs>
        <w:tab w:val="clear" w:pos="794"/>
        <w:tab w:val="clear" w:pos="1191"/>
        <w:tab w:val="clear" w:pos="1588"/>
        <w:tab w:val="clear" w:pos="1985"/>
        <w:tab w:val="right" w:pos="9611"/>
      </w:tabs>
    </w:pPr>
    <w:rPr>
      <w:i/>
    </w:rPr>
  </w:style>
  <w:style w:type="paragraph" w:styleId="TOC1">
    <w:name w:val="toc 1"/>
    <w:basedOn w:val="Normal"/>
    <w:semiHidden/>
    <w:rsid w:val="00E1325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13253"/>
    <w:pPr>
      <w:tabs>
        <w:tab w:val="clear" w:pos="567"/>
        <w:tab w:val="left" w:pos="1276"/>
      </w:tabs>
      <w:spacing w:before="160"/>
      <w:ind w:left="1276" w:hanging="709"/>
    </w:pPr>
  </w:style>
  <w:style w:type="paragraph" w:styleId="TOC3">
    <w:name w:val="toc 3"/>
    <w:basedOn w:val="TOC2"/>
    <w:semiHidden/>
    <w:rsid w:val="00E13253"/>
    <w:pPr>
      <w:tabs>
        <w:tab w:val="clear" w:pos="1276"/>
        <w:tab w:val="left" w:pos="2155"/>
      </w:tabs>
      <w:ind w:left="2155" w:hanging="879"/>
    </w:pPr>
  </w:style>
  <w:style w:type="paragraph" w:styleId="TOC4">
    <w:name w:val="toc 4"/>
    <w:basedOn w:val="TOC3"/>
    <w:semiHidden/>
    <w:rsid w:val="00E13253"/>
    <w:pPr>
      <w:tabs>
        <w:tab w:val="left" w:pos="3261"/>
      </w:tabs>
      <w:spacing w:before="80"/>
      <w:ind w:left="3261" w:hanging="993"/>
    </w:pPr>
  </w:style>
  <w:style w:type="paragraph" w:styleId="TOC5">
    <w:name w:val="toc 5"/>
    <w:basedOn w:val="TOC4"/>
    <w:semiHidden/>
    <w:rsid w:val="00E13253"/>
  </w:style>
  <w:style w:type="paragraph" w:styleId="TOC6">
    <w:name w:val="toc 6"/>
    <w:basedOn w:val="TOC4"/>
    <w:semiHidden/>
    <w:rsid w:val="00E13253"/>
  </w:style>
  <w:style w:type="paragraph" w:styleId="TOC7">
    <w:name w:val="toc 7"/>
    <w:basedOn w:val="TOC4"/>
    <w:semiHidden/>
    <w:rsid w:val="00E13253"/>
  </w:style>
  <w:style w:type="paragraph" w:styleId="TOC8">
    <w:name w:val="toc 8"/>
    <w:basedOn w:val="TOC4"/>
    <w:semiHidden/>
    <w:rsid w:val="00E13253"/>
  </w:style>
  <w:style w:type="paragraph" w:customStyle="1" w:styleId="Annexref">
    <w:name w:val="Annex_ref"/>
    <w:basedOn w:val="Normal"/>
    <w:next w:val="Normal"/>
    <w:rsid w:val="00E13253"/>
    <w:pPr>
      <w:keepNext/>
      <w:keepLines/>
      <w:spacing w:after="280"/>
      <w:jc w:val="center"/>
    </w:pPr>
  </w:style>
  <w:style w:type="paragraph" w:customStyle="1" w:styleId="Appendixref">
    <w:name w:val="Appendix_ref"/>
    <w:basedOn w:val="Annexref"/>
    <w:next w:val="Normal"/>
    <w:rsid w:val="00E13253"/>
  </w:style>
  <w:style w:type="paragraph" w:customStyle="1" w:styleId="Tabletitle">
    <w:name w:val="Table_title"/>
    <w:basedOn w:val="Normal"/>
    <w:next w:val="Tablehead"/>
    <w:rsid w:val="00E13253"/>
    <w:pPr>
      <w:keepNext/>
      <w:spacing w:before="0" w:after="120"/>
      <w:jc w:val="center"/>
    </w:pPr>
    <w:rPr>
      <w:b/>
      <w:sz w:val="20"/>
    </w:rPr>
  </w:style>
  <w:style w:type="paragraph" w:customStyle="1" w:styleId="Summary">
    <w:name w:val="Summary"/>
    <w:basedOn w:val="Normal"/>
    <w:next w:val="Normal"/>
    <w:autoRedefine/>
    <w:rsid w:val="00E13253"/>
    <w:pPr>
      <w:spacing w:after="480"/>
    </w:pPr>
    <w:rPr>
      <w:lang w:val="es-ES_tradnl"/>
    </w:rPr>
  </w:style>
  <w:style w:type="character" w:styleId="Hyperlink">
    <w:name w:val="Hyperlink"/>
    <w:basedOn w:val="DefaultParagraphFont"/>
    <w:rsid w:val="00E13253"/>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E13253"/>
    <w:pPr>
      <w:ind w:left="-85" w:firstLine="0"/>
    </w:pPr>
    <w:rPr>
      <w:lang w:val="en-US"/>
    </w:rPr>
  </w:style>
  <w:style w:type="character" w:customStyle="1" w:styleId="Heading1Char">
    <w:name w:val="Heading 1 Char"/>
    <w:basedOn w:val="DefaultParagraphFont"/>
    <w:link w:val="Heading1"/>
    <w:rsid w:val="007F5A9D"/>
    <w:rPr>
      <w:b/>
      <w:sz w:val="22"/>
      <w:lang w:val="fr-FR" w:eastAsia="en-US"/>
    </w:rPr>
  </w:style>
  <w:style w:type="character" w:customStyle="1" w:styleId="CallChar">
    <w:name w:val="Call Char"/>
    <w:link w:val="Call"/>
    <w:locked/>
    <w:rsid w:val="00E13253"/>
    <w:rPr>
      <w:i/>
      <w:sz w:val="22"/>
      <w:lang w:val="fr-FR" w:eastAsia="en-US"/>
    </w:rPr>
  </w:style>
  <w:style w:type="character" w:customStyle="1" w:styleId="FootnoteTextChar">
    <w:name w:val="Footnote Text Char"/>
    <w:basedOn w:val="DefaultParagraphFont"/>
    <w:link w:val="FootnoteText"/>
    <w:rsid w:val="00E13253"/>
    <w:rPr>
      <w:lang w:val="ru-RU" w:eastAsia="en-US"/>
    </w:rPr>
  </w:style>
  <w:style w:type="character" w:customStyle="1" w:styleId="NormalaftertitleChar">
    <w:name w:val="Normal_after_title Char"/>
    <w:link w:val="Normalaftertitle"/>
    <w:locked/>
    <w:rsid w:val="007F5A9D"/>
    <w:rPr>
      <w:sz w:val="22"/>
      <w:lang w:val="fr-FR" w:eastAsia="en-US"/>
    </w:rPr>
  </w:style>
  <w:style w:type="character" w:customStyle="1" w:styleId="TabletextChar">
    <w:name w:val="Table_text Char"/>
    <w:link w:val="Tabletext"/>
    <w:locked/>
    <w:rsid w:val="00E13253"/>
    <w:rPr>
      <w:lang w:val="fr-FR" w:eastAsia="en-US"/>
    </w:rPr>
  </w:style>
  <w:style w:type="character" w:customStyle="1" w:styleId="HeadingbChar">
    <w:name w:val="Heading_b Char"/>
    <w:link w:val="Headingb"/>
    <w:locked/>
    <w:rsid w:val="00E13253"/>
    <w:rPr>
      <w:b/>
      <w:sz w:val="22"/>
      <w:lang w:val="fr-FR" w:eastAsia="en-US"/>
    </w:rPr>
  </w:style>
  <w:style w:type="character" w:customStyle="1" w:styleId="FiguretitleChar">
    <w:name w:val="Figure_title Char"/>
    <w:basedOn w:val="DefaultParagraphFont"/>
    <w:link w:val="Figuretitle"/>
    <w:locked/>
    <w:rsid w:val="007F5A9D"/>
    <w:rPr>
      <w:rFonts w:ascii="Times New Roman Bold" w:hAnsi="Times New Roman Bold"/>
      <w:b/>
      <w:sz w:val="18"/>
      <w:lang w:val="fr-FR" w:eastAsia="en-US"/>
    </w:rPr>
  </w:style>
  <w:style w:type="character" w:customStyle="1" w:styleId="FigureNoChar">
    <w:name w:val="Figure_No Char"/>
    <w:basedOn w:val="DefaultParagraphFont"/>
    <w:link w:val="FigureNo"/>
    <w:locked/>
    <w:rsid w:val="007F5A9D"/>
    <w:rPr>
      <w:caps/>
      <w:sz w:val="18"/>
      <w:lang w:val="fr-FR" w:eastAsia="en-US"/>
    </w:rPr>
  </w:style>
  <w:style w:type="table" w:styleId="TableGrid">
    <w:name w:val="Table Grid"/>
    <w:basedOn w:val="TableNormal"/>
    <w:rsid w:val="007F5A9D"/>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7F5A9D"/>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enumlev1Char">
    <w:name w:val="enumlev1 Char"/>
    <w:basedOn w:val="DefaultParagraphFont"/>
    <w:link w:val="enumlev1"/>
    <w:locked/>
    <w:rsid w:val="00E13253"/>
    <w:rPr>
      <w:sz w:val="22"/>
      <w:lang w:val="fr-FR" w:eastAsia="en-US"/>
    </w:rPr>
  </w:style>
  <w:style w:type="character" w:customStyle="1" w:styleId="FooterChar">
    <w:name w:val="Footer Char"/>
    <w:basedOn w:val="DefaultParagraphFont"/>
    <w:link w:val="Footer"/>
    <w:rsid w:val="00E13253"/>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C513-56DC-4486-B333-D78C2FE0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33</TotalTime>
  <Pages>10</Pages>
  <Words>2535</Words>
  <Characters>17538</Characters>
  <Application>Microsoft Office Word</Application>
  <DocSecurity>0</DocSecurity>
  <Lines>626</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19972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2019-07-22T12:37:00Z</cp:lastPrinted>
  <dcterms:created xsi:type="dcterms:W3CDTF">2019-07-22T09:35:00Z</dcterms:created>
  <dcterms:modified xsi:type="dcterms:W3CDTF">2019-07-22T12:39:00Z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