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1B59E5" w:rsidP="00674325">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ITU-R  SA.1161</w:t>
            </w:r>
            <w:r w:rsidR="006F20D8" w:rsidRPr="00106F6E">
              <w:rPr>
                <w:rFonts w:ascii="Tahoma" w:hAnsi="Tahoma" w:cs="Tahoma"/>
                <w:b/>
                <w:bCs/>
                <w:iCs/>
                <w:color w:val="243285"/>
                <w:sz w:val="36"/>
                <w:szCs w:val="36"/>
                <w:lang w:val="fr-CH"/>
              </w:rPr>
              <w:t>-</w:t>
            </w:r>
            <w:r w:rsidR="00E24A3D">
              <w:rPr>
                <w:rFonts w:ascii="Tahoma" w:hAnsi="Tahoma" w:cs="Tahoma"/>
                <w:b/>
                <w:bCs/>
                <w:iCs/>
                <w:color w:val="243285"/>
                <w:sz w:val="36"/>
                <w:szCs w:val="36"/>
                <w:lang w:val="fr-CH"/>
              </w:rPr>
              <w:t>2</w:t>
            </w:r>
            <w:r w:rsidR="00361A9B">
              <w:rPr>
                <w:rFonts w:ascii="Tahoma" w:hAnsi="Tahoma" w:cs="Tahoma"/>
                <w:b/>
                <w:bCs/>
                <w:iCs/>
                <w:color w:val="243285"/>
                <w:sz w:val="36"/>
                <w:szCs w:val="36"/>
                <w:lang w:val="fr-CH"/>
              </w:rPr>
              <w:t xml:space="preserve"> </w:t>
            </w:r>
            <w:r w:rsidR="006F20D8" w:rsidRPr="00106F6E">
              <w:rPr>
                <w:rFonts w:ascii="SimHei" w:eastAsia="SimHei" w:hAnsi="SimHei" w:hint="eastAsia"/>
                <w:b/>
                <w:bCs/>
                <w:iCs/>
                <w:color w:val="243285"/>
                <w:sz w:val="36"/>
                <w:szCs w:val="36"/>
                <w:lang w:val="fr-CH"/>
              </w:rPr>
              <w:t>建议书</w:t>
            </w:r>
          </w:p>
          <w:p w:rsidR="006F20D8" w:rsidRPr="008C153E" w:rsidRDefault="00863516" w:rsidP="00E24A3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1B59E5">
              <w:rPr>
                <w:rFonts w:ascii="Tahoma" w:hAnsi="Tahoma" w:cs="Tahoma"/>
                <w:b/>
                <w:bCs/>
                <w:iCs/>
                <w:color w:val="243285"/>
                <w:szCs w:val="24"/>
                <w:lang w:val="fr-CH"/>
              </w:rPr>
              <w:t>09</w:t>
            </w:r>
            <w:r w:rsidRPr="0081070A">
              <w:rPr>
                <w:rFonts w:ascii="Tahoma" w:hAnsi="Tahoma" w:cs="Tahoma"/>
                <w:b/>
                <w:bCs/>
                <w:iCs/>
                <w:color w:val="243285"/>
                <w:szCs w:val="24"/>
                <w:lang w:val="fr-CH"/>
              </w:rPr>
              <w:t>/</w:t>
            </w:r>
            <w:r>
              <w:rPr>
                <w:rFonts w:ascii="Tahoma" w:hAnsi="Tahoma" w:cs="Tahoma"/>
                <w:b/>
                <w:bCs/>
                <w:iCs/>
                <w:color w:val="243285"/>
                <w:szCs w:val="24"/>
                <w:lang w:val="fr-CH"/>
              </w:rPr>
              <w:t>201</w:t>
            </w:r>
            <w:r w:rsidR="00E24A3D">
              <w:rPr>
                <w:rFonts w:ascii="Tahoma" w:hAnsi="Tahoma" w:cs="Tahoma"/>
                <w:b/>
                <w:bCs/>
                <w:iCs/>
                <w:color w:val="243285"/>
                <w:szCs w:val="24"/>
                <w:lang w:val="fr-CH"/>
              </w:rPr>
              <w:t>7</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6F20D8" w:rsidRPr="001B59E5" w:rsidRDefault="001B59E5" w:rsidP="001B59E5">
            <w:pPr>
              <w:spacing w:before="80" w:line="500" w:lineRule="exact"/>
              <w:jc w:val="right"/>
              <w:rPr>
                <w:rFonts w:ascii="SimHei" w:eastAsia="SimHei" w:hAnsi="SimHei"/>
                <w:b/>
                <w:bCs/>
                <w:iCs/>
                <w:color w:val="243285"/>
                <w:sz w:val="44"/>
                <w:szCs w:val="44"/>
                <w:lang w:val="en-GB" w:eastAsia="zh-CN"/>
              </w:rPr>
            </w:pPr>
            <w:r w:rsidRPr="001B59E5">
              <w:rPr>
                <w:rFonts w:ascii="SimHei" w:eastAsia="SimHei" w:hAnsi="SimHei" w:hint="eastAsia"/>
                <w:b/>
                <w:bCs/>
                <w:iCs/>
                <w:color w:val="243285"/>
                <w:sz w:val="44"/>
                <w:szCs w:val="44"/>
                <w:lang w:val="en-GB" w:eastAsia="zh-CN"/>
              </w:rPr>
              <w:t>使用对地静止轨道的卫星地球探测业务和</w:t>
            </w:r>
            <w:r>
              <w:rPr>
                <w:rFonts w:ascii="SimHei" w:eastAsia="SimHei" w:hAnsi="SimHei"/>
                <w:b/>
                <w:bCs/>
                <w:iCs/>
                <w:color w:val="243285"/>
                <w:sz w:val="44"/>
                <w:szCs w:val="44"/>
                <w:lang w:val="en-GB" w:eastAsia="zh-CN"/>
              </w:rPr>
              <w:br/>
            </w:r>
            <w:r w:rsidRPr="001B59E5">
              <w:rPr>
                <w:rFonts w:ascii="SimHei" w:eastAsia="SimHei" w:hAnsi="SimHei" w:hint="eastAsia"/>
                <w:b/>
                <w:bCs/>
                <w:iCs/>
                <w:color w:val="243285"/>
                <w:sz w:val="44"/>
                <w:szCs w:val="44"/>
                <w:lang w:val="en-GB" w:eastAsia="zh-CN"/>
              </w:rPr>
              <w:t>卫星气象业务中的数据传输系统的</w:t>
            </w:r>
            <w:r>
              <w:rPr>
                <w:rFonts w:ascii="SimHei" w:eastAsia="SimHei" w:hAnsi="SimHei"/>
                <w:b/>
                <w:bCs/>
                <w:iCs/>
                <w:color w:val="243285"/>
                <w:sz w:val="44"/>
                <w:szCs w:val="44"/>
                <w:lang w:val="en-GB" w:eastAsia="zh-CN"/>
              </w:rPr>
              <w:br/>
            </w:r>
            <w:r w:rsidRPr="001B59E5">
              <w:rPr>
                <w:rFonts w:ascii="SimHei" w:eastAsia="SimHei" w:hAnsi="SimHei" w:hint="eastAsia"/>
                <w:b/>
                <w:bCs/>
                <w:iCs/>
                <w:color w:val="243285"/>
                <w:sz w:val="44"/>
                <w:szCs w:val="44"/>
                <w:lang w:val="en-GB" w:eastAsia="zh-CN"/>
              </w:rPr>
              <w:t>共用和协调标准</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rsidR="00940538" w:rsidRPr="00674325" w:rsidRDefault="00940538" w:rsidP="00940538">
      <w:pPr>
        <w:spacing w:before="0"/>
        <w:rPr>
          <w:sz w:val="4"/>
          <w:szCs w:val="4"/>
          <w:lang w:val="en-US" w:eastAsia="zh-CN"/>
        </w:rPr>
      </w:pPr>
      <w:bookmarkStart w:id="0" w:name="c2tope"/>
      <w:bookmarkEnd w:id="0"/>
    </w:p>
    <w:p w:rsidR="00106F6E" w:rsidRPr="00586EF8" w:rsidRDefault="00106F6E" w:rsidP="00106F6E">
      <w:pPr>
        <w:pStyle w:val="Heading1"/>
        <w:spacing w:before="120"/>
        <w:jc w:val="center"/>
        <w:rPr>
          <w:lang w:val="en-US" w:eastAsia="zh-CN"/>
        </w:rPr>
      </w:pPr>
      <w:r>
        <w:rPr>
          <w:rFonts w:hint="eastAsia"/>
          <w:lang w:val="fr-CH" w:eastAsia="zh-CN"/>
        </w:rPr>
        <w:t>前言</w:t>
      </w:r>
    </w:p>
    <w:p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bookmarkStart w:id="1" w:name="_GoBack"/>
      <w:bookmarkEnd w:id="1"/>
    </w:p>
    <w:p w:rsidR="00106F6E" w:rsidRPr="00943821" w:rsidRDefault="00106F6E" w:rsidP="003F4F8B">
      <w:pPr>
        <w:pStyle w:val="Heading1"/>
        <w:spacing w:before="600"/>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F6E" w:rsidRDefault="00106F6E" w:rsidP="00106F6E">
      <w:pPr>
        <w:jc w:val="center"/>
        <w:rPr>
          <w:sz w:val="22"/>
          <w:lang w:val="en-US" w:eastAsia="zh-CN"/>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Tr="009C775A">
        <w:tc>
          <w:tcPr>
            <w:tcW w:w="9748" w:type="dxa"/>
            <w:gridSpan w:val="2"/>
          </w:tcPr>
          <w:p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9C775A">
        <w:tc>
          <w:tcPr>
            <w:tcW w:w="960" w:type="dxa"/>
          </w:tcPr>
          <w:p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9C775A">
        <w:tc>
          <w:tcPr>
            <w:tcW w:w="960" w:type="dxa"/>
            <w:tcBorders>
              <w:bottom w:val="nil"/>
            </w:tcBorders>
          </w:tcPr>
          <w:p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9C775A">
        <w:tc>
          <w:tcPr>
            <w:tcW w:w="960" w:type="dxa"/>
            <w:tcBorders>
              <w:top w:val="nil"/>
              <w:bottom w:val="nil"/>
            </w:tcBorders>
            <w:shd w:val="clear" w:color="auto" w:fill="auto"/>
          </w:tcPr>
          <w:p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9C775A">
        <w:tc>
          <w:tcPr>
            <w:tcW w:w="960" w:type="dxa"/>
            <w:tcBorders>
              <w:top w:val="nil"/>
            </w:tcBorders>
            <w:shd w:val="clear" w:color="auto" w:fill="FFFFFF" w:themeFill="background1"/>
          </w:tcPr>
          <w:p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9C775A">
            <w:pPr>
              <w:spacing w:before="30" w:after="30"/>
              <w:jc w:val="left"/>
              <w:rPr>
                <w:sz w:val="20"/>
                <w:lang w:val="fr-CH"/>
              </w:rPr>
            </w:pPr>
            <w:r w:rsidRPr="00ED017E">
              <w:rPr>
                <w:rFonts w:hint="eastAsia"/>
                <w:sz w:val="20"/>
                <w:lang w:val="fr-CH"/>
              </w:rPr>
              <w:t>无线电波传播</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9C775A">
            <w:pPr>
              <w:spacing w:before="30" w:after="30"/>
              <w:jc w:val="left"/>
              <w:rPr>
                <w:sz w:val="20"/>
                <w:lang w:val="en-US"/>
              </w:rPr>
            </w:pPr>
            <w:r w:rsidRPr="002C01E1">
              <w:rPr>
                <w:rFonts w:hint="eastAsia"/>
                <w:sz w:val="20"/>
                <w:lang w:val="en-US"/>
              </w:rPr>
              <w:t>卫星固定业务</w:t>
            </w:r>
          </w:p>
        </w:tc>
      </w:tr>
      <w:tr w:rsidR="00106F6E" w:rsidRPr="00355C93" w:rsidTr="00106F6E">
        <w:tc>
          <w:tcPr>
            <w:tcW w:w="960" w:type="dxa"/>
            <w:tcBorders>
              <w:top w:val="nil"/>
              <w:bottom w:val="nil"/>
            </w:tcBorders>
            <w:shd w:val="pct5" w:color="auto" w:fill="auto"/>
          </w:tcPr>
          <w:p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9C775A">
            <w:pPr>
              <w:spacing w:before="30" w:after="30"/>
              <w:jc w:val="left"/>
              <w:rPr>
                <w:b/>
                <w:bCs/>
                <w:color w:val="000080"/>
                <w:sz w:val="20"/>
                <w:lang w:val="en-US"/>
              </w:rPr>
            </w:pPr>
            <w:r w:rsidRPr="00106F6E">
              <w:rPr>
                <w:rFonts w:hint="eastAsia"/>
                <w:b/>
                <w:bCs/>
                <w:color w:val="000080"/>
                <w:sz w:val="20"/>
                <w:lang w:val="en-US"/>
              </w:rPr>
              <w:t>空间应用和气象</w:t>
            </w:r>
          </w:p>
        </w:tc>
      </w:tr>
      <w:tr w:rsidR="00106F6E" w:rsidRPr="00355C93" w:rsidTr="00106F6E">
        <w:tc>
          <w:tcPr>
            <w:tcW w:w="960" w:type="dxa"/>
            <w:tcBorders>
              <w:top w:val="nil"/>
              <w:bottom w:val="nil"/>
            </w:tcBorders>
          </w:tcPr>
          <w:p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9C775A">
        <w:tc>
          <w:tcPr>
            <w:tcW w:w="960" w:type="dxa"/>
            <w:tcBorders>
              <w:top w:val="nil"/>
            </w:tcBorders>
          </w:tcPr>
          <w:p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rsidTr="009C775A">
        <w:tc>
          <w:tcPr>
            <w:tcW w:w="9775" w:type="dxa"/>
          </w:tcPr>
          <w:p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361A9B">
        <w:rPr>
          <w:sz w:val="20"/>
          <w:lang w:eastAsia="zh-CN"/>
        </w:rPr>
        <w:t>8</w:t>
      </w:r>
      <w:r w:rsidRPr="00355C93">
        <w:rPr>
          <w:rFonts w:hint="eastAsia"/>
          <w:sz w:val="20"/>
          <w:lang w:eastAsia="zh-CN"/>
        </w:rPr>
        <w:t>年，日内瓦</w:t>
      </w:r>
    </w:p>
    <w:p w:rsidR="00106F6E" w:rsidRDefault="00106F6E" w:rsidP="00106F6E">
      <w:pPr>
        <w:rPr>
          <w:szCs w:val="24"/>
          <w:lang w:eastAsia="zh-CN"/>
        </w:rPr>
      </w:pPr>
    </w:p>
    <w:p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361A9B">
        <w:rPr>
          <w:sz w:val="20"/>
          <w:lang w:val="en-US" w:eastAsia="zh-CN"/>
        </w:rPr>
        <w:t>8</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6F20D8" w:rsidRPr="008C153E" w:rsidRDefault="001B59E5" w:rsidP="001B59E5">
      <w:pPr>
        <w:pStyle w:val="RecNoBR"/>
        <w:spacing w:before="0"/>
        <w:rPr>
          <w:lang w:val="en-US" w:eastAsia="zh-CN"/>
        </w:rPr>
      </w:pPr>
      <w:bookmarkStart w:id="2" w:name="irecnoe"/>
      <w:bookmarkEnd w:id="2"/>
      <w:r>
        <w:rPr>
          <w:lang w:eastAsia="zh-CN"/>
        </w:rPr>
        <w:lastRenderedPageBreak/>
        <w:t>ITU-R  SA.1161</w:t>
      </w:r>
      <w:r w:rsidR="006F20D8" w:rsidRPr="00863516">
        <w:rPr>
          <w:lang w:eastAsia="zh-CN"/>
        </w:rPr>
        <w:t>-</w:t>
      </w:r>
      <w:r w:rsidR="00674325">
        <w:rPr>
          <w:lang w:eastAsia="zh-CN"/>
        </w:rPr>
        <w:t>2</w:t>
      </w:r>
      <w:r w:rsidR="00361A9B">
        <w:rPr>
          <w:lang w:eastAsia="zh-CN"/>
        </w:rPr>
        <w:t xml:space="preserve"> </w:t>
      </w:r>
      <w:r w:rsidR="006F20D8" w:rsidRPr="00863516">
        <w:rPr>
          <w:rFonts w:hint="eastAsia"/>
          <w:lang w:eastAsia="zh-CN"/>
        </w:rPr>
        <w:t>建议书</w:t>
      </w:r>
    </w:p>
    <w:p w:rsidR="006F20D8" w:rsidRPr="008C153E" w:rsidRDefault="001B59E5" w:rsidP="001B59E5">
      <w:pPr>
        <w:pStyle w:val="RectitleBR"/>
        <w:rPr>
          <w:lang w:val="en-US" w:eastAsia="zh-CN"/>
        </w:rPr>
      </w:pPr>
      <w:r w:rsidRPr="001B59E5">
        <w:rPr>
          <w:rFonts w:hint="eastAsia"/>
          <w:lang w:val="en-US" w:eastAsia="zh-CN"/>
        </w:rPr>
        <w:t>使用对地静止轨道的卫星地球探测业务</w:t>
      </w:r>
      <w:r>
        <w:rPr>
          <w:lang w:val="en-US" w:eastAsia="zh-CN"/>
        </w:rPr>
        <w:br/>
      </w:r>
      <w:r w:rsidRPr="001B59E5">
        <w:rPr>
          <w:rFonts w:hint="eastAsia"/>
          <w:lang w:val="en-US" w:eastAsia="zh-CN"/>
        </w:rPr>
        <w:t>和卫星气象业务中的数据传输系统的共用和协调标准</w:t>
      </w:r>
    </w:p>
    <w:p w:rsidR="00E24A3D" w:rsidRPr="001B59E5" w:rsidRDefault="006F20D8" w:rsidP="001B59E5">
      <w:pPr>
        <w:pStyle w:val="Recdate"/>
        <w:tabs>
          <w:tab w:val="left" w:pos="7830"/>
        </w:tabs>
        <w:rPr>
          <w:lang w:val="en-US" w:eastAsia="zh-CN"/>
        </w:rPr>
      </w:pPr>
      <w:r>
        <w:rPr>
          <w:rFonts w:hint="eastAsia"/>
          <w:lang w:val="en-US" w:eastAsia="zh-CN"/>
        </w:rPr>
        <w:t>（</w:t>
      </w:r>
      <w:r w:rsidR="001B59E5">
        <w:rPr>
          <w:lang w:val="en-US" w:eastAsia="zh-CN"/>
        </w:rPr>
        <w:t>1995-1999</w:t>
      </w:r>
      <w:r w:rsidR="00E24A3D">
        <w:rPr>
          <w:lang w:val="en-US" w:eastAsia="zh-CN"/>
        </w:rPr>
        <w:t>-2017</w:t>
      </w:r>
      <w:r w:rsidR="001B59E5" w:rsidRPr="001B59E5">
        <w:rPr>
          <w:rFonts w:hint="eastAsia"/>
          <w:lang w:val="en-US" w:eastAsia="zh-CN"/>
        </w:rPr>
        <w:t>年</w:t>
      </w:r>
      <w:r>
        <w:rPr>
          <w:rFonts w:hint="eastAsia"/>
          <w:lang w:val="en-US" w:eastAsia="zh-CN"/>
        </w:rPr>
        <w:t>）</w:t>
      </w:r>
    </w:p>
    <w:p w:rsidR="001B59E5" w:rsidRPr="001B59E5" w:rsidRDefault="001B59E5" w:rsidP="001B59E5">
      <w:pPr>
        <w:pStyle w:val="Heading1"/>
        <w:rPr>
          <w:szCs w:val="24"/>
          <w:lang w:val="en-US" w:eastAsia="zh-CN"/>
        </w:rPr>
      </w:pPr>
      <w:r w:rsidRPr="001B59E5">
        <w:rPr>
          <w:rFonts w:hint="eastAsia"/>
          <w:szCs w:val="24"/>
          <w:lang w:eastAsia="zh-CN"/>
        </w:rPr>
        <w:t>范围</w:t>
      </w:r>
    </w:p>
    <w:p w:rsidR="001B59E5" w:rsidRPr="001B59E5" w:rsidRDefault="001B59E5" w:rsidP="001B59E5">
      <w:pPr>
        <w:pStyle w:val="Summary"/>
        <w:spacing w:after="240"/>
        <w:ind w:firstLine="540"/>
        <w:rPr>
          <w:sz w:val="24"/>
          <w:szCs w:val="24"/>
          <w:lang w:val="en-US" w:eastAsia="zh-CN"/>
        </w:rPr>
      </w:pPr>
      <w:bookmarkStart w:id="3" w:name="lt_pId059"/>
      <w:r w:rsidRPr="001B59E5">
        <w:rPr>
          <w:rFonts w:hint="eastAsia"/>
          <w:sz w:val="24"/>
          <w:szCs w:val="24"/>
          <w:lang w:val="en-GB" w:eastAsia="zh-CN"/>
        </w:rPr>
        <w:t>本建议书的目标是为</w:t>
      </w:r>
      <w:r w:rsidRPr="001B59E5">
        <w:rPr>
          <w:rFonts w:hint="eastAsia"/>
          <w:sz w:val="24"/>
          <w:szCs w:val="24"/>
          <w:lang w:eastAsia="zh-CN"/>
        </w:rPr>
        <w:t>卫星地球探测业务和卫星气象业务中的</w:t>
      </w:r>
      <w:r w:rsidRPr="001B59E5">
        <w:rPr>
          <w:rFonts w:hint="eastAsia"/>
          <w:sz w:val="24"/>
          <w:szCs w:val="24"/>
          <w:lang w:eastAsia="zh-CN"/>
        </w:rPr>
        <w:t>GSO</w:t>
      </w:r>
      <w:r w:rsidRPr="001B59E5">
        <w:rPr>
          <w:rFonts w:hint="eastAsia"/>
          <w:sz w:val="24"/>
          <w:szCs w:val="24"/>
          <w:lang w:eastAsia="zh-CN"/>
        </w:rPr>
        <w:t>卫星数据传输链路</w:t>
      </w:r>
      <w:r w:rsidRPr="001B59E5">
        <w:rPr>
          <w:rFonts w:hint="eastAsia"/>
          <w:sz w:val="24"/>
          <w:szCs w:val="24"/>
          <w:lang w:val="en-GB" w:eastAsia="zh-CN"/>
        </w:rPr>
        <w:t>提供共用和协调标准。</w:t>
      </w:r>
      <w:bookmarkEnd w:id="3"/>
    </w:p>
    <w:p w:rsidR="001B59E5" w:rsidRPr="001B59E5" w:rsidRDefault="001B59E5" w:rsidP="001B59E5">
      <w:pPr>
        <w:pStyle w:val="Headingb"/>
        <w:spacing w:before="240"/>
        <w:rPr>
          <w:szCs w:val="24"/>
          <w:lang w:val="en-US" w:eastAsia="zh-CN"/>
        </w:rPr>
      </w:pPr>
      <w:r w:rsidRPr="001B59E5">
        <w:rPr>
          <w:rFonts w:hint="eastAsia"/>
          <w:szCs w:val="24"/>
          <w:lang w:val="en-US" w:eastAsia="zh-CN"/>
        </w:rPr>
        <w:t>关键词</w:t>
      </w:r>
    </w:p>
    <w:p w:rsidR="001B59E5" w:rsidRPr="001B59E5" w:rsidRDefault="001B59E5" w:rsidP="001B59E5">
      <w:pPr>
        <w:ind w:firstLineChars="200" w:firstLine="480"/>
        <w:rPr>
          <w:szCs w:val="24"/>
          <w:lang w:val="en-GB" w:eastAsia="zh-CN"/>
        </w:rPr>
      </w:pPr>
      <w:bookmarkStart w:id="4" w:name="lt_pId061"/>
      <w:r w:rsidRPr="001B59E5">
        <w:rPr>
          <w:rFonts w:hint="eastAsia"/>
          <w:szCs w:val="24"/>
          <w:lang w:val="en-GB" w:eastAsia="zh-CN"/>
        </w:rPr>
        <w:t>卫星地球探测业务（</w:t>
      </w:r>
      <w:r w:rsidRPr="001B59E5">
        <w:rPr>
          <w:szCs w:val="24"/>
          <w:lang w:val="en-GB" w:eastAsia="zh-CN"/>
        </w:rPr>
        <w:t>EESS</w:t>
      </w:r>
      <w:r w:rsidRPr="001B59E5">
        <w:rPr>
          <w:rFonts w:hint="eastAsia"/>
          <w:szCs w:val="24"/>
          <w:lang w:val="en-GB" w:eastAsia="zh-CN"/>
        </w:rPr>
        <w:t>）、气象卫星（</w:t>
      </w:r>
      <w:r w:rsidRPr="001B59E5">
        <w:rPr>
          <w:szCs w:val="24"/>
          <w:lang w:val="en-GB" w:eastAsia="zh-CN"/>
        </w:rPr>
        <w:t>MetSat</w:t>
      </w:r>
      <w:r w:rsidRPr="001B59E5">
        <w:rPr>
          <w:rFonts w:hint="eastAsia"/>
          <w:szCs w:val="24"/>
          <w:lang w:val="en-GB" w:eastAsia="zh-CN"/>
        </w:rPr>
        <w:t>）、</w:t>
      </w:r>
      <w:r w:rsidRPr="001B59E5">
        <w:rPr>
          <w:szCs w:val="24"/>
          <w:lang w:val="en-GB" w:eastAsia="zh-CN"/>
        </w:rPr>
        <w:t>GSO</w:t>
      </w:r>
      <w:r w:rsidRPr="001B59E5">
        <w:rPr>
          <w:rFonts w:hint="eastAsia"/>
          <w:szCs w:val="24"/>
          <w:lang w:val="en-GB" w:eastAsia="zh-CN"/>
        </w:rPr>
        <w:t>卫星、数据传输、共用标准</w:t>
      </w:r>
      <w:bookmarkEnd w:id="4"/>
    </w:p>
    <w:p w:rsidR="001B59E5" w:rsidRPr="001B59E5" w:rsidRDefault="001B59E5" w:rsidP="001B59E5">
      <w:pPr>
        <w:pStyle w:val="Headingb"/>
        <w:spacing w:before="240"/>
        <w:rPr>
          <w:szCs w:val="24"/>
          <w:lang w:val="en-GB" w:eastAsia="zh-CN"/>
        </w:rPr>
      </w:pPr>
      <w:r w:rsidRPr="001B59E5">
        <w:rPr>
          <w:rFonts w:hint="eastAsia"/>
          <w:szCs w:val="24"/>
          <w:lang w:val="en-GB" w:eastAsia="zh-CN"/>
        </w:rPr>
        <w:t>相关的建议书和报告</w:t>
      </w:r>
    </w:p>
    <w:p w:rsidR="001B59E5" w:rsidRPr="00C84011" w:rsidRDefault="001B59E5" w:rsidP="00C522CA">
      <w:pPr>
        <w:ind w:firstLineChars="200" w:firstLine="480"/>
        <w:rPr>
          <w:lang w:val="en-GB" w:eastAsia="zh-CN"/>
        </w:rPr>
      </w:pPr>
      <w:bookmarkStart w:id="5" w:name="lt_pId063"/>
      <w:r w:rsidRPr="001B59E5">
        <w:rPr>
          <w:szCs w:val="24"/>
          <w:lang w:val="en-GB" w:eastAsia="zh-CN"/>
        </w:rPr>
        <w:t>ITU-R SA.1160</w:t>
      </w:r>
      <w:r w:rsidRPr="001B59E5">
        <w:rPr>
          <w:rFonts w:hint="eastAsia"/>
          <w:szCs w:val="24"/>
          <w:lang w:val="en-GB" w:eastAsia="zh-CN"/>
        </w:rPr>
        <w:t>建议书、</w:t>
      </w:r>
      <w:r w:rsidRPr="001B59E5">
        <w:rPr>
          <w:szCs w:val="24"/>
          <w:lang w:val="en-GB" w:eastAsia="zh-CN"/>
        </w:rPr>
        <w:t>ITU-R SA.1023</w:t>
      </w:r>
      <w:bookmarkEnd w:id="5"/>
      <w:r w:rsidRPr="001B59E5">
        <w:rPr>
          <w:rFonts w:hint="eastAsia"/>
          <w:szCs w:val="24"/>
          <w:lang w:val="en-GB" w:eastAsia="zh-CN"/>
        </w:rPr>
        <w:t>建议书</w:t>
      </w:r>
      <w:r>
        <w:rPr>
          <w:rFonts w:hint="eastAsia"/>
          <w:lang w:val="en-GB" w:eastAsia="zh-CN"/>
        </w:rPr>
        <w:t>。</w:t>
      </w:r>
    </w:p>
    <w:p w:rsidR="001B59E5" w:rsidRPr="00C84011" w:rsidRDefault="001B59E5" w:rsidP="001B59E5">
      <w:pPr>
        <w:pStyle w:val="Normalaftertitle"/>
        <w:spacing w:before="480"/>
        <w:rPr>
          <w:lang w:val="en-US" w:eastAsia="zh-CN"/>
        </w:rPr>
      </w:pPr>
      <w:r w:rsidRPr="00C84011">
        <w:rPr>
          <w:rFonts w:hint="eastAsia"/>
          <w:lang w:val="en-US" w:eastAsia="zh-CN"/>
        </w:rPr>
        <w:t>国际电联无线电通信全会，</w:t>
      </w:r>
    </w:p>
    <w:p w:rsidR="001B59E5" w:rsidRPr="001B59E5" w:rsidRDefault="001B59E5" w:rsidP="001B59E5">
      <w:pPr>
        <w:pStyle w:val="Call"/>
        <w:rPr>
          <w:rFonts w:ascii="STKaiti" w:eastAsia="STKaiti" w:hAnsi="STKaiti"/>
          <w:i w:val="0"/>
          <w:iCs/>
          <w:lang w:val="en-US" w:eastAsia="zh-CN"/>
        </w:rPr>
      </w:pPr>
      <w:r w:rsidRPr="001B59E5">
        <w:rPr>
          <w:rFonts w:ascii="STKaiti" w:eastAsia="STKaiti" w:hAnsi="STKaiti" w:hint="eastAsia"/>
          <w:i w:val="0"/>
          <w:iCs/>
          <w:lang w:eastAsia="zh-CN"/>
        </w:rPr>
        <w:t>考虑</w:t>
      </w:r>
      <w:r w:rsidRPr="001B59E5">
        <w:rPr>
          <w:rFonts w:ascii="STKaiti" w:eastAsia="STKaiti" w:hAnsi="STKaiti" w:hint="eastAsia"/>
          <w:i w:val="0"/>
          <w:iCs/>
          <w:lang w:val="en-US" w:eastAsia="zh-CN"/>
        </w:rPr>
        <w:t>到</w:t>
      </w:r>
    </w:p>
    <w:p w:rsidR="001B59E5" w:rsidRPr="00C84011" w:rsidRDefault="001B59E5" w:rsidP="001B59E5">
      <w:pPr>
        <w:rPr>
          <w:lang w:val="en-GB" w:eastAsia="zh-CN"/>
        </w:rPr>
      </w:pPr>
      <w:bookmarkStart w:id="6" w:name="lt_pId066"/>
      <w:r w:rsidRPr="00C84011">
        <w:rPr>
          <w:i/>
          <w:iCs/>
          <w:lang w:val="en-GB" w:eastAsia="zh-CN"/>
        </w:rPr>
        <w:t>a)</w:t>
      </w:r>
      <w:bookmarkEnd w:id="6"/>
      <w:r w:rsidRPr="00C84011">
        <w:rPr>
          <w:lang w:val="en-GB" w:eastAsia="zh-CN"/>
        </w:rPr>
        <w:tab/>
      </w:r>
      <w:r w:rsidRPr="00C84011">
        <w:rPr>
          <w:rFonts w:hint="eastAsia"/>
          <w:lang w:eastAsia="zh-CN"/>
        </w:rPr>
        <w:t>划分给卫星</w:t>
      </w:r>
      <w:r>
        <w:rPr>
          <w:rFonts w:hint="eastAsia"/>
          <w:lang w:eastAsia="zh-CN"/>
        </w:rPr>
        <w:t>地球</w:t>
      </w:r>
      <w:r w:rsidRPr="00C84011">
        <w:rPr>
          <w:rFonts w:hint="eastAsia"/>
          <w:lang w:eastAsia="zh-CN"/>
        </w:rPr>
        <w:t>探测业务</w:t>
      </w:r>
      <w:r>
        <w:rPr>
          <w:rFonts w:hint="eastAsia"/>
          <w:lang w:eastAsia="zh-CN"/>
        </w:rPr>
        <w:t>（</w:t>
      </w:r>
      <w:r w:rsidRPr="001F67C1">
        <w:rPr>
          <w:lang w:val="en-GB" w:eastAsia="zh-CN"/>
        </w:rPr>
        <w:t>EESS</w:t>
      </w:r>
      <w:r>
        <w:rPr>
          <w:rFonts w:hint="eastAsia"/>
          <w:lang w:eastAsia="zh-CN"/>
        </w:rPr>
        <w:t>）</w:t>
      </w:r>
      <w:r w:rsidRPr="00C84011">
        <w:rPr>
          <w:rFonts w:hint="eastAsia"/>
          <w:lang w:eastAsia="zh-CN"/>
        </w:rPr>
        <w:t>和气象业务</w:t>
      </w:r>
      <w:r>
        <w:rPr>
          <w:rFonts w:hint="eastAsia"/>
          <w:lang w:eastAsia="zh-CN"/>
        </w:rPr>
        <w:t>（</w:t>
      </w:r>
      <w:r w:rsidRPr="001F67C1">
        <w:rPr>
          <w:lang w:val="en-GB" w:eastAsia="zh-CN"/>
        </w:rPr>
        <w:t>MetSat</w:t>
      </w:r>
      <w:r>
        <w:rPr>
          <w:rFonts w:hint="eastAsia"/>
          <w:lang w:eastAsia="zh-CN"/>
        </w:rPr>
        <w:t>）</w:t>
      </w:r>
      <w:r w:rsidRPr="00C84011">
        <w:rPr>
          <w:rFonts w:hint="eastAsia"/>
          <w:lang w:eastAsia="zh-CN"/>
        </w:rPr>
        <w:t>的频段可由若干系统共用，包括在</w:t>
      </w:r>
      <w:r>
        <w:rPr>
          <w:rFonts w:hint="eastAsia"/>
          <w:lang w:eastAsia="zh-CN"/>
        </w:rPr>
        <w:t>其他</w:t>
      </w:r>
      <w:r w:rsidRPr="00C84011">
        <w:rPr>
          <w:rFonts w:hint="eastAsia"/>
          <w:lang w:eastAsia="zh-CN"/>
        </w:rPr>
        <w:t>业务中运行的系统；</w:t>
      </w:r>
    </w:p>
    <w:p w:rsidR="001B59E5" w:rsidRPr="00C84011" w:rsidRDefault="001B59E5" w:rsidP="001B59E5">
      <w:pPr>
        <w:rPr>
          <w:lang w:val="en-GB" w:eastAsia="zh-CN"/>
        </w:rPr>
      </w:pPr>
      <w:bookmarkStart w:id="7" w:name="lt_pId068"/>
      <w:r w:rsidRPr="00C84011">
        <w:rPr>
          <w:i/>
          <w:iCs/>
          <w:lang w:val="en-GB" w:eastAsia="zh-CN"/>
        </w:rPr>
        <w:t>b)</w:t>
      </w:r>
      <w:bookmarkEnd w:id="7"/>
      <w:r w:rsidRPr="00C84011">
        <w:rPr>
          <w:lang w:val="en-GB" w:eastAsia="zh-CN"/>
        </w:rPr>
        <w:tab/>
      </w:r>
      <w:bookmarkStart w:id="8" w:name="lt_pId069"/>
      <w:r w:rsidRPr="00C84011">
        <w:rPr>
          <w:lang w:val="en-GB" w:eastAsia="zh-CN"/>
        </w:rPr>
        <w:t>ITU-R SA.1160</w:t>
      </w:r>
      <w:r>
        <w:rPr>
          <w:rFonts w:hint="eastAsia"/>
          <w:lang w:val="en-GB" w:eastAsia="zh-CN"/>
        </w:rPr>
        <w:t>建议书明确了确定共用标准需要的集总干扰标准</w:t>
      </w:r>
      <w:bookmarkEnd w:id="8"/>
      <w:r>
        <w:rPr>
          <w:rFonts w:hint="eastAsia"/>
          <w:lang w:val="en-GB" w:eastAsia="zh-CN"/>
        </w:rPr>
        <w:t>；</w:t>
      </w:r>
    </w:p>
    <w:p w:rsidR="001B59E5" w:rsidRPr="00C84011" w:rsidRDefault="001B59E5" w:rsidP="001B59E5">
      <w:pPr>
        <w:rPr>
          <w:lang w:val="en-GB" w:eastAsia="zh-CN"/>
        </w:rPr>
      </w:pPr>
      <w:bookmarkStart w:id="9" w:name="lt_pId070"/>
      <w:r w:rsidRPr="00C84011">
        <w:rPr>
          <w:i/>
          <w:iCs/>
          <w:lang w:val="en-GB" w:eastAsia="zh-CN"/>
        </w:rPr>
        <w:t>c)</w:t>
      </w:r>
      <w:bookmarkEnd w:id="9"/>
      <w:r w:rsidRPr="00C84011">
        <w:rPr>
          <w:lang w:val="en-GB" w:eastAsia="zh-CN"/>
        </w:rPr>
        <w:tab/>
      </w:r>
      <w:bookmarkStart w:id="10" w:name="lt_pId071"/>
      <w:r>
        <w:rPr>
          <w:rFonts w:hint="eastAsia"/>
          <w:lang w:val="en-GB" w:eastAsia="zh-CN"/>
        </w:rPr>
        <w:t>共用标准可通过</w:t>
      </w:r>
      <w:r w:rsidRPr="00C84011">
        <w:rPr>
          <w:lang w:val="en-GB" w:eastAsia="zh-CN"/>
        </w:rPr>
        <w:t>ITU</w:t>
      </w:r>
      <w:r w:rsidRPr="00C84011">
        <w:rPr>
          <w:lang w:val="en-GB" w:eastAsia="zh-CN"/>
        </w:rPr>
        <w:noBreakHyphen/>
        <w:t>R SA.1023</w:t>
      </w:r>
      <w:r>
        <w:rPr>
          <w:rFonts w:hint="eastAsia"/>
          <w:lang w:val="en-GB" w:eastAsia="zh-CN"/>
        </w:rPr>
        <w:t>建议书所述的方法来确定；</w:t>
      </w:r>
      <w:bookmarkEnd w:id="10"/>
    </w:p>
    <w:p w:rsidR="001B59E5" w:rsidRPr="00C84011" w:rsidRDefault="001B59E5" w:rsidP="001B59E5">
      <w:pPr>
        <w:rPr>
          <w:lang w:val="en-GB" w:eastAsia="zh-CN"/>
        </w:rPr>
      </w:pPr>
      <w:bookmarkStart w:id="11" w:name="lt_pId072"/>
      <w:r w:rsidRPr="00C84011">
        <w:rPr>
          <w:i/>
          <w:iCs/>
          <w:lang w:val="en-GB" w:eastAsia="zh-CN"/>
        </w:rPr>
        <w:t>d)</w:t>
      </w:r>
      <w:bookmarkEnd w:id="11"/>
      <w:r w:rsidRPr="00C84011">
        <w:rPr>
          <w:lang w:val="en-GB" w:eastAsia="zh-CN"/>
        </w:rPr>
        <w:tab/>
      </w:r>
      <w:r w:rsidRPr="00C84011">
        <w:rPr>
          <w:rFonts w:hint="eastAsia"/>
          <w:lang w:eastAsia="zh-CN"/>
        </w:rPr>
        <w:t>由于系统数量的增加以及世界无线电大会对频段划分进行的修订，干扰电台的典型部署经过几年的时间可能会发生改变；</w:t>
      </w:r>
    </w:p>
    <w:p w:rsidR="001B59E5" w:rsidRPr="00C84011" w:rsidRDefault="001B59E5" w:rsidP="001B59E5">
      <w:pPr>
        <w:rPr>
          <w:lang w:val="en-GB" w:eastAsia="zh-CN"/>
        </w:rPr>
      </w:pPr>
      <w:bookmarkStart w:id="12" w:name="lt_pId074"/>
      <w:r w:rsidRPr="00C84011">
        <w:rPr>
          <w:i/>
          <w:iCs/>
          <w:lang w:val="en-GB" w:eastAsia="zh-CN"/>
        </w:rPr>
        <w:t>e)</w:t>
      </w:r>
      <w:bookmarkEnd w:id="12"/>
      <w:r w:rsidRPr="00C84011">
        <w:rPr>
          <w:lang w:val="en-GB" w:eastAsia="zh-CN"/>
        </w:rPr>
        <w:tab/>
      </w:r>
      <w:bookmarkStart w:id="13" w:name="lt_pId075"/>
      <w:r>
        <w:rPr>
          <w:rFonts w:hint="eastAsia"/>
          <w:lang w:val="en-GB" w:eastAsia="zh-CN"/>
        </w:rPr>
        <w:t>通过管理在其领土内的无线电频谱使用和频率指配的全球协调，主管部门</w:t>
      </w:r>
      <w:r w:rsidRPr="002F63B1">
        <w:rPr>
          <w:rFonts w:hint="eastAsia"/>
          <w:lang w:val="en-GB" w:eastAsia="zh-CN"/>
        </w:rPr>
        <w:t>会对</w:t>
      </w:r>
      <w:r>
        <w:rPr>
          <w:rFonts w:hint="eastAsia"/>
          <w:lang w:val="en-GB" w:eastAsia="zh-CN"/>
        </w:rPr>
        <w:t>可能对</w:t>
      </w:r>
      <w:r w:rsidRPr="002F63B1">
        <w:rPr>
          <w:rFonts w:hint="eastAsia"/>
          <w:lang w:val="en-GB" w:eastAsia="zh-CN"/>
        </w:rPr>
        <w:t>重要</w:t>
      </w:r>
      <w:r>
        <w:rPr>
          <w:rFonts w:hint="eastAsia"/>
          <w:lang w:val="en-GB" w:eastAsia="zh-CN"/>
        </w:rPr>
        <w:t>电平</w:t>
      </w:r>
      <w:r w:rsidRPr="002F63B1">
        <w:rPr>
          <w:rFonts w:hint="eastAsia"/>
          <w:lang w:val="en-GB" w:eastAsia="zh-CN"/>
        </w:rPr>
        <w:t>产生干扰的系统数量进行一定程度的控制</w:t>
      </w:r>
      <w:bookmarkEnd w:id="13"/>
      <w:r>
        <w:rPr>
          <w:rFonts w:hint="eastAsia"/>
          <w:lang w:val="en-GB" w:eastAsia="zh-CN"/>
        </w:rPr>
        <w:t>；</w:t>
      </w:r>
    </w:p>
    <w:p w:rsidR="001B59E5" w:rsidRPr="00C84011" w:rsidRDefault="001B59E5" w:rsidP="001B59E5">
      <w:pPr>
        <w:rPr>
          <w:lang w:val="en-GB" w:eastAsia="zh-CN"/>
        </w:rPr>
      </w:pPr>
      <w:bookmarkStart w:id="14" w:name="lt_pId076"/>
      <w:r w:rsidRPr="00C84011">
        <w:rPr>
          <w:i/>
          <w:iCs/>
          <w:lang w:val="en-GB" w:eastAsia="zh-CN"/>
        </w:rPr>
        <w:t>f)</w:t>
      </w:r>
      <w:bookmarkEnd w:id="14"/>
      <w:r w:rsidRPr="00C84011">
        <w:rPr>
          <w:lang w:val="en-GB" w:eastAsia="zh-CN"/>
        </w:rPr>
        <w:tab/>
      </w:r>
      <w:bookmarkStart w:id="15" w:name="lt_pId077"/>
      <w:bookmarkStart w:id="16" w:name="OLE_LINK8"/>
      <w:bookmarkStart w:id="17" w:name="OLE_LINK9"/>
      <w:r>
        <w:rPr>
          <w:rFonts w:hint="eastAsia"/>
          <w:lang w:val="en-GB" w:eastAsia="zh-CN"/>
        </w:rPr>
        <w:t>气象服务中</w:t>
      </w:r>
      <w:r w:rsidRPr="002F63B1">
        <w:rPr>
          <w:rFonts w:hint="eastAsia"/>
          <w:lang w:val="en-GB" w:eastAsia="zh-CN"/>
        </w:rPr>
        <w:t>船载地球站遇到的干扰</w:t>
      </w:r>
      <w:r>
        <w:rPr>
          <w:rFonts w:hint="eastAsia"/>
          <w:lang w:val="en-GB" w:eastAsia="zh-CN"/>
        </w:rPr>
        <w:t>电平</w:t>
      </w:r>
      <w:r w:rsidRPr="002F63B1">
        <w:rPr>
          <w:rFonts w:hint="eastAsia"/>
          <w:lang w:val="en-GB" w:eastAsia="zh-CN"/>
        </w:rPr>
        <w:t>不可能比陆地上运行的地球站遇到的干扰</w:t>
      </w:r>
      <w:r>
        <w:rPr>
          <w:rFonts w:hint="eastAsia"/>
          <w:lang w:val="en-GB" w:eastAsia="zh-CN"/>
        </w:rPr>
        <w:t>电平低</w:t>
      </w:r>
      <w:bookmarkEnd w:id="15"/>
      <w:bookmarkEnd w:id="16"/>
      <w:bookmarkEnd w:id="17"/>
      <w:r>
        <w:rPr>
          <w:rFonts w:hint="eastAsia"/>
          <w:lang w:val="en-GB" w:eastAsia="zh-CN"/>
        </w:rPr>
        <w:t>，</w:t>
      </w:r>
    </w:p>
    <w:p w:rsidR="001B59E5" w:rsidRPr="00970655" w:rsidRDefault="001B59E5" w:rsidP="001B59E5">
      <w:pPr>
        <w:keepNext/>
        <w:keepLines/>
        <w:spacing w:before="160"/>
        <w:ind w:left="794"/>
        <w:rPr>
          <w:rFonts w:ascii="STKaiti" w:eastAsia="STKaiti" w:hAnsi="STKaiti"/>
          <w:iCs/>
          <w:lang w:val="en-GB" w:eastAsia="zh-CN"/>
        </w:rPr>
      </w:pPr>
      <w:r w:rsidRPr="00970655">
        <w:rPr>
          <w:rFonts w:ascii="STKaiti" w:eastAsia="STKaiti" w:hAnsi="STKaiti" w:hint="eastAsia"/>
          <w:iCs/>
          <w:lang w:val="en-GB" w:eastAsia="zh-CN"/>
        </w:rPr>
        <w:t>建议</w:t>
      </w:r>
    </w:p>
    <w:p w:rsidR="001B59E5" w:rsidRPr="00C84011" w:rsidRDefault="001B59E5" w:rsidP="001B59E5">
      <w:pPr>
        <w:rPr>
          <w:lang w:val="en-GB" w:eastAsia="zh-CN"/>
        </w:rPr>
      </w:pPr>
      <w:r w:rsidRPr="00C84011">
        <w:rPr>
          <w:b/>
          <w:lang w:val="en-GB" w:eastAsia="zh-CN"/>
        </w:rPr>
        <w:t>1</w:t>
      </w:r>
      <w:r w:rsidRPr="00C84011">
        <w:rPr>
          <w:lang w:val="en-GB" w:eastAsia="zh-CN"/>
        </w:rPr>
        <w:tab/>
      </w:r>
      <w:r w:rsidRPr="00C84011">
        <w:rPr>
          <w:rFonts w:hint="eastAsia"/>
          <w:bCs/>
          <w:lang w:eastAsia="zh-CN"/>
        </w:rPr>
        <w:t>表</w:t>
      </w:r>
      <w:r w:rsidRPr="00C84011">
        <w:rPr>
          <w:rFonts w:hint="eastAsia"/>
          <w:bCs/>
          <w:lang w:eastAsia="zh-CN"/>
        </w:rPr>
        <w:t>1</w:t>
      </w:r>
      <w:r w:rsidRPr="00C84011">
        <w:rPr>
          <w:rFonts w:hint="eastAsia"/>
          <w:bCs/>
          <w:lang w:eastAsia="zh-CN"/>
        </w:rPr>
        <w:t>中列出的单入干扰电平应作为保护</w:t>
      </w:r>
      <w:r>
        <w:rPr>
          <w:rFonts w:hint="eastAsia"/>
          <w:bCs/>
          <w:lang w:eastAsia="zh-CN"/>
        </w:rPr>
        <w:t>EESS</w:t>
      </w:r>
      <w:r w:rsidRPr="00C84011">
        <w:rPr>
          <w:rFonts w:hint="eastAsia"/>
          <w:bCs/>
          <w:lang w:eastAsia="zh-CN"/>
        </w:rPr>
        <w:t>和</w:t>
      </w:r>
      <w:r w:rsidRPr="001F67C1">
        <w:rPr>
          <w:lang w:val="en-GB" w:eastAsia="zh-CN"/>
        </w:rPr>
        <w:t>MetSat</w:t>
      </w:r>
      <w:r w:rsidRPr="00C84011">
        <w:rPr>
          <w:rFonts w:hint="eastAsia"/>
          <w:bCs/>
          <w:lang w:eastAsia="zh-CN"/>
        </w:rPr>
        <w:t>业务</w:t>
      </w:r>
      <w:r>
        <w:rPr>
          <w:rFonts w:hint="eastAsia"/>
          <w:bCs/>
          <w:lang w:eastAsia="zh-CN"/>
        </w:rPr>
        <w:t>地球站</w:t>
      </w:r>
      <w:r w:rsidRPr="00C84011">
        <w:rPr>
          <w:rFonts w:hint="eastAsia"/>
          <w:bCs/>
          <w:lang w:eastAsia="zh-CN"/>
        </w:rPr>
        <w:t>的共用标准；</w:t>
      </w:r>
    </w:p>
    <w:p w:rsidR="001B59E5" w:rsidRPr="00C84011" w:rsidRDefault="001B59E5" w:rsidP="001B59E5">
      <w:pPr>
        <w:rPr>
          <w:lang w:val="en-GB" w:eastAsia="zh-CN"/>
        </w:rPr>
      </w:pPr>
      <w:r w:rsidRPr="00C84011">
        <w:rPr>
          <w:b/>
          <w:lang w:val="en-GB" w:eastAsia="zh-CN"/>
        </w:rPr>
        <w:t>2</w:t>
      </w:r>
      <w:r w:rsidRPr="00C84011">
        <w:rPr>
          <w:lang w:val="en-GB" w:eastAsia="zh-CN"/>
        </w:rPr>
        <w:tab/>
      </w:r>
      <w:bookmarkStart w:id="18" w:name="lt_pId082"/>
      <w:r>
        <w:rPr>
          <w:rFonts w:hint="eastAsia"/>
          <w:lang w:val="en-GB" w:eastAsia="zh-CN"/>
        </w:rPr>
        <w:t>第</w:t>
      </w:r>
      <w:r>
        <w:rPr>
          <w:rFonts w:hint="eastAsia"/>
          <w:lang w:val="en-GB" w:eastAsia="zh-CN"/>
        </w:rPr>
        <w:t>1</w:t>
      </w:r>
      <w:r>
        <w:rPr>
          <w:rFonts w:hint="eastAsia"/>
          <w:lang w:val="en-GB" w:eastAsia="zh-CN"/>
        </w:rPr>
        <w:t>节中明确的标准应被作为协调阈值的基础供在</w:t>
      </w:r>
      <w:r>
        <w:rPr>
          <w:rFonts w:hint="eastAsia"/>
          <w:lang w:val="en-GB" w:eastAsia="zh-CN"/>
        </w:rPr>
        <w:t>EESS</w:t>
      </w:r>
      <w:r>
        <w:rPr>
          <w:rFonts w:hint="eastAsia"/>
          <w:lang w:val="en-GB" w:eastAsia="zh-CN"/>
        </w:rPr>
        <w:t>和</w:t>
      </w:r>
      <w:r w:rsidRPr="00C84011">
        <w:rPr>
          <w:lang w:val="en-GB" w:eastAsia="zh-CN"/>
        </w:rPr>
        <w:t>MetSat</w:t>
      </w:r>
      <w:r>
        <w:rPr>
          <w:rFonts w:hint="eastAsia"/>
          <w:lang w:val="en-GB" w:eastAsia="zh-CN"/>
        </w:rPr>
        <w:t>中运行的接收站所用，这些</w:t>
      </w:r>
      <w:r>
        <w:rPr>
          <w:rFonts w:hint="eastAsia"/>
          <w:lang w:val="en-GB" w:eastAsia="zh-CN"/>
        </w:rPr>
        <w:t>EESS</w:t>
      </w:r>
      <w:r>
        <w:rPr>
          <w:rFonts w:hint="eastAsia"/>
          <w:lang w:val="en-GB" w:eastAsia="zh-CN"/>
        </w:rPr>
        <w:t>和</w:t>
      </w:r>
      <w:r w:rsidRPr="00C84011">
        <w:rPr>
          <w:lang w:val="en-GB" w:eastAsia="zh-CN"/>
        </w:rPr>
        <w:t>MetSat</w:t>
      </w:r>
      <w:r>
        <w:rPr>
          <w:rFonts w:hint="eastAsia"/>
          <w:lang w:val="en-GB" w:eastAsia="zh-CN"/>
        </w:rPr>
        <w:t>业务位于与地面业务的共用频段内；</w:t>
      </w:r>
      <w:bookmarkEnd w:id="18"/>
    </w:p>
    <w:p w:rsidR="001B59E5" w:rsidRDefault="001B59E5" w:rsidP="001B59E5">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b/>
          <w:lang w:val="en-GB" w:eastAsia="zh-CN"/>
        </w:rPr>
        <w:br w:type="page"/>
      </w:r>
    </w:p>
    <w:p w:rsidR="001B59E5" w:rsidRPr="00C84011" w:rsidRDefault="001B59E5" w:rsidP="001B59E5">
      <w:pPr>
        <w:rPr>
          <w:rFonts w:ascii="Calibri" w:hAnsi="Calibri"/>
          <w:b/>
          <w:color w:val="800000"/>
          <w:sz w:val="22"/>
          <w:lang w:val="en-GB" w:eastAsia="zh-CN"/>
        </w:rPr>
      </w:pPr>
      <w:r w:rsidRPr="00C84011">
        <w:rPr>
          <w:b/>
          <w:lang w:val="en-GB" w:eastAsia="zh-CN"/>
        </w:rPr>
        <w:lastRenderedPageBreak/>
        <w:t>3</w:t>
      </w:r>
      <w:r w:rsidRPr="00C84011">
        <w:rPr>
          <w:lang w:val="en-GB" w:eastAsia="zh-CN"/>
        </w:rPr>
        <w:tab/>
      </w:r>
      <w:r w:rsidRPr="00C84011">
        <w:rPr>
          <w:rFonts w:hint="eastAsia"/>
          <w:lang w:val="en-US" w:eastAsia="zh-CN"/>
        </w:rPr>
        <w:t>应将等值链路噪声温度上升</w:t>
      </w:r>
      <w:r w:rsidRPr="00C84011">
        <w:rPr>
          <w:lang w:val="en-US" w:eastAsia="zh-CN"/>
        </w:rPr>
        <w:t>6%</w:t>
      </w:r>
      <w:r w:rsidRPr="00C84011">
        <w:rPr>
          <w:rFonts w:hint="eastAsia"/>
          <w:lang w:val="en-US" w:eastAsia="zh-CN"/>
        </w:rPr>
        <w:t>作为</w:t>
      </w:r>
      <w:r>
        <w:rPr>
          <w:rFonts w:hint="eastAsia"/>
          <w:lang w:val="en-US" w:eastAsia="zh-CN"/>
        </w:rPr>
        <w:t>在</w:t>
      </w:r>
      <w:r>
        <w:rPr>
          <w:rFonts w:hint="eastAsia"/>
          <w:lang w:val="en-US" w:eastAsia="zh-CN"/>
        </w:rPr>
        <w:t>EESS</w:t>
      </w:r>
      <w:r>
        <w:rPr>
          <w:rFonts w:hint="eastAsia"/>
          <w:lang w:val="en-US" w:eastAsia="zh-CN"/>
        </w:rPr>
        <w:t>和</w:t>
      </w:r>
      <w:r w:rsidRPr="001F67C1">
        <w:rPr>
          <w:lang w:val="en-GB" w:eastAsia="zh-CN"/>
        </w:rPr>
        <w:t>MetSat</w:t>
      </w:r>
      <w:r>
        <w:rPr>
          <w:rFonts w:hint="eastAsia"/>
          <w:lang w:val="en-GB" w:eastAsia="zh-CN"/>
        </w:rPr>
        <w:t>业务中运行的</w:t>
      </w:r>
      <w:r w:rsidRPr="00C84011">
        <w:rPr>
          <w:rFonts w:hint="eastAsia"/>
          <w:lang w:val="en-US" w:eastAsia="zh-CN"/>
        </w:rPr>
        <w:t>发射空间站与接收地球站间协调的</w:t>
      </w:r>
      <w:r>
        <w:rPr>
          <w:rFonts w:hint="eastAsia"/>
          <w:lang w:val="en-US" w:eastAsia="zh-CN"/>
        </w:rPr>
        <w:t>阈值</w:t>
      </w:r>
      <w:r w:rsidRPr="00C84011">
        <w:rPr>
          <w:rFonts w:hint="eastAsia"/>
          <w:lang w:val="en-US" w:eastAsia="zh-CN"/>
        </w:rPr>
        <w:t>；</w:t>
      </w:r>
    </w:p>
    <w:p w:rsidR="001B59E5" w:rsidRPr="00C84011" w:rsidRDefault="001B59E5" w:rsidP="001B59E5">
      <w:pPr>
        <w:rPr>
          <w:rFonts w:ascii="Calibri" w:hAnsi="Calibri"/>
          <w:b/>
          <w:color w:val="800000"/>
          <w:sz w:val="22"/>
          <w:lang w:val="en-GB" w:eastAsia="zh-CN"/>
        </w:rPr>
      </w:pPr>
      <w:r w:rsidRPr="00C84011">
        <w:rPr>
          <w:b/>
          <w:lang w:val="en-GB" w:eastAsia="zh-CN"/>
        </w:rPr>
        <w:t>4</w:t>
      </w:r>
      <w:r w:rsidRPr="00C84011">
        <w:rPr>
          <w:lang w:val="en-GB" w:eastAsia="zh-CN"/>
        </w:rPr>
        <w:tab/>
      </w:r>
      <w:r w:rsidRPr="00C84011">
        <w:rPr>
          <w:rFonts w:hint="eastAsia"/>
          <w:lang w:eastAsia="zh-CN"/>
        </w:rPr>
        <w:t>附件中确定的干扰源的部署需定期</w:t>
      </w:r>
      <w:r w:rsidR="00C522CA">
        <w:rPr>
          <w:rFonts w:hint="eastAsia"/>
          <w:lang w:eastAsia="zh-CN"/>
        </w:rPr>
        <w:t>进行审议，以便确定是否应对典型干扰环境和相应的共用标准进行修订。</w:t>
      </w:r>
    </w:p>
    <w:p w:rsidR="001B59E5" w:rsidRPr="00C84011" w:rsidRDefault="001B59E5" w:rsidP="001B59E5">
      <w:pPr>
        <w:rPr>
          <w:lang w:val="en-GB" w:eastAsia="zh-CN"/>
        </w:rPr>
      </w:pPr>
      <w:bookmarkStart w:id="19" w:name="lt_pId087"/>
      <w:r>
        <w:rPr>
          <w:rFonts w:hint="eastAsia"/>
          <w:lang w:val="en-GB" w:eastAsia="zh-CN"/>
        </w:rPr>
        <w:t>注</w:t>
      </w:r>
      <w:r w:rsidRPr="00C84011">
        <w:rPr>
          <w:lang w:val="en-GB" w:eastAsia="zh-CN"/>
        </w:rPr>
        <w:t>1 – </w:t>
      </w:r>
      <w:r>
        <w:rPr>
          <w:rFonts w:hint="eastAsia"/>
          <w:lang w:val="en-GB" w:eastAsia="zh-CN"/>
        </w:rPr>
        <w:t>表</w:t>
      </w:r>
      <w:r>
        <w:rPr>
          <w:rFonts w:hint="eastAsia"/>
          <w:lang w:val="en-GB" w:eastAsia="zh-CN"/>
        </w:rPr>
        <w:t>1</w:t>
      </w:r>
      <w:r>
        <w:rPr>
          <w:rFonts w:hint="eastAsia"/>
          <w:lang w:val="en-GB" w:eastAsia="zh-CN"/>
        </w:rPr>
        <w:t>（包括表的附注）定义的共用标准旨在用于频率共用分析和频率指配协调（即：</w:t>
      </w:r>
      <w:r w:rsidRPr="0087406B">
        <w:rPr>
          <w:rFonts w:hint="eastAsia"/>
          <w:lang w:val="en-GB" w:eastAsia="zh-CN"/>
        </w:rPr>
        <w:t>作为适用地球站接受</w:t>
      </w:r>
      <w:r>
        <w:rPr>
          <w:rFonts w:hint="eastAsia"/>
          <w:lang w:val="en-GB" w:eastAsia="zh-CN"/>
        </w:rPr>
        <w:t>干扰</w:t>
      </w:r>
      <w:r w:rsidRPr="0087406B">
        <w:rPr>
          <w:rFonts w:hint="eastAsia"/>
          <w:lang w:val="en-GB" w:eastAsia="zh-CN"/>
        </w:rPr>
        <w:t>的最低</w:t>
      </w:r>
      <w:r>
        <w:rPr>
          <w:rFonts w:hint="eastAsia"/>
          <w:lang w:val="en-GB" w:eastAsia="zh-CN"/>
        </w:rPr>
        <w:t>电平）</w:t>
      </w:r>
      <w:bookmarkStart w:id="20" w:name="lt_pId088"/>
      <w:bookmarkEnd w:id="19"/>
      <w:r>
        <w:rPr>
          <w:rFonts w:hint="eastAsia"/>
          <w:lang w:val="en-GB" w:eastAsia="zh-CN"/>
        </w:rPr>
        <w:t>。在协调应用中，通过接受地球站观测到的</w:t>
      </w:r>
      <w:proofErr w:type="gramStart"/>
      <w:r>
        <w:rPr>
          <w:rFonts w:hint="eastAsia"/>
          <w:lang w:val="en-GB" w:eastAsia="zh-CN"/>
        </w:rPr>
        <w:t>的</w:t>
      </w:r>
      <w:proofErr w:type="gramEnd"/>
      <w:r>
        <w:rPr>
          <w:rFonts w:hint="eastAsia"/>
          <w:lang w:val="en-GB" w:eastAsia="zh-CN"/>
        </w:rPr>
        <w:t>实际干扰应与附件</w:t>
      </w:r>
      <w:r>
        <w:rPr>
          <w:rFonts w:hint="eastAsia"/>
          <w:lang w:val="en-GB" w:eastAsia="zh-CN"/>
        </w:rPr>
        <w:t>1</w:t>
      </w:r>
      <w:r>
        <w:rPr>
          <w:rFonts w:hint="eastAsia"/>
          <w:lang w:val="en-GB" w:eastAsia="zh-CN"/>
        </w:rPr>
        <w:t>中假设的干扰进行比较以帮助确定干扰信号功率高于获准的单入门电平是否可被接受。</w:t>
      </w:r>
      <w:bookmarkStart w:id="21" w:name="lt_pId089"/>
      <w:bookmarkEnd w:id="20"/>
      <w:r>
        <w:rPr>
          <w:rFonts w:hint="eastAsia"/>
          <w:lang w:val="en-GB" w:eastAsia="zh-CN"/>
        </w:rPr>
        <w:t>通常来说，这种考虑可能使得接受的干扰电平</w:t>
      </w:r>
      <w:r w:rsidRPr="005C0FE7">
        <w:rPr>
          <w:rFonts w:hint="eastAsia"/>
          <w:lang w:val="en-GB" w:eastAsia="zh-CN"/>
        </w:rPr>
        <w:t>与</w:t>
      </w:r>
      <w:r w:rsidRPr="005C0FE7">
        <w:rPr>
          <w:rFonts w:hint="eastAsia"/>
          <w:lang w:val="en-GB" w:eastAsia="zh-CN"/>
        </w:rPr>
        <w:t>ITU</w:t>
      </w:r>
      <w:r w:rsidRPr="00C84011">
        <w:rPr>
          <w:lang w:val="en-GB" w:eastAsia="zh-CN"/>
        </w:rPr>
        <w:noBreakHyphen/>
      </w:r>
      <w:r w:rsidRPr="005C0FE7">
        <w:rPr>
          <w:rFonts w:hint="eastAsia"/>
          <w:lang w:val="en-GB" w:eastAsia="zh-CN"/>
        </w:rPr>
        <w:t>R SA.1160</w:t>
      </w:r>
      <w:r w:rsidRPr="005C0FE7">
        <w:rPr>
          <w:rFonts w:hint="eastAsia"/>
          <w:lang w:val="en-GB" w:eastAsia="zh-CN"/>
        </w:rPr>
        <w:t>建议书中适用的干扰标准中规定</w:t>
      </w:r>
      <w:r>
        <w:rPr>
          <w:rFonts w:hint="eastAsia"/>
          <w:lang w:val="en-GB" w:eastAsia="zh-CN"/>
        </w:rPr>
        <w:t>的电平</w:t>
      </w:r>
      <w:r w:rsidRPr="005C0FE7">
        <w:rPr>
          <w:rFonts w:hint="eastAsia"/>
          <w:lang w:val="en-GB" w:eastAsia="zh-CN"/>
        </w:rPr>
        <w:t>一样高</w:t>
      </w:r>
      <w:bookmarkEnd w:id="21"/>
      <w:r>
        <w:rPr>
          <w:rFonts w:hint="eastAsia"/>
          <w:lang w:val="en-GB" w:eastAsia="zh-CN"/>
        </w:rPr>
        <w:t>。</w:t>
      </w:r>
    </w:p>
    <w:p w:rsidR="001B59E5" w:rsidRPr="00C84011" w:rsidRDefault="001B59E5" w:rsidP="001B59E5">
      <w:pPr>
        <w:rPr>
          <w:lang w:val="en-GB" w:eastAsia="zh-CN"/>
        </w:rPr>
      </w:pPr>
      <w:bookmarkStart w:id="22" w:name="lt_pId090"/>
      <w:r>
        <w:rPr>
          <w:rFonts w:hint="eastAsia"/>
          <w:lang w:val="en-GB" w:eastAsia="zh-CN"/>
        </w:rPr>
        <w:t>注</w:t>
      </w:r>
      <w:r w:rsidRPr="00C84011">
        <w:rPr>
          <w:lang w:val="en-GB" w:eastAsia="zh-CN"/>
        </w:rPr>
        <w:t>2 – § 3</w:t>
      </w:r>
      <w:r w:rsidRPr="00DB58B6">
        <w:rPr>
          <w:rFonts w:hint="eastAsia"/>
          <w:lang w:val="en-GB" w:eastAsia="zh-CN"/>
        </w:rPr>
        <w:t>规定的协调阈值足够保守，以确保在未触发协调的情况下，干扰将低于允许的</w:t>
      </w:r>
      <w:bookmarkStart w:id="23" w:name="lt_pId091"/>
      <w:bookmarkEnd w:id="22"/>
      <w:r>
        <w:rPr>
          <w:rFonts w:hint="eastAsia"/>
          <w:lang w:val="en-GB" w:eastAsia="zh-CN"/>
        </w:rPr>
        <w:t>电平。</w:t>
      </w:r>
      <w:bookmarkStart w:id="24" w:name="OLE_LINK5"/>
      <w:bookmarkStart w:id="25" w:name="OLE_LINK6"/>
      <w:r w:rsidRPr="00DB58B6">
        <w:rPr>
          <w:rFonts w:hint="eastAsia"/>
          <w:lang w:val="en-GB" w:eastAsia="zh-CN"/>
        </w:rPr>
        <w:t>为了在确定来自发射航天器的干扰是否不可接受时应用该标准，</w:t>
      </w:r>
      <w:bookmarkEnd w:id="24"/>
      <w:bookmarkEnd w:id="25"/>
      <w:r>
        <w:rPr>
          <w:rFonts w:hint="eastAsia"/>
          <w:lang w:val="en-GB" w:eastAsia="zh-CN"/>
        </w:rPr>
        <w:t>《无线电规则》附件</w:t>
      </w:r>
      <w:r w:rsidRPr="00C84011">
        <w:rPr>
          <w:lang w:val="en-GB" w:eastAsia="zh-CN"/>
        </w:rPr>
        <w:t>S8</w:t>
      </w:r>
      <w:r>
        <w:rPr>
          <w:rFonts w:hint="eastAsia"/>
          <w:lang w:val="en-GB" w:eastAsia="zh-CN"/>
        </w:rPr>
        <w:t>中的方法应被用于相关的地球站。</w:t>
      </w:r>
      <w:bookmarkStart w:id="26" w:name="lt_pId092"/>
      <w:bookmarkEnd w:id="23"/>
      <w:r>
        <w:rPr>
          <w:rFonts w:hint="eastAsia"/>
          <w:lang w:val="en-GB" w:eastAsia="zh-CN"/>
        </w:rPr>
        <w:t>为了避免不必要的协调，主管部门可能希望假设接收站（例如，</w:t>
      </w:r>
      <w:r w:rsidRPr="00DB58B6">
        <w:rPr>
          <w:rFonts w:hint="eastAsia"/>
          <w:lang w:val="en-GB" w:eastAsia="zh-CN"/>
        </w:rPr>
        <w:t>在</w:t>
      </w:r>
      <w:r w:rsidRPr="00C84011">
        <w:rPr>
          <w:lang w:val="en-GB" w:eastAsia="zh-CN"/>
        </w:rPr>
        <w:t>99.9%</w:t>
      </w:r>
      <w:r w:rsidRPr="00DB58B6">
        <w:rPr>
          <w:rFonts w:hint="eastAsia"/>
          <w:lang w:val="en-GB" w:eastAsia="zh-CN"/>
        </w:rPr>
        <w:t>的时间内有一定程度的</w:t>
      </w:r>
      <w:r>
        <w:rPr>
          <w:rFonts w:hint="eastAsia"/>
          <w:lang w:val="en-GB" w:eastAsia="zh-CN"/>
        </w:rPr>
        <w:t>鉴别）有一定数量可用的天线鉴别。</w:t>
      </w:r>
      <w:bookmarkEnd w:id="26"/>
    </w:p>
    <w:p w:rsidR="001B59E5" w:rsidRPr="00C84011" w:rsidRDefault="001B59E5" w:rsidP="001B59E5">
      <w:pPr>
        <w:rPr>
          <w:lang w:val="en-GB" w:eastAsia="zh-CN"/>
        </w:rPr>
      </w:pPr>
      <w:bookmarkStart w:id="27" w:name="lt_pId093"/>
      <w:r>
        <w:rPr>
          <w:rFonts w:hint="eastAsia"/>
          <w:lang w:val="en-GB" w:eastAsia="zh-CN"/>
        </w:rPr>
        <w:t>注</w:t>
      </w:r>
      <w:r w:rsidRPr="00C84011">
        <w:rPr>
          <w:lang w:val="en-GB" w:eastAsia="zh-CN"/>
        </w:rPr>
        <w:t>3 – </w:t>
      </w:r>
      <w:r>
        <w:rPr>
          <w:rFonts w:hint="eastAsia"/>
          <w:lang w:val="en-GB" w:eastAsia="zh-CN"/>
        </w:rPr>
        <w:t>表</w:t>
      </w:r>
      <w:r>
        <w:rPr>
          <w:rFonts w:hint="eastAsia"/>
          <w:lang w:val="en-GB" w:eastAsia="zh-CN"/>
        </w:rPr>
        <w:t>1</w:t>
      </w:r>
      <w:r>
        <w:rPr>
          <w:rFonts w:hint="eastAsia"/>
          <w:lang w:val="en-GB" w:eastAsia="zh-CN"/>
        </w:rPr>
        <w:t>中的标准基于附件中给出的干扰环境（也可见</w:t>
      </w:r>
      <w:r w:rsidRPr="00C84011">
        <w:rPr>
          <w:lang w:val="en-GB" w:eastAsia="zh-CN"/>
        </w:rPr>
        <w:t>§ 4</w:t>
      </w:r>
      <w:r>
        <w:rPr>
          <w:rFonts w:hint="eastAsia"/>
          <w:lang w:val="en-GB" w:eastAsia="zh-CN"/>
        </w:rPr>
        <w:t>）</w:t>
      </w:r>
      <w:bookmarkEnd w:id="27"/>
      <w:r>
        <w:rPr>
          <w:rFonts w:hint="eastAsia"/>
          <w:lang w:val="en-GB" w:eastAsia="zh-CN"/>
        </w:rPr>
        <w:t>。</w:t>
      </w:r>
    </w:p>
    <w:p w:rsidR="001B59E5" w:rsidRPr="00C84011" w:rsidRDefault="001B59E5" w:rsidP="001B59E5">
      <w:pPr>
        <w:pStyle w:val="TableNo"/>
        <w:rPr>
          <w:rFonts w:ascii="Calibri" w:hAnsi="Calibri"/>
          <w:b/>
          <w:color w:val="800000"/>
          <w:sz w:val="22"/>
          <w:lang w:val="en-GB" w:eastAsia="zh-CN"/>
        </w:rPr>
      </w:pPr>
      <w:r w:rsidRPr="00C84011">
        <w:rPr>
          <w:rFonts w:hint="eastAsia"/>
          <w:lang w:eastAsia="zh-CN"/>
        </w:rPr>
        <w:t>表</w:t>
      </w:r>
      <w:r w:rsidRPr="00C84011">
        <w:rPr>
          <w:lang w:eastAsia="zh-CN"/>
        </w:rPr>
        <w:t>1</w:t>
      </w:r>
    </w:p>
    <w:p w:rsidR="001B59E5" w:rsidRPr="00C84011" w:rsidRDefault="001B59E5" w:rsidP="001B59E5">
      <w:pPr>
        <w:pStyle w:val="Tabletitle"/>
        <w:rPr>
          <w:lang w:val="en-GB" w:eastAsia="zh-CN"/>
        </w:rPr>
      </w:pPr>
      <w:bookmarkStart w:id="28" w:name="lt_pId096"/>
      <w:r>
        <w:rPr>
          <w:rFonts w:hint="eastAsia"/>
          <w:lang w:val="en-GB" w:eastAsia="zh-CN"/>
        </w:rPr>
        <w:t>在</w:t>
      </w:r>
      <w:r>
        <w:rPr>
          <w:lang w:val="en-GB" w:eastAsia="zh-CN"/>
        </w:rPr>
        <w:t>对地静止轨道</w:t>
      </w:r>
      <w:r>
        <w:rPr>
          <w:rFonts w:hint="eastAsia"/>
          <w:lang w:val="en-GB" w:eastAsia="zh-CN"/>
        </w:rPr>
        <w:t>中使用航天器的</w:t>
      </w:r>
      <w:r w:rsidRPr="00C84011">
        <w:rPr>
          <w:lang w:val="en-GB" w:eastAsia="zh-CN"/>
        </w:rPr>
        <w:t>EES</w:t>
      </w:r>
      <w:r>
        <w:rPr>
          <w:rFonts w:hint="eastAsia"/>
          <w:lang w:val="en-GB" w:eastAsia="zh-CN"/>
        </w:rPr>
        <w:t>和</w:t>
      </w:r>
      <w:r w:rsidRPr="00C84011">
        <w:rPr>
          <w:lang w:val="en-GB" w:eastAsia="zh-CN"/>
        </w:rPr>
        <w:t>MetSat</w:t>
      </w:r>
      <w:r>
        <w:rPr>
          <w:rFonts w:hint="eastAsia"/>
          <w:lang w:val="en-GB" w:eastAsia="zh-CN"/>
        </w:rPr>
        <w:t>业务地球站的共用标准</w:t>
      </w:r>
      <w:bookmarkStart w:id="29" w:name="lt_pId097"/>
      <w:bookmarkEnd w:id="28"/>
      <w:bookmarkEnd w:id="29"/>
    </w:p>
    <w:tbl>
      <w:tblPr>
        <w:tblStyle w:val="TableGrid"/>
        <w:tblW w:w="0" w:type="auto"/>
        <w:tblLook w:val="04A0" w:firstRow="1" w:lastRow="0" w:firstColumn="1" w:lastColumn="0" w:noHBand="0" w:noVBand="1"/>
      </w:tblPr>
      <w:tblGrid>
        <w:gridCol w:w="1925"/>
        <w:gridCol w:w="1926"/>
        <w:gridCol w:w="1926"/>
        <w:gridCol w:w="1926"/>
        <w:gridCol w:w="1926"/>
      </w:tblGrid>
      <w:tr w:rsidR="001B59E5" w:rsidRPr="00C84011" w:rsidTr="00B463D9">
        <w:tc>
          <w:tcPr>
            <w:tcW w:w="1925" w:type="dxa"/>
            <w:vMerge w:val="restart"/>
            <w:vAlign w:val="center"/>
          </w:tcPr>
          <w:p w:rsidR="001B59E5" w:rsidRPr="00C522CA" w:rsidRDefault="001B59E5" w:rsidP="00B463D9">
            <w:pPr>
              <w:pStyle w:val="Tablehead"/>
              <w:rPr>
                <w:rFonts w:ascii="Times New Roman" w:eastAsiaTheme="minorEastAsia" w:hAnsi="Times New Roman"/>
              </w:rPr>
            </w:pPr>
            <w:r w:rsidRPr="00C522CA">
              <w:rPr>
                <w:rFonts w:ascii="Times New Roman" w:eastAsiaTheme="minorEastAsia" w:hAnsi="Times New Roman"/>
              </w:rPr>
              <w:t>频段</w:t>
            </w:r>
          </w:p>
        </w:tc>
        <w:tc>
          <w:tcPr>
            <w:tcW w:w="3852" w:type="dxa"/>
            <w:gridSpan w:val="2"/>
            <w:vAlign w:val="bottom"/>
          </w:tcPr>
          <w:p w:rsidR="001B59E5" w:rsidRPr="00C522CA" w:rsidRDefault="001B59E5" w:rsidP="00B463D9">
            <w:pPr>
              <w:pStyle w:val="TableText0"/>
              <w:spacing w:line="240" w:lineRule="auto"/>
              <w:ind w:right="-57"/>
              <w:jc w:val="center"/>
              <w:rPr>
                <w:rFonts w:ascii="Times New Roman" w:eastAsiaTheme="minorEastAsia" w:hAnsi="Times New Roman"/>
                <w:b/>
                <w:bCs/>
                <w:sz w:val="22"/>
                <w:szCs w:val="22"/>
                <w:lang w:eastAsia="zh-CN"/>
              </w:rPr>
            </w:pPr>
            <w:r w:rsidRPr="00C522CA">
              <w:rPr>
                <w:rFonts w:ascii="Times New Roman" w:eastAsiaTheme="minorEastAsia" w:hAnsi="Times New Roman"/>
                <w:b/>
                <w:bCs/>
                <w:sz w:val="22"/>
                <w:szCs w:val="22"/>
                <w:lang w:eastAsia="zh-CN"/>
              </w:rPr>
              <w:t>在不超过</w:t>
            </w:r>
            <w:r w:rsidRPr="00C522CA">
              <w:rPr>
                <w:rFonts w:ascii="Times New Roman" w:eastAsiaTheme="minorEastAsia" w:hAnsi="Times New Roman"/>
                <w:b/>
                <w:bCs/>
                <w:sz w:val="22"/>
                <w:szCs w:val="22"/>
                <w:lang w:eastAsia="zh-CN"/>
              </w:rPr>
              <w:t>20%</w:t>
            </w:r>
            <w:r w:rsidRPr="00C522CA">
              <w:rPr>
                <w:rFonts w:ascii="Times New Roman" w:eastAsiaTheme="minorEastAsia" w:hAnsi="Times New Roman"/>
                <w:b/>
                <w:bCs/>
                <w:sz w:val="22"/>
                <w:szCs w:val="22"/>
                <w:lang w:eastAsia="zh-CN"/>
              </w:rPr>
              <w:t>的时间内超过的</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基准带宽干扰信号</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功率（</w:t>
            </w:r>
            <w:r w:rsidRPr="00C522CA">
              <w:rPr>
                <w:rFonts w:ascii="Times New Roman" w:eastAsiaTheme="minorEastAsia" w:hAnsi="Times New Roman"/>
                <w:b/>
                <w:bCs/>
                <w:sz w:val="22"/>
                <w:szCs w:val="22"/>
                <w:lang w:eastAsia="zh-CN"/>
              </w:rPr>
              <w:t>dBW</w:t>
            </w:r>
            <w:r w:rsidRPr="00C522CA">
              <w:rPr>
                <w:rFonts w:ascii="Times New Roman" w:eastAsiaTheme="minorEastAsia" w:hAnsi="Times New Roman"/>
                <w:b/>
                <w:bCs/>
                <w:sz w:val="22"/>
                <w:szCs w:val="22"/>
                <w:lang w:eastAsia="zh-CN"/>
              </w:rPr>
              <w:t>）</w:t>
            </w:r>
          </w:p>
        </w:tc>
        <w:tc>
          <w:tcPr>
            <w:tcW w:w="3852" w:type="dxa"/>
            <w:gridSpan w:val="2"/>
          </w:tcPr>
          <w:p w:rsidR="001B59E5" w:rsidRPr="00C522CA" w:rsidRDefault="001B59E5" w:rsidP="00B463D9">
            <w:pPr>
              <w:pStyle w:val="TableText0"/>
              <w:spacing w:line="240" w:lineRule="auto"/>
              <w:jc w:val="center"/>
              <w:rPr>
                <w:rFonts w:ascii="Times New Roman" w:eastAsiaTheme="minorEastAsia" w:hAnsi="Times New Roman"/>
                <w:b/>
                <w:bCs/>
                <w:sz w:val="22"/>
                <w:szCs w:val="22"/>
                <w:lang w:eastAsia="zh-CN"/>
              </w:rPr>
            </w:pPr>
            <w:r w:rsidRPr="00C522CA">
              <w:rPr>
                <w:rFonts w:ascii="Times New Roman" w:eastAsiaTheme="minorEastAsia" w:hAnsi="Times New Roman"/>
                <w:b/>
                <w:bCs/>
                <w:sz w:val="22"/>
                <w:szCs w:val="22"/>
                <w:lang w:eastAsia="zh-CN"/>
              </w:rPr>
              <w:t>在不超过</w:t>
            </w:r>
            <w:r w:rsidRPr="00C522CA">
              <w:rPr>
                <w:rFonts w:ascii="Times New Roman" w:eastAsiaTheme="minorEastAsia" w:hAnsi="Times New Roman"/>
                <w:b/>
                <w:bCs/>
                <w:i/>
                <w:iCs/>
                <w:sz w:val="22"/>
                <w:szCs w:val="22"/>
                <w:lang w:eastAsia="zh-CN"/>
              </w:rPr>
              <w:t>p</w:t>
            </w:r>
            <w:r w:rsidRPr="00C522CA">
              <w:rPr>
                <w:rFonts w:ascii="Times New Roman" w:eastAsiaTheme="minorEastAsia" w:hAnsi="Times New Roman"/>
                <w:b/>
                <w:bCs/>
                <w:sz w:val="22"/>
                <w:szCs w:val="22"/>
                <w:lang w:eastAsia="zh-CN"/>
              </w:rPr>
              <w:t>%</w:t>
            </w:r>
            <w:r w:rsidRPr="00C522CA">
              <w:rPr>
                <w:rFonts w:ascii="Times New Roman" w:eastAsiaTheme="minorEastAsia" w:hAnsi="Times New Roman"/>
                <w:b/>
                <w:bCs/>
                <w:sz w:val="22"/>
                <w:szCs w:val="22"/>
                <w:lang w:eastAsia="zh-CN"/>
              </w:rPr>
              <w:t>的时间内</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超过的基准带宽</w:t>
            </w:r>
            <w:r w:rsidRPr="00C522CA">
              <w:rPr>
                <w:rFonts w:ascii="Times New Roman" w:eastAsiaTheme="minorEastAsia" w:hAnsi="Times New Roman"/>
                <w:b/>
                <w:bCs/>
                <w:sz w:val="22"/>
                <w:szCs w:val="22"/>
                <w:lang w:eastAsia="zh-CN"/>
              </w:rPr>
              <w:br/>
            </w:r>
            <w:r w:rsidRPr="00C522CA">
              <w:rPr>
                <w:rFonts w:ascii="Times New Roman" w:eastAsiaTheme="minorEastAsia" w:hAnsi="Times New Roman"/>
                <w:b/>
                <w:bCs/>
                <w:sz w:val="22"/>
                <w:szCs w:val="22"/>
                <w:lang w:eastAsia="zh-CN"/>
              </w:rPr>
              <w:t>干扰信号功率（</w:t>
            </w:r>
            <w:r w:rsidRPr="00C522CA">
              <w:rPr>
                <w:rFonts w:ascii="Times New Roman" w:eastAsiaTheme="minorEastAsia" w:hAnsi="Times New Roman"/>
                <w:b/>
                <w:bCs/>
                <w:sz w:val="22"/>
                <w:szCs w:val="22"/>
                <w:lang w:eastAsia="zh-CN"/>
              </w:rPr>
              <w:t>dBW</w:t>
            </w:r>
            <w:r w:rsidRPr="00C522CA">
              <w:rPr>
                <w:rFonts w:ascii="Times New Roman" w:eastAsiaTheme="minorEastAsia" w:hAnsi="Times New Roman"/>
                <w:b/>
                <w:bCs/>
                <w:sz w:val="22"/>
                <w:szCs w:val="22"/>
                <w:lang w:eastAsia="zh-CN"/>
              </w:rPr>
              <w:t>）</w:t>
            </w:r>
          </w:p>
        </w:tc>
      </w:tr>
      <w:tr w:rsidR="001B59E5" w:rsidRPr="00C84011" w:rsidTr="00B463D9">
        <w:tc>
          <w:tcPr>
            <w:tcW w:w="1925" w:type="dxa"/>
            <w:vMerge/>
          </w:tcPr>
          <w:p w:rsidR="001B59E5" w:rsidRPr="00C84011" w:rsidRDefault="001B59E5" w:rsidP="00B463D9">
            <w:pPr>
              <w:pStyle w:val="Tablehead"/>
              <w:rPr>
                <w:lang w:val="en-GB" w:eastAsia="zh-CN"/>
              </w:rPr>
            </w:pPr>
          </w:p>
        </w:tc>
        <w:tc>
          <w:tcPr>
            <w:tcW w:w="1926" w:type="dxa"/>
          </w:tcPr>
          <w:p w:rsidR="001B59E5" w:rsidRPr="006D5EE4" w:rsidRDefault="001B59E5" w:rsidP="00B463D9">
            <w:pPr>
              <w:pStyle w:val="Tablehead"/>
              <w:rPr>
                <w:rFonts w:eastAsiaTheme="minorEastAsia"/>
                <w:szCs w:val="22"/>
                <w:lang w:eastAsia="zh-CN"/>
              </w:rPr>
            </w:pPr>
            <w:r>
              <w:rPr>
                <w:rFonts w:eastAsiaTheme="minorEastAsia" w:hint="eastAsia"/>
                <w:szCs w:val="22"/>
                <w:lang w:eastAsia="zh-CN"/>
              </w:rPr>
              <w:t>空间</w:t>
            </w:r>
          </w:p>
        </w:tc>
        <w:tc>
          <w:tcPr>
            <w:tcW w:w="1926" w:type="dxa"/>
          </w:tcPr>
          <w:p w:rsidR="001B59E5" w:rsidRPr="006D5EE4" w:rsidRDefault="001B59E5" w:rsidP="00B463D9">
            <w:pPr>
              <w:pStyle w:val="Tablehead"/>
              <w:rPr>
                <w:rFonts w:eastAsiaTheme="minorEastAsia"/>
                <w:szCs w:val="22"/>
                <w:lang w:eastAsia="zh-CN"/>
              </w:rPr>
            </w:pPr>
            <w:r>
              <w:rPr>
                <w:rFonts w:eastAsiaTheme="minorEastAsia" w:hint="eastAsia"/>
                <w:szCs w:val="22"/>
                <w:lang w:eastAsia="zh-CN"/>
              </w:rPr>
              <w:t>地面</w:t>
            </w:r>
          </w:p>
        </w:tc>
        <w:tc>
          <w:tcPr>
            <w:tcW w:w="1926" w:type="dxa"/>
          </w:tcPr>
          <w:p w:rsidR="001B59E5" w:rsidRPr="006D5EE4" w:rsidRDefault="001B59E5" w:rsidP="00B463D9">
            <w:pPr>
              <w:pStyle w:val="Tablehead"/>
              <w:rPr>
                <w:rFonts w:eastAsiaTheme="minorEastAsia"/>
                <w:szCs w:val="22"/>
                <w:lang w:eastAsia="zh-CN"/>
              </w:rPr>
            </w:pPr>
            <w:r>
              <w:rPr>
                <w:rFonts w:eastAsiaTheme="minorEastAsia" w:hint="eastAsia"/>
                <w:szCs w:val="22"/>
                <w:lang w:eastAsia="zh-CN"/>
              </w:rPr>
              <w:t>空间</w:t>
            </w:r>
          </w:p>
        </w:tc>
        <w:tc>
          <w:tcPr>
            <w:tcW w:w="1926" w:type="dxa"/>
          </w:tcPr>
          <w:p w:rsidR="001B59E5" w:rsidRPr="006D5EE4" w:rsidRDefault="001B59E5" w:rsidP="00B463D9">
            <w:pPr>
              <w:pStyle w:val="Tablehead"/>
              <w:rPr>
                <w:rFonts w:eastAsiaTheme="minorEastAsia"/>
                <w:szCs w:val="22"/>
                <w:lang w:eastAsia="zh-CN"/>
              </w:rPr>
            </w:pPr>
            <w:r>
              <w:rPr>
                <w:rFonts w:eastAsiaTheme="minorEastAsia" w:hint="eastAsia"/>
                <w:szCs w:val="22"/>
                <w:lang w:eastAsia="zh-CN"/>
              </w:rPr>
              <w:t>地面</w:t>
            </w:r>
          </w:p>
        </w:tc>
      </w:tr>
      <w:tr w:rsidR="001B59E5" w:rsidRPr="00C84011" w:rsidTr="00B463D9">
        <w:tc>
          <w:tcPr>
            <w:tcW w:w="1925" w:type="dxa"/>
          </w:tcPr>
          <w:p w:rsidR="001B59E5" w:rsidRPr="00C84011" w:rsidRDefault="001B59E5" w:rsidP="00B463D9">
            <w:pPr>
              <w:pStyle w:val="Tabletext"/>
            </w:pPr>
            <w:bookmarkStart w:id="30" w:name="lt_pId111"/>
            <w:r w:rsidRPr="00C84011">
              <w:t>1</w:t>
            </w:r>
            <w:r w:rsidRPr="00C84011">
              <w:rPr>
                <w:rFonts w:ascii="Tms Rmn" w:hAnsi="Tms Rmn"/>
                <w:sz w:val="12"/>
              </w:rPr>
              <w:t> </w:t>
            </w:r>
            <w:r w:rsidRPr="00C84011">
              <w:t>670-1</w:t>
            </w:r>
            <w:r w:rsidRPr="00C84011">
              <w:rPr>
                <w:rFonts w:ascii="Tms Rmn" w:hAnsi="Tms Rmn"/>
                <w:sz w:val="12"/>
              </w:rPr>
              <w:t> </w:t>
            </w:r>
            <w:r w:rsidRPr="00C84011">
              <w:t>710 MHz</w:t>
            </w:r>
            <w:bookmarkEnd w:id="30"/>
          </w:p>
        </w:tc>
        <w:tc>
          <w:tcPr>
            <w:tcW w:w="1926" w:type="dxa"/>
          </w:tcPr>
          <w:p w:rsidR="001B59E5" w:rsidRDefault="001B59E5" w:rsidP="00B463D9">
            <w:pPr>
              <w:pStyle w:val="Tabletext"/>
              <w:jc w:val="center"/>
              <w:rPr>
                <w:rFonts w:eastAsiaTheme="minorEastAsia"/>
                <w:position w:val="6"/>
                <w:sz w:val="14"/>
                <w:lang w:eastAsia="zh-CN"/>
              </w:rPr>
            </w:pPr>
            <w:bookmarkStart w:id="31" w:name="lt_pId113"/>
            <w:bookmarkStart w:id="32" w:name="lt_pId112"/>
            <w:r>
              <w:rPr>
                <w:rFonts w:eastAsiaTheme="minorEastAsia" w:hint="eastAsia"/>
                <w:lang w:eastAsia="zh-CN"/>
              </w:rPr>
              <w:t>每</w:t>
            </w:r>
            <w:r w:rsidRPr="00C84011">
              <w:t>1 MHz</w:t>
            </w:r>
            <w:r w:rsidRPr="00C84011">
              <w:rPr>
                <w:position w:val="6"/>
                <w:sz w:val="14"/>
              </w:rPr>
              <w:t>(1)</w:t>
            </w:r>
            <w:bookmarkEnd w:id="31"/>
          </w:p>
          <w:p w:rsidR="001B59E5" w:rsidRPr="00C84011" w:rsidRDefault="001B59E5" w:rsidP="00B463D9">
            <w:pPr>
              <w:pStyle w:val="Tabletext"/>
              <w:jc w:val="center"/>
            </w:pPr>
            <w:r w:rsidRPr="00C84011">
              <w:rPr>
                <w:rFonts w:ascii="Times New Roman" w:hAnsi="Times New Roman"/>
              </w:rPr>
              <w:t>−</w:t>
            </w:r>
            <w:r w:rsidRPr="00C84011">
              <w:t>173.9 dBW</w:t>
            </w:r>
            <w:bookmarkEnd w:id="32"/>
            <w:r w:rsidRPr="00C84011">
              <w:br/>
            </w:r>
          </w:p>
        </w:tc>
        <w:tc>
          <w:tcPr>
            <w:tcW w:w="1926" w:type="dxa"/>
          </w:tcPr>
          <w:p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 MHz</w:t>
            </w:r>
            <w:r w:rsidRPr="00C84011">
              <w:rPr>
                <w:position w:val="6"/>
                <w:sz w:val="14"/>
              </w:rPr>
              <w:t>(1)</w:t>
            </w:r>
          </w:p>
          <w:p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5</w:t>
            </w:r>
            <w:r w:rsidRPr="00C84011">
              <w:t>3.9 dBW</w:t>
            </w:r>
          </w:p>
        </w:tc>
        <w:tc>
          <w:tcPr>
            <w:tcW w:w="1926" w:type="dxa"/>
          </w:tcPr>
          <w:p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 MHz</w:t>
            </w:r>
            <w:r w:rsidRPr="00C84011">
              <w:rPr>
                <w:position w:val="6"/>
                <w:sz w:val="14"/>
              </w:rPr>
              <w:t>(1)</w:t>
            </w:r>
          </w:p>
          <w:p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50</w:t>
            </w:r>
            <w:r w:rsidRPr="00C84011">
              <w:t>.</w:t>
            </w:r>
            <w:r>
              <w:rPr>
                <w:rFonts w:eastAsiaTheme="minorEastAsia" w:hint="eastAsia"/>
                <w:lang w:eastAsia="zh-CN"/>
              </w:rPr>
              <w:t>3</w:t>
            </w:r>
            <w:r w:rsidRPr="00C84011">
              <w:t xml:space="preserve"> dBW</w:t>
            </w:r>
            <w:r w:rsidRPr="00C84011">
              <w:br/>
            </w:r>
            <w:bookmarkStart w:id="33" w:name="lt_pId118"/>
            <w:r w:rsidRPr="00C84011">
              <w:rPr>
                <w:i/>
              </w:rPr>
              <w:t>p</w:t>
            </w:r>
            <w:r w:rsidRPr="00C84011">
              <w:rPr>
                <w:rFonts w:ascii="Symbol" w:hAnsi="Symbol"/>
              </w:rPr>
              <w:sym w:font="Symbol" w:char="F03D"/>
            </w:r>
            <w:bookmarkEnd w:id="33"/>
            <w:r w:rsidRPr="00C84011">
              <w:t xml:space="preserve"> 0.0025</w:t>
            </w:r>
          </w:p>
        </w:tc>
        <w:tc>
          <w:tcPr>
            <w:tcW w:w="1926" w:type="dxa"/>
          </w:tcPr>
          <w:p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 MHz</w:t>
            </w:r>
            <w:r w:rsidRPr="00C84011">
              <w:rPr>
                <w:position w:val="6"/>
                <w:sz w:val="14"/>
              </w:rPr>
              <w:t>(1)</w:t>
            </w:r>
          </w:p>
          <w:p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48.7</w:t>
            </w:r>
            <w:r w:rsidRPr="00C84011">
              <w:t xml:space="preserve"> dBW</w:t>
            </w:r>
            <w:r w:rsidRPr="00C84011">
              <w:rPr>
                <w:position w:val="6"/>
              </w:rPr>
              <w:br/>
            </w:r>
            <w:bookmarkStart w:id="34" w:name="lt_pId122"/>
            <w:r w:rsidRPr="00C84011">
              <w:rPr>
                <w:i/>
              </w:rPr>
              <w:t>p</w:t>
            </w:r>
            <w:r w:rsidRPr="00C84011">
              <w:rPr>
                <w:rFonts w:ascii="Symbol" w:hAnsi="Symbol"/>
              </w:rPr>
              <w:sym w:font="Symbol" w:char="F03D"/>
            </w:r>
            <w:bookmarkEnd w:id="34"/>
            <w:r w:rsidRPr="00C84011">
              <w:t xml:space="preserve"> 0.011</w:t>
            </w:r>
          </w:p>
        </w:tc>
      </w:tr>
      <w:tr w:rsidR="001B59E5" w:rsidRPr="00C84011" w:rsidTr="00B463D9">
        <w:tc>
          <w:tcPr>
            <w:tcW w:w="1925" w:type="dxa"/>
            <w:tcBorders>
              <w:bottom w:val="single" w:sz="4" w:space="0" w:color="auto"/>
            </w:tcBorders>
          </w:tcPr>
          <w:p w:rsidR="001B59E5" w:rsidRPr="00C84011" w:rsidRDefault="001B59E5" w:rsidP="00B463D9">
            <w:pPr>
              <w:pStyle w:val="Tabletext"/>
            </w:pPr>
            <w:bookmarkStart w:id="35" w:name="lt_pId124"/>
            <w:r w:rsidRPr="00C84011">
              <w:t>25</w:t>
            </w:r>
            <w:r w:rsidRPr="00C84011">
              <w:rPr>
                <w:rFonts w:ascii="Tms Rmn" w:hAnsi="Tms Rmn"/>
                <w:sz w:val="12"/>
              </w:rPr>
              <w:t>.</w:t>
            </w:r>
            <w:r w:rsidRPr="00C84011">
              <w:t>5-27 GHz</w:t>
            </w:r>
            <w:bookmarkEnd w:id="35"/>
          </w:p>
        </w:tc>
        <w:tc>
          <w:tcPr>
            <w:tcW w:w="1926" w:type="dxa"/>
            <w:tcBorders>
              <w:bottom w:val="single" w:sz="4" w:space="0" w:color="auto"/>
            </w:tcBorders>
          </w:tcPr>
          <w:p w:rsidR="001B59E5" w:rsidRDefault="001B59E5" w:rsidP="00B463D9">
            <w:pPr>
              <w:pStyle w:val="Tabletext"/>
              <w:jc w:val="center"/>
              <w:rPr>
                <w:rFonts w:eastAsiaTheme="minorEastAsia"/>
                <w:position w:val="6"/>
                <w:sz w:val="14"/>
                <w:lang w:eastAsia="zh-CN"/>
              </w:rPr>
            </w:pPr>
            <w:bookmarkStart w:id="36" w:name="lt_pId126"/>
            <w:bookmarkStart w:id="37" w:name="lt_pId125"/>
            <w:r>
              <w:rPr>
                <w:rFonts w:eastAsiaTheme="minorEastAsia" w:hint="eastAsia"/>
                <w:lang w:eastAsia="zh-CN"/>
              </w:rPr>
              <w:t>每</w:t>
            </w:r>
            <w:r w:rsidRPr="00C84011">
              <w:t>10 MHz</w:t>
            </w:r>
            <w:r w:rsidRPr="00C84011">
              <w:rPr>
                <w:position w:val="6"/>
                <w:sz w:val="14"/>
              </w:rPr>
              <w:t>(2)</w:t>
            </w:r>
            <w:bookmarkEnd w:id="36"/>
          </w:p>
          <w:p w:rsidR="001B59E5" w:rsidRPr="00C84011" w:rsidRDefault="001B59E5" w:rsidP="00B463D9">
            <w:pPr>
              <w:pStyle w:val="Tabletext"/>
              <w:jc w:val="center"/>
            </w:pPr>
            <w:r w:rsidRPr="00C84011">
              <w:rPr>
                <w:rFonts w:ascii="Times New Roman" w:hAnsi="Times New Roman"/>
              </w:rPr>
              <w:t>−</w:t>
            </w:r>
            <w:r w:rsidRPr="00C84011">
              <w:t>164.6 dBW</w:t>
            </w:r>
            <w:bookmarkEnd w:id="37"/>
            <w:r w:rsidRPr="00C84011">
              <w:br/>
            </w:r>
          </w:p>
        </w:tc>
        <w:tc>
          <w:tcPr>
            <w:tcW w:w="1926" w:type="dxa"/>
            <w:tcBorders>
              <w:bottom w:val="single" w:sz="4" w:space="0" w:color="auto"/>
            </w:tcBorders>
          </w:tcPr>
          <w:p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10 MHz</w:t>
            </w:r>
            <w:r w:rsidRPr="00C84011">
              <w:rPr>
                <w:position w:val="6"/>
                <w:sz w:val="14"/>
              </w:rPr>
              <w:t>(2)</w:t>
            </w:r>
          </w:p>
          <w:p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47</w:t>
            </w:r>
            <w:r w:rsidRPr="00C84011">
              <w:t>.</w:t>
            </w:r>
            <w:r>
              <w:rPr>
                <w:rFonts w:eastAsiaTheme="minorEastAsia" w:hint="eastAsia"/>
                <w:lang w:eastAsia="zh-CN"/>
              </w:rPr>
              <w:t>7</w:t>
            </w:r>
            <w:r w:rsidRPr="00C84011">
              <w:t xml:space="preserve"> dBW</w:t>
            </w:r>
          </w:p>
        </w:tc>
        <w:tc>
          <w:tcPr>
            <w:tcW w:w="1926" w:type="dxa"/>
            <w:tcBorders>
              <w:bottom w:val="single" w:sz="4" w:space="0" w:color="auto"/>
            </w:tcBorders>
          </w:tcPr>
          <w:p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10 MHz</w:t>
            </w:r>
            <w:r w:rsidRPr="00C84011">
              <w:rPr>
                <w:position w:val="6"/>
                <w:sz w:val="14"/>
              </w:rPr>
              <w:t>(2)</w:t>
            </w:r>
          </w:p>
          <w:p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33</w:t>
            </w:r>
            <w:r w:rsidRPr="00C84011">
              <w:t>.</w:t>
            </w:r>
            <w:r>
              <w:rPr>
                <w:rFonts w:eastAsiaTheme="minorEastAsia" w:hint="eastAsia"/>
                <w:lang w:eastAsia="zh-CN"/>
              </w:rPr>
              <w:t>3</w:t>
            </w:r>
            <w:r w:rsidRPr="00C84011">
              <w:t xml:space="preserve"> dBW</w:t>
            </w:r>
            <w:r w:rsidRPr="00C84011">
              <w:rPr>
                <w:vertAlign w:val="superscript"/>
              </w:rPr>
              <w:br/>
            </w:r>
            <w:bookmarkStart w:id="38" w:name="lt_pId131"/>
            <w:r w:rsidRPr="00C84011">
              <w:rPr>
                <w:i/>
                <w:iCs/>
              </w:rPr>
              <w:t>p</w:t>
            </w:r>
            <w:r w:rsidRPr="00C84011">
              <w:rPr>
                <w:rFonts w:ascii="Symbol" w:hAnsi="Symbol"/>
              </w:rPr>
              <w:sym w:font="Symbol" w:char="F03D"/>
            </w:r>
            <w:bookmarkEnd w:id="38"/>
            <w:r w:rsidRPr="00C84011">
              <w:t xml:space="preserve"> 0.05</w:t>
            </w:r>
          </w:p>
        </w:tc>
        <w:tc>
          <w:tcPr>
            <w:tcW w:w="1926" w:type="dxa"/>
            <w:tcBorders>
              <w:bottom w:val="single" w:sz="4" w:space="0" w:color="auto"/>
            </w:tcBorders>
          </w:tcPr>
          <w:p w:rsidR="001B59E5" w:rsidRDefault="001B59E5" w:rsidP="00B463D9">
            <w:pPr>
              <w:pStyle w:val="Tabletext"/>
              <w:jc w:val="center"/>
              <w:rPr>
                <w:rFonts w:eastAsiaTheme="minorEastAsia"/>
                <w:position w:val="6"/>
                <w:sz w:val="14"/>
                <w:lang w:eastAsia="zh-CN"/>
              </w:rPr>
            </w:pPr>
            <w:r>
              <w:rPr>
                <w:rFonts w:eastAsiaTheme="minorEastAsia" w:hint="eastAsia"/>
                <w:lang w:eastAsia="zh-CN"/>
              </w:rPr>
              <w:t>每</w:t>
            </w:r>
            <w:r w:rsidRPr="00C84011">
              <w:t>10 MHz</w:t>
            </w:r>
            <w:r w:rsidRPr="00C84011">
              <w:rPr>
                <w:position w:val="6"/>
                <w:sz w:val="14"/>
              </w:rPr>
              <w:t>(2)</w:t>
            </w:r>
          </w:p>
          <w:p w:rsidR="001B59E5" w:rsidRPr="00C84011" w:rsidRDefault="001B59E5" w:rsidP="00B463D9">
            <w:pPr>
              <w:pStyle w:val="Tabletext"/>
              <w:jc w:val="center"/>
            </w:pPr>
            <w:r w:rsidRPr="00C84011">
              <w:rPr>
                <w:rFonts w:ascii="Times New Roman" w:hAnsi="Times New Roman"/>
              </w:rPr>
              <w:t>−</w:t>
            </w:r>
            <w:r w:rsidRPr="00C84011">
              <w:t>1</w:t>
            </w:r>
            <w:r>
              <w:rPr>
                <w:rFonts w:eastAsiaTheme="minorEastAsia" w:hint="eastAsia"/>
                <w:lang w:eastAsia="zh-CN"/>
              </w:rPr>
              <w:t>33</w:t>
            </w:r>
            <w:r w:rsidRPr="00C84011">
              <w:t>.</w:t>
            </w:r>
            <w:r>
              <w:rPr>
                <w:rFonts w:eastAsiaTheme="minorEastAsia" w:hint="eastAsia"/>
                <w:lang w:eastAsia="zh-CN"/>
              </w:rPr>
              <w:t xml:space="preserve">0 </w:t>
            </w:r>
            <w:r w:rsidRPr="00C84011">
              <w:t>dBW</w:t>
            </w:r>
            <w:r w:rsidRPr="00C84011">
              <w:br/>
            </w:r>
            <w:bookmarkStart w:id="39" w:name="lt_pId135"/>
            <w:r w:rsidRPr="00C84011">
              <w:rPr>
                <w:i/>
                <w:iCs/>
              </w:rPr>
              <w:t>p</w:t>
            </w:r>
            <w:r w:rsidRPr="00C84011">
              <w:rPr>
                <w:rFonts w:ascii="Symbol" w:hAnsi="Symbol"/>
              </w:rPr>
              <w:sym w:font="Symbol" w:char="F03D"/>
            </w:r>
            <w:bookmarkEnd w:id="39"/>
            <w:r w:rsidRPr="00C84011">
              <w:t xml:space="preserve"> 0.1</w:t>
            </w:r>
          </w:p>
        </w:tc>
      </w:tr>
      <w:tr w:rsidR="001B59E5" w:rsidRPr="00C84011" w:rsidTr="00B463D9">
        <w:tc>
          <w:tcPr>
            <w:tcW w:w="9629" w:type="dxa"/>
            <w:gridSpan w:val="5"/>
            <w:tcBorders>
              <w:left w:val="nil"/>
              <w:bottom w:val="nil"/>
              <w:right w:val="nil"/>
            </w:tcBorders>
            <w:tcMar>
              <w:top w:w="113" w:type="dxa"/>
              <w:bottom w:w="113" w:type="dxa"/>
            </w:tcMar>
            <w:vAlign w:val="center"/>
          </w:tcPr>
          <w:p w:rsidR="001B59E5" w:rsidRPr="00264649" w:rsidRDefault="001B59E5" w:rsidP="00B463D9">
            <w:pPr>
              <w:pStyle w:val="Tabletext"/>
              <w:ind w:left="284" w:hanging="284"/>
              <w:rPr>
                <w:rFonts w:ascii="Times New Roman" w:eastAsiaTheme="minorEastAsia" w:hAnsi="Times New Roman"/>
                <w:b/>
                <w:color w:val="800000"/>
                <w:lang w:val="en-GB" w:eastAsia="zh-CN"/>
              </w:rPr>
            </w:pPr>
            <w:r w:rsidRPr="00C84011">
              <w:rPr>
                <w:position w:val="6"/>
                <w:sz w:val="14"/>
                <w:lang w:val="en-GB" w:eastAsia="zh-CN"/>
              </w:rPr>
              <w:t>(1)</w:t>
            </w:r>
            <w:r w:rsidRPr="00C84011">
              <w:rPr>
                <w:lang w:val="en-GB" w:eastAsia="zh-CN"/>
              </w:rPr>
              <w:tab/>
            </w:r>
            <w:r w:rsidRPr="00C84011">
              <w:rPr>
                <w:rFonts w:ascii="Times New Roman" w:eastAsia="SimSun" w:hAnsi="Times New Roman" w:hint="eastAsia"/>
                <w:lang w:eastAsia="zh-CN"/>
              </w:rPr>
              <w:t>基准带宽内干扰信号功率（</w:t>
            </w:r>
            <w:r w:rsidRPr="00C84011">
              <w:rPr>
                <w:rFonts w:ascii="Times New Roman" w:eastAsia="SimSun" w:hAnsi="Times New Roman"/>
                <w:lang w:eastAsia="zh-CN"/>
              </w:rPr>
              <w:t>dBW</w:t>
            </w:r>
            <w:r w:rsidRPr="00C84011">
              <w:rPr>
                <w:rFonts w:ascii="Times New Roman" w:eastAsia="SimSun" w:hAnsi="Times New Roman" w:hint="eastAsia"/>
                <w:lang w:eastAsia="zh-CN"/>
              </w:rPr>
              <w:t>）为在仰角</w:t>
            </w:r>
            <w:r>
              <w:rPr>
                <w:rFonts w:ascii="Symbol" w:hAnsi="Symbol"/>
                <w:lang w:eastAsia="zh-CN"/>
              </w:rPr>
              <w:t></w:t>
            </w:r>
            <w:r w:rsidRPr="00C21366">
              <w:rPr>
                <w:lang w:val="en-GB" w:eastAsia="zh-CN"/>
              </w:rPr>
              <w:t> 3</w:t>
            </w:r>
            <w:r>
              <w:rPr>
                <w:rFonts w:ascii="Symbol" w:hAnsi="Symbol"/>
                <w:lang w:eastAsia="zh-CN"/>
              </w:rPr>
              <w:t></w:t>
            </w:r>
            <w:r w:rsidRPr="00C84011">
              <w:rPr>
                <w:rFonts w:ascii="Times New Roman" w:eastAsia="SimSun" w:hAnsi="Times New Roman" w:hint="eastAsia"/>
                <w:lang w:eastAsia="zh-CN"/>
              </w:rPr>
              <w:t>时接收的干扰信号功率</w:t>
            </w:r>
            <w:r w:rsidRPr="00264649">
              <w:rPr>
                <w:rFonts w:ascii="Times New Roman" w:eastAsiaTheme="minorEastAsia" w:hAnsi="Times New Roman" w:hint="eastAsia"/>
                <w:lang w:val="en-GB" w:eastAsia="zh-CN"/>
              </w:rPr>
              <w:t>。</w:t>
            </w:r>
          </w:p>
          <w:p w:rsidR="001B59E5" w:rsidRPr="00C84011" w:rsidRDefault="001B59E5" w:rsidP="00B463D9">
            <w:pPr>
              <w:pStyle w:val="Tabletext"/>
              <w:ind w:left="284" w:hanging="284"/>
              <w:rPr>
                <w:lang w:val="en-GB" w:eastAsia="zh-CN"/>
              </w:rPr>
            </w:pPr>
            <w:r w:rsidRPr="00C84011">
              <w:rPr>
                <w:rFonts w:ascii="Times New Roman" w:eastAsia="SimSun" w:hAnsi="Times New Roman"/>
                <w:position w:val="6"/>
                <w:sz w:val="14"/>
                <w:lang w:val="en-GB" w:eastAsia="zh-CN"/>
              </w:rPr>
              <w:t>(2)</w:t>
            </w:r>
            <w:r w:rsidRPr="00C84011">
              <w:rPr>
                <w:rFonts w:ascii="Times New Roman" w:eastAsia="SimSun" w:hAnsi="Times New Roman"/>
                <w:lang w:val="en-GB" w:eastAsia="zh-CN"/>
              </w:rPr>
              <w:tab/>
            </w:r>
            <w:r w:rsidRPr="00C84011">
              <w:rPr>
                <w:rFonts w:ascii="Times New Roman" w:eastAsia="SimSun" w:hAnsi="Times New Roman" w:hint="eastAsia"/>
                <w:lang w:eastAsia="zh-CN"/>
              </w:rPr>
              <w:t>基准带宽内干扰信号功率（</w:t>
            </w:r>
            <w:r w:rsidRPr="00C84011">
              <w:rPr>
                <w:rFonts w:ascii="Times New Roman" w:eastAsia="SimSun" w:hAnsi="Times New Roman"/>
                <w:lang w:eastAsia="zh-CN"/>
              </w:rPr>
              <w:t>dBW</w:t>
            </w:r>
            <w:r w:rsidRPr="00C84011">
              <w:rPr>
                <w:rFonts w:ascii="Times New Roman" w:eastAsia="SimSun" w:hAnsi="Times New Roman" w:hint="eastAsia"/>
                <w:lang w:eastAsia="zh-CN"/>
              </w:rPr>
              <w:t>）为在仰角</w:t>
            </w:r>
            <w:r>
              <w:rPr>
                <w:rFonts w:ascii="Symbol" w:hAnsi="Symbol"/>
                <w:lang w:eastAsia="zh-CN"/>
              </w:rPr>
              <w:t></w:t>
            </w:r>
            <w:r w:rsidRPr="0058029E">
              <w:rPr>
                <w:lang w:val="en-GB" w:eastAsia="zh-CN"/>
              </w:rPr>
              <w:t> 5</w:t>
            </w:r>
            <w:r>
              <w:rPr>
                <w:rFonts w:ascii="Symbol" w:hAnsi="Symbol"/>
                <w:lang w:eastAsia="zh-CN"/>
              </w:rPr>
              <w:t></w:t>
            </w:r>
            <w:r w:rsidRPr="00C84011">
              <w:rPr>
                <w:rFonts w:ascii="Times New Roman" w:eastAsia="SimSun" w:hAnsi="Times New Roman" w:hint="eastAsia"/>
                <w:lang w:eastAsia="zh-CN"/>
              </w:rPr>
              <w:t>时接收的干扰信号功率</w:t>
            </w:r>
            <w:r w:rsidRPr="00264649">
              <w:rPr>
                <w:rFonts w:ascii="Times New Roman" w:eastAsiaTheme="minorEastAsia" w:hAnsi="Times New Roman" w:hint="eastAsia"/>
                <w:lang w:val="en-GB" w:eastAsia="zh-CN"/>
              </w:rPr>
              <w:t>。</w:t>
            </w:r>
          </w:p>
        </w:tc>
      </w:tr>
      <w:tr w:rsidR="001B59E5" w:rsidRPr="00C84011" w:rsidTr="00B463D9">
        <w:tc>
          <w:tcPr>
            <w:tcW w:w="9629" w:type="dxa"/>
            <w:gridSpan w:val="5"/>
            <w:tcBorders>
              <w:top w:val="nil"/>
              <w:left w:val="nil"/>
              <w:bottom w:val="nil"/>
              <w:right w:val="nil"/>
            </w:tcBorders>
            <w:tcMar>
              <w:top w:w="113" w:type="dxa"/>
              <w:bottom w:w="113" w:type="dxa"/>
            </w:tcMar>
            <w:vAlign w:val="center"/>
          </w:tcPr>
          <w:p w:rsidR="001B59E5" w:rsidRPr="00C84011" w:rsidRDefault="001B59E5" w:rsidP="00B463D9">
            <w:pPr>
              <w:pStyle w:val="Tabletext"/>
              <w:ind w:left="284" w:hanging="284"/>
              <w:rPr>
                <w:position w:val="6"/>
                <w:sz w:val="14"/>
                <w:lang w:val="en-GB" w:eastAsia="zh-CN"/>
              </w:rPr>
            </w:pPr>
          </w:p>
        </w:tc>
      </w:tr>
    </w:tbl>
    <w:p w:rsidR="001B59E5" w:rsidRPr="00C84011" w:rsidRDefault="001B59E5" w:rsidP="001B59E5">
      <w:pPr>
        <w:pStyle w:val="TableLegend0"/>
        <w:rPr>
          <w:i/>
          <w:lang w:eastAsia="zh-CN"/>
        </w:rPr>
      </w:pPr>
      <w:r w:rsidRPr="00C84011">
        <w:rPr>
          <w:i/>
          <w:lang w:eastAsia="zh-CN"/>
        </w:rPr>
        <w:br w:type="page"/>
      </w:r>
    </w:p>
    <w:p w:rsidR="001B59E5" w:rsidRPr="001B59E5" w:rsidRDefault="001B59E5" w:rsidP="001B59E5">
      <w:pPr>
        <w:pStyle w:val="Tabletext"/>
        <w:rPr>
          <w:rFonts w:ascii="STKaiti" w:eastAsia="STKaiti" w:hAnsi="STKaiti"/>
          <w:b/>
          <w:iCs/>
          <w:color w:val="800000"/>
          <w:lang w:val="en-GB" w:eastAsia="zh-CN"/>
        </w:rPr>
      </w:pPr>
      <w:r w:rsidRPr="001B59E5">
        <w:rPr>
          <w:rFonts w:ascii="STKaiti" w:eastAsia="STKaiti" w:hAnsi="STKaiti" w:hint="eastAsia"/>
          <w:iCs/>
          <w:lang w:val="en-GB" w:eastAsia="zh-CN"/>
        </w:rPr>
        <w:lastRenderedPageBreak/>
        <w:t>表</w:t>
      </w:r>
      <w:r w:rsidRPr="001B59E5">
        <w:rPr>
          <w:rFonts w:ascii="STKaiti" w:eastAsia="STKaiti" w:hAnsi="STKaiti"/>
          <w:iCs/>
          <w:lang w:val="en-GB" w:eastAsia="zh-CN"/>
        </w:rPr>
        <w:t>1</w:t>
      </w:r>
      <w:r w:rsidRPr="001B59E5">
        <w:rPr>
          <w:rFonts w:ascii="STKaiti" w:eastAsia="STKaiti" w:hAnsi="STKaiti" w:hint="eastAsia"/>
          <w:iCs/>
          <w:lang w:val="en-GB" w:eastAsia="zh-CN"/>
        </w:rPr>
        <w:t>的注：</w:t>
      </w:r>
    </w:p>
    <w:p w:rsidR="001B59E5" w:rsidRPr="00C84011" w:rsidRDefault="001B59E5" w:rsidP="001B59E5">
      <w:pPr>
        <w:pStyle w:val="Tabletext"/>
        <w:rPr>
          <w:lang w:val="en-GB" w:eastAsia="zh-CN"/>
        </w:rPr>
      </w:pPr>
      <w:bookmarkStart w:id="40" w:name="lt_pId145"/>
      <w:r w:rsidRPr="00C84011">
        <w:rPr>
          <w:rFonts w:hint="eastAsia"/>
          <w:lang w:eastAsia="zh-CN"/>
        </w:rPr>
        <w:t>注</w:t>
      </w:r>
      <w:r w:rsidRPr="00C84011">
        <w:rPr>
          <w:lang w:eastAsia="zh-CN"/>
        </w:rPr>
        <w:t> 1 – </w:t>
      </w:r>
      <w:r w:rsidRPr="00C84011">
        <w:rPr>
          <w:rFonts w:hint="eastAsia"/>
          <w:lang w:eastAsia="zh-CN"/>
        </w:rPr>
        <w:t>表</w:t>
      </w:r>
      <w:r>
        <w:rPr>
          <w:rFonts w:hint="eastAsia"/>
          <w:lang w:eastAsia="zh-CN"/>
        </w:rPr>
        <w:t>1</w:t>
      </w:r>
      <w:r w:rsidRPr="00C84011">
        <w:rPr>
          <w:rFonts w:hint="eastAsia"/>
          <w:lang w:eastAsia="zh-CN"/>
        </w:rPr>
        <w:t>中单入干扰信号功率</w:t>
      </w:r>
      <w:r>
        <w:rPr>
          <w:rFonts w:hint="eastAsia"/>
          <w:lang w:eastAsia="zh-CN"/>
        </w:rPr>
        <w:t>阈</w:t>
      </w:r>
      <w:r w:rsidRPr="00C84011">
        <w:rPr>
          <w:rFonts w:hint="eastAsia"/>
          <w:lang w:eastAsia="zh-CN"/>
        </w:rPr>
        <w:t>值为在所确定的基准带宽内干扰信号功率的容许电平。相应地，小于基准带宽的干扰信号的总功率应在频率共用分析中进行考虑。如干扰信号带宽超过基准带宽或未与相关的接收机通带完全重叠，可用的频变抑制应于确定的容许干扰电平共同应用。</w:t>
      </w:r>
      <w:bookmarkStart w:id="41" w:name="OLE_LINK13"/>
      <w:bookmarkStart w:id="42" w:name="OLE_LINK14"/>
      <w:r>
        <w:rPr>
          <w:rFonts w:hint="eastAsia"/>
          <w:lang w:eastAsia="zh-CN"/>
        </w:rPr>
        <w:t>应参考相关的</w:t>
      </w:r>
      <w:r w:rsidRPr="00C84011">
        <w:rPr>
          <w:lang w:val="en-GB" w:eastAsia="zh-CN"/>
        </w:rPr>
        <w:t>ITU-R SM</w:t>
      </w:r>
      <w:r>
        <w:rPr>
          <w:rFonts w:hint="eastAsia"/>
          <w:lang w:val="en-GB" w:eastAsia="zh-CN"/>
        </w:rPr>
        <w:t>系列建议书</w:t>
      </w:r>
      <w:r w:rsidRPr="008F20E3">
        <w:rPr>
          <w:rFonts w:hint="eastAsia"/>
          <w:lang w:val="en-GB" w:eastAsia="zh-CN"/>
        </w:rPr>
        <w:t>，以便就此问题提供指导。</w:t>
      </w:r>
      <w:bookmarkEnd w:id="40"/>
      <w:bookmarkEnd w:id="41"/>
      <w:bookmarkEnd w:id="42"/>
    </w:p>
    <w:p w:rsidR="001B59E5" w:rsidRPr="00C84011" w:rsidRDefault="001B59E5" w:rsidP="001B59E5">
      <w:pPr>
        <w:pStyle w:val="Tabletext"/>
        <w:rPr>
          <w:lang w:val="en-GB" w:eastAsia="zh-CN"/>
        </w:rPr>
      </w:pPr>
      <w:bookmarkStart w:id="43" w:name="lt_pId146"/>
      <w:r w:rsidRPr="00C84011">
        <w:rPr>
          <w:rFonts w:hint="eastAsia"/>
          <w:lang w:eastAsia="zh-CN"/>
        </w:rPr>
        <w:t>注</w:t>
      </w:r>
      <w:r w:rsidRPr="00C84011">
        <w:rPr>
          <w:lang w:val="en-US" w:eastAsia="zh-CN"/>
        </w:rPr>
        <w:t> </w:t>
      </w:r>
      <w:r w:rsidRPr="00C84011">
        <w:rPr>
          <w:lang w:val="en-GB" w:eastAsia="zh-CN"/>
        </w:rPr>
        <w:t>2 – </w:t>
      </w:r>
      <w:r>
        <w:rPr>
          <w:rFonts w:hint="eastAsia"/>
          <w:lang w:val="en-GB" w:eastAsia="zh-CN"/>
        </w:rPr>
        <w:t>表</w:t>
      </w:r>
      <w:r>
        <w:rPr>
          <w:rFonts w:hint="eastAsia"/>
          <w:lang w:val="en-GB" w:eastAsia="zh-CN"/>
        </w:rPr>
        <w:t>1</w:t>
      </w:r>
      <w:r>
        <w:rPr>
          <w:rFonts w:hint="eastAsia"/>
          <w:lang w:val="en-GB" w:eastAsia="zh-CN"/>
        </w:rPr>
        <w:t>中介绍的公用标准基于</w:t>
      </w:r>
      <w:r w:rsidRPr="006E3597">
        <w:rPr>
          <w:lang w:eastAsia="zh-CN"/>
        </w:rPr>
        <w:t>具有</w:t>
      </w:r>
      <w:r>
        <w:rPr>
          <w:rFonts w:hint="eastAsia"/>
          <w:lang w:eastAsia="zh-CN"/>
        </w:rPr>
        <w:t>确定</w:t>
      </w:r>
      <w:r w:rsidRPr="006E3597">
        <w:rPr>
          <w:lang w:eastAsia="zh-CN"/>
        </w:rPr>
        <w:t>天线增益值的</w:t>
      </w:r>
      <w:r>
        <w:rPr>
          <w:rFonts w:hint="eastAsia"/>
          <w:lang w:eastAsia="zh-CN"/>
        </w:rPr>
        <w:t>代表地球站。</w:t>
      </w:r>
      <w:bookmarkEnd w:id="43"/>
    </w:p>
    <w:p w:rsidR="001B59E5" w:rsidRPr="00C84011" w:rsidRDefault="001B59E5" w:rsidP="001B59E5">
      <w:pPr>
        <w:pStyle w:val="Tabletext"/>
        <w:rPr>
          <w:lang w:val="en-GB" w:eastAsia="zh-CN"/>
        </w:rPr>
      </w:pPr>
      <w:r w:rsidRPr="00C84011">
        <w:rPr>
          <w:rFonts w:hint="eastAsia"/>
          <w:lang w:eastAsia="zh-CN"/>
        </w:rPr>
        <w:t>注</w:t>
      </w:r>
      <w:r w:rsidRPr="00C84011">
        <w:rPr>
          <w:lang w:eastAsia="zh-CN"/>
        </w:rPr>
        <w:t> 3 – </w:t>
      </w:r>
      <w:r w:rsidRPr="00C84011">
        <w:rPr>
          <w:rFonts w:hint="eastAsia"/>
          <w:lang w:eastAsia="zh-CN"/>
        </w:rPr>
        <w:t>在由干扰信号功率的容许总电平推导上述共用标准时，未考虑到杂散发射干扰。</w:t>
      </w:r>
    </w:p>
    <w:p w:rsidR="001B59E5" w:rsidRPr="00C84011" w:rsidRDefault="001B59E5" w:rsidP="001B59E5">
      <w:pPr>
        <w:pStyle w:val="Tabletext"/>
        <w:rPr>
          <w:lang w:val="en-GB" w:eastAsia="zh-CN"/>
        </w:rPr>
      </w:pPr>
      <w:bookmarkStart w:id="44" w:name="lt_pId148"/>
      <w:r w:rsidRPr="00C84011">
        <w:rPr>
          <w:rFonts w:hint="eastAsia"/>
          <w:lang w:eastAsia="zh-CN"/>
        </w:rPr>
        <w:t>注</w:t>
      </w:r>
      <w:r w:rsidRPr="00C84011">
        <w:rPr>
          <w:lang w:val="en-US" w:eastAsia="zh-CN"/>
        </w:rPr>
        <w:t> </w:t>
      </w:r>
      <w:r w:rsidRPr="00C84011">
        <w:rPr>
          <w:lang w:val="en-GB" w:eastAsia="zh-CN"/>
        </w:rPr>
        <w:t>4 – </w:t>
      </w:r>
      <w:r>
        <w:rPr>
          <w:rFonts w:hint="eastAsia"/>
          <w:lang w:val="en-GB" w:eastAsia="zh-CN"/>
        </w:rPr>
        <w:t>确定的单入干扰信号功率电平</w:t>
      </w:r>
      <w:r w:rsidRPr="006E3597">
        <w:rPr>
          <w:rFonts w:hint="eastAsia"/>
          <w:lang w:val="en-GB" w:eastAsia="zh-CN"/>
        </w:rPr>
        <w:t>可以直接转换为并应用为功率通量密度的等效值，只能用于使用低增益非跟踪天线的地球站。</w:t>
      </w:r>
      <w:bookmarkEnd w:id="44"/>
    </w:p>
    <w:p w:rsidR="001B59E5" w:rsidRPr="00C84011" w:rsidRDefault="001B59E5" w:rsidP="001B59E5">
      <w:pPr>
        <w:pStyle w:val="Tabletext"/>
        <w:rPr>
          <w:lang w:val="en-GB" w:eastAsia="zh-CN"/>
        </w:rPr>
      </w:pPr>
      <w:r w:rsidRPr="00C84011">
        <w:rPr>
          <w:rFonts w:hint="eastAsia"/>
          <w:lang w:eastAsia="zh-CN"/>
        </w:rPr>
        <w:t>注</w:t>
      </w:r>
      <w:r w:rsidRPr="00C84011">
        <w:rPr>
          <w:lang w:eastAsia="zh-CN"/>
        </w:rPr>
        <w:t> 5 – </w:t>
      </w:r>
      <w:r w:rsidRPr="00C84011">
        <w:rPr>
          <w:rFonts w:hint="eastAsia"/>
          <w:lang w:eastAsia="zh-CN"/>
        </w:rPr>
        <w:t>须达到长期（</w:t>
      </w:r>
      <w:r w:rsidRPr="00C84011">
        <w:rPr>
          <w:lang w:eastAsia="zh-CN"/>
        </w:rPr>
        <w:t>20%</w:t>
      </w:r>
      <w:r w:rsidRPr="00C84011">
        <w:rPr>
          <w:rFonts w:hint="eastAsia"/>
          <w:lang w:eastAsia="zh-CN"/>
        </w:rPr>
        <w:t>的时间）和短期（</w:t>
      </w:r>
      <w:r w:rsidRPr="00C84011">
        <w:rPr>
          <w:rFonts w:ascii="Symbol" w:hAnsi="Symbol"/>
          <w:lang w:eastAsia="zh-CN"/>
        </w:rPr>
        <w:t></w:t>
      </w:r>
      <w:r w:rsidRPr="00C84011">
        <w:rPr>
          <w:sz w:val="24"/>
          <w:lang w:eastAsia="zh-CN"/>
        </w:rPr>
        <w:t> </w:t>
      </w:r>
      <w:r w:rsidRPr="00C84011">
        <w:rPr>
          <w:i/>
          <w:lang w:eastAsia="zh-CN"/>
        </w:rPr>
        <w:t>p</w:t>
      </w:r>
      <w:r w:rsidRPr="00C84011">
        <w:rPr>
          <w:lang w:eastAsia="zh-CN"/>
        </w:rPr>
        <w:t>%</w:t>
      </w:r>
      <w:r w:rsidRPr="00C84011">
        <w:rPr>
          <w:rFonts w:hint="eastAsia"/>
          <w:lang w:eastAsia="zh-CN"/>
        </w:rPr>
        <w:t>的时间）共用标准，以便干扰能达到或低于容许电平。</w:t>
      </w:r>
    </w:p>
    <w:p w:rsidR="001B59E5" w:rsidRPr="00C84011" w:rsidRDefault="001B59E5" w:rsidP="001B59E5">
      <w:pPr>
        <w:pStyle w:val="Tabletext"/>
        <w:rPr>
          <w:lang w:val="en-GB" w:eastAsia="zh-CN"/>
        </w:rPr>
      </w:pPr>
      <w:r w:rsidRPr="00C84011">
        <w:rPr>
          <w:rFonts w:hint="eastAsia"/>
          <w:lang w:eastAsia="zh-CN"/>
        </w:rPr>
        <w:t>注</w:t>
      </w:r>
      <w:r w:rsidRPr="00C84011">
        <w:rPr>
          <w:lang w:eastAsia="zh-CN"/>
        </w:rPr>
        <w:t> 6 – </w:t>
      </w:r>
      <w:r w:rsidRPr="00C84011">
        <w:rPr>
          <w:rFonts w:hint="eastAsia"/>
          <w:lang w:eastAsia="zh-CN"/>
        </w:rPr>
        <w:t>所确定的地面信号路径共用标准对地面业务发射电台和发射地球站适用。</w:t>
      </w:r>
    </w:p>
    <w:p w:rsidR="001B59E5" w:rsidRPr="00C84011" w:rsidRDefault="001B59E5" w:rsidP="001B59E5">
      <w:pPr>
        <w:rPr>
          <w:lang w:val="en-GB" w:eastAsia="zh-CN"/>
        </w:rPr>
      </w:pPr>
    </w:p>
    <w:p w:rsidR="001B59E5" w:rsidRPr="00C84011" w:rsidRDefault="001B59E5" w:rsidP="001B59E5">
      <w:pPr>
        <w:rPr>
          <w:lang w:val="en-GB" w:eastAsia="zh-CN"/>
        </w:rPr>
      </w:pPr>
    </w:p>
    <w:p w:rsidR="001B59E5" w:rsidRPr="00C84011" w:rsidRDefault="001B59E5" w:rsidP="001B59E5">
      <w:pPr>
        <w:pStyle w:val="AnnexNoTitle"/>
        <w:rPr>
          <w:lang w:eastAsia="zh-CN"/>
        </w:rPr>
      </w:pPr>
      <w:bookmarkStart w:id="45" w:name="lt_pId155"/>
      <w:r w:rsidRPr="00C84011">
        <w:rPr>
          <w:rFonts w:hint="eastAsia"/>
          <w:lang w:eastAsia="zh-CN"/>
        </w:rPr>
        <w:t>附件</w:t>
      </w:r>
      <w:r w:rsidRPr="00C84011">
        <w:rPr>
          <w:lang w:eastAsia="zh-CN"/>
        </w:rPr>
        <w:br/>
      </w:r>
      <w:r w:rsidRPr="00C84011">
        <w:rPr>
          <w:lang w:eastAsia="zh-CN"/>
        </w:rPr>
        <w:br/>
      </w:r>
      <w:r w:rsidRPr="00C84011">
        <w:rPr>
          <w:rFonts w:hint="eastAsia"/>
          <w:lang w:eastAsia="zh-CN"/>
        </w:rPr>
        <w:t>共用标准的基础</w:t>
      </w:r>
    </w:p>
    <w:p w:rsidR="001B59E5" w:rsidRPr="00C84011" w:rsidRDefault="001B59E5" w:rsidP="001B59E5">
      <w:pPr>
        <w:pStyle w:val="Heading1"/>
        <w:rPr>
          <w:lang w:eastAsia="zh-CN"/>
        </w:rPr>
      </w:pPr>
      <w:r w:rsidRPr="00C84011">
        <w:rPr>
          <w:lang w:eastAsia="zh-CN"/>
        </w:rPr>
        <w:t>1</w:t>
      </w:r>
      <w:r w:rsidRPr="00C84011">
        <w:rPr>
          <w:lang w:eastAsia="zh-CN"/>
        </w:rPr>
        <w:tab/>
      </w:r>
      <w:r w:rsidRPr="00C84011">
        <w:rPr>
          <w:rFonts w:hint="eastAsia"/>
          <w:lang w:eastAsia="zh-CN"/>
        </w:rPr>
        <w:t>引言</w:t>
      </w:r>
    </w:p>
    <w:p w:rsidR="001B59E5" w:rsidRPr="00FD3AB6" w:rsidRDefault="001B59E5" w:rsidP="001B59E5">
      <w:pPr>
        <w:ind w:firstLineChars="200" w:firstLine="480"/>
        <w:rPr>
          <w:lang w:eastAsia="zh-CN"/>
        </w:rPr>
      </w:pPr>
      <w:r>
        <w:rPr>
          <w:rFonts w:hint="eastAsia"/>
          <w:lang w:val="en-GB" w:eastAsia="zh-CN"/>
        </w:rPr>
        <w:t>本附件介绍了使用</w:t>
      </w:r>
      <w:r w:rsidRPr="00FD3AB6">
        <w:rPr>
          <w:lang w:eastAsia="zh-CN"/>
        </w:rPr>
        <w:t> ITU</w:t>
      </w:r>
      <w:r w:rsidR="00065D50">
        <w:rPr>
          <w:rFonts w:hint="eastAsia"/>
          <w:lang w:eastAsia="zh-CN"/>
        </w:rPr>
        <w:t>-</w:t>
      </w:r>
      <w:r w:rsidRPr="00FD3AB6">
        <w:rPr>
          <w:lang w:eastAsia="zh-CN"/>
        </w:rPr>
        <w:t>R SA.1160</w:t>
      </w:r>
      <w:r>
        <w:rPr>
          <w:rFonts w:hint="eastAsia"/>
          <w:lang w:eastAsia="zh-CN"/>
        </w:rPr>
        <w:t>建议书定义的干扰标准的</w:t>
      </w:r>
      <w:r w:rsidRPr="00FD3AB6">
        <w:rPr>
          <w:lang w:eastAsia="zh-CN"/>
        </w:rPr>
        <w:t>ITU-R SA.1023</w:t>
      </w:r>
      <w:r>
        <w:rPr>
          <w:rFonts w:hint="eastAsia"/>
          <w:lang w:eastAsia="zh-CN"/>
        </w:rPr>
        <w:t>建议书的应用。</w:t>
      </w:r>
      <w:bookmarkStart w:id="46" w:name="lt_pId156"/>
      <w:bookmarkEnd w:id="45"/>
      <w:r>
        <w:rPr>
          <w:rFonts w:hint="eastAsia"/>
          <w:lang w:eastAsia="zh-CN"/>
        </w:rPr>
        <w:t>容许干扰电平根据</w:t>
      </w:r>
      <w:r w:rsidRPr="00FD3AB6">
        <w:rPr>
          <w:lang w:eastAsia="zh-CN"/>
        </w:rPr>
        <w:t>ITU-R SA.1023</w:t>
      </w:r>
      <w:r>
        <w:rPr>
          <w:rFonts w:hint="eastAsia"/>
          <w:lang w:eastAsia="zh-CN"/>
        </w:rPr>
        <w:t>建议书细分为空间和地面类别，然后再根据每类别的预期干扰源被细分。</w:t>
      </w:r>
      <w:bookmarkStart w:id="47" w:name="lt_pId157"/>
      <w:bookmarkStart w:id="48" w:name="OLE_LINK23"/>
      <w:bookmarkStart w:id="49" w:name="OLE_LINK24"/>
      <w:bookmarkEnd w:id="46"/>
      <w:r w:rsidRPr="001D0ABD">
        <w:rPr>
          <w:rFonts w:hint="eastAsia"/>
          <w:lang w:eastAsia="zh-CN"/>
        </w:rPr>
        <w:t>表</w:t>
      </w:r>
      <w:r w:rsidRPr="001D0ABD">
        <w:rPr>
          <w:rFonts w:hint="eastAsia"/>
          <w:lang w:eastAsia="zh-CN"/>
        </w:rPr>
        <w:t>2</w:t>
      </w:r>
      <w:r w:rsidRPr="001D0ABD">
        <w:rPr>
          <w:rFonts w:hint="eastAsia"/>
          <w:lang w:eastAsia="zh-CN"/>
        </w:rPr>
        <w:t>列出了这些分配的基础，下面介绍每个频段的干扰环境</w:t>
      </w:r>
      <w:bookmarkEnd w:id="47"/>
      <w:bookmarkEnd w:id="48"/>
      <w:bookmarkEnd w:id="49"/>
      <w:r>
        <w:rPr>
          <w:rFonts w:hint="eastAsia"/>
          <w:lang w:eastAsia="zh-CN"/>
        </w:rPr>
        <w:t>。</w:t>
      </w:r>
    </w:p>
    <w:p w:rsidR="001B59E5" w:rsidRPr="00FD3AB6" w:rsidRDefault="001B59E5" w:rsidP="001B59E5">
      <w:pPr>
        <w:pStyle w:val="TableNo"/>
        <w:rPr>
          <w:lang w:eastAsia="zh-CN"/>
        </w:rPr>
      </w:pPr>
      <w:r w:rsidRPr="00FD3AB6">
        <w:rPr>
          <w:lang w:eastAsia="zh-CN"/>
        </w:rPr>
        <w:br w:type="page"/>
      </w:r>
    </w:p>
    <w:p w:rsidR="001B59E5" w:rsidRPr="00C84011" w:rsidRDefault="001B59E5" w:rsidP="001B59E5">
      <w:pPr>
        <w:pStyle w:val="TableNo"/>
        <w:rPr>
          <w:rFonts w:ascii="Calibri" w:hAnsi="Calibri"/>
          <w:b/>
          <w:color w:val="800000"/>
          <w:sz w:val="22"/>
          <w:lang w:val="en-GB" w:eastAsia="zh-CN"/>
        </w:rPr>
      </w:pPr>
      <w:r w:rsidRPr="00C84011">
        <w:rPr>
          <w:rFonts w:hint="eastAsia"/>
          <w:lang w:eastAsia="zh-CN"/>
        </w:rPr>
        <w:lastRenderedPageBreak/>
        <w:t>表</w:t>
      </w:r>
      <w:r w:rsidRPr="00C84011">
        <w:rPr>
          <w:lang w:eastAsia="zh-CN"/>
        </w:rPr>
        <w:t>2</w:t>
      </w:r>
    </w:p>
    <w:p w:rsidR="001B59E5" w:rsidRPr="00C84011" w:rsidRDefault="001B59E5" w:rsidP="001B59E5">
      <w:pPr>
        <w:pStyle w:val="Tabletitle"/>
        <w:rPr>
          <w:lang w:val="en-GB" w:eastAsia="zh-CN"/>
        </w:rPr>
      </w:pPr>
      <w:r w:rsidRPr="00C84011">
        <w:rPr>
          <w:rFonts w:hint="eastAsia"/>
          <w:lang w:eastAsia="zh-CN"/>
        </w:rPr>
        <w:t>推导共用标准所使用的参数</w:t>
      </w:r>
      <w:r w:rsidRPr="00C84011">
        <w:rPr>
          <w:lang w:val="en-GB" w:eastAsia="zh-CN"/>
        </w:rPr>
        <w:br/>
      </w:r>
      <w:bookmarkStart w:id="50" w:name="lt_pId160"/>
      <w:r>
        <w:rPr>
          <w:rFonts w:hint="eastAsia"/>
          <w:lang w:val="en-GB" w:eastAsia="zh-CN"/>
        </w:rPr>
        <w:t>（使用</w:t>
      </w:r>
      <w:r w:rsidRPr="00C84011">
        <w:rPr>
          <w:lang w:val="en-GB" w:eastAsia="zh-CN"/>
        </w:rPr>
        <w:t>ITU-R SA.1023</w:t>
      </w:r>
      <w:r>
        <w:rPr>
          <w:rFonts w:hint="eastAsia"/>
          <w:lang w:val="en-GB" w:eastAsia="zh-CN"/>
        </w:rPr>
        <w:t>建议书中定义的方法）</w:t>
      </w:r>
      <w:bookmarkEnd w:id="50"/>
    </w:p>
    <w:tbl>
      <w:tblPr>
        <w:tblStyle w:val="TableGrid"/>
        <w:tblW w:w="0" w:type="auto"/>
        <w:jc w:val="center"/>
        <w:tblLook w:val="04A0" w:firstRow="1" w:lastRow="0" w:firstColumn="1" w:lastColumn="0" w:noHBand="0" w:noVBand="1"/>
      </w:tblPr>
      <w:tblGrid>
        <w:gridCol w:w="1264"/>
        <w:gridCol w:w="848"/>
        <w:gridCol w:w="1242"/>
        <w:gridCol w:w="848"/>
        <w:gridCol w:w="1242"/>
        <w:gridCol w:w="848"/>
        <w:gridCol w:w="1242"/>
        <w:gridCol w:w="848"/>
        <w:gridCol w:w="1247"/>
      </w:tblGrid>
      <w:tr w:rsidR="001B59E5" w:rsidRPr="00C84011" w:rsidTr="00B463D9">
        <w:trPr>
          <w:jc w:val="center"/>
        </w:trPr>
        <w:tc>
          <w:tcPr>
            <w:tcW w:w="1265" w:type="dxa"/>
            <w:vMerge w:val="restart"/>
            <w:vAlign w:val="center"/>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频段</w:t>
            </w:r>
          </w:p>
        </w:tc>
        <w:tc>
          <w:tcPr>
            <w:tcW w:w="2091" w:type="dxa"/>
            <w:gridSpan w:val="2"/>
          </w:tcPr>
          <w:p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干扰源类别之间</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的长期分配</w:t>
            </w:r>
          </w:p>
        </w:tc>
        <w:tc>
          <w:tcPr>
            <w:tcW w:w="2091" w:type="dxa"/>
            <w:gridSpan w:val="2"/>
          </w:tcPr>
          <w:p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干扰源类别之间</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的短期分配</w:t>
            </w:r>
          </w:p>
        </w:tc>
        <w:tc>
          <w:tcPr>
            <w:tcW w:w="2091" w:type="dxa"/>
            <w:gridSpan w:val="2"/>
          </w:tcPr>
          <w:p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长期干扰源的</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对应数量</w:t>
            </w:r>
            <w:r w:rsidRPr="00C522CA">
              <w:rPr>
                <w:rFonts w:ascii="Times New Roman" w:eastAsiaTheme="minorEastAsia" w:hAnsi="Times New Roman"/>
                <w:sz w:val="20"/>
                <w:lang w:val="en-GB" w:eastAsia="zh-CN"/>
              </w:rPr>
              <w:br/>
            </w:r>
          </w:p>
        </w:tc>
        <w:tc>
          <w:tcPr>
            <w:tcW w:w="2096" w:type="dxa"/>
            <w:gridSpan w:val="2"/>
          </w:tcPr>
          <w:p w:rsidR="001B59E5" w:rsidRPr="00C522CA" w:rsidRDefault="001B59E5" w:rsidP="00B463D9">
            <w:pPr>
              <w:pStyle w:val="Tablehead"/>
              <w:rPr>
                <w:rFonts w:ascii="Times New Roman" w:eastAsiaTheme="minorEastAsia" w:hAnsi="Times New Roman"/>
                <w:sz w:val="20"/>
                <w:lang w:val="en-GB" w:eastAsia="zh-CN"/>
              </w:rPr>
            </w:pPr>
            <w:r w:rsidRPr="00C522CA">
              <w:rPr>
                <w:rFonts w:ascii="Times New Roman" w:eastAsiaTheme="minorEastAsia" w:hAnsi="Times New Roman"/>
                <w:sz w:val="20"/>
                <w:lang w:val="en-GB" w:eastAsia="zh-CN"/>
              </w:rPr>
              <w:t>短期干扰源的</w:t>
            </w:r>
            <w:r w:rsidRPr="00C522CA">
              <w:rPr>
                <w:rFonts w:ascii="Times New Roman" w:eastAsiaTheme="minorEastAsia" w:hAnsi="Times New Roman"/>
                <w:sz w:val="20"/>
                <w:lang w:val="en-GB" w:eastAsia="zh-CN"/>
              </w:rPr>
              <w:br/>
            </w:r>
            <w:r w:rsidRPr="00C522CA">
              <w:rPr>
                <w:rFonts w:ascii="Times New Roman" w:eastAsiaTheme="minorEastAsia" w:hAnsi="Times New Roman"/>
                <w:sz w:val="20"/>
                <w:lang w:val="en-GB" w:eastAsia="zh-CN"/>
              </w:rPr>
              <w:t>对应数量</w:t>
            </w:r>
            <w:r w:rsidRPr="00C522CA">
              <w:rPr>
                <w:rFonts w:ascii="Times New Roman" w:eastAsiaTheme="minorEastAsia" w:hAnsi="Times New Roman"/>
                <w:sz w:val="20"/>
                <w:lang w:val="en-GB" w:eastAsia="zh-CN"/>
              </w:rPr>
              <w:br/>
            </w:r>
          </w:p>
        </w:tc>
      </w:tr>
      <w:tr w:rsidR="001B59E5" w:rsidRPr="00C84011" w:rsidTr="00B463D9">
        <w:trPr>
          <w:jc w:val="center"/>
        </w:trPr>
        <w:tc>
          <w:tcPr>
            <w:tcW w:w="1265" w:type="dxa"/>
            <w:vMerge/>
          </w:tcPr>
          <w:p w:rsidR="001B59E5" w:rsidRPr="00C522CA" w:rsidRDefault="001B59E5" w:rsidP="00B463D9">
            <w:pPr>
              <w:pStyle w:val="Tablehead"/>
              <w:rPr>
                <w:rFonts w:ascii="Times New Roman" w:eastAsiaTheme="minorEastAsia" w:hAnsi="Times New Roman"/>
                <w:sz w:val="20"/>
                <w:lang w:val="en-GB" w:eastAsia="zh-CN"/>
              </w:rPr>
            </w:pPr>
          </w:p>
        </w:tc>
        <w:tc>
          <w:tcPr>
            <w:tcW w:w="2091" w:type="dxa"/>
            <w:gridSpan w:val="2"/>
          </w:tcPr>
          <w:p w:rsidR="001B59E5" w:rsidRPr="00C522CA" w:rsidRDefault="001B59E5" w:rsidP="00B463D9">
            <w:pPr>
              <w:pStyle w:val="Tablehead"/>
              <w:rPr>
                <w:rFonts w:ascii="Times New Roman" w:eastAsiaTheme="minorEastAsia" w:hAnsi="Times New Roman"/>
                <w:sz w:val="20"/>
                <w:lang w:val="en-GB"/>
              </w:rPr>
            </w:pPr>
            <w:r w:rsidRPr="00C522CA">
              <w:rPr>
                <w:rFonts w:ascii="Times New Roman" w:eastAsiaTheme="minorEastAsia" w:hAnsi="Times New Roman"/>
                <w:sz w:val="20"/>
                <w:lang w:val="en-GB"/>
              </w:rPr>
              <w:t>干扰信号路径</w:t>
            </w:r>
          </w:p>
        </w:tc>
        <w:tc>
          <w:tcPr>
            <w:tcW w:w="2091" w:type="dxa"/>
            <w:gridSpan w:val="2"/>
          </w:tcPr>
          <w:p w:rsidR="001B59E5" w:rsidRPr="00C522CA" w:rsidRDefault="001B59E5" w:rsidP="00B463D9">
            <w:pPr>
              <w:pStyle w:val="Tablehead"/>
              <w:rPr>
                <w:rFonts w:ascii="Times New Roman" w:eastAsiaTheme="minorEastAsia" w:hAnsi="Times New Roman"/>
                <w:sz w:val="20"/>
                <w:lang w:val="en-GB"/>
              </w:rPr>
            </w:pPr>
            <w:r w:rsidRPr="00C522CA">
              <w:rPr>
                <w:rFonts w:ascii="Times New Roman" w:eastAsiaTheme="minorEastAsia" w:hAnsi="Times New Roman"/>
                <w:sz w:val="20"/>
                <w:lang w:val="en-GB"/>
              </w:rPr>
              <w:t>干扰信号路径</w:t>
            </w:r>
          </w:p>
        </w:tc>
        <w:tc>
          <w:tcPr>
            <w:tcW w:w="2091" w:type="dxa"/>
            <w:gridSpan w:val="2"/>
          </w:tcPr>
          <w:p w:rsidR="001B59E5" w:rsidRPr="00C522CA" w:rsidRDefault="001B59E5" w:rsidP="00B463D9">
            <w:pPr>
              <w:pStyle w:val="Tablehead"/>
              <w:rPr>
                <w:rFonts w:ascii="Times New Roman" w:eastAsiaTheme="minorEastAsia" w:hAnsi="Times New Roman"/>
                <w:sz w:val="20"/>
                <w:lang w:val="en-GB"/>
              </w:rPr>
            </w:pPr>
            <w:r w:rsidRPr="00C522CA">
              <w:rPr>
                <w:rFonts w:ascii="Times New Roman" w:eastAsiaTheme="minorEastAsia" w:hAnsi="Times New Roman"/>
                <w:sz w:val="20"/>
                <w:lang w:val="en-GB"/>
              </w:rPr>
              <w:t>干扰信号路径</w:t>
            </w:r>
          </w:p>
        </w:tc>
        <w:tc>
          <w:tcPr>
            <w:tcW w:w="2096" w:type="dxa"/>
            <w:gridSpan w:val="2"/>
          </w:tcPr>
          <w:p w:rsidR="001B59E5" w:rsidRPr="00C522CA" w:rsidRDefault="001B59E5" w:rsidP="00B463D9">
            <w:pPr>
              <w:pStyle w:val="Tablehead"/>
              <w:rPr>
                <w:rFonts w:ascii="Times New Roman" w:eastAsiaTheme="minorEastAsia" w:hAnsi="Times New Roman"/>
                <w:sz w:val="20"/>
                <w:lang w:val="en-GB"/>
              </w:rPr>
            </w:pPr>
            <w:r w:rsidRPr="00C522CA">
              <w:rPr>
                <w:rFonts w:ascii="Times New Roman" w:eastAsiaTheme="minorEastAsia" w:hAnsi="Times New Roman"/>
                <w:sz w:val="20"/>
                <w:lang w:val="en-GB"/>
              </w:rPr>
              <w:t>干扰信号路径</w:t>
            </w:r>
          </w:p>
        </w:tc>
      </w:tr>
      <w:tr w:rsidR="001B59E5" w:rsidRPr="00C84011" w:rsidTr="00B463D9">
        <w:trPr>
          <w:jc w:val="center"/>
        </w:trPr>
        <w:tc>
          <w:tcPr>
            <w:tcW w:w="1265" w:type="dxa"/>
            <w:vMerge/>
          </w:tcPr>
          <w:p w:rsidR="001B59E5" w:rsidRPr="00C522CA" w:rsidRDefault="001B59E5" w:rsidP="00B463D9">
            <w:pPr>
              <w:pStyle w:val="Tablehead"/>
              <w:rPr>
                <w:rFonts w:ascii="Times New Roman" w:eastAsiaTheme="minorEastAsia" w:hAnsi="Times New Roman"/>
                <w:sz w:val="20"/>
              </w:rPr>
            </w:pPr>
          </w:p>
        </w:tc>
        <w:tc>
          <w:tcPr>
            <w:tcW w:w="848"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3"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地面</w:t>
            </w:r>
          </w:p>
        </w:tc>
        <w:tc>
          <w:tcPr>
            <w:tcW w:w="848"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3"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地面</w:t>
            </w:r>
          </w:p>
        </w:tc>
        <w:tc>
          <w:tcPr>
            <w:tcW w:w="848"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3"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地面</w:t>
            </w:r>
          </w:p>
        </w:tc>
        <w:tc>
          <w:tcPr>
            <w:tcW w:w="848" w:type="dxa"/>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空</w:t>
            </w:r>
            <w:r w:rsidRPr="00C522CA">
              <w:rPr>
                <w:rFonts w:ascii="Times New Roman" w:eastAsiaTheme="minorEastAsia" w:hAnsi="Times New Roman"/>
                <w:sz w:val="20"/>
              </w:rPr>
              <w:t>-</w:t>
            </w:r>
            <w:r w:rsidRPr="00C522CA">
              <w:rPr>
                <w:rFonts w:ascii="Times New Roman" w:eastAsiaTheme="minorEastAsia" w:hAnsi="Times New Roman"/>
                <w:sz w:val="20"/>
              </w:rPr>
              <w:t>地</w:t>
            </w:r>
          </w:p>
        </w:tc>
        <w:tc>
          <w:tcPr>
            <w:tcW w:w="1248" w:type="dxa"/>
            <w:vAlign w:val="center"/>
          </w:tcPr>
          <w:p w:rsidR="001B59E5" w:rsidRPr="00C522CA" w:rsidRDefault="001B59E5" w:rsidP="00B463D9">
            <w:pPr>
              <w:pStyle w:val="Tablehead"/>
              <w:rPr>
                <w:rFonts w:ascii="Times New Roman" w:eastAsiaTheme="minorEastAsia" w:hAnsi="Times New Roman"/>
                <w:sz w:val="20"/>
              </w:rPr>
            </w:pPr>
            <w:r w:rsidRPr="00C522CA">
              <w:rPr>
                <w:rFonts w:ascii="Times New Roman" w:eastAsiaTheme="minorEastAsia" w:hAnsi="Times New Roman"/>
                <w:sz w:val="20"/>
              </w:rPr>
              <w:t>地面</w:t>
            </w:r>
          </w:p>
        </w:tc>
      </w:tr>
      <w:tr w:rsidR="001B59E5" w:rsidRPr="00C84011" w:rsidTr="00B463D9">
        <w:trPr>
          <w:jc w:val="center"/>
        </w:trPr>
        <w:tc>
          <w:tcPr>
            <w:tcW w:w="1265" w:type="dxa"/>
          </w:tcPr>
          <w:p w:rsidR="001B59E5" w:rsidRPr="00C84011" w:rsidRDefault="001B59E5" w:rsidP="00B463D9">
            <w:pPr>
              <w:pStyle w:val="Tabletext"/>
              <w:jc w:val="center"/>
              <w:rPr>
                <w:rFonts w:ascii="Times New Roman" w:eastAsia="SimSun" w:hAnsi="Times New Roman"/>
                <w:sz w:val="20"/>
              </w:rPr>
            </w:pPr>
            <w:bookmarkStart w:id="51" w:name="lt_pId186"/>
            <w:r w:rsidRPr="00C84011">
              <w:rPr>
                <w:rFonts w:ascii="Times New Roman" w:eastAsia="SimSun" w:hAnsi="Times New Roman"/>
                <w:sz w:val="20"/>
              </w:rPr>
              <w:t>1 670-1 710 MHz</w:t>
            </w:r>
            <w:bookmarkEnd w:id="51"/>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99%</w:t>
            </w:r>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10%</w:t>
            </w:r>
          </w:p>
        </w:tc>
        <w:tc>
          <w:tcPr>
            <w:tcW w:w="1243"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90%</w:t>
            </w:r>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w:t>
            </w:r>
          </w:p>
        </w:tc>
      </w:tr>
      <w:tr w:rsidR="001B59E5" w:rsidRPr="00C84011" w:rsidTr="00B463D9">
        <w:trPr>
          <w:jc w:val="center"/>
        </w:trPr>
        <w:tc>
          <w:tcPr>
            <w:tcW w:w="1265" w:type="dxa"/>
          </w:tcPr>
          <w:p w:rsidR="001B59E5" w:rsidRPr="00C84011" w:rsidRDefault="001B59E5" w:rsidP="00B463D9">
            <w:pPr>
              <w:pStyle w:val="Tabletext"/>
              <w:jc w:val="center"/>
              <w:rPr>
                <w:rFonts w:ascii="Times New Roman" w:eastAsia="SimSun" w:hAnsi="Times New Roman"/>
                <w:sz w:val="20"/>
              </w:rPr>
            </w:pPr>
            <w:bookmarkStart w:id="52" w:name="lt_pId195"/>
            <w:r w:rsidRPr="00C84011">
              <w:rPr>
                <w:rFonts w:ascii="Times New Roman" w:eastAsia="SimSun" w:hAnsi="Times New Roman"/>
                <w:sz w:val="20"/>
              </w:rPr>
              <w:t>25.5-27.0 GHz</w:t>
            </w:r>
            <w:bookmarkEnd w:id="52"/>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99%</w:t>
            </w:r>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20%</w:t>
            </w:r>
          </w:p>
        </w:tc>
        <w:tc>
          <w:tcPr>
            <w:tcW w:w="1243"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80%</w:t>
            </w:r>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3"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w:t>
            </w:r>
          </w:p>
        </w:tc>
        <w:tc>
          <w:tcPr>
            <w:tcW w:w="8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1</w:t>
            </w:r>
          </w:p>
        </w:tc>
        <w:tc>
          <w:tcPr>
            <w:tcW w:w="1248" w:type="dxa"/>
          </w:tcPr>
          <w:p w:rsidR="001B59E5" w:rsidRPr="00C84011" w:rsidRDefault="001B59E5" w:rsidP="00B463D9">
            <w:pPr>
              <w:pStyle w:val="Tabletext"/>
              <w:jc w:val="center"/>
              <w:rPr>
                <w:rFonts w:ascii="Times New Roman" w:eastAsia="SimSun" w:hAnsi="Times New Roman"/>
                <w:sz w:val="20"/>
              </w:rPr>
            </w:pPr>
            <w:r w:rsidRPr="00C84011">
              <w:rPr>
                <w:rFonts w:ascii="Times New Roman" w:eastAsia="SimSun" w:hAnsi="Times New Roman"/>
                <w:sz w:val="20"/>
              </w:rPr>
              <w:t>2</w:t>
            </w:r>
          </w:p>
        </w:tc>
      </w:tr>
    </w:tbl>
    <w:p w:rsidR="001B59E5" w:rsidRPr="00C84011" w:rsidRDefault="001B59E5" w:rsidP="001B59E5">
      <w:pPr>
        <w:pStyle w:val="Tablefin"/>
      </w:pPr>
    </w:p>
    <w:p w:rsidR="001B59E5" w:rsidRPr="00C84011" w:rsidRDefault="001B59E5" w:rsidP="001B59E5">
      <w:pPr>
        <w:pStyle w:val="Heading1"/>
        <w:rPr>
          <w:lang w:eastAsia="zh-CN"/>
        </w:rPr>
      </w:pPr>
      <w:r w:rsidRPr="00C84011">
        <w:t>2</w:t>
      </w:r>
      <w:r w:rsidRPr="00C84011">
        <w:tab/>
      </w:r>
      <w:bookmarkStart w:id="53" w:name="lt_pId205"/>
      <w:bookmarkStart w:id="54" w:name="OLE_LINK25"/>
      <w:r w:rsidRPr="00C84011">
        <w:t>1</w:t>
      </w:r>
      <w:r w:rsidRPr="00C84011">
        <w:rPr>
          <w:rFonts w:ascii="Tms Rmn" w:hAnsi="Tms Rmn"/>
          <w:sz w:val="12"/>
        </w:rPr>
        <w:t> </w:t>
      </w:r>
      <w:r w:rsidRPr="00C84011">
        <w:t>670-1</w:t>
      </w:r>
      <w:r w:rsidRPr="00C84011">
        <w:rPr>
          <w:rFonts w:ascii="Tms Rmn" w:hAnsi="Tms Rmn"/>
          <w:sz w:val="12"/>
        </w:rPr>
        <w:t> </w:t>
      </w:r>
      <w:r>
        <w:t>710 MHz</w:t>
      </w:r>
      <w:bookmarkStart w:id="55" w:name="OLE_LINK36"/>
      <w:bookmarkStart w:id="56" w:name="OLE_LINK37"/>
      <w:r>
        <w:rPr>
          <w:rFonts w:hint="eastAsia"/>
          <w:lang w:eastAsia="zh-CN"/>
        </w:rPr>
        <w:t>频段的注意事项</w:t>
      </w:r>
      <w:bookmarkEnd w:id="53"/>
      <w:bookmarkEnd w:id="54"/>
      <w:bookmarkEnd w:id="55"/>
      <w:bookmarkEnd w:id="56"/>
    </w:p>
    <w:p w:rsidR="001B59E5" w:rsidRPr="00802EF7" w:rsidRDefault="001B59E5" w:rsidP="001B59E5">
      <w:pPr>
        <w:ind w:firstLineChars="200" w:firstLine="480"/>
        <w:rPr>
          <w:lang w:eastAsia="zh-CN"/>
        </w:rPr>
      </w:pPr>
      <w:bookmarkStart w:id="57" w:name="lt_pId206"/>
      <w:r w:rsidRPr="00802EF7">
        <w:rPr>
          <w:lang w:eastAsia="zh-CN"/>
        </w:rPr>
        <w:t>1</w:t>
      </w:r>
      <w:r w:rsidRPr="00802EF7">
        <w:rPr>
          <w:sz w:val="12"/>
          <w:lang w:eastAsia="zh-CN"/>
        </w:rPr>
        <w:t> </w:t>
      </w:r>
      <w:r w:rsidRPr="00802EF7">
        <w:rPr>
          <w:lang w:eastAsia="zh-CN"/>
        </w:rPr>
        <w:t>670-1</w:t>
      </w:r>
      <w:r w:rsidRPr="00802EF7">
        <w:rPr>
          <w:sz w:val="12"/>
          <w:lang w:eastAsia="zh-CN"/>
        </w:rPr>
        <w:t> </w:t>
      </w:r>
      <w:r w:rsidRPr="00802EF7">
        <w:rPr>
          <w:lang w:eastAsia="zh-CN"/>
        </w:rPr>
        <w:t>690 MHz</w:t>
      </w:r>
      <w:r>
        <w:rPr>
          <w:rFonts w:hint="eastAsia"/>
          <w:lang w:val="en-GB" w:eastAsia="zh-CN"/>
        </w:rPr>
        <w:t>频段作为主要业务划分给</w:t>
      </w:r>
      <w:r w:rsidRPr="00802EF7">
        <w:rPr>
          <w:lang w:eastAsia="zh-CN"/>
        </w:rPr>
        <w:t>MetSat</w:t>
      </w:r>
      <w:r>
        <w:rPr>
          <w:rFonts w:hint="eastAsia"/>
          <w:lang w:eastAsia="zh-CN"/>
        </w:rPr>
        <w:t>（空</w:t>
      </w:r>
      <w:r>
        <w:rPr>
          <w:rFonts w:hint="eastAsia"/>
          <w:lang w:eastAsia="zh-CN"/>
        </w:rPr>
        <w:t>-</w:t>
      </w:r>
      <w:r>
        <w:rPr>
          <w:rFonts w:hint="eastAsia"/>
          <w:lang w:eastAsia="zh-CN"/>
        </w:rPr>
        <w:t>地）、气象辅助和固定业务。此外，</w:t>
      </w:r>
      <w:bookmarkStart w:id="58" w:name="lt_pId207"/>
      <w:bookmarkEnd w:id="57"/>
      <w:r w:rsidRPr="00802EF7">
        <w:rPr>
          <w:lang w:eastAsia="zh-CN"/>
        </w:rPr>
        <w:t>1</w:t>
      </w:r>
      <w:r w:rsidRPr="00802EF7">
        <w:rPr>
          <w:sz w:val="12"/>
          <w:lang w:eastAsia="zh-CN"/>
        </w:rPr>
        <w:t> </w:t>
      </w:r>
      <w:r w:rsidRPr="00802EF7">
        <w:rPr>
          <w:lang w:eastAsia="zh-CN"/>
        </w:rPr>
        <w:t>670-1 675MHz</w:t>
      </w:r>
      <w:r>
        <w:rPr>
          <w:rFonts w:hint="eastAsia"/>
          <w:lang w:eastAsia="zh-CN"/>
        </w:rPr>
        <w:t>频段作为主要业务划分给移动和移动卫星（地</w:t>
      </w:r>
      <w:r>
        <w:rPr>
          <w:rFonts w:hint="eastAsia"/>
          <w:lang w:eastAsia="zh-CN"/>
        </w:rPr>
        <w:t>-</w:t>
      </w:r>
      <w:r>
        <w:rPr>
          <w:rFonts w:hint="eastAsia"/>
          <w:lang w:eastAsia="zh-CN"/>
        </w:rPr>
        <w:t>空）业务，而</w:t>
      </w:r>
      <w:r w:rsidRPr="00802EF7">
        <w:rPr>
          <w:lang w:eastAsia="zh-CN"/>
        </w:rPr>
        <w:t>1 675</w:t>
      </w:r>
      <w:r w:rsidRPr="00802EF7">
        <w:rPr>
          <w:lang w:eastAsia="zh-CN"/>
        </w:rPr>
        <w:noBreakHyphen/>
        <w:t>1 690 MHz</w:t>
      </w:r>
      <w:r>
        <w:rPr>
          <w:rFonts w:hint="eastAsia"/>
          <w:lang w:eastAsia="zh-CN"/>
        </w:rPr>
        <w:t>频段</w:t>
      </w:r>
      <w:r>
        <w:rPr>
          <w:rFonts w:hint="eastAsia"/>
          <w:lang w:val="en-GB" w:eastAsia="zh-CN"/>
        </w:rPr>
        <w:t>作为主要业务划分给</w:t>
      </w:r>
      <w:r>
        <w:rPr>
          <w:rFonts w:hint="eastAsia"/>
          <w:lang w:eastAsia="zh-CN"/>
        </w:rPr>
        <w:t>移动（</w:t>
      </w:r>
      <w:r w:rsidRPr="003B19AD">
        <w:rPr>
          <w:rFonts w:hint="eastAsia"/>
          <w:lang w:eastAsia="zh-CN"/>
        </w:rPr>
        <w:t>除航空移动以外</w:t>
      </w:r>
      <w:r>
        <w:rPr>
          <w:rFonts w:hint="eastAsia"/>
          <w:lang w:eastAsia="zh-CN"/>
        </w:rPr>
        <w:t>）业务。</w:t>
      </w:r>
      <w:bookmarkEnd w:id="58"/>
    </w:p>
    <w:p w:rsidR="001B59E5" w:rsidRPr="00496B50" w:rsidRDefault="001B59E5" w:rsidP="001B59E5">
      <w:pPr>
        <w:ind w:firstLineChars="200" w:firstLine="480"/>
        <w:rPr>
          <w:lang w:eastAsia="zh-CN"/>
        </w:rPr>
      </w:pPr>
      <w:bookmarkStart w:id="59" w:name="lt_pId208"/>
      <w:r w:rsidRPr="00496B50">
        <w:rPr>
          <w:lang w:eastAsia="zh-CN"/>
        </w:rPr>
        <w:t>1</w:t>
      </w:r>
      <w:r w:rsidRPr="00496B50">
        <w:rPr>
          <w:sz w:val="12"/>
          <w:lang w:eastAsia="zh-CN"/>
        </w:rPr>
        <w:t> </w:t>
      </w:r>
      <w:r w:rsidRPr="00496B50">
        <w:rPr>
          <w:lang w:eastAsia="zh-CN"/>
        </w:rPr>
        <w:t>690-1</w:t>
      </w:r>
      <w:r w:rsidRPr="00496B50">
        <w:rPr>
          <w:sz w:val="12"/>
          <w:lang w:eastAsia="zh-CN"/>
        </w:rPr>
        <w:t> </w:t>
      </w:r>
      <w:r w:rsidRPr="00496B50">
        <w:rPr>
          <w:lang w:eastAsia="zh-CN"/>
        </w:rPr>
        <w:t>700 MHz</w:t>
      </w:r>
      <w:r>
        <w:rPr>
          <w:rFonts w:hint="eastAsia"/>
          <w:lang w:val="en-GB" w:eastAsia="zh-CN"/>
        </w:rPr>
        <w:t>频段作为主要业务划分给</w:t>
      </w:r>
      <w:r>
        <w:rPr>
          <w:rFonts w:hint="eastAsia"/>
          <w:lang w:eastAsia="zh-CN"/>
        </w:rPr>
        <w:t>气象辅助和</w:t>
      </w:r>
      <w:r w:rsidRPr="00802EF7">
        <w:rPr>
          <w:lang w:eastAsia="zh-CN"/>
        </w:rPr>
        <w:t>MetSat</w:t>
      </w:r>
      <w:r>
        <w:rPr>
          <w:rFonts w:hint="eastAsia"/>
          <w:lang w:eastAsia="zh-CN"/>
        </w:rPr>
        <w:t>（空</w:t>
      </w:r>
      <w:r>
        <w:rPr>
          <w:rFonts w:hint="eastAsia"/>
          <w:lang w:eastAsia="zh-CN"/>
        </w:rPr>
        <w:t>-</w:t>
      </w:r>
      <w:r>
        <w:rPr>
          <w:rFonts w:hint="eastAsia"/>
          <w:lang w:eastAsia="zh-CN"/>
        </w:rPr>
        <w:t>地</w:t>
      </w:r>
      <w:bookmarkStart w:id="60" w:name="lt_pId209"/>
      <w:bookmarkEnd w:id="59"/>
      <w:r>
        <w:rPr>
          <w:rFonts w:hint="eastAsia"/>
          <w:lang w:eastAsia="zh-CN"/>
        </w:rPr>
        <w:t>）业务。</w:t>
      </w:r>
      <w:bookmarkStart w:id="61" w:name="OLE_LINK28"/>
      <w:bookmarkStart w:id="62" w:name="OLE_LINK29"/>
      <w:r w:rsidRPr="00496B50">
        <w:rPr>
          <w:lang w:eastAsia="zh-CN"/>
        </w:rPr>
        <w:t>EESS</w:t>
      </w:r>
      <w:r w:rsidRPr="00496B50">
        <w:rPr>
          <w:rFonts w:hint="eastAsia"/>
          <w:lang w:eastAsia="zh-CN"/>
        </w:rPr>
        <w:t>是允许的，只要这些操作不会干扰主要</w:t>
      </w:r>
      <w:r>
        <w:rPr>
          <w:rFonts w:hint="eastAsia"/>
          <w:lang w:eastAsia="zh-CN"/>
        </w:rPr>
        <w:t>划分。</w:t>
      </w:r>
      <w:bookmarkStart w:id="63" w:name="lt_pId210"/>
      <w:bookmarkEnd w:id="60"/>
      <w:bookmarkEnd w:id="61"/>
      <w:bookmarkEnd w:id="62"/>
      <w:r>
        <w:rPr>
          <w:rFonts w:hint="eastAsia"/>
          <w:lang w:eastAsia="zh-CN"/>
        </w:rPr>
        <w:t>在</w:t>
      </w:r>
      <w:r>
        <w:rPr>
          <w:rFonts w:hint="eastAsia"/>
          <w:lang w:eastAsia="zh-CN"/>
        </w:rPr>
        <w:t>2</w:t>
      </w:r>
      <w:r>
        <w:rPr>
          <w:rFonts w:hint="eastAsia"/>
          <w:lang w:eastAsia="zh-CN"/>
        </w:rPr>
        <w:t>区和</w:t>
      </w:r>
      <w:r>
        <w:rPr>
          <w:rFonts w:hint="eastAsia"/>
          <w:lang w:eastAsia="zh-CN"/>
        </w:rPr>
        <w:t>3</w:t>
      </w:r>
      <w:r>
        <w:rPr>
          <w:rFonts w:hint="eastAsia"/>
          <w:lang w:eastAsia="zh-CN"/>
        </w:rPr>
        <w:t>区的</w:t>
      </w:r>
      <w:r>
        <w:rPr>
          <w:rFonts w:hint="eastAsia"/>
          <w:lang w:eastAsia="zh-CN"/>
        </w:rPr>
        <w:t>5</w:t>
      </w:r>
      <w:r>
        <w:rPr>
          <w:rFonts w:hint="eastAsia"/>
          <w:lang w:eastAsia="zh-CN"/>
        </w:rPr>
        <w:t>个国家中，</w:t>
      </w:r>
      <w:r w:rsidRPr="003B19AD">
        <w:rPr>
          <w:rFonts w:hint="eastAsia"/>
          <w:lang w:eastAsia="zh-CN"/>
        </w:rPr>
        <w:t>存在固定和移动（除航空移动以外）</w:t>
      </w:r>
      <w:r>
        <w:rPr>
          <w:rFonts w:hint="eastAsia"/>
          <w:lang w:eastAsia="zh-CN"/>
        </w:rPr>
        <w:t>业务</w:t>
      </w:r>
      <w:r w:rsidRPr="003B19AD">
        <w:rPr>
          <w:rFonts w:hint="eastAsia"/>
          <w:lang w:eastAsia="zh-CN"/>
        </w:rPr>
        <w:t>的主要</w:t>
      </w:r>
      <w:r>
        <w:rPr>
          <w:rFonts w:hint="eastAsia"/>
          <w:lang w:eastAsia="zh-CN"/>
        </w:rPr>
        <w:t>划分。</w:t>
      </w:r>
      <w:bookmarkStart w:id="64" w:name="lt_pId211"/>
      <w:bookmarkEnd w:id="63"/>
      <w:r>
        <w:rPr>
          <w:rFonts w:hint="eastAsia"/>
          <w:lang w:eastAsia="zh-CN"/>
        </w:rPr>
        <w:t>在</w:t>
      </w:r>
      <w:r>
        <w:rPr>
          <w:rFonts w:hint="eastAsia"/>
          <w:lang w:eastAsia="zh-CN"/>
        </w:rPr>
        <w:t>1</w:t>
      </w:r>
      <w:r>
        <w:rPr>
          <w:rFonts w:hint="eastAsia"/>
          <w:lang w:eastAsia="zh-CN"/>
        </w:rPr>
        <w:t>区，该频段作为次要业务划分给固定和移动</w:t>
      </w:r>
      <w:r w:rsidRPr="003B19AD">
        <w:rPr>
          <w:rFonts w:hint="eastAsia"/>
          <w:lang w:eastAsia="zh-CN"/>
        </w:rPr>
        <w:t>（除航空移动以外）</w:t>
      </w:r>
      <w:r>
        <w:rPr>
          <w:rFonts w:hint="eastAsia"/>
          <w:lang w:eastAsia="zh-CN"/>
        </w:rPr>
        <w:t>业务，但对于一些国家而言，该频段作为主要业务被划分。</w:t>
      </w:r>
      <w:bookmarkEnd w:id="64"/>
    </w:p>
    <w:p w:rsidR="001B59E5" w:rsidRPr="003B19AD" w:rsidRDefault="001B59E5" w:rsidP="001B59E5">
      <w:pPr>
        <w:ind w:firstLineChars="200" w:firstLine="480"/>
        <w:rPr>
          <w:lang w:eastAsia="zh-CN"/>
        </w:rPr>
      </w:pPr>
      <w:bookmarkStart w:id="65" w:name="lt_pId212"/>
      <w:r w:rsidRPr="003B19AD">
        <w:rPr>
          <w:lang w:eastAsia="zh-CN"/>
        </w:rPr>
        <w:t>1</w:t>
      </w:r>
      <w:r w:rsidRPr="003B19AD">
        <w:rPr>
          <w:sz w:val="12"/>
          <w:lang w:eastAsia="zh-CN"/>
        </w:rPr>
        <w:t> </w:t>
      </w:r>
      <w:r w:rsidRPr="003B19AD">
        <w:rPr>
          <w:lang w:eastAsia="zh-CN"/>
        </w:rPr>
        <w:t>700-1</w:t>
      </w:r>
      <w:r w:rsidRPr="003B19AD">
        <w:rPr>
          <w:sz w:val="12"/>
          <w:lang w:eastAsia="zh-CN"/>
        </w:rPr>
        <w:t> </w:t>
      </w:r>
      <w:r w:rsidRPr="003B19AD">
        <w:rPr>
          <w:lang w:eastAsia="zh-CN"/>
        </w:rPr>
        <w:t>710 MHz</w:t>
      </w:r>
      <w:r>
        <w:rPr>
          <w:rFonts w:hint="eastAsia"/>
          <w:lang w:val="en-GB" w:eastAsia="zh-CN"/>
        </w:rPr>
        <w:t>频段</w:t>
      </w:r>
      <w:r>
        <w:rPr>
          <w:rFonts w:hint="eastAsia"/>
          <w:lang w:eastAsia="zh-CN"/>
        </w:rPr>
        <w:t>作为主要业务划分给固定和移动</w:t>
      </w:r>
      <w:r w:rsidRPr="003B19AD">
        <w:rPr>
          <w:rFonts w:hint="eastAsia"/>
          <w:lang w:eastAsia="zh-CN"/>
        </w:rPr>
        <w:t>（除航空移动以外）</w:t>
      </w:r>
      <w:r>
        <w:rPr>
          <w:rFonts w:hint="eastAsia"/>
          <w:lang w:eastAsia="zh-CN"/>
        </w:rPr>
        <w:t>业务和</w:t>
      </w:r>
      <w:r w:rsidRPr="00802EF7">
        <w:rPr>
          <w:lang w:eastAsia="zh-CN"/>
        </w:rPr>
        <w:t>MetSat</w:t>
      </w:r>
      <w:r>
        <w:rPr>
          <w:rFonts w:hint="eastAsia"/>
          <w:lang w:eastAsia="zh-CN"/>
        </w:rPr>
        <w:t>（空</w:t>
      </w:r>
      <w:r>
        <w:rPr>
          <w:rFonts w:hint="eastAsia"/>
          <w:lang w:eastAsia="zh-CN"/>
        </w:rPr>
        <w:t>-</w:t>
      </w:r>
      <w:r>
        <w:rPr>
          <w:rFonts w:hint="eastAsia"/>
          <w:lang w:eastAsia="zh-CN"/>
        </w:rPr>
        <w:t>地）业务。</w:t>
      </w:r>
      <w:r w:rsidRPr="00496B50">
        <w:rPr>
          <w:lang w:eastAsia="zh-CN"/>
        </w:rPr>
        <w:t>EESS</w:t>
      </w:r>
      <w:r w:rsidRPr="00496B50">
        <w:rPr>
          <w:rFonts w:hint="eastAsia"/>
          <w:lang w:eastAsia="zh-CN"/>
        </w:rPr>
        <w:t>是允许的，只要这些操作不会干扰主要</w:t>
      </w:r>
      <w:r>
        <w:rPr>
          <w:rFonts w:hint="eastAsia"/>
          <w:lang w:eastAsia="zh-CN"/>
        </w:rPr>
        <w:t>划分。</w:t>
      </w:r>
      <w:bookmarkStart w:id="66" w:name="lt_pId214"/>
      <w:bookmarkEnd w:id="65"/>
      <w:r>
        <w:rPr>
          <w:rFonts w:hint="eastAsia"/>
          <w:lang w:eastAsia="zh-CN"/>
        </w:rPr>
        <w:t>在</w:t>
      </w:r>
      <w:r>
        <w:rPr>
          <w:rFonts w:hint="eastAsia"/>
          <w:lang w:eastAsia="zh-CN"/>
        </w:rPr>
        <w:t>3</w:t>
      </w:r>
      <w:r>
        <w:rPr>
          <w:rFonts w:hint="eastAsia"/>
          <w:lang w:eastAsia="zh-CN"/>
        </w:rPr>
        <w:t>区的</w:t>
      </w:r>
      <w:r>
        <w:rPr>
          <w:rFonts w:hint="eastAsia"/>
          <w:lang w:eastAsia="zh-CN"/>
        </w:rPr>
        <w:t>3</w:t>
      </w:r>
      <w:r>
        <w:rPr>
          <w:rFonts w:hint="eastAsia"/>
          <w:lang w:eastAsia="zh-CN"/>
        </w:rPr>
        <w:t>个国家中，空间研究（空</w:t>
      </w:r>
      <w:r>
        <w:rPr>
          <w:rFonts w:hint="eastAsia"/>
          <w:lang w:eastAsia="zh-CN"/>
        </w:rPr>
        <w:t>-</w:t>
      </w:r>
      <w:r>
        <w:rPr>
          <w:rFonts w:hint="eastAsia"/>
          <w:lang w:eastAsia="zh-CN"/>
        </w:rPr>
        <w:t>地）作为主要业务被划分</w:t>
      </w:r>
      <w:bookmarkEnd w:id="66"/>
      <w:r>
        <w:rPr>
          <w:rFonts w:hint="eastAsia"/>
          <w:lang w:eastAsia="zh-CN"/>
        </w:rPr>
        <w:t>。</w:t>
      </w:r>
    </w:p>
    <w:p w:rsidR="001B59E5" w:rsidRDefault="001B59E5" w:rsidP="001B59E5">
      <w:pPr>
        <w:ind w:firstLineChars="200" w:firstLine="480"/>
        <w:rPr>
          <w:lang w:eastAsia="zh-CN"/>
        </w:rPr>
      </w:pPr>
      <w:bookmarkStart w:id="67" w:name="lt_pId215"/>
      <w:r>
        <w:rPr>
          <w:rFonts w:hint="eastAsia"/>
          <w:lang w:val="en-GB" w:eastAsia="zh-CN"/>
        </w:rPr>
        <w:t>在</w:t>
      </w:r>
      <w:r w:rsidRPr="00944011">
        <w:rPr>
          <w:lang w:eastAsia="zh-CN"/>
        </w:rPr>
        <w:t>1</w:t>
      </w:r>
      <w:r w:rsidRPr="00944011">
        <w:rPr>
          <w:sz w:val="12"/>
          <w:lang w:eastAsia="zh-CN"/>
        </w:rPr>
        <w:t> </w:t>
      </w:r>
      <w:r w:rsidRPr="00944011">
        <w:rPr>
          <w:lang w:eastAsia="zh-CN"/>
        </w:rPr>
        <w:t>670-1</w:t>
      </w:r>
      <w:r w:rsidRPr="00944011">
        <w:rPr>
          <w:sz w:val="12"/>
          <w:lang w:eastAsia="zh-CN"/>
        </w:rPr>
        <w:t> </w:t>
      </w:r>
      <w:r w:rsidRPr="00944011">
        <w:rPr>
          <w:lang w:eastAsia="zh-CN"/>
        </w:rPr>
        <w:t>675 MHz</w:t>
      </w:r>
      <w:r>
        <w:rPr>
          <w:rFonts w:hint="eastAsia"/>
          <w:lang w:val="en-GB" w:eastAsia="zh-CN"/>
        </w:rPr>
        <w:t>频段的空</w:t>
      </w:r>
      <w:r w:rsidRPr="00944011">
        <w:rPr>
          <w:rFonts w:hint="eastAsia"/>
          <w:lang w:eastAsia="zh-CN"/>
        </w:rPr>
        <w:t>-</w:t>
      </w:r>
      <w:r>
        <w:rPr>
          <w:rFonts w:hint="eastAsia"/>
          <w:lang w:val="en-GB" w:eastAsia="zh-CN"/>
        </w:rPr>
        <w:t>地系统可能需要限制其发射以保护在相邻频段运行的射电天文业务</w:t>
      </w:r>
      <w:r w:rsidRPr="00944011">
        <w:rPr>
          <w:rFonts w:hint="eastAsia"/>
          <w:lang w:eastAsia="zh-CN"/>
        </w:rPr>
        <w:t>，</w:t>
      </w:r>
      <w:r w:rsidRPr="00360B30">
        <w:rPr>
          <w:rFonts w:hint="eastAsia"/>
          <w:lang w:eastAsia="zh-CN"/>
        </w:rPr>
        <w:t>使地面电台产生大部分干扰</w:t>
      </w:r>
      <w:bookmarkStart w:id="68" w:name="lt_pId216"/>
      <w:bookmarkEnd w:id="67"/>
      <w:r>
        <w:rPr>
          <w:rFonts w:hint="eastAsia"/>
          <w:lang w:eastAsia="zh-CN"/>
        </w:rPr>
        <w:t>。</w:t>
      </w:r>
      <w:bookmarkStart w:id="69" w:name="OLE_LINK34"/>
      <w:bookmarkStart w:id="70" w:name="OLE_LINK35"/>
      <w:r w:rsidRPr="007F0B70">
        <w:rPr>
          <w:rFonts w:hint="eastAsia"/>
          <w:lang w:eastAsia="zh-CN"/>
        </w:rPr>
        <w:t>在</w:t>
      </w:r>
      <w:r w:rsidRPr="007F0B70">
        <w:rPr>
          <w:rFonts w:hint="eastAsia"/>
          <w:lang w:eastAsia="zh-CN"/>
        </w:rPr>
        <w:t>1 675 MHz</w:t>
      </w:r>
      <w:r w:rsidRPr="007F0B70">
        <w:rPr>
          <w:rFonts w:hint="eastAsia"/>
          <w:lang w:eastAsia="zh-CN"/>
        </w:rPr>
        <w:t>以上，预计将有更多的空间电台运行并产生与地面系统大致相同的长期干扰电平，并在短期内产生相对较大的干扰电平</w:t>
      </w:r>
      <w:bookmarkEnd w:id="69"/>
      <w:bookmarkEnd w:id="70"/>
      <w:r>
        <w:rPr>
          <w:rFonts w:hint="eastAsia"/>
          <w:lang w:eastAsia="zh-CN"/>
        </w:rPr>
        <w:t>（即：</w:t>
      </w:r>
      <w:r w:rsidRPr="007F0B70">
        <w:rPr>
          <w:rFonts w:hint="eastAsia"/>
          <w:lang w:eastAsia="zh-CN"/>
        </w:rPr>
        <w:t>这是因为</w:t>
      </w:r>
      <w:r w:rsidRPr="007F0B70">
        <w:rPr>
          <w:rFonts w:hint="eastAsia"/>
          <w:lang w:eastAsia="zh-CN"/>
        </w:rPr>
        <w:t>MetSat</w:t>
      </w:r>
      <w:r w:rsidRPr="007F0B70">
        <w:rPr>
          <w:rFonts w:hint="eastAsia"/>
          <w:lang w:eastAsia="zh-CN"/>
        </w:rPr>
        <w:t>地球站天线增益对干扰卫星的时间变化</w:t>
      </w:r>
      <w:r>
        <w:rPr>
          <w:rFonts w:hint="eastAsia"/>
          <w:lang w:eastAsia="zh-CN"/>
        </w:rPr>
        <w:t>）</w:t>
      </w:r>
      <w:bookmarkStart w:id="71" w:name="lt_pId217"/>
      <w:bookmarkEnd w:id="68"/>
      <w:r>
        <w:rPr>
          <w:rFonts w:hint="eastAsia"/>
          <w:lang w:eastAsia="zh-CN"/>
        </w:rPr>
        <w:t>。</w:t>
      </w:r>
      <w:bookmarkStart w:id="72" w:name="OLE_LINK40"/>
      <w:bookmarkStart w:id="73" w:name="OLE_LINK41"/>
      <w:r>
        <w:rPr>
          <w:rFonts w:hint="eastAsia"/>
          <w:lang w:eastAsia="zh-CN"/>
        </w:rPr>
        <w:t>对于</w:t>
      </w:r>
      <w:r w:rsidRPr="007F0B70">
        <w:rPr>
          <w:rFonts w:hint="eastAsia"/>
          <w:lang w:eastAsia="zh-CN"/>
        </w:rPr>
        <w:t>移动地球站可能对经由地面路径到达的干扰</w:t>
      </w:r>
      <w:proofErr w:type="gramStart"/>
      <w:r w:rsidRPr="007F0B70">
        <w:rPr>
          <w:rFonts w:hint="eastAsia"/>
          <w:lang w:eastAsia="zh-CN"/>
        </w:rPr>
        <w:t>作出</w:t>
      </w:r>
      <w:proofErr w:type="gramEnd"/>
      <w:r w:rsidRPr="007F0B70">
        <w:rPr>
          <w:rFonts w:hint="eastAsia"/>
          <w:lang w:eastAsia="zh-CN"/>
        </w:rPr>
        <w:t>实质性贡献的</w:t>
      </w:r>
      <w:r>
        <w:rPr>
          <w:rFonts w:hint="eastAsia"/>
          <w:lang w:eastAsia="zh-CN"/>
        </w:rPr>
        <w:t>预期不能保证对</w:t>
      </w:r>
      <w:r>
        <w:rPr>
          <w:rFonts w:hint="eastAsia"/>
          <w:lang w:eastAsia="zh-CN"/>
        </w:rPr>
        <w:t>2</w:t>
      </w:r>
      <w:r>
        <w:rPr>
          <w:rFonts w:hint="eastAsia"/>
          <w:lang w:eastAsia="zh-CN"/>
        </w:rPr>
        <w:t>区的干扰地面路径的不同干扰划分，</w:t>
      </w:r>
      <w:r w:rsidRPr="005E6491">
        <w:rPr>
          <w:rFonts w:hint="eastAsia"/>
          <w:lang w:eastAsia="zh-CN"/>
        </w:rPr>
        <w:t>因为地面电台和移动地球站不可能在同一区域使用相同的频率</w:t>
      </w:r>
      <w:r>
        <w:rPr>
          <w:rFonts w:hint="eastAsia"/>
          <w:lang w:eastAsia="zh-CN"/>
        </w:rPr>
        <w:t>。更多信息见</w:t>
      </w:r>
      <w:r>
        <w:rPr>
          <w:lang w:eastAsia="zh-CN"/>
        </w:rPr>
        <w:t>ITU</w:t>
      </w:r>
      <w:r w:rsidR="00065D50">
        <w:rPr>
          <w:rFonts w:hint="eastAsia"/>
          <w:lang w:eastAsia="zh-CN"/>
        </w:rPr>
        <w:t>-</w:t>
      </w:r>
      <w:r>
        <w:rPr>
          <w:lang w:eastAsia="zh-CN"/>
        </w:rPr>
        <w:t>R SA.1158</w:t>
      </w:r>
      <w:r>
        <w:rPr>
          <w:rFonts w:hint="eastAsia"/>
          <w:lang w:eastAsia="zh-CN"/>
        </w:rPr>
        <w:t>建议书。</w:t>
      </w:r>
    </w:p>
    <w:bookmarkEnd w:id="71"/>
    <w:bookmarkEnd w:id="72"/>
    <w:bookmarkEnd w:id="73"/>
    <w:p w:rsidR="001B59E5" w:rsidRDefault="001B59E5" w:rsidP="001B59E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B59E5" w:rsidRPr="00C84011" w:rsidRDefault="001B59E5" w:rsidP="001B59E5">
      <w:pPr>
        <w:pStyle w:val="Heading1"/>
        <w:rPr>
          <w:lang w:val="en-GB" w:eastAsia="zh-CN"/>
        </w:rPr>
      </w:pPr>
      <w:r w:rsidRPr="00C84011">
        <w:rPr>
          <w:lang w:val="en-GB" w:eastAsia="zh-CN"/>
        </w:rPr>
        <w:lastRenderedPageBreak/>
        <w:t>3</w:t>
      </w:r>
      <w:r w:rsidRPr="00C84011">
        <w:rPr>
          <w:lang w:val="en-GB" w:eastAsia="zh-CN"/>
        </w:rPr>
        <w:tab/>
      </w:r>
      <w:bookmarkStart w:id="74" w:name="lt_pId220"/>
      <w:r w:rsidRPr="00C84011">
        <w:rPr>
          <w:lang w:val="en-GB" w:eastAsia="zh-CN"/>
        </w:rPr>
        <w:t>25.5-27 GHz</w:t>
      </w:r>
      <w:bookmarkEnd w:id="74"/>
      <w:r>
        <w:rPr>
          <w:rFonts w:hint="eastAsia"/>
          <w:lang w:eastAsia="zh-CN"/>
        </w:rPr>
        <w:t>频段的注意事项</w:t>
      </w:r>
    </w:p>
    <w:p w:rsidR="001B59E5" w:rsidRPr="00C84011" w:rsidRDefault="001B59E5" w:rsidP="001B59E5">
      <w:pPr>
        <w:ind w:firstLineChars="200" w:firstLine="480"/>
        <w:rPr>
          <w:lang w:val="en-US" w:eastAsia="zh-CN"/>
        </w:rPr>
      </w:pPr>
      <w:bookmarkStart w:id="75" w:name="lt_pId224"/>
      <w:r w:rsidRPr="00C84011">
        <w:rPr>
          <w:lang w:eastAsia="zh-CN"/>
        </w:rPr>
        <w:t>25.5-27.0 GHz</w:t>
      </w:r>
      <w:r w:rsidRPr="00C84011">
        <w:rPr>
          <w:rFonts w:hint="eastAsia"/>
          <w:lang w:eastAsia="zh-CN"/>
        </w:rPr>
        <w:t>频段已</w:t>
      </w:r>
      <w:r>
        <w:rPr>
          <w:rFonts w:hint="eastAsia"/>
          <w:lang w:eastAsia="zh-CN"/>
        </w:rPr>
        <w:t>作为主要业务</w:t>
      </w:r>
      <w:r w:rsidRPr="00C84011">
        <w:rPr>
          <w:rFonts w:hint="eastAsia"/>
          <w:lang w:eastAsia="zh-CN"/>
        </w:rPr>
        <w:t>划分给卫星地球探测和空间研究（空对地）、固定、移动和卫星间业务。卫星地球探测空对地路径可能的干扰源包括</w:t>
      </w:r>
      <w:r>
        <w:rPr>
          <w:rFonts w:hint="eastAsia"/>
          <w:lang w:eastAsia="zh-CN"/>
        </w:rPr>
        <w:t>其他</w:t>
      </w:r>
      <w:r w:rsidRPr="00C84011">
        <w:rPr>
          <w:rFonts w:hint="eastAsia"/>
          <w:lang w:eastAsia="zh-CN"/>
        </w:rPr>
        <w:t>卫星地球探测系统卫星、卫星间业务卫星及地面固定和移动系统。由于</w:t>
      </w:r>
      <w:r w:rsidRPr="00562274">
        <w:rPr>
          <w:rFonts w:hint="eastAsia"/>
          <w:lang w:eastAsia="zh-CN"/>
        </w:rPr>
        <w:t>因为非</w:t>
      </w:r>
      <w:r w:rsidRPr="00562274">
        <w:rPr>
          <w:rFonts w:hint="eastAsia"/>
          <w:lang w:eastAsia="zh-CN"/>
        </w:rPr>
        <w:t>GSO</w:t>
      </w:r>
      <w:r w:rsidRPr="00562274">
        <w:rPr>
          <w:rFonts w:hint="eastAsia"/>
          <w:lang w:eastAsia="zh-CN"/>
        </w:rPr>
        <w:t>卫星的不断移动或</w:t>
      </w:r>
      <w:r w:rsidRPr="00562274">
        <w:rPr>
          <w:rFonts w:hint="eastAsia"/>
          <w:lang w:eastAsia="zh-CN"/>
        </w:rPr>
        <w:t>GSO</w:t>
      </w:r>
      <w:r w:rsidRPr="00562274">
        <w:rPr>
          <w:rFonts w:hint="eastAsia"/>
          <w:lang w:eastAsia="zh-CN"/>
        </w:rPr>
        <w:t>卫星协调工作的事实</w:t>
      </w:r>
      <w:r w:rsidRPr="00C84011">
        <w:rPr>
          <w:rFonts w:hint="eastAsia"/>
          <w:lang w:eastAsia="zh-CN"/>
        </w:rPr>
        <w:t>，假定卫星地球探测和卫星间业务卫星发射对卫星地球探测空对地路径不产生长期干扰。</w:t>
      </w:r>
      <w:bookmarkStart w:id="76" w:name="OLE_LINK48"/>
      <w:bookmarkStart w:id="77" w:name="OLE_LINK49"/>
      <w:r w:rsidRPr="00562274">
        <w:rPr>
          <w:rFonts w:hint="eastAsia"/>
          <w:lang w:eastAsia="zh-CN"/>
        </w:rPr>
        <w:t>对</w:t>
      </w:r>
      <w:r w:rsidRPr="00562274">
        <w:rPr>
          <w:rFonts w:hint="eastAsia"/>
          <w:lang w:eastAsia="zh-CN"/>
        </w:rPr>
        <w:t>GSO EESS</w:t>
      </w:r>
      <w:r w:rsidRPr="00562274">
        <w:rPr>
          <w:rFonts w:hint="eastAsia"/>
          <w:lang w:eastAsia="zh-CN"/>
        </w:rPr>
        <w:t>卫星的大部分长期干扰预计来自地面路径。</w:t>
      </w:r>
      <w:bookmarkEnd w:id="75"/>
      <w:bookmarkEnd w:id="76"/>
      <w:bookmarkEnd w:id="77"/>
    </w:p>
    <w:p w:rsidR="001B59E5" w:rsidRDefault="001B59E5" w:rsidP="001B59E5">
      <w:pPr>
        <w:ind w:firstLineChars="200" w:firstLine="480"/>
        <w:rPr>
          <w:lang w:val="en-US" w:eastAsia="zh-CN"/>
        </w:rPr>
      </w:pPr>
      <w:r w:rsidRPr="00C84011">
        <w:rPr>
          <w:rFonts w:hint="eastAsia"/>
          <w:lang w:eastAsia="zh-CN"/>
        </w:rPr>
        <w:t>在短期内，卫星地球探测和卫星间业务卫星系统之间将对空对地路径产生干扰，但对地面信号路径所产生的干扰将占主导地位。</w:t>
      </w:r>
    </w:p>
    <w:p w:rsidR="001B59E5" w:rsidRDefault="001B59E5" w:rsidP="001B59E5">
      <w:pPr>
        <w:pStyle w:val="Line"/>
        <w:rPr>
          <w:lang w:eastAsia="zh-CN"/>
        </w:rPr>
      </w:pPr>
    </w:p>
    <w:p w:rsidR="001B59E5" w:rsidRPr="004063F7" w:rsidRDefault="001B59E5" w:rsidP="001B59E5">
      <w:pPr>
        <w:rPr>
          <w:lang w:val="en-GB" w:eastAsia="zh-CN"/>
        </w:rPr>
      </w:pPr>
    </w:p>
    <w:sectPr w:rsidR="001B59E5" w:rsidRPr="004063F7" w:rsidSect="00672AF7">
      <w:headerReference w:type="even" r:id="rId13"/>
      <w:headerReference w:type="default" r:id="rId14"/>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5A" w:rsidRDefault="0092505A">
      <w:r>
        <w:separator/>
      </w:r>
    </w:p>
  </w:endnote>
  <w:endnote w:type="continuationSeparator" w:id="0">
    <w:p w:rsidR="0092505A" w:rsidRDefault="009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Times New Roma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5A" w:rsidRDefault="0092505A">
      <w:r>
        <w:separator/>
      </w:r>
    </w:p>
  </w:footnote>
  <w:footnote w:type="continuationSeparator" w:id="0">
    <w:p w:rsidR="0092505A" w:rsidRDefault="0092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106F6E" w:rsidRDefault="00106F6E" w:rsidP="00106F6E">
    <w:pPr>
      <w:pStyle w:val="Header"/>
    </w:pPr>
    <w:r w:rsidRPr="00106F6E">
      <w:rPr>
        <w:noProof/>
        <w:lang w:val="en-GB" w:eastAsia="zh-CN"/>
      </w:rPr>
      <w:drawing>
        <wp:anchor distT="0" distB="0" distL="114300" distR="114300" simplePos="0" relativeHeight="251659264" behindDoc="1" locked="0" layoutInCell="1" allowOverlap="1" wp14:anchorId="421FD8D8" wp14:editId="5ACEBB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AF7212" w:rsidRDefault="006F20D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3F4F8B">
      <w:rPr>
        <w:rStyle w:val="PageNumber"/>
        <w:b/>
        <w:bCs/>
        <w:noProof/>
        <w:lang w:val="fr-CH"/>
      </w:rPr>
      <w:t>ii</w:t>
    </w:r>
    <w:r w:rsidRPr="00AF7212">
      <w:rPr>
        <w:rStyle w:val="PageNumber"/>
        <w:b/>
        <w:bCs/>
        <w:lang w:val="fr-CH"/>
      </w:rPr>
      <w:fldChar w:fldCharType="end"/>
    </w:r>
    <w:r w:rsidRPr="00AF7212">
      <w:rPr>
        <w:lang w:val="fr-CH"/>
      </w:rPr>
      <w:tab/>
    </w:r>
    <w:r w:rsidR="001B59E5">
      <w:rPr>
        <w:b/>
        <w:bCs/>
      </w:rPr>
      <w:t>ITU-R  SA.1161</w:t>
    </w:r>
    <w:r w:rsidR="00863516" w:rsidRPr="00863516">
      <w:rPr>
        <w:b/>
        <w:bCs/>
      </w:rPr>
      <w:t>-</w:t>
    </w:r>
    <w:r w:rsidR="00E24A3D">
      <w:rPr>
        <w:b/>
        <w:bCs/>
      </w:rPr>
      <w:t>2</w:t>
    </w:r>
    <w:r w:rsidR="00361A9B">
      <w:rPr>
        <w:b/>
        <w:bCs/>
      </w:rPr>
      <w:t xml:space="preserve"> </w:t>
    </w:r>
    <w:r w:rsidR="00863516" w:rsidRPr="00863516">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pPr>
    <w:r>
      <w:tab/>
    </w:r>
    <w:r>
      <w:rPr>
        <w:b/>
        <w:bCs/>
      </w:rPr>
      <w:fldChar w:fldCharType="begin"/>
    </w:r>
    <w:r w:rsidRPr="00361A9B">
      <w:rPr>
        <w:b/>
        <w:bCs/>
        <w:lang w:val="en-GB"/>
      </w:rPr>
      <w:instrText>styleref href</w:instrText>
    </w:r>
    <w:r>
      <w:rPr>
        <w:b/>
        <w:bCs/>
      </w:rPr>
      <w:fldChar w:fldCharType="separate"/>
    </w:r>
    <w:r w:rsidR="00BC4A49">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sidR="00D5016C">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67432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3F4F8B">
      <w:rPr>
        <w:rStyle w:val="PageNumber"/>
        <w:b/>
        <w:bCs/>
        <w:noProof/>
        <w:lang w:val="en-US"/>
      </w:rPr>
      <w:t>4</w:t>
    </w:r>
    <w:r>
      <w:rPr>
        <w:rStyle w:val="PageNumber"/>
        <w:b/>
        <w:bCs/>
        <w:lang w:val="en-US"/>
      </w:rPr>
      <w:fldChar w:fldCharType="end"/>
    </w:r>
    <w:r>
      <w:rPr>
        <w:lang w:val="en-US"/>
      </w:rPr>
      <w:tab/>
    </w:r>
    <w:r w:rsidR="001B59E5">
      <w:rPr>
        <w:b/>
        <w:bCs/>
      </w:rPr>
      <w:t>ITU-</w:t>
    </w:r>
    <w:proofErr w:type="gramStart"/>
    <w:r w:rsidR="001B59E5">
      <w:rPr>
        <w:b/>
        <w:bCs/>
      </w:rPr>
      <w:t>R  SA.1161</w:t>
    </w:r>
    <w:proofErr w:type="gramEnd"/>
    <w:r w:rsidR="00863516" w:rsidRPr="00863516">
      <w:rPr>
        <w:b/>
        <w:bCs/>
      </w:rPr>
      <w:t>-</w:t>
    </w:r>
    <w:r w:rsidR="00674325">
      <w:rPr>
        <w:b/>
        <w:bCs/>
      </w:rPr>
      <w:t>2</w:t>
    </w:r>
    <w:r w:rsidR="00361A9B">
      <w:rPr>
        <w:b/>
        <w:bCs/>
      </w:rPr>
      <w:t xml:space="preserve"> </w:t>
    </w:r>
    <w:r w:rsidR="00863516" w:rsidRPr="0086351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674325">
    <w:pPr>
      <w:pStyle w:val="Header"/>
    </w:pPr>
    <w:r>
      <w:tab/>
    </w:r>
    <w:r w:rsidR="001B59E5">
      <w:rPr>
        <w:b/>
        <w:bCs/>
      </w:rPr>
      <w:t>ITU-R  SA.1161</w:t>
    </w:r>
    <w:r w:rsidR="00863516" w:rsidRPr="00863516">
      <w:rPr>
        <w:b/>
        <w:bCs/>
      </w:rPr>
      <w:t>-</w:t>
    </w:r>
    <w:r w:rsidR="00E24A3D">
      <w:rPr>
        <w:b/>
        <w:bCs/>
      </w:rPr>
      <w:t>2</w:t>
    </w:r>
    <w:r w:rsidR="00361A9B">
      <w:rPr>
        <w:b/>
        <w:bCs/>
      </w:rPr>
      <w:t xml:space="preserve"> </w:t>
    </w:r>
    <w:r w:rsidR="00863516" w:rsidRPr="0086351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3F4F8B">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32F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86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140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667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8CC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E3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6F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0C4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6D9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bordersDoNotSurroundHeader/>
  <w:bordersDoNotSurroundFooter/>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65D50"/>
    <w:rsid w:val="00076237"/>
    <w:rsid w:val="00082C2F"/>
    <w:rsid w:val="0009109E"/>
    <w:rsid w:val="000A2DA3"/>
    <w:rsid w:val="000C5A5C"/>
    <w:rsid w:val="000D25C7"/>
    <w:rsid w:val="000D5CA1"/>
    <w:rsid w:val="00106F6E"/>
    <w:rsid w:val="001159A7"/>
    <w:rsid w:val="00142A47"/>
    <w:rsid w:val="00195CC2"/>
    <w:rsid w:val="0019717C"/>
    <w:rsid w:val="001A143E"/>
    <w:rsid w:val="001A46B8"/>
    <w:rsid w:val="001A6D1F"/>
    <w:rsid w:val="001B59E5"/>
    <w:rsid w:val="001E199F"/>
    <w:rsid w:val="002129A7"/>
    <w:rsid w:val="00217EBF"/>
    <w:rsid w:val="00242AEE"/>
    <w:rsid w:val="00261D25"/>
    <w:rsid w:val="00291308"/>
    <w:rsid w:val="00296561"/>
    <w:rsid w:val="002A2386"/>
    <w:rsid w:val="002B3E8E"/>
    <w:rsid w:val="002D76C4"/>
    <w:rsid w:val="002F113F"/>
    <w:rsid w:val="00345D57"/>
    <w:rsid w:val="00361A9B"/>
    <w:rsid w:val="00373270"/>
    <w:rsid w:val="0037385B"/>
    <w:rsid w:val="003A0E40"/>
    <w:rsid w:val="003A5AB2"/>
    <w:rsid w:val="003F4F8B"/>
    <w:rsid w:val="00405A79"/>
    <w:rsid w:val="0042161A"/>
    <w:rsid w:val="0042636D"/>
    <w:rsid w:val="004319CC"/>
    <w:rsid w:val="004704A5"/>
    <w:rsid w:val="0047693A"/>
    <w:rsid w:val="0049414D"/>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3B18"/>
    <w:rsid w:val="00667F92"/>
    <w:rsid w:val="00672AF7"/>
    <w:rsid w:val="00674325"/>
    <w:rsid w:val="00691F03"/>
    <w:rsid w:val="006B1D9B"/>
    <w:rsid w:val="006F0A1C"/>
    <w:rsid w:val="006F20D8"/>
    <w:rsid w:val="00700A93"/>
    <w:rsid w:val="00733489"/>
    <w:rsid w:val="007468DA"/>
    <w:rsid w:val="007923E2"/>
    <w:rsid w:val="007F7D27"/>
    <w:rsid w:val="0080528B"/>
    <w:rsid w:val="008248D1"/>
    <w:rsid w:val="00863516"/>
    <w:rsid w:val="008C153E"/>
    <w:rsid w:val="008E4825"/>
    <w:rsid w:val="00900B6C"/>
    <w:rsid w:val="00901EA5"/>
    <w:rsid w:val="00907F8F"/>
    <w:rsid w:val="00914BD9"/>
    <w:rsid w:val="00924D95"/>
    <w:rsid w:val="0092505A"/>
    <w:rsid w:val="00940538"/>
    <w:rsid w:val="00941D76"/>
    <w:rsid w:val="00964884"/>
    <w:rsid w:val="00972BE6"/>
    <w:rsid w:val="00993B5E"/>
    <w:rsid w:val="009C775A"/>
    <w:rsid w:val="009E00A8"/>
    <w:rsid w:val="009E6C00"/>
    <w:rsid w:val="009F62AF"/>
    <w:rsid w:val="00A05B10"/>
    <w:rsid w:val="00A23E6C"/>
    <w:rsid w:val="00A2605A"/>
    <w:rsid w:val="00A33C28"/>
    <w:rsid w:val="00A4173A"/>
    <w:rsid w:val="00A55BD4"/>
    <w:rsid w:val="00A6617B"/>
    <w:rsid w:val="00A70121"/>
    <w:rsid w:val="00A71DC9"/>
    <w:rsid w:val="00A81019"/>
    <w:rsid w:val="00A86794"/>
    <w:rsid w:val="00A87302"/>
    <w:rsid w:val="00A9612E"/>
    <w:rsid w:val="00AA7CC3"/>
    <w:rsid w:val="00AB0DC8"/>
    <w:rsid w:val="00AB73C7"/>
    <w:rsid w:val="00AD3B79"/>
    <w:rsid w:val="00AF7212"/>
    <w:rsid w:val="00B11C41"/>
    <w:rsid w:val="00B44E24"/>
    <w:rsid w:val="00B5422D"/>
    <w:rsid w:val="00B7369A"/>
    <w:rsid w:val="00B8062C"/>
    <w:rsid w:val="00B87036"/>
    <w:rsid w:val="00BA2BDF"/>
    <w:rsid w:val="00BA5D7C"/>
    <w:rsid w:val="00BC4A49"/>
    <w:rsid w:val="00BD5448"/>
    <w:rsid w:val="00C34676"/>
    <w:rsid w:val="00C522CA"/>
    <w:rsid w:val="00C554C9"/>
    <w:rsid w:val="00C5579D"/>
    <w:rsid w:val="00C615AB"/>
    <w:rsid w:val="00C66482"/>
    <w:rsid w:val="00C93C41"/>
    <w:rsid w:val="00CD0FD2"/>
    <w:rsid w:val="00CD2419"/>
    <w:rsid w:val="00CD6AF3"/>
    <w:rsid w:val="00CE673A"/>
    <w:rsid w:val="00D01DD6"/>
    <w:rsid w:val="00D307C6"/>
    <w:rsid w:val="00D5016C"/>
    <w:rsid w:val="00D62BE4"/>
    <w:rsid w:val="00D92809"/>
    <w:rsid w:val="00DB65DF"/>
    <w:rsid w:val="00DF30A4"/>
    <w:rsid w:val="00DF4176"/>
    <w:rsid w:val="00E06679"/>
    <w:rsid w:val="00E16E1A"/>
    <w:rsid w:val="00E24A3D"/>
    <w:rsid w:val="00E37D82"/>
    <w:rsid w:val="00E44FC5"/>
    <w:rsid w:val="00E57C97"/>
    <w:rsid w:val="00E73A30"/>
    <w:rsid w:val="00E92D32"/>
    <w:rsid w:val="00E973B3"/>
    <w:rsid w:val="00EA3A54"/>
    <w:rsid w:val="00EA774F"/>
    <w:rsid w:val="00ED48E9"/>
    <w:rsid w:val="00ED4E4E"/>
    <w:rsid w:val="00EE521D"/>
    <w:rsid w:val="00F0063E"/>
    <w:rsid w:val="00F03249"/>
    <w:rsid w:val="00F12C5B"/>
    <w:rsid w:val="00F2191B"/>
    <w:rsid w:val="00F27113"/>
    <w:rsid w:val="00F43899"/>
    <w:rsid w:val="00F62B21"/>
    <w:rsid w:val="00FA5E51"/>
    <w:rsid w:val="00FD1C1B"/>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uiPriority w:val="99"/>
    <w:qFormat/>
    <w:rsid w:val="0042161A"/>
    <w:pPr>
      <w:spacing w:before="320"/>
      <w:outlineLvl w:val="1"/>
    </w:pPr>
  </w:style>
  <w:style w:type="paragraph" w:styleId="Heading3">
    <w:name w:val="heading 3"/>
    <w:basedOn w:val="Heading1"/>
    <w:next w:val="Normal"/>
    <w:link w:val="Heading3Char"/>
    <w:uiPriority w:val="99"/>
    <w:qFormat/>
    <w:rsid w:val="0042161A"/>
    <w:pPr>
      <w:spacing w:before="200"/>
      <w:outlineLvl w:val="2"/>
    </w:pPr>
  </w:style>
  <w:style w:type="paragraph" w:styleId="Heading4">
    <w:name w:val="heading 4"/>
    <w:basedOn w:val="Heading3"/>
    <w:next w:val="Normal"/>
    <w:link w:val="Heading4Char"/>
    <w:uiPriority w:val="99"/>
    <w:qFormat/>
    <w:rsid w:val="0042161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2161A"/>
    <w:pPr>
      <w:outlineLvl w:val="4"/>
    </w:pPr>
  </w:style>
  <w:style w:type="paragraph" w:styleId="Heading6">
    <w:name w:val="heading 6"/>
    <w:basedOn w:val="Heading4"/>
    <w:next w:val="Normal"/>
    <w:link w:val="Heading6Char"/>
    <w:uiPriority w:val="99"/>
    <w:qFormat/>
    <w:rsid w:val="0042161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2161A"/>
    <w:pPr>
      <w:outlineLvl w:val="6"/>
    </w:pPr>
  </w:style>
  <w:style w:type="paragraph" w:styleId="Heading8">
    <w:name w:val="heading 8"/>
    <w:basedOn w:val="Heading6"/>
    <w:next w:val="Normal"/>
    <w:link w:val="Heading8Char"/>
    <w:uiPriority w:val="99"/>
    <w:qFormat/>
    <w:rsid w:val="0042161A"/>
    <w:pPr>
      <w:outlineLvl w:val="7"/>
    </w:pPr>
  </w:style>
  <w:style w:type="paragraph" w:styleId="Heading9">
    <w:name w:val="heading 9"/>
    <w:basedOn w:val="Heading6"/>
    <w:next w:val="Normal"/>
    <w:link w:val="Heading9Char"/>
    <w:uiPriority w:val="99"/>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uiPriority w:val="9"/>
    <w:semiHidden/>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uiPriority w:val="9"/>
    <w:semiHidden/>
    <w:rsid w:val="007E1BDA"/>
    <w:rPr>
      <w:b/>
      <w:bCs/>
      <w:kern w:val="0"/>
      <w:sz w:val="32"/>
      <w:szCs w:val="32"/>
      <w:lang w:val="fr-FR" w:eastAsia="en-US"/>
    </w:rPr>
  </w:style>
  <w:style w:type="character" w:customStyle="1" w:styleId="Heading4Char">
    <w:name w:val="Heading 4 Char"/>
    <w:basedOn w:val="DefaultParagraphFont"/>
    <w:link w:val="Heading4"/>
    <w:uiPriority w:val="9"/>
    <w:semiHidden/>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uiPriority w:val="9"/>
    <w:semiHidden/>
    <w:rsid w:val="007E1BDA"/>
    <w:rPr>
      <w:b/>
      <w:bCs/>
      <w:kern w:val="0"/>
      <w:sz w:val="28"/>
      <w:szCs w:val="28"/>
      <w:lang w:val="fr-FR" w:eastAsia="en-US"/>
    </w:rPr>
  </w:style>
  <w:style w:type="character" w:customStyle="1" w:styleId="Heading6Char">
    <w:name w:val="Heading 6 Char"/>
    <w:basedOn w:val="DefaultParagraphFont"/>
    <w:link w:val="Heading6"/>
    <w:uiPriority w:val="9"/>
    <w:semiHidden/>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uiPriority w:val="9"/>
    <w:semiHidden/>
    <w:rsid w:val="007E1BDA"/>
    <w:rPr>
      <w:b/>
      <w:bCs/>
      <w:kern w:val="0"/>
      <w:sz w:val="24"/>
      <w:szCs w:val="24"/>
      <w:lang w:val="fr-FR" w:eastAsia="en-US"/>
    </w:rPr>
  </w:style>
  <w:style w:type="character" w:customStyle="1" w:styleId="Heading8Char">
    <w:name w:val="Heading 8 Char"/>
    <w:basedOn w:val="DefaultParagraphFont"/>
    <w:link w:val="Heading8"/>
    <w:uiPriority w:val="9"/>
    <w:semiHidden/>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uiPriority w:val="9"/>
    <w:semiHidden/>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locked/>
    <w:rsid w:val="00AF7212"/>
    <w:rPr>
      <w:rFonts w:cs="Times New Roman"/>
      <w:sz w:val="24"/>
      <w:lang w:val="fr-FR" w:eastAsia="en-US"/>
    </w:rPr>
  </w:style>
  <w:style w:type="paragraph" w:styleId="Footer">
    <w:name w:val="footer"/>
    <w:basedOn w:val="Normal"/>
    <w:link w:val="FooterChar"/>
    <w:uiPriority w:val="99"/>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rsid w:val="007E1BDA"/>
    <w:rPr>
      <w:kern w:val="0"/>
      <w:sz w:val="18"/>
      <w:szCs w:val="18"/>
      <w:lang w:val="fr-FR" w:eastAsia="en-US"/>
    </w:rPr>
  </w:style>
  <w:style w:type="character" w:styleId="PageNumber">
    <w:name w:val="page number"/>
    <w:basedOn w:val="DefaultParagraphFont"/>
    <w:uiPriority w:val="99"/>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uiPriority w:val="99"/>
    <w:rsid w:val="0042161A"/>
    <w:pPr>
      <w:spacing w:before="160"/>
      <w:ind w:left="0" w:firstLine="0"/>
    </w:pPr>
    <w:rPr>
      <w:b w:val="0"/>
      <w:i/>
    </w:rPr>
  </w:style>
  <w:style w:type="character" w:customStyle="1" w:styleId="href">
    <w:name w:val="href"/>
    <w:basedOn w:val="DefaultParagraphFont"/>
    <w:uiPriority w:val="99"/>
    <w:rsid w:val="0042161A"/>
    <w:rPr>
      <w:rFonts w:cs="Times New Roman"/>
    </w:rPr>
  </w:style>
  <w:style w:type="paragraph" w:customStyle="1" w:styleId="enumlev1">
    <w:name w:val="enumlev1"/>
    <w:basedOn w:val="Normal"/>
    <w:uiPriority w:val="99"/>
    <w:rsid w:val="0042161A"/>
    <w:pPr>
      <w:spacing w:before="80"/>
      <w:ind w:left="794" w:hanging="794"/>
    </w:pPr>
  </w:style>
  <w:style w:type="paragraph" w:customStyle="1" w:styleId="enumlev2">
    <w:name w:val="enumlev2"/>
    <w:basedOn w:val="enumlev1"/>
    <w:uiPriority w:val="99"/>
    <w:rsid w:val="0042161A"/>
    <w:pPr>
      <w:ind w:left="1191" w:hanging="397"/>
    </w:pPr>
  </w:style>
  <w:style w:type="paragraph" w:customStyle="1" w:styleId="enumlev3">
    <w:name w:val="enumlev3"/>
    <w:basedOn w:val="enumlev2"/>
    <w:uiPriority w:val="99"/>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uiPriority w:val="99"/>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2161A"/>
    <w:pPr>
      <w:jc w:val="center"/>
    </w:pPr>
  </w:style>
  <w:style w:type="paragraph" w:customStyle="1" w:styleId="Recdate">
    <w:name w:val="Rec_date"/>
    <w:basedOn w:val="Recref"/>
    <w:next w:val="Normalaftertitle"/>
    <w:uiPriority w:val="99"/>
    <w:rsid w:val="0042161A"/>
    <w:pPr>
      <w:jc w:val="right"/>
    </w:pPr>
  </w:style>
  <w:style w:type="paragraph" w:customStyle="1" w:styleId="AnnexNoTitle">
    <w:name w:val="Annex_NoTitle"/>
    <w:basedOn w:val="Normal"/>
    <w:next w:val="Normalaftertitle"/>
    <w:rsid w:val="0042161A"/>
    <w:pPr>
      <w:keepNext/>
      <w:keepLines/>
      <w:spacing w:before="480" w:after="80"/>
      <w:jc w:val="center"/>
    </w:pPr>
    <w:rPr>
      <w:b/>
      <w:sz w:val="28"/>
    </w:rPr>
  </w:style>
  <w:style w:type="paragraph" w:customStyle="1" w:styleId="AppendixNoTitle">
    <w:name w:val="Appendix_NoTitle"/>
    <w:basedOn w:val="AnnexNoTitle"/>
    <w:next w:val="Normal"/>
    <w:uiPriority w:val="99"/>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2161A"/>
    <w:pPr>
      <w:ind w:left="794"/>
    </w:pPr>
  </w:style>
  <w:style w:type="paragraph" w:customStyle="1" w:styleId="Figurelegend">
    <w:name w:val="Figure_legend"/>
    <w:basedOn w:val="Normal"/>
    <w:uiPriority w:val="99"/>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DF4176"/>
    <w:pPr>
      <w:keepNext/>
      <w:keepLines/>
      <w:spacing w:before="480" w:after="80"/>
      <w:jc w:val="center"/>
    </w:pPr>
    <w:rPr>
      <w:caps/>
      <w:sz w:val="18"/>
    </w:rPr>
  </w:style>
  <w:style w:type="paragraph" w:customStyle="1" w:styleId="tocpart">
    <w:name w:val="tocpart"/>
    <w:basedOn w:val="Normal"/>
    <w:uiPriority w:val="99"/>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2161A"/>
    <w:pPr>
      <w:keepNext/>
      <w:keepLines/>
      <w:spacing w:before="480"/>
      <w:jc w:val="center"/>
    </w:pPr>
    <w:rPr>
      <w:sz w:val="28"/>
    </w:rPr>
  </w:style>
  <w:style w:type="paragraph" w:customStyle="1" w:styleId="Arttitle">
    <w:name w:val="Art_title"/>
    <w:basedOn w:val="Normal"/>
    <w:next w:val="Normalaftertitle"/>
    <w:uiPriority w:val="99"/>
    <w:rsid w:val="0042161A"/>
    <w:pPr>
      <w:keepNext/>
      <w:keepLines/>
      <w:spacing w:before="240"/>
      <w:jc w:val="center"/>
    </w:pPr>
    <w:rPr>
      <w:b/>
      <w:sz w:val="28"/>
    </w:rPr>
  </w:style>
  <w:style w:type="paragraph" w:customStyle="1" w:styleId="Blanc">
    <w:name w:val="Blanc"/>
    <w:basedOn w:val="Normal"/>
    <w:next w:val="Tabletext"/>
    <w:uiPriority w:val="99"/>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uiPriority w:val="99"/>
    <w:rsid w:val="0042161A"/>
    <w:rPr>
      <w:b/>
    </w:rPr>
  </w:style>
  <w:style w:type="paragraph" w:customStyle="1" w:styleId="Chaptitle">
    <w:name w:val="Chap_title"/>
    <w:basedOn w:val="Arttitle"/>
    <w:next w:val="Normalaftertitle"/>
    <w:uiPriority w:val="99"/>
    <w:rsid w:val="0042161A"/>
  </w:style>
  <w:style w:type="character" w:styleId="FootnoteReference">
    <w:name w:val="footnote reference"/>
    <w:basedOn w:val="DefaultParagraphFont"/>
    <w:uiPriority w:val="99"/>
    <w:rsid w:val="0042161A"/>
    <w:rPr>
      <w:rFonts w:cs="Times New Roman"/>
      <w:position w:val="6"/>
      <w:sz w:val="18"/>
    </w:rPr>
  </w:style>
  <w:style w:type="paragraph" w:styleId="FootnoteText">
    <w:name w:val="footnote text"/>
    <w:basedOn w:val="Normal"/>
    <w:link w:val="FootnoteTextChar"/>
    <w:uiPriority w:val="99"/>
    <w:rsid w:val="0042161A"/>
    <w:pPr>
      <w:keepLines/>
      <w:tabs>
        <w:tab w:val="left" w:pos="255"/>
      </w:tabs>
      <w:ind w:left="255" w:hanging="255"/>
    </w:pPr>
    <w:rPr>
      <w:sz w:val="22"/>
    </w:rPr>
  </w:style>
  <w:style w:type="character" w:customStyle="1" w:styleId="FootnoteTextChar">
    <w:name w:val="Footnote Text Char"/>
    <w:basedOn w:val="DefaultParagraphFont"/>
    <w:link w:val="FootnoteText"/>
    <w:uiPriority w:val="99"/>
    <w:locked/>
    <w:rsid w:val="008E4825"/>
    <w:rPr>
      <w:rFonts w:cs="Times New Roman"/>
      <w:sz w:val="22"/>
      <w:lang w:val="fr-FR" w:eastAsia="en-US"/>
    </w:rPr>
  </w:style>
  <w:style w:type="paragraph" w:styleId="Index1">
    <w:name w:val="index 1"/>
    <w:basedOn w:val="Normal"/>
    <w:next w:val="Normal"/>
    <w:uiPriority w:val="99"/>
    <w:semiHidden/>
    <w:rsid w:val="0042161A"/>
  </w:style>
  <w:style w:type="paragraph" w:styleId="Index2">
    <w:name w:val="index 2"/>
    <w:basedOn w:val="Normal"/>
    <w:next w:val="Normal"/>
    <w:uiPriority w:val="99"/>
    <w:semiHidden/>
    <w:rsid w:val="0042161A"/>
    <w:pPr>
      <w:ind w:left="283"/>
    </w:pPr>
  </w:style>
  <w:style w:type="paragraph" w:styleId="Index3">
    <w:name w:val="index 3"/>
    <w:basedOn w:val="Normal"/>
    <w:next w:val="Normal"/>
    <w:uiPriority w:val="99"/>
    <w:semiHidden/>
    <w:rsid w:val="0042161A"/>
    <w:pPr>
      <w:ind w:left="566"/>
    </w:pPr>
  </w:style>
  <w:style w:type="paragraph" w:styleId="IndexHeading">
    <w:name w:val="index heading"/>
    <w:basedOn w:val="Normal"/>
    <w:next w:val="Index1"/>
    <w:uiPriority w:val="99"/>
    <w:semiHidden/>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2161A"/>
  </w:style>
  <w:style w:type="paragraph" w:customStyle="1" w:styleId="Partref">
    <w:name w:val="Part_ref"/>
    <w:basedOn w:val="Normal"/>
    <w:next w:val="Normal"/>
    <w:uiPriority w:val="99"/>
    <w:rsid w:val="0042161A"/>
    <w:pPr>
      <w:keepNext/>
      <w:keepLines/>
      <w:spacing w:after="280"/>
      <w:jc w:val="center"/>
    </w:pPr>
  </w:style>
  <w:style w:type="paragraph" w:customStyle="1" w:styleId="Parttitle">
    <w:name w:val="Part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2161A"/>
  </w:style>
  <w:style w:type="paragraph" w:customStyle="1" w:styleId="QuestionNo">
    <w:name w:val="Question_No"/>
    <w:basedOn w:val="RecNoBR"/>
    <w:next w:val="Normal"/>
    <w:uiPriority w:val="99"/>
    <w:rsid w:val="0042161A"/>
  </w:style>
  <w:style w:type="paragraph" w:customStyle="1" w:styleId="Questionref">
    <w:name w:val="Question_ref"/>
    <w:basedOn w:val="Recref"/>
    <w:next w:val="Questiondate"/>
    <w:uiPriority w:val="99"/>
    <w:rsid w:val="0042161A"/>
  </w:style>
  <w:style w:type="paragraph" w:customStyle="1" w:styleId="Questiontitle">
    <w:name w:val="Question_title"/>
    <w:basedOn w:val="Normal"/>
    <w:next w:val="Questionref"/>
    <w:uiPriority w:val="99"/>
    <w:rsid w:val="0042161A"/>
  </w:style>
  <w:style w:type="paragraph" w:customStyle="1" w:styleId="Reftext">
    <w:name w:val="Ref_text"/>
    <w:basedOn w:val="Normal"/>
    <w:uiPriority w:val="99"/>
    <w:rsid w:val="0042161A"/>
    <w:pPr>
      <w:ind w:left="794" w:hanging="794"/>
    </w:pPr>
    <w:rPr>
      <w:sz w:val="22"/>
    </w:rPr>
  </w:style>
  <w:style w:type="paragraph" w:customStyle="1" w:styleId="Reftitle">
    <w:name w:val="Ref_title"/>
    <w:basedOn w:val="Normal"/>
    <w:next w:val="Reftext"/>
    <w:uiPriority w:val="99"/>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2161A"/>
  </w:style>
  <w:style w:type="paragraph" w:customStyle="1" w:styleId="RepNo">
    <w:name w:val="Rep_No"/>
    <w:basedOn w:val="RecNoBR"/>
    <w:next w:val="Reptitle"/>
    <w:uiPriority w:val="99"/>
    <w:rsid w:val="0042161A"/>
  </w:style>
  <w:style w:type="paragraph" w:customStyle="1" w:styleId="Repref">
    <w:name w:val="Rep_ref"/>
    <w:basedOn w:val="Recref"/>
    <w:next w:val="Repdate"/>
    <w:uiPriority w:val="99"/>
    <w:rsid w:val="0042161A"/>
  </w:style>
  <w:style w:type="paragraph" w:customStyle="1" w:styleId="Reptitle">
    <w:name w:val="Rep_title"/>
    <w:basedOn w:val="RectitleBR"/>
    <w:next w:val="Repref"/>
    <w:uiPriority w:val="99"/>
    <w:rsid w:val="0042161A"/>
  </w:style>
  <w:style w:type="paragraph" w:customStyle="1" w:styleId="Resdate">
    <w:name w:val="Res_date"/>
    <w:basedOn w:val="Recdate"/>
    <w:next w:val="Normalaftertitle"/>
    <w:uiPriority w:val="99"/>
    <w:rsid w:val="0042161A"/>
  </w:style>
  <w:style w:type="paragraph" w:customStyle="1" w:styleId="ResNo">
    <w:name w:val="Res_No"/>
    <w:basedOn w:val="RecNoBR"/>
    <w:next w:val="Restitle"/>
    <w:uiPriority w:val="99"/>
    <w:rsid w:val="0042161A"/>
  </w:style>
  <w:style w:type="paragraph" w:customStyle="1" w:styleId="Resref">
    <w:name w:val="Res_ref"/>
    <w:basedOn w:val="Recref"/>
    <w:next w:val="Resdate"/>
    <w:uiPriority w:val="99"/>
    <w:rsid w:val="0042161A"/>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2161A"/>
  </w:style>
  <w:style w:type="paragraph" w:customStyle="1" w:styleId="Sectiontitle">
    <w:name w:val="Section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2161A"/>
    <w:pPr>
      <w:tabs>
        <w:tab w:val="clear" w:pos="794"/>
        <w:tab w:val="clear" w:pos="1191"/>
        <w:tab w:val="clear" w:pos="1588"/>
        <w:tab w:val="clear" w:pos="1985"/>
        <w:tab w:val="right" w:pos="9611"/>
      </w:tabs>
    </w:pPr>
    <w:rPr>
      <w:i/>
    </w:rPr>
  </w:style>
  <w:style w:type="paragraph" w:styleId="TOC1">
    <w:name w:val="toc 1"/>
    <w:basedOn w:val="Normal"/>
    <w:uiPriority w:val="99"/>
    <w:semiHidden/>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2161A"/>
    <w:pPr>
      <w:tabs>
        <w:tab w:val="clear" w:pos="567"/>
        <w:tab w:val="left" w:pos="1276"/>
      </w:tabs>
      <w:spacing w:before="160"/>
      <w:ind w:left="1276" w:hanging="709"/>
    </w:pPr>
  </w:style>
  <w:style w:type="paragraph" w:styleId="TOC3">
    <w:name w:val="toc 3"/>
    <w:basedOn w:val="TOC2"/>
    <w:uiPriority w:val="99"/>
    <w:semiHidden/>
    <w:rsid w:val="0042161A"/>
    <w:pPr>
      <w:tabs>
        <w:tab w:val="clear" w:pos="1276"/>
        <w:tab w:val="left" w:pos="2155"/>
      </w:tabs>
      <w:ind w:left="2155" w:hanging="879"/>
    </w:pPr>
  </w:style>
  <w:style w:type="paragraph" w:styleId="TOC4">
    <w:name w:val="toc 4"/>
    <w:basedOn w:val="TOC3"/>
    <w:uiPriority w:val="99"/>
    <w:semiHidden/>
    <w:rsid w:val="0042161A"/>
    <w:pPr>
      <w:tabs>
        <w:tab w:val="left" w:pos="3261"/>
      </w:tabs>
      <w:spacing w:before="80"/>
      <w:ind w:left="3261" w:hanging="993"/>
    </w:pPr>
  </w:style>
  <w:style w:type="paragraph" w:styleId="TOC5">
    <w:name w:val="toc 5"/>
    <w:basedOn w:val="TOC4"/>
    <w:uiPriority w:val="99"/>
    <w:semiHidden/>
    <w:rsid w:val="0042161A"/>
  </w:style>
  <w:style w:type="paragraph" w:styleId="TOC6">
    <w:name w:val="toc 6"/>
    <w:basedOn w:val="TOC4"/>
    <w:uiPriority w:val="99"/>
    <w:semiHidden/>
    <w:rsid w:val="0042161A"/>
  </w:style>
  <w:style w:type="paragraph" w:styleId="TOC7">
    <w:name w:val="toc 7"/>
    <w:basedOn w:val="TOC4"/>
    <w:uiPriority w:val="99"/>
    <w:semiHidden/>
    <w:rsid w:val="0042161A"/>
  </w:style>
  <w:style w:type="paragraph" w:styleId="TOC8">
    <w:name w:val="toc 8"/>
    <w:basedOn w:val="TOC4"/>
    <w:uiPriority w:val="99"/>
    <w:semiHidden/>
    <w:rsid w:val="0042161A"/>
  </w:style>
  <w:style w:type="paragraph" w:customStyle="1" w:styleId="RectitleBR">
    <w:name w:val="Rec_title_BR"/>
    <w:basedOn w:val="Normal"/>
    <w:next w:val="Recref"/>
    <w:uiPriority w:val="99"/>
    <w:rsid w:val="0042161A"/>
    <w:pPr>
      <w:keepNext/>
      <w:keepLines/>
      <w:spacing w:before="240"/>
      <w:jc w:val="center"/>
    </w:pPr>
    <w:rPr>
      <w:b/>
      <w:sz w:val="28"/>
    </w:rPr>
  </w:style>
  <w:style w:type="paragraph" w:customStyle="1" w:styleId="Annexref">
    <w:name w:val="Annex_ref"/>
    <w:basedOn w:val="Normal"/>
    <w:next w:val="Normalaftertitle"/>
    <w:uiPriority w:val="99"/>
    <w:rsid w:val="0042161A"/>
    <w:pPr>
      <w:keepNext/>
      <w:keepLines/>
      <w:spacing w:after="280"/>
      <w:jc w:val="center"/>
    </w:pPr>
  </w:style>
  <w:style w:type="paragraph" w:customStyle="1" w:styleId="Appendixref">
    <w:name w:val="Appendix_ref"/>
    <w:basedOn w:val="Annexref"/>
    <w:next w:val="Normalaftertitle"/>
    <w:uiPriority w:val="99"/>
    <w:rsid w:val="0042161A"/>
  </w:style>
  <w:style w:type="paragraph" w:customStyle="1" w:styleId="Figuretitle">
    <w:name w:val="Figure_title"/>
    <w:basedOn w:val="Normal"/>
    <w:next w:val="Figure"/>
    <w:uiPriority w:val="99"/>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uiPriority w:val="99"/>
    <w:rsid w:val="00A6617B"/>
    <w:pPr>
      <w:keepNext w:val="0"/>
      <w:spacing w:before="0" w:after="240"/>
    </w:pPr>
  </w:style>
  <w:style w:type="character" w:styleId="Hyperlink">
    <w:name w:val="Hyperlink"/>
    <w:basedOn w:val="DefaultParagraphFont"/>
    <w:uiPriority w:val="99"/>
    <w:rsid w:val="00AF7212"/>
    <w:rPr>
      <w:rFonts w:cs="Times New Roman"/>
      <w:color w:val="0000FF"/>
      <w:u w:val="single"/>
    </w:rPr>
  </w:style>
  <w:style w:type="paragraph" w:customStyle="1" w:styleId="AnnexNo">
    <w:name w:val="Annex_No"/>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locked/>
    <w:rsid w:val="00106F6E"/>
    <w:rPr>
      <w:b/>
      <w:kern w:val="0"/>
      <w:sz w:val="22"/>
      <w:szCs w:val="20"/>
      <w:lang w:val="fr-FR" w:eastAsia="en-US"/>
    </w:rPr>
  </w:style>
  <w:style w:type="paragraph" w:customStyle="1" w:styleId="TableLegend0">
    <w:name w:val="Table_Legend"/>
    <w:basedOn w:val="Normal"/>
    <w:next w:val="Normal"/>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78</TotalTime>
  <Pages>7</Pages>
  <Words>3103</Words>
  <Characters>1169</Characters>
  <Application>Microsoft Office Word</Application>
  <DocSecurity>0</DocSecurity>
  <Lines>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SA.1161-2 建议书（09/2017）- 使用对地静止轨道的卫星地球探测业务和卫星气象业务中的数据传输系统的共用和协调标准</dc:title>
  <dc:subject/>
  <dc:creator>Gachet, Christelle</dc:creator>
  <cp:keywords/>
  <dc:description/>
  <cp:lastModifiedBy>Liu, Sanping</cp:lastModifiedBy>
  <cp:revision>9</cp:revision>
  <cp:lastPrinted>2018-04-09T14:05:00Z</cp:lastPrinted>
  <dcterms:created xsi:type="dcterms:W3CDTF">2018-02-21T09:11:00Z</dcterms:created>
  <dcterms:modified xsi:type="dcterms:W3CDTF">2018-04-18T09:28:00Z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