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1E" w:rsidRDefault="0059671E" w:rsidP="0059671E">
      <w:bookmarkStart w:id="1" w:name="_GoBack"/>
      <w:bookmarkEnd w:id="1"/>
    </w:p>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tbl>
      <w:tblPr>
        <w:tblW w:w="10089" w:type="dxa"/>
        <w:tblLook w:val="01E0" w:firstRow="1" w:lastRow="1" w:firstColumn="1" w:lastColumn="1" w:noHBand="0" w:noVBand="0"/>
      </w:tblPr>
      <w:tblGrid>
        <w:gridCol w:w="10089"/>
      </w:tblGrid>
      <w:tr w:rsidR="0059671E" w:rsidRPr="00A443C2" w:rsidTr="00104891">
        <w:tc>
          <w:tcPr>
            <w:tcW w:w="10089" w:type="dxa"/>
          </w:tcPr>
          <w:p w:rsidR="0059671E" w:rsidRPr="00B033C8" w:rsidRDefault="0059671E" w:rsidP="00104891">
            <w:pPr>
              <w:spacing w:before="380" w:line="280" w:lineRule="exact"/>
              <w:jc w:val="right"/>
              <w:rPr>
                <w:rFonts w:ascii="Tahoma" w:hAnsi="Tahoma" w:cs="Tahoma"/>
                <w:b/>
                <w:bCs/>
                <w:iCs/>
                <w:color w:val="243285"/>
                <w:sz w:val="32"/>
                <w:szCs w:val="32"/>
                <w:lang w:val="en-US"/>
              </w:rPr>
            </w:pPr>
          </w:p>
          <w:p w:rsidR="00FC6F85" w:rsidRPr="0081070A" w:rsidRDefault="00BD4DF8" w:rsidP="00FC6F85">
            <w:pPr>
              <w:spacing w:before="380" w:line="280" w:lineRule="exact"/>
              <w:jc w:val="right"/>
              <w:rPr>
                <w:rFonts w:ascii="Tahoma" w:hAnsi="Tahoma" w:cs="Tahoma"/>
                <w:b/>
                <w:bCs/>
                <w:iCs/>
                <w:color w:val="243285"/>
                <w:sz w:val="36"/>
                <w:szCs w:val="36"/>
                <w:lang w:val="fr-CH"/>
              </w:rPr>
            </w:pPr>
            <w:r>
              <w:rPr>
                <w:rFonts w:ascii="Tahoma" w:hAnsi="Tahoma" w:cs="Tahoma"/>
                <w:b/>
                <w:bCs/>
                <w:iCs/>
                <w:color w:val="243285"/>
                <w:sz w:val="36"/>
                <w:szCs w:val="36"/>
                <w:lang w:val="fr-CH"/>
              </w:rPr>
              <w:t>Recomma</w:t>
            </w:r>
            <w:r w:rsidR="000761A6">
              <w:rPr>
                <w:rFonts w:ascii="Tahoma" w:hAnsi="Tahoma" w:cs="Tahoma"/>
                <w:b/>
                <w:bCs/>
                <w:iCs/>
                <w:color w:val="243285"/>
                <w:sz w:val="36"/>
                <w:szCs w:val="36"/>
                <w:lang w:val="fr-CH"/>
              </w:rPr>
              <w:t>ndation  UIT</w:t>
            </w:r>
            <w:r w:rsidR="00FC6F85" w:rsidRPr="0081070A">
              <w:rPr>
                <w:rFonts w:ascii="Tahoma" w:hAnsi="Tahoma" w:cs="Tahoma"/>
                <w:b/>
                <w:bCs/>
                <w:iCs/>
                <w:color w:val="243285"/>
                <w:sz w:val="36"/>
                <w:szCs w:val="36"/>
                <w:lang w:val="fr-CH"/>
              </w:rPr>
              <w:t>-R  SA.</w:t>
            </w:r>
            <w:r w:rsidR="00FC6F85" w:rsidRPr="00FC5A7B">
              <w:rPr>
                <w:rFonts w:ascii="Tahoma" w:hAnsi="Tahoma" w:cs="Tahoma"/>
                <w:b/>
                <w:bCs/>
                <w:iCs/>
                <w:color w:val="243285"/>
                <w:sz w:val="36"/>
                <w:szCs w:val="36"/>
                <w:lang w:val="fr-CH"/>
              </w:rPr>
              <w:t>1160-3</w:t>
            </w:r>
          </w:p>
          <w:p w:rsidR="0059671E" w:rsidRPr="00A443C2" w:rsidRDefault="00FC6F85" w:rsidP="00FC6F85">
            <w:pPr>
              <w:spacing w:before="80" w:line="280" w:lineRule="exact"/>
              <w:jc w:val="right"/>
              <w:rPr>
                <w:rFonts w:ascii="Tahoma" w:hAnsi="Tahoma" w:cs="Tahoma"/>
                <w:b/>
                <w:bCs/>
                <w:iCs/>
                <w:color w:val="243285"/>
                <w:szCs w:val="24"/>
              </w:rPr>
            </w:pPr>
            <w:r w:rsidRPr="0081070A">
              <w:rPr>
                <w:rFonts w:ascii="Tahoma" w:hAnsi="Tahoma" w:cs="Tahoma"/>
                <w:b/>
                <w:bCs/>
                <w:iCs/>
                <w:color w:val="243285"/>
                <w:szCs w:val="24"/>
                <w:lang w:val="fr-CH"/>
              </w:rPr>
              <w:t>(</w:t>
            </w:r>
            <w:r w:rsidRPr="00F52627">
              <w:rPr>
                <w:rFonts w:ascii="Tahoma" w:hAnsi="Tahoma" w:cs="Tahoma"/>
                <w:b/>
                <w:bCs/>
                <w:iCs/>
                <w:color w:val="243285"/>
                <w:szCs w:val="24"/>
                <w:lang w:val="en-US"/>
              </w:rPr>
              <w:t>07/2017</w:t>
            </w:r>
            <w:r w:rsidRPr="0081070A">
              <w:rPr>
                <w:rFonts w:ascii="Tahoma" w:hAnsi="Tahoma" w:cs="Tahoma"/>
                <w:b/>
                <w:bCs/>
                <w:iCs/>
                <w:color w:val="243285"/>
                <w:szCs w:val="24"/>
                <w:lang w:val="fr-CH"/>
              </w:rPr>
              <w:t>)</w:t>
            </w:r>
          </w:p>
        </w:tc>
      </w:tr>
      <w:tr w:rsidR="0059671E" w:rsidRPr="00F54FBD" w:rsidTr="00104891">
        <w:tc>
          <w:tcPr>
            <w:tcW w:w="10089" w:type="dxa"/>
          </w:tcPr>
          <w:p w:rsidR="0059671E" w:rsidRDefault="0059671E" w:rsidP="00104891">
            <w:pPr>
              <w:spacing w:before="80" w:line="500" w:lineRule="exact"/>
              <w:jc w:val="right"/>
              <w:rPr>
                <w:rFonts w:ascii="Tahoma" w:hAnsi="Tahoma" w:cs="Tahoma"/>
                <w:b/>
                <w:bCs/>
                <w:iCs/>
                <w:color w:val="243285"/>
                <w:sz w:val="44"/>
                <w:szCs w:val="44"/>
              </w:rPr>
            </w:pPr>
          </w:p>
          <w:p w:rsidR="0059671E" w:rsidRDefault="00FC6F85" w:rsidP="00BD4DF8">
            <w:pPr>
              <w:spacing w:before="80" w:line="500" w:lineRule="exact"/>
              <w:jc w:val="right"/>
              <w:rPr>
                <w:rFonts w:ascii="Tahoma" w:hAnsi="Tahoma" w:cs="Tahoma"/>
                <w:b/>
                <w:bCs/>
                <w:iCs/>
                <w:color w:val="243285"/>
                <w:sz w:val="44"/>
                <w:szCs w:val="44"/>
              </w:rPr>
            </w:pPr>
            <w:r w:rsidRPr="00FC6F85">
              <w:rPr>
                <w:rFonts w:ascii="Tahoma" w:hAnsi="Tahoma" w:cs="Tahoma"/>
                <w:b/>
                <w:bCs/>
                <w:iCs/>
                <w:color w:val="243285"/>
                <w:sz w:val="44"/>
                <w:szCs w:val="44"/>
                <w:lang w:val="fr-CH"/>
              </w:rPr>
              <w:t>Critères de brouillage cumulatif applicable</w:t>
            </w:r>
            <w:r w:rsidR="00BD4DF8">
              <w:rPr>
                <w:rFonts w:ascii="Tahoma" w:hAnsi="Tahoma" w:cs="Tahoma"/>
                <w:b/>
                <w:bCs/>
                <w:iCs/>
                <w:color w:val="243285"/>
                <w:sz w:val="44"/>
                <w:szCs w:val="44"/>
                <w:lang w:val="fr-CH"/>
              </w:rPr>
              <w:t xml:space="preserve">s aux systèmes de transmission </w:t>
            </w:r>
            <w:r w:rsidRPr="00FC6F85">
              <w:rPr>
                <w:rFonts w:ascii="Tahoma" w:hAnsi="Tahoma" w:cs="Tahoma"/>
                <w:b/>
                <w:bCs/>
                <w:iCs/>
                <w:color w:val="243285"/>
                <w:sz w:val="44"/>
                <w:szCs w:val="44"/>
                <w:lang w:val="fr-CH"/>
              </w:rPr>
              <w:t xml:space="preserve">de données </w:t>
            </w:r>
            <w:r w:rsidR="00BD4DF8">
              <w:rPr>
                <w:rFonts w:ascii="Tahoma" w:hAnsi="Tahoma" w:cs="Tahoma"/>
                <w:b/>
                <w:bCs/>
                <w:iCs/>
                <w:color w:val="243285"/>
                <w:sz w:val="44"/>
                <w:szCs w:val="44"/>
                <w:lang w:val="fr-CH"/>
              </w:rPr>
              <w:t>dans</w:t>
            </w:r>
            <w:r w:rsidRPr="00FC6F85">
              <w:rPr>
                <w:rFonts w:ascii="Tahoma" w:hAnsi="Tahoma" w:cs="Tahoma"/>
                <w:b/>
                <w:bCs/>
                <w:iCs/>
                <w:color w:val="243285"/>
                <w:sz w:val="44"/>
                <w:szCs w:val="44"/>
                <w:lang w:val="fr-CH"/>
              </w:rPr>
              <w:t xml:space="preserve"> </w:t>
            </w:r>
            <w:r w:rsidR="00BD4DF8">
              <w:rPr>
                <w:rFonts w:ascii="Tahoma" w:hAnsi="Tahoma" w:cs="Tahoma"/>
                <w:b/>
                <w:bCs/>
                <w:iCs/>
                <w:color w:val="243285"/>
                <w:sz w:val="44"/>
                <w:szCs w:val="44"/>
                <w:lang w:val="fr-CH"/>
              </w:rPr>
              <w:t xml:space="preserve">les services </w:t>
            </w:r>
            <w:r w:rsidRPr="00FC6F85">
              <w:rPr>
                <w:rFonts w:ascii="Tahoma" w:hAnsi="Tahoma" w:cs="Tahoma"/>
                <w:b/>
                <w:bCs/>
                <w:iCs/>
                <w:color w:val="243285"/>
                <w:sz w:val="44"/>
                <w:szCs w:val="44"/>
                <w:lang w:val="fr-CH"/>
              </w:rPr>
              <w:t>d</w:t>
            </w:r>
            <w:r w:rsidR="00E72493">
              <w:rPr>
                <w:rFonts w:ascii="Tahoma" w:hAnsi="Tahoma" w:cs="Tahoma"/>
                <w:b/>
                <w:bCs/>
                <w:iCs/>
                <w:color w:val="243285"/>
                <w:sz w:val="44"/>
                <w:szCs w:val="44"/>
                <w:lang w:val="fr-CH"/>
              </w:rPr>
              <w:t>'</w:t>
            </w:r>
            <w:r w:rsidRPr="00FC6F85">
              <w:rPr>
                <w:rFonts w:ascii="Tahoma" w:hAnsi="Tahoma" w:cs="Tahoma"/>
                <w:b/>
                <w:bCs/>
                <w:iCs/>
                <w:color w:val="243285"/>
                <w:sz w:val="44"/>
                <w:szCs w:val="44"/>
                <w:lang w:val="fr-CH"/>
              </w:rPr>
              <w:t xml:space="preserve">exploration de la Terre par satellite et de météorologie par </w:t>
            </w:r>
            <w:r w:rsidRPr="00FC6F85">
              <w:rPr>
                <w:rFonts w:ascii="Tahoma" w:hAnsi="Tahoma" w:cs="Tahoma"/>
                <w:b/>
                <w:bCs/>
                <w:iCs/>
                <w:color w:val="243285"/>
                <w:sz w:val="44"/>
                <w:szCs w:val="44"/>
                <w:lang w:val="fr-CH"/>
              </w:rPr>
              <w:br/>
              <w:t>satellite utilisant des satellites géostationnaires</w:t>
            </w:r>
          </w:p>
          <w:p w:rsidR="0059671E" w:rsidRPr="00F54FBD" w:rsidRDefault="0059671E" w:rsidP="00104891">
            <w:pPr>
              <w:spacing w:before="80" w:line="500" w:lineRule="exact"/>
              <w:jc w:val="right"/>
              <w:rPr>
                <w:rFonts w:ascii="Tahoma" w:hAnsi="Tahoma" w:cs="Tahoma"/>
                <w:b/>
                <w:bCs/>
                <w:iCs/>
                <w:color w:val="243285"/>
                <w:sz w:val="44"/>
                <w:szCs w:val="44"/>
              </w:rPr>
            </w:pPr>
          </w:p>
        </w:tc>
      </w:tr>
      <w:tr w:rsidR="0059671E" w:rsidRPr="00F54FBD" w:rsidTr="00104891">
        <w:tc>
          <w:tcPr>
            <w:tcW w:w="10089" w:type="dxa"/>
          </w:tcPr>
          <w:p w:rsidR="0059671E" w:rsidRPr="00F54FBD" w:rsidRDefault="0059671E" w:rsidP="00104891">
            <w:pPr>
              <w:spacing w:before="80" w:line="280" w:lineRule="exact"/>
              <w:ind w:right="640"/>
              <w:rPr>
                <w:rFonts w:ascii="Tahoma" w:hAnsi="Tahoma" w:cs="Tahoma"/>
                <w:b/>
                <w:bCs/>
                <w:iCs/>
                <w:color w:val="243285"/>
                <w:sz w:val="32"/>
                <w:szCs w:val="32"/>
              </w:rPr>
            </w:pPr>
          </w:p>
          <w:p w:rsidR="0059671E" w:rsidRPr="00F54FBD" w:rsidRDefault="0059671E" w:rsidP="00104891">
            <w:pPr>
              <w:spacing w:before="80" w:line="280" w:lineRule="exact"/>
              <w:ind w:right="640"/>
              <w:rPr>
                <w:rFonts w:ascii="Tahoma" w:hAnsi="Tahoma" w:cs="Tahoma"/>
                <w:b/>
                <w:bCs/>
                <w:iCs/>
                <w:color w:val="243285"/>
                <w:sz w:val="32"/>
                <w:szCs w:val="32"/>
              </w:rPr>
            </w:pPr>
          </w:p>
          <w:p w:rsidR="0059671E" w:rsidRPr="00F54FBD" w:rsidRDefault="0059671E" w:rsidP="00104891">
            <w:pPr>
              <w:spacing w:before="80" w:after="180" w:line="360" w:lineRule="exact"/>
              <w:ind w:right="720"/>
              <w:rPr>
                <w:rFonts w:ascii="Tahoma" w:hAnsi="Tahoma" w:cs="Tahoma"/>
                <w:b/>
                <w:bCs/>
                <w:iCs/>
                <w:color w:val="243285"/>
                <w:sz w:val="36"/>
                <w:szCs w:val="36"/>
              </w:rPr>
            </w:pPr>
          </w:p>
          <w:p w:rsidR="00FC6F85" w:rsidRPr="00FC6F85" w:rsidRDefault="00FC6F85" w:rsidP="00FC6F85">
            <w:pPr>
              <w:spacing w:before="80" w:line="420" w:lineRule="exact"/>
              <w:jc w:val="right"/>
              <w:rPr>
                <w:rFonts w:ascii="Tahoma" w:hAnsi="Tahoma" w:cs="Tahoma"/>
                <w:b/>
                <w:bCs/>
                <w:iCs/>
                <w:color w:val="243285"/>
                <w:sz w:val="36"/>
                <w:szCs w:val="36"/>
              </w:rPr>
            </w:pPr>
            <w:r w:rsidRPr="00FC6F85">
              <w:rPr>
                <w:rFonts w:ascii="Tahoma" w:hAnsi="Tahoma" w:cs="Tahoma"/>
                <w:b/>
                <w:bCs/>
                <w:iCs/>
                <w:color w:val="243285"/>
                <w:sz w:val="36"/>
                <w:szCs w:val="36"/>
              </w:rPr>
              <w:t>Série SA</w:t>
            </w:r>
          </w:p>
          <w:p w:rsidR="0059671E" w:rsidRPr="00F54FBD" w:rsidRDefault="00FC6F85" w:rsidP="00FC6F85">
            <w:pPr>
              <w:spacing w:before="80" w:line="420" w:lineRule="exact"/>
              <w:jc w:val="right"/>
              <w:rPr>
                <w:rFonts w:ascii="Tahoma" w:hAnsi="Tahoma" w:cs="Tahoma"/>
                <w:b/>
                <w:bCs/>
                <w:iCs/>
                <w:color w:val="243285"/>
                <w:sz w:val="36"/>
                <w:szCs w:val="36"/>
              </w:rPr>
            </w:pPr>
            <w:r w:rsidRPr="00FC6F85">
              <w:rPr>
                <w:rFonts w:ascii="Tahoma" w:hAnsi="Tahoma" w:cs="Tahoma"/>
                <w:b/>
                <w:bCs/>
                <w:iCs/>
                <w:color w:val="243285"/>
                <w:sz w:val="36"/>
                <w:szCs w:val="36"/>
              </w:rPr>
              <w:t>Applications spatiales et météorologie</w:t>
            </w:r>
          </w:p>
        </w:tc>
      </w:tr>
    </w:tbl>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pStyle w:val="Equation"/>
        <w:tabs>
          <w:tab w:val="clear" w:pos="4820"/>
          <w:tab w:val="clear" w:pos="9639"/>
          <w:tab w:val="left" w:pos="1191"/>
          <w:tab w:val="left" w:pos="1588"/>
          <w:tab w:val="left" w:pos="1985"/>
        </w:tabs>
        <w:rPr>
          <w:rFonts w:ascii="Palatino Linotype" w:hAnsi="Palatino Linotype"/>
        </w:rPr>
        <w:sectPr w:rsidR="0059671E" w:rsidRPr="00F54FBD">
          <w:headerReference w:type="even" r:id="rId7"/>
          <w:headerReference w:type="default" r:id="rId8"/>
          <w:pgSz w:w="11907" w:h="16840" w:code="9"/>
          <w:pgMar w:top="1089" w:right="1089" w:bottom="284" w:left="1089" w:header="567" w:footer="284" w:gutter="0"/>
          <w:pgNumType w:start="1"/>
          <w:cols w:space="720"/>
        </w:sectPr>
      </w:pPr>
    </w:p>
    <w:p w:rsidR="00FC6F85" w:rsidRPr="00F54FBD" w:rsidRDefault="00FC6F85" w:rsidP="00FC6F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C6F85" w:rsidRPr="00F54FBD" w:rsidRDefault="00FC6F85" w:rsidP="00FC6F85">
      <w:pPr>
        <w:spacing w:before="240"/>
        <w:rPr>
          <w:sz w:val="20"/>
        </w:rPr>
      </w:pPr>
      <w:r w:rsidRPr="00F54FBD">
        <w:rPr>
          <w:sz w:val="20"/>
        </w:rPr>
        <w:t>Le rôle du Secteur des radiocommunications est d</w:t>
      </w:r>
      <w:r w:rsidR="00E72493">
        <w:rPr>
          <w:sz w:val="20"/>
        </w:rPr>
        <w:t>'</w:t>
      </w:r>
      <w:r w:rsidRPr="00F54FBD">
        <w:rPr>
          <w:sz w:val="20"/>
        </w:rPr>
        <w:t>assurer l</w:t>
      </w:r>
      <w:r w:rsidR="00E72493">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C6F85" w:rsidRPr="00F54FBD" w:rsidRDefault="00FC6F85" w:rsidP="00FC6F8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E72493">
        <w:rPr>
          <w:sz w:val="20"/>
        </w:rPr>
        <w:t>'</w:t>
      </w:r>
      <w:r>
        <w:rPr>
          <w:sz w:val="20"/>
        </w:rPr>
        <w:t>études.</w:t>
      </w:r>
    </w:p>
    <w:p w:rsidR="00FC6F85" w:rsidRPr="00E44CBB" w:rsidRDefault="00FC6F85" w:rsidP="00FC6F8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C6F85" w:rsidRPr="00E44CBB" w:rsidRDefault="00FC6F85" w:rsidP="00FC6F85">
      <w:pPr>
        <w:spacing w:before="240"/>
        <w:rPr>
          <w:sz w:val="20"/>
          <w:lang w:val="fr-CH"/>
        </w:rPr>
      </w:pPr>
      <w:r w:rsidRPr="00E44CBB">
        <w:rPr>
          <w:sz w:val="20"/>
        </w:rPr>
        <w:t>La politique de l</w:t>
      </w:r>
      <w:r w:rsidR="00E72493">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E72493">
        <w:rPr>
          <w:sz w:val="20"/>
          <w:lang w:val="fr-CH"/>
        </w:rPr>
        <w:t>'</w:t>
      </w:r>
      <w:r w:rsidRPr="00E44CBB">
        <w:rPr>
          <w:sz w:val="20"/>
          <w:lang w:val="fr-CH"/>
        </w:rPr>
        <w:t>UIT</w:t>
      </w:r>
      <w:r w:rsidRPr="00E44CBB">
        <w:rPr>
          <w:sz w:val="20"/>
          <w:lang w:val="fr-CH"/>
        </w:rPr>
        <w:noBreakHyphen/>
        <w:t>T, l</w:t>
      </w:r>
      <w:r w:rsidR="00E72493">
        <w:rPr>
          <w:sz w:val="20"/>
          <w:lang w:val="fr-CH"/>
        </w:rPr>
        <w:t>'</w:t>
      </w:r>
      <w:r w:rsidRPr="00E44CBB">
        <w:rPr>
          <w:sz w:val="20"/>
          <w:lang w:val="fr-CH"/>
        </w:rPr>
        <w:t>UIT</w:t>
      </w:r>
      <w:r w:rsidRPr="00E44CBB">
        <w:rPr>
          <w:sz w:val="20"/>
          <w:lang w:val="fr-CH"/>
        </w:rPr>
        <w:noBreakHyphen/>
        <w:t>R, l</w:t>
      </w:r>
      <w:r w:rsidR="00E72493">
        <w:rPr>
          <w:sz w:val="20"/>
          <w:lang w:val="fr-CH"/>
        </w:rPr>
        <w:t>'</w:t>
      </w:r>
      <w:r w:rsidRPr="00E44CBB">
        <w:rPr>
          <w:sz w:val="20"/>
          <w:lang w:val="fr-CH"/>
        </w:rPr>
        <w:t>ISO et la CEI en matière de brevets», dont il est question dans l</w:t>
      </w:r>
      <w:r w:rsidR="00E72493">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E72493">
        <w:rPr>
          <w:sz w:val="20"/>
        </w:rPr>
        <w:t>'</w:t>
      </w:r>
      <w:r w:rsidRPr="00E44CBB">
        <w:rPr>
          <w:sz w:val="20"/>
        </w:rPr>
        <w:t>octroi de licence sont accessibles à l</w:t>
      </w:r>
      <w:r w:rsidR="00E72493">
        <w:rPr>
          <w:sz w:val="20"/>
        </w:rPr>
        <w:t>'</w:t>
      </w:r>
      <w:r w:rsidRPr="00E44CBB">
        <w:rPr>
          <w:sz w:val="20"/>
        </w:rPr>
        <w:t xml:space="preserve">adresse </w:t>
      </w:r>
      <w:hyperlink r:id="rId9" w:history="1">
        <w:r w:rsidRPr="00E44CBB">
          <w:rPr>
            <w:rStyle w:val="Hyperlink"/>
            <w:sz w:val="20"/>
          </w:rPr>
          <w:t>http://www.itu.int/ITU-R/go/patents/fr</w:t>
        </w:r>
      </w:hyperlink>
      <w:r w:rsidRPr="00E44CBB">
        <w:rPr>
          <w:sz w:val="20"/>
        </w:rPr>
        <w:t>, où l</w:t>
      </w:r>
      <w:r w:rsidR="00E72493">
        <w:rPr>
          <w:sz w:val="20"/>
        </w:rPr>
        <w:t>'</w:t>
      </w:r>
      <w:r w:rsidRPr="00E44CBB">
        <w:rPr>
          <w:sz w:val="20"/>
        </w:rPr>
        <w:t>on trouvera également les Lignes directrices pour la mise en oeuvre de la politique commune en matière de brevets de l</w:t>
      </w:r>
      <w:r w:rsidR="00E72493">
        <w:rPr>
          <w:sz w:val="20"/>
        </w:rPr>
        <w:t>'</w:t>
      </w:r>
      <w:r w:rsidRPr="00E44CBB">
        <w:rPr>
          <w:sz w:val="20"/>
        </w:rPr>
        <w:t>UIT</w:t>
      </w:r>
      <w:r w:rsidRPr="00E44CBB">
        <w:rPr>
          <w:sz w:val="20"/>
        </w:rPr>
        <w:noBreakHyphen/>
        <w:t>T, l</w:t>
      </w:r>
      <w:r w:rsidR="00E72493">
        <w:rPr>
          <w:sz w:val="20"/>
        </w:rPr>
        <w:t>'</w:t>
      </w:r>
      <w:r w:rsidRPr="00E44CBB">
        <w:rPr>
          <w:sz w:val="20"/>
        </w:rPr>
        <w:t>UIT</w:t>
      </w:r>
      <w:r w:rsidRPr="00E44CBB">
        <w:rPr>
          <w:sz w:val="20"/>
        </w:rPr>
        <w:noBreakHyphen/>
        <w:t>R, l</w:t>
      </w:r>
      <w:r w:rsidR="00E72493">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E72493">
        <w:rPr>
          <w:sz w:val="20"/>
        </w:rPr>
        <w:t>'</w:t>
      </w:r>
      <w:r w:rsidRPr="00E44CBB">
        <w:rPr>
          <w:sz w:val="20"/>
        </w:rPr>
        <w:t>UIT-R.</w:t>
      </w:r>
    </w:p>
    <w:p w:rsidR="00FC6F85" w:rsidRPr="0086089D" w:rsidRDefault="00FC6F85" w:rsidP="00FC6F8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C6F85" w:rsidRPr="009454F8" w:rsidTr="00104891">
        <w:tc>
          <w:tcPr>
            <w:tcW w:w="9360" w:type="dxa"/>
            <w:gridSpan w:val="2"/>
          </w:tcPr>
          <w:p w:rsidR="00FC6F85" w:rsidRPr="009454F8" w:rsidRDefault="00FC6F85" w:rsidP="0010489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C6F85" w:rsidRPr="009454F8"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C6F85" w:rsidRPr="00036EE3" w:rsidTr="00104891">
        <w:tc>
          <w:tcPr>
            <w:tcW w:w="1140" w:type="dxa"/>
            <w:tcBorders>
              <w:bottom w:val="nil"/>
            </w:tcBorders>
          </w:tcPr>
          <w:p w:rsidR="00FC6F85" w:rsidRPr="00614CC6" w:rsidRDefault="00FC6F85" w:rsidP="00104891">
            <w:pPr>
              <w:spacing w:before="90" w:after="100"/>
              <w:ind w:left="57"/>
              <w:rPr>
                <w:b/>
                <w:bCs/>
                <w:sz w:val="20"/>
                <w:lang w:val="en-US"/>
              </w:rPr>
            </w:pPr>
            <w:r w:rsidRPr="00614CC6">
              <w:rPr>
                <w:b/>
                <w:bCs/>
                <w:sz w:val="20"/>
                <w:lang w:val="en-US"/>
              </w:rPr>
              <w:t>Séries</w:t>
            </w:r>
          </w:p>
        </w:tc>
        <w:tc>
          <w:tcPr>
            <w:tcW w:w="8220" w:type="dxa"/>
            <w:tcBorders>
              <w:bottom w:val="nil"/>
            </w:tcBorders>
          </w:tcPr>
          <w:p w:rsidR="00FC6F85" w:rsidRPr="00614CC6"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C6F85" w:rsidRPr="005E427C" w:rsidTr="00104891">
        <w:tc>
          <w:tcPr>
            <w:tcW w:w="1140" w:type="dxa"/>
            <w:tcBorders>
              <w:top w:val="nil"/>
              <w:bottom w:val="nil"/>
            </w:tcBorders>
            <w:shd w:val="clear" w:color="auto" w:fill="auto"/>
          </w:tcPr>
          <w:p w:rsidR="00FC6F85" w:rsidRPr="005E427C" w:rsidRDefault="00FC6F85" w:rsidP="0010489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C6F85" w:rsidRPr="005E427C"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C6F85" w:rsidRPr="009454F8" w:rsidTr="00104891">
        <w:tc>
          <w:tcPr>
            <w:tcW w:w="1140" w:type="dxa"/>
            <w:tcBorders>
              <w:top w:val="nil"/>
              <w:bottom w:val="nil"/>
            </w:tcBorders>
          </w:tcPr>
          <w:p w:rsidR="00FC6F85" w:rsidRPr="00614CC6" w:rsidRDefault="00FC6F85" w:rsidP="0010489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C6F85" w:rsidRPr="00614CC6"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E72493">
              <w:rPr>
                <w:b w:val="0"/>
                <w:bCs/>
                <w:sz w:val="20"/>
              </w:rPr>
              <w:t>'</w:t>
            </w:r>
            <w:r w:rsidRPr="00614CC6">
              <w:rPr>
                <w:b w:val="0"/>
                <w:bCs/>
                <w:sz w:val="20"/>
              </w:rPr>
              <w:t>archivage et la diffusion; films pour la télévision</w:t>
            </w:r>
          </w:p>
        </w:tc>
      </w:tr>
      <w:tr w:rsidR="00FC6F85" w:rsidRPr="00E80F1D" w:rsidTr="00104891">
        <w:tc>
          <w:tcPr>
            <w:tcW w:w="1140" w:type="dxa"/>
            <w:tcBorders>
              <w:top w:val="nil"/>
              <w:bottom w:val="nil"/>
            </w:tcBorders>
            <w:shd w:val="clear" w:color="auto" w:fill="auto"/>
          </w:tcPr>
          <w:p w:rsidR="00FC6F85" w:rsidRPr="00E80F1D" w:rsidRDefault="00FC6F85" w:rsidP="0010489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C6F85" w:rsidRPr="00E80F1D"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C6F85" w:rsidRPr="00ED2695" w:rsidTr="00104891">
        <w:tc>
          <w:tcPr>
            <w:tcW w:w="1140" w:type="dxa"/>
            <w:tcBorders>
              <w:top w:val="nil"/>
              <w:bottom w:val="nil"/>
            </w:tcBorders>
            <w:shd w:val="clear" w:color="auto" w:fill="auto"/>
          </w:tcPr>
          <w:p w:rsidR="00FC6F85" w:rsidRPr="00614CC6" w:rsidRDefault="00FC6F85" w:rsidP="0010489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C6F85" w:rsidRPr="00614CC6"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C6F85" w:rsidRPr="00DE5EA2" w:rsidTr="00104891">
        <w:tc>
          <w:tcPr>
            <w:tcW w:w="1140" w:type="dxa"/>
            <w:tcBorders>
              <w:top w:val="nil"/>
              <w:bottom w:val="nil"/>
            </w:tcBorders>
            <w:shd w:val="clear" w:color="auto" w:fill="auto"/>
          </w:tcPr>
          <w:p w:rsidR="00FC6F85" w:rsidRPr="00DE5EA2" w:rsidRDefault="00FC6F85" w:rsidP="0010489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C6F85" w:rsidRPr="00DE5EA2" w:rsidRDefault="00FC6F85" w:rsidP="001048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C6F85" w:rsidRPr="00B21066" w:rsidTr="00104891">
        <w:tc>
          <w:tcPr>
            <w:tcW w:w="1140" w:type="dxa"/>
            <w:tcBorders>
              <w:top w:val="nil"/>
              <w:bottom w:val="nil"/>
            </w:tcBorders>
            <w:shd w:val="clear" w:color="auto" w:fill="auto"/>
          </w:tcPr>
          <w:p w:rsidR="00FC6F85" w:rsidRPr="00B21066" w:rsidRDefault="00FC6F85" w:rsidP="0010489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C6F85" w:rsidRPr="00B21066" w:rsidRDefault="00FC6F85" w:rsidP="001048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E72493">
              <w:rPr>
                <w:b w:val="0"/>
                <w:sz w:val="20"/>
              </w:rPr>
              <w:t>'</w:t>
            </w:r>
            <w:r w:rsidRPr="00B21066">
              <w:rPr>
                <w:b w:val="0"/>
                <w:sz w:val="20"/>
              </w:rPr>
              <w:t>amateur y compris les services par satellite associés</w:t>
            </w:r>
          </w:p>
        </w:tc>
      </w:tr>
      <w:tr w:rsidR="00FC6F85" w:rsidRPr="00EC361D" w:rsidTr="00104891">
        <w:tc>
          <w:tcPr>
            <w:tcW w:w="1140" w:type="dxa"/>
            <w:tcBorders>
              <w:top w:val="nil"/>
              <w:bottom w:val="nil"/>
            </w:tcBorders>
            <w:shd w:val="clear" w:color="auto" w:fill="auto"/>
          </w:tcPr>
          <w:p w:rsidR="00FC6F85" w:rsidRPr="00EC361D" w:rsidRDefault="00FC6F85" w:rsidP="0010489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C6F85" w:rsidRPr="00EC361D" w:rsidRDefault="00FC6F85" w:rsidP="00104891">
            <w:pPr>
              <w:spacing w:before="30" w:after="30"/>
              <w:jc w:val="left"/>
              <w:rPr>
                <w:sz w:val="20"/>
                <w:lang w:val="fr-CH"/>
              </w:rPr>
            </w:pPr>
            <w:r w:rsidRPr="00EC361D">
              <w:rPr>
                <w:sz w:val="20"/>
              </w:rPr>
              <w:t>Propagation des ondes radioélectriques</w:t>
            </w:r>
          </w:p>
        </w:tc>
      </w:tr>
      <w:tr w:rsidR="00FC6F85" w:rsidRPr="004822EF" w:rsidTr="00104891">
        <w:tc>
          <w:tcPr>
            <w:tcW w:w="1140" w:type="dxa"/>
            <w:tcBorders>
              <w:top w:val="nil"/>
              <w:bottom w:val="nil"/>
            </w:tcBorders>
            <w:shd w:val="clear" w:color="auto" w:fill="auto"/>
          </w:tcPr>
          <w:p w:rsidR="00FC6F85" w:rsidRPr="004822EF" w:rsidRDefault="00FC6F85" w:rsidP="0010489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C6F85" w:rsidRPr="004822EF" w:rsidRDefault="00FC6F85" w:rsidP="001048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C6F85" w:rsidRPr="00326525" w:rsidTr="00104891">
        <w:tc>
          <w:tcPr>
            <w:tcW w:w="1140" w:type="dxa"/>
            <w:tcBorders>
              <w:top w:val="nil"/>
              <w:bottom w:val="nil"/>
            </w:tcBorders>
            <w:shd w:val="clear" w:color="auto" w:fill="auto"/>
          </w:tcPr>
          <w:p w:rsidR="00FC6F85" w:rsidRPr="00326525" w:rsidRDefault="00FC6F85" w:rsidP="0010489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C6F85" w:rsidRPr="00326525" w:rsidRDefault="00FC6F85" w:rsidP="001048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C6F85" w:rsidRPr="00C40D3E" w:rsidTr="00104891">
        <w:tc>
          <w:tcPr>
            <w:tcW w:w="1140" w:type="dxa"/>
            <w:tcBorders>
              <w:top w:val="nil"/>
              <w:bottom w:val="nil"/>
            </w:tcBorders>
            <w:shd w:val="clear" w:color="auto" w:fill="auto"/>
          </w:tcPr>
          <w:p w:rsidR="00FC6F85" w:rsidRPr="00C40D3E" w:rsidRDefault="00FC6F85" w:rsidP="00104891">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C6F85" w:rsidRPr="00C40D3E" w:rsidRDefault="00FC6F85" w:rsidP="00104891">
            <w:pPr>
              <w:spacing w:before="30" w:after="30"/>
              <w:jc w:val="left"/>
              <w:rPr>
                <w:sz w:val="20"/>
                <w:lang w:val="en-US"/>
              </w:rPr>
            </w:pPr>
            <w:r w:rsidRPr="00C40D3E">
              <w:rPr>
                <w:sz w:val="20"/>
              </w:rPr>
              <w:t>Service fixe par satellite</w:t>
            </w:r>
          </w:p>
        </w:tc>
      </w:tr>
      <w:tr w:rsidR="00FC6F85" w:rsidRPr="00C40D3E" w:rsidTr="00104891">
        <w:tc>
          <w:tcPr>
            <w:tcW w:w="1140" w:type="dxa"/>
            <w:tcBorders>
              <w:top w:val="nil"/>
              <w:bottom w:val="nil"/>
            </w:tcBorders>
            <w:shd w:val="clear" w:color="auto" w:fill="F3F3F3"/>
          </w:tcPr>
          <w:p w:rsidR="00FC6F85" w:rsidRPr="00C40D3E" w:rsidRDefault="00FC6F85" w:rsidP="00104891">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FC6F85" w:rsidRPr="00C40D3E" w:rsidRDefault="00FC6F85" w:rsidP="00104891">
            <w:pPr>
              <w:spacing w:before="30" w:after="30"/>
              <w:jc w:val="left"/>
              <w:rPr>
                <w:b/>
                <w:bCs/>
                <w:color w:val="000080"/>
                <w:sz w:val="20"/>
                <w:lang w:val="en-US"/>
              </w:rPr>
            </w:pPr>
            <w:r w:rsidRPr="00C40D3E">
              <w:rPr>
                <w:b/>
                <w:bCs/>
                <w:color w:val="000080"/>
                <w:sz w:val="20"/>
              </w:rPr>
              <w:t>Applications spatiales et météorologie</w:t>
            </w:r>
          </w:p>
        </w:tc>
      </w:tr>
      <w:tr w:rsidR="00FC6F85" w:rsidRPr="00614CC6" w:rsidTr="00104891">
        <w:tc>
          <w:tcPr>
            <w:tcW w:w="1140" w:type="dxa"/>
            <w:tcBorders>
              <w:top w:val="nil"/>
            </w:tcBorders>
          </w:tcPr>
          <w:p w:rsidR="00FC6F85" w:rsidRPr="00614CC6" w:rsidRDefault="00FC6F85" w:rsidP="00104891">
            <w:pPr>
              <w:spacing w:before="30" w:after="30"/>
              <w:ind w:left="57"/>
              <w:jc w:val="left"/>
              <w:rPr>
                <w:b/>
                <w:bCs/>
                <w:sz w:val="20"/>
                <w:lang w:val="en-US"/>
              </w:rPr>
            </w:pPr>
            <w:r w:rsidRPr="00614CC6">
              <w:rPr>
                <w:b/>
                <w:bCs/>
                <w:sz w:val="20"/>
                <w:lang w:val="en-US"/>
              </w:rPr>
              <w:t>SF</w:t>
            </w:r>
          </w:p>
        </w:tc>
        <w:tc>
          <w:tcPr>
            <w:tcW w:w="8220" w:type="dxa"/>
            <w:tcBorders>
              <w:top w:val="nil"/>
            </w:tcBorders>
          </w:tcPr>
          <w:p w:rsidR="00FC6F85" w:rsidRPr="00614CC6" w:rsidRDefault="00FC6F85" w:rsidP="00104891">
            <w:pPr>
              <w:spacing w:before="30" w:after="30"/>
              <w:jc w:val="left"/>
              <w:rPr>
                <w:sz w:val="20"/>
              </w:rPr>
            </w:pPr>
            <w:r w:rsidRPr="00614CC6">
              <w:rPr>
                <w:sz w:val="20"/>
              </w:rPr>
              <w:t>Partage des fréquences et coordination entre les systèmes du service fixe par satellite et du service fixe</w:t>
            </w:r>
          </w:p>
        </w:tc>
      </w:tr>
      <w:tr w:rsidR="00FC6F85" w:rsidRPr="00036EE3" w:rsidTr="00104891">
        <w:tc>
          <w:tcPr>
            <w:tcW w:w="1140" w:type="dxa"/>
            <w:shd w:val="clear" w:color="auto" w:fill="auto"/>
          </w:tcPr>
          <w:p w:rsidR="00FC6F85" w:rsidRPr="00592F9F" w:rsidRDefault="00FC6F85" w:rsidP="00104891">
            <w:pPr>
              <w:spacing w:before="30" w:after="30"/>
              <w:ind w:left="57"/>
              <w:jc w:val="left"/>
              <w:rPr>
                <w:b/>
                <w:bCs/>
                <w:sz w:val="20"/>
                <w:lang w:val="en-US"/>
              </w:rPr>
            </w:pPr>
            <w:r w:rsidRPr="00592F9F">
              <w:rPr>
                <w:b/>
                <w:bCs/>
                <w:sz w:val="20"/>
                <w:lang w:val="en-US"/>
              </w:rPr>
              <w:t>SM</w:t>
            </w:r>
          </w:p>
        </w:tc>
        <w:tc>
          <w:tcPr>
            <w:tcW w:w="8220" w:type="dxa"/>
            <w:shd w:val="clear" w:color="auto" w:fill="auto"/>
          </w:tcPr>
          <w:p w:rsidR="00FC6F85" w:rsidRPr="00592F9F" w:rsidRDefault="00FC6F85" w:rsidP="00104891">
            <w:pPr>
              <w:spacing w:before="30" w:after="30"/>
              <w:jc w:val="left"/>
              <w:rPr>
                <w:sz w:val="20"/>
                <w:lang w:val="en-US"/>
              </w:rPr>
            </w:pPr>
            <w:r w:rsidRPr="00592F9F">
              <w:rPr>
                <w:sz w:val="20"/>
              </w:rPr>
              <w:t>Gestion du spectre</w:t>
            </w:r>
          </w:p>
        </w:tc>
      </w:tr>
      <w:tr w:rsidR="00FC6F85" w:rsidRPr="00036EE3" w:rsidTr="00104891">
        <w:tc>
          <w:tcPr>
            <w:tcW w:w="1140" w:type="dxa"/>
          </w:tcPr>
          <w:p w:rsidR="00FC6F85" w:rsidRPr="00614CC6" w:rsidRDefault="00FC6F85" w:rsidP="00104891">
            <w:pPr>
              <w:spacing w:before="30" w:after="30"/>
              <w:ind w:left="57"/>
              <w:jc w:val="left"/>
              <w:rPr>
                <w:b/>
                <w:bCs/>
                <w:sz w:val="20"/>
                <w:lang w:val="en-US"/>
              </w:rPr>
            </w:pPr>
            <w:r w:rsidRPr="00614CC6">
              <w:rPr>
                <w:b/>
                <w:bCs/>
                <w:sz w:val="20"/>
                <w:lang w:val="en-US"/>
              </w:rPr>
              <w:t>SNG</w:t>
            </w:r>
          </w:p>
        </w:tc>
        <w:tc>
          <w:tcPr>
            <w:tcW w:w="8220" w:type="dxa"/>
          </w:tcPr>
          <w:p w:rsidR="00FC6F85" w:rsidRPr="00614CC6" w:rsidRDefault="00FC6F85" w:rsidP="00104891">
            <w:pPr>
              <w:spacing w:before="30" w:after="30"/>
              <w:jc w:val="left"/>
              <w:rPr>
                <w:sz w:val="20"/>
                <w:lang w:val="en-US"/>
              </w:rPr>
            </w:pPr>
            <w:r w:rsidRPr="00614CC6">
              <w:rPr>
                <w:sz w:val="20"/>
              </w:rPr>
              <w:t>Reportage d</w:t>
            </w:r>
            <w:r w:rsidR="00E72493">
              <w:rPr>
                <w:sz w:val="20"/>
              </w:rPr>
              <w:t>'</w:t>
            </w:r>
            <w:r w:rsidRPr="00614CC6">
              <w:rPr>
                <w:sz w:val="20"/>
              </w:rPr>
              <w:t>actualités par satellite</w:t>
            </w:r>
          </w:p>
        </w:tc>
      </w:tr>
      <w:tr w:rsidR="00FC6F85" w:rsidRPr="00614CC6" w:rsidTr="00104891">
        <w:tc>
          <w:tcPr>
            <w:tcW w:w="1140" w:type="dxa"/>
          </w:tcPr>
          <w:p w:rsidR="00FC6F85" w:rsidRPr="00614CC6" w:rsidRDefault="00FC6F85" w:rsidP="00104891">
            <w:pPr>
              <w:spacing w:before="30" w:after="30"/>
              <w:ind w:left="57"/>
              <w:jc w:val="left"/>
              <w:rPr>
                <w:b/>
                <w:bCs/>
                <w:sz w:val="20"/>
                <w:lang w:val="en-US"/>
              </w:rPr>
            </w:pPr>
            <w:r w:rsidRPr="00614CC6">
              <w:rPr>
                <w:b/>
                <w:bCs/>
                <w:sz w:val="20"/>
                <w:lang w:val="en-US"/>
              </w:rPr>
              <w:t>TF</w:t>
            </w:r>
          </w:p>
        </w:tc>
        <w:tc>
          <w:tcPr>
            <w:tcW w:w="8220" w:type="dxa"/>
          </w:tcPr>
          <w:p w:rsidR="00FC6F85" w:rsidRPr="00614CC6" w:rsidRDefault="00FC6F85" w:rsidP="00104891">
            <w:pPr>
              <w:spacing w:before="30" w:after="30"/>
              <w:jc w:val="left"/>
              <w:rPr>
                <w:sz w:val="20"/>
              </w:rPr>
            </w:pPr>
            <w:r w:rsidRPr="00614CC6">
              <w:rPr>
                <w:sz w:val="20"/>
              </w:rPr>
              <w:t>Emissions de fréquences étalon et de signaux horaires</w:t>
            </w:r>
          </w:p>
        </w:tc>
      </w:tr>
      <w:tr w:rsidR="00FC6F85" w:rsidRPr="00036EE3" w:rsidTr="00104891">
        <w:tc>
          <w:tcPr>
            <w:tcW w:w="1140" w:type="dxa"/>
          </w:tcPr>
          <w:p w:rsidR="00FC6F85" w:rsidRPr="00614CC6" w:rsidRDefault="00FC6F85" w:rsidP="00104891">
            <w:pPr>
              <w:spacing w:before="30" w:after="30"/>
              <w:ind w:left="57"/>
              <w:jc w:val="left"/>
              <w:rPr>
                <w:b/>
                <w:bCs/>
                <w:sz w:val="20"/>
                <w:lang w:val="en-US"/>
              </w:rPr>
            </w:pPr>
            <w:r w:rsidRPr="00614CC6">
              <w:rPr>
                <w:b/>
                <w:bCs/>
                <w:sz w:val="20"/>
                <w:lang w:val="en-US"/>
              </w:rPr>
              <w:t>V</w:t>
            </w:r>
          </w:p>
        </w:tc>
        <w:tc>
          <w:tcPr>
            <w:tcW w:w="8220" w:type="dxa"/>
          </w:tcPr>
          <w:p w:rsidR="00FC6F85" w:rsidRPr="00614CC6" w:rsidRDefault="00FC6F85" w:rsidP="00104891">
            <w:pPr>
              <w:spacing w:before="30" w:after="140"/>
              <w:jc w:val="left"/>
              <w:rPr>
                <w:sz w:val="20"/>
                <w:lang w:val="en-US"/>
              </w:rPr>
            </w:pPr>
            <w:r w:rsidRPr="00614CC6">
              <w:rPr>
                <w:sz w:val="20"/>
              </w:rPr>
              <w:t>Vocabulaire et sujets associés</w:t>
            </w:r>
          </w:p>
        </w:tc>
      </w:tr>
    </w:tbl>
    <w:p w:rsidR="00FC6F85" w:rsidRPr="00036EE3" w:rsidRDefault="00FC6F85" w:rsidP="00FC6F85">
      <w:pPr>
        <w:spacing w:before="0"/>
        <w:jc w:val="center"/>
        <w:rPr>
          <w:sz w:val="20"/>
          <w:lang w:val="en-US"/>
        </w:rPr>
      </w:pPr>
    </w:p>
    <w:p w:rsidR="00FC6F85" w:rsidRPr="00036EE3" w:rsidRDefault="00FC6F85" w:rsidP="00FC6F8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C6F85" w:rsidRPr="00756B4D" w:rsidTr="00104891">
        <w:tc>
          <w:tcPr>
            <w:tcW w:w="9360" w:type="dxa"/>
          </w:tcPr>
          <w:p w:rsidR="00FC6F85" w:rsidRPr="00756B4D" w:rsidRDefault="00FC6F85" w:rsidP="0010489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C6F85" w:rsidRPr="00756B4D" w:rsidRDefault="00FC6F85" w:rsidP="00FC6F85">
      <w:pPr>
        <w:spacing w:before="0"/>
        <w:jc w:val="center"/>
        <w:rPr>
          <w:sz w:val="22"/>
        </w:rPr>
      </w:pPr>
    </w:p>
    <w:p w:rsidR="00FC6F85" w:rsidRPr="00614CC6" w:rsidRDefault="00FC6F85" w:rsidP="00FC6F85">
      <w:pPr>
        <w:spacing w:before="100"/>
        <w:jc w:val="right"/>
        <w:rPr>
          <w:i/>
          <w:iCs/>
          <w:sz w:val="20"/>
        </w:rPr>
      </w:pPr>
      <w:r w:rsidRPr="00614CC6">
        <w:rPr>
          <w:i/>
          <w:iCs/>
          <w:sz w:val="20"/>
        </w:rPr>
        <w:t>Publication électronique</w:t>
      </w:r>
    </w:p>
    <w:p w:rsidR="00FC6F85" w:rsidRPr="00614CC6" w:rsidRDefault="00FC6F85" w:rsidP="00FC6F85">
      <w:pPr>
        <w:spacing w:before="0"/>
        <w:jc w:val="right"/>
        <w:rPr>
          <w:sz w:val="20"/>
        </w:rPr>
      </w:pPr>
      <w:r w:rsidRPr="00614CC6">
        <w:rPr>
          <w:sz w:val="20"/>
        </w:rPr>
        <w:t>Genève, 20</w:t>
      </w:r>
      <w:r w:rsidR="00F14C92">
        <w:rPr>
          <w:sz w:val="20"/>
        </w:rPr>
        <w:t>18</w:t>
      </w:r>
    </w:p>
    <w:p w:rsidR="00FC6F85" w:rsidRPr="00614CC6" w:rsidRDefault="00FC6F85">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F14C92">
        <w:rPr>
          <w:sz w:val="20"/>
        </w:rPr>
        <w:t>18</w:t>
      </w:r>
    </w:p>
    <w:p w:rsidR="00FC6F85" w:rsidRPr="00614CC6" w:rsidRDefault="00FC6F85" w:rsidP="00FC6F8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E72493">
        <w:rPr>
          <w:sz w:val="18"/>
          <w:szCs w:val="18"/>
        </w:rPr>
        <w:t>'</w:t>
      </w:r>
      <w:r>
        <w:rPr>
          <w:sz w:val="18"/>
          <w:szCs w:val="18"/>
        </w:rPr>
        <w:t>accord écrit préalable de l</w:t>
      </w:r>
      <w:r w:rsidR="00E72493">
        <w:rPr>
          <w:sz w:val="18"/>
          <w:szCs w:val="18"/>
        </w:rPr>
        <w:t>'</w:t>
      </w:r>
      <w:r>
        <w:rPr>
          <w:sz w:val="18"/>
          <w:szCs w:val="18"/>
        </w:rPr>
        <w:t>UIT</w:t>
      </w:r>
      <w:r w:rsidRPr="00614CC6">
        <w:rPr>
          <w:sz w:val="18"/>
          <w:szCs w:val="18"/>
        </w:rPr>
        <w:t>.</w:t>
      </w:r>
    </w:p>
    <w:p w:rsidR="0059671E" w:rsidRPr="00614CC6" w:rsidRDefault="0059671E" w:rsidP="0059671E">
      <w:pPr>
        <w:spacing w:before="160"/>
        <w:rPr>
          <w:i/>
          <w:sz w:val="20"/>
          <w:highlight w:val="yellow"/>
        </w:rPr>
        <w:sectPr w:rsidR="0059671E" w:rsidRPr="00614CC6" w:rsidSect="002737A3">
          <w:headerReference w:type="even" r:id="rId11"/>
          <w:headerReference w:type="default" r:id="rId12"/>
          <w:pgSz w:w="11907" w:h="16834" w:code="9"/>
          <w:pgMar w:top="1418" w:right="1134" w:bottom="1134" w:left="1134" w:header="720" w:footer="482" w:gutter="0"/>
          <w:pgNumType w:fmt="lowerRoman" w:start="2"/>
          <w:cols w:space="720"/>
          <w:docGrid w:linePitch="326"/>
        </w:sectPr>
      </w:pPr>
    </w:p>
    <w:p w:rsidR="002C0E9C" w:rsidRPr="00AA4FBF" w:rsidRDefault="002C0E9C" w:rsidP="002C0E9C">
      <w:pPr>
        <w:pStyle w:val="RecNo"/>
        <w:spacing w:before="0"/>
        <w:rPr>
          <w:lang w:val="fr-CH"/>
        </w:rPr>
      </w:pPr>
      <w:bookmarkStart w:id="4" w:name="irecnoe"/>
      <w:bookmarkEnd w:id="4"/>
      <w:r w:rsidRPr="00AA4FBF">
        <w:rPr>
          <w:lang w:val="fr-CH"/>
        </w:rPr>
        <w:lastRenderedPageBreak/>
        <w:t xml:space="preserve">RECOMMANDATION  </w:t>
      </w:r>
      <w:r w:rsidRPr="00AA4FBF">
        <w:rPr>
          <w:rStyle w:val="href"/>
          <w:lang w:val="fr-CH"/>
        </w:rPr>
        <w:t>UIT-R  SA.1160-3</w:t>
      </w:r>
    </w:p>
    <w:p w:rsidR="002C0E9C" w:rsidRPr="00AA4FBF" w:rsidRDefault="002C0E9C" w:rsidP="00BD4DF8">
      <w:pPr>
        <w:pStyle w:val="Rectitle"/>
        <w:rPr>
          <w:rFonts w:asciiTheme="majorBidi" w:hAnsiTheme="majorBidi" w:cstheme="majorBidi"/>
          <w:szCs w:val="28"/>
          <w:lang w:val="fr-CH"/>
        </w:rPr>
      </w:pPr>
      <w:r w:rsidRPr="00BD4DF8">
        <w:t>Critères de brouillage cumulatif applicables aux systèmes de transmission de données dans les services d</w:t>
      </w:r>
      <w:r w:rsidR="00E72493">
        <w:t>'</w:t>
      </w:r>
      <w:r w:rsidRPr="00BD4DF8">
        <w:t>exploration de la Terre par satellite et de météorologie par satellite utilisant des satellites géostationnaires</w:t>
      </w:r>
    </w:p>
    <w:p w:rsidR="002C0E9C" w:rsidRPr="00AA4FBF" w:rsidRDefault="002C0E9C" w:rsidP="002C0E9C">
      <w:pPr>
        <w:pStyle w:val="Questionref"/>
        <w:rPr>
          <w:lang w:val="fr-CH"/>
        </w:rPr>
      </w:pPr>
      <w:r w:rsidRPr="00AA4FBF">
        <w:rPr>
          <w:iCs/>
          <w:lang w:val="fr-CH"/>
        </w:rPr>
        <w:t>(Question UIT-R 141/7)</w:t>
      </w:r>
    </w:p>
    <w:p w:rsidR="002C0E9C" w:rsidRPr="00AA4FBF" w:rsidRDefault="002C0E9C" w:rsidP="00DA3FFC">
      <w:pPr>
        <w:pStyle w:val="Recdate"/>
        <w:rPr>
          <w:lang w:val="fr-CH"/>
        </w:rPr>
      </w:pPr>
      <w:r w:rsidRPr="00DA3FFC">
        <w:t>(1995-1997-1999-2017)</w:t>
      </w:r>
    </w:p>
    <w:p w:rsidR="002C0E9C" w:rsidRPr="00AA4FBF" w:rsidRDefault="002C0E9C" w:rsidP="002C0E9C">
      <w:pPr>
        <w:pStyle w:val="HeadingSum"/>
        <w:rPr>
          <w:lang w:val="fr-CH"/>
        </w:rPr>
      </w:pPr>
      <w:r w:rsidRPr="00AA4FBF">
        <w:rPr>
          <w:lang w:val="fr-CH"/>
        </w:rPr>
        <w:t>Domaine d</w:t>
      </w:r>
      <w:r w:rsidR="00E72493">
        <w:rPr>
          <w:lang w:val="fr-CH"/>
        </w:rPr>
        <w:t>'</w:t>
      </w:r>
      <w:r w:rsidRPr="00AA4FBF">
        <w:rPr>
          <w:lang w:val="fr-CH"/>
        </w:rPr>
        <w:t>application</w:t>
      </w:r>
    </w:p>
    <w:p w:rsidR="002C0E9C" w:rsidRPr="00AA4FBF" w:rsidRDefault="002C0E9C" w:rsidP="00DA3FFC">
      <w:pPr>
        <w:pStyle w:val="Summary"/>
        <w:spacing w:after="480" w:line="240" w:lineRule="auto"/>
        <w:rPr>
          <w:lang w:val="fr-CH"/>
        </w:rPr>
      </w:pPr>
      <w:r w:rsidRPr="00DA3FFC">
        <w:rPr>
          <w:lang w:val="fr-FR"/>
        </w:rPr>
        <w:t>La présente Recommandation vise à fournir des critères de brouillage cumulatif applicables aux liaisons de transmission de données pour les satellites géostationnaires dans les services d</w:t>
      </w:r>
      <w:r w:rsidR="00E72493">
        <w:rPr>
          <w:lang w:val="fr-FR"/>
        </w:rPr>
        <w:t>'</w:t>
      </w:r>
      <w:r w:rsidRPr="00DA3FFC">
        <w:rPr>
          <w:lang w:val="fr-FR"/>
        </w:rPr>
        <w:t>exploration de la Terre par satellite et de météorologie par satellite.</w:t>
      </w:r>
    </w:p>
    <w:p w:rsidR="002C0E9C" w:rsidRPr="008D43D8" w:rsidRDefault="002C0E9C" w:rsidP="002C0E9C">
      <w:pPr>
        <w:pStyle w:val="Headingb"/>
        <w:rPr>
          <w:sz w:val="22"/>
          <w:szCs w:val="22"/>
          <w:lang w:val="fr-CH"/>
        </w:rPr>
      </w:pPr>
      <w:r w:rsidRPr="00DA3FFC">
        <w:t>Mots clés</w:t>
      </w:r>
    </w:p>
    <w:p w:rsidR="002C0E9C" w:rsidRPr="00AA4FBF" w:rsidRDefault="002C0E9C" w:rsidP="00DB5591">
      <w:pPr>
        <w:rPr>
          <w:lang w:val="fr-CH"/>
        </w:rPr>
      </w:pPr>
      <w:bookmarkStart w:id="5" w:name="lt_pId060"/>
      <w:r w:rsidRPr="00AA4FBF">
        <w:rPr>
          <w:lang w:val="fr-CH"/>
        </w:rPr>
        <w:t>SETS, MetSat, satellites géostationnaires, transmission de données, critères de brouillage</w:t>
      </w:r>
      <w:bookmarkEnd w:id="5"/>
    </w:p>
    <w:p w:rsidR="002C0E9C" w:rsidRPr="00F14C92" w:rsidRDefault="002C0E9C" w:rsidP="002C0E9C">
      <w:pPr>
        <w:pStyle w:val="Headingb"/>
        <w:rPr>
          <w:sz w:val="22"/>
          <w:szCs w:val="22"/>
          <w:lang w:val="fr-CH"/>
        </w:rPr>
      </w:pPr>
      <w:bookmarkStart w:id="6" w:name="lt_pId061"/>
      <w:r w:rsidRPr="00F14C92">
        <w:rPr>
          <w:sz w:val="22"/>
          <w:szCs w:val="22"/>
          <w:lang w:val="fr-CH"/>
        </w:rPr>
        <w:t xml:space="preserve">Recommandations et Rapports </w:t>
      </w:r>
      <w:bookmarkEnd w:id="6"/>
      <w:r w:rsidRPr="00F14C92">
        <w:rPr>
          <w:sz w:val="22"/>
          <w:szCs w:val="22"/>
          <w:lang w:val="fr-CH"/>
        </w:rPr>
        <w:t>connexes</w:t>
      </w:r>
    </w:p>
    <w:p w:rsidR="00F31553" w:rsidRDefault="002C0E9C" w:rsidP="00DB5591">
      <w:pPr>
        <w:spacing w:after="360"/>
        <w:rPr>
          <w:sz w:val="20"/>
          <w:lang w:val="fr-CH"/>
        </w:rPr>
      </w:pPr>
      <w:bookmarkStart w:id="7" w:name="lt_pId062"/>
      <w:r w:rsidRPr="008D43D8">
        <w:rPr>
          <w:lang w:val="fr-CH" w:eastAsia="zh-CN"/>
        </w:rPr>
        <w:t>Recommandations UIT-R SA.1022, UIT-R SA.1159 et UIT-R SA.1161</w:t>
      </w:r>
      <w:bookmarkEnd w:id="7"/>
      <w:r w:rsidRPr="008D43D8">
        <w:rPr>
          <w:sz w:val="20"/>
          <w:lang w:val="fr-CH"/>
        </w:rPr>
        <w:t>.</w:t>
      </w:r>
    </w:p>
    <w:p w:rsidR="002C0E9C" w:rsidRPr="008D43D8" w:rsidRDefault="002C0E9C" w:rsidP="00DB5591">
      <w:pPr>
        <w:rPr>
          <w:lang w:val="fr-CH"/>
        </w:rPr>
      </w:pPr>
      <w:r w:rsidRPr="00F31553">
        <w:t>L</w:t>
      </w:r>
      <w:r w:rsidR="00E72493">
        <w:t>'</w:t>
      </w:r>
      <w:r w:rsidRPr="00F31553">
        <w:t>Assemblée des radiocommunications de l</w:t>
      </w:r>
      <w:r w:rsidR="00E72493">
        <w:t>'</w:t>
      </w:r>
      <w:r w:rsidRPr="00F31553">
        <w:t>UIT</w:t>
      </w:r>
      <w:r w:rsidRPr="008D43D8">
        <w:rPr>
          <w:lang w:val="fr-CH"/>
        </w:rPr>
        <w:t>,</w:t>
      </w:r>
    </w:p>
    <w:p w:rsidR="002C0E9C" w:rsidRPr="008D43D8" w:rsidRDefault="002C0E9C" w:rsidP="00DA3FFC">
      <w:pPr>
        <w:pStyle w:val="Call"/>
        <w:rPr>
          <w:lang w:val="fr-CH"/>
        </w:rPr>
      </w:pPr>
      <w:r w:rsidRPr="00DA3FFC">
        <w:t>considérant</w:t>
      </w:r>
    </w:p>
    <w:p w:rsidR="002C0E9C" w:rsidRPr="008D43D8" w:rsidRDefault="002C0E9C" w:rsidP="00DB5591">
      <w:pPr>
        <w:rPr>
          <w:lang w:val="fr-CH"/>
        </w:rPr>
      </w:pPr>
      <w:r w:rsidRPr="000761A6">
        <w:rPr>
          <w:i/>
          <w:iCs/>
          <w:lang w:val="fr-CH"/>
        </w:rPr>
        <w:t>a)</w:t>
      </w:r>
      <w:r w:rsidRPr="008D43D8">
        <w:rPr>
          <w:lang w:val="fr-CH"/>
        </w:rPr>
        <w:tab/>
        <w:t>qu</w:t>
      </w:r>
      <w:r w:rsidR="00E72493">
        <w:rPr>
          <w:lang w:val="fr-CH"/>
        </w:rPr>
        <w:t>'</w:t>
      </w:r>
      <w:r w:rsidRPr="008D43D8">
        <w:rPr>
          <w:lang w:val="fr-CH"/>
        </w:rPr>
        <w:t>il est nécessaire de définir des critères de brouillage, afin que les systèmes puissent être conçus de façon à fonctionner correctement en présence de brouillage;</w:t>
      </w:r>
    </w:p>
    <w:p w:rsidR="002C0E9C" w:rsidRPr="008D43D8" w:rsidRDefault="002C0E9C" w:rsidP="00DB5591">
      <w:pPr>
        <w:rPr>
          <w:lang w:val="fr-CH"/>
        </w:rPr>
      </w:pPr>
      <w:r w:rsidRPr="000761A6">
        <w:rPr>
          <w:i/>
          <w:iCs/>
          <w:lang w:val="fr-CH"/>
        </w:rPr>
        <w:t>b)</w:t>
      </w:r>
      <w:r w:rsidRPr="008D43D8">
        <w:rPr>
          <w:lang w:val="fr-CH"/>
        </w:rPr>
        <w:tab/>
        <w:t>que l</w:t>
      </w:r>
      <w:r w:rsidR="00E72493">
        <w:rPr>
          <w:lang w:val="fr-CH"/>
        </w:rPr>
        <w:t>'</w:t>
      </w:r>
      <w:r w:rsidRPr="008D43D8">
        <w:rPr>
          <w:lang w:val="fr-CH"/>
        </w:rPr>
        <w:t>on peut déterminer ces critères de brouillage à l</w:t>
      </w:r>
      <w:r w:rsidR="00E72493">
        <w:rPr>
          <w:lang w:val="fr-CH"/>
        </w:rPr>
        <w:t>'</w:t>
      </w:r>
      <w:r w:rsidRPr="008D43D8">
        <w:rPr>
          <w:lang w:val="fr-CH"/>
        </w:rPr>
        <w:t>aide de la mét</w:t>
      </w:r>
      <w:r w:rsidR="00F31553">
        <w:rPr>
          <w:lang w:val="fr-CH"/>
        </w:rPr>
        <w:t>hode décrite dans la Recommanda</w:t>
      </w:r>
      <w:r w:rsidRPr="008D43D8">
        <w:rPr>
          <w:lang w:val="fr-CH"/>
        </w:rPr>
        <w:t>tion UIT</w:t>
      </w:r>
      <w:r w:rsidRPr="008D43D8">
        <w:rPr>
          <w:lang w:val="fr-CH"/>
        </w:rPr>
        <w:noBreakHyphen/>
        <w:t>R SA.1022 et des objectifs de qualité de fonctionnement énumérés dans la Recommandation UIT-R SA.1159;</w:t>
      </w:r>
    </w:p>
    <w:p w:rsidR="002C0E9C" w:rsidRPr="008D43D8" w:rsidRDefault="002C0E9C" w:rsidP="00DB5591">
      <w:pPr>
        <w:rPr>
          <w:lang w:val="fr-CH"/>
        </w:rPr>
      </w:pPr>
      <w:r w:rsidRPr="000761A6">
        <w:rPr>
          <w:i/>
          <w:iCs/>
          <w:lang w:val="fr-CH"/>
        </w:rPr>
        <w:t>c)</w:t>
      </w:r>
      <w:r w:rsidRPr="008D43D8">
        <w:rPr>
          <w:lang w:val="fr-CH"/>
        </w:rPr>
        <w:tab/>
        <w:t>que les critères de brouillage facilitent la détermination des critères de partage entre systèmes, notamment avec les systèmes exploités dans d</w:t>
      </w:r>
      <w:r w:rsidR="00E72493">
        <w:rPr>
          <w:lang w:val="fr-CH"/>
        </w:rPr>
        <w:t>'</w:t>
      </w:r>
      <w:r w:rsidRPr="008D43D8">
        <w:rPr>
          <w:lang w:val="fr-CH"/>
        </w:rPr>
        <w:t>autres services;</w:t>
      </w:r>
    </w:p>
    <w:p w:rsidR="002C0E9C" w:rsidRPr="008D43D8" w:rsidRDefault="002C0E9C" w:rsidP="00DB5591">
      <w:pPr>
        <w:rPr>
          <w:lang w:val="fr-CH"/>
        </w:rPr>
      </w:pPr>
      <w:r w:rsidRPr="000761A6">
        <w:rPr>
          <w:i/>
          <w:iCs/>
          <w:lang w:val="fr-CH"/>
        </w:rPr>
        <w:t>d)</w:t>
      </w:r>
      <w:r w:rsidRPr="008D43D8">
        <w:rPr>
          <w:lang w:val="fr-CH"/>
        </w:rPr>
        <w:tab/>
        <w:t>que pour les systèmes exploités dans le service d</w:t>
      </w:r>
      <w:r w:rsidR="00E72493">
        <w:rPr>
          <w:lang w:val="fr-CH"/>
        </w:rPr>
        <w:t>'</w:t>
      </w:r>
      <w:r w:rsidRPr="008D43D8">
        <w:rPr>
          <w:lang w:val="fr-CH"/>
        </w:rPr>
        <w:t>exploration de la Terre par satellite (SETS) et le service de météorologie par satellite (MetSat) il faut spécifier des seuils de brouillage au moins égaux aux niveaux admissibles;</w:t>
      </w:r>
    </w:p>
    <w:p w:rsidR="002C0E9C" w:rsidRPr="008D43D8" w:rsidRDefault="002C0E9C" w:rsidP="00DB5591">
      <w:pPr>
        <w:rPr>
          <w:lang w:val="fr-CH"/>
        </w:rPr>
      </w:pPr>
      <w:r w:rsidRPr="000761A6">
        <w:rPr>
          <w:i/>
          <w:iCs/>
          <w:lang w:val="fr-CH"/>
        </w:rPr>
        <w:t>e)</w:t>
      </w:r>
      <w:r w:rsidRPr="008D43D8">
        <w:rPr>
          <w:lang w:val="fr-CH"/>
        </w:rPr>
        <w:tab/>
        <w:t>que l</w:t>
      </w:r>
      <w:r w:rsidR="00E72493">
        <w:rPr>
          <w:lang w:val="fr-CH"/>
        </w:rPr>
        <w:t>'</w:t>
      </w:r>
      <w:r w:rsidRPr="008D43D8">
        <w:rPr>
          <w:lang w:val="fr-CH"/>
        </w:rPr>
        <w:t>Annexe expose les paramètres de systèmes représentatifs, qui fournissent la base de détermination des critères de brouillage pour ce qui est des transmissions à prendre en compte dans le SETS et le service MetSat,</w:t>
      </w:r>
    </w:p>
    <w:p w:rsidR="002C0E9C" w:rsidRPr="008D43D8" w:rsidRDefault="002C0E9C" w:rsidP="00DA3FFC">
      <w:pPr>
        <w:pStyle w:val="Call"/>
        <w:rPr>
          <w:lang w:val="fr-CH"/>
        </w:rPr>
      </w:pPr>
      <w:r w:rsidRPr="002737A3">
        <w:t>recommande</w:t>
      </w:r>
    </w:p>
    <w:p w:rsidR="002C0E9C" w:rsidRDefault="002C0E9C" w:rsidP="00DB5591">
      <w:pPr>
        <w:jc w:val="left"/>
        <w:rPr>
          <w:lang w:val="fr-CH"/>
        </w:rPr>
      </w:pPr>
      <w:r w:rsidRPr="008D43D8">
        <w:rPr>
          <w:lang w:val="fr-CH"/>
        </w:rPr>
        <w:t>d</w:t>
      </w:r>
      <w:r w:rsidR="00E72493">
        <w:rPr>
          <w:lang w:val="fr-CH"/>
        </w:rPr>
        <w:t>'</w:t>
      </w:r>
      <w:r w:rsidRPr="008D43D8">
        <w:rPr>
          <w:lang w:val="fr-CH"/>
        </w:rPr>
        <w:t>utiliser les critères de brouillage spécifiés au Tableau 1 comme niveaux de puissance cumulative admissible d</w:t>
      </w:r>
      <w:r w:rsidR="00E72493">
        <w:rPr>
          <w:lang w:val="fr-CH"/>
        </w:rPr>
        <w:t>'</w:t>
      </w:r>
      <w:r w:rsidRPr="008D43D8">
        <w:rPr>
          <w:lang w:val="fr-CH"/>
        </w:rPr>
        <w:t>un signal brouilleur aux bornes de sortie d</w:t>
      </w:r>
      <w:r w:rsidR="00E72493">
        <w:rPr>
          <w:lang w:val="fr-CH"/>
        </w:rPr>
        <w:t>'</w:t>
      </w:r>
      <w:r w:rsidRPr="008D43D8">
        <w:rPr>
          <w:lang w:val="fr-CH"/>
        </w:rPr>
        <w:t>antenne des stations exploitées dans le SETS et le service MetSat.</w:t>
      </w:r>
    </w:p>
    <w:p w:rsidR="002C0E9C" w:rsidRPr="00AA4FBF" w:rsidRDefault="002C0E9C" w:rsidP="002C0E9C">
      <w:pPr>
        <w:rPr>
          <w:lang w:val="fr-CH"/>
        </w:rPr>
      </w:pPr>
    </w:p>
    <w:p w:rsidR="002C0E9C" w:rsidRPr="00F31553" w:rsidRDefault="002C0E9C" w:rsidP="00F31553">
      <w:pPr>
        <w:pStyle w:val="TableNo"/>
      </w:pPr>
      <w:r w:rsidRPr="00F31553">
        <w:lastRenderedPageBreak/>
        <w:t>TABLEAU 1</w:t>
      </w:r>
    </w:p>
    <w:tbl>
      <w:tblPr>
        <w:tblpPr w:leftFromText="180" w:rightFromText="180" w:vertAnchor="text" w:horzAnchor="margin" w:tblpY="818"/>
        <w:tblW w:w="9855" w:type="dxa"/>
        <w:tblCellMar>
          <w:left w:w="0" w:type="dxa"/>
          <w:right w:w="0" w:type="dxa"/>
        </w:tblCellMar>
        <w:tblLook w:val="0000" w:firstRow="0" w:lastRow="0" w:firstColumn="0" w:lastColumn="0" w:noHBand="0" w:noVBand="0"/>
      </w:tblPr>
      <w:tblGrid>
        <w:gridCol w:w="2119"/>
        <w:gridCol w:w="3543"/>
        <w:gridCol w:w="4193"/>
      </w:tblGrid>
      <w:tr w:rsidR="00F31553" w:rsidRPr="00566742" w:rsidTr="00E72493">
        <w:trPr>
          <w:cantSplit/>
        </w:trPr>
        <w:tc>
          <w:tcPr>
            <w:tcW w:w="2119" w:type="dxa"/>
            <w:tcBorders>
              <w:top w:val="single" w:sz="6" w:space="0" w:color="auto"/>
              <w:left w:val="single" w:sz="6" w:space="0" w:color="auto"/>
              <w:bottom w:val="single" w:sz="4" w:space="0" w:color="auto"/>
              <w:right w:val="single" w:sz="6" w:space="0" w:color="auto"/>
            </w:tcBorders>
            <w:tcMar>
              <w:left w:w="108" w:type="dxa"/>
              <w:right w:w="108" w:type="dxa"/>
            </w:tcMar>
          </w:tcPr>
          <w:p w:rsidR="00F31553" w:rsidRPr="00AA4FBF" w:rsidRDefault="00F31553" w:rsidP="00DA3FFC">
            <w:pPr>
              <w:pStyle w:val="Tablehead"/>
              <w:keepLines/>
              <w:spacing w:before="120"/>
            </w:pPr>
            <w:r w:rsidRPr="00AA4FBF">
              <w:t xml:space="preserve">Bande de </w:t>
            </w:r>
            <w:r w:rsidRPr="00AA4FBF">
              <w:br/>
              <w:t>fréquences</w:t>
            </w:r>
            <w:r w:rsidRPr="00AA4FBF">
              <w:br/>
              <w:t>(MHz)</w:t>
            </w:r>
          </w:p>
        </w:tc>
        <w:tc>
          <w:tcPr>
            <w:tcW w:w="3543" w:type="dxa"/>
            <w:tcBorders>
              <w:top w:val="single" w:sz="6" w:space="0" w:color="auto"/>
              <w:left w:val="single" w:sz="6" w:space="0" w:color="auto"/>
              <w:bottom w:val="single" w:sz="4" w:space="0" w:color="auto"/>
              <w:right w:val="single" w:sz="6" w:space="0" w:color="auto"/>
            </w:tcBorders>
            <w:tcMar>
              <w:left w:w="108" w:type="dxa"/>
              <w:right w:w="108" w:type="dxa"/>
            </w:tcMar>
          </w:tcPr>
          <w:p w:rsidR="00F31553" w:rsidRPr="00AA4FBF" w:rsidRDefault="00F31553" w:rsidP="00DA3FFC">
            <w:pPr>
              <w:pStyle w:val="Tablehead"/>
              <w:keepLines/>
              <w:spacing w:before="120"/>
            </w:pPr>
            <w:r w:rsidRPr="00AA4FBF">
              <w:t>Puissance du signal brouilleur (dBW) qui ne doit pas être dépassée pendant plus de 20% du temps dans la largeur de bande de référence</w:t>
            </w:r>
          </w:p>
        </w:tc>
        <w:tc>
          <w:tcPr>
            <w:tcW w:w="4193" w:type="dxa"/>
            <w:tcBorders>
              <w:top w:val="single" w:sz="6" w:space="0" w:color="auto"/>
              <w:left w:val="single" w:sz="6" w:space="0" w:color="auto"/>
              <w:bottom w:val="single" w:sz="6" w:space="0" w:color="auto"/>
              <w:right w:val="single" w:sz="6" w:space="0" w:color="auto"/>
            </w:tcBorders>
            <w:tcMar>
              <w:left w:w="108" w:type="dxa"/>
              <w:right w:w="108" w:type="dxa"/>
            </w:tcMar>
          </w:tcPr>
          <w:p w:rsidR="00F31553" w:rsidRPr="00AA4FBF" w:rsidRDefault="00F31553" w:rsidP="00DA3FFC">
            <w:pPr>
              <w:pStyle w:val="Tablehead"/>
              <w:keepLines/>
              <w:spacing w:before="120"/>
            </w:pPr>
            <w:r w:rsidRPr="00AA4FBF">
              <w:t xml:space="preserve">Puissance du signal brouilleur (dBW) qui ne doit pas être dépassée pendant plus de </w:t>
            </w:r>
            <w:r w:rsidRPr="00AA4FBF">
              <w:rPr>
                <w:i/>
              </w:rPr>
              <w:t>p</w:t>
            </w:r>
            <w:r w:rsidRPr="00AA4FBF">
              <w:t>% du te</w:t>
            </w:r>
            <w:r w:rsidR="00E72493">
              <w:t>mps dans la largeur de bande de </w:t>
            </w:r>
            <w:r w:rsidRPr="00AA4FBF">
              <w:t>référence</w:t>
            </w:r>
          </w:p>
        </w:tc>
      </w:tr>
      <w:tr w:rsidR="00F31553" w:rsidRPr="00AA4FBF" w:rsidTr="00E72493">
        <w:trPr>
          <w:cantSplit/>
          <w:trHeight w:val="836"/>
        </w:trPr>
        <w:tc>
          <w:tcPr>
            <w:tcW w:w="2119" w:type="dxa"/>
            <w:tcBorders>
              <w:top w:val="single" w:sz="4" w:space="0" w:color="auto"/>
              <w:left w:val="single" w:sz="6"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1 670-1 710</w:t>
            </w:r>
            <w:r w:rsidR="002620DE">
              <w:rPr>
                <w:rFonts w:asciiTheme="majorBidi" w:eastAsiaTheme="minorHAnsi" w:hAnsiTheme="majorBidi" w:cstheme="majorBidi"/>
                <w:sz w:val="22"/>
                <w:szCs w:val="22"/>
                <w:lang w:val="fr-FR"/>
              </w:rPr>
              <w:t xml:space="preserve"> </w:t>
            </w:r>
            <w:r w:rsidRPr="00F83EB9">
              <w:rPr>
                <w:rFonts w:asciiTheme="majorBidi" w:eastAsiaTheme="minorHAnsi" w:hAnsiTheme="majorBidi" w:cstheme="majorBidi"/>
                <w:sz w:val="22"/>
                <w:szCs w:val="22"/>
                <w:lang w:val="fr-FR"/>
              </w:rPr>
              <w:br/>
              <w:t>espace vers Terre</w:t>
            </w:r>
          </w:p>
        </w:tc>
        <w:tc>
          <w:tcPr>
            <w:tcW w:w="3543" w:type="dxa"/>
            <w:tcBorders>
              <w:top w:val="single" w:sz="4" w:space="0" w:color="auto"/>
              <w:left w:val="single" w:sz="6"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–158,0 dBW par 1 MHz</w:t>
            </w:r>
          </w:p>
        </w:tc>
        <w:tc>
          <w:tcPr>
            <w:tcW w:w="4193" w:type="dxa"/>
            <w:tcBorders>
              <w:top w:val="single" w:sz="6" w:space="0" w:color="auto"/>
              <w:left w:val="single" w:sz="6"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–152,8 dBW par 1 MHz</w:t>
            </w:r>
            <w:r w:rsidRPr="00F83EB9">
              <w:rPr>
                <w:rFonts w:asciiTheme="majorBidi" w:eastAsiaTheme="minorHAnsi" w:hAnsiTheme="majorBidi" w:cstheme="majorBidi"/>
                <w:sz w:val="22"/>
                <w:szCs w:val="22"/>
                <w:lang w:val="fr-FR"/>
              </w:rPr>
              <w:br/>
            </w:r>
            <w:r w:rsidRPr="00F14C92">
              <w:rPr>
                <w:rFonts w:asciiTheme="majorBidi" w:eastAsiaTheme="minorHAnsi" w:hAnsiTheme="majorBidi" w:cstheme="majorBidi"/>
                <w:i/>
                <w:iCs/>
                <w:sz w:val="22"/>
                <w:szCs w:val="22"/>
                <w:lang w:val="fr-FR"/>
              </w:rPr>
              <w:t>p</w:t>
            </w:r>
            <w:r w:rsidRPr="00F83EB9">
              <w:rPr>
                <w:rFonts w:asciiTheme="majorBidi" w:eastAsiaTheme="minorHAnsi" w:hAnsiTheme="majorBidi" w:cstheme="majorBidi"/>
                <w:sz w:val="22"/>
                <w:szCs w:val="22"/>
                <w:lang w:val="fr-FR"/>
              </w:rPr>
              <w:t xml:space="preserve"> </w:t>
            </w:r>
            <w:r w:rsidRPr="00F83EB9">
              <w:rPr>
                <w:rFonts w:ascii="Symbol" w:eastAsiaTheme="minorHAnsi" w:hAnsi="Symbol" w:cstheme="majorBidi"/>
                <w:sz w:val="22"/>
                <w:szCs w:val="22"/>
                <w:lang w:val="fr-FR"/>
              </w:rPr>
              <w:t></w:t>
            </w:r>
            <w:r w:rsidRPr="00F83EB9">
              <w:rPr>
                <w:rFonts w:asciiTheme="majorBidi" w:eastAsiaTheme="minorHAnsi" w:hAnsiTheme="majorBidi" w:cstheme="majorBidi"/>
                <w:sz w:val="22"/>
                <w:szCs w:val="22"/>
                <w:lang w:val="fr-FR"/>
              </w:rPr>
              <w:t xml:space="preserve"> 0,025</w:t>
            </w:r>
          </w:p>
        </w:tc>
      </w:tr>
      <w:tr w:rsidR="00F31553" w:rsidRPr="00AA4FBF" w:rsidTr="00E72493">
        <w:trPr>
          <w:cantSplit/>
          <w:trHeight w:val="770"/>
        </w:trPr>
        <w:tc>
          <w:tcPr>
            <w:tcW w:w="2119" w:type="dxa"/>
            <w:tcBorders>
              <w:top w:val="single" w:sz="4" w:space="0" w:color="auto"/>
              <w:left w:val="single" w:sz="4" w:space="0" w:color="auto"/>
              <w:bottom w:val="single" w:sz="4" w:space="0" w:color="auto"/>
              <w:right w:val="single" w:sz="4"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2 025-2 110</w:t>
            </w:r>
            <w:r w:rsidRPr="00F83EB9">
              <w:rPr>
                <w:rFonts w:asciiTheme="majorBidi" w:eastAsiaTheme="minorHAnsi" w:hAnsiTheme="majorBidi" w:cstheme="majorBidi"/>
                <w:sz w:val="22"/>
                <w:szCs w:val="22"/>
                <w:lang w:val="fr-FR"/>
              </w:rPr>
              <w:br/>
              <w:t>Terre vers espace</w:t>
            </w:r>
          </w:p>
        </w:tc>
        <w:tc>
          <w:tcPr>
            <w:tcW w:w="3543" w:type="dxa"/>
            <w:tcBorders>
              <w:top w:val="single" w:sz="6" w:space="0" w:color="auto"/>
              <w:left w:val="single" w:sz="4"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–139,9 dBW par 1 MHz</w:t>
            </w:r>
          </w:p>
        </w:tc>
        <w:tc>
          <w:tcPr>
            <w:tcW w:w="4193" w:type="dxa"/>
            <w:tcBorders>
              <w:top w:val="single" w:sz="6" w:space="0" w:color="auto"/>
              <w:left w:val="single" w:sz="6"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–136,6 dBW par 1 MHz</w:t>
            </w:r>
            <w:r w:rsidRPr="00F83EB9">
              <w:rPr>
                <w:rFonts w:asciiTheme="majorBidi" w:eastAsiaTheme="minorHAnsi" w:hAnsiTheme="majorBidi" w:cstheme="majorBidi"/>
                <w:sz w:val="22"/>
                <w:szCs w:val="22"/>
                <w:lang w:val="fr-FR"/>
              </w:rPr>
              <w:br/>
              <w:t xml:space="preserve">p </w:t>
            </w:r>
            <w:r w:rsidRPr="00F83EB9">
              <w:rPr>
                <w:rFonts w:ascii="Symbol" w:eastAsiaTheme="minorHAnsi" w:hAnsi="Symbol" w:cstheme="majorBidi"/>
                <w:sz w:val="22"/>
                <w:szCs w:val="22"/>
                <w:lang w:val="fr-FR"/>
              </w:rPr>
              <w:t></w:t>
            </w:r>
            <w:r w:rsidRPr="00F83EB9">
              <w:rPr>
                <w:rFonts w:asciiTheme="majorBidi" w:eastAsiaTheme="minorHAnsi" w:hAnsiTheme="majorBidi" w:cstheme="majorBidi"/>
                <w:sz w:val="22"/>
                <w:szCs w:val="22"/>
                <w:lang w:val="fr-FR"/>
              </w:rPr>
              <w:t xml:space="preserve"> 0,025</w:t>
            </w:r>
          </w:p>
        </w:tc>
      </w:tr>
      <w:tr w:rsidR="00F31553" w:rsidRPr="00AA4FBF" w:rsidTr="00E72493">
        <w:trPr>
          <w:cantSplit/>
        </w:trPr>
        <w:tc>
          <w:tcPr>
            <w:tcW w:w="2119" w:type="dxa"/>
            <w:tcBorders>
              <w:top w:val="single" w:sz="4" w:space="0" w:color="auto"/>
              <w:left w:val="single" w:sz="4" w:space="0" w:color="auto"/>
              <w:bottom w:val="single" w:sz="4" w:space="0" w:color="auto"/>
              <w:right w:val="single" w:sz="4"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25 500-27 000</w:t>
            </w:r>
            <w:r w:rsidR="002620DE">
              <w:rPr>
                <w:rFonts w:asciiTheme="majorBidi" w:eastAsiaTheme="minorHAnsi" w:hAnsiTheme="majorBidi" w:cstheme="majorBidi"/>
                <w:sz w:val="22"/>
                <w:szCs w:val="22"/>
                <w:lang w:val="fr-FR"/>
              </w:rPr>
              <w:t xml:space="preserve"> </w:t>
            </w:r>
            <w:r w:rsidRPr="00F83EB9">
              <w:rPr>
                <w:rFonts w:asciiTheme="majorBidi" w:eastAsiaTheme="minorHAnsi" w:hAnsiTheme="majorBidi" w:cstheme="majorBidi"/>
                <w:sz w:val="22"/>
                <w:szCs w:val="22"/>
                <w:lang w:val="fr-FR"/>
              </w:rPr>
              <w:br/>
              <w:t>espace vers Terre</w:t>
            </w:r>
          </w:p>
        </w:tc>
        <w:tc>
          <w:tcPr>
            <w:tcW w:w="3543" w:type="dxa"/>
            <w:tcBorders>
              <w:top w:val="single" w:sz="6" w:space="0" w:color="auto"/>
              <w:left w:val="single" w:sz="4" w:space="0" w:color="auto"/>
              <w:bottom w:val="single" w:sz="4" w:space="0" w:color="auto"/>
              <w:right w:val="single" w:sz="6" w:space="0" w:color="auto"/>
            </w:tcBorders>
            <w:tcMar>
              <w:left w:w="108" w:type="dxa"/>
              <w:right w:w="108" w:type="dxa"/>
            </w:tcMar>
          </w:tcPr>
          <w:p w:rsidR="00F31553" w:rsidRPr="00F83EB9" w:rsidRDefault="00F31553" w:rsidP="00DA3FFC">
            <w:pPr>
              <w:pStyle w:val="TableText0"/>
              <w:keepLines/>
              <w:spacing w:before="120" w:after="0" w:line="240" w:lineRule="auto"/>
              <w:ind w:left="57" w:right="57"/>
              <w:jc w:val="center"/>
              <w:rPr>
                <w:rFonts w:asciiTheme="majorBidi" w:eastAsiaTheme="minorHAnsi" w:hAnsiTheme="majorBidi" w:cstheme="majorBidi"/>
                <w:sz w:val="22"/>
                <w:szCs w:val="22"/>
                <w:lang w:val="fr-FR"/>
              </w:rPr>
            </w:pPr>
            <w:r w:rsidRPr="00F83EB9">
              <w:rPr>
                <w:rFonts w:asciiTheme="majorBidi" w:eastAsiaTheme="minorHAnsi" w:hAnsiTheme="majorBidi" w:cstheme="majorBidi"/>
                <w:sz w:val="22"/>
                <w:szCs w:val="22"/>
                <w:lang w:val="fr-FR"/>
              </w:rPr>
              <w:t>–144,6 dBW par 10 MHz</w:t>
            </w:r>
          </w:p>
        </w:tc>
        <w:tc>
          <w:tcPr>
            <w:tcW w:w="4193" w:type="dxa"/>
            <w:tcBorders>
              <w:top w:val="single" w:sz="6" w:space="0" w:color="auto"/>
              <w:left w:val="single" w:sz="6" w:space="0" w:color="auto"/>
              <w:bottom w:val="single" w:sz="4" w:space="0" w:color="auto"/>
              <w:right w:val="single" w:sz="6" w:space="0" w:color="auto"/>
            </w:tcBorders>
            <w:tcMar>
              <w:left w:w="108" w:type="dxa"/>
              <w:right w:w="108" w:type="dxa"/>
            </w:tcMar>
          </w:tcPr>
          <w:p w:rsidR="00F31553" w:rsidRPr="00F83EB9" w:rsidRDefault="00726EF6" w:rsidP="00E72493">
            <w:pPr>
              <w:pStyle w:val="TableText0"/>
              <w:keepLines/>
              <w:spacing w:before="120" w:after="120" w:line="240" w:lineRule="auto"/>
              <w:ind w:left="57" w:right="57"/>
              <w:jc w:val="center"/>
              <w:rPr>
                <w:rFonts w:asciiTheme="majorBidi" w:eastAsiaTheme="minorHAnsi" w:hAnsiTheme="majorBidi" w:cstheme="majorBidi"/>
                <w:sz w:val="22"/>
                <w:szCs w:val="22"/>
                <w:lang w:val="fr-FR"/>
              </w:rPr>
            </w:pPr>
            <w:r>
              <w:rPr>
                <w:rFonts w:asciiTheme="majorBidi" w:eastAsiaTheme="minorHAnsi" w:hAnsiTheme="majorBidi" w:cstheme="majorBidi"/>
                <w:sz w:val="22"/>
                <w:szCs w:val="22"/>
                <w:lang w:val="fr-FR"/>
              </w:rPr>
              <w:t>–133,0 dBW par 10 MHz</w:t>
            </w:r>
            <w:r w:rsidR="00F31553" w:rsidRPr="00F83EB9">
              <w:rPr>
                <w:rFonts w:asciiTheme="majorBidi" w:eastAsiaTheme="minorHAnsi" w:hAnsiTheme="majorBidi" w:cstheme="majorBidi"/>
                <w:sz w:val="22"/>
                <w:szCs w:val="22"/>
                <w:lang w:val="fr-FR"/>
              </w:rPr>
              <w:br/>
            </w:r>
            <w:r w:rsidR="00F31553" w:rsidRPr="00F14C92">
              <w:rPr>
                <w:rFonts w:asciiTheme="majorBidi" w:eastAsiaTheme="minorHAnsi" w:hAnsiTheme="majorBidi" w:cstheme="majorBidi"/>
                <w:i/>
                <w:iCs/>
                <w:sz w:val="22"/>
                <w:szCs w:val="22"/>
                <w:lang w:val="fr-FR"/>
              </w:rPr>
              <w:t>p</w:t>
            </w:r>
            <w:r w:rsidR="00F31553" w:rsidRPr="00F83EB9">
              <w:rPr>
                <w:rFonts w:asciiTheme="majorBidi" w:eastAsiaTheme="minorHAnsi" w:hAnsiTheme="majorBidi" w:cstheme="majorBidi"/>
                <w:sz w:val="22"/>
                <w:szCs w:val="22"/>
                <w:lang w:val="fr-FR"/>
              </w:rPr>
              <w:t xml:space="preserve"> </w:t>
            </w:r>
            <w:r w:rsidR="00F31553" w:rsidRPr="00F83EB9">
              <w:rPr>
                <w:rFonts w:ascii="Symbol" w:eastAsiaTheme="minorHAnsi" w:hAnsi="Symbol" w:cstheme="majorBidi"/>
                <w:sz w:val="22"/>
                <w:szCs w:val="22"/>
                <w:lang w:val="fr-FR"/>
              </w:rPr>
              <w:t></w:t>
            </w:r>
            <w:r w:rsidR="00F31553" w:rsidRPr="00F83EB9">
              <w:rPr>
                <w:rFonts w:asciiTheme="majorBidi" w:eastAsiaTheme="minorHAnsi" w:hAnsiTheme="majorBidi" w:cstheme="majorBidi"/>
                <w:sz w:val="22"/>
                <w:szCs w:val="22"/>
                <w:lang w:val="fr-FR"/>
              </w:rPr>
              <w:t xml:space="preserve"> 0,25</w:t>
            </w:r>
          </w:p>
        </w:tc>
      </w:tr>
      <w:tr w:rsidR="00F31553" w:rsidRPr="008D43D8" w:rsidTr="00E72493">
        <w:trPr>
          <w:cantSplit/>
        </w:trPr>
        <w:tc>
          <w:tcPr>
            <w:tcW w:w="9855" w:type="dxa"/>
            <w:gridSpan w:val="3"/>
            <w:tcBorders>
              <w:top w:val="single" w:sz="4" w:space="0" w:color="auto"/>
            </w:tcBorders>
            <w:tcMar>
              <w:left w:w="108" w:type="dxa"/>
              <w:right w:w="108" w:type="dxa"/>
            </w:tcMar>
          </w:tcPr>
          <w:p w:rsidR="00F31553" w:rsidRPr="008D43D8" w:rsidRDefault="00F31553" w:rsidP="00DA3FFC">
            <w:pPr>
              <w:rPr>
                <w:sz w:val="20"/>
              </w:rPr>
            </w:pPr>
            <w:r w:rsidRPr="008D43D8">
              <w:rPr>
                <w:sz w:val="20"/>
              </w:rPr>
              <w:t>NOTE 1 – La puissance du signal brouilleur (dBW) dans la largeur de bande de référence est donnée pour une réception à angles d</w:t>
            </w:r>
            <w:r w:rsidR="00E72493">
              <w:rPr>
                <w:sz w:val="20"/>
              </w:rPr>
              <w:t>'</w:t>
            </w:r>
            <w:r w:rsidRPr="008D43D8">
              <w:rPr>
                <w:sz w:val="20"/>
              </w:rPr>
              <w:t>élévation supérieurs ou égaux à 3.</w:t>
            </w:r>
          </w:p>
          <w:p w:rsidR="00F31553" w:rsidRPr="008D43D8" w:rsidRDefault="00F31553" w:rsidP="00DA3FFC">
            <w:pPr>
              <w:rPr>
                <w:sz w:val="20"/>
              </w:rPr>
            </w:pPr>
            <w:r w:rsidRPr="008D43D8">
              <w:rPr>
                <w:sz w:val="20"/>
              </w:rPr>
              <w:t>NOTE 2 – Le niveau de puissance totale du signal brouilleur qui ne doit pas être dépassé pendant plus de </w:t>
            </w:r>
            <w:r w:rsidRPr="00F14C92">
              <w:rPr>
                <w:i/>
                <w:iCs/>
                <w:sz w:val="20"/>
              </w:rPr>
              <w:t>x</w:t>
            </w:r>
            <w:r w:rsidRPr="008D43D8">
              <w:rPr>
                <w:sz w:val="20"/>
              </w:rPr>
              <w:t>% du temps, avec </w:t>
            </w:r>
            <w:r w:rsidRPr="00F14C92">
              <w:rPr>
                <w:i/>
                <w:iCs/>
                <w:sz w:val="20"/>
              </w:rPr>
              <w:t>x</w:t>
            </w:r>
            <w:r w:rsidRPr="008D43D8">
              <w:rPr>
                <w:sz w:val="20"/>
              </w:rPr>
              <w:t> inférieur à 20% mais supérieur au pourcentage de temps à court terme spécifié (</w:t>
            </w:r>
            <w:r w:rsidRPr="00F14C92">
              <w:rPr>
                <w:i/>
                <w:iCs/>
                <w:sz w:val="20"/>
              </w:rPr>
              <w:t>p</w:t>
            </w:r>
            <w:r w:rsidRPr="008D43D8">
              <w:rPr>
                <w:sz w:val="20"/>
              </w:rPr>
              <w:t>% du temps) peut être déterminé par interpolation des valeurs spécifiées sur une échelle logarithmique (base 10) pour le pourcentage de temps et sur une échelle linéaire pour la densité de puissance du signal brouilleur (dB).</w:t>
            </w:r>
          </w:p>
          <w:p w:rsidR="00F31553" w:rsidRPr="008D43D8" w:rsidRDefault="00F31553" w:rsidP="00DA3FFC">
            <w:pPr>
              <w:rPr>
                <w:sz w:val="20"/>
              </w:rPr>
            </w:pPr>
            <w:r w:rsidRPr="008D43D8">
              <w:rPr>
                <w:sz w:val="20"/>
              </w:rPr>
              <w:t>NOTE 3 – Les critères de brouillage peuvent être exprimés en termes de puissance surfacique admissible dans le faisceau principal de l</w:t>
            </w:r>
            <w:r w:rsidR="00E72493">
              <w:rPr>
                <w:sz w:val="20"/>
              </w:rPr>
              <w:t>'</w:t>
            </w:r>
            <w:r w:rsidRPr="008D43D8">
              <w:rPr>
                <w:sz w:val="20"/>
              </w:rPr>
              <w:t>antenne de réception; pour cela on soustrait 10 </w:t>
            </w:r>
            <w:r w:rsidR="002620DE" w:rsidRPr="008D43D8">
              <w:rPr>
                <w:sz w:val="20"/>
              </w:rPr>
              <w:t>log (</w:t>
            </w:r>
            <w:r w:rsidRPr="00F14C92">
              <w:rPr>
                <w:i/>
                <w:iCs/>
                <w:sz w:val="20"/>
              </w:rPr>
              <w:t>G</w:t>
            </w:r>
            <w:r w:rsidRPr="008D43D8">
              <w:rPr>
                <w:sz w:val="20"/>
              </w:rPr>
              <w:t> </w:t>
            </w:r>
            <w:r w:rsidRPr="008D43D8">
              <w:rPr>
                <w:sz w:val="20"/>
              </w:rPr>
              <w:sym w:font="Symbol" w:char="F06C"/>
            </w:r>
            <w:r w:rsidRPr="008D43D8">
              <w:rPr>
                <w:sz w:val="20"/>
              </w:rPr>
              <w:t>2/4</w:t>
            </w:r>
            <w:r w:rsidRPr="008D43D8">
              <w:rPr>
                <w:sz w:val="20"/>
              </w:rPr>
              <w:sym w:font="Symbol" w:char="F070"/>
            </w:r>
            <w:r w:rsidRPr="008D43D8">
              <w:rPr>
                <w:sz w:val="20"/>
              </w:rPr>
              <w:t xml:space="preserve">) de la valeur indiquée dans le Tableau 1, où </w:t>
            </w:r>
            <w:r w:rsidRPr="00F14C92">
              <w:rPr>
                <w:i/>
                <w:iCs/>
                <w:sz w:val="20"/>
              </w:rPr>
              <w:t>G</w:t>
            </w:r>
            <w:r w:rsidRPr="008D43D8">
              <w:rPr>
                <w:sz w:val="20"/>
              </w:rPr>
              <w:t xml:space="preserve"> est le gain de l</w:t>
            </w:r>
            <w:r w:rsidR="00E72493">
              <w:rPr>
                <w:sz w:val="20"/>
              </w:rPr>
              <w:t>'</w:t>
            </w:r>
            <w:r w:rsidRPr="008D43D8">
              <w:rPr>
                <w:sz w:val="20"/>
              </w:rPr>
              <w:t xml:space="preserve">antenne de réception et </w:t>
            </w:r>
            <w:r w:rsidRPr="008D43D8">
              <w:rPr>
                <w:sz w:val="20"/>
              </w:rPr>
              <w:sym w:font="Symbol" w:char="F06C"/>
            </w:r>
            <w:r w:rsidRPr="008D43D8">
              <w:rPr>
                <w:sz w:val="20"/>
              </w:rPr>
              <w:t xml:space="preserve"> est la longueur d</w:t>
            </w:r>
            <w:r w:rsidR="00E72493">
              <w:rPr>
                <w:sz w:val="20"/>
              </w:rPr>
              <w:t>'</w:t>
            </w:r>
            <w:r w:rsidRPr="008D43D8">
              <w:rPr>
                <w:sz w:val="20"/>
              </w:rPr>
              <w:t>onde.</w:t>
            </w:r>
          </w:p>
          <w:p w:rsidR="00F31553" w:rsidRPr="00AF1A4F" w:rsidRDefault="00F31553" w:rsidP="00DA3FFC">
            <w:pPr>
              <w:rPr>
                <w:rFonts w:asciiTheme="majorBidi" w:hAnsiTheme="majorBidi" w:cstheme="majorBidi"/>
                <w:lang w:val="fr-CH"/>
              </w:rPr>
            </w:pPr>
            <w:r w:rsidRPr="008D43D8">
              <w:rPr>
                <w:sz w:val="20"/>
              </w:rPr>
              <w:t>NOTE 4 – Bien qu</w:t>
            </w:r>
            <w:r w:rsidR="00E72493">
              <w:rPr>
                <w:sz w:val="20"/>
              </w:rPr>
              <w:t>'</w:t>
            </w:r>
            <w:r w:rsidRPr="008D43D8">
              <w:rPr>
                <w:sz w:val="20"/>
              </w:rPr>
              <w:t>ils aient été établis en fonction des systèmes décrits dans l</w:t>
            </w:r>
            <w:r w:rsidR="00E72493">
              <w:rPr>
                <w:sz w:val="20"/>
              </w:rPr>
              <w:t>'</w:t>
            </w:r>
            <w:r w:rsidRPr="008D43D8">
              <w:rPr>
                <w:sz w:val="20"/>
              </w:rPr>
              <w:t>Annexe, ces critères de brouillage s</w:t>
            </w:r>
            <w:r w:rsidR="00E72493">
              <w:rPr>
                <w:sz w:val="20"/>
              </w:rPr>
              <w:t>'</w:t>
            </w:r>
            <w:r w:rsidRPr="008D43D8">
              <w:rPr>
                <w:sz w:val="20"/>
              </w:rPr>
              <w:t>appliquent à tous les systèmes exploités dans les bandes de fréquences indiquées et assurant les fonctions de service spécifiées.</w:t>
            </w:r>
          </w:p>
        </w:tc>
      </w:tr>
    </w:tbl>
    <w:p w:rsidR="002C0E9C" w:rsidRPr="00F31553" w:rsidRDefault="002C0E9C" w:rsidP="00DA3FFC">
      <w:pPr>
        <w:pStyle w:val="Tabletitle"/>
      </w:pPr>
      <w:r w:rsidRPr="00F31553">
        <w:t xml:space="preserve">Critères de brouillage applicables aux stations du SETS et </w:t>
      </w:r>
      <w:r w:rsidR="00F31553">
        <w:br/>
      </w:r>
      <w:r w:rsidRPr="00F31553">
        <w:t>du service MetSat utilisant des satellites géostationnaires</w:t>
      </w:r>
    </w:p>
    <w:p w:rsidR="00726EF6" w:rsidRDefault="00726EF6" w:rsidP="006B68E7"/>
    <w:p w:rsidR="006B68E7" w:rsidRDefault="006B68E7" w:rsidP="006B68E7"/>
    <w:p w:rsidR="002C0E9C" w:rsidRPr="00AA4FBF" w:rsidRDefault="002C0E9C" w:rsidP="006B68E7">
      <w:pPr>
        <w:pStyle w:val="AnnexNoTitle"/>
        <w:rPr>
          <w:lang w:val="fr-CH"/>
        </w:rPr>
      </w:pPr>
      <w:r w:rsidRPr="000761A6">
        <w:rPr>
          <w:bCs/>
        </w:rPr>
        <w:t>A</w:t>
      </w:r>
      <w:r w:rsidR="006B68E7" w:rsidRPr="000761A6">
        <w:rPr>
          <w:bCs/>
        </w:rPr>
        <w:t>nnexe</w:t>
      </w:r>
      <w:r w:rsidR="006B68E7">
        <w:rPr>
          <w:bCs/>
        </w:rPr>
        <w:br/>
      </w:r>
      <w:r w:rsidR="006B68E7">
        <w:br/>
      </w:r>
      <w:r w:rsidRPr="00381A30">
        <w:t>Base pour la détermination des critères de brouillage</w:t>
      </w:r>
    </w:p>
    <w:p w:rsidR="002C0E9C" w:rsidRPr="002737A3" w:rsidRDefault="002C0E9C" w:rsidP="00DB5591">
      <w:pPr>
        <w:pStyle w:val="Normalaftertitle0"/>
        <w:rPr>
          <w:sz w:val="24"/>
          <w:szCs w:val="24"/>
          <w:lang w:val="fr-FR"/>
        </w:rPr>
      </w:pPr>
      <w:r w:rsidRPr="002737A3">
        <w:rPr>
          <w:sz w:val="24"/>
          <w:szCs w:val="24"/>
          <w:lang w:val="fr-FR"/>
        </w:rPr>
        <w:t>La présente Annexe énumère les paramètres utilisés dans la méthode de détermination des critères de brouillage pour les transmissions de données d</w:t>
      </w:r>
      <w:r w:rsidR="00E72493">
        <w:rPr>
          <w:sz w:val="24"/>
          <w:szCs w:val="24"/>
          <w:lang w:val="fr-FR"/>
        </w:rPr>
        <w:t>'</w:t>
      </w:r>
      <w:r w:rsidRPr="002737A3">
        <w:rPr>
          <w:sz w:val="24"/>
          <w:szCs w:val="24"/>
          <w:lang w:val="fr-FR"/>
        </w:rPr>
        <w:t>instruments brutes sur la liaison descendante vers les principales stations terriennes de réception appartenant à un opérateur de satellite et la diffusion de données à des stations d</w:t>
      </w:r>
      <w:r w:rsidR="00E72493">
        <w:rPr>
          <w:sz w:val="24"/>
          <w:szCs w:val="24"/>
          <w:lang w:val="fr-FR"/>
        </w:rPr>
        <w:t>'</w:t>
      </w:r>
      <w:r w:rsidRPr="002737A3">
        <w:rPr>
          <w:sz w:val="24"/>
          <w:szCs w:val="24"/>
          <w:lang w:val="fr-FR"/>
        </w:rPr>
        <w:t>utilisateurs, décrite dans la Recommandation UIT-R SA.1022.</w:t>
      </w:r>
    </w:p>
    <w:p w:rsidR="002C0E9C" w:rsidRPr="00AA4FBF" w:rsidRDefault="002C0E9C" w:rsidP="002C0E9C">
      <w:pPr>
        <w:pStyle w:val="Heading1"/>
        <w:rPr>
          <w:lang w:val="fr-CH"/>
        </w:rPr>
      </w:pPr>
      <w:r w:rsidRPr="00AA4FBF">
        <w:rPr>
          <w:lang w:val="fr-CH"/>
        </w:rPr>
        <w:t>1</w:t>
      </w:r>
      <w:r w:rsidRPr="00AA4FBF">
        <w:rPr>
          <w:lang w:val="fr-CH"/>
        </w:rPr>
        <w:tab/>
      </w:r>
      <w:r w:rsidRPr="00AA4FBF">
        <w:rPr>
          <w:color w:val="000000"/>
          <w:lang w:val="fr-CH"/>
        </w:rPr>
        <w:t xml:space="preserve">Transmissions </w:t>
      </w:r>
      <w:r w:rsidRPr="00AA4FBF">
        <w:rPr>
          <w:color w:val="000000"/>
          <w:szCs w:val="24"/>
          <w:lang w:val="fr-CH"/>
        </w:rPr>
        <w:t>de données d</w:t>
      </w:r>
      <w:r w:rsidR="00E72493">
        <w:rPr>
          <w:color w:val="000000"/>
          <w:szCs w:val="24"/>
          <w:lang w:val="fr-CH"/>
        </w:rPr>
        <w:t>'</w:t>
      </w:r>
      <w:r w:rsidRPr="00AA4FBF">
        <w:rPr>
          <w:color w:val="000000"/>
          <w:szCs w:val="24"/>
          <w:lang w:val="fr-CH"/>
        </w:rPr>
        <w:t>instruments brutes sur la liaison descendante vers les principales stations terriennes de réception</w:t>
      </w:r>
    </w:p>
    <w:p w:rsidR="002C0E9C" w:rsidRPr="00087E50" w:rsidRDefault="002C0E9C" w:rsidP="00DB5591">
      <w:pPr>
        <w:rPr>
          <w:lang w:val="fr-CH"/>
        </w:rPr>
      </w:pPr>
      <w:r w:rsidRPr="00087E50">
        <w:rPr>
          <w:lang w:val="fr-CH"/>
        </w:rPr>
        <w:t xml:space="preserve">Le Tableau 2 indique les critères de brouillage pour les </w:t>
      </w:r>
      <w:r w:rsidRPr="00087E50">
        <w:rPr>
          <w:color w:val="000000"/>
          <w:lang w:val="fr-CH"/>
        </w:rPr>
        <w:t>transmissions de données d</w:t>
      </w:r>
      <w:r w:rsidR="00E72493">
        <w:rPr>
          <w:color w:val="000000"/>
          <w:lang w:val="fr-CH"/>
        </w:rPr>
        <w:t>'</w:t>
      </w:r>
      <w:r w:rsidRPr="00087E50">
        <w:rPr>
          <w:color w:val="000000"/>
          <w:lang w:val="fr-CH"/>
        </w:rPr>
        <w:t>instruments brutes sur la liaison descendante vers les principales stations terriennes de réception</w:t>
      </w:r>
      <w:r w:rsidRPr="00087E50">
        <w:rPr>
          <w:lang w:val="fr-CH"/>
        </w:rPr>
        <w:t xml:space="preserve">, pour lesquelles la </w:t>
      </w:r>
      <w:r w:rsidRPr="00087E50">
        <w:rPr>
          <w:lang w:val="fr-CH"/>
        </w:rPr>
        <w:lastRenderedPageBreak/>
        <w:t xml:space="preserve">station terrienne de réception </w:t>
      </w:r>
      <w:r w:rsidR="005D670F">
        <w:rPr>
          <w:lang w:val="fr-CH"/>
        </w:rPr>
        <w:t xml:space="preserve">reçoit </w:t>
      </w:r>
      <w:r w:rsidRPr="00087E50">
        <w:rPr>
          <w:lang w:val="fr-CH"/>
        </w:rPr>
        <w:t>tous les brouillages directement, et n</w:t>
      </w:r>
      <w:r w:rsidR="00E72493">
        <w:rPr>
          <w:lang w:val="fr-CH"/>
        </w:rPr>
        <w:t>'</w:t>
      </w:r>
      <w:r w:rsidRPr="00087E50">
        <w:rPr>
          <w:lang w:val="fr-CH"/>
        </w:rPr>
        <w:t>en reçoit aucun par l</w:t>
      </w:r>
      <w:r w:rsidR="00E72493">
        <w:rPr>
          <w:lang w:val="fr-CH"/>
        </w:rPr>
        <w:t>'</w:t>
      </w:r>
      <w:r w:rsidR="00205A1E" w:rsidRPr="00087E50">
        <w:rPr>
          <w:lang w:val="fr-CH"/>
        </w:rPr>
        <w:t>intermédiaire</w:t>
      </w:r>
      <w:r w:rsidRPr="00087E50">
        <w:rPr>
          <w:lang w:val="fr-CH"/>
        </w:rPr>
        <w:t xml:space="preserve"> du satellite qui émet les données.</w:t>
      </w:r>
    </w:p>
    <w:p w:rsidR="002C0E9C" w:rsidRPr="00AA4FBF" w:rsidRDefault="002C0E9C" w:rsidP="00DB5591">
      <w:pPr>
        <w:rPr>
          <w:szCs w:val="24"/>
          <w:lang w:val="fr-CH"/>
        </w:rPr>
      </w:pPr>
      <w:r w:rsidRPr="00087E50">
        <w:rPr>
          <w:lang w:val="fr-CH"/>
        </w:rPr>
        <w:t>Les critères de brouillage peuvent être exprimés en termes de puissance surfacique admissible dans le faisceau principal de l</w:t>
      </w:r>
      <w:r w:rsidR="00E72493">
        <w:rPr>
          <w:lang w:val="fr-CH"/>
        </w:rPr>
        <w:t>'</w:t>
      </w:r>
      <w:r w:rsidRPr="00087E50">
        <w:rPr>
          <w:lang w:val="fr-CH"/>
        </w:rPr>
        <w:t>antenne de réception; pour cela on soustrait 10 </w:t>
      </w:r>
      <w:r w:rsidR="00205A1E" w:rsidRPr="00087E50">
        <w:rPr>
          <w:lang w:val="fr-CH"/>
        </w:rPr>
        <w:t>log (</w:t>
      </w:r>
      <w:r w:rsidRPr="00087E50">
        <w:rPr>
          <w:i/>
          <w:iCs/>
          <w:lang w:val="fr-CH"/>
        </w:rPr>
        <w:t xml:space="preserve">G </w:t>
      </w:r>
      <w:r w:rsidRPr="00087E50">
        <w:rPr>
          <w:lang w:val="fr-CH"/>
        </w:rPr>
        <w:sym w:font="Symbol" w:char="F06C"/>
      </w:r>
      <w:r w:rsidRPr="00087E50">
        <w:rPr>
          <w:position w:val="6"/>
          <w:lang w:val="fr-CH"/>
        </w:rPr>
        <w:t>2</w:t>
      </w:r>
      <w:r w:rsidRPr="00087E50">
        <w:rPr>
          <w:lang w:val="fr-CH"/>
        </w:rPr>
        <w:t>/4</w:t>
      </w:r>
      <w:r w:rsidRPr="00087E50">
        <w:rPr>
          <w:lang w:val="fr-CH"/>
        </w:rPr>
        <w:sym w:font="Symbol" w:char="F070"/>
      </w:r>
      <w:r w:rsidRPr="00087E50">
        <w:rPr>
          <w:lang w:val="fr-CH"/>
        </w:rPr>
        <w:t xml:space="preserve">) des valeurs indiquées dans le Tableau 2, où </w:t>
      </w:r>
      <w:r w:rsidRPr="00087E50">
        <w:rPr>
          <w:i/>
          <w:iCs/>
          <w:lang w:val="fr-CH"/>
        </w:rPr>
        <w:t>G</w:t>
      </w:r>
      <w:r w:rsidRPr="00087E50">
        <w:rPr>
          <w:lang w:val="fr-CH"/>
        </w:rPr>
        <w:t xml:space="preserve"> est le gain de l</w:t>
      </w:r>
      <w:r w:rsidR="00E72493">
        <w:rPr>
          <w:lang w:val="fr-CH"/>
        </w:rPr>
        <w:t>'</w:t>
      </w:r>
      <w:r w:rsidRPr="00087E50">
        <w:rPr>
          <w:lang w:val="fr-CH"/>
        </w:rPr>
        <w:t xml:space="preserve">antenne de réception et </w:t>
      </w:r>
      <w:r w:rsidRPr="00087E50">
        <w:rPr>
          <w:lang w:val="fr-CH"/>
        </w:rPr>
        <w:sym w:font="Symbol" w:char="F06C"/>
      </w:r>
      <w:r w:rsidRPr="00087E50">
        <w:rPr>
          <w:lang w:val="fr-CH"/>
        </w:rPr>
        <w:t xml:space="preserve"> la longueur d</w:t>
      </w:r>
      <w:r w:rsidR="00E72493">
        <w:rPr>
          <w:lang w:val="fr-CH"/>
        </w:rPr>
        <w:t>'</w:t>
      </w:r>
      <w:r w:rsidRPr="00087E50">
        <w:rPr>
          <w:lang w:val="fr-CH"/>
        </w:rPr>
        <w:t>onde.</w:t>
      </w:r>
    </w:p>
    <w:p w:rsidR="002C0E9C" w:rsidRPr="00AA4FBF" w:rsidRDefault="002C0E9C" w:rsidP="002C0E9C">
      <w:pPr>
        <w:pStyle w:val="TableNo"/>
        <w:rPr>
          <w:szCs w:val="24"/>
          <w:lang w:val="fr-CH"/>
        </w:rPr>
      </w:pPr>
      <w:r w:rsidRPr="002C0E9C">
        <w:t>TABL</w:t>
      </w:r>
      <w:r w:rsidR="00BD4DF8">
        <w:t xml:space="preserve">EAU </w:t>
      </w:r>
      <w:r w:rsidRPr="002C0E9C">
        <w:t>2</w:t>
      </w:r>
    </w:p>
    <w:p w:rsidR="002C0E9C" w:rsidRPr="005E1DDF" w:rsidRDefault="00205A1E" w:rsidP="002C0E9C">
      <w:pPr>
        <w:pStyle w:val="Tabletitle"/>
        <w:rPr>
          <w:szCs w:val="24"/>
        </w:rPr>
      </w:pPr>
      <w:r w:rsidRPr="002C0E9C">
        <w:t>Paramètres</w:t>
      </w:r>
      <w:r w:rsidR="002C0E9C" w:rsidRPr="002C0E9C">
        <w:t xml:space="preserve"> liés aux transmissions de données d</w:t>
      </w:r>
      <w:r w:rsidR="00E72493">
        <w:t>'</w:t>
      </w:r>
      <w:r w:rsidR="002C0E9C" w:rsidRPr="002C0E9C">
        <w:t>instruments brutes sur la liaison descendante vers les principales stations terriennes de réception pour la détermination des critères de brouillage des stations exploitées avec des satellites géostationnaires</w:t>
      </w:r>
    </w:p>
    <w:p w:rsidR="002C0E9C" w:rsidRPr="005E1DDF" w:rsidRDefault="002C0E9C" w:rsidP="002C0E9C">
      <w:pPr>
        <w:pStyle w:val="Tabletitle"/>
        <w:rPr>
          <w:b w:val="0"/>
          <w:bCs/>
          <w:szCs w:val="24"/>
          <w:lang w:val="fr-CH"/>
        </w:rPr>
      </w:pPr>
      <w:r w:rsidRPr="005E1DDF">
        <w:rPr>
          <w:b w:val="0"/>
          <w:bCs/>
        </w:rPr>
        <w:t>a) Bande de fréquences 1 670-1 710 MHz</w:t>
      </w:r>
    </w:p>
    <w:p w:rsidR="002C0E9C" w:rsidRPr="00AA4FBF" w:rsidRDefault="002C0E9C" w:rsidP="002C0E9C">
      <w:pPr>
        <w:pStyle w:val="Blanc"/>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1322"/>
        <w:gridCol w:w="2573"/>
        <w:gridCol w:w="4196"/>
      </w:tblGrid>
      <w:tr w:rsidR="002C0E9C" w:rsidRPr="00AA4FBF" w:rsidTr="00E72493">
        <w:tc>
          <w:tcPr>
            <w:tcW w:w="2960" w:type="dxa"/>
            <w:gridSpan w:val="2"/>
          </w:tcPr>
          <w:p w:rsidR="002C0E9C" w:rsidRPr="00AA4FBF" w:rsidRDefault="002C0E9C" w:rsidP="002C0E9C">
            <w:pPr>
              <w:pStyle w:val="Tablehead"/>
            </w:pPr>
            <w:r w:rsidRPr="00AA4FBF">
              <w:t>Paramètre de la liaison</w:t>
            </w:r>
          </w:p>
        </w:tc>
        <w:tc>
          <w:tcPr>
            <w:tcW w:w="2573" w:type="dxa"/>
          </w:tcPr>
          <w:p w:rsidR="002C0E9C" w:rsidRPr="00AA4FBF" w:rsidRDefault="002C0E9C" w:rsidP="002C0E9C">
            <w:pPr>
              <w:pStyle w:val="Tablehead"/>
            </w:pPr>
            <w:r w:rsidRPr="00AA4FBF">
              <w:t>Valeur</w:t>
            </w:r>
          </w:p>
        </w:tc>
        <w:tc>
          <w:tcPr>
            <w:tcW w:w="4196" w:type="dxa"/>
          </w:tcPr>
          <w:p w:rsidR="002C0E9C" w:rsidRPr="00AA4FBF" w:rsidRDefault="002C0E9C" w:rsidP="002C0E9C">
            <w:pPr>
              <w:pStyle w:val="Tablehead"/>
            </w:pPr>
            <w:r w:rsidRPr="00AA4FBF">
              <w:t>Notes</w:t>
            </w:r>
          </w:p>
        </w:tc>
      </w:tr>
      <w:tr w:rsidR="002C0E9C" w:rsidRPr="00AA4FBF"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p.i.r.e. de la liaison descendante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16,1 dBW</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566742"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Affaiblissement sur la liaison descendante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190,1 dB</w:t>
            </w:r>
          </w:p>
        </w:tc>
        <w:tc>
          <w:tcPr>
            <w:tcW w:w="4196"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Espace libre, polarisation et pointage d</w:t>
            </w:r>
            <w:r w:rsidR="00E72493">
              <w:rPr>
                <w:rFonts w:asciiTheme="majorBidi" w:hAnsiTheme="majorBidi" w:cstheme="majorBidi"/>
                <w:szCs w:val="22"/>
              </w:rPr>
              <w:t>'</w:t>
            </w:r>
            <w:r w:rsidRPr="00F83EB9">
              <w:rPr>
                <w:rFonts w:asciiTheme="majorBidi" w:hAnsiTheme="majorBidi" w:cstheme="majorBidi"/>
                <w:szCs w:val="22"/>
              </w:rPr>
              <w:t>antenne</w:t>
            </w:r>
          </w:p>
        </w:tc>
      </w:tr>
      <w:tr w:rsidR="002C0E9C" w:rsidRPr="00AA4FBF"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i/>
                <w:iCs/>
                <w:szCs w:val="22"/>
              </w:rPr>
              <w:t>G</w:t>
            </w:r>
            <w:r w:rsidRPr="00F83EB9">
              <w:rPr>
                <w:rFonts w:asciiTheme="majorBidi" w:hAnsiTheme="majorBidi" w:cstheme="majorBidi"/>
                <w:szCs w:val="22"/>
              </w:rPr>
              <w:t>/</w:t>
            </w:r>
            <w:r w:rsidRPr="00F83EB9">
              <w:rPr>
                <w:rFonts w:asciiTheme="majorBidi" w:hAnsiTheme="majorBidi" w:cstheme="majorBidi"/>
                <w:i/>
                <w:iCs/>
                <w:szCs w:val="22"/>
              </w:rPr>
              <w:t>T</w:t>
            </w:r>
            <w:r w:rsidRPr="00F83EB9">
              <w:rPr>
                <w:rFonts w:asciiTheme="majorBidi" w:hAnsiTheme="majorBidi" w:cstheme="majorBidi"/>
                <w:szCs w:val="22"/>
              </w:rPr>
              <w:t>, liaison descendante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24,4 dB(K</w:t>
            </w:r>
            <w:r w:rsidR="006C35AB" w:rsidRPr="00E72493">
              <w:rPr>
                <w:vertAlign w:val="superscript"/>
              </w:rPr>
              <w:t>–1</w:t>
            </w:r>
            <w:r w:rsidRPr="00F83EB9">
              <w:rPr>
                <w:rFonts w:asciiTheme="majorBidi" w:hAnsiTheme="majorBidi" w:cstheme="majorBidi"/>
                <w:szCs w:val="22"/>
              </w:rPr>
              <w:t>)</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AA4FBF" w:rsidTr="00E72493">
        <w:tc>
          <w:tcPr>
            <w:tcW w:w="2960" w:type="dxa"/>
            <w:gridSpan w:val="2"/>
          </w:tcPr>
          <w:p w:rsidR="002C0E9C" w:rsidRPr="00F83EB9" w:rsidRDefault="00E72493" w:rsidP="002C0E9C">
            <w:pPr>
              <w:pStyle w:val="Tabletext"/>
              <w:rPr>
                <w:rFonts w:asciiTheme="majorBidi" w:hAnsiTheme="majorBidi" w:cstheme="majorBidi"/>
                <w:szCs w:val="22"/>
              </w:rPr>
            </w:pPr>
            <w:r w:rsidRPr="00AA0515">
              <w:rPr>
                <w:i/>
                <w:iCs/>
              </w:rPr>
              <w:t>C</w:t>
            </w:r>
            <w:r w:rsidRPr="00AA0515">
              <w:t>/</w:t>
            </w:r>
            <w:r w:rsidRPr="00DC2EC8">
              <w:rPr>
                <w:i/>
                <w:iCs/>
              </w:rPr>
              <w:t>N</w:t>
            </w:r>
            <w:r w:rsidRPr="006754BC">
              <w:rPr>
                <w:vertAlign w:val="subscript"/>
              </w:rPr>
              <w:t>0</w:t>
            </w:r>
            <w:r w:rsidR="002C0E9C" w:rsidRPr="00F83EB9">
              <w:rPr>
                <w:rFonts w:asciiTheme="majorBidi" w:hAnsiTheme="majorBidi" w:cstheme="majorBidi"/>
                <w:szCs w:val="22"/>
              </w:rPr>
              <w:t>, liaison descendante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79,0 dB.Hz</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AA4FBF"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Débit des données</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2,6 Mbit/s</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566742" w:rsidTr="00E72493">
        <w:tc>
          <w:tcPr>
            <w:tcW w:w="2960" w:type="dxa"/>
            <w:gridSpan w:val="2"/>
          </w:tcPr>
          <w:p w:rsidR="002C0E9C" w:rsidRPr="00F83EB9" w:rsidRDefault="00E72493" w:rsidP="002C0E9C">
            <w:pPr>
              <w:pStyle w:val="Tabletext"/>
              <w:rPr>
                <w:rFonts w:asciiTheme="majorBidi" w:hAnsiTheme="majorBidi" w:cstheme="majorBidi"/>
                <w:szCs w:val="22"/>
              </w:rPr>
            </w:pPr>
            <w:r w:rsidRPr="00AA0515">
              <w:rPr>
                <w:i/>
                <w:iCs/>
              </w:rPr>
              <w:t>C</w:t>
            </w:r>
            <w:r w:rsidRPr="00AA0515">
              <w:t>/</w:t>
            </w:r>
            <w:r w:rsidRPr="00DC2EC8">
              <w:rPr>
                <w:i/>
                <w:iCs/>
              </w:rPr>
              <w:t>N</w:t>
            </w:r>
            <w:r w:rsidRPr="006754BC">
              <w:rPr>
                <w:vertAlign w:val="subscript"/>
              </w:rPr>
              <w:t>0</w:t>
            </w:r>
            <w:r w:rsidR="002C0E9C" w:rsidRPr="00F83EB9">
              <w:rPr>
                <w:rFonts w:asciiTheme="majorBidi" w:hAnsiTheme="majorBidi" w:cstheme="majorBidi"/>
                <w:szCs w:val="22"/>
              </w:rPr>
              <w:t xml:space="preserve"> requis</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78,1 dB.Hz</w:t>
            </w:r>
          </w:p>
        </w:tc>
        <w:tc>
          <w:tcPr>
            <w:tcW w:w="4196"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 xml:space="preserve">TEB </w:t>
            </w:r>
            <w:r w:rsidRPr="00F83EB9">
              <w:rPr>
                <w:rFonts w:ascii="Symbol" w:hAnsi="Symbol" w:cstheme="majorBidi"/>
                <w:szCs w:val="22"/>
              </w:rPr>
              <w:t></w:t>
            </w:r>
            <w:r w:rsidRPr="00F83EB9">
              <w:rPr>
                <w:rFonts w:asciiTheme="majorBidi" w:hAnsiTheme="majorBidi" w:cstheme="majorBidi"/>
                <w:szCs w:val="22"/>
              </w:rPr>
              <w:t xml:space="preserve"> 1 </w:t>
            </w:r>
            <w:r w:rsidRPr="00F83EB9">
              <w:rPr>
                <w:rFonts w:ascii="Symbol" w:hAnsi="Symbol" w:cstheme="majorBidi"/>
                <w:szCs w:val="22"/>
              </w:rPr>
              <w:t></w:t>
            </w:r>
            <w:r w:rsidRPr="00F83EB9">
              <w:rPr>
                <w:rFonts w:asciiTheme="majorBidi" w:hAnsiTheme="majorBidi" w:cstheme="majorBidi"/>
                <w:szCs w:val="22"/>
              </w:rPr>
              <w:t xml:space="preserve"> 10</w:t>
            </w:r>
            <w:r w:rsidRPr="006C35AB">
              <w:rPr>
                <w:sz w:val="18"/>
                <w:szCs w:val="18"/>
                <w:vertAlign w:val="superscript"/>
              </w:rPr>
              <w:t>–6</w:t>
            </w:r>
            <w:r w:rsidRPr="00F83EB9">
              <w:rPr>
                <w:rFonts w:asciiTheme="majorBidi" w:hAnsiTheme="majorBidi" w:cstheme="majorBidi"/>
                <w:szCs w:val="22"/>
                <w:vertAlign w:val="superscript"/>
              </w:rPr>
              <w:br/>
            </w:r>
            <w:r w:rsidRPr="00F83EB9">
              <w:rPr>
                <w:rFonts w:asciiTheme="majorBidi" w:hAnsiTheme="majorBidi" w:cstheme="majorBidi"/>
                <w:szCs w:val="22"/>
              </w:rPr>
              <w:t xml:space="preserve">Affaiblissement de mise en </w:t>
            </w:r>
            <w:r w:rsidR="00E72493">
              <w:rPr>
                <w:rFonts w:asciiTheme="majorBidi" w:hAnsiTheme="majorBidi" w:cstheme="majorBidi"/>
                <w:szCs w:val="22"/>
              </w:rPr>
              <w:t>oe</w:t>
            </w:r>
            <w:r w:rsidRPr="00F83EB9">
              <w:rPr>
                <w:rFonts w:asciiTheme="majorBidi" w:hAnsiTheme="majorBidi" w:cstheme="majorBidi"/>
                <w:szCs w:val="22"/>
              </w:rPr>
              <w:t xml:space="preserve">uvre </w:t>
            </w:r>
            <w:r w:rsidRPr="00F83EB9">
              <w:rPr>
                <w:rFonts w:ascii="Symbol" w:hAnsi="Symbol" w:cstheme="majorBidi"/>
                <w:szCs w:val="22"/>
              </w:rPr>
              <w:t></w:t>
            </w:r>
            <w:r w:rsidRPr="00F83EB9">
              <w:rPr>
                <w:rFonts w:asciiTheme="majorBidi" w:hAnsiTheme="majorBidi" w:cstheme="majorBidi"/>
                <w:szCs w:val="22"/>
              </w:rPr>
              <w:t xml:space="preserve"> 2,2 dB</w:t>
            </w:r>
            <w:r w:rsidRPr="00F83EB9">
              <w:rPr>
                <w:rFonts w:asciiTheme="majorBidi" w:hAnsiTheme="majorBidi" w:cstheme="majorBidi"/>
                <w:szCs w:val="22"/>
              </w:rPr>
              <w:br/>
              <w:t xml:space="preserve">Affaiblissement de modulation </w:t>
            </w:r>
            <w:r w:rsidRPr="00F83EB9">
              <w:rPr>
                <w:rFonts w:ascii="Symbol" w:hAnsi="Symbol" w:cstheme="majorBidi"/>
                <w:szCs w:val="22"/>
              </w:rPr>
              <w:t></w:t>
            </w:r>
            <w:r w:rsidRPr="00F83EB9">
              <w:rPr>
                <w:rFonts w:asciiTheme="majorBidi" w:hAnsiTheme="majorBidi" w:cstheme="majorBidi"/>
                <w:szCs w:val="22"/>
              </w:rPr>
              <w:t xml:space="preserve"> 1 dB</w:t>
            </w:r>
          </w:p>
        </w:tc>
      </w:tr>
      <w:tr w:rsidR="002C0E9C" w:rsidRPr="00566742"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Marge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0,9 dB</w:t>
            </w:r>
          </w:p>
        </w:tc>
        <w:tc>
          <w:tcPr>
            <w:tcW w:w="4196"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Long terme et court terme</w:t>
            </w:r>
          </w:p>
        </w:tc>
      </w:tr>
      <w:tr w:rsidR="002C0E9C" w:rsidRPr="00AA4FBF"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Gain de l</w:t>
            </w:r>
            <w:r w:rsidR="00E72493">
              <w:rPr>
                <w:rFonts w:asciiTheme="majorBidi" w:hAnsiTheme="majorBidi" w:cstheme="majorBidi"/>
                <w:szCs w:val="22"/>
              </w:rPr>
              <w:t>'</w:t>
            </w:r>
            <w:r w:rsidRPr="00F83EB9">
              <w:rPr>
                <w:rFonts w:asciiTheme="majorBidi" w:hAnsiTheme="majorBidi" w:cstheme="majorBidi"/>
                <w:szCs w:val="22"/>
              </w:rPr>
              <w:t>antenne de réception</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45,1 dBi</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AA4FBF" w:rsidTr="00E72493">
        <w:tc>
          <w:tcPr>
            <w:tcW w:w="2960" w:type="dxa"/>
            <w:gridSpan w:val="2"/>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Densité de bruit du récepteur</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–207,9 dB(W/Hz)</w:t>
            </w:r>
          </w:p>
        </w:tc>
        <w:tc>
          <w:tcPr>
            <w:tcW w:w="4196" w:type="dxa"/>
          </w:tcPr>
          <w:p w:rsidR="002C0E9C" w:rsidRPr="00F83EB9" w:rsidRDefault="002C0E9C" w:rsidP="002C0E9C">
            <w:pPr>
              <w:pStyle w:val="Tabletext"/>
              <w:jc w:val="center"/>
              <w:rPr>
                <w:rFonts w:asciiTheme="majorBidi" w:hAnsiTheme="majorBidi" w:cstheme="majorBidi"/>
                <w:szCs w:val="22"/>
              </w:rPr>
            </w:pPr>
          </w:p>
        </w:tc>
      </w:tr>
      <w:tr w:rsidR="002C0E9C" w:rsidRPr="00AA4FBF" w:rsidTr="00E72493">
        <w:tc>
          <w:tcPr>
            <w:tcW w:w="1638" w:type="dxa"/>
            <w:vMerge w:val="restart"/>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Critères de brouillage</w:t>
            </w:r>
          </w:p>
        </w:tc>
        <w:tc>
          <w:tcPr>
            <w:tcW w:w="1322" w:type="dxa"/>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Long terme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–153,9 dB(W/2,6 MHz)</w:t>
            </w:r>
          </w:p>
        </w:tc>
        <w:tc>
          <w:tcPr>
            <w:tcW w:w="4196"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i/>
                <w:iCs/>
                <w:szCs w:val="22"/>
              </w:rPr>
              <w:t>q</w:t>
            </w:r>
            <w:r w:rsidRPr="00F83EB9">
              <w:rPr>
                <w:rFonts w:asciiTheme="majorBidi" w:hAnsiTheme="majorBidi" w:cstheme="majorBidi"/>
                <w:szCs w:val="22"/>
              </w:rPr>
              <w:t xml:space="preserve"> </w:t>
            </w:r>
            <w:r w:rsidRPr="00F83EB9">
              <w:rPr>
                <w:rFonts w:ascii="Symbol" w:hAnsi="Symbol" w:cstheme="majorBidi"/>
                <w:szCs w:val="22"/>
              </w:rPr>
              <w:t></w:t>
            </w:r>
            <w:r w:rsidRPr="00F83EB9">
              <w:rPr>
                <w:rFonts w:asciiTheme="majorBidi" w:hAnsiTheme="majorBidi" w:cstheme="majorBidi"/>
                <w:szCs w:val="22"/>
              </w:rPr>
              <w:t xml:space="preserve"> 1/3 et </w:t>
            </w:r>
            <w:r w:rsidRPr="00F83EB9">
              <w:rPr>
                <w:rFonts w:asciiTheme="majorBidi" w:hAnsiTheme="majorBidi" w:cstheme="majorBidi"/>
                <w:i/>
                <w:iCs/>
                <w:szCs w:val="22"/>
              </w:rPr>
              <w:t>M</w:t>
            </w:r>
            <w:r w:rsidRPr="00F83EB9">
              <w:rPr>
                <w:rFonts w:asciiTheme="majorBidi" w:hAnsiTheme="majorBidi" w:cstheme="majorBidi"/>
                <w:i/>
                <w:iCs/>
                <w:position w:val="-4"/>
                <w:szCs w:val="22"/>
              </w:rPr>
              <w:t>min</w:t>
            </w:r>
            <w:r w:rsidRPr="00F83EB9">
              <w:rPr>
                <w:rFonts w:asciiTheme="majorBidi" w:hAnsiTheme="majorBidi" w:cstheme="majorBidi"/>
                <w:szCs w:val="22"/>
              </w:rPr>
              <w:t xml:space="preserve"> </w:t>
            </w:r>
            <w:r w:rsidRPr="00F83EB9">
              <w:rPr>
                <w:rFonts w:ascii="Symbol" w:hAnsi="Symbol" w:cstheme="majorBidi"/>
                <w:szCs w:val="22"/>
              </w:rPr>
              <w:t></w:t>
            </w:r>
            <w:r w:rsidRPr="00F83EB9">
              <w:rPr>
                <w:rFonts w:asciiTheme="majorBidi" w:hAnsiTheme="majorBidi" w:cstheme="majorBidi"/>
                <w:szCs w:val="22"/>
              </w:rPr>
              <w:t xml:space="preserve"> 1,2 dB</w:t>
            </w:r>
          </w:p>
        </w:tc>
      </w:tr>
      <w:tr w:rsidR="002C0E9C" w:rsidRPr="00AA4FBF" w:rsidTr="00E72493">
        <w:tc>
          <w:tcPr>
            <w:tcW w:w="1638" w:type="dxa"/>
            <w:vMerge/>
          </w:tcPr>
          <w:p w:rsidR="002C0E9C" w:rsidRPr="00F83EB9" w:rsidRDefault="002C0E9C" w:rsidP="002C0E9C">
            <w:pPr>
              <w:pStyle w:val="Tabletext"/>
              <w:rPr>
                <w:rFonts w:asciiTheme="majorBidi" w:hAnsiTheme="majorBidi" w:cstheme="majorBidi"/>
                <w:szCs w:val="22"/>
              </w:rPr>
            </w:pPr>
          </w:p>
        </w:tc>
        <w:tc>
          <w:tcPr>
            <w:tcW w:w="1322" w:type="dxa"/>
          </w:tcPr>
          <w:p w:rsidR="002C0E9C" w:rsidRPr="00F83EB9" w:rsidRDefault="002C0E9C" w:rsidP="002C0E9C">
            <w:pPr>
              <w:pStyle w:val="Tabletext"/>
              <w:rPr>
                <w:rFonts w:asciiTheme="majorBidi" w:hAnsiTheme="majorBidi" w:cstheme="majorBidi"/>
                <w:szCs w:val="22"/>
              </w:rPr>
            </w:pPr>
            <w:r w:rsidRPr="00F83EB9">
              <w:rPr>
                <w:rFonts w:asciiTheme="majorBidi" w:hAnsiTheme="majorBidi" w:cstheme="majorBidi"/>
                <w:szCs w:val="22"/>
              </w:rPr>
              <w:t>Court terme</w:t>
            </w:r>
          </w:p>
        </w:tc>
        <w:tc>
          <w:tcPr>
            <w:tcW w:w="2573"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szCs w:val="22"/>
              </w:rPr>
              <w:t>–148,7 dB(W/2,6 MHz)</w:t>
            </w:r>
          </w:p>
        </w:tc>
        <w:tc>
          <w:tcPr>
            <w:tcW w:w="4196" w:type="dxa"/>
          </w:tcPr>
          <w:p w:rsidR="002C0E9C" w:rsidRPr="00F83EB9" w:rsidRDefault="002C0E9C" w:rsidP="002C0E9C">
            <w:pPr>
              <w:pStyle w:val="Tabletext"/>
              <w:jc w:val="center"/>
              <w:rPr>
                <w:rFonts w:asciiTheme="majorBidi" w:hAnsiTheme="majorBidi" w:cstheme="majorBidi"/>
                <w:szCs w:val="22"/>
              </w:rPr>
            </w:pPr>
            <w:r w:rsidRPr="00F83EB9">
              <w:rPr>
                <w:rFonts w:asciiTheme="majorBidi" w:hAnsiTheme="majorBidi" w:cstheme="majorBidi"/>
                <w:i/>
                <w:iCs/>
                <w:szCs w:val="22"/>
              </w:rPr>
              <w:t>q</w:t>
            </w:r>
            <w:r w:rsidRPr="00F83EB9">
              <w:rPr>
                <w:rFonts w:asciiTheme="majorBidi" w:hAnsiTheme="majorBidi" w:cstheme="majorBidi"/>
                <w:szCs w:val="22"/>
              </w:rPr>
              <w:t xml:space="preserve"> </w:t>
            </w:r>
            <w:r w:rsidRPr="00F83EB9">
              <w:rPr>
                <w:rFonts w:ascii="Symbol" w:hAnsi="Symbol" w:cstheme="majorBidi"/>
                <w:szCs w:val="22"/>
              </w:rPr>
              <w:t></w:t>
            </w:r>
            <w:r w:rsidRPr="00F83EB9">
              <w:rPr>
                <w:rFonts w:asciiTheme="majorBidi" w:hAnsiTheme="majorBidi" w:cstheme="majorBidi"/>
                <w:szCs w:val="22"/>
              </w:rPr>
              <w:t xml:space="preserve"> 1 et </w:t>
            </w:r>
            <w:r w:rsidRPr="00F83EB9">
              <w:rPr>
                <w:rFonts w:asciiTheme="majorBidi" w:hAnsiTheme="majorBidi" w:cstheme="majorBidi"/>
                <w:i/>
                <w:iCs/>
                <w:szCs w:val="22"/>
              </w:rPr>
              <w:t>M</w:t>
            </w:r>
            <w:r w:rsidRPr="00F83EB9">
              <w:rPr>
                <w:rFonts w:asciiTheme="majorBidi" w:hAnsiTheme="majorBidi" w:cstheme="majorBidi"/>
                <w:i/>
                <w:iCs/>
                <w:position w:val="-4"/>
                <w:szCs w:val="22"/>
              </w:rPr>
              <w:t>min</w:t>
            </w:r>
            <w:r w:rsidRPr="00F83EB9">
              <w:rPr>
                <w:rFonts w:asciiTheme="majorBidi" w:hAnsiTheme="majorBidi" w:cstheme="majorBidi"/>
                <w:szCs w:val="22"/>
              </w:rPr>
              <w:t xml:space="preserve"> </w:t>
            </w:r>
            <w:r w:rsidRPr="00F83EB9">
              <w:rPr>
                <w:rFonts w:ascii="Symbol" w:hAnsi="Symbol" w:cstheme="majorBidi"/>
                <w:szCs w:val="22"/>
              </w:rPr>
              <w:t></w:t>
            </w:r>
            <w:r w:rsidRPr="00F83EB9">
              <w:rPr>
                <w:rFonts w:asciiTheme="majorBidi" w:hAnsiTheme="majorBidi" w:cstheme="majorBidi"/>
                <w:szCs w:val="22"/>
              </w:rPr>
              <w:t xml:space="preserve"> 1,2 dB</w:t>
            </w:r>
          </w:p>
        </w:tc>
      </w:tr>
    </w:tbl>
    <w:p w:rsidR="002C0E9C" w:rsidRPr="00AA4FBF" w:rsidRDefault="002C0E9C" w:rsidP="002C0E9C">
      <w:pPr>
        <w:pStyle w:val="Tablefin"/>
        <w:rPr>
          <w:lang w:val="fr-CH"/>
        </w:rPr>
      </w:pPr>
    </w:p>
    <w:p w:rsidR="002C0E9C" w:rsidRPr="00AA4FBF" w:rsidRDefault="002C0E9C" w:rsidP="002C0E9C">
      <w:pPr>
        <w:pStyle w:val="Tabletitle"/>
        <w:rPr>
          <w:caps/>
          <w:lang w:val="fr-CH"/>
        </w:rPr>
      </w:pPr>
      <w:r w:rsidRPr="00381A30">
        <w:rPr>
          <w:b w:val="0"/>
        </w:rPr>
        <w:lastRenderedPageBreak/>
        <w:t>b) Bande de fréquences 25,5-27,0 GHz</w:t>
      </w:r>
    </w:p>
    <w:p w:rsidR="002C0E9C" w:rsidRPr="00AA4FBF" w:rsidRDefault="002C0E9C" w:rsidP="002C0E9C">
      <w:pPr>
        <w:pStyle w:val="Blanc"/>
        <w:rPr>
          <w:lang w:val="fr-CH"/>
        </w:rPr>
      </w:pPr>
    </w:p>
    <w:tbl>
      <w:tblPr>
        <w:tblW w:w="9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714"/>
        <w:gridCol w:w="1246"/>
        <w:gridCol w:w="2419"/>
        <w:gridCol w:w="4351"/>
      </w:tblGrid>
      <w:tr w:rsidR="002C0E9C" w:rsidRPr="00AA4FBF" w:rsidTr="00E72493">
        <w:tc>
          <w:tcPr>
            <w:tcW w:w="2960" w:type="dxa"/>
            <w:gridSpan w:val="2"/>
            <w:tcBorders>
              <w:bottom w:val="single" w:sz="6" w:space="0" w:color="000000"/>
            </w:tcBorders>
          </w:tcPr>
          <w:p w:rsidR="002C0E9C" w:rsidRPr="00AA4FBF" w:rsidRDefault="002C0E9C" w:rsidP="000761A6">
            <w:pPr>
              <w:pStyle w:val="Tablehead"/>
              <w:rPr>
                <w:b w:val="0"/>
                <w:bCs/>
                <w:lang w:val="fr-CH"/>
              </w:rPr>
            </w:pPr>
            <w:r w:rsidRPr="00381A30">
              <w:t>Paramètre de la liaison</w:t>
            </w:r>
          </w:p>
        </w:tc>
        <w:tc>
          <w:tcPr>
            <w:tcW w:w="2419" w:type="dxa"/>
            <w:tcBorders>
              <w:bottom w:val="single" w:sz="6" w:space="0" w:color="000000"/>
            </w:tcBorders>
          </w:tcPr>
          <w:p w:rsidR="002C0E9C" w:rsidRPr="00AA4FBF" w:rsidRDefault="002C0E9C" w:rsidP="000761A6">
            <w:pPr>
              <w:pStyle w:val="Tablehead"/>
              <w:rPr>
                <w:b w:val="0"/>
                <w:bCs/>
                <w:szCs w:val="22"/>
                <w:lang w:val="fr-CH"/>
              </w:rPr>
            </w:pPr>
            <w:r w:rsidRPr="00381A30">
              <w:t>Valeur</w:t>
            </w:r>
          </w:p>
        </w:tc>
        <w:tc>
          <w:tcPr>
            <w:tcW w:w="4351" w:type="dxa"/>
            <w:tcBorders>
              <w:bottom w:val="single" w:sz="6" w:space="0" w:color="000000"/>
            </w:tcBorders>
          </w:tcPr>
          <w:p w:rsidR="002C0E9C" w:rsidRPr="00AA4FBF" w:rsidRDefault="002C0E9C" w:rsidP="000761A6">
            <w:pPr>
              <w:pStyle w:val="Tablehead"/>
            </w:pPr>
            <w:r w:rsidRPr="00AA4FBF">
              <w:t>Notes</w:t>
            </w:r>
          </w:p>
        </w:tc>
      </w:tr>
      <w:tr w:rsidR="002C0E9C" w:rsidRPr="00AA4FBF" w:rsidTr="00E72493">
        <w:tc>
          <w:tcPr>
            <w:tcW w:w="2960" w:type="dxa"/>
            <w:gridSpan w:val="2"/>
            <w:tcBorders>
              <w:top w:val="single" w:sz="6" w:space="0" w:color="000000"/>
              <w:bottom w:val="single" w:sz="12" w:space="0" w:color="000000"/>
            </w:tcBorders>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p.i.r.e. de la liaison descendante</w:t>
            </w:r>
          </w:p>
        </w:tc>
        <w:tc>
          <w:tcPr>
            <w:tcW w:w="2419" w:type="dxa"/>
            <w:tcBorders>
              <w:top w:val="single" w:sz="6" w:space="0" w:color="000000"/>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55,5 dBW</w:t>
            </w:r>
          </w:p>
        </w:tc>
        <w:tc>
          <w:tcPr>
            <w:tcW w:w="4351" w:type="dxa"/>
            <w:tcBorders>
              <w:top w:val="single" w:sz="6" w:space="0" w:color="000000"/>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566742" w:rsidTr="00E72493">
        <w:trPr>
          <w:cantSplit/>
        </w:trPr>
        <w:tc>
          <w:tcPr>
            <w:tcW w:w="1714" w:type="dxa"/>
            <w:vMerge w:val="restart"/>
            <w:tcBorders>
              <w:top w:val="single" w:sz="12" w:space="0" w:color="000000"/>
            </w:tcBorders>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Affaiblissement sur la liaison descendante</w:t>
            </w:r>
          </w:p>
        </w:tc>
        <w:tc>
          <w:tcPr>
            <w:tcW w:w="1246" w:type="dxa"/>
            <w:tcBorders>
              <w:top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Long terme</w:t>
            </w:r>
          </w:p>
        </w:tc>
        <w:tc>
          <w:tcPr>
            <w:tcW w:w="2419" w:type="dxa"/>
            <w:tcBorders>
              <w:top w:val="single" w:sz="12" w:space="0" w:color="000000"/>
            </w:tcBorders>
          </w:tcPr>
          <w:p w:rsidR="002C0E9C" w:rsidRPr="00F83EB9" w:rsidRDefault="002C0E9C" w:rsidP="000761A6">
            <w:pPr>
              <w:pStyle w:val="Tabletext"/>
              <w:jc w:val="center"/>
              <w:rPr>
                <w:szCs w:val="22"/>
                <w:lang w:val="fr-CH"/>
              </w:rPr>
            </w:pPr>
            <w:r w:rsidRPr="00F83EB9">
              <w:rPr>
                <w:szCs w:val="22"/>
                <w:lang w:val="fr-CH"/>
              </w:rPr>
              <w:t>227,9 dB</w:t>
            </w:r>
          </w:p>
        </w:tc>
        <w:tc>
          <w:tcPr>
            <w:tcW w:w="4351" w:type="dxa"/>
            <w:tcBorders>
              <w:top w:val="single" w:sz="12" w:space="0" w:color="000000"/>
            </w:tcBorders>
          </w:tcPr>
          <w:p w:rsidR="002C0E9C" w:rsidRPr="00F83EB9" w:rsidRDefault="002C0E9C" w:rsidP="000761A6">
            <w:pPr>
              <w:pStyle w:val="Tabletext"/>
              <w:jc w:val="center"/>
              <w:rPr>
                <w:szCs w:val="22"/>
                <w:lang w:val="fr-CH"/>
              </w:rPr>
            </w:pPr>
            <w:r w:rsidRPr="00F83EB9">
              <w:rPr>
                <w:szCs w:val="22"/>
                <w:lang w:val="fr-CH"/>
              </w:rPr>
              <w:t>Espace libre, pluie et conditions atmosphériques, polarisation et pointage d</w:t>
            </w:r>
            <w:r w:rsidR="00E72493">
              <w:rPr>
                <w:szCs w:val="22"/>
                <w:lang w:val="fr-CH"/>
              </w:rPr>
              <w:t>'</w:t>
            </w:r>
            <w:r w:rsidRPr="00F83EB9">
              <w:rPr>
                <w:szCs w:val="22"/>
                <w:lang w:val="fr-CH"/>
              </w:rPr>
              <w:t>antenne</w:t>
            </w:r>
          </w:p>
        </w:tc>
      </w:tr>
      <w:tr w:rsidR="002C0E9C" w:rsidRPr="00AA4FBF" w:rsidTr="00E72493">
        <w:trPr>
          <w:cantSplit/>
        </w:trPr>
        <w:tc>
          <w:tcPr>
            <w:tcW w:w="1714" w:type="dxa"/>
            <w:vMerge/>
          </w:tcPr>
          <w:p w:rsidR="002C0E9C" w:rsidRPr="00F83EB9" w:rsidRDefault="002C0E9C" w:rsidP="000761A6">
            <w:pPr>
              <w:pStyle w:val="TableText0"/>
              <w:spacing w:before="60" w:after="60" w:line="240" w:lineRule="auto"/>
              <w:ind w:left="57" w:right="57"/>
              <w:jc w:val="center"/>
              <w:rPr>
                <w:sz w:val="22"/>
                <w:szCs w:val="22"/>
                <w:lang w:val="fr-CH"/>
              </w:rPr>
            </w:pPr>
          </w:p>
        </w:tc>
        <w:tc>
          <w:tcPr>
            <w:tcW w:w="1246" w:type="dxa"/>
            <w:tcBorders>
              <w:top w:val="nil"/>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Court terme</w:t>
            </w:r>
          </w:p>
        </w:tc>
        <w:tc>
          <w:tcPr>
            <w:tcW w:w="2419" w:type="dxa"/>
          </w:tcPr>
          <w:p w:rsidR="002C0E9C" w:rsidRPr="00F83EB9" w:rsidRDefault="002C0E9C" w:rsidP="000761A6">
            <w:pPr>
              <w:pStyle w:val="Tabletext"/>
              <w:jc w:val="center"/>
              <w:rPr>
                <w:szCs w:val="22"/>
                <w:lang w:val="fr-CH"/>
              </w:rPr>
            </w:pPr>
            <w:r w:rsidRPr="00F83EB9">
              <w:rPr>
                <w:szCs w:val="22"/>
                <w:lang w:val="fr-CH"/>
              </w:rPr>
              <w:t>231,3 dB</w:t>
            </w:r>
          </w:p>
        </w:tc>
        <w:tc>
          <w:tcPr>
            <w:tcW w:w="4351" w:type="dxa"/>
          </w:tcPr>
          <w:p w:rsidR="002C0E9C" w:rsidRPr="00F83EB9" w:rsidRDefault="002C0E9C" w:rsidP="000761A6">
            <w:pPr>
              <w:pStyle w:val="Tabletext"/>
              <w:jc w:val="center"/>
              <w:rPr>
                <w:szCs w:val="22"/>
                <w:lang w:val="fr-CH"/>
              </w:rPr>
            </w:pPr>
            <w:r w:rsidRPr="00F83EB9">
              <w:rPr>
                <w:szCs w:val="22"/>
                <w:lang w:val="fr-CH"/>
              </w:rPr>
              <w:t>Surcroît d</w:t>
            </w:r>
            <w:r w:rsidR="00E72493">
              <w:rPr>
                <w:szCs w:val="22"/>
                <w:lang w:val="fr-CH"/>
              </w:rPr>
              <w:t>'</w:t>
            </w:r>
            <w:r w:rsidRPr="00F83EB9">
              <w:rPr>
                <w:szCs w:val="22"/>
                <w:lang w:val="fr-CH"/>
              </w:rPr>
              <w:t>affaiblissement de 7,1 dB</w:t>
            </w:r>
          </w:p>
        </w:tc>
      </w:tr>
      <w:tr w:rsidR="002C0E9C" w:rsidRPr="00AA4FBF" w:rsidTr="00E72493">
        <w:tc>
          <w:tcPr>
            <w:tcW w:w="2960" w:type="dxa"/>
            <w:gridSpan w:val="2"/>
          </w:tcPr>
          <w:p w:rsidR="002C0E9C" w:rsidRPr="00F83EB9" w:rsidRDefault="002C0E9C" w:rsidP="000761A6">
            <w:pPr>
              <w:pStyle w:val="TableText0"/>
              <w:spacing w:before="60" w:after="60" w:line="240" w:lineRule="auto"/>
              <w:ind w:left="170" w:right="57"/>
              <w:jc w:val="left"/>
              <w:rPr>
                <w:sz w:val="22"/>
                <w:szCs w:val="22"/>
                <w:lang w:val="fr-CH"/>
              </w:rPr>
            </w:pPr>
            <w:r w:rsidRPr="00F83EB9">
              <w:rPr>
                <w:i/>
                <w:iCs/>
                <w:sz w:val="22"/>
                <w:szCs w:val="22"/>
                <w:lang w:val="fr-CH"/>
              </w:rPr>
              <w:t>G</w:t>
            </w:r>
            <w:r w:rsidRPr="00F83EB9">
              <w:rPr>
                <w:sz w:val="22"/>
                <w:szCs w:val="22"/>
                <w:lang w:val="fr-CH"/>
              </w:rPr>
              <w:t>/</w:t>
            </w:r>
            <w:r w:rsidRPr="00F83EB9">
              <w:rPr>
                <w:i/>
                <w:iCs/>
                <w:sz w:val="22"/>
                <w:szCs w:val="22"/>
                <w:lang w:val="fr-CH"/>
              </w:rPr>
              <w:t>T,</w:t>
            </w:r>
            <w:r w:rsidRPr="00F83EB9">
              <w:rPr>
                <w:sz w:val="22"/>
                <w:szCs w:val="22"/>
                <w:lang w:val="fr-CH"/>
              </w:rPr>
              <w:t xml:space="preserve"> liaison descendante</w:t>
            </w:r>
          </w:p>
        </w:tc>
        <w:tc>
          <w:tcPr>
            <w:tcW w:w="2419" w:type="dxa"/>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37,6 dB(K</w:t>
            </w:r>
            <w:r w:rsidR="006C35AB" w:rsidRPr="00E72493">
              <w:rPr>
                <w:vertAlign w:val="superscript"/>
              </w:rPr>
              <w:t>–1</w:t>
            </w:r>
            <w:r w:rsidRPr="00F83EB9">
              <w:rPr>
                <w:sz w:val="22"/>
                <w:szCs w:val="22"/>
                <w:lang w:val="fr-CH"/>
              </w:rPr>
              <w:t>)</w:t>
            </w:r>
          </w:p>
        </w:tc>
        <w:tc>
          <w:tcPr>
            <w:tcW w:w="4351" w:type="dxa"/>
          </w:tcPr>
          <w:p w:rsidR="002C0E9C" w:rsidRPr="00F83EB9" w:rsidRDefault="002C0E9C" w:rsidP="000761A6">
            <w:pPr>
              <w:pStyle w:val="Tabletext"/>
              <w:jc w:val="center"/>
              <w:rPr>
                <w:szCs w:val="22"/>
                <w:lang w:val="fr-CH"/>
              </w:rPr>
            </w:pPr>
          </w:p>
        </w:tc>
      </w:tr>
      <w:tr w:rsidR="002C0E9C" w:rsidRPr="00AA4FBF" w:rsidTr="00E72493">
        <w:trPr>
          <w:cantSplit/>
        </w:trPr>
        <w:tc>
          <w:tcPr>
            <w:tcW w:w="1714" w:type="dxa"/>
            <w:vMerge w:val="restart"/>
          </w:tcPr>
          <w:p w:rsidR="002C0E9C" w:rsidRPr="00F83EB9" w:rsidRDefault="00E72493" w:rsidP="000761A6">
            <w:pPr>
              <w:pStyle w:val="TableText0"/>
              <w:spacing w:before="120" w:after="0" w:line="240" w:lineRule="auto"/>
              <w:ind w:left="170" w:right="57"/>
              <w:jc w:val="left"/>
              <w:rPr>
                <w:sz w:val="22"/>
                <w:szCs w:val="22"/>
                <w:lang w:val="fr-CH"/>
              </w:rPr>
            </w:pPr>
            <w:r w:rsidRPr="00E72493">
              <w:rPr>
                <w:i/>
                <w:iCs/>
                <w:sz w:val="22"/>
                <w:szCs w:val="22"/>
              </w:rPr>
              <w:t>C</w:t>
            </w:r>
            <w:r w:rsidRPr="00E72493">
              <w:rPr>
                <w:sz w:val="22"/>
                <w:szCs w:val="22"/>
              </w:rPr>
              <w:t>/</w:t>
            </w:r>
            <w:r w:rsidRPr="00E72493">
              <w:rPr>
                <w:i/>
                <w:iCs/>
                <w:sz w:val="22"/>
                <w:szCs w:val="22"/>
              </w:rPr>
              <w:t>N</w:t>
            </w:r>
            <w:r w:rsidRPr="00E72493">
              <w:rPr>
                <w:sz w:val="22"/>
                <w:szCs w:val="22"/>
                <w:vertAlign w:val="subscript"/>
              </w:rPr>
              <w:t>0</w:t>
            </w:r>
            <w:r w:rsidR="002C0E9C" w:rsidRPr="00E72493">
              <w:rPr>
                <w:sz w:val="22"/>
                <w:szCs w:val="22"/>
                <w:lang w:val="fr-CH"/>
              </w:rPr>
              <w:t>,</w:t>
            </w:r>
            <w:r w:rsidR="002C0E9C" w:rsidRPr="00F83EB9">
              <w:rPr>
                <w:sz w:val="22"/>
                <w:szCs w:val="22"/>
                <w:lang w:val="fr-CH"/>
              </w:rPr>
              <w:t xml:space="preserve"> liaison descendante</w:t>
            </w:r>
          </w:p>
        </w:tc>
        <w:tc>
          <w:tcPr>
            <w:tcW w:w="1246" w:type="dxa"/>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Long terme</w:t>
            </w:r>
          </w:p>
        </w:tc>
        <w:tc>
          <w:tcPr>
            <w:tcW w:w="2419" w:type="dxa"/>
          </w:tcPr>
          <w:p w:rsidR="002C0E9C" w:rsidRPr="00F83EB9" w:rsidRDefault="002C0E9C" w:rsidP="000761A6">
            <w:pPr>
              <w:pStyle w:val="Tabletext"/>
              <w:jc w:val="center"/>
              <w:rPr>
                <w:szCs w:val="22"/>
                <w:lang w:val="fr-CH"/>
              </w:rPr>
            </w:pPr>
            <w:r w:rsidRPr="00F83EB9">
              <w:rPr>
                <w:szCs w:val="22"/>
                <w:lang w:val="fr-CH"/>
              </w:rPr>
              <w:t>93,8 dB.Hz</w:t>
            </w:r>
          </w:p>
        </w:tc>
        <w:tc>
          <w:tcPr>
            <w:tcW w:w="4351" w:type="dxa"/>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AA4FBF" w:rsidTr="00E72493">
        <w:trPr>
          <w:cantSplit/>
        </w:trPr>
        <w:tc>
          <w:tcPr>
            <w:tcW w:w="1714" w:type="dxa"/>
            <w:vMerge/>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c>
          <w:tcPr>
            <w:tcW w:w="1246" w:type="dxa"/>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Court terme</w:t>
            </w:r>
          </w:p>
        </w:tc>
        <w:tc>
          <w:tcPr>
            <w:tcW w:w="2419" w:type="dxa"/>
            <w:tcBorders>
              <w:bottom w:val="single" w:sz="12" w:space="0" w:color="000000"/>
            </w:tcBorders>
          </w:tcPr>
          <w:p w:rsidR="002C0E9C" w:rsidRPr="00F83EB9" w:rsidRDefault="002C0E9C" w:rsidP="000761A6">
            <w:pPr>
              <w:pStyle w:val="Tabletext"/>
              <w:jc w:val="center"/>
              <w:rPr>
                <w:szCs w:val="22"/>
                <w:lang w:val="fr-CH"/>
              </w:rPr>
            </w:pPr>
            <w:r w:rsidRPr="00F83EB9">
              <w:rPr>
                <w:szCs w:val="22"/>
                <w:lang w:val="fr-CH"/>
              </w:rPr>
              <w:t>90,4 dB.Hz</w:t>
            </w:r>
          </w:p>
        </w:tc>
        <w:tc>
          <w:tcPr>
            <w:tcW w:w="4351" w:type="dxa"/>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AA4FBF" w:rsidTr="00E72493">
        <w:tc>
          <w:tcPr>
            <w:tcW w:w="2960" w:type="dxa"/>
            <w:gridSpan w:val="2"/>
            <w:tcBorders>
              <w:top w:val="single" w:sz="12" w:space="0" w:color="000000"/>
            </w:tcBorders>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Débit des données</w:t>
            </w:r>
          </w:p>
        </w:tc>
        <w:tc>
          <w:tcPr>
            <w:tcW w:w="2419" w:type="dxa"/>
            <w:tcBorders>
              <w:top w:val="single" w:sz="12" w:space="0" w:color="000000"/>
            </w:tcBorders>
          </w:tcPr>
          <w:p w:rsidR="002C0E9C" w:rsidRPr="00F83EB9" w:rsidRDefault="002C0E9C" w:rsidP="000761A6">
            <w:pPr>
              <w:pStyle w:val="Tabletext"/>
              <w:jc w:val="center"/>
              <w:rPr>
                <w:szCs w:val="22"/>
                <w:lang w:val="fr-CH"/>
              </w:rPr>
            </w:pPr>
            <w:r w:rsidRPr="00F83EB9">
              <w:rPr>
                <w:szCs w:val="22"/>
                <w:lang w:val="fr-CH"/>
              </w:rPr>
              <w:t>164 Mbit/s</w:t>
            </w:r>
          </w:p>
        </w:tc>
        <w:tc>
          <w:tcPr>
            <w:tcW w:w="4351" w:type="dxa"/>
            <w:tcBorders>
              <w:top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566742" w:rsidTr="00E72493">
        <w:tc>
          <w:tcPr>
            <w:tcW w:w="2960" w:type="dxa"/>
            <w:gridSpan w:val="2"/>
            <w:tcBorders>
              <w:bottom w:val="nil"/>
            </w:tcBorders>
          </w:tcPr>
          <w:p w:rsidR="002C0E9C" w:rsidRPr="00E72493" w:rsidRDefault="00E72493" w:rsidP="000761A6">
            <w:pPr>
              <w:pStyle w:val="TableText0"/>
              <w:spacing w:before="60" w:after="60" w:line="240" w:lineRule="auto"/>
              <w:ind w:left="170" w:right="57"/>
              <w:jc w:val="left"/>
              <w:rPr>
                <w:sz w:val="22"/>
                <w:szCs w:val="22"/>
                <w:lang w:val="fr-CH"/>
              </w:rPr>
            </w:pPr>
            <w:r w:rsidRPr="00E72493">
              <w:rPr>
                <w:i/>
                <w:iCs/>
                <w:sz w:val="22"/>
                <w:szCs w:val="22"/>
              </w:rPr>
              <w:t>C</w:t>
            </w:r>
            <w:r w:rsidRPr="00E72493">
              <w:rPr>
                <w:sz w:val="22"/>
                <w:szCs w:val="22"/>
              </w:rPr>
              <w:t>/</w:t>
            </w:r>
            <w:r w:rsidRPr="00E72493">
              <w:rPr>
                <w:i/>
                <w:iCs/>
                <w:sz w:val="22"/>
                <w:szCs w:val="22"/>
              </w:rPr>
              <w:t>N</w:t>
            </w:r>
            <w:r w:rsidRPr="00E72493">
              <w:rPr>
                <w:sz w:val="22"/>
                <w:szCs w:val="22"/>
                <w:vertAlign w:val="subscript"/>
              </w:rPr>
              <w:t>0</w:t>
            </w:r>
            <w:r w:rsidR="002C0E9C" w:rsidRPr="00E72493">
              <w:rPr>
                <w:sz w:val="22"/>
                <w:szCs w:val="22"/>
                <w:lang w:val="fr-CH"/>
              </w:rPr>
              <w:t xml:space="preserve"> requis</w:t>
            </w:r>
          </w:p>
        </w:tc>
        <w:tc>
          <w:tcPr>
            <w:tcW w:w="2419" w:type="dxa"/>
            <w:tcBorders>
              <w:bottom w:val="nil"/>
            </w:tcBorders>
          </w:tcPr>
          <w:p w:rsidR="002C0E9C" w:rsidRPr="00F83EB9" w:rsidRDefault="002C0E9C" w:rsidP="000761A6">
            <w:pPr>
              <w:pStyle w:val="Tabletext"/>
              <w:jc w:val="center"/>
              <w:rPr>
                <w:szCs w:val="22"/>
                <w:lang w:val="fr-CH"/>
              </w:rPr>
            </w:pPr>
            <w:r w:rsidRPr="00F83EB9">
              <w:rPr>
                <w:szCs w:val="22"/>
                <w:lang w:val="fr-CH"/>
              </w:rPr>
              <w:t>88,7 dB.Hz</w:t>
            </w:r>
          </w:p>
        </w:tc>
        <w:tc>
          <w:tcPr>
            <w:tcW w:w="4351" w:type="dxa"/>
            <w:tcBorders>
              <w:bottom w:val="nil"/>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TEB = 1 × 10</w:t>
            </w:r>
            <w:r w:rsidRPr="00F83EB9">
              <w:rPr>
                <w:sz w:val="22"/>
                <w:szCs w:val="22"/>
                <w:vertAlign w:val="superscript"/>
                <w:lang w:val="fr-CH"/>
              </w:rPr>
              <w:t>–9</w:t>
            </w:r>
            <w:r w:rsidRPr="00F83EB9">
              <w:rPr>
                <w:sz w:val="22"/>
                <w:szCs w:val="22"/>
                <w:lang w:val="fr-CH"/>
              </w:rPr>
              <w:t xml:space="preserve"> </w:t>
            </w:r>
            <w:r w:rsidRPr="00F83EB9">
              <w:rPr>
                <w:sz w:val="22"/>
                <w:szCs w:val="22"/>
                <w:lang w:val="fr-CH"/>
              </w:rPr>
              <w:br/>
              <w:t xml:space="preserve">Affaiblissement de mise en </w:t>
            </w:r>
            <w:r w:rsidR="00E72493">
              <w:rPr>
                <w:sz w:val="22"/>
                <w:szCs w:val="22"/>
                <w:lang w:val="fr-CH"/>
              </w:rPr>
              <w:t>oe</w:t>
            </w:r>
            <w:r w:rsidRPr="00F83EB9">
              <w:rPr>
                <w:sz w:val="22"/>
                <w:szCs w:val="22"/>
                <w:lang w:val="fr-CH"/>
              </w:rPr>
              <w:t>uvre = 1,5 dB Affaiblissement de modulation = 1,75 dB</w:t>
            </w:r>
          </w:p>
        </w:tc>
      </w:tr>
      <w:tr w:rsidR="002C0E9C" w:rsidRPr="00AA4FBF" w:rsidTr="00E72493">
        <w:trPr>
          <w:cantSplit/>
        </w:trPr>
        <w:tc>
          <w:tcPr>
            <w:tcW w:w="1714" w:type="dxa"/>
            <w:vMerge w:val="restart"/>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Marge</w:t>
            </w:r>
          </w:p>
        </w:tc>
        <w:tc>
          <w:tcPr>
            <w:tcW w:w="1246" w:type="dxa"/>
            <w:tcBorders>
              <w:bottom w:val="nil"/>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Long terme</w:t>
            </w:r>
          </w:p>
        </w:tc>
        <w:tc>
          <w:tcPr>
            <w:tcW w:w="2419" w:type="dxa"/>
            <w:tcBorders>
              <w:bottom w:val="nil"/>
            </w:tcBorders>
          </w:tcPr>
          <w:p w:rsidR="002C0E9C" w:rsidRPr="00F83EB9" w:rsidRDefault="002C0E9C" w:rsidP="000761A6">
            <w:pPr>
              <w:pStyle w:val="Tabletext"/>
              <w:jc w:val="center"/>
              <w:rPr>
                <w:szCs w:val="22"/>
                <w:lang w:val="fr-CH"/>
              </w:rPr>
            </w:pPr>
            <w:r w:rsidRPr="00F83EB9">
              <w:rPr>
                <w:szCs w:val="22"/>
                <w:lang w:val="fr-CH"/>
              </w:rPr>
              <w:t>5,1 dB</w:t>
            </w:r>
          </w:p>
        </w:tc>
        <w:tc>
          <w:tcPr>
            <w:tcW w:w="4351" w:type="dxa"/>
            <w:tcBorders>
              <w:bottom w:val="nil"/>
            </w:tcBorders>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AA4FBF" w:rsidTr="00E72493">
        <w:trPr>
          <w:cantSplit/>
        </w:trPr>
        <w:tc>
          <w:tcPr>
            <w:tcW w:w="1714" w:type="dxa"/>
            <w:vMerge/>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c>
          <w:tcPr>
            <w:tcW w:w="1246" w:type="dxa"/>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Court terme</w:t>
            </w:r>
          </w:p>
        </w:tc>
        <w:tc>
          <w:tcPr>
            <w:tcW w:w="2419" w:type="dxa"/>
            <w:tcBorders>
              <w:bottom w:val="single" w:sz="12" w:space="0" w:color="000000"/>
            </w:tcBorders>
          </w:tcPr>
          <w:p w:rsidR="002C0E9C" w:rsidRPr="00F83EB9" w:rsidRDefault="002C0E9C" w:rsidP="000761A6">
            <w:pPr>
              <w:pStyle w:val="Tabletext"/>
              <w:jc w:val="center"/>
              <w:rPr>
                <w:szCs w:val="22"/>
                <w:lang w:val="fr-CH"/>
              </w:rPr>
            </w:pPr>
            <w:r w:rsidRPr="00F83EB9">
              <w:rPr>
                <w:szCs w:val="22"/>
                <w:lang w:val="fr-CH"/>
              </w:rPr>
              <w:t>1,7 dB</w:t>
            </w:r>
          </w:p>
        </w:tc>
        <w:tc>
          <w:tcPr>
            <w:tcW w:w="4351" w:type="dxa"/>
            <w:tcBorders>
              <w:bottom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566742" w:rsidTr="00E72493">
        <w:tc>
          <w:tcPr>
            <w:tcW w:w="2960" w:type="dxa"/>
            <w:gridSpan w:val="2"/>
            <w:tcBorders>
              <w:top w:val="single" w:sz="12" w:space="0" w:color="000000"/>
            </w:tcBorders>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Gain de l</w:t>
            </w:r>
            <w:r w:rsidR="00E72493">
              <w:rPr>
                <w:sz w:val="22"/>
                <w:szCs w:val="22"/>
                <w:lang w:val="fr-CH"/>
              </w:rPr>
              <w:t>'</w:t>
            </w:r>
            <w:r w:rsidRPr="00F83EB9">
              <w:rPr>
                <w:sz w:val="22"/>
                <w:szCs w:val="22"/>
                <w:lang w:val="fr-CH"/>
              </w:rPr>
              <w:t>antenne de réception</w:t>
            </w:r>
          </w:p>
        </w:tc>
        <w:tc>
          <w:tcPr>
            <w:tcW w:w="2419" w:type="dxa"/>
            <w:tcBorders>
              <w:top w:val="single" w:sz="12" w:space="0" w:color="000000"/>
            </w:tcBorders>
          </w:tcPr>
          <w:p w:rsidR="002C0E9C" w:rsidRPr="00F83EB9" w:rsidRDefault="002C0E9C" w:rsidP="000761A6">
            <w:pPr>
              <w:pStyle w:val="Tabletext"/>
              <w:jc w:val="center"/>
              <w:rPr>
                <w:szCs w:val="22"/>
                <w:lang w:val="fr-CH"/>
              </w:rPr>
            </w:pPr>
            <w:r w:rsidRPr="00F83EB9">
              <w:rPr>
                <w:szCs w:val="22"/>
                <w:lang w:val="fr-CH"/>
              </w:rPr>
              <w:t>60,6 dBi</w:t>
            </w:r>
          </w:p>
        </w:tc>
        <w:tc>
          <w:tcPr>
            <w:tcW w:w="4351" w:type="dxa"/>
            <w:tcBorders>
              <w:top w:val="single" w:sz="12" w:space="0" w:color="000000"/>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color w:val="000000"/>
                <w:sz w:val="22"/>
                <w:szCs w:val="22"/>
                <w:lang w:val="fr-CH"/>
              </w:rPr>
              <w:t>Y compris les pertes liées au pointage</w:t>
            </w:r>
          </w:p>
        </w:tc>
      </w:tr>
      <w:tr w:rsidR="002C0E9C" w:rsidRPr="00AA4FBF" w:rsidTr="00E72493">
        <w:tc>
          <w:tcPr>
            <w:tcW w:w="2960" w:type="dxa"/>
            <w:gridSpan w:val="2"/>
          </w:tcPr>
          <w:p w:rsidR="002C0E9C" w:rsidRPr="00F83EB9" w:rsidRDefault="002C0E9C" w:rsidP="000761A6">
            <w:pPr>
              <w:pStyle w:val="TableText0"/>
              <w:spacing w:before="60" w:after="60" w:line="240" w:lineRule="auto"/>
              <w:ind w:left="170" w:right="57"/>
              <w:jc w:val="left"/>
              <w:rPr>
                <w:sz w:val="22"/>
                <w:szCs w:val="22"/>
                <w:lang w:val="fr-CH"/>
              </w:rPr>
            </w:pPr>
            <w:r w:rsidRPr="00F83EB9">
              <w:rPr>
                <w:sz w:val="22"/>
                <w:szCs w:val="22"/>
                <w:lang w:val="fr-CH"/>
              </w:rPr>
              <w:t>Densité de bruit du récepteur</w:t>
            </w:r>
          </w:p>
        </w:tc>
        <w:tc>
          <w:tcPr>
            <w:tcW w:w="2419" w:type="dxa"/>
          </w:tcPr>
          <w:p w:rsidR="002C0E9C" w:rsidRPr="00F83EB9" w:rsidRDefault="002C0E9C" w:rsidP="000761A6">
            <w:pPr>
              <w:pStyle w:val="Tabletext"/>
              <w:jc w:val="center"/>
              <w:rPr>
                <w:szCs w:val="22"/>
                <w:lang w:val="fr-CH"/>
              </w:rPr>
            </w:pPr>
            <w:r w:rsidRPr="00F83EB9">
              <w:rPr>
                <w:szCs w:val="22"/>
                <w:lang w:val="fr-CH"/>
              </w:rPr>
              <w:t>–205,6 dB(W/Hz)</w:t>
            </w:r>
          </w:p>
        </w:tc>
        <w:tc>
          <w:tcPr>
            <w:tcW w:w="4351" w:type="dxa"/>
          </w:tcPr>
          <w:p w:rsidR="002C0E9C" w:rsidRPr="00F83EB9" w:rsidRDefault="002C0E9C" w:rsidP="000761A6">
            <w:pPr>
              <w:pStyle w:val="TableText0"/>
              <w:spacing w:before="60" w:after="60" w:line="240" w:lineRule="auto"/>
              <w:ind w:left="57" w:right="57"/>
              <w:jc w:val="center"/>
              <w:rPr>
                <w:sz w:val="22"/>
                <w:szCs w:val="22"/>
                <w:lang w:val="fr-CH"/>
              </w:rPr>
            </w:pPr>
          </w:p>
        </w:tc>
      </w:tr>
      <w:tr w:rsidR="002C0E9C" w:rsidRPr="00AA4FBF" w:rsidTr="00E72493">
        <w:trPr>
          <w:cantSplit/>
        </w:trPr>
        <w:tc>
          <w:tcPr>
            <w:tcW w:w="1714" w:type="dxa"/>
            <w:vMerge w:val="restart"/>
            <w:tcBorders>
              <w:top w:val="nil"/>
            </w:tcBorders>
          </w:tcPr>
          <w:p w:rsidR="002C0E9C" w:rsidRPr="00F83EB9" w:rsidRDefault="002C0E9C" w:rsidP="000761A6">
            <w:pPr>
              <w:pStyle w:val="TableText0"/>
              <w:spacing w:line="240" w:lineRule="auto"/>
              <w:ind w:left="170" w:right="57"/>
              <w:jc w:val="left"/>
              <w:rPr>
                <w:sz w:val="22"/>
                <w:szCs w:val="22"/>
                <w:lang w:val="fr-CH"/>
              </w:rPr>
            </w:pPr>
            <w:r w:rsidRPr="00F83EB9">
              <w:rPr>
                <w:sz w:val="22"/>
                <w:szCs w:val="22"/>
                <w:lang w:val="fr-CH"/>
              </w:rPr>
              <w:t>Critères de brouillage</w:t>
            </w:r>
          </w:p>
        </w:tc>
        <w:tc>
          <w:tcPr>
            <w:tcW w:w="1246" w:type="dxa"/>
            <w:tcBorders>
              <w:top w:val="nil"/>
            </w:tcBorders>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Long terme</w:t>
            </w:r>
          </w:p>
        </w:tc>
        <w:tc>
          <w:tcPr>
            <w:tcW w:w="2419" w:type="dxa"/>
            <w:tcBorders>
              <w:top w:val="nil"/>
            </w:tcBorders>
          </w:tcPr>
          <w:p w:rsidR="002C0E9C" w:rsidRPr="00F83EB9" w:rsidRDefault="002C0E9C" w:rsidP="000761A6">
            <w:pPr>
              <w:pStyle w:val="Tabletext"/>
              <w:jc w:val="center"/>
              <w:rPr>
                <w:szCs w:val="22"/>
                <w:lang w:val="fr-CH"/>
              </w:rPr>
            </w:pPr>
            <w:r w:rsidRPr="00F83EB9">
              <w:rPr>
                <w:szCs w:val="22"/>
                <w:lang w:val="fr-CH"/>
              </w:rPr>
              <w:t>–144,6 dB(W/10 MHz)</w:t>
            </w:r>
          </w:p>
        </w:tc>
        <w:tc>
          <w:tcPr>
            <w:tcW w:w="4351" w:type="dxa"/>
            <w:tcBorders>
              <w:top w:val="nil"/>
            </w:tcBorders>
          </w:tcPr>
          <w:p w:rsidR="002C0E9C" w:rsidRPr="00F83EB9" w:rsidRDefault="002C0E9C" w:rsidP="000761A6">
            <w:pPr>
              <w:pStyle w:val="Tabletext"/>
              <w:jc w:val="center"/>
              <w:rPr>
                <w:i/>
                <w:szCs w:val="22"/>
                <w:lang w:val="fr-CH"/>
              </w:rPr>
            </w:pPr>
            <w:r w:rsidRPr="00F83EB9">
              <w:rPr>
                <w:i/>
                <w:iCs/>
                <w:szCs w:val="22"/>
                <w:lang w:val="fr-CH"/>
              </w:rPr>
              <w:t>q</w:t>
            </w:r>
            <w:r w:rsidRPr="00F83EB9">
              <w:rPr>
                <w:szCs w:val="22"/>
                <w:lang w:val="fr-CH"/>
              </w:rPr>
              <w:t xml:space="preserve"> </w:t>
            </w:r>
            <w:r w:rsidRPr="00F83EB9">
              <w:rPr>
                <w:rFonts w:ascii="Symbol" w:hAnsi="Symbol"/>
                <w:szCs w:val="22"/>
                <w:lang w:val="fr-CH"/>
              </w:rPr>
              <w:t></w:t>
            </w:r>
            <w:r w:rsidRPr="00F83EB9">
              <w:rPr>
                <w:szCs w:val="22"/>
                <w:lang w:val="fr-CH"/>
              </w:rPr>
              <w:t xml:space="preserve"> 0,1 et </w:t>
            </w:r>
            <w:r w:rsidRPr="00F83EB9">
              <w:rPr>
                <w:i/>
                <w:iCs/>
                <w:szCs w:val="22"/>
                <w:lang w:val="fr-CH"/>
              </w:rPr>
              <w:t>M</w:t>
            </w:r>
            <w:r w:rsidRPr="00F83EB9">
              <w:rPr>
                <w:i/>
                <w:szCs w:val="22"/>
                <w:vertAlign w:val="subscript"/>
                <w:lang w:val="fr-CH"/>
              </w:rPr>
              <w:t>min</w:t>
            </w:r>
            <w:r w:rsidRPr="00F83EB9">
              <w:rPr>
                <w:szCs w:val="22"/>
                <w:lang w:val="fr-CH"/>
              </w:rPr>
              <w:t xml:space="preserve"> </w:t>
            </w:r>
            <w:r w:rsidRPr="00F83EB9">
              <w:rPr>
                <w:rFonts w:ascii="Symbol" w:hAnsi="Symbol"/>
                <w:szCs w:val="22"/>
                <w:lang w:val="fr-CH"/>
              </w:rPr>
              <w:t></w:t>
            </w:r>
            <w:r w:rsidRPr="00F83EB9">
              <w:rPr>
                <w:szCs w:val="22"/>
                <w:lang w:val="fr-CH"/>
              </w:rPr>
              <w:t xml:space="preserve"> 4,5 dB</w:t>
            </w:r>
          </w:p>
        </w:tc>
      </w:tr>
      <w:tr w:rsidR="002C0E9C" w:rsidRPr="00AA4FBF" w:rsidTr="00E72493">
        <w:trPr>
          <w:cantSplit/>
        </w:trPr>
        <w:tc>
          <w:tcPr>
            <w:tcW w:w="1714" w:type="dxa"/>
            <w:vMerge/>
          </w:tcPr>
          <w:p w:rsidR="002C0E9C" w:rsidRPr="00F83EB9" w:rsidRDefault="002C0E9C" w:rsidP="000761A6">
            <w:pPr>
              <w:pStyle w:val="TableText0"/>
              <w:spacing w:before="60" w:after="60" w:line="240" w:lineRule="auto"/>
              <w:ind w:left="57" w:right="57"/>
              <w:jc w:val="center"/>
              <w:rPr>
                <w:sz w:val="22"/>
                <w:szCs w:val="22"/>
                <w:lang w:val="fr-CH"/>
              </w:rPr>
            </w:pPr>
          </w:p>
        </w:tc>
        <w:tc>
          <w:tcPr>
            <w:tcW w:w="1246" w:type="dxa"/>
          </w:tcPr>
          <w:p w:rsidR="002C0E9C" w:rsidRPr="00F83EB9" w:rsidRDefault="002C0E9C" w:rsidP="000761A6">
            <w:pPr>
              <w:pStyle w:val="TableText0"/>
              <w:spacing w:before="60" w:after="60" w:line="240" w:lineRule="auto"/>
              <w:ind w:left="57" w:right="57"/>
              <w:jc w:val="center"/>
              <w:rPr>
                <w:sz w:val="22"/>
                <w:szCs w:val="22"/>
                <w:lang w:val="fr-CH"/>
              </w:rPr>
            </w:pPr>
            <w:r w:rsidRPr="00F83EB9">
              <w:rPr>
                <w:sz w:val="22"/>
                <w:szCs w:val="22"/>
                <w:lang w:val="fr-CH"/>
              </w:rPr>
              <w:t>Court terme</w:t>
            </w:r>
          </w:p>
        </w:tc>
        <w:tc>
          <w:tcPr>
            <w:tcW w:w="2419" w:type="dxa"/>
          </w:tcPr>
          <w:p w:rsidR="002C0E9C" w:rsidRPr="00F83EB9" w:rsidRDefault="002C0E9C" w:rsidP="000761A6">
            <w:pPr>
              <w:pStyle w:val="Tabletext"/>
              <w:jc w:val="center"/>
              <w:rPr>
                <w:szCs w:val="22"/>
                <w:lang w:val="fr-CH"/>
              </w:rPr>
            </w:pPr>
            <w:r w:rsidRPr="00F83EB9">
              <w:rPr>
                <w:szCs w:val="22"/>
                <w:lang w:val="fr-CH"/>
              </w:rPr>
              <w:t>–133,0 dB(W/10 MHz)</w:t>
            </w:r>
          </w:p>
        </w:tc>
        <w:tc>
          <w:tcPr>
            <w:tcW w:w="4351" w:type="dxa"/>
          </w:tcPr>
          <w:p w:rsidR="002C0E9C" w:rsidRPr="00F83EB9" w:rsidRDefault="002C0E9C" w:rsidP="000761A6">
            <w:pPr>
              <w:pStyle w:val="Tabletext"/>
              <w:jc w:val="center"/>
              <w:rPr>
                <w:i/>
                <w:szCs w:val="22"/>
                <w:lang w:val="fr-CH"/>
              </w:rPr>
            </w:pPr>
            <w:r w:rsidRPr="00F83EB9">
              <w:rPr>
                <w:i/>
                <w:iCs/>
                <w:szCs w:val="22"/>
                <w:lang w:val="fr-CH"/>
              </w:rPr>
              <w:t>q</w:t>
            </w:r>
            <w:r w:rsidRPr="00F83EB9">
              <w:rPr>
                <w:szCs w:val="22"/>
                <w:lang w:val="fr-CH"/>
              </w:rPr>
              <w:t xml:space="preserve"> </w:t>
            </w:r>
            <w:r w:rsidRPr="00F83EB9">
              <w:rPr>
                <w:rFonts w:ascii="Symbol" w:hAnsi="Symbol"/>
                <w:szCs w:val="22"/>
                <w:lang w:val="fr-CH"/>
              </w:rPr>
              <w:t></w:t>
            </w:r>
            <w:r w:rsidRPr="00F83EB9">
              <w:rPr>
                <w:szCs w:val="22"/>
                <w:lang w:val="fr-CH"/>
              </w:rPr>
              <w:t xml:space="preserve"> 1 et </w:t>
            </w:r>
            <w:r w:rsidRPr="00F83EB9">
              <w:rPr>
                <w:i/>
                <w:iCs/>
                <w:szCs w:val="22"/>
                <w:lang w:val="fr-CH"/>
              </w:rPr>
              <w:t>M</w:t>
            </w:r>
            <w:r w:rsidRPr="00F83EB9">
              <w:rPr>
                <w:i/>
                <w:szCs w:val="22"/>
                <w:vertAlign w:val="subscript"/>
                <w:lang w:val="fr-CH"/>
              </w:rPr>
              <w:t>min</w:t>
            </w:r>
            <w:r w:rsidRPr="00F83EB9">
              <w:rPr>
                <w:szCs w:val="22"/>
                <w:lang w:val="fr-CH"/>
              </w:rPr>
              <w:t xml:space="preserve"> </w:t>
            </w:r>
            <w:r w:rsidRPr="00F83EB9">
              <w:rPr>
                <w:rFonts w:ascii="Symbol" w:hAnsi="Symbol"/>
                <w:szCs w:val="22"/>
                <w:lang w:val="fr-CH"/>
              </w:rPr>
              <w:t></w:t>
            </w:r>
            <w:r w:rsidRPr="00F83EB9">
              <w:rPr>
                <w:szCs w:val="22"/>
                <w:lang w:val="fr-CH"/>
              </w:rPr>
              <w:t xml:space="preserve"> 4,5 dB</w:t>
            </w:r>
          </w:p>
        </w:tc>
      </w:tr>
    </w:tbl>
    <w:p w:rsidR="002C0E9C" w:rsidRPr="00AA4FBF" w:rsidRDefault="002C0E9C" w:rsidP="002C0E9C">
      <w:pPr>
        <w:pStyle w:val="Heading1"/>
        <w:rPr>
          <w:lang w:val="fr-CH"/>
        </w:rPr>
      </w:pPr>
      <w:r w:rsidRPr="00AA4FBF">
        <w:rPr>
          <w:lang w:val="fr-CH"/>
        </w:rPr>
        <w:t>2</w:t>
      </w:r>
      <w:r w:rsidRPr="00AA4FBF">
        <w:rPr>
          <w:lang w:val="fr-CH"/>
        </w:rPr>
        <w:tab/>
        <w:t>Diffusion de données à des stations d</w:t>
      </w:r>
      <w:r w:rsidR="00E72493">
        <w:rPr>
          <w:lang w:val="fr-CH"/>
        </w:rPr>
        <w:t>'</w:t>
      </w:r>
      <w:r w:rsidRPr="00AA4FBF">
        <w:rPr>
          <w:lang w:val="fr-CH"/>
        </w:rPr>
        <w:t>utilisateurs</w:t>
      </w:r>
    </w:p>
    <w:p w:rsidR="002C0E9C" w:rsidRPr="00AA4FBF" w:rsidRDefault="002C0E9C" w:rsidP="00DB5591">
      <w:pPr>
        <w:rPr>
          <w:lang w:val="fr-CH"/>
        </w:rPr>
      </w:pPr>
      <w:r w:rsidRPr="00AA4FBF">
        <w:rPr>
          <w:lang w:val="fr-CH"/>
        </w:rPr>
        <w:t>La diffusion de données traitées à haute résolution est affectée par les brouillages reçus à la station via le satellite ou par les brouillages causés directement à la station dans la bande 1</w:t>
      </w:r>
      <w:r w:rsidRPr="00AA4FBF">
        <w:rPr>
          <w:rFonts w:ascii="Tms Rmn" w:hAnsi="Tms Rmn"/>
          <w:sz w:val="12"/>
          <w:lang w:val="fr-CH"/>
        </w:rPr>
        <w:t> </w:t>
      </w:r>
      <w:r w:rsidRPr="00AA4FBF">
        <w:rPr>
          <w:lang w:val="fr-CH"/>
        </w:rPr>
        <w:t>670</w:t>
      </w:r>
      <w:r w:rsidRPr="00AA4FBF">
        <w:rPr>
          <w:lang w:val="fr-CH"/>
        </w:rPr>
        <w:noBreakHyphen/>
        <w:t>1</w:t>
      </w:r>
      <w:r w:rsidRPr="00AA4FBF">
        <w:rPr>
          <w:rFonts w:ascii="Tms Rmn" w:hAnsi="Tms Rmn"/>
          <w:sz w:val="12"/>
          <w:lang w:val="fr-CH"/>
        </w:rPr>
        <w:t> </w:t>
      </w:r>
      <w:r w:rsidRPr="00AA4FBF">
        <w:rPr>
          <w:lang w:val="fr-CH"/>
        </w:rPr>
        <w:t>710 MHz. Les données traitées à haute résolution sont acheminées sur la liaison montante vers le satellite dans la bande 2</w:t>
      </w:r>
      <w:r w:rsidRPr="00AA4FBF">
        <w:rPr>
          <w:rFonts w:ascii="Tms Rmn" w:hAnsi="Tms Rmn"/>
          <w:sz w:val="12"/>
          <w:lang w:val="fr-CH"/>
        </w:rPr>
        <w:t> </w:t>
      </w:r>
      <w:r w:rsidRPr="00AA4FBF">
        <w:rPr>
          <w:lang w:val="fr-CH"/>
        </w:rPr>
        <w:t>025-2</w:t>
      </w:r>
      <w:r w:rsidRPr="00AA4FBF">
        <w:rPr>
          <w:rFonts w:ascii="Tms Rmn" w:hAnsi="Tms Rmn"/>
          <w:sz w:val="12"/>
          <w:lang w:val="fr-CH"/>
        </w:rPr>
        <w:t> </w:t>
      </w:r>
      <w:r w:rsidRPr="00AA4FBF">
        <w:rPr>
          <w:lang w:val="fr-CH"/>
        </w:rPr>
        <w:t>110 MHz, puis relayées, avec les signaux brouilleurs reçus par le satellite dans la même bande, vers les récepteurs de la station terrienne via des répéteurs de satellite à gain fixe.</w:t>
      </w:r>
    </w:p>
    <w:p w:rsidR="002C0E9C" w:rsidRPr="00AA4FBF" w:rsidRDefault="002C0E9C" w:rsidP="00DB5591">
      <w:pPr>
        <w:rPr>
          <w:lang w:val="fr-CH"/>
        </w:rPr>
      </w:pPr>
      <w:r w:rsidRPr="00AA4FBF">
        <w:rPr>
          <w:lang w:val="fr-CH"/>
        </w:rPr>
        <w:t xml:space="preserve">Les rapports porteuse/bruit plus densité de brouillage sont donnés pour les liaisons montante (up) et descendante (down) respectivement par les formules suivantes: </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56"/>
          <w:lang w:val="fr-CH"/>
        </w:rPr>
        <w:object w:dxaOrig="264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9.2pt" o:ole="">
            <v:imagedata r:id="rId13" o:title=""/>
          </v:shape>
          <o:OLEObject Type="Embed" ProgID="Equation.3" ShapeID="_x0000_i1025" DrawAspect="Content" ObjectID="_1585983079" r:id="rId14"/>
        </w:object>
      </w:r>
    </w:p>
    <w:p w:rsidR="002C0E9C" w:rsidRPr="00AA4FBF" w:rsidRDefault="002C0E9C" w:rsidP="002C0E9C">
      <w:pPr>
        <w:rPr>
          <w:lang w:val="fr-CH"/>
        </w:rPr>
      </w:pPr>
      <w:r w:rsidRPr="00AA4FBF">
        <w:rPr>
          <w:lang w:val="fr-CH"/>
        </w:rPr>
        <w:t>et</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56"/>
          <w:lang w:val="fr-CH"/>
        </w:rPr>
        <w:object w:dxaOrig="3100" w:dyaOrig="960">
          <v:shape id="_x0000_i1026" type="#_x0000_t75" style="width:155.4pt;height:48pt" o:ole="">
            <v:imagedata r:id="rId15" o:title=""/>
          </v:shape>
          <o:OLEObject Type="Embed" ProgID="Equation.3" ShapeID="_x0000_i1026" DrawAspect="Content" ObjectID="_1585983080" r:id="rId16"/>
        </w:object>
      </w:r>
    </w:p>
    <w:p w:rsidR="002C0E9C" w:rsidRPr="00AA4FBF" w:rsidRDefault="002C0E9C" w:rsidP="002C0E9C">
      <w:pPr>
        <w:spacing w:before="0"/>
        <w:rPr>
          <w:lang w:val="fr-CH"/>
        </w:rPr>
      </w:pPr>
      <w:r w:rsidRPr="00AA4FBF">
        <w:rPr>
          <w:lang w:val="fr-CH"/>
        </w:rPr>
        <w:t>où:</w:t>
      </w:r>
    </w:p>
    <w:p w:rsidR="002C0E9C" w:rsidRPr="00DC2EC8" w:rsidRDefault="002C0E9C" w:rsidP="002C0E9C">
      <w:pPr>
        <w:pStyle w:val="Equationlegend"/>
        <w:rPr>
          <w:lang w:val="fr-FR"/>
        </w:rPr>
      </w:pPr>
      <w:r w:rsidRPr="00DC2EC8">
        <w:rPr>
          <w:lang w:val="fr-FR"/>
        </w:rPr>
        <w:tab/>
      </w:r>
      <w:r w:rsidRPr="00DC2EC8">
        <w:rPr>
          <w:i/>
          <w:iCs/>
          <w:lang w:val="fr-FR"/>
        </w:rPr>
        <w:t>I</w:t>
      </w:r>
      <w:r w:rsidRPr="00DC2EC8">
        <w:rPr>
          <w:vertAlign w:val="subscript"/>
          <w:lang w:val="fr-FR"/>
        </w:rPr>
        <w:t>01</w:t>
      </w:r>
      <w:r w:rsidRPr="00DC2EC8">
        <w:rPr>
          <w:lang w:val="fr-FR"/>
        </w:rPr>
        <w:t xml:space="preserve"> et </w:t>
      </w:r>
      <w:r w:rsidRPr="00DC2EC8">
        <w:rPr>
          <w:i/>
          <w:iCs/>
          <w:lang w:val="fr-FR"/>
        </w:rPr>
        <w:t>I</w:t>
      </w:r>
      <w:r w:rsidRPr="00DC2EC8">
        <w:rPr>
          <w:vertAlign w:val="subscript"/>
          <w:lang w:val="fr-FR"/>
        </w:rPr>
        <w:t>02</w:t>
      </w:r>
      <w:r w:rsidR="0007762F" w:rsidRPr="00DC2EC8">
        <w:rPr>
          <w:lang w:val="fr-FR"/>
        </w:rPr>
        <w:t>:</w:t>
      </w:r>
      <w:r w:rsidRPr="00DC2EC8">
        <w:rPr>
          <w:lang w:val="fr-FR"/>
        </w:rPr>
        <w:tab/>
        <w:t>densités de brouillage transmises au satellite et au récepteur de la station</w:t>
      </w:r>
    </w:p>
    <w:p w:rsidR="002C0E9C" w:rsidRPr="00DC2EC8" w:rsidRDefault="002C0E9C" w:rsidP="002C0E9C">
      <w:pPr>
        <w:pStyle w:val="Equationlegend"/>
        <w:rPr>
          <w:lang w:val="fr-FR"/>
        </w:rPr>
      </w:pPr>
      <w:r w:rsidRPr="00DC2EC8">
        <w:rPr>
          <w:lang w:val="fr-FR"/>
        </w:rPr>
        <w:tab/>
      </w:r>
      <w:r w:rsidRPr="00DC2EC8">
        <w:rPr>
          <w:i/>
          <w:iCs/>
          <w:lang w:val="fr-FR"/>
        </w:rPr>
        <w:t>T</w:t>
      </w:r>
      <w:r w:rsidRPr="00DC2EC8">
        <w:rPr>
          <w:vertAlign w:val="subscript"/>
          <w:lang w:val="fr-FR"/>
        </w:rPr>
        <w:t>1</w:t>
      </w:r>
      <w:r w:rsidRPr="00DC2EC8">
        <w:rPr>
          <w:lang w:val="fr-FR"/>
        </w:rPr>
        <w:t xml:space="preserve"> et </w:t>
      </w:r>
      <w:r w:rsidRPr="00DC2EC8">
        <w:rPr>
          <w:i/>
          <w:iCs/>
          <w:lang w:val="fr-FR"/>
        </w:rPr>
        <w:t>T</w:t>
      </w:r>
      <w:r w:rsidRPr="00DC2EC8">
        <w:rPr>
          <w:vertAlign w:val="subscript"/>
          <w:lang w:val="fr-FR"/>
        </w:rPr>
        <w:t>2</w:t>
      </w:r>
      <w:r w:rsidR="0007762F" w:rsidRPr="00DC2EC8">
        <w:rPr>
          <w:lang w:val="fr-FR"/>
        </w:rPr>
        <w:t>:</w:t>
      </w:r>
      <w:r w:rsidRPr="00DC2EC8">
        <w:rPr>
          <w:lang w:val="fr-FR"/>
        </w:rPr>
        <w:tab/>
        <w:t>températures de bruit du système du satellite et du récepteur de la station</w:t>
      </w:r>
    </w:p>
    <w:p w:rsidR="002C0E9C" w:rsidRPr="00DC2EC8" w:rsidRDefault="002C0E9C" w:rsidP="002C0E9C">
      <w:pPr>
        <w:pStyle w:val="Equationlegend"/>
        <w:rPr>
          <w:lang w:val="fr-FR"/>
        </w:rPr>
      </w:pPr>
      <w:r w:rsidRPr="00DC2EC8">
        <w:rPr>
          <w:lang w:val="fr-FR"/>
        </w:rPr>
        <w:lastRenderedPageBreak/>
        <w:tab/>
      </w:r>
      <w:r w:rsidRPr="00DC2EC8">
        <w:rPr>
          <w:i/>
          <w:iCs/>
          <w:lang w:val="fr-FR"/>
        </w:rPr>
        <w:t>k</w:t>
      </w:r>
      <w:r w:rsidR="0007762F" w:rsidRPr="00DC2EC8">
        <w:rPr>
          <w:lang w:val="fr-FR"/>
        </w:rPr>
        <w:t>:</w:t>
      </w:r>
      <w:r w:rsidRPr="00DC2EC8">
        <w:rPr>
          <w:lang w:val="fr-FR"/>
        </w:rPr>
        <w:tab/>
        <w:t>constante de Boltzmann.</w:t>
      </w:r>
    </w:p>
    <w:p w:rsidR="002C0E9C" w:rsidRPr="00AA4FBF" w:rsidRDefault="002C0E9C" w:rsidP="002C0E9C">
      <w:pPr>
        <w:rPr>
          <w:lang w:val="fr-CH"/>
        </w:rPr>
      </w:pPr>
      <w:r w:rsidRPr="00AA4FBF">
        <w:rPr>
          <w:lang w:val="fr-CH"/>
        </w:rPr>
        <w:t>Le rapport composite porteuse/bruit plus densité de brouillage est donné par la formule suivante:</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32"/>
          <w:lang w:val="fr-CH"/>
        </w:rPr>
        <w:object w:dxaOrig="4900" w:dyaOrig="820">
          <v:shape id="_x0000_i1027" type="#_x0000_t75" style="width:244.8pt;height:40.8pt" o:ole="">
            <v:imagedata r:id="rId17" o:title=""/>
          </v:shape>
          <o:OLEObject Type="Embed" ProgID="Equation.3" ShapeID="_x0000_i1027" DrawAspect="Content" ObjectID="_1585983081" r:id="rId18"/>
        </w:object>
      </w:r>
    </w:p>
    <w:p w:rsidR="002C0E9C" w:rsidRPr="00AA4FBF" w:rsidRDefault="002C0E9C" w:rsidP="002C0E9C">
      <w:pPr>
        <w:rPr>
          <w:lang w:val="fr-CH"/>
        </w:rPr>
      </w:pPr>
      <w:r w:rsidRPr="00AA4FBF">
        <w:rPr>
          <w:lang w:val="fr-CH"/>
        </w:rPr>
        <w:t>D</w:t>
      </w:r>
      <w:r w:rsidR="00E72493">
        <w:rPr>
          <w:lang w:val="fr-CH"/>
        </w:rPr>
        <w:t>'</w:t>
      </w:r>
      <w:r w:rsidRPr="00AA4FBF">
        <w:rPr>
          <w:lang w:val="fr-CH"/>
        </w:rPr>
        <w:t>après la Recommandation UIT-R SA.1022, cette formule peut aussi s</w:t>
      </w:r>
      <w:r w:rsidR="00E72493">
        <w:rPr>
          <w:lang w:val="fr-CH"/>
        </w:rPr>
        <w:t>'</w:t>
      </w:r>
      <w:r w:rsidRPr="00AA4FBF">
        <w:rPr>
          <w:lang w:val="fr-CH"/>
        </w:rPr>
        <w:t>exprimer de la façon suivante:</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28"/>
          <w:lang w:val="fr-CH"/>
        </w:rPr>
        <w:object w:dxaOrig="2120" w:dyaOrig="639">
          <v:shape id="_x0000_i1028" type="#_x0000_t75" style="width:106.2pt;height:31.8pt" o:ole="">
            <v:imagedata r:id="rId19" o:title=""/>
          </v:shape>
          <o:OLEObject Type="Embed" ProgID="Equation.3" ShapeID="_x0000_i1028" DrawAspect="Content" ObjectID="_1585983082" r:id="rId20"/>
        </w:object>
      </w:r>
    </w:p>
    <w:p w:rsidR="002C0E9C" w:rsidRPr="00AA4FBF" w:rsidRDefault="002C0E9C" w:rsidP="002C0E9C">
      <w:pPr>
        <w:rPr>
          <w:iCs/>
          <w:lang w:val="fr-CH"/>
        </w:rPr>
      </w:pPr>
      <w:r w:rsidRPr="00AA4FBF">
        <w:rPr>
          <w:iCs/>
          <w:lang w:val="fr-CH"/>
        </w:rPr>
        <w:t>où:</w:t>
      </w:r>
    </w:p>
    <w:p w:rsidR="002C0E9C" w:rsidRPr="00DC2EC8" w:rsidRDefault="00DC2EC8" w:rsidP="002C0E9C">
      <w:pPr>
        <w:pStyle w:val="Equationlegend"/>
        <w:rPr>
          <w:iCs/>
          <w:lang w:val="fr-FR"/>
        </w:rPr>
      </w:pPr>
      <w:r>
        <w:rPr>
          <w:iCs/>
          <w:lang w:val="fr-FR"/>
        </w:rPr>
        <w:tab/>
      </w:r>
      <w:r w:rsidR="002C0E9C" w:rsidRPr="00DC2EC8">
        <w:rPr>
          <w:i/>
          <w:lang w:val="fr-FR"/>
        </w:rPr>
        <w:t>M</w:t>
      </w:r>
      <w:r w:rsidR="002C0E9C" w:rsidRPr="00DC2EC8">
        <w:rPr>
          <w:iCs/>
          <w:lang w:val="fr-FR"/>
        </w:rPr>
        <w:t>:</w:t>
      </w:r>
      <w:r w:rsidR="00205A1E" w:rsidRPr="00DC2EC8">
        <w:rPr>
          <w:iCs/>
          <w:lang w:val="fr-FR"/>
        </w:rPr>
        <w:t xml:space="preserve"> </w:t>
      </w:r>
      <w:r w:rsidR="002C0E9C" w:rsidRPr="00DC2EC8">
        <w:rPr>
          <w:iCs/>
          <w:lang w:val="fr-FR"/>
        </w:rPr>
        <w:tab/>
        <w:t>marge sans brouillage</w:t>
      </w:r>
    </w:p>
    <w:p w:rsidR="002C0E9C" w:rsidRPr="00DC2EC8" w:rsidRDefault="00DC2EC8" w:rsidP="002C0E9C">
      <w:pPr>
        <w:pStyle w:val="Equationlegend"/>
        <w:rPr>
          <w:iCs/>
          <w:lang w:val="fr-FR"/>
        </w:rPr>
      </w:pPr>
      <w:r>
        <w:rPr>
          <w:i/>
          <w:lang w:val="fr-FR"/>
        </w:rPr>
        <w:tab/>
      </w:r>
      <w:r w:rsidR="002C0E9C" w:rsidRPr="00DC2EC8">
        <w:rPr>
          <w:i/>
          <w:lang w:val="fr-FR"/>
        </w:rPr>
        <w:t>q</w:t>
      </w:r>
      <w:r w:rsidR="002C0E9C" w:rsidRPr="00DC2EC8">
        <w:rPr>
          <w:iCs/>
          <w:lang w:val="fr-FR"/>
        </w:rPr>
        <w:t>:</w:t>
      </w:r>
      <w:r w:rsidR="00205A1E" w:rsidRPr="00DC2EC8">
        <w:rPr>
          <w:iCs/>
          <w:lang w:val="fr-FR"/>
        </w:rPr>
        <w:t xml:space="preserve"> </w:t>
      </w:r>
      <w:r w:rsidR="002C0E9C" w:rsidRPr="00DC2EC8">
        <w:rPr>
          <w:iCs/>
          <w:lang w:val="fr-FR"/>
        </w:rPr>
        <w:tab/>
        <w:t>fraction de la marge sans brouillage où le brouillage est autorisé</w:t>
      </w:r>
    </w:p>
    <w:p w:rsidR="002C0E9C" w:rsidRPr="00DC2EC8" w:rsidRDefault="00DC2EC8" w:rsidP="002C0E9C">
      <w:pPr>
        <w:pStyle w:val="Equationlegend"/>
        <w:rPr>
          <w:iCs/>
          <w:lang w:val="fr-CH"/>
        </w:rPr>
      </w:pPr>
      <w:r>
        <w:rPr>
          <w:iCs/>
          <w:lang w:val="fr-FR"/>
        </w:rPr>
        <w:tab/>
      </w:r>
      <w:r w:rsidR="002C0E9C" w:rsidRPr="00DC2EC8">
        <w:rPr>
          <w:i/>
          <w:lang w:val="fr-FR"/>
        </w:rPr>
        <w:t>C</w:t>
      </w:r>
      <w:r w:rsidR="002C0E9C" w:rsidRPr="00DC2EC8">
        <w:rPr>
          <w:iCs/>
          <w:lang w:val="fr-FR"/>
        </w:rPr>
        <w:t>/</w:t>
      </w:r>
      <w:r w:rsidR="002C0E9C" w:rsidRPr="00DC2EC8">
        <w:rPr>
          <w:i/>
          <w:lang w:val="fr-FR"/>
        </w:rPr>
        <w:t>N</w:t>
      </w:r>
      <w:r w:rsidR="002C0E9C" w:rsidRPr="00DC2EC8">
        <w:rPr>
          <w:iCs/>
          <w:vertAlign w:val="subscript"/>
          <w:lang w:val="fr-FR"/>
        </w:rPr>
        <w:t>0</w:t>
      </w:r>
      <w:r w:rsidR="002C0E9C" w:rsidRPr="00DC2EC8">
        <w:rPr>
          <w:iCs/>
          <w:lang w:val="fr-FR"/>
        </w:rPr>
        <w:t>:</w:t>
      </w:r>
      <w:r w:rsidR="00205A1E" w:rsidRPr="00DC2EC8">
        <w:rPr>
          <w:iCs/>
          <w:lang w:val="fr-FR"/>
        </w:rPr>
        <w:t xml:space="preserve"> </w:t>
      </w:r>
      <w:r w:rsidR="002C0E9C" w:rsidRPr="00DC2EC8">
        <w:rPr>
          <w:iCs/>
          <w:lang w:val="fr-FR"/>
        </w:rPr>
        <w:tab/>
        <w:t>rapport composite de densité porteuse/bruit donné par la formule suivante:</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16"/>
          <w:lang w:val="fr-CH"/>
        </w:rPr>
        <w:object w:dxaOrig="3360" w:dyaOrig="520">
          <v:shape id="_x0000_i1029" type="#_x0000_t75" style="width:168pt;height:26.4pt" o:ole="">
            <v:imagedata r:id="rId21" o:title=""/>
          </v:shape>
          <o:OLEObject Type="Embed" ProgID="Equation.3" ShapeID="_x0000_i1029" DrawAspect="Content" ObjectID="_1585983083" r:id="rId22"/>
        </w:object>
      </w:r>
    </w:p>
    <w:p w:rsidR="002C0E9C" w:rsidRPr="00AA4FBF" w:rsidRDefault="002C0E9C" w:rsidP="002C0E9C">
      <w:pPr>
        <w:rPr>
          <w:lang w:val="fr-CH"/>
        </w:rPr>
      </w:pPr>
      <w:r w:rsidRPr="00AA4FBF">
        <w:rPr>
          <w:lang w:val="fr-CH"/>
        </w:rPr>
        <w:t>On peut déduire des formules précédentes:</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32"/>
          <w:lang w:val="fr-CH"/>
        </w:rPr>
        <w:object w:dxaOrig="4420" w:dyaOrig="980">
          <v:shape id="_x0000_i1030" type="#_x0000_t75" style="width:220.8pt;height:49.2pt" o:ole="">
            <v:imagedata r:id="rId23" o:title=""/>
          </v:shape>
          <o:OLEObject Type="Embed" ProgID="Equation.3" ShapeID="_x0000_i1030" DrawAspect="Content" ObjectID="_1585983084" r:id="rId24"/>
        </w:object>
      </w:r>
    </w:p>
    <w:p w:rsidR="002C0E9C" w:rsidRPr="00AA4FBF" w:rsidRDefault="002C0E9C" w:rsidP="005D670F">
      <w:pPr>
        <w:rPr>
          <w:lang w:val="fr-CH"/>
        </w:rPr>
      </w:pPr>
      <w:r w:rsidRPr="00AA4FBF">
        <w:rPr>
          <w:lang w:val="fr-CH"/>
        </w:rPr>
        <w:t xml:space="preserve">Supposons que les brouillages sur la liaison montante et sur la liaison </w:t>
      </w:r>
      <w:r w:rsidR="00E72493">
        <w:rPr>
          <w:lang w:val="fr-CH"/>
        </w:rPr>
        <w:t>descendante soient attribués de </w:t>
      </w:r>
      <w:r w:rsidRPr="00AA4FBF">
        <w:rPr>
          <w:lang w:val="fr-CH"/>
        </w:rPr>
        <w:t>façon qu</w:t>
      </w:r>
      <w:r w:rsidR="00E72493">
        <w:rPr>
          <w:lang w:val="fr-CH"/>
        </w:rPr>
        <w:t>'</w:t>
      </w:r>
      <w:r w:rsidRPr="00AA4FBF">
        <w:rPr>
          <w:lang w:val="fr-CH"/>
        </w:rPr>
        <w:t xml:space="preserve">une fraction </w:t>
      </w:r>
      <w:r w:rsidRPr="00AA4FBF">
        <w:rPr>
          <w:i/>
          <w:lang w:val="fr-CH"/>
        </w:rPr>
        <w:t>p</w:t>
      </w:r>
      <w:r w:rsidRPr="00AA4FBF">
        <w:rPr>
          <w:lang w:val="fr-CH"/>
        </w:rPr>
        <w:t xml:space="preserve"> du brouillage soit reçue à la station terrienne via le satellite, et qu</w:t>
      </w:r>
      <w:r w:rsidR="00E72493">
        <w:rPr>
          <w:lang w:val="fr-CH"/>
        </w:rPr>
        <w:t>'</w:t>
      </w:r>
      <w:r w:rsidRPr="00AA4FBF">
        <w:rPr>
          <w:lang w:val="fr-CH"/>
        </w:rPr>
        <w:t xml:space="preserve">une fraction </w:t>
      </w:r>
      <w:r w:rsidRPr="00AA4FBF">
        <w:rPr>
          <w:iCs/>
          <w:lang w:val="fr-CH"/>
        </w:rPr>
        <w:t>1 </w:t>
      </w:r>
      <w:r w:rsidRPr="00AA4FBF">
        <w:rPr>
          <w:i/>
          <w:lang w:val="fr-CH"/>
        </w:rPr>
        <w:t>– p</w:t>
      </w:r>
      <w:r w:rsidRPr="00AA4FBF">
        <w:rPr>
          <w:lang w:val="fr-CH"/>
        </w:rPr>
        <w:t xml:space="preserve"> lui soit transmise directement. Il est souhaitable que </w:t>
      </w:r>
      <w:r w:rsidRPr="00AA4FBF">
        <w:rPr>
          <w:i/>
          <w:lang w:val="fr-CH"/>
        </w:rPr>
        <w:t xml:space="preserve">p </w:t>
      </w:r>
      <w:r w:rsidRPr="00AA4FBF">
        <w:rPr>
          <w:lang w:val="fr-CH"/>
        </w:rPr>
        <w:t>soit proche de 1/2 pour qu</w:t>
      </w:r>
      <w:r w:rsidR="00E72493">
        <w:rPr>
          <w:lang w:val="fr-CH"/>
        </w:rPr>
        <w:t>'</w:t>
      </w:r>
      <w:r w:rsidRPr="00AA4FBF">
        <w:rPr>
          <w:lang w:val="fr-CH"/>
        </w:rPr>
        <w:t>il y ait un bon équilibre entre les brouillages attribués sur la liaison montante et sur la liaison descendante. Dans le cas d</w:t>
      </w:r>
      <w:r w:rsidR="00E72493">
        <w:rPr>
          <w:lang w:val="fr-CH"/>
        </w:rPr>
        <w:t>'</w:t>
      </w:r>
      <w:r w:rsidRPr="00AA4FBF">
        <w:rPr>
          <w:lang w:val="fr-CH"/>
        </w:rPr>
        <w:t>un répéteur à gain fixe, on peut montrer que:</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32"/>
          <w:lang w:val="fr-CH"/>
        </w:rPr>
        <w:object w:dxaOrig="3159" w:dyaOrig="680">
          <v:shape id="_x0000_i1031" type="#_x0000_t75" style="width:158.4pt;height:34.2pt" o:ole="">
            <v:imagedata r:id="rId25" o:title=""/>
          </v:shape>
          <o:OLEObject Type="Embed" ProgID="Equation.3" ShapeID="_x0000_i1031" DrawAspect="Content" ObjectID="_1585983085" r:id="rId26"/>
        </w:object>
      </w:r>
    </w:p>
    <w:p w:rsidR="002C0E9C" w:rsidRPr="00AA4FBF" w:rsidRDefault="002C0E9C" w:rsidP="002C0E9C">
      <w:pPr>
        <w:spacing w:before="0"/>
        <w:rPr>
          <w:lang w:val="fr-CH"/>
        </w:rPr>
      </w:pPr>
      <w:r w:rsidRPr="00AA4FBF">
        <w:rPr>
          <w:lang w:val="fr-CH"/>
        </w:rPr>
        <w:t>de façon que:</w:t>
      </w:r>
    </w:p>
    <w:p w:rsidR="002C0E9C" w:rsidRPr="00AA4FBF" w:rsidRDefault="002C0E9C" w:rsidP="002C0E9C">
      <w:pPr>
        <w:pStyle w:val="Equation"/>
        <w:rPr>
          <w:lang w:val="fr-CH"/>
        </w:rPr>
      </w:pPr>
      <w:r w:rsidRPr="00AA4FBF">
        <w:rPr>
          <w:lang w:val="fr-CH"/>
        </w:rPr>
        <w:tab/>
      </w:r>
      <w:r w:rsidRPr="00AA4FBF">
        <w:rPr>
          <w:lang w:val="fr-CH"/>
        </w:rPr>
        <w:tab/>
      </w:r>
      <w:r w:rsidRPr="00AA4FBF">
        <w:rPr>
          <w:position w:val="-30"/>
          <w:lang w:val="fr-CH"/>
        </w:rPr>
        <w:object w:dxaOrig="3860" w:dyaOrig="780">
          <v:shape id="_x0000_i1032" type="#_x0000_t75" style="width:193.2pt;height:39pt" o:ole="">
            <v:imagedata r:id="rId27" o:title=""/>
          </v:shape>
          <o:OLEObject Type="Embed" ProgID="Equation.3" ShapeID="_x0000_i1032" DrawAspect="Content" ObjectID="_1585983086" r:id="rId28"/>
        </w:object>
      </w:r>
    </w:p>
    <w:p w:rsidR="002C0E9C" w:rsidRPr="00AA4FBF" w:rsidRDefault="002C0E9C" w:rsidP="002C0E9C">
      <w:pPr>
        <w:rPr>
          <w:lang w:val="fr-CH"/>
        </w:rPr>
      </w:pPr>
      <w:r w:rsidRPr="00AA4FBF">
        <w:rPr>
          <w:lang w:val="fr-CH"/>
        </w:rPr>
        <w:t>En conséquence, la densité de brouillage admissible sur la liaison montante devient:</w:t>
      </w:r>
    </w:p>
    <w:p w:rsidR="002C0E9C" w:rsidRPr="00AA4FBF" w:rsidRDefault="002C0E9C" w:rsidP="002C0E9C">
      <w:pPr>
        <w:pStyle w:val="Equation"/>
        <w:tabs>
          <w:tab w:val="left" w:pos="7655"/>
        </w:tabs>
        <w:rPr>
          <w:lang w:val="fr-CH"/>
        </w:rPr>
      </w:pPr>
      <w:r w:rsidRPr="00AA4FBF">
        <w:rPr>
          <w:lang w:val="fr-CH"/>
        </w:rPr>
        <w:tab/>
      </w:r>
      <w:r w:rsidRPr="00AA4FBF">
        <w:rPr>
          <w:lang w:val="fr-CH"/>
        </w:rPr>
        <w:tab/>
      </w:r>
      <w:r w:rsidRPr="00AA4FBF">
        <w:rPr>
          <w:position w:val="-30"/>
          <w:lang w:val="fr-CH"/>
        </w:rPr>
        <w:object w:dxaOrig="4320" w:dyaOrig="720">
          <v:shape id="_x0000_i1033" type="#_x0000_t75" style="width:3in;height:36pt" o:ole="">
            <v:imagedata r:id="rId29" o:title=""/>
          </v:shape>
          <o:OLEObject Type="Embed" ProgID="Equation.3" ShapeID="_x0000_i1033" DrawAspect="Content" ObjectID="_1585983087" r:id="rId30"/>
        </w:object>
      </w:r>
      <w:r w:rsidRPr="00AA4FBF">
        <w:rPr>
          <w:lang w:val="fr-CH"/>
        </w:rPr>
        <w:tab/>
        <w:t>pour</w:t>
      </w:r>
      <w:r w:rsidRPr="00AA4FBF">
        <w:rPr>
          <w:i/>
          <w:lang w:val="fr-CH"/>
        </w:rPr>
        <w:t xml:space="preserve"> M</w:t>
      </w:r>
      <w:r w:rsidRPr="00AA4FBF">
        <w:rPr>
          <w:lang w:val="fr-CH"/>
        </w:rPr>
        <w:t xml:space="preserve"> </w:t>
      </w:r>
      <w:r w:rsidRPr="00AA4FBF">
        <w:rPr>
          <w:rFonts w:ascii="Symbol" w:hAnsi="Symbol"/>
          <w:lang w:val="fr-CH"/>
        </w:rPr>
        <w:t></w:t>
      </w:r>
      <w:r w:rsidRPr="00AA4FBF">
        <w:rPr>
          <w:lang w:val="fr-CH"/>
        </w:rPr>
        <w:t xml:space="preserve"> </w:t>
      </w:r>
      <w:r w:rsidRPr="00AA4FBF">
        <w:rPr>
          <w:i/>
          <w:lang w:val="fr-CH"/>
        </w:rPr>
        <w:t>M</w:t>
      </w:r>
      <w:r w:rsidRPr="00AA4FBF">
        <w:rPr>
          <w:i/>
          <w:iCs/>
          <w:position w:val="-4"/>
          <w:sz w:val="18"/>
          <w:lang w:val="fr-CH"/>
        </w:rPr>
        <w:t>min</w:t>
      </w:r>
    </w:p>
    <w:p w:rsidR="002C0E9C" w:rsidRPr="00AA4FBF" w:rsidRDefault="002C0E9C" w:rsidP="00CA3577">
      <w:pPr>
        <w:rPr>
          <w:lang w:val="fr-CH"/>
        </w:rPr>
      </w:pPr>
      <w:r w:rsidRPr="00AA4FBF">
        <w:rPr>
          <w:lang w:val="fr-CH"/>
        </w:rPr>
        <w:t xml:space="preserve">où, conformément à la Recommandation UIT-R SA.1022, </w:t>
      </w:r>
      <w:r w:rsidRPr="00AA4FBF">
        <w:rPr>
          <w:i/>
          <w:lang w:val="fr-CH"/>
        </w:rPr>
        <w:t>M</w:t>
      </w:r>
      <w:r w:rsidRPr="00AA4FBF">
        <w:rPr>
          <w:i/>
          <w:iCs/>
          <w:position w:val="-4"/>
          <w:sz w:val="16"/>
          <w:lang w:val="fr-CH"/>
        </w:rPr>
        <w:t>min</w:t>
      </w:r>
      <w:r w:rsidRPr="00AA4FBF">
        <w:rPr>
          <w:lang w:val="fr-CH"/>
        </w:rPr>
        <w:t xml:space="preserve"> est la plus petite marge sans brouillage dont seule une fraction </w:t>
      </w:r>
      <w:r w:rsidRPr="00AA4FBF">
        <w:rPr>
          <w:i/>
          <w:lang w:val="fr-CH"/>
        </w:rPr>
        <w:t>q</w:t>
      </w:r>
      <w:r w:rsidRPr="00AA4FBF">
        <w:rPr>
          <w:lang w:val="fr-CH"/>
        </w:rPr>
        <w:t xml:space="preserve"> peut admettre des brouillages. La densité de brouillage admissible sur la liaison descendante est donc exprimée comme suit: </w:t>
      </w:r>
    </w:p>
    <w:p w:rsidR="002C0E9C" w:rsidRPr="00AA4FBF" w:rsidRDefault="002C0E9C" w:rsidP="002C0E9C">
      <w:pPr>
        <w:pStyle w:val="Equation"/>
        <w:tabs>
          <w:tab w:val="left" w:pos="7655"/>
        </w:tabs>
        <w:rPr>
          <w:lang w:val="fr-CH"/>
        </w:rPr>
      </w:pPr>
      <w:r w:rsidRPr="00AA4FBF">
        <w:rPr>
          <w:lang w:val="fr-CH"/>
        </w:rPr>
        <w:tab/>
      </w:r>
      <w:r w:rsidRPr="00AA4FBF">
        <w:rPr>
          <w:lang w:val="fr-CH"/>
        </w:rPr>
        <w:tab/>
      </w:r>
      <w:r w:rsidRPr="00AA4FBF">
        <w:rPr>
          <w:position w:val="-34"/>
          <w:lang w:val="fr-CH"/>
        </w:rPr>
        <w:object w:dxaOrig="4500" w:dyaOrig="780">
          <v:shape id="_x0000_i1034" type="#_x0000_t75" style="width:225pt;height:39pt" o:ole="">
            <v:imagedata r:id="rId31" o:title=""/>
          </v:shape>
          <o:OLEObject Type="Embed" ProgID="Equation.3" ShapeID="_x0000_i1034" DrawAspect="Content" ObjectID="_1585983088" r:id="rId32"/>
        </w:object>
      </w:r>
      <w:r w:rsidRPr="00AA4FBF">
        <w:rPr>
          <w:lang w:val="fr-CH"/>
        </w:rPr>
        <w:tab/>
        <w:t>pour</w:t>
      </w:r>
      <w:r w:rsidRPr="00AA4FBF">
        <w:rPr>
          <w:i/>
          <w:lang w:val="fr-CH"/>
        </w:rPr>
        <w:t xml:space="preserve"> M</w:t>
      </w:r>
      <w:r w:rsidRPr="00AA4FBF">
        <w:rPr>
          <w:lang w:val="fr-CH"/>
        </w:rPr>
        <w:t xml:space="preserve"> </w:t>
      </w:r>
      <w:r w:rsidRPr="00AA4FBF">
        <w:rPr>
          <w:rFonts w:ascii="Symbol" w:hAnsi="Symbol"/>
          <w:lang w:val="fr-CH"/>
        </w:rPr>
        <w:t></w:t>
      </w:r>
      <w:r w:rsidRPr="00AA4FBF">
        <w:rPr>
          <w:lang w:val="fr-CH"/>
        </w:rPr>
        <w:t xml:space="preserve"> </w:t>
      </w:r>
      <w:r w:rsidRPr="00AA4FBF">
        <w:rPr>
          <w:i/>
          <w:lang w:val="fr-CH"/>
        </w:rPr>
        <w:t>M</w:t>
      </w:r>
      <w:r w:rsidRPr="00AA4FBF">
        <w:rPr>
          <w:i/>
          <w:iCs/>
          <w:position w:val="-4"/>
          <w:sz w:val="18"/>
          <w:lang w:val="fr-CH"/>
        </w:rPr>
        <w:t>min</w:t>
      </w:r>
    </w:p>
    <w:p w:rsidR="002C0E9C" w:rsidRPr="00AA4FBF" w:rsidRDefault="002C0E9C" w:rsidP="005D670F">
      <w:pPr>
        <w:rPr>
          <w:lang w:val="fr-CH"/>
        </w:rPr>
      </w:pPr>
      <w:r w:rsidRPr="00AA4FBF">
        <w:rPr>
          <w:lang w:val="fr-CH"/>
        </w:rPr>
        <w:t xml:space="preserve">Le Tableau 3 résume le calcul de </w:t>
      </w:r>
      <w:r w:rsidRPr="00AA4FBF">
        <w:rPr>
          <w:i/>
          <w:lang w:val="fr-CH"/>
        </w:rPr>
        <w:t>I</w:t>
      </w:r>
      <w:r w:rsidRPr="00AA4FBF">
        <w:rPr>
          <w:position w:val="-4"/>
          <w:sz w:val="16"/>
          <w:lang w:val="fr-CH"/>
        </w:rPr>
        <w:t>01</w:t>
      </w:r>
      <w:r w:rsidRPr="00AA4FBF">
        <w:rPr>
          <w:i/>
          <w:lang w:val="fr-CH"/>
        </w:rPr>
        <w:t xml:space="preserve"> </w:t>
      </w:r>
      <w:r w:rsidRPr="00AA4FBF">
        <w:rPr>
          <w:iCs/>
          <w:lang w:val="fr-CH"/>
        </w:rPr>
        <w:t>et</w:t>
      </w:r>
      <w:r w:rsidRPr="00AA4FBF">
        <w:rPr>
          <w:lang w:val="fr-CH"/>
        </w:rPr>
        <w:t xml:space="preserve"> de </w:t>
      </w:r>
      <w:r w:rsidRPr="00AA4FBF">
        <w:rPr>
          <w:i/>
          <w:lang w:val="fr-CH"/>
        </w:rPr>
        <w:t>I</w:t>
      </w:r>
      <w:r w:rsidRPr="00AA4FBF">
        <w:rPr>
          <w:position w:val="-4"/>
          <w:sz w:val="16"/>
          <w:lang w:val="fr-CH"/>
        </w:rPr>
        <w:t>02</w:t>
      </w:r>
      <w:r w:rsidRPr="00AA4FBF">
        <w:rPr>
          <w:lang w:val="fr-CH"/>
        </w:rPr>
        <w:t xml:space="preserve"> pour des données à haute résolution, en supp</w:t>
      </w:r>
      <w:r w:rsidR="00E72493">
        <w:rPr>
          <w:lang w:val="fr-CH"/>
        </w:rPr>
        <w:t>osant que </w:t>
      </w:r>
      <w:r w:rsidRPr="00AA4FBF">
        <w:rPr>
          <w:i/>
          <w:lang w:val="fr-CH"/>
        </w:rPr>
        <w:t>p</w:t>
      </w:r>
      <w:r w:rsidR="00E72493">
        <w:rPr>
          <w:lang w:val="fr-CH"/>
        </w:rPr>
        <w:t> </w:t>
      </w:r>
      <w:r w:rsidRPr="00AA4FBF">
        <w:rPr>
          <w:rFonts w:ascii="Symbol" w:hAnsi="Symbol"/>
          <w:lang w:val="fr-CH"/>
        </w:rPr>
        <w:t></w:t>
      </w:r>
      <w:r w:rsidRPr="00AA4FBF">
        <w:rPr>
          <w:lang w:val="fr-CH"/>
        </w:rPr>
        <w:t xml:space="preserve"> 1/2, </w:t>
      </w:r>
      <w:r w:rsidRPr="00AA4FBF">
        <w:rPr>
          <w:i/>
          <w:lang w:val="fr-CH"/>
        </w:rPr>
        <w:t>q</w:t>
      </w:r>
      <w:r w:rsidRPr="00AA4FBF">
        <w:rPr>
          <w:lang w:val="fr-CH"/>
        </w:rPr>
        <w:t xml:space="preserve"> </w:t>
      </w:r>
      <w:r w:rsidRPr="00AA4FBF">
        <w:rPr>
          <w:rFonts w:ascii="Symbol" w:hAnsi="Symbol"/>
          <w:lang w:val="fr-CH"/>
        </w:rPr>
        <w:t></w:t>
      </w:r>
      <w:r w:rsidRPr="00AA4FBF">
        <w:rPr>
          <w:lang w:val="fr-CH"/>
        </w:rPr>
        <w:t xml:space="preserve"> 1/3 et </w:t>
      </w:r>
      <w:r w:rsidRPr="00AA4FBF">
        <w:rPr>
          <w:i/>
          <w:lang w:val="fr-CH"/>
        </w:rPr>
        <w:t>M</w:t>
      </w:r>
      <w:r w:rsidRPr="00AA4FBF">
        <w:rPr>
          <w:i/>
          <w:iCs/>
          <w:position w:val="-4"/>
          <w:sz w:val="16"/>
          <w:lang w:val="fr-CH"/>
        </w:rPr>
        <w:t>min</w:t>
      </w:r>
      <w:r w:rsidRPr="00AA4FBF">
        <w:rPr>
          <w:lang w:val="fr-CH"/>
        </w:rPr>
        <w:t xml:space="preserve"> </w:t>
      </w:r>
      <w:r w:rsidRPr="00AA4FBF">
        <w:rPr>
          <w:rFonts w:ascii="Symbol" w:hAnsi="Symbol"/>
          <w:lang w:val="fr-CH"/>
        </w:rPr>
        <w:t></w:t>
      </w:r>
      <w:r w:rsidRPr="00AA4FBF">
        <w:rPr>
          <w:lang w:val="fr-CH"/>
        </w:rPr>
        <w:t xml:space="preserve"> 1,2 dB pour le brouillage à long terme, et que </w:t>
      </w:r>
      <w:r w:rsidRPr="00AA4FBF">
        <w:rPr>
          <w:i/>
          <w:lang w:val="fr-CH"/>
        </w:rPr>
        <w:t>p</w:t>
      </w:r>
      <w:r w:rsidRPr="00AA4FBF">
        <w:rPr>
          <w:lang w:val="fr-CH"/>
        </w:rPr>
        <w:t> </w:t>
      </w:r>
      <w:r w:rsidRPr="00AA4FBF">
        <w:rPr>
          <w:rFonts w:ascii="Symbol" w:hAnsi="Symbol"/>
          <w:lang w:val="fr-CH"/>
        </w:rPr>
        <w:t></w:t>
      </w:r>
      <w:r w:rsidRPr="00AA4FBF">
        <w:rPr>
          <w:lang w:val="fr-CH"/>
        </w:rPr>
        <w:t xml:space="preserve"> 1/2, </w:t>
      </w:r>
      <w:r w:rsidRPr="00AA4FBF">
        <w:rPr>
          <w:i/>
          <w:lang w:val="fr-CH"/>
        </w:rPr>
        <w:t>q</w:t>
      </w:r>
      <w:r w:rsidRPr="00AA4FBF">
        <w:rPr>
          <w:lang w:val="fr-CH"/>
        </w:rPr>
        <w:t> </w:t>
      </w:r>
      <w:r w:rsidRPr="00AA4FBF">
        <w:rPr>
          <w:rFonts w:ascii="Symbol" w:hAnsi="Symbol"/>
          <w:lang w:val="fr-CH"/>
        </w:rPr>
        <w:t></w:t>
      </w:r>
      <w:r w:rsidRPr="00AA4FBF">
        <w:rPr>
          <w:lang w:val="fr-CH"/>
        </w:rPr>
        <w:t> 1 et </w:t>
      </w:r>
      <w:r w:rsidRPr="00AA4FBF">
        <w:rPr>
          <w:i/>
          <w:lang w:val="fr-CH"/>
        </w:rPr>
        <w:t>M</w:t>
      </w:r>
      <w:r w:rsidRPr="00AA4FBF">
        <w:rPr>
          <w:i/>
          <w:iCs/>
          <w:position w:val="-4"/>
          <w:sz w:val="16"/>
          <w:lang w:val="fr-CH"/>
        </w:rPr>
        <w:t>min</w:t>
      </w:r>
      <w:r w:rsidRPr="00AA4FBF">
        <w:rPr>
          <w:lang w:val="fr-CH"/>
        </w:rPr>
        <w:t> </w:t>
      </w:r>
      <w:r w:rsidRPr="00AA4FBF">
        <w:rPr>
          <w:rFonts w:ascii="Symbol" w:hAnsi="Symbol"/>
          <w:lang w:val="fr-CH"/>
        </w:rPr>
        <w:t></w:t>
      </w:r>
      <w:r w:rsidRPr="00AA4FBF">
        <w:rPr>
          <w:lang w:val="fr-CH"/>
        </w:rPr>
        <w:t> 1,2 dB pour le brouillage à court terme.</w:t>
      </w:r>
    </w:p>
    <w:p w:rsidR="002C0E9C" w:rsidRDefault="002C0E9C" w:rsidP="005D670F">
      <w:pPr>
        <w:rPr>
          <w:lang w:val="fr-CH"/>
        </w:rPr>
      </w:pPr>
      <w:r w:rsidRPr="00AA4FBF">
        <w:rPr>
          <w:lang w:val="fr-CH"/>
        </w:rPr>
        <w:lastRenderedPageBreak/>
        <w:t>Les critères de brouillage peuvent être exprimés en termes de puissance surfacique admissible dans le faisceau principal de l</w:t>
      </w:r>
      <w:r w:rsidR="00E72493">
        <w:rPr>
          <w:lang w:val="fr-CH"/>
        </w:rPr>
        <w:t>'</w:t>
      </w:r>
      <w:r w:rsidRPr="00AA4FBF">
        <w:rPr>
          <w:lang w:val="fr-CH"/>
        </w:rPr>
        <w:t xml:space="preserve">antenne de réception; pour cela, on soustrait 10 </w:t>
      </w:r>
      <w:r w:rsidR="00205A1E" w:rsidRPr="00AA4FBF">
        <w:rPr>
          <w:lang w:val="fr-CH"/>
        </w:rPr>
        <w:t>log (</w:t>
      </w:r>
      <w:r w:rsidRPr="00AA4FBF">
        <w:rPr>
          <w:i/>
          <w:iCs/>
          <w:lang w:val="fr-CH"/>
        </w:rPr>
        <w:t>G </w:t>
      </w:r>
      <w:r w:rsidRPr="00AA4FBF">
        <w:rPr>
          <w:lang w:val="fr-CH"/>
        </w:rPr>
        <w:sym w:font="Symbol" w:char="F06C"/>
      </w:r>
      <w:r w:rsidRPr="00AA4FBF">
        <w:rPr>
          <w:position w:val="6"/>
          <w:sz w:val="16"/>
          <w:lang w:val="fr-CH"/>
        </w:rPr>
        <w:t>2</w:t>
      </w:r>
      <w:r w:rsidRPr="00AA4FBF">
        <w:rPr>
          <w:lang w:val="fr-CH"/>
        </w:rPr>
        <w:t>/4</w:t>
      </w:r>
      <w:r w:rsidRPr="00AA4FBF">
        <w:rPr>
          <w:lang w:val="fr-CH"/>
        </w:rPr>
        <w:sym w:font="Symbol" w:char="F070"/>
      </w:r>
      <w:r w:rsidRPr="00AA4FBF">
        <w:rPr>
          <w:lang w:val="fr-CH"/>
        </w:rPr>
        <w:t xml:space="preserve">) des valeurs indiquées dans le Tableau 3, où </w:t>
      </w:r>
      <w:r w:rsidRPr="00AA4FBF">
        <w:rPr>
          <w:i/>
          <w:iCs/>
          <w:lang w:val="fr-CH"/>
        </w:rPr>
        <w:t>G</w:t>
      </w:r>
      <w:r w:rsidRPr="00AA4FBF">
        <w:rPr>
          <w:lang w:val="fr-CH"/>
        </w:rPr>
        <w:t xml:space="preserve"> est le gain de l</w:t>
      </w:r>
      <w:r w:rsidR="00E72493">
        <w:rPr>
          <w:lang w:val="fr-CH"/>
        </w:rPr>
        <w:t>'</w:t>
      </w:r>
      <w:r w:rsidRPr="00AA4FBF">
        <w:rPr>
          <w:lang w:val="fr-CH"/>
        </w:rPr>
        <w:t xml:space="preserve">antenne de réception et </w:t>
      </w:r>
      <w:r w:rsidRPr="00AA4FBF">
        <w:rPr>
          <w:lang w:val="fr-CH"/>
        </w:rPr>
        <w:sym w:font="Symbol" w:char="F06C"/>
      </w:r>
      <w:r w:rsidRPr="00AA4FBF">
        <w:rPr>
          <w:lang w:val="fr-CH"/>
        </w:rPr>
        <w:t xml:space="preserve"> est la longueur d</w:t>
      </w:r>
      <w:r w:rsidR="00E72493">
        <w:rPr>
          <w:lang w:val="fr-CH"/>
        </w:rPr>
        <w:t>'</w:t>
      </w:r>
      <w:r w:rsidRPr="00AA4FBF">
        <w:rPr>
          <w:lang w:val="fr-CH"/>
        </w:rPr>
        <w:t>onde.</w:t>
      </w:r>
    </w:p>
    <w:p w:rsidR="002C0E9C" w:rsidRPr="00AA4FBF" w:rsidRDefault="002C0E9C" w:rsidP="002C0E9C">
      <w:pPr>
        <w:pStyle w:val="TableNo"/>
        <w:keepLines/>
        <w:rPr>
          <w:sz w:val="22"/>
          <w:szCs w:val="22"/>
          <w:lang w:val="fr-CH"/>
        </w:rPr>
      </w:pPr>
      <w:r w:rsidRPr="002C0E9C">
        <w:t>TABLEAU 3</w:t>
      </w:r>
    </w:p>
    <w:p w:rsidR="002C0E9C" w:rsidRDefault="002C0E9C" w:rsidP="00F83EB9">
      <w:pPr>
        <w:pStyle w:val="Tabletitle"/>
        <w:keepLines/>
      </w:pPr>
      <w:r w:rsidRPr="00381A30">
        <w:t xml:space="preserve">Analyse des paramètres pour la détermination des critères de brouillage applicables </w:t>
      </w:r>
      <w:r w:rsidR="00F83EB9">
        <w:br/>
      </w:r>
      <w:r w:rsidRPr="00381A30">
        <w:t>à la diffusion de données à haute résolution à des stations d</w:t>
      </w:r>
      <w:r w:rsidR="00E72493">
        <w:t>'</w:t>
      </w:r>
      <w:r w:rsidRPr="00381A30">
        <w:t xml:space="preserve">utilisateurs </w:t>
      </w:r>
      <w:r w:rsidR="00F83EB9">
        <w:br/>
      </w:r>
      <w:r w:rsidRPr="00381A30">
        <w:t>utilisant des satellites géostationnaires</w:t>
      </w:r>
    </w:p>
    <w:tbl>
      <w:tblPr>
        <w:tblW w:w="9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0" w:type="dxa"/>
          <w:bottom w:w="28" w:type="dxa"/>
          <w:right w:w="0" w:type="dxa"/>
        </w:tblCellMar>
        <w:tblLook w:val="00A0" w:firstRow="1" w:lastRow="0" w:firstColumn="1" w:lastColumn="0" w:noHBand="0" w:noVBand="0"/>
      </w:tblPr>
      <w:tblGrid>
        <w:gridCol w:w="1977"/>
        <w:gridCol w:w="1207"/>
        <w:gridCol w:w="2729"/>
        <w:gridCol w:w="3817"/>
      </w:tblGrid>
      <w:tr w:rsidR="002C0E9C" w:rsidRPr="00AA4FBF" w:rsidTr="00371147">
        <w:tc>
          <w:tcPr>
            <w:tcW w:w="3184" w:type="dxa"/>
            <w:gridSpan w:val="2"/>
            <w:tcBorders>
              <w:bottom w:val="single" w:sz="4" w:space="0" w:color="auto"/>
            </w:tcBorders>
          </w:tcPr>
          <w:p w:rsidR="002C0E9C" w:rsidRPr="00AA4FBF" w:rsidRDefault="002C0E9C" w:rsidP="002C0E9C">
            <w:pPr>
              <w:pStyle w:val="Tablehead"/>
              <w:rPr>
                <w:b w:val="0"/>
                <w:bCs/>
                <w:sz w:val="20"/>
                <w:szCs w:val="22"/>
                <w:lang w:val="fr-CH"/>
              </w:rPr>
            </w:pPr>
            <w:r w:rsidRPr="00A57190">
              <w:t>Paramètre de la liaison</w:t>
            </w:r>
          </w:p>
        </w:tc>
        <w:tc>
          <w:tcPr>
            <w:tcW w:w="2729" w:type="dxa"/>
            <w:tcBorders>
              <w:bottom w:val="single" w:sz="4" w:space="0" w:color="auto"/>
            </w:tcBorders>
          </w:tcPr>
          <w:p w:rsidR="002C0E9C" w:rsidRPr="00AA4FBF" w:rsidRDefault="002C0E9C" w:rsidP="002C0E9C">
            <w:pPr>
              <w:pStyle w:val="Tablehead"/>
              <w:rPr>
                <w:b w:val="0"/>
                <w:bCs/>
                <w:sz w:val="20"/>
                <w:szCs w:val="22"/>
                <w:lang w:val="fr-CH"/>
              </w:rPr>
            </w:pPr>
            <w:r w:rsidRPr="00A57190">
              <w:t>Valeur</w:t>
            </w:r>
          </w:p>
        </w:tc>
        <w:tc>
          <w:tcPr>
            <w:tcW w:w="3817" w:type="dxa"/>
            <w:tcBorders>
              <w:bottom w:val="single" w:sz="4" w:space="0" w:color="auto"/>
            </w:tcBorders>
          </w:tcPr>
          <w:p w:rsidR="002C0E9C" w:rsidRPr="00AA4FBF" w:rsidRDefault="002C0E9C" w:rsidP="002C0E9C">
            <w:pPr>
              <w:pStyle w:val="Tablehead"/>
            </w:pPr>
            <w:r w:rsidRPr="00AA4FBF">
              <w:t>Notes</w:t>
            </w:r>
          </w:p>
        </w:tc>
      </w:tr>
      <w:tr w:rsidR="002C0E9C" w:rsidRPr="00AA4FBF" w:rsidTr="00371147">
        <w:tc>
          <w:tcPr>
            <w:tcW w:w="3184" w:type="dxa"/>
            <w:gridSpan w:val="2"/>
            <w:tcBorders>
              <w:top w:val="single" w:sz="4" w:space="0" w:color="auto"/>
            </w:tcBorders>
            <w:tcMar>
              <w:left w:w="108" w:type="dxa"/>
              <w:right w:w="108" w:type="dxa"/>
            </w:tcMar>
          </w:tcPr>
          <w:p w:rsidR="002C0E9C" w:rsidRPr="00DA3FFC" w:rsidRDefault="002C0E9C" w:rsidP="00371147">
            <w:pPr>
              <w:pStyle w:val="Tabletext"/>
              <w:rPr>
                <w:lang w:val="fr-CH"/>
              </w:rPr>
            </w:pPr>
            <w:r w:rsidRPr="00DA3FFC">
              <w:rPr>
                <w:lang w:val="fr-CH"/>
              </w:rPr>
              <w:t>p.i.r.e. de la liaison montante</w:t>
            </w:r>
          </w:p>
        </w:tc>
        <w:tc>
          <w:tcPr>
            <w:tcW w:w="2729"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72,1 dBW</w:t>
            </w:r>
          </w:p>
        </w:tc>
        <w:tc>
          <w:tcPr>
            <w:tcW w:w="3817"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D1335C" w:rsidTr="00371147">
        <w:tc>
          <w:tcPr>
            <w:tcW w:w="3184" w:type="dxa"/>
            <w:gridSpan w:val="2"/>
            <w:tcMar>
              <w:left w:w="108" w:type="dxa"/>
              <w:right w:w="108" w:type="dxa"/>
            </w:tcMar>
          </w:tcPr>
          <w:p w:rsidR="002C0E9C" w:rsidRPr="00DA3FFC" w:rsidRDefault="002C0E9C" w:rsidP="00371147">
            <w:pPr>
              <w:pStyle w:val="Tabletext"/>
              <w:rPr>
                <w:lang w:val="fr-CH"/>
              </w:rPr>
            </w:pPr>
            <w:r w:rsidRPr="00DA3FFC">
              <w:rPr>
                <w:lang w:val="fr-CH"/>
              </w:rPr>
              <w:t>Affaiblissement sur la liaison montante</w:t>
            </w:r>
          </w:p>
        </w:tc>
        <w:tc>
          <w:tcPr>
            <w:tcW w:w="2729" w:type="dxa"/>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191,7 dB</w:t>
            </w:r>
          </w:p>
        </w:tc>
        <w:tc>
          <w:tcPr>
            <w:tcW w:w="3817" w:type="dxa"/>
            <w:tcMar>
              <w:left w:w="108" w:type="dxa"/>
              <w:right w:w="108" w:type="dxa"/>
            </w:tcMar>
          </w:tcPr>
          <w:p w:rsidR="002C0E9C" w:rsidRPr="00DA3FFC" w:rsidRDefault="002C0E9C" w:rsidP="00371147">
            <w:pPr>
              <w:pStyle w:val="Tabletext"/>
              <w:jc w:val="center"/>
              <w:rPr>
                <w:lang w:val="fr-CH"/>
              </w:rPr>
            </w:pPr>
            <w:r w:rsidRPr="00DA3FFC">
              <w:rPr>
                <w:lang w:val="fr-CH"/>
              </w:rPr>
              <w:t>Espace libre, polarisation et pointage d</w:t>
            </w:r>
            <w:r w:rsidR="00E72493">
              <w:rPr>
                <w:lang w:val="fr-CH"/>
              </w:rPr>
              <w:t>'</w:t>
            </w:r>
            <w:r w:rsidRPr="00DA3FFC">
              <w:rPr>
                <w:lang w:val="fr-CH"/>
              </w:rPr>
              <w:t>antenne</w:t>
            </w:r>
          </w:p>
        </w:tc>
      </w:tr>
      <w:tr w:rsidR="002C0E9C" w:rsidRPr="00AA4FBF" w:rsidTr="00371147">
        <w:tc>
          <w:tcPr>
            <w:tcW w:w="3184" w:type="dxa"/>
            <w:gridSpan w:val="2"/>
            <w:tcBorders>
              <w:bottom w:val="single" w:sz="6" w:space="0" w:color="000000"/>
            </w:tcBorders>
            <w:tcMar>
              <w:left w:w="108" w:type="dxa"/>
              <w:right w:w="108" w:type="dxa"/>
            </w:tcMar>
          </w:tcPr>
          <w:p w:rsidR="002C0E9C" w:rsidRPr="00DA3FFC" w:rsidRDefault="002C0E9C" w:rsidP="00371147">
            <w:pPr>
              <w:pStyle w:val="Tabletext"/>
              <w:rPr>
                <w:lang w:val="fr-CH"/>
              </w:rPr>
            </w:pPr>
            <w:r w:rsidRPr="00DA3FFC">
              <w:rPr>
                <w:i/>
                <w:iCs/>
                <w:lang w:val="fr-CH"/>
              </w:rPr>
              <w:t>G</w:t>
            </w:r>
            <w:r w:rsidRPr="00DA3FFC">
              <w:rPr>
                <w:lang w:val="fr-CH"/>
              </w:rPr>
              <w:t>/</w:t>
            </w:r>
            <w:r w:rsidRPr="00DA3FFC">
              <w:rPr>
                <w:i/>
                <w:iCs/>
                <w:lang w:val="fr-CH"/>
              </w:rPr>
              <w:t>T</w:t>
            </w:r>
            <w:r w:rsidRPr="00DA3FFC">
              <w:rPr>
                <w:lang w:val="fr-CH"/>
              </w:rPr>
              <w:t>, liaison montante</w:t>
            </w:r>
          </w:p>
        </w:tc>
        <w:tc>
          <w:tcPr>
            <w:tcW w:w="2729" w:type="dxa"/>
            <w:tcBorders>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–17,5 dB(K</w:t>
            </w:r>
            <w:r w:rsidRPr="00E72493">
              <w:rPr>
                <w:vertAlign w:val="superscript"/>
              </w:rPr>
              <w:t>–1</w:t>
            </w:r>
            <w:r w:rsidRPr="00DA3FFC">
              <w:rPr>
                <w:rFonts w:asciiTheme="majorBidi" w:hAnsiTheme="majorBidi" w:cstheme="majorBidi"/>
                <w:sz w:val="22"/>
                <w:szCs w:val="22"/>
                <w:lang w:val="fr-CH"/>
              </w:rPr>
              <w:t>)</w:t>
            </w:r>
          </w:p>
        </w:tc>
        <w:tc>
          <w:tcPr>
            <w:tcW w:w="3817" w:type="dxa"/>
            <w:tcBorders>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Mesure post-lancement</w:t>
            </w:r>
          </w:p>
        </w:tc>
      </w:tr>
      <w:tr w:rsidR="002C0E9C" w:rsidRPr="00AA4FBF" w:rsidTr="00371147">
        <w:tc>
          <w:tcPr>
            <w:tcW w:w="3184" w:type="dxa"/>
            <w:gridSpan w:val="2"/>
            <w:tcBorders>
              <w:bottom w:val="single" w:sz="4" w:space="0" w:color="auto"/>
            </w:tcBorders>
            <w:tcMar>
              <w:left w:w="108" w:type="dxa"/>
              <w:right w:w="108" w:type="dxa"/>
            </w:tcMar>
          </w:tcPr>
          <w:p w:rsidR="002C0E9C" w:rsidRPr="00DA3FFC" w:rsidRDefault="00371147" w:rsidP="00371147">
            <w:pPr>
              <w:pStyle w:val="Tabletext"/>
              <w:rPr>
                <w:lang w:val="fr-CH"/>
              </w:rPr>
            </w:pPr>
            <w:r w:rsidRPr="00371147">
              <w:rPr>
                <w:i/>
                <w:iCs/>
                <w:lang w:val="en-US"/>
              </w:rPr>
              <w:t>C</w:t>
            </w:r>
            <w:r w:rsidRPr="00371147">
              <w:rPr>
                <w:lang w:val="en-US"/>
              </w:rPr>
              <w:t>/</w:t>
            </w:r>
            <w:r w:rsidRPr="00371147">
              <w:rPr>
                <w:i/>
                <w:iCs/>
                <w:lang w:val="en-US"/>
              </w:rPr>
              <w:t>N</w:t>
            </w:r>
            <w:r w:rsidRPr="00371147">
              <w:rPr>
                <w:vertAlign w:val="subscript"/>
                <w:lang w:val="en-US"/>
              </w:rPr>
              <w:t>0</w:t>
            </w:r>
            <w:r w:rsidR="002C0E9C" w:rsidRPr="00DA3FFC">
              <w:rPr>
                <w:lang w:val="fr-CH"/>
              </w:rPr>
              <w:t>, liaison montante</w:t>
            </w:r>
          </w:p>
        </w:tc>
        <w:tc>
          <w:tcPr>
            <w:tcW w:w="2729"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91,5 dB/Hz</w:t>
            </w:r>
          </w:p>
        </w:tc>
        <w:tc>
          <w:tcPr>
            <w:tcW w:w="3817"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top w:val="single" w:sz="4" w:space="0" w:color="auto"/>
            </w:tcBorders>
            <w:tcMar>
              <w:left w:w="108" w:type="dxa"/>
              <w:right w:w="108" w:type="dxa"/>
            </w:tcMar>
          </w:tcPr>
          <w:p w:rsidR="002C0E9C" w:rsidRPr="00DA3FFC" w:rsidRDefault="002C0E9C" w:rsidP="00371147">
            <w:pPr>
              <w:pStyle w:val="Tabletext"/>
              <w:rPr>
                <w:lang w:val="fr-CH"/>
              </w:rPr>
            </w:pPr>
            <w:r w:rsidRPr="00DA3FFC">
              <w:rPr>
                <w:lang w:val="fr-CH"/>
              </w:rPr>
              <w:t>p.i.r.e. de la liaison descendante</w:t>
            </w:r>
          </w:p>
        </w:tc>
        <w:tc>
          <w:tcPr>
            <w:tcW w:w="2729"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23,8 dBW</w:t>
            </w:r>
          </w:p>
        </w:tc>
        <w:tc>
          <w:tcPr>
            <w:tcW w:w="3817"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D1335C" w:rsidTr="00371147">
        <w:tc>
          <w:tcPr>
            <w:tcW w:w="3184" w:type="dxa"/>
            <w:gridSpan w:val="2"/>
            <w:tcMar>
              <w:left w:w="108" w:type="dxa"/>
              <w:right w:w="108" w:type="dxa"/>
            </w:tcMar>
          </w:tcPr>
          <w:p w:rsidR="002C0E9C" w:rsidRPr="00DA3FFC" w:rsidRDefault="002C0E9C" w:rsidP="00371147">
            <w:pPr>
              <w:pStyle w:val="Tabletext"/>
              <w:rPr>
                <w:lang w:val="fr-CH"/>
              </w:rPr>
            </w:pPr>
            <w:r w:rsidRPr="00DA3FFC">
              <w:rPr>
                <w:lang w:val="fr-CH"/>
              </w:rPr>
              <w:t>Affaiblissement sur la liaison descendante</w:t>
            </w:r>
          </w:p>
        </w:tc>
        <w:tc>
          <w:tcPr>
            <w:tcW w:w="2729" w:type="dxa"/>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190,1 dB</w:t>
            </w:r>
          </w:p>
        </w:tc>
        <w:tc>
          <w:tcPr>
            <w:tcW w:w="3817" w:type="dxa"/>
            <w:tcMar>
              <w:left w:w="108" w:type="dxa"/>
              <w:right w:w="108" w:type="dxa"/>
            </w:tcMar>
          </w:tcPr>
          <w:p w:rsidR="002C0E9C" w:rsidRPr="00DA3FFC" w:rsidRDefault="002C0E9C" w:rsidP="00371147">
            <w:pPr>
              <w:pStyle w:val="Tabletext"/>
              <w:jc w:val="center"/>
              <w:rPr>
                <w:lang w:val="fr-CH"/>
              </w:rPr>
            </w:pPr>
            <w:r w:rsidRPr="00DA3FFC">
              <w:rPr>
                <w:lang w:val="fr-CH"/>
              </w:rPr>
              <w:t>Espace libre, polarisation et pointage d</w:t>
            </w:r>
            <w:r w:rsidR="00E72493">
              <w:rPr>
                <w:lang w:val="fr-CH"/>
              </w:rPr>
              <w:t>'</w:t>
            </w:r>
            <w:r w:rsidRPr="00DA3FFC">
              <w:rPr>
                <w:lang w:val="fr-CH"/>
              </w:rPr>
              <w:t>antenne</w:t>
            </w:r>
          </w:p>
        </w:tc>
      </w:tr>
      <w:tr w:rsidR="002C0E9C" w:rsidRPr="00AA4FBF" w:rsidTr="00371147">
        <w:tc>
          <w:tcPr>
            <w:tcW w:w="3184" w:type="dxa"/>
            <w:gridSpan w:val="2"/>
            <w:tcBorders>
              <w:bottom w:val="single" w:sz="6" w:space="0" w:color="000000"/>
            </w:tcBorders>
            <w:tcMar>
              <w:left w:w="108" w:type="dxa"/>
              <w:right w:w="108" w:type="dxa"/>
            </w:tcMar>
          </w:tcPr>
          <w:p w:rsidR="002C0E9C" w:rsidRPr="00DA3FFC" w:rsidRDefault="002C0E9C" w:rsidP="00371147">
            <w:pPr>
              <w:pStyle w:val="Tabletext"/>
              <w:rPr>
                <w:lang w:val="fr-CH"/>
              </w:rPr>
            </w:pPr>
            <w:r w:rsidRPr="00DA3FFC">
              <w:rPr>
                <w:i/>
                <w:iCs/>
                <w:lang w:val="fr-CH"/>
              </w:rPr>
              <w:t>G</w:t>
            </w:r>
            <w:r w:rsidRPr="00DA3FFC">
              <w:rPr>
                <w:lang w:val="fr-CH"/>
              </w:rPr>
              <w:t>/</w:t>
            </w:r>
            <w:r w:rsidRPr="00DA3FFC">
              <w:rPr>
                <w:i/>
                <w:iCs/>
                <w:lang w:val="fr-CH"/>
              </w:rPr>
              <w:t>T</w:t>
            </w:r>
            <w:r w:rsidRPr="00DA3FFC">
              <w:rPr>
                <w:lang w:val="fr-CH"/>
              </w:rPr>
              <w:t>, liaison descendante</w:t>
            </w:r>
          </w:p>
        </w:tc>
        <w:tc>
          <w:tcPr>
            <w:tcW w:w="2729" w:type="dxa"/>
            <w:tcBorders>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15,2 dB(K</w:t>
            </w:r>
            <w:r w:rsidRPr="00E72493">
              <w:rPr>
                <w:vertAlign w:val="superscript"/>
              </w:rPr>
              <w:t>–1</w:t>
            </w:r>
            <w:r w:rsidRPr="00DA3FFC">
              <w:rPr>
                <w:rFonts w:asciiTheme="majorBidi" w:hAnsiTheme="majorBidi" w:cstheme="majorBidi"/>
                <w:sz w:val="22"/>
                <w:szCs w:val="22"/>
                <w:lang w:val="fr-CH"/>
              </w:rPr>
              <w:t>)</w:t>
            </w:r>
          </w:p>
        </w:tc>
        <w:tc>
          <w:tcPr>
            <w:tcW w:w="3817" w:type="dxa"/>
            <w:tcBorders>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bottom w:val="single" w:sz="4" w:space="0" w:color="auto"/>
            </w:tcBorders>
            <w:tcMar>
              <w:left w:w="108" w:type="dxa"/>
              <w:right w:w="108" w:type="dxa"/>
            </w:tcMar>
          </w:tcPr>
          <w:p w:rsidR="002C0E9C" w:rsidRPr="00371147" w:rsidRDefault="00371147" w:rsidP="00371147">
            <w:pPr>
              <w:pStyle w:val="Tabletext"/>
              <w:rPr>
                <w:lang w:val="fr-CH"/>
              </w:rPr>
            </w:pPr>
            <w:r w:rsidRPr="00371147">
              <w:rPr>
                <w:i/>
                <w:iCs/>
                <w:lang w:val="en-US"/>
              </w:rPr>
              <w:t>C</w:t>
            </w:r>
            <w:r w:rsidRPr="00371147">
              <w:rPr>
                <w:lang w:val="en-US"/>
              </w:rPr>
              <w:t>/</w:t>
            </w:r>
            <w:r w:rsidRPr="00371147">
              <w:rPr>
                <w:i/>
                <w:iCs/>
                <w:lang w:val="en-US"/>
              </w:rPr>
              <w:t>N</w:t>
            </w:r>
            <w:r w:rsidRPr="00371147">
              <w:rPr>
                <w:vertAlign w:val="subscript"/>
                <w:lang w:val="en-US"/>
              </w:rPr>
              <w:t>0</w:t>
            </w:r>
            <w:r w:rsidR="002C0E9C" w:rsidRPr="00371147">
              <w:rPr>
                <w:lang w:val="fr-CH"/>
              </w:rPr>
              <w:t>, liaison descendante</w:t>
            </w:r>
          </w:p>
        </w:tc>
        <w:tc>
          <w:tcPr>
            <w:tcW w:w="2729"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77,5 dB.Hz</w:t>
            </w:r>
          </w:p>
        </w:tc>
        <w:tc>
          <w:tcPr>
            <w:tcW w:w="3817"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top w:val="single" w:sz="4" w:space="0" w:color="auto"/>
            </w:tcBorders>
            <w:tcMar>
              <w:left w:w="108" w:type="dxa"/>
              <w:right w:w="108" w:type="dxa"/>
            </w:tcMar>
          </w:tcPr>
          <w:p w:rsidR="002C0E9C" w:rsidRPr="00371147" w:rsidRDefault="00371147" w:rsidP="00371147">
            <w:pPr>
              <w:pStyle w:val="Tabletext"/>
              <w:rPr>
                <w:lang w:val="fr-CH"/>
              </w:rPr>
            </w:pPr>
            <w:r w:rsidRPr="00371147">
              <w:rPr>
                <w:i/>
                <w:iCs/>
                <w:lang w:val="en-US"/>
              </w:rPr>
              <w:t>C</w:t>
            </w:r>
            <w:r w:rsidRPr="00371147">
              <w:rPr>
                <w:lang w:val="en-US"/>
              </w:rPr>
              <w:t>/</w:t>
            </w:r>
            <w:r w:rsidRPr="00371147">
              <w:rPr>
                <w:i/>
                <w:iCs/>
                <w:lang w:val="en-US"/>
              </w:rPr>
              <w:t>N</w:t>
            </w:r>
            <w:r w:rsidRPr="00371147">
              <w:rPr>
                <w:vertAlign w:val="subscript"/>
                <w:lang w:val="en-US"/>
              </w:rPr>
              <w:t xml:space="preserve">0 </w:t>
            </w:r>
            <w:r w:rsidR="002C0E9C" w:rsidRPr="00371147">
              <w:rPr>
                <w:lang w:val="fr-CH"/>
              </w:rPr>
              <w:t>composite</w:t>
            </w:r>
          </w:p>
        </w:tc>
        <w:tc>
          <w:tcPr>
            <w:tcW w:w="2729"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77,3 dB.Hz</w:t>
            </w:r>
          </w:p>
        </w:tc>
        <w:tc>
          <w:tcPr>
            <w:tcW w:w="3817" w:type="dxa"/>
            <w:tcBorders>
              <w:top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bottom w:val="nil"/>
            </w:tcBorders>
            <w:tcMar>
              <w:left w:w="108" w:type="dxa"/>
              <w:right w:w="108" w:type="dxa"/>
            </w:tcMar>
          </w:tcPr>
          <w:p w:rsidR="002C0E9C" w:rsidRPr="00371147" w:rsidRDefault="002C0E9C" w:rsidP="00371147">
            <w:pPr>
              <w:pStyle w:val="Tabletext"/>
              <w:rPr>
                <w:lang w:val="fr-CH"/>
              </w:rPr>
            </w:pPr>
            <w:r w:rsidRPr="00371147">
              <w:rPr>
                <w:lang w:val="fr-CH"/>
              </w:rPr>
              <w:t>Débit des données</w:t>
            </w:r>
          </w:p>
        </w:tc>
        <w:tc>
          <w:tcPr>
            <w:tcW w:w="2729" w:type="dxa"/>
            <w:tcBorders>
              <w:bottom w:val="nil"/>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2,11 Mbit/s</w:t>
            </w:r>
          </w:p>
        </w:tc>
        <w:tc>
          <w:tcPr>
            <w:tcW w:w="3817" w:type="dxa"/>
            <w:tcBorders>
              <w:bottom w:val="nil"/>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D1335C" w:rsidTr="00371147">
        <w:tc>
          <w:tcPr>
            <w:tcW w:w="3184" w:type="dxa"/>
            <w:gridSpan w:val="2"/>
            <w:tcBorders>
              <w:bottom w:val="single" w:sz="6" w:space="0" w:color="000000"/>
            </w:tcBorders>
            <w:tcMar>
              <w:left w:w="108" w:type="dxa"/>
              <w:right w:w="108" w:type="dxa"/>
            </w:tcMar>
          </w:tcPr>
          <w:p w:rsidR="002C0E9C" w:rsidRPr="00371147" w:rsidRDefault="00371147" w:rsidP="00371147">
            <w:pPr>
              <w:pStyle w:val="Tabletext"/>
              <w:rPr>
                <w:lang w:val="fr-CH"/>
              </w:rPr>
            </w:pPr>
            <w:r w:rsidRPr="00371147">
              <w:rPr>
                <w:i/>
                <w:iCs/>
                <w:lang w:val="en-US"/>
              </w:rPr>
              <w:t>C</w:t>
            </w:r>
            <w:r w:rsidRPr="00371147">
              <w:rPr>
                <w:lang w:val="en-US"/>
              </w:rPr>
              <w:t>/</w:t>
            </w:r>
            <w:r w:rsidRPr="00371147">
              <w:rPr>
                <w:i/>
                <w:iCs/>
                <w:lang w:val="en-US"/>
              </w:rPr>
              <w:t>N</w:t>
            </w:r>
            <w:r w:rsidRPr="00371147">
              <w:rPr>
                <w:vertAlign w:val="subscript"/>
                <w:lang w:val="en-US"/>
              </w:rPr>
              <w:t xml:space="preserve">0 </w:t>
            </w:r>
            <w:r w:rsidR="002C0E9C" w:rsidRPr="00371147">
              <w:rPr>
                <w:lang w:val="fr-CH"/>
              </w:rPr>
              <w:t>requis</w:t>
            </w:r>
          </w:p>
        </w:tc>
        <w:tc>
          <w:tcPr>
            <w:tcW w:w="2729" w:type="dxa"/>
            <w:tcBorders>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75,9 dB.Hz</w:t>
            </w:r>
          </w:p>
        </w:tc>
        <w:tc>
          <w:tcPr>
            <w:tcW w:w="3817" w:type="dxa"/>
            <w:tcBorders>
              <w:bottom w:val="single" w:sz="6" w:space="0" w:color="000000"/>
            </w:tcBorders>
            <w:tcMar>
              <w:left w:w="108" w:type="dxa"/>
              <w:right w:w="108" w:type="dxa"/>
            </w:tcMar>
          </w:tcPr>
          <w:p w:rsidR="00E72493" w:rsidRDefault="002C0E9C" w:rsidP="00371147">
            <w:pPr>
              <w:pStyle w:val="TableText0"/>
              <w:spacing w:before="60" w:after="60"/>
              <w:ind w:left="57" w:right="57"/>
              <w:jc w:val="center"/>
              <w:rPr>
                <w:rFonts w:asciiTheme="majorBidi" w:hAnsiTheme="majorBidi" w:cstheme="majorBidi"/>
                <w:sz w:val="22"/>
                <w:szCs w:val="22"/>
                <w:vertAlign w:val="superscript"/>
                <w:lang w:val="fr-CH"/>
              </w:rPr>
            </w:pPr>
            <w:r w:rsidRPr="00DA3FFC">
              <w:rPr>
                <w:rFonts w:asciiTheme="majorBidi" w:hAnsiTheme="majorBidi" w:cstheme="majorBidi"/>
                <w:sz w:val="22"/>
                <w:szCs w:val="22"/>
                <w:lang w:val="fr-CH"/>
              </w:rPr>
              <w:t xml:space="preserve">TEB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10</w:t>
            </w:r>
            <w:r w:rsidRPr="00F83EB9">
              <w:rPr>
                <w:rFonts w:asciiTheme="majorBidi" w:hAnsiTheme="majorBidi" w:cstheme="majorBidi"/>
                <w:sz w:val="22"/>
                <w:szCs w:val="22"/>
                <w:vertAlign w:val="superscript"/>
                <w:lang w:val="fr-CH"/>
              </w:rPr>
              <w:t>–6</w:t>
            </w:r>
          </w:p>
          <w:p w:rsidR="002C0E9C" w:rsidRPr="00DA3FFC" w:rsidRDefault="002C0E9C" w:rsidP="00371147">
            <w:pPr>
              <w:pStyle w:val="Tabletext"/>
              <w:jc w:val="center"/>
              <w:rPr>
                <w:lang w:val="fr-CH"/>
              </w:rPr>
            </w:pPr>
            <w:r w:rsidRPr="00DA3FFC">
              <w:rPr>
                <w:lang w:val="fr-CH"/>
              </w:rPr>
              <w:t xml:space="preserve">Affaiblissement de mise en </w:t>
            </w:r>
            <w:r w:rsidR="00E72493">
              <w:rPr>
                <w:lang w:val="fr-CH"/>
              </w:rPr>
              <w:t>oe</w:t>
            </w:r>
            <w:r w:rsidRPr="00DA3FFC">
              <w:rPr>
                <w:lang w:val="fr-CH"/>
              </w:rPr>
              <w:t xml:space="preserve">uvre </w:t>
            </w:r>
            <w:r w:rsidRPr="00F83EB9">
              <w:rPr>
                <w:rFonts w:ascii="Symbol" w:hAnsi="Symbol"/>
                <w:lang w:val="fr-CH"/>
              </w:rPr>
              <w:t></w:t>
            </w:r>
            <w:r w:rsidRPr="00DA3FFC">
              <w:rPr>
                <w:lang w:val="fr-CH"/>
              </w:rPr>
              <w:t xml:space="preserve"> 1,9 dB</w:t>
            </w:r>
          </w:p>
        </w:tc>
      </w:tr>
      <w:tr w:rsidR="002C0E9C" w:rsidRPr="00AA4FBF" w:rsidTr="00371147">
        <w:tc>
          <w:tcPr>
            <w:tcW w:w="3184" w:type="dxa"/>
            <w:gridSpan w:val="2"/>
            <w:tcBorders>
              <w:bottom w:val="single" w:sz="4" w:space="0" w:color="auto"/>
            </w:tcBorders>
            <w:tcMar>
              <w:left w:w="108" w:type="dxa"/>
              <w:right w:w="108" w:type="dxa"/>
            </w:tcMar>
          </w:tcPr>
          <w:p w:rsidR="002C0E9C" w:rsidRPr="00DA3FFC" w:rsidRDefault="002C0E9C" w:rsidP="00371147">
            <w:pPr>
              <w:pStyle w:val="TableText0"/>
              <w:spacing w:before="60" w:after="60"/>
              <w:ind w:left="113" w:right="57"/>
              <w:jc w:val="left"/>
              <w:rPr>
                <w:rFonts w:asciiTheme="majorBidi" w:hAnsiTheme="majorBidi" w:cstheme="majorBidi"/>
                <w:sz w:val="22"/>
                <w:szCs w:val="22"/>
                <w:lang w:val="fr-CH"/>
              </w:rPr>
            </w:pPr>
            <w:r w:rsidRPr="00DA3FFC">
              <w:rPr>
                <w:rFonts w:asciiTheme="majorBidi" w:hAnsiTheme="majorBidi" w:cstheme="majorBidi"/>
                <w:sz w:val="22"/>
                <w:szCs w:val="22"/>
                <w:lang w:val="fr-CH"/>
              </w:rPr>
              <w:t>Marge</w:t>
            </w:r>
          </w:p>
        </w:tc>
        <w:tc>
          <w:tcPr>
            <w:tcW w:w="2729"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1,4 dB</w:t>
            </w:r>
          </w:p>
        </w:tc>
        <w:tc>
          <w:tcPr>
            <w:tcW w:w="3817" w:type="dxa"/>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top w:val="single" w:sz="4" w:space="0" w:color="auto"/>
              <w:bottom w:val="single" w:sz="6" w:space="0" w:color="000000"/>
            </w:tcBorders>
            <w:tcMar>
              <w:left w:w="108" w:type="dxa"/>
              <w:right w:w="108" w:type="dxa"/>
            </w:tcMar>
          </w:tcPr>
          <w:p w:rsidR="002C0E9C" w:rsidRPr="00DA3FFC" w:rsidRDefault="002C0E9C" w:rsidP="00371147">
            <w:pPr>
              <w:pStyle w:val="Tabletext"/>
              <w:rPr>
                <w:lang w:val="fr-CH"/>
              </w:rPr>
            </w:pPr>
            <w:r w:rsidRPr="00DA3FFC">
              <w:rPr>
                <w:lang w:val="fr-CH"/>
              </w:rPr>
              <w:t>Gain d</w:t>
            </w:r>
            <w:r w:rsidR="00E72493">
              <w:rPr>
                <w:lang w:val="fr-CH"/>
              </w:rPr>
              <w:t>'</w:t>
            </w:r>
            <w:r w:rsidRPr="00DA3FFC">
              <w:rPr>
                <w:lang w:val="fr-CH"/>
              </w:rPr>
              <w:t>antenne de réception de la liaison montante</w:t>
            </w:r>
          </w:p>
        </w:tc>
        <w:tc>
          <w:tcPr>
            <w:tcW w:w="2729" w:type="dxa"/>
            <w:tcBorders>
              <w:top w:val="single" w:sz="4" w:space="0" w:color="auto"/>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9,5 dBi</w:t>
            </w:r>
          </w:p>
        </w:tc>
        <w:tc>
          <w:tcPr>
            <w:tcW w:w="3817" w:type="dxa"/>
            <w:tcBorders>
              <w:top w:val="single" w:sz="4" w:space="0" w:color="auto"/>
              <w:bottom w:val="single" w:sz="6" w:space="0" w:color="000000"/>
              <w:right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top w:val="single" w:sz="6" w:space="0" w:color="000000"/>
              <w:bottom w:val="single" w:sz="6" w:space="0" w:color="000000"/>
            </w:tcBorders>
            <w:tcMar>
              <w:left w:w="108" w:type="dxa"/>
              <w:right w:w="108" w:type="dxa"/>
            </w:tcMar>
          </w:tcPr>
          <w:p w:rsidR="002C0E9C" w:rsidRPr="00DA3FFC" w:rsidRDefault="002C0E9C" w:rsidP="00371147">
            <w:pPr>
              <w:pStyle w:val="Tabletext"/>
              <w:rPr>
                <w:lang w:val="fr-CH"/>
              </w:rPr>
            </w:pPr>
            <w:r w:rsidRPr="00DA3FFC">
              <w:rPr>
                <w:lang w:val="fr-CH"/>
              </w:rPr>
              <w:t>Densité de bruit de la liaison montante</w:t>
            </w:r>
          </w:p>
        </w:tc>
        <w:tc>
          <w:tcPr>
            <w:tcW w:w="2729"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–201,6 dB(W/Hz)</w:t>
            </w:r>
          </w:p>
        </w:tc>
        <w:tc>
          <w:tcPr>
            <w:tcW w:w="3817" w:type="dxa"/>
            <w:tcBorders>
              <w:top w:val="single" w:sz="6" w:space="0" w:color="000000"/>
              <w:bottom w:val="single" w:sz="6" w:space="0" w:color="000000"/>
              <w:right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T</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500 K</w:t>
            </w:r>
          </w:p>
        </w:tc>
      </w:tr>
      <w:tr w:rsidR="002C0E9C" w:rsidRPr="00AA4FBF" w:rsidTr="00371147">
        <w:trPr>
          <w:trHeight w:val="509"/>
        </w:trPr>
        <w:tc>
          <w:tcPr>
            <w:tcW w:w="1977" w:type="dxa"/>
            <w:vMerge w:val="restart"/>
            <w:tcBorders>
              <w:top w:val="single" w:sz="6" w:space="0" w:color="000000"/>
              <w:bottom w:val="single" w:sz="6" w:space="0" w:color="000000"/>
            </w:tcBorders>
            <w:tcMar>
              <w:left w:w="108" w:type="dxa"/>
              <w:right w:w="108" w:type="dxa"/>
            </w:tcMar>
          </w:tcPr>
          <w:p w:rsidR="002C0E9C" w:rsidRPr="00DA3FFC" w:rsidRDefault="002C0E9C" w:rsidP="00371147">
            <w:pPr>
              <w:pStyle w:val="Tabletext"/>
              <w:rPr>
                <w:lang w:val="fr-CH"/>
              </w:rPr>
            </w:pPr>
            <w:r w:rsidRPr="00DA3FFC">
              <w:rPr>
                <w:lang w:val="fr-CH"/>
              </w:rPr>
              <w:t>Critère de brouillage sur la liaison montante (2 025-2 110 MHz)</w:t>
            </w:r>
          </w:p>
        </w:tc>
        <w:tc>
          <w:tcPr>
            <w:tcW w:w="1207"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
              <w:jc w:val="center"/>
              <w:rPr>
                <w:rFonts w:asciiTheme="majorBidi" w:hAnsiTheme="majorBidi" w:cstheme="majorBidi"/>
                <w:szCs w:val="22"/>
                <w:lang w:val="fr-CH"/>
              </w:rPr>
            </w:pPr>
            <w:r w:rsidRPr="00371147">
              <w:rPr>
                <w:lang w:val="fr-CH"/>
              </w:rPr>
              <w:t>Long terme</w:t>
            </w:r>
          </w:p>
        </w:tc>
        <w:tc>
          <w:tcPr>
            <w:tcW w:w="2729"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–136,7 dB(W/2,11 MHz)</w:t>
            </w:r>
          </w:p>
        </w:tc>
        <w:tc>
          <w:tcPr>
            <w:tcW w:w="3817"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q</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1/3</w:t>
            </w:r>
          </w:p>
        </w:tc>
      </w:tr>
      <w:tr w:rsidR="002C0E9C" w:rsidRPr="00AA4FBF" w:rsidTr="00371147">
        <w:tc>
          <w:tcPr>
            <w:tcW w:w="1977" w:type="dxa"/>
            <w:vMerge/>
            <w:tcBorders>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c>
          <w:tcPr>
            <w:tcW w:w="1207" w:type="dxa"/>
            <w:tcBorders>
              <w:top w:val="single" w:sz="6" w:space="0" w:color="000000"/>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Court terme</w:t>
            </w:r>
          </w:p>
        </w:tc>
        <w:tc>
          <w:tcPr>
            <w:tcW w:w="2729" w:type="dxa"/>
            <w:tcBorders>
              <w:top w:val="single" w:sz="6" w:space="0" w:color="000000"/>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–133,4 dB(W/2,11 MHz)</w:t>
            </w:r>
          </w:p>
        </w:tc>
        <w:tc>
          <w:tcPr>
            <w:tcW w:w="3817" w:type="dxa"/>
            <w:tcBorders>
              <w:top w:val="single" w:sz="6" w:space="0" w:color="000000"/>
              <w:bottom w:val="single" w:sz="4" w:space="0" w:color="auto"/>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q</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w:t>
            </w:r>
          </w:p>
        </w:tc>
      </w:tr>
      <w:tr w:rsidR="002C0E9C" w:rsidRPr="00AA4FBF" w:rsidTr="00371147">
        <w:tc>
          <w:tcPr>
            <w:tcW w:w="3184" w:type="dxa"/>
            <w:gridSpan w:val="2"/>
            <w:tcBorders>
              <w:top w:val="single" w:sz="4" w:space="0" w:color="auto"/>
              <w:bottom w:val="single" w:sz="6" w:space="0" w:color="000000"/>
            </w:tcBorders>
            <w:tcMar>
              <w:left w:w="108" w:type="dxa"/>
              <w:right w:w="108" w:type="dxa"/>
            </w:tcMar>
          </w:tcPr>
          <w:p w:rsidR="002C0E9C" w:rsidRPr="00DA3FFC" w:rsidRDefault="002C0E9C" w:rsidP="00371147">
            <w:pPr>
              <w:pStyle w:val="Tabletext"/>
              <w:rPr>
                <w:lang w:val="fr-CH"/>
              </w:rPr>
            </w:pPr>
            <w:r w:rsidRPr="00DA3FFC">
              <w:rPr>
                <w:lang w:val="fr-CH"/>
              </w:rPr>
              <w:t>Gain d</w:t>
            </w:r>
            <w:r w:rsidR="00E72493">
              <w:rPr>
                <w:lang w:val="fr-CH"/>
              </w:rPr>
              <w:t>'</w:t>
            </w:r>
            <w:r w:rsidRPr="00DA3FFC">
              <w:rPr>
                <w:lang w:val="fr-CH"/>
              </w:rPr>
              <w:t>antenne de réception de la liaison descendante</w:t>
            </w:r>
          </w:p>
        </w:tc>
        <w:tc>
          <w:tcPr>
            <w:tcW w:w="2729" w:type="dxa"/>
            <w:tcBorders>
              <w:top w:val="single" w:sz="4" w:space="0" w:color="auto"/>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39,5 dBi</w:t>
            </w:r>
          </w:p>
        </w:tc>
        <w:tc>
          <w:tcPr>
            <w:tcW w:w="3817" w:type="dxa"/>
            <w:tcBorders>
              <w:top w:val="single" w:sz="4" w:space="0" w:color="auto"/>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p>
        </w:tc>
      </w:tr>
      <w:tr w:rsidR="002C0E9C" w:rsidRPr="00AA4FBF" w:rsidTr="00371147">
        <w:tc>
          <w:tcPr>
            <w:tcW w:w="3184" w:type="dxa"/>
            <w:gridSpan w:val="2"/>
            <w:tcBorders>
              <w:top w:val="single" w:sz="6" w:space="0" w:color="000000"/>
              <w:bottom w:val="single" w:sz="6" w:space="0" w:color="000000"/>
            </w:tcBorders>
            <w:tcMar>
              <w:left w:w="108" w:type="dxa"/>
              <w:right w:w="108" w:type="dxa"/>
            </w:tcMar>
          </w:tcPr>
          <w:p w:rsidR="002C0E9C" w:rsidRPr="00DA3FFC" w:rsidRDefault="002C0E9C" w:rsidP="00371147">
            <w:pPr>
              <w:pStyle w:val="Tabletext"/>
              <w:rPr>
                <w:rFonts w:asciiTheme="majorBidi" w:hAnsiTheme="majorBidi" w:cstheme="majorBidi"/>
                <w:szCs w:val="22"/>
                <w:lang w:val="fr-CH"/>
              </w:rPr>
            </w:pPr>
            <w:r w:rsidRPr="00371147">
              <w:rPr>
                <w:lang w:val="fr-CH"/>
              </w:rPr>
              <w:t>Densité de bruit de la liaison descendante</w:t>
            </w:r>
          </w:p>
        </w:tc>
        <w:tc>
          <w:tcPr>
            <w:tcW w:w="2729"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–204,3 dB(W/Hz)</w:t>
            </w:r>
          </w:p>
        </w:tc>
        <w:tc>
          <w:tcPr>
            <w:tcW w:w="3817"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T</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269 K</w:t>
            </w:r>
          </w:p>
        </w:tc>
      </w:tr>
      <w:tr w:rsidR="002C0E9C" w:rsidRPr="00AA4FBF" w:rsidTr="00371147">
        <w:trPr>
          <w:trHeight w:val="468"/>
        </w:trPr>
        <w:tc>
          <w:tcPr>
            <w:tcW w:w="1977" w:type="dxa"/>
            <w:vMerge w:val="restart"/>
            <w:tcBorders>
              <w:top w:val="single" w:sz="6" w:space="0" w:color="000000"/>
            </w:tcBorders>
            <w:tcMar>
              <w:left w:w="108" w:type="dxa"/>
              <w:right w:w="108" w:type="dxa"/>
            </w:tcMar>
          </w:tcPr>
          <w:p w:rsidR="002C0E9C" w:rsidRPr="00371147" w:rsidRDefault="002C0E9C" w:rsidP="00371147">
            <w:pPr>
              <w:pStyle w:val="Tabletext"/>
              <w:rPr>
                <w:lang w:val="fr-CH"/>
              </w:rPr>
            </w:pPr>
            <w:r w:rsidRPr="00371147">
              <w:rPr>
                <w:lang w:val="fr-CH"/>
              </w:rPr>
              <w:t>Critère de brouillage su</w:t>
            </w:r>
            <w:r w:rsidR="00DA3FFC" w:rsidRPr="00371147">
              <w:rPr>
                <w:lang w:val="fr-CH"/>
              </w:rPr>
              <w:t>r la liaison descendante (1 670</w:t>
            </w:r>
            <w:r w:rsidR="00DA3FFC" w:rsidRPr="00371147">
              <w:rPr>
                <w:lang w:val="fr-CH"/>
              </w:rPr>
              <w:noBreakHyphen/>
            </w:r>
            <w:r w:rsidRPr="00371147">
              <w:rPr>
                <w:lang w:val="fr-CH"/>
              </w:rPr>
              <w:t>1 710 MHz)</w:t>
            </w:r>
          </w:p>
        </w:tc>
        <w:tc>
          <w:tcPr>
            <w:tcW w:w="1207" w:type="dxa"/>
            <w:tcBorders>
              <w:top w:val="single" w:sz="6" w:space="0" w:color="000000"/>
              <w:bottom w:val="single" w:sz="6" w:space="0" w:color="000000"/>
            </w:tcBorders>
            <w:tcMar>
              <w:left w:w="108" w:type="dxa"/>
              <w:right w:w="108" w:type="dxa"/>
            </w:tcMar>
          </w:tcPr>
          <w:p w:rsidR="002C0E9C" w:rsidRPr="00371147" w:rsidRDefault="002C0E9C" w:rsidP="00371147">
            <w:pPr>
              <w:pStyle w:val="Tabletext"/>
              <w:jc w:val="center"/>
              <w:rPr>
                <w:lang w:val="fr-CH"/>
              </w:rPr>
            </w:pPr>
            <w:r w:rsidRPr="00371147">
              <w:rPr>
                <w:lang w:val="fr-CH"/>
              </w:rPr>
              <w:t>Long terme</w:t>
            </w:r>
          </w:p>
        </w:tc>
        <w:tc>
          <w:tcPr>
            <w:tcW w:w="2729"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–153,4 dB(W/2,11 MHz)</w:t>
            </w:r>
          </w:p>
        </w:tc>
        <w:tc>
          <w:tcPr>
            <w:tcW w:w="3817" w:type="dxa"/>
            <w:tcBorders>
              <w:top w:val="single" w:sz="6" w:space="0" w:color="000000"/>
              <w:bottom w:val="single" w:sz="6" w:space="0" w:color="000000"/>
            </w:tcBorders>
            <w:tcMar>
              <w:left w:w="108" w:type="dxa"/>
              <w:right w:w="108" w:type="dxa"/>
            </w:tcMar>
          </w:tcPr>
          <w:p w:rsidR="002C0E9C" w:rsidRPr="00DA3FFC" w:rsidRDefault="002C0E9C" w:rsidP="00371147">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q</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1/3</w:t>
            </w:r>
          </w:p>
        </w:tc>
      </w:tr>
      <w:tr w:rsidR="002C0E9C" w:rsidRPr="00AA4FBF" w:rsidTr="00371147">
        <w:tc>
          <w:tcPr>
            <w:tcW w:w="1977" w:type="dxa"/>
            <w:vMerge/>
            <w:tcBorders>
              <w:bottom w:val="single" w:sz="6" w:space="0" w:color="000000"/>
            </w:tcBorders>
            <w:tcMar>
              <w:left w:w="108" w:type="dxa"/>
              <w:right w:w="108" w:type="dxa"/>
            </w:tcMar>
          </w:tcPr>
          <w:p w:rsidR="002C0E9C" w:rsidRPr="00371147" w:rsidRDefault="002C0E9C" w:rsidP="00371147">
            <w:pPr>
              <w:pStyle w:val="Tabletext"/>
              <w:rPr>
                <w:lang w:val="fr-CH"/>
              </w:rPr>
            </w:pPr>
          </w:p>
        </w:tc>
        <w:tc>
          <w:tcPr>
            <w:tcW w:w="1207" w:type="dxa"/>
            <w:tcBorders>
              <w:top w:val="single" w:sz="6" w:space="0" w:color="000000"/>
              <w:bottom w:val="single" w:sz="6" w:space="0" w:color="000000"/>
            </w:tcBorders>
            <w:tcMar>
              <w:left w:w="108" w:type="dxa"/>
              <w:right w:w="108" w:type="dxa"/>
            </w:tcMar>
          </w:tcPr>
          <w:p w:rsidR="002C0E9C" w:rsidRPr="00371147" w:rsidRDefault="002C0E9C" w:rsidP="00371147">
            <w:pPr>
              <w:pStyle w:val="Tabletext"/>
              <w:jc w:val="center"/>
              <w:rPr>
                <w:lang w:val="fr-CH"/>
              </w:rPr>
            </w:pPr>
            <w:r w:rsidRPr="00371147">
              <w:rPr>
                <w:lang w:val="fr-CH"/>
              </w:rPr>
              <w:t>Court terme</w:t>
            </w:r>
          </w:p>
        </w:tc>
        <w:tc>
          <w:tcPr>
            <w:tcW w:w="2729" w:type="dxa"/>
            <w:tcBorders>
              <w:top w:val="single" w:sz="6" w:space="0" w:color="000000"/>
              <w:bottom w:val="single" w:sz="6" w:space="0" w:color="000000"/>
            </w:tcBorders>
            <w:tcMar>
              <w:left w:w="108" w:type="dxa"/>
              <w:right w:w="108" w:type="dxa"/>
            </w:tcMar>
          </w:tcPr>
          <w:p w:rsidR="002C0E9C" w:rsidRPr="00DA3FFC" w:rsidRDefault="002C0E9C" w:rsidP="002C0E9C">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sz w:val="22"/>
                <w:szCs w:val="22"/>
                <w:lang w:val="fr-CH"/>
              </w:rPr>
              <w:t>–148,1 dB(W/2,11 MHz)</w:t>
            </w:r>
          </w:p>
        </w:tc>
        <w:tc>
          <w:tcPr>
            <w:tcW w:w="3817" w:type="dxa"/>
            <w:tcBorders>
              <w:top w:val="single" w:sz="6" w:space="0" w:color="000000"/>
              <w:bottom w:val="single" w:sz="6" w:space="0" w:color="000000"/>
            </w:tcBorders>
            <w:tcMar>
              <w:left w:w="108" w:type="dxa"/>
              <w:right w:w="108" w:type="dxa"/>
            </w:tcMar>
          </w:tcPr>
          <w:p w:rsidR="002C0E9C" w:rsidRPr="00DA3FFC" w:rsidRDefault="002C0E9C" w:rsidP="002C0E9C">
            <w:pPr>
              <w:pStyle w:val="TableText0"/>
              <w:spacing w:before="60" w:after="60"/>
              <w:ind w:left="57" w:right="57"/>
              <w:jc w:val="center"/>
              <w:rPr>
                <w:rFonts w:asciiTheme="majorBidi" w:hAnsiTheme="majorBidi" w:cstheme="majorBidi"/>
                <w:sz w:val="22"/>
                <w:szCs w:val="22"/>
                <w:lang w:val="fr-CH"/>
              </w:rPr>
            </w:pPr>
            <w:r w:rsidRPr="00DA3FFC">
              <w:rPr>
                <w:rFonts w:asciiTheme="majorBidi" w:hAnsiTheme="majorBidi" w:cstheme="majorBidi"/>
                <w:i/>
                <w:iCs/>
                <w:sz w:val="22"/>
                <w:szCs w:val="22"/>
                <w:lang w:val="fr-CH"/>
              </w:rPr>
              <w:t>q</w:t>
            </w:r>
            <w:r w:rsidRPr="00DA3FFC">
              <w:rPr>
                <w:rFonts w:asciiTheme="majorBidi" w:hAnsiTheme="majorBidi" w:cstheme="majorBidi"/>
                <w:sz w:val="22"/>
                <w:szCs w:val="22"/>
                <w:lang w:val="fr-CH"/>
              </w:rPr>
              <w:t xml:space="preserve"> </w:t>
            </w:r>
            <w:r w:rsidRPr="00F83EB9">
              <w:rPr>
                <w:rFonts w:ascii="Symbol" w:hAnsi="Symbol" w:cstheme="majorBidi"/>
                <w:sz w:val="22"/>
                <w:szCs w:val="22"/>
                <w:lang w:val="fr-CH"/>
              </w:rPr>
              <w:t></w:t>
            </w:r>
            <w:r w:rsidRPr="00DA3FFC">
              <w:rPr>
                <w:rFonts w:asciiTheme="majorBidi" w:hAnsiTheme="majorBidi" w:cstheme="majorBidi"/>
                <w:sz w:val="22"/>
                <w:szCs w:val="22"/>
                <w:lang w:val="fr-CH"/>
              </w:rPr>
              <w:t xml:space="preserve"> 1</w:t>
            </w:r>
          </w:p>
        </w:tc>
      </w:tr>
    </w:tbl>
    <w:p w:rsidR="002C0E9C" w:rsidRPr="00726EF6" w:rsidRDefault="002C0E9C" w:rsidP="00726EF6">
      <w:pPr>
        <w:pStyle w:val="Heading1"/>
      </w:pPr>
      <w:r w:rsidRPr="00726EF6">
        <w:lastRenderedPageBreak/>
        <w:t>3</w:t>
      </w:r>
      <w:r w:rsidRPr="00726EF6">
        <w:tab/>
        <w:t>Conclusions</w:t>
      </w:r>
    </w:p>
    <w:p w:rsidR="002C0E9C" w:rsidRPr="00087E50" w:rsidRDefault="002C0E9C" w:rsidP="00F83EB9">
      <w:pPr>
        <w:pStyle w:val="Heading2"/>
      </w:pPr>
      <w:r w:rsidRPr="00087E50">
        <w:t>3.1</w:t>
      </w:r>
      <w:r w:rsidRPr="00087E50">
        <w:tab/>
        <w:t>Bande de fréquences 1 670-1 710 MHz</w:t>
      </w:r>
    </w:p>
    <w:p w:rsidR="002C0E9C" w:rsidRPr="00087E50" w:rsidRDefault="002C0E9C" w:rsidP="00CA3577">
      <w:pPr>
        <w:keepNext/>
        <w:keepLines/>
        <w:rPr>
          <w:lang w:val="fr-CH"/>
        </w:rPr>
      </w:pPr>
      <w:r w:rsidRPr="00087E50">
        <w:rPr>
          <w:lang w:val="fr-CH"/>
        </w:rPr>
        <w:t>Les analyses proposées ci-dessus fournissent deux ensembles différents de critères de brouillage, applicables respectivement aux transmissions de données d</w:t>
      </w:r>
      <w:r w:rsidR="00E72493">
        <w:rPr>
          <w:lang w:val="fr-CH"/>
        </w:rPr>
        <w:t>'</w:t>
      </w:r>
      <w:r w:rsidRPr="00087E50">
        <w:rPr>
          <w:lang w:val="fr-CH"/>
        </w:rPr>
        <w:t>instruments brutes sur la liaison descendante vers les principales stations terriennes de réception et</w:t>
      </w:r>
      <w:r w:rsidRPr="00087E50">
        <w:rPr>
          <w:color w:val="000000"/>
          <w:lang w:val="fr-CH"/>
        </w:rPr>
        <w:t xml:space="preserve"> à la </w:t>
      </w:r>
      <w:r w:rsidRPr="00087E50">
        <w:rPr>
          <w:lang w:val="fr-CH"/>
        </w:rPr>
        <w:t>diffusion de données à des stations d</w:t>
      </w:r>
      <w:r w:rsidR="00E72493">
        <w:rPr>
          <w:lang w:val="fr-CH"/>
        </w:rPr>
        <w:t>'</w:t>
      </w:r>
      <w:r w:rsidRPr="00087E50">
        <w:rPr>
          <w:lang w:val="fr-CH"/>
        </w:rPr>
        <w:t>utilisateurs.</w:t>
      </w:r>
    </w:p>
    <w:p w:rsidR="002C0E9C" w:rsidRPr="00087E50" w:rsidRDefault="002C0E9C" w:rsidP="00CA3577">
      <w:pPr>
        <w:keepNext/>
        <w:keepLines/>
        <w:rPr>
          <w:lang w:val="fr-CH"/>
        </w:rPr>
      </w:pPr>
      <w:r w:rsidRPr="00087E50">
        <w:rPr>
          <w:color w:val="000000"/>
          <w:lang w:val="fr-CH"/>
        </w:rPr>
        <w:t xml:space="preserve">On suppose que les </w:t>
      </w:r>
      <w:r w:rsidRPr="00CA3577">
        <w:rPr>
          <w:lang w:val="fr-CH"/>
        </w:rPr>
        <w:t>transmissions</w:t>
      </w:r>
      <w:r w:rsidRPr="00087E50">
        <w:rPr>
          <w:color w:val="000000"/>
          <w:lang w:val="fr-CH"/>
        </w:rPr>
        <w:t xml:space="preserve"> de données d</w:t>
      </w:r>
      <w:r w:rsidR="00E72493">
        <w:rPr>
          <w:color w:val="000000"/>
          <w:lang w:val="fr-CH"/>
        </w:rPr>
        <w:t>'</w:t>
      </w:r>
      <w:r w:rsidRPr="00087E50">
        <w:rPr>
          <w:color w:val="000000"/>
          <w:lang w:val="fr-CH"/>
        </w:rPr>
        <w:t>instruments brutes sur la liaison descendante vers les principales stations terriennes de réception correspondent aux systèmes les plus représentatifs dans la bande. Pour simplifier, il est proposé par ailleurs de normaliser les critères dans une largeur de bande de 1 MHz, ce qui donne les valeurs suivantes:</w:t>
      </w:r>
    </w:p>
    <w:p w:rsidR="002C0E9C" w:rsidRPr="007E7FD9" w:rsidRDefault="002C0E9C" w:rsidP="007E7FD9">
      <w:pPr>
        <w:pStyle w:val="enumlev1"/>
      </w:pPr>
      <w:r w:rsidRPr="007E7FD9">
        <w:t>–</w:t>
      </w:r>
      <w:r w:rsidRPr="007E7FD9">
        <w:tab/>
        <w:t>long terme: −158,0 dBW/MHz</w:t>
      </w:r>
    </w:p>
    <w:p w:rsidR="002C0E9C" w:rsidRPr="00AA4FBF" w:rsidRDefault="002C0E9C" w:rsidP="007E7FD9">
      <w:pPr>
        <w:pStyle w:val="enumlev1"/>
        <w:rPr>
          <w:sz w:val="22"/>
          <w:szCs w:val="22"/>
          <w:lang w:val="fr-CH"/>
        </w:rPr>
      </w:pPr>
      <w:r w:rsidRPr="007E7FD9">
        <w:t>–</w:t>
      </w:r>
      <w:r w:rsidRPr="007E7FD9">
        <w:tab/>
        <w:t>court terme: −152,8 dBW/MHz</w:t>
      </w:r>
    </w:p>
    <w:p w:rsidR="002C0E9C" w:rsidRPr="00AA4FBF" w:rsidRDefault="002C0E9C" w:rsidP="002C0E9C">
      <w:pPr>
        <w:pStyle w:val="Heading2"/>
        <w:rPr>
          <w:szCs w:val="22"/>
          <w:lang w:val="fr-CH"/>
        </w:rPr>
      </w:pPr>
      <w:r w:rsidRPr="00AA4FBF">
        <w:rPr>
          <w:szCs w:val="22"/>
          <w:lang w:val="fr-CH"/>
        </w:rPr>
        <w:t>3.2</w:t>
      </w:r>
      <w:r w:rsidRPr="00AA4FBF">
        <w:rPr>
          <w:szCs w:val="22"/>
          <w:lang w:val="fr-CH"/>
        </w:rPr>
        <w:tab/>
        <w:t>Bande de fréquences 2 025-2 110 MHz</w:t>
      </w:r>
    </w:p>
    <w:p w:rsidR="002C0E9C" w:rsidRPr="00087E50" w:rsidRDefault="002C0E9C" w:rsidP="00CA3577">
      <w:pPr>
        <w:keepNext/>
        <w:keepLines/>
        <w:rPr>
          <w:lang w:val="fr-CH"/>
        </w:rPr>
      </w:pPr>
      <w:r w:rsidRPr="00087E50">
        <w:rPr>
          <w:lang w:val="fr-CH"/>
        </w:rPr>
        <w:t>L</w:t>
      </w:r>
      <w:r w:rsidR="00E72493">
        <w:rPr>
          <w:lang w:val="fr-CH"/>
        </w:rPr>
        <w:t>'</w:t>
      </w:r>
      <w:r w:rsidRPr="00087E50">
        <w:rPr>
          <w:lang w:val="fr-CH"/>
        </w:rPr>
        <w:t xml:space="preserve">analyse proposée ci-dessus fournit un seul ensemble de critères de brouillage applicables aux systèmes de diffusion de données. </w:t>
      </w:r>
      <w:r w:rsidRPr="00087E50">
        <w:rPr>
          <w:color w:val="000000"/>
          <w:lang w:val="fr-CH"/>
        </w:rPr>
        <w:t>Pour simplifier, il est proposé par ailleurs de normaliser les critères dans une largeur de bande de 1 MHz, ce qui donne les valeurs suivantes:</w:t>
      </w:r>
    </w:p>
    <w:p w:rsidR="002C0E9C" w:rsidRPr="007E7FD9" w:rsidRDefault="002C0E9C" w:rsidP="007E7FD9">
      <w:pPr>
        <w:pStyle w:val="enumlev1"/>
      </w:pPr>
      <w:r w:rsidRPr="007E7FD9">
        <w:t>–</w:t>
      </w:r>
      <w:r w:rsidRPr="007E7FD9">
        <w:tab/>
        <w:t>long terme: −139,9 dBW/MHz</w:t>
      </w:r>
    </w:p>
    <w:p w:rsidR="002C0E9C" w:rsidRPr="00087E50" w:rsidRDefault="002C0E9C" w:rsidP="007E7FD9">
      <w:pPr>
        <w:pStyle w:val="enumlev1"/>
        <w:rPr>
          <w:lang w:val="fr-CH"/>
        </w:rPr>
      </w:pPr>
      <w:r w:rsidRPr="007E7FD9">
        <w:t>–</w:t>
      </w:r>
      <w:r w:rsidRPr="007E7FD9">
        <w:tab/>
        <w:t>court terme: −136,6 dBW/MHz</w:t>
      </w:r>
    </w:p>
    <w:p w:rsidR="002C0E9C" w:rsidRPr="00AA4FBF" w:rsidRDefault="002C0E9C" w:rsidP="002C0E9C">
      <w:pPr>
        <w:pStyle w:val="Heading2"/>
        <w:rPr>
          <w:szCs w:val="22"/>
          <w:lang w:val="fr-CH"/>
        </w:rPr>
      </w:pPr>
      <w:r w:rsidRPr="00AA4FBF">
        <w:rPr>
          <w:szCs w:val="22"/>
          <w:lang w:val="fr-CH"/>
        </w:rPr>
        <w:t>3.3</w:t>
      </w:r>
      <w:r w:rsidRPr="00AA4FBF">
        <w:rPr>
          <w:szCs w:val="22"/>
          <w:lang w:val="fr-CH"/>
        </w:rPr>
        <w:tab/>
        <w:t>Bande de fréquences 25,5-27 GHz</w:t>
      </w:r>
    </w:p>
    <w:p w:rsidR="002C0E9C" w:rsidRPr="00087E50" w:rsidRDefault="002C0E9C" w:rsidP="00CA3577">
      <w:pPr>
        <w:keepNext/>
        <w:keepLines/>
        <w:rPr>
          <w:lang w:val="fr-CH"/>
        </w:rPr>
      </w:pPr>
      <w:r w:rsidRPr="00087E50">
        <w:rPr>
          <w:lang w:val="fr-CH"/>
        </w:rPr>
        <w:t>L</w:t>
      </w:r>
      <w:r w:rsidR="00E72493">
        <w:rPr>
          <w:lang w:val="fr-CH"/>
        </w:rPr>
        <w:t>'</w:t>
      </w:r>
      <w:r w:rsidRPr="00087E50">
        <w:rPr>
          <w:lang w:val="fr-CH"/>
        </w:rPr>
        <w:t>analyse proposée ci-dessus fournit un seul ensemble de critères de brouillage applicables aux transmissions de données d</w:t>
      </w:r>
      <w:r w:rsidR="00E72493">
        <w:rPr>
          <w:lang w:val="fr-CH"/>
        </w:rPr>
        <w:t>'</w:t>
      </w:r>
      <w:r w:rsidRPr="00087E50">
        <w:rPr>
          <w:lang w:val="fr-CH"/>
        </w:rPr>
        <w:t>instruments brutes sur la liaison descendante vers les principales stations terriennes de réception, correspondant à la nouvelle génération de systèmes utilisant la bande 25,5</w:t>
      </w:r>
      <w:r w:rsidR="00CA3577">
        <w:rPr>
          <w:lang w:val="fr-CH"/>
        </w:rPr>
        <w:noBreakHyphen/>
      </w:r>
      <w:r w:rsidRPr="00087E50">
        <w:rPr>
          <w:lang w:val="fr-CH"/>
        </w:rPr>
        <w:t>27</w:t>
      </w:r>
      <w:r w:rsidR="00CA3577">
        <w:rPr>
          <w:lang w:val="fr-CH"/>
        </w:rPr>
        <w:t> </w:t>
      </w:r>
      <w:r w:rsidRPr="00087E50">
        <w:rPr>
          <w:lang w:val="fr-CH"/>
        </w:rPr>
        <w:t>GHz, ce qui donne les valeurs suivantes:</w:t>
      </w:r>
    </w:p>
    <w:p w:rsidR="002C0E9C" w:rsidRPr="00087E50" w:rsidRDefault="002C0E9C" w:rsidP="007E7FD9">
      <w:pPr>
        <w:pStyle w:val="enumlev1"/>
        <w:rPr>
          <w:lang w:val="fr-CH"/>
        </w:rPr>
      </w:pPr>
      <w:r w:rsidRPr="00087E50">
        <w:rPr>
          <w:lang w:val="fr-CH"/>
        </w:rPr>
        <w:t>–</w:t>
      </w:r>
      <w:r w:rsidRPr="00087E50">
        <w:rPr>
          <w:lang w:val="fr-CH"/>
        </w:rPr>
        <w:tab/>
        <w:t>long terme: −144,6 dBW/10 MHz</w:t>
      </w:r>
    </w:p>
    <w:p w:rsidR="009C0B45" w:rsidRDefault="002C0E9C" w:rsidP="007E7FD9">
      <w:pPr>
        <w:pStyle w:val="enumlev1"/>
        <w:rPr>
          <w:lang w:val="fr-CH"/>
        </w:rPr>
      </w:pPr>
      <w:r w:rsidRPr="00087E50">
        <w:rPr>
          <w:lang w:val="fr-CH"/>
        </w:rPr>
        <w:t>–</w:t>
      </w:r>
      <w:r w:rsidRPr="00087E50">
        <w:rPr>
          <w:lang w:val="fr-CH"/>
        </w:rPr>
        <w:tab/>
        <w:t>court terme: −133,0 dBW/10 MHz</w:t>
      </w:r>
    </w:p>
    <w:p w:rsidR="00DD16C2" w:rsidRPr="002737A3" w:rsidRDefault="00DD16C2" w:rsidP="00371147">
      <w:pPr>
        <w:rPr>
          <w:lang w:val="fr-CH"/>
        </w:rPr>
      </w:pPr>
    </w:p>
    <w:p w:rsidR="00DD16C2" w:rsidRDefault="00DD16C2" w:rsidP="00CA3577">
      <w:pPr>
        <w:pStyle w:val="Line"/>
      </w:pPr>
    </w:p>
    <w:sectPr w:rsidR="00DD16C2" w:rsidSect="002737A3">
      <w:headerReference w:type="even" r:id="rId33"/>
      <w:headerReference w:type="default" r:id="rId34"/>
      <w:headerReference w:type="first" r:id="rId35"/>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493" w:rsidRDefault="00E72493">
      <w:r>
        <w:separator/>
      </w:r>
    </w:p>
  </w:endnote>
  <w:endnote w:type="continuationSeparator" w:id="0">
    <w:p w:rsidR="00E72493" w:rsidRDefault="00E7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493" w:rsidRDefault="00E72493">
      <w:r>
        <w:separator/>
      </w:r>
    </w:p>
  </w:footnote>
  <w:footnote w:type="continuationSeparator" w:id="0">
    <w:p w:rsidR="00E72493" w:rsidRDefault="00E72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rsidP="00104891">
    <w:pPr>
      <w:pStyle w:val="Header"/>
      <w:ind w:right="360" w:firstLine="360"/>
    </w:pPr>
    <w:r>
      <w:rPr>
        <w:noProof/>
        <w:lang w:val="en-US" w:eastAsia="zh-CN"/>
      </w:rPr>
      <w:drawing>
        <wp:anchor distT="0" distB="0" distL="114300" distR="114300" simplePos="0" relativeHeight="251659264" behindDoc="1" locked="0" layoutInCell="1" allowOverlap="1" wp14:anchorId="6F687076" wp14:editId="14AF46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Pr="00837CB5" w:rsidRDefault="00E7249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C463B">
      <w:rPr>
        <w:rStyle w:val="PageNumber"/>
        <w:b/>
        <w:bCs/>
        <w:noProof/>
      </w:rPr>
      <w:t>ii</w:t>
    </w:r>
    <w:r>
      <w:rPr>
        <w:rStyle w:val="PageNumber"/>
        <w:b/>
        <w:bCs/>
      </w:rPr>
      <w:fldChar w:fldCharType="end"/>
    </w:r>
    <w:r w:rsidRPr="00837CB5">
      <w:tab/>
    </w:r>
    <w:fldSimple w:instr=" DOCPROPERTY &quot;Header&quot; \* MERGEFORMAT ">
      <w:r w:rsidR="008C463B" w:rsidRPr="008C463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C463B">
      <w:rPr>
        <w:b/>
        <w:bCs/>
        <w:noProof/>
      </w:rPr>
      <w:t>UIT-R  SA.1160-3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pPr>
      <w:pStyle w:val="Header"/>
    </w:pPr>
    <w:r>
      <w:tab/>
    </w:r>
    <w:fldSimple w:instr=" DOCPROPERTY &quot;Header&quot; \* MERGEFORMAT ">
      <w:r w:rsidR="008C463B" w:rsidRPr="008C46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463B">
      <w:rPr>
        <w:b/>
        <w:bCs/>
        <w:noProof/>
      </w:rPr>
      <w:t>UIT-R  SA.1160-3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463B">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C463B" w:rsidRPr="008C463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C463B">
      <w:rPr>
        <w:b/>
        <w:bCs/>
        <w:noProof/>
      </w:rPr>
      <w:t>UIT-R  SA.1160-3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rsidP="00726EF6">
    <w:pPr>
      <w:pStyle w:val="Header"/>
    </w:pPr>
    <w:r>
      <w:tab/>
    </w:r>
    <w:r>
      <w:fldChar w:fldCharType="begin"/>
    </w:r>
    <w:r w:rsidRPr="0059671E">
      <w:rPr>
        <w:lang w:val="en-US"/>
      </w:rPr>
      <w:instrText xml:space="preserve"> DOCPROPERTY "Header" \* MERGEFORMAT </w:instrText>
    </w:r>
    <w:r>
      <w:fldChar w:fldCharType="separate"/>
    </w:r>
    <w:r w:rsidR="008C463B" w:rsidRPr="008C463B">
      <w:rPr>
        <w:b/>
        <w:bCs/>
        <w:lang w:val="en-US"/>
      </w:rPr>
      <w:t xml:space="preserve">Rec. </w:t>
    </w:r>
    <w:r>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8C463B">
      <w:rPr>
        <w:b/>
        <w:bCs/>
        <w:noProof/>
      </w:rPr>
      <w:t>UIT-R  SA.1160-3</w:t>
    </w:r>
    <w:r>
      <w:rPr>
        <w:b/>
        <w:bCs/>
      </w:rPr>
      <w:fldChar w:fldCharType="end"/>
    </w:r>
    <w:r w:rsidRPr="0059671E">
      <w:rPr>
        <w:lang w:val="en-US"/>
      </w:rPr>
      <w:tab/>
    </w:r>
    <w:r>
      <w:rPr>
        <w:rStyle w:val="PageNumber"/>
        <w:b/>
        <w:bCs/>
      </w:rPr>
      <w:fldChar w:fldCharType="begin"/>
    </w:r>
    <w:r w:rsidRPr="0059671E">
      <w:rPr>
        <w:rStyle w:val="PageNumber"/>
        <w:b/>
        <w:bCs/>
        <w:lang w:val="en-US"/>
      </w:rPr>
      <w:instrText xml:space="preserve"> PAGE </w:instrText>
    </w:r>
    <w:r>
      <w:rPr>
        <w:rStyle w:val="PageNumber"/>
        <w:b/>
        <w:bCs/>
      </w:rPr>
      <w:fldChar w:fldCharType="separate"/>
    </w:r>
    <w:r w:rsidR="008C463B">
      <w:rPr>
        <w:rStyle w:val="PageNumber"/>
        <w:b/>
        <w:bCs/>
        <w:noProof/>
        <w:lang w:val="en-US"/>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93" w:rsidRDefault="00E72493" w:rsidP="00726EF6">
    <w:pPr>
      <w:pStyle w:val="Header"/>
      <w:tabs>
        <w:tab w:val="left" w:pos="3686"/>
      </w:tabs>
    </w:pPr>
    <w:r>
      <w:tab/>
    </w:r>
    <w:fldSimple w:instr=" DOCPROPERTY &quot;Header&quot; \* MERGEFORMAT ">
      <w:r w:rsidR="008C463B" w:rsidRPr="008C46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463B">
      <w:rPr>
        <w:b/>
        <w:bCs/>
        <w:noProof/>
      </w:rPr>
      <w:t>UIT-R  SA.1160-3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463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A2C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18F5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0C1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5AA3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80C7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52C1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AAB8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3804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284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386CE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temps, Johann">
    <w15:presenceInfo w15:providerId="AD" w15:userId="S-1-5-21-8740799-900759487-1415713722-67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4A"/>
    <w:rsid w:val="000761A6"/>
    <w:rsid w:val="0007762F"/>
    <w:rsid w:val="00104891"/>
    <w:rsid w:val="00205A1E"/>
    <w:rsid w:val="00217EBF"/>
    <w:rsid w:val="00242AEE"/>
    <w:rsid w:val="002620DE"/>
    <w:rsid w:val="002737A3"/>
    <w:rsid w:val="0028450E"/>
    <w:rsid w:val="00285BD5"/>
    <w:rsid w:val="002C0E9C"/>
    <w:rsid w:val="002C65A7"/>
    <w:rsid w:val="002D76C4"/>
    <w:rsid w:val="0034314A"/>
    <w:rsid w:val="00371147"/>
    <w:rsid w:val="00396989"/>
    <w:rsid w:val="003C5B0C"/>
    <w:rsid w:val="003E42DB"/>
    <w:rsid w:val="004A4D66"/>
    <w:rsid w:val="004F0345"/>
    <w:rsid w:val="0052529D"/>
    <w:rsid w:val="00542D0A"/>
    <w:rsid w:val="0059671E"/>
    <w:rsid w:val="005D670F"/>
    <w:rsid w:val="00607D68"/>
    <w:rsid w:val="00651931"/>
    <w:rsid w:val="006A0530"/>
    <w:rsid w:val="006B68E7"/>
    <w:rsid w:val="006C35AB"/>
    <w:rsid w:val="00726EF6"/>
    <w:rsid w:val="007323AC"/>
    <w:rsid w:val="00737D99"/>
    <w:rsid w:val="007468DA"/>
    <w:rsid w:val="007E7FD9"/>
    <w:rsid w:val="0081543A"/>
    <w:rsid w:val="00873ED1"/>
    <w:rsid w:val="008C463B"/>
    <w:rsid w:val="009110B6"/>
    <w:rsid w:val="00915A7D"/>
    <w:rsid w:val="00943D54"/>
    <w:rsid w:val="009C0B45"/>
    <w:rsid w:val="009E00A8"/>
    <w:rsid w:val="009F1CED"/>
    <w:rsid w:val="00A45E3E"/>
    <w:rsid w:val="00A6617B"/>
    <w:rsid w:val="00A83CEA"/>
    <w:rsid w:val="00AB0DC8"/>
    <w:rsid w:val="00B03141"/>
    <w:rsid w:val="00B24AA3"/>
    <w:rsid w:val="00B44E24"/>
    <w:rsid w:val="00BD09D1"/>
    <w:rsid w:val="00BD4DF8"/>
    <w:rsid w:val="00C05BE3"/>
    <w:rsid w:val="00C859B9"/>
    <w:rsid w:val="00CA3577"/>
    <w:rsid w:val="00CD5D0A"/>
    <w:rsid w:val="00DA1D87"/>
    <w:rsid w:val="00DA3FFC"/>
    <w:rsid w:val="00DB5591"/>
    <w:rsid w:val="00DB5FA1"/>
    <w:rsid w:val="00DC2EC8"/>
    <w:rsid w:val="00DD16C2"/>
    <w:rsid w:val="00DF4176"/>
    <w:rsid w:val="00E72493"/>
    <w:rsid w:val="00ED0709"/>
    <w:rsid w:val="00F14C92"/>
    <w:rsid w:val="00F24C38"/>
    <w:rsid w:val="00F31553"/>
    <w:rsid w:val="00F83EB9"/>
    <w:rsid w:val="00FC6F85"/>
    <w:rsid w:val="00FD16C4"/>
    <w:rsid w:val="00FF56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2EDB917-D65C-4E82-BF02-11D10F5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C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83C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BD09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104891"/>
    <w:pPr>
      <w:spacing w:after="120" w:line="480" w:lineRule="auto"/>
      <w:pPrChange w:id="0" w:author="Bontemps, Johann" w:date="2018-04-19T07:32:00Z">
        <w:pPr>
          <w:tabs>
            <w:tab w:val="left" w:pos="794"/>
            <w:tab w:val="left" w:pos="1191"/>
            <w:tab w:val="left" w:pos="1588"/>
            <w:tab w:val="left" w:pos="1985"/>
          </w:tabs>
          <w:overflowPunct w:val="0"/>
          <w:autoSpaceDE w:val="0"/>
          <w:autoSpaceDN w:val="0"/>
          <w:adjustRightInd w:val="0"/>
          <w:spacing w:before="120" w:after="480"/>
          <w:jc w:val="both"/>
          <w:textAlignment w:val="baseline"/>
        </w:pPr>
      </w:pPrChange>
    </w:pPr>
    <w:rPr>
      <w:sz w:val="22"/>
      <w:lang w:val="es-ES_tradnl"/>
      <w:rPrChange w:id="0" w:author="Bontemps, Johann" w:date="2018-04-19T07:32:00Z">
        <w:rPr>
          <w:sz w:val="22"/>
          <w:lang w:val="es-ES_tradnl" w:eastAsia="en-US" w:bidi="ar-SA"/>
        </w:rPr>
      </w:rPrChange>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671E"/>
    <w:rPr>
      <w:color w:val="0000FF"/>
      <w:u w:val="single"/>
    </w:rPr>
  </w:style>
  <w:style w:type="character" w:customStyle="1" w:styleId="FootnoteTextChar">
    <w:name w:val="Footnote Text Char"/>
    <w:basedOn w:val="DefaultParagraphFont"/>
    <w:link w:val="FootnoteText"/>
    <w:rsid w:val="0059671E"/>
    <w:rPr>
      <w:sz w:val="22"/>
      <w:lang w:val="fr-FR" w:eastAsia="en-US"/>
    </w:rPr>
  </w:style>
  <w:style w:type="paragraph" w:customStyle="1" w:styleId="TableLegend0">
    <w:name w:val="Table_Legend"/>
    <w:basedOn w:val="Normal"/>
    <w:next w:val="Normal"/>
    <w:rsid w:val="00FC6F85"/>
    <w:pPr>
      <w:keepNext/>
      <w:spacing w:before="86" w:line="199" w:lineRule="exact"/>
      <w:ind w:left="-85" w:right="-85"/>
    </w:pPr>
    <w:rPr>
      <w:sz w:val="18"/>
      <w:lang w:val="en-GB"/>
    </w:rPr>
  </w:style>
  <w:style w:type="paragraph" w:customStyle="1" w:styleId="TableTitle1">
    <w:name w:val="Table_Title"/>
    <w:basedOn w:val="Table"/>
    <w:next w:val="Blanc"/>
    <w:rsid w:val="00FC6F85"/>
    <w:pPr>
      <w:spacing w:before="0"/>
    </w:pPr>
    <w:rPr>
      <w:b/>
    </w:rPr>
  </w:style>
  <w:style w:type="paragraph" w:customStyle="1" w:styleId="Table">
    <w:name w:val="Table_#"/>
    <w:basedOn w:val="Normal"/>
    <w:next w:val="TableTitle1"/>
    <w:rsid w:val="00FC6F85"/>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FC6F85"/>
    <w:pPr>
      <w:spacing w:before="100" w:after="100" w:line="190" w:lineRule="exact"/>
      <w:ind w:left="0" w:right="0"/>
    </w:pPr>
  </w:style>
  <w:style w:type="paragraph" w:customStyle="1" w:styleId="Annex">
    <w:name w:val="Annex_#"/>
    <w:basedOn w:val="Normal"/>
    <w:next w:val="Annexref"/>
    <w:rsid w:val="00FC6F85"/>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FC6F85"/>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FC6F85"/>
    <w:pPr>
      <w:spacing w:before="480"/>
    </w:pPr>
    <w:rPr>
      <w:sz w:val="20"/>
      <w:lang w:val="en-GB"/>
    </w:rPr>
  </w:style>
  <w:style w:type="paragraph" w:customStyle="1" w:styleId="Rec">
    <w:name w:val="Rec_#"/>
    <w:basedOn w:val="Normal"/>
    <w:next w:val="RecTitle0"/>
    <w:rsid w:val="00FC6F85"/>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FC6F85"/>
    <w:pPr>
      <w:spacing w:before="180"/>
    </w:pPr>
    <w:rPr>
      <w:b/>
    </w:rPr>
  </w:style>
  <w:style w:type="paragraph" w:customStyle="1" w:styleId="RecTitleRef">
    <w:name w:val="Rec_Title/Ref"/>
    <w:basedOn w:val="RecTitle0"/>
    <w:next w:val="RecTitleDate"/>
    <w:rsid w:val="00FC6F85"/>
    <w:pPr>
      <w:spacing w:before="136"/>
    </w:pPr>
    <w:rPr>
      <w:b w:val="0"/>
    </w:rPr>
  </w:style>
  <w:style w:type="paragraph" w:customStyle="1" w:styleId="RecTitleDate">
    <w:name w:val="Rec_Title/Date"/>
    <w:basedOn w:val="RecTitleRef"/>
    <w:next w:val="headfoot"/>
    <w:rsid w:val="00FC6F85"/>
    <w:pPr>
      <w:tabs>
        <w:tab w:val="clear" w:pos="4849"/>
      </w:tabs>
      <w:jc w:val="right"/>
    </w:pPr>
  </w:style>
  <w:style w:type="paragraph" w:customStyle="1" w:styleId="headfoot">
    <w:name w:val="head_foot"/>
    <w:basedOn w:val="Normal"/>
    <w:next w:val="Normalaftertitle0"/>
    <w:rsid w:val="00FC6F85"/>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FC6F85"/>
    <w:pPr>
      <w:keepNext/>
      <w:keepLines/>
      <w:tabs>
        <w:tab w:val="clear" w:pos="1191"/>
        <w:tab w:val="clear" w:pos="1588"/>
        <w:tab w:val="clear" w:pos="1985"/>
      </w:tabs>
      <w:spacing w:before="227"/>
      <w:ind w:left="794"/>
      <w:jc w:val="left"/>
    </w:pPr>
    <w:rPr>
      <w:i/>
      <w:sz w:val="20"/>
      <w:lang w:val="en-GB"/>
    </w:rPr>
  </w:style>
  <w:style w:type="paragraph" w:customStyle="1" w:styleId="Table0">
    <w:name w:val="Table"/>
    <w:basedOn w:val="Table"/>
    <w:rsid w:val="009110B6"/>
    <w:rPr>
      <w:lang w:val="fr-FR"/>
    </w:rPr>
  </w:style>
  <w:style w:type="paragraph" w:customStyle="1" w:styleId="Reasons">
    <w:name w:val="Reasons"/>
    <w:basedOn w:val="Normal"/>
    <w:qFormat/>
    <w:rsid w:val="00DA1D8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Index4">
    <w:name w:val="index 4"/>
    <w:basedOn w:val="Normal"/>
    <w:next w:val="Normal"/>
    <w:autoRedefine/>
    <w:semiHidden/>
    <w:unhideWhenUsed/>
    <w:rsid w:val="002C0E9C"/>
    <w:pPr>
      <w:tabs>
        <w:tab w:val="clear" w:pos="794"/>
        <w:tab w:val="clear" w:pos="1191"/>
        <w:tab w:val="clear" w:pos="1588"/>
        <w:tab w:val="clear" w:pos="1985"/>
      </w:tabs>
      <w:spacing w:before="0"/>
      <w:ind w:left="960" w:hanging="240"/>
    </w:pPr>
  </w:style>
  <w:style w:type="character" w:styleId="FollowedHyperlink">
    <w:name w:val="FollowedHyperlink"/>
    <w:basedOn w:val="DefaultParagraphFont"/>
    <w:semiHidden/>
    <w:unhideWhenUsed/>
    <w:rsid w:val="002737A3"/>
    <w:rPr>
      <w:color w:val="800080" w:themeColor="followedHyperlink"/>
      <w:u w:val="single"/>
    </w:rPr>
  </w:style>
  <w:style w:type="character" w:customStyle="1" w:styleId="HeadingbChar">
    <w:name w:val="Heading_b Char"/>
    <w:basedOn w:val="DefaultParagraphFont"/>
    <w:link w:val="Headingb"/>
    <w:locked/>
    <w:rsid w:val="00DA3FFC"/>
    <w:rPr>
      <w:b/>
      <w:sz w:val="24"/>
      <w:lang w:val="fr-FR" w:eastAsia="en-US"/>
    </w:rPr>
  </w:style>
  <w:style w:type="character" w:customStyle="1" w:styleId="CallChar">
    <w:name w:val="Call Char"/>
    <w:link w:val="Call"/>
    <w:locked/>
    <w:rsid w:val="00DA3FFC"/>
    <w:rPr>
      <w:i/>
      <w:sz w:val="24"/>
      <w:lang w:val="fr-FR" w:eastAsia="en-US"/>
    </w:rPr>
  </w:style>
  <w:style w:type="character" w:customStyle="1" w:styleId="Tabletitle0">
    <w:name w:val="Table_title Знак"/>
    <w:link w:val="Tabletitle"/>
    <w:locked/>
    <w:rsid w:val="00DA3FF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eader" Target="header7.xml"/><Relationship Id="rId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144</TotalTime>
  <Pages>1</Pages>
  <Words>2464</Words>
  <Characters>13603</Characters>
  <Application>Microsoft Office Word</Application>
  <DocSecurity>0</DocSecurity>
  <Lines>469</Lines>
  <Paragraphs>82</Paragraphs>
  <ScaleCrop>false</ScaleCrop>
  <HeadingPairs>
    <vt:vector size="2" baseType="variant">
      <vt:variant>
        <vt:lpstr>Title</vt:lpstr>
      </vt:variant>
      <vt:variant>
        <vt:i4>1</vt:i4>
      </vt:variant>
    </vt:vector>
  </HeadingPairs>
  <TitlesOfParts>
    <vt:vector size="1" baseType="lpstr">
      <vt:lpstr>RECOMMANDATION  UIT-R  SA.1160-3 - Critères de brouillage cumulatif applicables aux systèmes de transmission de données dans les services d'exploration de la Terre par satellite et de météorologie par satellite utilisant des satellites géostationnaires</vt:lpstr>
    </vt:vector>
  </TitlesOfParts>
  <Manager/>
  <Company>ITU</Company>
  <LinksUpToDate>false</LinksUpToDate>
  <CharactersWithSpaces>15985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SA.1160-3 - Critères de brouillage cumulatif applicables aux systèmes de transmission de données dans les services d'exploration de la Terre par satellite et de météorologie par satellite utilisant des satellites géostationnaires</dc:title>
  <dc:subject>Série SA = Applications spatiales</dc:subject>
  <dc:creator>Bureau des radiocommunications de l'UIT (BR)</dc:creator>
  <cp:keywords>SA,1160-3</cp:keywords>
  <dc:description>Gachetc, 4/23/2018, R01</dc:description>
  <cp:lastModifiedBy>Gachet, Christelle</cp:lastModifiedBy>
  <cp:revision>18</cp:revision>
  <cp:lastPrinted>2018-04-23T07:54:00Z</cp:lastPrinted>
  <dcterms:created xsi:type="dcterms:W3CDTF">2018-04-19T13:52:00Z</dcterms:created>
  <dcterms:modified xsi:type="dcterms:W3CDTF">2018-04-23T07:56:00Z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Monday, April 23, 2018</vt:lpwstr>
  </property>
</Properties>
</file>