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81070A" w:rsidRDefault="00FE79FE" w:rsidP="00FC5A7B">
            <w:pPr>
              <w:spacing w:before="380" w:line="280" w:lineRule="exact"/>
              <w:jc w:val="right"/>
              <w:rPr>
                <w:rFonts w:ascii="Tahoma" w:hAnsi="Tahoma" w:cs="Tahoma"/>
                <w:b/>
                <w:bCs/>
                <w:iCs/>
                <w:color w:val="243285"/>
                <w:sz w:val="36"/>
                <w:szCs w:val="36"/>
                <w:lang w:val="fr-CH"/>
              </w:rPr>
            </w:pPr>
            <w:r w:rsidRPr="0081070A">
              <w:rPr>
                <w:rFonts w:ascii="Tahoma" w:hAnsi="Tahoma" w:cs="Tahoma"/>
                <w:b/>
                <w:bCs/>
                <w:iCs/>
                <w:color w:val="243285"/>
                <w:sz w:val="36"/>
                <w:szCs w:val="36"/>
                <w:lang w:val="fr-CH"/>
              </w:rPr>
              <w:t xml:space="preserve">Recommendation  ITU-R  </w:t>
            </w:r>
            <w:r w:rsidR="00A4173A" w:rsidRPr="0081070A">
              <w:rPr>
                <w:rFonts w:ascii="Tahoma" w:hAnsi="Tahoma" w:cs="Tahoma"/>
                <w:b/>
                <w:bCs/>
                <w:iCs/>
                <w:color w:val="243285"/>
                <w:sz w:val="36"/>
                <w:szCs w:val="36"/>
                <w:lang w:val="fr-CH"/>
              </w:rPr>
              <w:t>SA</w:t>
            </w:r>
            <w:r w:rsidRPr="0081070A">
              <w:rPr>
                <w:rFonts w:ascii="Tahoma" w:hAnsi="Tahoma" w:cs="Tahoma"/>
                <w:b/>
                <w:bCs/>
                <w:iCs/>
                <w:color w:val="243285"/>
                <w:sz w:val="36"/>
                <w:szCs w:val="36"/>
                <w:lang w:val="fr-CH"/>
              </w:rPr>
              <w:t>.</w:t>
            </w:r>
            <w:r w:rsidR="00FC5A7B" w:rsidRPr="00FC5A7B">
              <w:rPr>
                <w:rFonts w:ascii="Tahoma" w:hAnsi="Tahoma" w:cs="Tahoma"/>
                <w:b/>
                <w:bCs/>
                <w:iCs/>
                <w:color w:val="243285"/>
                <w:sz w:val="36"/>
                <w:szCs w:val="36"/>
                <w:lang w:val="fr-CH"/>
              </w:rPr>
              <w:t>1160-3</w:t>
            </w:r>
          </w:p>
          <w:p w:rsidR="00FE79FE" w:rsidRPr="0081070A" w:rsidRDefault="00FE79FE" w:rsidP="00F52627">
            <w:pPr>
              <w:spacing w:before="80" w:line="280" w:lineRule="exact"/>
              <w:jc w:val="right"/>
              <w:rPr>
                <w:rFonts w:ascii="Tahoma" w:hAnsi="Tahoma" w:cs="Tahoma"/>
                <w:b/>
                <w:bCs/>
                <w:iCs/>
                <w:color w:val="243285"/>
                <w:szCs w:val="24"/>
                <w:lang w:val="fr-CH"/>
              </w:rPr>
            </w:pPr>
            <w:r w:rsidRPr="0081070A">
              <w:rPr>
                <w:rFonts w:ascii="Tahoma" w:hAnsi="Tahoma" w:cs="Tahoma"/>
                <w:b/>
                <w:bCs/>
                <w:iCs/>
                <w:color w:val="243285"/>
                <w:szCs w:val="24"/>
                <w:lang w:val="fr-CH"/>
              </w:rPr>
              <w:t>(</w:t>
            </w:r>
            <w:r w:rsidR="00F52627" w:rsidRPr="00F52627">
              <w:rPr>
                <w:rFonts w:ascii="Tahoma" w:hAnsi="Tahoma" w:cs="Tahoma"/>
                <w:b/>
                <w:bCs/>
                <w:iCs/>
                <w:color w:val="243285"/>
                <w:szCs w:val="24"/>
                <w:lang w:val="en-US"/>
              </w:rPr>
              <w:t>07/2017</w:t>
            </w:r>
            <w:r w:rsidRPr="0081070A">
              <w:rPr>
                <w:rFonts w:ascii="Tahoma" w:hAnsi="Tahoma" w:cs="Tahoma"/>
                <w:b/>
                <w:bCs/>
                <w:iCs/>
                <w:color w:val="243285"/>
                <w:szCs w:val="24"/>
                <w:lang w:val="fr-CH"/>
              </w:rPr>
              <w:t>)</w:t>
            </w:r>
          </w:p>
        </w:tc>
      </w:tr>
      <w:tr w:rsidR="00FE79FE" w:rsidRPr="0021422E">
        <w:tc>
          <w:tcPr>
            <w:tcW w:w="10089" w:type="dxa"/>
          </w:tcPr>
          <w:p w:rsidR="00013002" w:rsidRPr="007F28DF" w:rsidRDefault="00013002" w:rsidP="00FE79FE">
            <w:pPr>
              <w:spacing w:before="80" w:line="500" w:lineRule="exact"/>
              <w:jc w:val="right"/>
              <w:rPr>
                <w:rFonts w:ascii="Tahoma" w:hAnsi="Tahoma" w:cs="Tahoma"/>
                <w:b/>
                <w:bCs/>
                <w:iCs/>
                <w:color w:val="243285"/>
                <w:sz w:val="44"/>
                <w:szCs w:val="44"/>
                <w:lang w:val="en-GB"/>
              </w:rPr>
            </w:pPr>
          </w:p>
          <w:p w:rsidR="00FE79FE" w:rsidRPr="001511A6" w:rsidRDefault="00C95C69" w:rsidP="00C95C69">
            <w:pPr>
              <w:spacing w:before="80" w:line="500" w:lineRule="exact"/>
              <w:jc w:val="right"/>
              <w:rPr>
                <w:rFonts w:ascii="Tahoma" w:hAnsi="Tahoma" w:cs="Tahoma"/>
                <w:b/>
                <w:bCs/>
                <w:iCs/>
                <w:color w:val="243285"/>
                <w:sz w:val="44"/>
                <w:szCs w:val="44"/>
                <w:lang w:val="en-US"/>
              </w:rPr>
            </w:pPr>
            <w:r w:rsidRPr="00C95C69">
              <w:rPr>
                <w:rFonts w:ascii="Tahoma" w:hAnsi="Tahoma" w:cs="Tahoma"/>
                <w:b/>
                <w:bCs/>
                <w:iCs/>
                <w:color w:val="243285"/>
                <w:sz w:val="44"/>
                <w:szCs w:val="44"/>
                <w:lang w:val="en-US"/>
              </w:rPr>
              <w:t>Aggregate interference criteria for data transmission systems in the Earth exploration-satellite and meteorological-satellite services using satellites in the geostationary orbit</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1F38BB" w:rsidRPr="00C95C69" w:rsidRDefault="001F38BB" w:rsidP="001F38BB">
            <w:pPr>
              <w:spacing w:before="80" w:line="280" w:lineRule="exact"/>
              <w:ind w:right="640"/>
              <w:rPr>
                <w:rFonts w:ascii="Tahoma" w:hAnsi="Tahoma" w:cs="Tahoma"/>
                <w:b/>
                <w:bCs/>
                <w:iCs/>
                <w:color w:val="243285"/>
                <w:sz w:val="32"/>
                <w:szCs w:val="32"/>
                <w:lang w:val="en-GB"/>
              </w:rPr>
            </w:pPr>
          </w:p>
          <w:p w:rsidR="001F38BB" w:rsidRPr="00C95C69" w:rsidRDefault="001F38BB" w:rsidP="001F38BB">
            <w:pPr>
              <w:spacing w:before="80" w:line="280" w:lineRule="exact"/>
              <w:ind w:right="640"/>
              <w:rPr>
                <w:rFonts w:ascii="Tahoma" w:hAnsi="Tahoma" w:cs="Tahoma"/>
                <w:b/>
                <w:bCs/>
                <w:iCs/>
                <w:color w:val="243285"/>
                <w:sz w:val="32"/>
                <w:szCs w:val="32"/>
                <w:lang w:val="en-GB"/>
              </w:rPr>
            </w:pPr>
          </w:p>
          <w:p w:rsidR="001F38BB" w:rsidRPr="00C95C69" w:rsidRDefault="001F38BB" w:rsidP="001F38BB">
            <w:pPr>
              <w:spacing w:before="80" w:after="180" w:line="360" w:lineRule="exact"/>
              <w:ind w:right="720"/>
              <w:rPr>
                <w:rFonts w:ascii="Tahoma" w:hAnsi="Tahoma" w:cs="Tahoma"/>
                <w:b/>
                <w:bCs/>
                <w:iCs/>
                <w:color w:val="243285"/>
                <w:sz w:val="36"/>
                <w:szCs w:val="36"/>
                <w:lang w:val="en-GB"/>
              </w:rPr>
            </w:pPr>
          </w:p>
          <w:p w:rsidR="00013002" w:rsidRPr="001511A6" w:rsidRDefault="00A4173A"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SA</w:t>
            </w:r>
            <w:r w:rsidR="00FE79FE" w:rsidRPr="001511A6">
              <w:rPr>
                <w:rFonts w:ascii="Tahoma" w:hAnsi="Tahoma" w:cs="Tahoma"/>
                <w:b/>
                <w:bCs/>
                <w:iCs/>
                <w:color w:val="243285"/>
                <w:sz w:val="36"/>
                <w:szCs w:val="36"/>
                <w:lang w:val="en-US"/>
              </w:rPr>
              <w:t xml:space="preserve"> Series</w:t>
            </w:r>
          </w:p>
          <w:p w:rsidR="00FE79FE" w:rsidRPr="001511A6" w:rsidRDefault="00A4173A" w:rsidP="00FE79FE">
            <w:pPr>
              <w:spacing w:before="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Space applications and meteorology</w:t>
            </w:r>
          </w:p>
          <w:p w:rsidR="00FE79FE" w:rsidRPr="001511A6" w:rsidRDefault="00FE79FE" w:rsidP="00FE79FE">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rsidSect="00AC03D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EE04BA">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B714F3">
          <w:rPr>
            <w:rStyle w:val="Hyperlink"/>
            <w:sz w:val="20"/>
            <w:lang w:val="en-US"/>
          </w:rPr>
          <w:t>http://www.itu.int/ITU</w:t>
        </w:r>
        <w:r w:rsidR="00EE04BA">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21422E">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Pr="00036EE3">
                <w:rPr>
                  <w:rStyle w:val="Hyperlink"/>
                  <w:b w:val="0"/>
                  <w:sz w:val="18"/>
                  <w:szCs w:val="18"/>
                  <w:lang w:val="en-US"/>
                </w:rPr>
                <w:t>http://www.itu.int/publ/R-REC/en</w:t>
              </w:r>
            </w:hyperlink>
            <w:r w:rsidRPr="00CE0A43">
              <w:rPr>
                <w:b w:val="0"/>
                <w:sz w:val="18"/>
                <w:szCs w:val="18"/>
                <w:lang w:val="en-US"/>
              </w:rPr>
              <w:t>)</w:t>
            </w:r>
          </w:p>
        </w:tc>
      </w:tr>
      <w:tr w:rsidR="00A971A1" w:rsidRPr="00036EE3" w:rsidTr="00A4173A">
        <w:tc>
          <w:tcPr>
            <w:tcW w:w="1140" w:type="dxa"/>
            <w:tcBorders>
              <w:bottom w:val="nil"/>
            </w:tcBorders>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Borders>
              <w:bottom w:val="nil"/>
            </w:tcBorders>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A4173A" w:rsidTr="00A4173A">
        <w:tc>
          <w:tcPr>
            <w:tcW w:w="1140" w:type="dxa"/>
            <w:tcBorders>
              <w:top w:val="nil"/>
              <w:bottom w:val="nil"/>
            </w:tcBorders>
            <w:shd w:val="clear" w:color="auto" w:fill="auto"/>
          </w:tcPr>
          <w:p w:rsidR="00A31928" w:rsidRPr="00A4173A" w:rsidRDefault="00A31928" w:rsidP="006B1D2B">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rsidR="00A31928" w:rsidRPr="00A4173A"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A31928" w:rsidRPr="0021422E" w:rsidTr="001B164E">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top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tc>
          <w:tcPr>
            <w:tcW w:w="1140" w:type="dxa"/>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rsidTr="00A4173A">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A4173A" w:rsidTr="00A4173A">
        <w:tc>
          <w:tcPr>
            <w:tcW w:w="1140" w:type="dxa"/>
            <w:tcBorders>
              <w:top w:val="nil"/>
              <w:bottom w:val="nil"/>
            </w:tcBorders>
            <w:shd w:val="clear" w:color="auto" w:fill="F3F3F3"/>
          </w:tcPr>
          <w:p w:rsidR="00A31928" w:rsidRPr="00A4173A" w:rsidRDefault="00A31928" w:rsidP="006B1D2B">
            <w:pPr>
              <w:spacing w:before="30" w:after="30"/>
              <w:ind w:left="57"/>
              <w:jc w:val="left"/>
              <w:rPr>
                <w:b/>
                <w:bCs/>
                <w:color w:val="000080"/>
                <w:sz w:val="20"/>
                <w:lang w:val="en-US"/>
              </w:rPr>
            </w:pPr>
            <w:r w:rsidRPr="00A4173A">
              <w:rPr>
                <w:b/>
                <w:bCs/>
                <w:color w:val="000080"/>
                <w:sz w:val="20"/>
                <w:lang w:val="en-US"/>
              </w:rPr>
              <w:t>SA</w:t>
            </w:r>
          </w:p>
        </w:tc>
        <w:tc>
          <w:tcPr>
            <w:tcW w:w="8220" w:type="dxa"/>
            <w:tcBorders>
              <w:top w:val="nil"/>
              <w:bottom w:val="nil"/>
            </w:tcBorders>
            <w:shd w:val="clear" w:color="auto" w:fill="F3F3F3"/>
          </w:tcPr>
          <w:p w:rsidR="00A31928" w:rsidRPr="00A4173A" w:rsidRDefault="00A31928" w:rsidP="006B1D2B">
            <w:pPr>
              <w:spacing w:before="30" w:after="30"/>
              <w:jc w:val="left"/>
              <w:rPr>
                <w:b/>
                <w:bCs/>
                <w:color w:val="000080"/>
                <w:sz w:val="20"/>
                <w:lang w:val="en-US"/>
              </w:rPr>
            </w:pPr>
            <w:r w:rsidRPr="00A4173A">
              <w:rPr>
                <w:b/>
                <w:bCs/>
                <w:color w:val="000080"/>
                <w:sz w:val="20"/>
                <w:lang w:val="en-US"/>
              </w:rPr>
              <w:t>Space applications and meteorology</w:t>
            </w:r>
          </w:p>
        </w:tc>
      </w:tr>
      <w:tr w:rsidR="00A31928" w:rsidRPr="0021422E" w:rsidTr="00A4173A">
        <w:tc>
          <w:tcPr>
            <w:tcW w:w="1140" w:type="dxa"/>
            <w:tcBorders>
              <w:top w:val="nil"/>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top w:val="nil"/>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1B164E">
        <w:tc>
          <w:tcPr>
            <w:tcW w:w="1140" w:type="dxa"/>
            <w:tcBorders>
              <w:top w:val="nil"/>
              <w:bottom w:val="nil"/>
            </w:tcBorders>
            <w:shd w:val="clear" w:color="auto" w:fill="auto"/>
          </w:tcPr>
          <w:p w:rsidR="00A31928" w:rsidRPr="001B164E" w:rsidRDefault="00A31928" w:rsidP="006B1D2B">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A31928" w:rsidRPr="001B164E" w:rsidRDefault="00A31928" w:rsidP="006B1D2B">
            <w:pPr>
              <w:spacing w:before="30" w:after="30"/>
              <w:jc w:val="left"/>
              <w:rPr>
                <w:rFonts w:hAnsi="Times New Roman Bold"/>
                <w:sz w:val="20"/>
                <w:lang w:val="en-US"/>
              </w:rPr>
            </w:pPr>
            <w:r w:rsidRPr="001B164E">
              <w:rPr>
                <w:rFonts w:hAnsi="Times New Roman Bold"/>
                <w:sz w:val="20"/>
                <w:lang w:val="en-US"/>
              </w:rPr>
              <w:t>Spectrum management</w:t>
            </w:r>
          </w:p>
        </w:tc>
      </w:tr>
      <w:tr w:rsidR="00A31928" w:rsidRPr="00036EE3" w:rsidTr="001B164E">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21422E">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7B135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7B1357">
            <w:pPr>
              <w:jc w:val="center"/>
              <w:rPr>
                <w:sz w:val="22"/>
                <w:lang w:val="en-US"/>
              </w:rPr>
            </w:pPr>
          </w:p>
        </w:tc>
      </w:tr>
    </w:tbl>
    <w:p w:rsidR="00036EE3" w:rsidRPr="00036EE3" w:rsidRDefault="00036EE3" w:rsidP="007B135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21422E">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7B1357">
      <w:pPr>
        <w:spacing w:before="0"/>
        <w:jc w:val="right"/>
        <w:rPr>
          <w:i/>
          <w:iCs/>
          <w:sz w:val="20"/>
          <w:lang w:val="en-US"/>
        </w:rPr>
      </w:pPr>
      <w:r w:rsidRPr="002F5199">
        <w:rPr>
          <w:i/>
          <w:iCs/>
          <w:sz w:val="20"/>
          <w:lang w:val="en-US"/>
        </w:rPr>
        <w:t>Electronic Publication</w:t>
      </w:r>
    </w:p>
    <w:p w:rsidR="002F5199" w:rsidRPr="002F5199" w:rsidRDefault="002F5199" w:rsidP="009C0792">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sidR="003E5917">
        <w:rPr>
          <w:sz w:val="20"/>
          <w:lang w:val="en-US"/>
        </w:rPr>
        <w:t>1</w:t>
      </w:r>
      <w:r w:rsidR="009C0792">
        <w:rPr>
          <w:sz w:val="20"/>
          <w:lang w:val="en-US"/>
        </w:rPr>
        <w:t>7</w:t>
      </w:r>
    </w:p>
    <w:p w:rsidR="00586EF8" w:rsidRPr="00470E28" w:rsidRDefault="00586EF8" w:rsidP="009C0792">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3E5917">
        <w:rPr>
          <w:sz w:val="20"/>
          <w:lang w:val="en-US"/>
        </w:rPr>
        <w:t>1</w:t>
      </w:r>
      <w:r w:rsidR="009C0792">
        <w:rPr>
          <w:sz w:val="20"/>
          <w:lang w:val="en-US"/>
        </w:rPr>
        <w:t>7</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127040">
          <w:headerReference w:type="even" r:id="rId12"/>
          <w:headerReference w:type="default" r:id="rId13"/>
          <w:pgSz w:w="11907" w:h="16834" w:code="9"/>
          <w:pgMar w:top="1418" w:right="1077" w:bottom="1134" w:left="1077" w:header="720" w:footer="482" w:gutter="0"/>
          <w:paperSrc w:first="15" w:other="15"/>
          <w:pgNumType w:fmt="lowerRoman" w:start="2"/>
          <w:cols w:space="720"/>
        </w:sectPr>
      </w:pPr>
    </w:p>
    <w:p w:rsidR="00C95C69" w:rsidRPr="00C95C69" w:rsidRDefault="006B0C51" w:rsidP="00C95C69">
      <w:pPr>
        <w:pStyle w:val="RecNo"/>
        <w:rPr>
          <w:rFonts w:asciiTheme="majorBidi" w:hAnsiTheme="majorBidi" w:cstheme="majorBidi"/>
          <w:b/>
          <w:lang w:val="en-GB"/>
        </w:rPr>
      </w:pPr>
      <w:bookmarkStart w:id="3" w:name="irecnoe"/>
      <w:bookmarkEnd w:id="3"/>
      <w:r w:rsidRPr="007F28DF">
        <w:rPr>
          <w:lang w:val="en-GB"/>
        </w:rPr>
        <w:lastRenderedPageBreak/>
        <w:t xml:space="preserve">RECOMMENDATION  </w:t>
      </w:r>
      <w:r w:rsidRPr="007F28DF">
        <w:rPr>
          <w:rStyle w:val="href"/>
          <w:lang w:val="en-GB"/>
        </w:rPr>
        <w:t>ITU-R  SA.1160-3</w:t>
      </w:r>
    </w:p>
    <w:p w:rsidR="00C95C69" w:rsidRPr="00C95C69" w:rsidRDefault="00C95C69" w:rsidP="00C95C69">
      <w:pPr>
        <w:pStyle w:val="Rectitle"/>
        <w:rPr>
          <w:rFonts w:ascii="Times New Roman Bold" w:hAnsi="Times New Roman Bold"/>
          <w:lang w:val="en-GB"/>
        </w:rPr>
      </w:pPr>
      <w:r w:rsidRPr="00C95C69">
        <w:rPr>
          <w:lang w:val="en-GB"/>
        </w:rPr>
        <w:t>Aggregate interference criteria for data transmission systems in the Earth exploration-satellite and meteorological-satellite services using satellites in the geostationary orbit</w:t>
      </w:r>
    </w:p>
    <w:p w:rsidR="00C95C69" w:rsidRPr="00C95C69" w:rsidRDefault="00C95C69" w:rsidP="00C95C69">
      <w:pPr>
        <w:pStyle w:val="Recref"/>
        <w:rPr>
          <w:lang w:val="en-GB"/>
        </w:rPr>
      </w:pPr>
      <w:r w:rsidRPr="00C95C69">
        <w:rPr>
          <w:lang w:val="en-GB"/>
        </w:rPr>
        <w:t>(Question ITU-R 141/7)</w:t>
      </w:r>
    </w:p>
    <w:p w:rsidR="00C95C69" w:rsidRPr="00C95C69" w:rsidRDefault="00C95C69" w:rsidP="00C95C69">
      <w:pPr>
        <w:pStyle w:val="Recdate"/>
        <w:rPr>
          <w:lang w:val="en-GB"/>
        </w:rPr>
      </w:pPr>
      <w:r w:rsidRPr="00C95C69">
        <w:rPr>
          <w:lang w:val="en-GB"/>
        </w:rPr>
        <w:t>(1995-1997-1999-2017)</w:t>
      </w:r>
    </w:p>
    <w:p w:rsidR="00C95C69" w:rsidRPr="00127040" w:rsidRDefault="00C95C69" w:rsidP="00C95C69">
      <w:pPr>
        <w:pStyle w:val="HeadingSum"/>
        <w:rPr>
          <w:sz w:val="22"/>
          <w:szCs w:val="22"/>
          <w:lang w:val="en-GB"/>
        </w:rPr>
      </w:pPr>
      <w:r w:rsidRPr="00127040">
        <w:rPr>
          <w:sz w:val="22"/>
          <w:szCs w:val="22"/>
          <w:lang w:val="en-GB"/>
        </w:rPr>
        <w:t>Scope</w:t>
      </w:r>
    </w:p>
    <w:p w:rsidR="00C95C69" w:rsidRPr="00127040" w:rsidRDefault="00C95C69" w:rsidP="00986C18">
      <w:pPr>
        <w:pStyle w:val="Summary"/>
      </w:pPr>
      <w:r w:rsidRPr="00127040">
        <w:t>The purpose of this Recommendation is to provide aggregate interference criteria for data transmission links for GSO satellites in the Earth exploration-satellite and meteorological</w:t>
      </w:r>
      <w:r w:rsidRPr="00127040">
        <w:noBreakHyphen/>
        <w:t>satellite services.</w:t>
      </w:r>
    </w:p>
    <w:p w:rsidR="00C95C69" w:rsidRDefault="00C95C69" w:rsidP="00C95C69">
      <w:pPr>
        <w:pStyle w:val="Headingb"/>
        <w:rPr>
          <w:szCs w:val="24"/>
          <w:lang w:val="en-GB"/>
        </w:rPr>
      </w:pPr>
      <w:r>
        <w:rPr>
          <w:lang w:val="en-GB"/>
        </w:rPr>
        <w:t>Keywords</w:t>
      </w:r>
    </w:p>
    <w:p w:rsidR="00C95C69" w:rsidRDefault="00C95C69" w:rsidP="00770B44">
      <w:pPr>
        <w:rPr>
          <w:lang w:val="en-GB"/>
        </w:rPr>
      </w:pPr>
      <w:r w:rsidRPr="00C95C69">
        <w:rPr>
          <w:lang w:val="en-GB"/>
        </w:rPr>
        <w:t>EESS, METSAT, GSO satellites, data transmission, interference criteria</w:t>
      </w:r>
    </w:p>
    <w:p w:rsidR="00C95C69" w:rsidRDefault="00C95C69" w:rsidP="00C95C69">
      <w:pPr>
        <w:pStyle w:val="Headingb"/>
        <w:rPr>
          <w:szCs w:val="24"/>
          <w:lang w:val="en-GB" w:eastAsia="zh-CN"/>
        </w:rPr>
      </w:pPr>
      <w:r>
        <w:rPr>
          <w:lang w:val="en-GB" w:eastAsia="zh-CN"/>
        </w:rPr>
        <w:t>Related Recommendations and Reports</w:t>
      </w:r>
    </w:p>
    <w:p w:rsidR="00C95C69" w:rsidRDefault="00C95C69" w:rsidP="00C95C69">
      <w:pPr>
        <w:pStyle w:val="Normalaftertitle"/>
        <w:spacing w:before="120" w:after="360"/>
        <w:rPr>
          <w:szCs w:val="24"/>
          <w:lang w:val="en-GB"/>
        </w:rPr>
      </w:pPr>
      <w:r w:rsidRPr="00C95C69">
        <w:rPr>
          <w:szCs w:val="24"/>
          <w:lang w:val="en-GB" w:eastAsia="zh-CN"/>
        </w:rPr>
        <w:t xml:space="preserve">Recommendations ITU-R SA.1022, </w:t>
      </w:r>
      <w:r w:rsidR="00127040">
        <w:rPr>
          <w:szCs w:val="24"/>
          <w:lang w:val="en-GB" w:eastAsia="zh-CN"/>
        </w:rPr>
        <w:t>ITU-R SA.1159 and ITU-R SA.1161</w:t>
      </w:r>
    </w:p>
    <w:p w:rsidR="00C95C69" w:rsidRPr="00C95C69" w:rsidRDefault="00C95C69" w:rsidP="00770B44">
      <w:pPr>
        <w:pStyle w:val="Normalaftertitle"/>
        <w:rPr>
          <w:lang w:val="en-GB"/>
        </w:rPr>
      </w:pPr>
      <w:r w:rsidRPr="007F28DF">
        <w:rPr>
          <w:lang w:val="en-GB"/>
        </w:rPr>
        <w:t>The</w:t>
      </w:r>
      <w:r w:rsidRPr="00C95C69">
        <w:rPr>
          <w:lang w:val="en-GB"/>
        </w:rPr>
        <w:t xml:space="preserve"> ITU Radiocommunication Assembly,</w:t>
      </w:r>
    </w:p>
    <w:p w:rsidR="00C95C69" w:rsidRPr="00C95C69" w:rsidRDefault="00C95C69" w:rsidP="00C95C69">
      <w:pPr>
        <w:pStyle w:val="Call"/>
        <w:rPr>
          <w:lang w:val="en-GB"/>
        </w:rPr>
      </w:pPr>
      <w:r w:rsidRPr="00C95C69">
        <w:rPr>
          <w:lang w:val="en-GB"/>
        </w:rPr>
        <w:t>considering</w:t>
      </w:r>
    </w:p>
    <w:p w:rsidR="00C95C69" w:rsidRPr="00C95C69" w:rsidRDefault="00C95C69" w:rsidP="00C95C69">
      <w:pPr>
        <w:rPr>
          <w:lang w:val="en-GB"/>
        </w:rPr>
      </w:pPr>
      <w:r w:rsidRPr="00C95C69">
        <w:rPr>
          <w:i/>
          <w:iCs/>
          <w:lang w:val="en-GB"/>
        </w:rPr>
        <w:t>a)</w:t>
      </w:r>
      <w:r w:rsidRPr="00C95C69">
        <w:rPr>
          <w:lang w:val="en-GB"/>
        </w:rPr>
        <w:tab/>
        <w:t>that interference criteria are needed to ensure that systems can be designed to achieve adequate performance in the presence of interference;</w:t>
      </w:r>
    </w:p>
    <w:p w:rsidR="00C95C69" w:rsidRPr="00C95C69" w:rsidRDefault="00C95C69" w:rsidP="005E705D">
      <w:pPr>
        <w:rPr>
          <w:lang w:val="en-GB"/>
        </w:rPr>
      </w:pPr>
      <w:r w:rsidRPr="00C95C69">
        <w:rPr>
          <w:i/>
          <w:iCs/>
          <w:lang w:val="en-GB"/>
        </w:rPr>
        <w:t>b)</w:t>
      </w:r>
      <w:r w:rsidRPr="00C95C69">
        <w:rPr>
          <w:lang w:val="en-GB"/>
        </w:rPr>
        <w:tab/>
        <w:t>that interference criteria may be determined using the methodology described in Recommendation ITU</w:t>
      </w:r>
      <w:r w:rsidRPr="00C95C69">
        <w:rPr>
          <w:lang w:val="en-GB"/>
        </w:rPr>
        <w:noBreakHyphen/>
        <w:t>R</w:t>
      </w:r>
      <w:r w:rsidR="005E705D">
        <w:rPr>
          <w:lang w:val="en-GB"/>
        </w:rPr>
        <w:t xml:space="preserve"> </w:t>
      </w:r>
      <w:r w:rsidRPr="00C95C69">
        <w:rPr>
          <w:lang w:val="en-GB"/>
        </w:rPr>
        <w:t>SA.1022 and the performance objectives listed in Recommendation</w:t>
      </w:r>
      <w:r w:rsidR="005E705D">
        <w:rPr>
          <w:lang w:val="en-GB"/>
        </w:rPr>
        <w:t xml:space="preserve"> ITU</w:t>
      </w:r>
      <w:r w:rsidR="005E705D">
        <w:rPr>
          <w:lang w:val="en-GB"/>
        </w:rPr>
        <w:noBreakHyphen/>
        <w:t>R </w:t>
      </w:r>
      <w:r w:rsidRPr="00C95C69">
        <w:rPr>
          <w:lang w:val="en-GB"/>
        </w:rPr>
        <w:t>SA.1159;</w:t>
      </w:r>
    </w:p>
    <w:p w:rsidR="00C95C69" w:rsidRPr="00C95C69" w:rsidRDefault="00C95C69" w:rsidP="00C95C69">
      <w:pPr>
        <w:rPr>
          <w:lang w:val="en-GB"/>
        </w:rPr>
      </w:pPr>
      <w:r w:rsidRPr="00C95C69">
        <w:rPr>
          <w:i/>
          <w:iCs/>
          <w:lang w:val="en-GB"/>
        </w:rPr>
        <w:t>c)</w:t>
      </w:r>
      <w:r w:rsidRPr="00C95C69">
        <w:rPr>
          <w:lang w:val="en-GB"/>
        </w:rPr>
        <w:tab/>
        <w:t>that interference criteria assist in the development of criteria for sharing bands among systems, including those operating in other services;</w:t>
      </w:r>
    </w:p>
    <w:p w:rsidR="00C95C69" w:rsidRPr="00C95C69" w:rsidRDefault="00C95C69" w:rsidP="00C95C69">
      <w:pPr>
        <w:rPr>
          <w:lang w:val="en-GB"/>
        </w:rPr>
      </w:pPr>
      <w:r w:rsidRPr="00C95C69">
        <w:rPr>
          <w:i/>
          <w:iCs/>
          <w:lang w:val="en-GB"/>
        </w:rPr>
        <w:t>d)</w:t>
      </w:r>
      <w:r w:rsidRPr="00C95C69">
        <w:rPr>
          <w:lang w:val="en-GB"/>
        </w:rPr>
        <w:tab/>
        <w:t>that systems in the Earth exploration-satellite service (EESS) and meteorological-satellite (MetSat) service must specify interference thresholds at levels greater than or equal to the permissible levels;</w:t>
      </w:r>
    </w:p>
    <w:p w:rsidR="00C95C69" w:rsidRPr="00C95C69" w:rsidRDefault="00C95C69" w:rsidP="00C95C69">
      <w:pPr>
        <w:rPr>
          <w:lang w:val="en-GB"/>
        </w:rPr>
      </w:pPr>
      <w:r w:rsidRPr="00C95C69">
        <w:rPr>
          <w:i/>
          <w:iCs/>
          <w:lang w:val="en-GB"/>
        </w:rPr>
        <w:t>e)</w:t>
      </w:r>
      <w:r w:rsidRPr="00C95C69">
        <w:rPr>
          <w:lang w:val="en-GB"/>
        </w:rPr>
        <w:tab/>
        <w:t>that the Annex  presents the parameters of representative systems that provide the basis for determination of interference criteria for pertinent transmissions in the EESS and MetSat service,</w:t>
      </w:r>
    </w:p>
    <w:p w:rsidR="00C95C69" w:rsidRPr="00C95C69" w:rsidRDefault="00C95C69" w:rsidP="00C95C69">
      <w:pPr>
        <w:pStyle w:val="Call"/>
        <w:rPr>
          <w:lang w:val="en-GB"/>
        </w:rPr>
      </w:pPr>
      <w:r w:rsidRPr="00C95C69">
        <w:rPr>
          <w:lang w:val="en-GB"/>
        </w:rPr>
        <w:t>recommends</w:t>
      </w:r>
    </w:p>
    <w:p w:rsidR="00C95C69" w:rsidRPr="00C95C69" w:rsidRDefault="00C95C69" w:rsidP="00C95C69">
      <w:pPr>
        <w:rPr>
          <w:lang w:val="en-GB"/>
        </w:rPr>
      </w:pPr>
      <w:r w:rsidRPr="00C95C69">
        <w:rPr>
          <w:lang w:val="en-GB"/>
        </w:rPr>
        <w:t>that the interference criteria levels specified in Table 1 should be used as the permissible aggregate levels of interfering signal power at the antenna output of stations operating in the EESS and MetSat service.</w:t>
      </w:r>
    </w:p>
    <w:p w:rsidR="00C95C69" w:rsidRPr="00C95C69" w:rsidRDefault="00C95C69" w:rsidP="00C95C69">
      <w:pPr>
        <w:pStyle w:val="TableNo"/>
        <w:rPr>
          <w:lang w:val="en-GB"/>
        </w:rPr>
      </w:pPr>
      <w:r w:rsidRPr="00C95C69">
        <w:rPr>
          <w:lang w:val="en-GB"/>
        </w:rPr>
        <w:lastRenderedPageBreak/>
        <w:t>TABLE 1</w:t>
      </w:r>
    </w:p>
    <w:p w:rsidR="00C95C69" w:rsidRPr="00C95C69" w:rsidRDefault="00C95C69" w:rsidP="00CF722F">
      <w:pPr>
        <w:pStyle w:val="Tabletitle"/>
        <w:rPr>
          <w:lang w:val="en-GB"/>
        </w:rPr>
      </w:pPr>
      <w:r w:rsidRPr="00C95C69">
        <w:rPr>
          <w:lang w:val="en-GB"/>
        </w:rPr>
        <w:t>Interference criteria for stations in the EESS and MetSat service</w:t>
      </w:r>
      <w:r w:rsidR="00CF722F">
        <w:rPr>
          <w:lang w:val="en-GB"/>
        </w:rPr>
        <w:t xml:space="preserve"> using spacecraft in the </w:t>
      </w:r>
      <w:r w:rsidRPr="00C95C69">
        <w:rPr>
          <w:lang w:val="en-GB"/>
        </w:rPr>
        <w:t>geostationary orbit</w:t>
      </w:r>
    </w:p>
    <w:tbl>
      <w:tblPr>
        <w:tblW w:w="9639" w:type="dxa"/>
        <w:tblLayout w:type="fixed"/>
        <w:tblCellMar>
          <w:left w:w="0" w:type="dxa"/>
          <w:right w:w="0" w:type="dxa"/>
        </w:tblCellMar>
        <w:tblLook w:val="04A0" w:firstRow="1" w:lastRow="0" w:firstColumn="1" w:lastColumn="0" w:noHBand="0" w:noVBand="1"/>
      </w:tblPr>
      <w:tblGrid>
        <w:gridCol w:w="2008"/>
        <w:gridCol w:w="3763"/>
        <w:gridCol w:w="3868"/>
      </w:tblGrid>
      <w:tr w:rsidR="00127040" w:rsidRPr="0021422E" w:rsidTr="00127040">
        <w:trPr>
          <w:cantSplit/>
        </w:trPr>
        <w:tc>
          <w:tcPr>
            <w:tcW w:w="2008" w:type="dxa"/>
            <w:tcBorders>
              <w:top w:val="single" w:sz="6" w:space="0" w:color="auto"/>
              <w:left w:val="single" w:sz="6" w:space="0" w:color="auto"/>
              <w:bottom w:val="nil"/>
              <w:right w:val="single" w:sz="6" w:space="0" w:color="auto"/>
            </w:tcBorders>
            <w:vAlign w:val="center"/>
            <w:hideMark/>
          </w:tcPr>
          <w:p w:rsidR="00127040" w:rsidRPr="00066152" w:rsidRDefault="00127040" w:rsidP="00C81103">
            <w:pPr>
              <w:pStyle w:val="Tablehead"/>
            </w:pPr>
            <w:r w:rsidRPr="00066152">
              <w:t>Frequency band (MHz)</w:t>
            </w:r>
          </w:p>
        </w:tc>
        <w:tc>
          <w:tcPr>
            <w:tcW w:w="3763" w:type="dxa"/>
            <w:tcBorders>
              <w:top w:val="single" w:sz="6" w:space="0" w:color="auto"/>
              <w:left w:val="single" w:sz="6" w:space="0" w:color="auto"/>
              <w:bottom w:val="single" w:sz="6" w:space="0" w:color="auto"/>
              <w:right w:val="single" w:sz="6" w:space="0" w:color="auto"/>
            </w:tcBorders>
            <w:vAlign w:val="center"/>
            <w:hideMark/>
          </w:tcPr>
          <w:p w:rsidR="00127040" w:rsidRPr="00066152" w:rsidRDefault="00127040" w:rsidP="007F28DF">
            <w:pPr>
              <w:pStyle w:val="Tablehead"/>
              <w:rPr>
                <w:lang w:val="en-GB"/>
              </w:rPr>
            </w:pPr>
            <w:r w:rsidRPr="00066152">
              <w:rPr>
                <w:lang w:val="en-GB"/>
              </w:rPr>
              <w:t>Interfering signal power (dBW)</w:t>
            </w:r>
            <w:r w:rsidR="007F28DF">
              <w:rPr>
                <w:lang w:val="en-GB"/>
              </w:rPr>
              <w:t xml:space="preserve"> </w:t>
            </w:r>
            <w:r w:rsidRPr="00066152">
              <w:rPr>
                <w:lang w:val="en-GB"/>
              </w:rPr>
              <w:t>in the reference bandwidth to</w:t>
            </w:r>
            <w:r>
              <w:rPr>
                <w:lang w:val="en-GB"/>
              </w:rPr>
              <w:t> </w:t>
            </w:r>
            <w:r w:rsidRPr="00066152">
              <w:rPr>
                <w:lang w:val="en-GB"/>
              </w:rPr>
              <w:t>be exceeded for no more than 20% of the time</w:t>
            </w:r>
          </w:p>
        </w:tc>
        <w:tc>
          <w:tcPr>
            <w:tcW w:w="3868" w:type="dxa"/>
            <w:tcBorders>
              <w:top w:val="single" w:sz="6" w:space="0" w:color="auto"/>
              <w:left w:val="single" w:sz="6" w:space="0" w:color="auto"/>
              <w:bottom w:val="single" w:sz="6" w:space="0" w:color="auto"/>
              <w:right w:val="single" w:sz="6" w:space="0" w:color="auto"/>
            </w:tcBorders>
            <w:vAlign w:val="center"/>
            <w:hideMark/>
          </w:tcPr>
          <w:p w:rsidR="00127040" w:rsidRPr="00066152" w:rsidRDefault="00127040" w:rsidP="007F28DF">
            <w:pPr>
              <w:pStyle w:val="Tablehead"/>
              <w:rPr>
                <w:lang w:val="en-GB"/>
              </w:rPr>
            </w:pPr>
            <w:r w:rsidRPr="00066152">
              <w:rPr>
                <w:lang w:val="en-GB"/>
              </w:rPr>
              <w:t>Interfering signal power (dBW)</w:t>
            </w:r>
            <w:r w:rsidR="007F28DF">
              <w:rPr>
                <w:lang w:val="en-GB"/>
              </w:rPr>
              <w:t xml:space="preserve"> </w:t>
            </w:r>
            <w:r w:rsidRPr="00066152">
              <w:rPr>
                <w:lang w:val="en-GB"/>
              </w:rPr>
              <w:t>in the reference bandwidth to</w:t>
            </w:r>
            <w:r>
              <w:rPr>
                <w:lang w:val="en-GB"/>
              </w:rPr>
              <w:t> </w:t>
            </w:r>
            <w:r w:rsidRPr="00066152">
              <w:rPr>
                <w:lang w:val="en-GB"/>
              </w:rPr>
              <w:t xml:space="preserve">be exceeded for no more than </w:t>
            </w:r>
            <w:r w:rsidRPr="007F28DF">
              <w:rPr>
                <w:i/>
                <w:iCs/>
                <w:lang w:val="en-GB"/>
              </w:rPr>
              <w:t>p</w:t>
            </w:r>
            <w:r w:rsidRPr="00066152">
              <w:rPr>
                <w:lang w:val="en-GB"/>
              </w:rPr>
              <w:t>% of the time</w:t>
            </w:r>
          </w:p>
        </w:tc>
      </w:tr>
      <w:tr w:rsidR="007F28DF" w:rsidTr="00127040">
        <w:trPr>
          <w:cantSplit/>
        </w:trPr>
        <w:tc>
          <w:tcPr>
            <w:tcW w:w="2008" w:type="dxa"/>
            <w:tcBorders>
              <w:top w:val="single" w:sz="6" w:space="0" w:color="auto"/>
              <w:left w:val="single" w:sz="6" w:space="0" w:color="auto"/>
              <w:bottom w:val="nil"/>
              <w:right w:val="single" w:sz="6" w:space="0" w:color="auto"/>
            </w:tcBorders>
          </w:tcPr>
          <w:p w:rsidR="007F28DF" w:rsidRDefault="007F28DF" w:rsidP="007F28DF">
            <w:pPr>
              <w:pStyle w:val="Tabletext"/>
              <w:jc w:val="center"/>
              <w:rPr>
                <w:lang w:val="en-US"/>
              </w:rPr>
            </w:pPr>
            <w:r>
              <w:rPr>
                <w:lang w:val="en-US"/>
              </w:rPr>
              <w:t>1</w:t>
            </w:r>
            <w:r>
              <w:rPr>
                <w:rFonts w:ascii="Tms Rmn" w:hAnsi="Tms Rmn"/>
                <w:lang w:val="en-US"/>
              </w:rPr>
              <w:t> </w:t>
            </w:r>
            <w:r>
              <w:rPr>
                <w:lang w:val="en-US"/>
              </w:rPr>
              <w:t>670-1</w:t>
            </w:r>
            <w:r>
              <w:rPr>
                <w:rFonts w:ascii="Tms Rmn" w:hAnsi="Tms Rmn"/>
                <w:lang w:val="en-US"/>
              </w:rPr>
              <w:t> </w:t>
            </w:r>
            <w:r>
              <w:rPr>
                <w:lang w:val="en-US"/>
              </w:rPr>
              <w:t>710</w:t>
            </w:r>
          </w:p>
          <w:p w:rsidR="007F28DF" w:rsidRDefault="007F28DF" w:rsidP="007F28DF">
            <w:pPr>
              <w:pStyle w:val="Tabletext"/>
              <w:jc w:val="center"/>
              <w:rPr>
                <w:lang w:val="en-US"/>
              </w:rPr>
            </w:pPr>
            <w:r>
              <w:rPr>
                <w:lang w:val="en-US"/>
              </w:rPr>
              <w:t>space-to-Earth</w:t>
            </w:r>
          </w:p>
        </w:tc>
        <w:tc>
          <w:tcPr>
            <w:tcW w:w="3763" w:type="dxa"/>
            <w:tcBorders>
              <w:top w:val="single" w:sz="6" w:space="0" w:color="auto"/>
              <w:left w:val="single" w:sz="6" w:space="0" w:color="auto"/>
              <w:bottom w:val="single" w:sz="6" w:space="0" w:color="auto"/>
              <w:right w:val="single" w:sz="6" w:space="0" w:color="auto"/>
            </w:tcBorders>
            <w:hideMark/>
          </w:tcPr>
          <w:p w:rsidR="007F28DF" w:rsidRDefault="007F28DF" w:rsidP="007F28DF">
            <w:pPr>
              <w:pStyle w:val="Tabletext"/>
              <w:jc w:val="center"/>
              <w:rPr>
                <w:lang w:val="en-US"/>
              </w:rPr>
            </w:pPr>
            <w:r>
              <w:rPr>
                <w:lang w:val="en-US"/>
              </w:rPr>
              <w:t>−158.0 dBW per 1 MHz</w:t>
            </w:r>
          </w:p>
        </w:tc>
        <w:tc>
          <w:tcPr>
            <w:tcW w:w="3868" w:type="dxa"/>
            <w:tcBorders>
              <w:top w:val="single" w:sz="6" w:space="0" w:color="auto"/>
              <w:left w:val="single" w:sz="6" w:space="0" w:color="auto"/>
              <w:bottom w:val="single" w:sz="6" w:space="0" w:color="auto"/>
              <w:right w:val="single" w:sz="6" w:space="0" w:color="auto"/>
            </w:tcBorders>
            <w:hideMark/>
          </w:tcPr>
          <w:p w:rsidR="007F28DF" w:rsidRDefault="007F28DF" w:rsidP="007F28DF">
            <w:pPr>
              <w:pStyle w:val="Tabletext"/>
              <w:jc w:val="center"/>
              <w:rPr>
                <w:lang w:val="en-US"/>
              </w:rPr>
            </w:pPr>
            <w:r>
              <w:rPr>
                <w:lang w:val="en-US"/>
              </w:rPr>
              <w:t>−152.8 dBW per 1 MHz</w:t>
            </w:r>
          </w:p>
          <w:p w:rsidR="007F28DF" w:rsidRDefault="007F28DF" w:rsidP="007F28DF">
            <w:pPr>
              <w:pStyle w:val="Tabletext"/>
              <w:jc w:val="center"/>
              <w:rPr>
                <w:lang w:val="en-US"/>
              </w:rPr>
            </w:pPr>
            <w:r>
              <w:rPr>
                <w:i/>
                <w:iCs/>
                <w:lang w:val="en-US"/>
              </w:rPr>
              <w:t>p</w:t>
            </w:r>
            <w:r>
              <w:rPr>
                <w:lang w:val="en-US"/>
              </w:rPr>
              <w:t xml:space="preserve"> </w:t>
            </w:r>
            <w:r>
              <w:rPr>
                <w:rFonts w:ascii="Symbol" w:hAnsi="Symbol"/>
                <w:lang w:val="en-US"/>
              </w:rPr>
              <w:t></w:t>
            </w:r>
            <w:r>
              <w:rPr>
                <w:lang w:val="en-US"/>
              </w:rPr>
              <w:t xml:space="preserve"> 0.025</w:t>
            </w:r>
          </w:p>
        </w:tc>
      </w:tr>
      <w:tr w:rsidR="007F28DF" w:rsidTr="00127040">
        <w:trPr>
          <w:cantSplit/>
        </w:trPr>
        <w:tc>
          <w:tcPr>
            <w:tcW w:w="2008" w:type="dxa"/>
            <w:tcBorders>
              <w:top w:val="single" w:sz="6" w:space="0" w:color="auto"/>
              <w:left w:val="single" w:sz="6" w:space="0" w:color="auto"/>
              <w:bottom w:val="single" w:sz="6" w:space="0" w:color="auto"/>
              <w:right w:val="single" w:sz="6" w:space="0" w:color="auto"/>
            </w:tcBorders>
            <w:vAlign w:val="center"/>
            <w:hideMark/>
          </w:tcPr>
          <w:p w:rsidR="007F28DF" w:rsidRDefault="007F28DF" w:rsidP="007F28DF">
            <w:pPr>
              <w:pStyle w:val="Tabletext"/>
              <w:jc w:val="center"/>
              <w:rPr>
                <w:lang w:val="en-US"/>
              </w:rPr>
            </w:pPr>
            <w:r>
              <w:rPr>
                <w:lang w:val="en-US"/>
              </w:rPr>
              <w:t>2</w:t>
            </w:r>
            <w:r>
              <w:rPr>
                <w:rFonts w:ascii="Tms Rmn" w:hAnsi="Tms Rmn"/>
                <w:lang w:val="en-US"/>
              </w:rPr>
              <w:t> </w:t>
            </w:r>
            <w:r>
              <w:rPr>
                <w:lang w:val="en-US"/>
              </w:rPr>
              <w:t>025-2</w:t>
            </w:r>
            <w:r>
              <w:rPr>
                <w:rFonts w:ascii="Tms Rmn" w:hAnsi="Tms Rmn"/>
                <w:lang w:val="en-US"/>
              </w:rPr>
              <w:t> </w:t>
            </w:r>
            <w:r>
              <w:rPr>
                <w:lang w:val="en-US"/>
              </w:rPr>
              <w:t>110</w:t>
            </w:r>
          </w:p>
          <w:p w:rsidR="007F28DF" w:rsidRDefault="007F28DF" w:rsidP="007F28DF">
            <w:pPr>
              <w:pStyle w:val="Tabletext"/>
              <w:jc w:val="center"/>
              <w:rPr>
                <w:lang w:val="en-US"/>
              </w:rPr>
            </w:pPr>
            <w:r>
              <w:rPr>
                <w:lang w:val="en-US"/>
              </w:rPr>
              <w:t>Earth-to-space</w:t>
            </w:r>
          </w:p>
        </w:tc>
        <w:tc>
          <w:tcPr>
            <w:tcW w:w="3763" w:type="dxa"/>
            <w:tcBorders>
              <w:top w:val="single" w:sz="6" w:space="0" w:color="auto"/>
              <w:left w:val="single" w:sz="6" w:space="0" w:color="auto"/>
              <w:bottom w:val="single" w:sz="6" w:space="0" w:color="auto"/>
              <w:right w:val="single" w:sz="6" w:space="0" w:color="auto"/>
            </w:tcBorders>
            <w:hideMark/>
          </w:tcPr>
          <w:p w:rsidR="007F28DF" w:rsidRDefault="007F28DF" w:rsidP="007F28DF">
            <w:pPr>
              <w:pStyle w:val="Tabletext"/>
              <w:jc w:val="center"/>
              <w:rPr>
                <w:lang w:val="en-US"/>
              </w:rPr>
            </w:pPr>
            <w:r>
              <w:rPr>
                <w:lang w:val="en-US"/>
              </w:rPr>
              <w:t>−139.9 dBW per 1 MHz</w:t>
            </w:r>
          </w:p>
        </w:tc>
        <w:tc>
          <w:tcPr>
            <w:tcW w:w="3868" w:type="dxa"/>
            <w:tcBorders>
              <w:top w:val="single" w:sz="6" w:space="0" w:color="auto"/>
              <w:left w:val="single" w:sz="6" w:space="0" w:color="auto"/>
              <w:bottom w:val="single" w:sz="6" w:space="0" w:color="auto"/>
              <w:right w:val="single" w:sz="6" w:space="0" w:color="auto"/>
            </w:tcBorders>
            <w:hideMark/>
          </w:tcPr>
          <w:p w:rsidR="007F28DF" w:rsidRDefault="007F28DF" w:rsidP="007F28DF">
            <w:pPr>
              <w:pStyle w:val="Tabletext"/>
              <w:jc w:val="center"/>
              <w:rPr>
                <w:lang w:val="en-US"/>
              </w:rPr>
            </w:pPr>
            <w:r>
              <w:rPr>
                <w:lang w:val="en-US"/>
              </w:rPr>
              <w:t>−136.6 dBW per 1 MHz</w:t>
            </w:r>
          </w:p>
          <w:p w:rsidR="007F28DF" w:rsidRDefault="007F28DF" w:rsidP="007F28DF">
            <w:pPr>
              <w:pStyle w:val="Tabletext"/>
              <w:jc w:val="center"/>
              <w:rPr>
                <w:lang w:val="en-US"/>
              </w:rPr>
            </w:pPr>
            <w:r>
              <w:rPr>
                <w:i/>
                <w:iCs/>
                <w:lang w:val="en-US"/>
              </w:rPr>
              <w:t>p</w:t>
            </w:r>
            <w:r>
              <w:rPr>
                <w:lang w:val="en-US"/>
              </w:rPr>
              <w:t xml:space="preserve"> </w:t>
            </w:r>
            <w:r>
              <w:rPr>
                <w:rFonts w:ascii="Symbol" w:hAnsi="Symbol"/>
                <w:lang w:val="en-US"/>
              </w:rPr>
              <w:t></w:t>
            </w:r>
            <w:r>
              <w:rPr>
                <w:lang w:val="en-US"/>
              </w:rPr>
              <w:t xml:space="preserve"> 0.025</w:t>
            </w:r>
          </w:p>
        </w:tc>
      </w:tr>
      <w:tr w:rsidR="007F28DF" w:rsidTr="00127040">
        <w:trPr>
          <w:cantSplit/>
        </w:trPr>
        <w:tc>
          <w:tcPr>
            <w:tcW w:w="2008" w:type="dxa"/>
            <w:tcBorders>
              <w:top w:val="nil"/>
              <w:left w:val="single" w:sz="6" w:space="0" w:color="auto"/>
              <w:bottom w:val="single" w:sz="4" w:space="0" w:color="auto"/>
              <w:right w:val="single" w:sz="6" w:space="0" w:color="auto"/>
            </w:tcBorders>
            <w:hideMark/>
          </w:tcPr>
          <w:p w:rsidR="007F28DF" w:rsidRDefault="007F28DF" w:rsidP="007F28DF">
            <w:pPr>
              <w:pStyle w:val="Tabletext"/>
              <w:jc w:val="center"/>
              <w:rPr>
                <w:lang w:val="en-US"/>
              </w:rPr>
            </w:pPr>
            <w:r>
              <w:rPr>
                <w:lang w:val="en-US"/>
              </w:rPr>
              <w:t>25</w:t>
            </w:r>
            <w:r>
              <w:rPr>
                <w:rFonts w:ascii="Tms Rmn" w:hAnsi="Tms Rmn"/>
                <w:lang w:val="en-US"/>
              </w:rPr>
              <w:t> </w:t>
            </w:r>
            <w:r>
              <w:rPr>
                <w:lang w:val="en-US"/>
              </w:rPr>
              <w:t>500-27</w:t>
            </w:r>
            <w:r>
              <w:rPr>
                <w:rFonts w:ascii="Tms Rmn" w:hAnsi="Tms Rmn"/>
                <w:lang w:val="en-US"/>
              </w:rPr>
              <w:t> </w:t>
            </w:r>
            <w:r>
              <w:rPr>
                <w:lang w:val="en-US"/>
              </w:rPr>
              <w:t>000</w:t>
            </w:r>
          </w:p>
          <w:p w:rsidR="007F28DF" w:rsidRDefault="007F28DF" w:rsidP="007F28DF">
            <w:pPr>
              <w:pStyle w:val="Tabletext"/>
              <w:jc w:val="center"/>
              <w:rPr>
                <w:lang w:val="en-US"/>
              </w:rPr>
            </w:pPr>
            <w:r>
              <w:rPr>
                <w:lang w:val="en-US"/>
              </w:rPr>
              <w:t>space-to-Earth</w:t>
            </w:r>
          </w:p>
        </w:tc>
        <w:tc>
          <w:tcPr>
            <w:tcW w:w="3763" w:type="dxa"/>
            <w:tcBorders>
              <w:top w:val="single" w:sz="6" w:space="0" w:color="auto"/>
              <w:left w:val="single" w:sz="6" w:space="0" w:color="auto"/>
              <w:bottom w:val="single" w:sz="4" w:space="0" w:color="auto"/>
              <w:right w:val="single" w:sz="6" w:space="0" w:color="auto"/>
            </w:tcBorders>
            <w:hideMark/>
          </w:tcPr>
          <w:p w:rsidR="007F28DF" w:rsidRDefault="007F28DF" w:rsidP="007F28DF">
            <w:pPr>
              <w:pStyle w:val="Tabletext"/>
              <w:jc w:val="center"/>
              <w:rPr>
                <w:lang w:val="en-US"/>
              </w:rPr>
            </w:pPr>
            <w:r>
              <w:rPr>
                <w:lang w:val="en-US"/>
              </w:rPr>
              <w:t>−144.6 dBW per 10 MHz</w:t>
            </w:r>
          </w:p>
        </w:tc>
        <w:tc>
          <w:tcPr>
            <w:tcW w:w="3868" w:type="dxa"/>
            <w:tcBorders>
              <w:top w:val="single" w:sz="6" w:space="0" w:color="auto"/>
              <w:left w:val="single" w:sz="6" w:space="0" w:color="auto"/>
              <w:bottom w:val="single" w:sz="4" w:space="0" w:color="auto"/>
              <w:right w:val="single" w:sz="6" w:space="0" w:color="auto"/>
            </w:tcBorders>
            <w:hideMark/>
          </w:tcPr>
          <w:p w:rsidR="007F28DF" w:rsidRDefault="007F28DF" w:rsidP="007F28DF">
            <w:pPr>
              <w:pStyle w:val="Tabletext"/>
              <w:jc w:val="center"/>
              <w:rPr>
                <w:lang w:val="en-US"/>
              </w:rPr>
            </w:pPr>
            <w:r>
              <w:rPr>
                <w:lang w:val="en-US"/>
              </w:rPr>
              <w:t>−133.0 dBW per 10 MHz</w:t>
            </w:r>
          </w:p>
          <w:p w:rsidR="007F28DF" w:rsidRDefault="007F28DF" w:rsidP="007F28DF">
            <w:pPr>
              <w:pStyle w:val="Tabletext"/>
              <w:jc w:val="center"/>
              <w:rPr>
                <w:lang w:val="en-US"/>
              </w:rPr>
            </w:pPr>
            <w:r>
              <w:rPr>
                <w:i/>
                <w:lang w:val="en-US"/>
              </w:rPr>
              <w:t>p</w:t>
            </w:r>
            <w:r>
              <w:rPr>
                <w:lang w:val="en-US"/>
              </w:rPr>
              <w:t xml:space="preserve"> </w:t>
            </w:r>
            <w:r>
              <w:rPr>
                <w:rFonts w:ascii="Symbol" w:hAnsi="Symbol"/>
                <w:lang w:val="en-US"/>
              </w:rPr>
              <w:t></w:t>
            </w:r>
            <w:r>
              <w:rPr>
                <w:lang w:val="en-US"/>
              </w:rPr>
              <w:t xml:space="preserve"> 0.25</w:t>
            </w:r>
          </w:p>
        </w:tc>
      </w:tr>
      <w:tr w:rsidR="007F28DF" w:rsidRPr="0021422E" w:rsidTr="00127040">
        <w:trPr>
          <w:cantSplit/>
        </w:trPr>
        <w:tc>
          <w:tcPr>
            <w:tcW w:w="9639" w:type="dxa"/>
            <w:gridSpan w:val="3"/>
            <w:tcBorders>
              <w:top w:val="single" w:sz="4" w:space="0" w:color="auto"/>
              <w:left w:val="nil"/>
              <w:bottom w:val="nil"/>
              <w:right w:val="nil"/>
            </w:tcBorders>
            <w:hideMark/>
          </w:tcPr>
          <w:p w:rsidR="007F28DF" w:rsidRPr="00971B94" w:rsidRDefault="007F28DF" w:rsidP="007F28DF">
            <w:pPr>
              <w:pStyle w:val="Tabletext"/>
              <w:rPr>
                <w:lang w:val="en-GB"/>
              </w:rPr>
            </w:pPr>
            <w:r w:rsidRPr="00971B94">
              <w:rPr>
                <w:lang w:val="en-GB"/>
              </w:rPr>
              <w:t>NOTE 1 – The interfering signal powers (dBW) in the reference bandwidths are specified for reception at elevation angles ≥ 3°.</w:t>
            </w:r>
          </w:p>
          <w:p w:rsidR="007F28DF" w:rsidRPr="007F28DF" w:rsidRDefault="007F28DF" w:rsidP="007F28DF">
            <w:pPr>
              <w:pStyle w:val="Tabletext"/>
              <w:rPr>
                <w:lang w:val="en-GB"/>
              </w:rPr>
            </w:pPr>
            <w:r w:rsidRPr="007F28DF">
              <w:rPr>
                <w:lang w:val="en-GB"/>
              </w:rPr>
              <w:t xml:space="preserve">NOTE 2 – The total interfering signal power level that may be exceeded for no more than </w:t>
            </w:r>
            <w:r w:rsidRPr="007F28DF">
              <w:rPr>
                <w:i/>
                <w:iCs/>
                <w:lang w:val="en-GB"/>
              </w:rPr>
              <w:t>x</w:t>
            </w:r>
            <w:r w:rsidRPr="007F28DF">
              <w:rPr>
                <w:lang w:val="en-GB"/>
              </w:rPr>
              <w:t xml:space="preserve">% of the time, where </w:t>
            </w:r>
            <w:r w:rsidRPr="007F28DF">
              <w:rPr>
                <w:i/>
                <w:iCs/>
                <w:lang w:val="en-GB"/>
              </w:rPr>
              <w:t>x</w:t>
            </w:r>
            <w:r w:rsidRPr="007F28DF">
              <w:rPr>
                <w:lang w:val="en-GB"/>
              </w:rPr>
              <w:t xml:space="preserve"> is less than 20% but greater than the specified short-term time percentage (</w:t>
            </w:r>
            <w:r w:rsidRPr="007F28DF">
              <w:rPr>
                <w:i/>
                <w:iCs/>
                <w:lang w:val="en-GB"/>
              </w:rPr>
              <w:t>p</w:t>
            </w:r>
            <w:r w:rsidRPr="007F28DF">
              <w:rPr>
                <w:lang w:val="en-GB"/>
              </w:rPr>
              <w:t>% of the time), may be determined by interpolation between the specified values using a logarithmic scale (base 10) for percentage of time and a linear scale for interfering signal power density (dB).</w:t>
            </w:r>
          </w:p>
          <w:p w:rsidR="007F28DF" w:rsidRPr="007F28DF" w:rsidRDefault="007F28DF" w:rsidP="007F28DF">
            <w:pPr>
              <w:pStyle w:val="Tabletext"/>
              <w:rPr>
                <w:lang w:val="en-GB"/>
              </w:rPr>
            </w:pPr>
            <w:r w:rsidRPr="007F28DF">
              <w:rPr>
                <w:lang w:val="en-GB"/>
              </w:rPr>
              <w:t>NOTE 3 – The interference criteria can be expressed as permissible power flux</w:t>
            </w:r>
            <w:r w:rsidRPr="007F28DF">
              <w:rPr>
                <w:lang w:val="en-GB"/>
              </w:rPr>
              <w:noBreakHyphen/>
              <w:t>densities into the main beam of the receive antenna by subtracting 10 log(</w:t>
            </w:r>
            <w:r w:rsidRPr="007F28DF">
              <w:rPr>
                <w:i/>
                <w:iCs/>
                <w:lang w:val="en-GB"/>
              </w:rPr>
              <w:t>G</w:t>
            </w:r>
            <w:r w:rsidRPr="007F28DF">
              <w:rPr>
                <w:lang w:val="en-GB"/>
              </w:rPr>
              <w:t xml:space="preserve"> </w:t>
            </w:r>
            <w:r w:rsidRPr="00674DD3">
              <w:sym w:font="Symbol" w:char="F06C"/>
            </w:r>
            <w:r w:rsidRPr="007F28DF">
              <w:rPr>
                <w:vertAlign w:val="superscript"/>
                <w:lang w:val="en-GB"/>
              </w:rPr>
              <w:t>2</w:t>
            </w:r>
            <w:r w:rsidRPr="007F28DF">
              <w:rPr>
                <w:lang w:val="en-GB"/>
              </w:rPr>
              <w:t>/4</w:t>
            </w:r>
            <w:r w:rsidRPr="00674DD3">
              <w:sym w:font="Symbol" w:char="F070"/>
            </w:r>
            <w:r w:rsidRPr="007F28DF">
              <w:rPr>
                <w:lang w:val="en-GB"/>
              </w:rPr>
              <w:t xml:space="preserve">) from the value given in Table 1, where </w:t>
            </w:r>
            <w:r w:rsidRPr="007F28DF">
              <w:rPr>
                <w:i/>
                <w:iCs/>
                <w:lang w:val="en-GB"/>
              </w:rPr>
              <w:t>G</w:t>
            </w:r>
            <w:r w:rsidRPr="007F28DF">
              <w:rPr>
                <w:lang w:val="en-GB"/>
              </w:rPr>
              <w:t xml:space="preserve"> is the receive antenna gain and </w:t>
            </w:r>
            <w:r w:rsidRPr="00674DD3">
              <w:sym w:font="Symbol" w:char="F06C"/>
            </w:r>
            <w:r w:rsidRPr="007F28DF">
              <w:rPr>
                <w:lang w:val="en-GB"/>
              </w:rPr>
              <w:t xml:space="preserve"> is the wavelength.</w:t>
            </w:r>
          </w:p>
          <w:p w:rsidR="007F28DF" w:rsidRPr="007F28DF" w:rsidRDefault="007F28DF" w:rsidP="007F28DF">
            <w:pPr>
              <w:pStyle w:val="Tabletext"/>
              <w:rPr>
                <w:lang w:val="en-GB"/>
              </w:rPr>
            </w:pPr>
            <w:r w:rsidRPr="007F28DF">
              <w:rPr>
                <w:lang w:val="en-GB"/>
              </w:rPr>
              <w:t>NOTE 4 – Although the interference criteria are based on the systems described in the Annex, the interference criteria apply to all systems that operate in the subject frequency bands and which provide the specified service functions.</w:t>
            </w:r>
          </w:p>
        </w:tc>
      </w:tr>
    </w:tbl>
    <w:p w:rsidR="00C95C69" w:rsidRDefault="00C95C69" w:rsidP="00C95C69">
      <w:pPr>
        <w:spacing w:before="0"/>
        <w:rPr>
          <w:sz w:val="2"/>
          <w:lang w:val="en-GB"/>
        </w:rPr>
      </w:pPr>
    </w:p>
    <w:p w:rsidR="00C95C69" w:rsidRDefault="00C95C69" w:rsidP="00C95C69">
      <w:pPr>
        <w:pStyle w:val="Tablefin"/>
      </w:pPr>
    </w:p>
    <w:p w:rsidR="00971B94" w:rsidRDefault="00971B94" w:rsidP="00971B94">
      <w:pPr>
        <w:rPr>
          <w:lang w:val="en-GB"/>
        </w:rPr>
      </w:pPr>
    </w:p>
    <w:p w:rsidR="00E74165" w:rsidRPr="00971B94" w:rsidRDefault="00E74165" w:rsidP="00971B94">
      <w:pPr>
        <w:rPr>
          <w:lang w:val="en-GB"/>
        </w:rPr>
      </w:pPr>
    </w:p>
    <w:p w:rsidR="00C95C69" w:rsidRPr="00E74165" w:rsidRDefault="00C95C69" w:rsidP="00E74165">
      <w:pPr>
        <w:pStyle w:val="AnnexNoTitle"/>
        <w:rPr>
          <w:lang w:val="en-GB"/>
        </w:rPr>
      </w:pPr>
      <w:r w:rsidRPr="00E74165">
        <w:rPr>
          <w:lang w:val="en-GB"/>
        </w:rPr>
        <w:t>A</w:t>
      </w:r>
      <w:r w:rsidR="007F28DF" w:rsidRPr="00E74165">
        <w:rPr>
          <w:lang w:val="en-GB"/>
        </w:rPr>
        <w:t>nnex</w:t>
      </w:r>
      <w:r w:rsidR="00E74165" w:rsidRPr="00E74165">
        <w:rPr>
          <w:lang w:val="en-GB"/>
        </w:rPr>
        <w:br/>
      </w:r>
      <w:r w:rsidR="00E74165" w:rsidRPr="00E74165">
        <w:rPr>
          <w:lang w:val="en-GB"/>
        </w:rPr>
        <w:br/>
      </w:r>
      <w:r w:rsidRPr="00E74165">
        <w:rPr>
          <w:lang w:val="en-GB"/>
        </w:rPr>
        <w:t>Basis for determination of interference criteria</w:t>
      </w:r>
    </w:p>
    <w:p w:rsidR="00C95C69" w:rsidRPr="00C95C69" w:rsidRDefault="00C95C69" w:rsidP="00476D4D">
      <w:pPr>
        <w:pStyle w:val="Normalaftertitle"/>
        <w:rPr>
          <w:lang w:val="en-GB"/>
        </w:rPr>
      </w:pPr>
      <w:r w:rsidRPr="00C95C69">
        <w:rPr>
          <w:lang w:val="en-GB"/>
        </w:rPr>
        <w:t>This Annex presents the parameters used as inputs to the methodology of Recommendation</w:t>
      </w:r>
      <w:r w:rsidR="00476D4D">
        <w:rPr>
          <w:lang w:val="en-GB"/>
        </w:rPr>
        <w:t xml:space="preserve"> ITU</w:t>
      </w:r>
      <w:r w:rsidR="00476D4D">
        <w:rPr>
          <w:lang w:val="en-GB"/>
        </w:rPr>
        <w:noBreakHyphen/>
      </w:r>
      <w:r w:rsidRPr="00C95C69">
        <w:rPr>
          <w:lang w:val="en-GB"/>
        </w:rPr>
        <w:t>R SA.1022 to determine the interference criteria for raw instrument data downlink transmissions to main reception earth stations belonging to satellite operator and data dissemination to user stations.</w:t>
      </w:r>
    </w:p>
    <w:p w:rsidR="00C95C69" w:rsidRPr="00C95C69" w:rsidRDefault="00C95C69" w:rsidP="00476D4D">
      <w:pPr>
        <w:pStyle w:val="Heading1"/>
        <w:rPr>
          <w:lang w:val="en-GB"/>
        </w:rPr>
      </w:pPr>
      <w:r w:rsidRPr="00C95C69">
        <w:rPr>
          <w:lang w:val="en-GB"/>
        </w:rPr>
        <w:t>1</w:t>
      </w:r>
      <w:r w:rsidRPr="00C95C69">
        <w:rPr>
          <w:lang w:val="en-GB"/>
        </w:rPr>
        <w:tab/>
        <w:t>Raw instrument data downlink transmissions to main reception earth stations</w:t>
      </w:r>
    </w:p>
    <w:p w:rsidR="00C95C69" w:rsidRPr="00C95C69" w:rsidRDefault="00C95C69" w:rsidP="00C95C69">
      <w:pPr>
        <w:rPr>
          <w:b/>
          <w:lang w:val="en-GB"/>
        </w:rPr>
      </w:pPr>
      <w:r w:rsidRPr="00C95C69">
        <w:rPr>
          <w:lang w:val="en-GB"/>
        </w:rPr>
        <w:t>Table 2 develops these criteria for raw instrument data downlink transmissions to main reception earth stations, in which all of the interference enters the receiving earth station directly, and none is received at these stations via the satellite that originates the data.</w:t>
      </w:r>
    </w:p>
    <w:p w:rsidR="00C95C69" w:rsidRPr="00C95C69" w:rsidRDefault="00C95C69" w:rsidP="00C95C69">
      <w:pPr>
        <w:rPr>
          <w:lang w:val="en-GB"/>
        </w:rPr>
      </w:pPr>
      <w:r w:rsidRPr="00C95C69">
        <w:rPr>
          <w:lang w:val="en-GB"/>
        </w:rPr>
        <w:t>The interference criteria can be expressed as permissible power flux-densities into the main beam of the receive antenna by subtracting 10 log(</w:t>
      </w:r>
      <w:r w:rsidRPr="00C95C69">
        <w:rPr>
          <w:i/>
          <w:iCs/>
          <w:lang w:val="en-GB"/>
        </w:rPr>
        <w:t>G </w:t>
      </w:r>
      <w:r>
        <w:sym w:font="Symbol" w:char="F06C"/>
      </w:r>
      <w:r w:rsidRPr="00C95C69">
        <w:rPr>
          <w:position w:val="6"/>
          <w:sz w:val="16"/>
          <w:lang w:val="en-GB"/>
        </w:rPr>
        <w:t>2</w:t>
      </w:r>
      <w:r w:rsidRPr="00C95C69">
        <w:rPr>
          <w:lang w:val="en-GB"/>
        </w:rPr>
        <w:t>/4</w:t>
      </w:r>
      <w:r>
        <w:sym w:font="Symbol" w:char="F070"/>
      </w:r>
      <w:r w:rsidRPr="00C95C69">
        <w:rPr>
          <w:lang w:val="en-GB"/>
        </w:rPr>
        <w:t xml:space="preserve">) from the values given in Table 2, where </w:t>
      </w:r>
      <w:r w:rsidRPr="00C95C69">
        <w:rPr>
          <w:i/>
          <w:iCs/>
          <w:lang w:val="en-GB"/>
        </w:rPr>
        <w:t>G</w:t>
      </w:r>
      <w:r w:rsidRPr="00C95C69">
        <w:rPr>
          <w:lang w:val="en-GB"/>
        </w:rPr>
        <w:t xml:space="preserve"> is the receive antenna gain and </w:t>
      </w:r>
      <w:r>
        <w:sym w:font="Symbol" w:char="F06C"/>
      </w:r>
      <w:r w:rsidRPr="00C95C69">
        <w:rPr>
          <w:lang w:val="en-GB"/>
        </w:rPr>
        <w:t xml:space="preserve"> is the wavelength.</w:t>
      </w:r>
    </w:p>
    <w:p w:rsidR="00C95C69" w:rsidRPr="00C95C69" w:rsidRDefault="00C95C69" w:rsidP="00C95C69">
      <w:pPr>
        <w:pStyle w:val="TableNo"/>
        <w:rPr>
          <w:lang w:val="en-GB"/>
        </w:rPr>
      </w:pPr>
      <w:r w:rsidRPr="00C95C69">
        <w:rPr>
          <w:lang w:val="en-GB"/>
        </w:rPr>
        <w:lastRenderedPageBreak/>
        <w:t>TABLE 2</w:t>
      </w:r>
    </w:p>
    <w:p w:rsidR="00C95C69" w:rsidRPr="00C95C69" w:rsidRDefault="00C95C69" w:rsidP="00C95C69">
      <w:pPr>
        <w:pStyle w:val="Tabletitle"/>
        <w:rPr>
          <w:lang w:val="en-GB"/>
        </w:rPr>
      </w:pPr>
      <w:r w:rsidRPr="00C95C69">
        <w:rPr>
          <w:lang w:val="en-GB"/>
        </w:rPr>
        <w:t xml:space="preserve">Performance of raw instrument data downlink transmissions to main reception </w:t>
      </w:r>
      <w:r w:rsidR="007F28DF">
        <w:rPr>
          <w:lang w:val="en-GB"/>
        </w:rPr>
        <w:br/>
      </w:r>
      <w:r w:rsidRPr="00C95C69">
        <w:rPr>
          <w:lang w:val="en-GB"/>
        </w:rPr>
        <w:t xml:space="preserve">earth stations used as a basis for interference criteria of stations operating with </w:t>
      </w:r>
      <w:r w:rsidR="007F28DF">
        <w:rPr>
          <w:lang w:val="en-GB"/>
        </w:rPr>
        <w:br/>
      </w:r>
      <w:r w:rsidRPr="00C95C69">
        <w:rPr>
          <w:lang w:val="en-GB"/>
        </w:rPr>
        <w:t>satellites in geostationary orbit</w:t>
      </w:r>
    </w:p>
    <w:p w:rsidR="00527D2B" w:rsidRPr="00AA0515" w:rsidRDefault="00527D2B" w:rsidP="00527D2B">
      <w:pPr>
        <w:pStyle w:val="Tabletitle"/>
        <w:rPr>
          <w:b w:val="0"/>
        </w:rPr>
      </w:pPr>
      <w:r w:rsidRPr="00AA0515">
        <w:rPr>
          <w:b w:val="0"/>
        </w:rPr>
        <w:t>a) Frequency band 1</w:t>
      </w:r>
      <w:r w:rsidRPr="00AA0515">
        <w:rPr>
          <w:rFonts w:hAnsi="Tms Rmn"/>
          <w:b w:val="0"/>
        </w:rPr>
        <w:t> </w:t>
      </w:r>
      <w:r w:rsidRPr="00AA0515">
        <w:rPr>
          <w:b w:val="0"/>
        </w:rPr>
        <w:t>670-1</w:t>
      </w:r>
      <w:r w:rsidRPr="00AA0515">
        <w:rPr>
          <w:rFonts w:hAnsi="Tms Rmn"/>
          <w:b w:val="0"/>
        </w:rPr>
        <w:t> </w:t>
      </w:r>
      <w:r w:rsidRPr="00AA0515">
        <w:rPr>
          <w:b w:val="0"/>
        </w:rPr>
        <w:t>710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1322"/>
        <w:gridCol w:w="2573"/>
        <w:gridCol w:w="4196"/>
      </w:tblGrid>
      <w:tr w:rsidR="00527D2B" w:rsidRPr="00AA0515" w:rsidTr="00081CD6">
        <w:trPr>
          <w:cantSplit/>
          <w:jc w:val="center"/>
        </w:trPr>
        <w:tc>
          <w:tcPr>
            <w:tcW w:w="2960" w:type="dxa"/>
            <w:gridSpan w:val="2"/>
          </w:tcPr>
          <w:p w:rsidR="00527D2B" w:rsidRPr="00AA0515" w:rsidRDefault="00527D2B" w:rsidP="00081CD6">
            <w:pPr>
              <w:pStyle w:val="Tablehead"/>
            </w:pPr>
            <w:r w:rsidRPr="00AA0515">
              <w:t>Link parameter</w:t>
            </w:r>
          </w:p>
        </w:tc>
        <w:tc>
          <w:tcPr>
            <w:tcW w:w="2573" w:type="dxa"/>
          </w:tcPr>
          <w:p w:rsidR="00527D2B" w:rsidRPr="00AA0515" w:rsidRDefault="00527D2B" w:rsidP="00081CD6">
            <w:pPr>
              <w:pStyle w:val="Tablehead"/>
            </w:pPr>
            <w:r w:rsidRPr="00AA0515">
              <w:t>Value</w:t>
            </w:r>
          </w:p>
        </w:tc>
        <w:tc>
          <w:tcPr>
            <w:tcW w:w="4196" w:type="dxa"/>
          </w:tcPr>
          <w:p w:rsidR="00527D2B" w:rsidRPr="00AA0515" w:rsidRDefault="00527D2B" w:rsidP="00081CD6">
            <w:pPr>
              <w:pStyle w:val="Tablehead"/>
            </w:pPr>
            <w:r w:rsidRPr="00AA0515">
              <w:t>Notes</w:t>
            </w:r>
          </w:p>
        </w:tc>
      </w:tr>
      <w:tr w:rsidR="00527D2B" w:rsidRPr="00AA0515" w:rsidTr="00081CD6">
        <w:trPr>
          <w:cantSplit/>
          <w:jc w:val="center"/>
        </w:trPr>
        <w:tc>
          <w:tcPr>
            <w:tcW w:w="2960" w:type="dxa"/>
            <w:gridSpan w:val="2"/>
          </w:tcPr>
          <w:p w:rsidR="00527D2B" w:rsidRPr="00527D2B" w:rsidRDefault="00527D2B" w:rsidP="00081CD6">
            <w:pPr>
              <w:pStyle w:val="Tabletext"/>
              <w:rPr>
                <w:lang w:val="en-GB"/>
              </w:rPr>
            </w:pPr>
            <w:r w:rsidRPr="00527D2B">
              <w:rPr>
                <w:lang w:val="en-GB"/>
              </w:rPr>
              <w:t>Down-link e.i.r.p.</w:t>
            </w:r>
          </w:p>
        </w:tc>
        <w:tc>
          <w:tcPr>
            <w:tcW w:w="2573" w:type="dxa"/>
          </w:tcPr>
          <w:p w:rsidR="00527D2B" w:rsidRPr="00AA0515" w:rsidRDefault="00527D2B" w:rsidP="00081CD6">
            <w:pPr>
              <w:pStyle w:val="Tabletext"/>
              <w:jc w:val="center"/>
            </w:pPr>
            <w:r w:rsidRPr="00AA0515">
              <w:t>16.1 dBW</w:t>
            </w:r>
          </w:p>
        </w:tc>
        <w:tc>
          <w:tcPr>
            <w:tcW w:w="4196" w:type="dxa"/>
          </w:tcPr>
          <w:p w:rsidR="00527D2B" w:rsidRPr="00AA0515" w:rsidRDefault="00527D2B" w:rsidP="00081CD6">
            <w:pPr>
              <w:pStyle w:val="Tabletext"/>
              <w:jc w:val="center"/>
            </w:pPr>
          </w:p>
        </w:tc>
      </w:tr>
      <w:tr w:rsidR="00527D2B" w:rsidRPr="0021422E" w:rsidTr="00081CD6">
        <w:trPr>
          <w:cantSplit/>
          <w:jc w:val="center"/>
        </w:trPr>
        <w:tc>
          <w:tcPr>
            <w:tcW w:w="2960" w:type="dxa"/>
            <w:gridSpan w:val="2"/>
          </w:tcPr>
          <w:p w:rsidR="00527D2B" w:rsidRPr="00AA0515" w:rsidRDefault="00527D2B" w:rsidP="00081CD6">
            <w:pPr>
              <w:pStyle w:val="Tabletext"/>
            </w:pPr>
            <w:r w:rsidRPr="00AA0515">
              <w:t>Down-link loss</w:t>
            </w:r>
          </w:p>
        </w:tc>
        <w:tc>
          <w:tcPr>
            <w:tcW w:w="2573" w:type="dxa"/>
          </w:tcPr>
          <w:p w:rsidR="00527D2B" w:rsidRPr="00AA0515" w:rsidRDefault="00527D2B" w:rsidP="00081CD6">
            <w:pPr>
              <w:pStyle w:val="Tabletext"/>
              <w:jc w:val="center"/>
            </w:pPr>
            <w:r w:rsidRPr="00AA0515">
              <w:t>190.1 dB</w:t>
            </w:r>
          </w:p>
        </w:tc>
        <w:tc>
          <w:tcPr>
            <w:tcW w:w="4196" w:type="dxa"/>
          </w:tcPr>
          <w:p w:rsidR="00527D2B" w:rsidRPr="00527D2B" w:rsidRDefault="00527D2B" w:rsidP="00081CD6">
            <w:pPr>
              <w:pStyle w:val="Tabletext"/>
              <w:jc w:val="center"/>
              <w:rPr>
                <w:lang w:val="en-GB"/>
              </w:rPr>
            </w:pPr>
            <w:r w:rsidRPr="00527D2B">
              <w:rPr>
                <w:lang w:val="en-GB"/>
              </w:rPr>
              <w:t>Free-space, polarization, and antenna pointing</w:t>
            </w:r>
          </w:p>
        </w:tc>
      </w:tr>
      <w:tr w:rsidR="00527D2B" w:rsidRPr="00AA0515" w:rsidTr="00081CD6">
        <w:trPr>
          <w:cantSplit/>
          <w:jc w:val="center"/>
        </w:trPr>
        <w:tc>
          <w:tcPr>
            <w:tcW w:w="2960" w:type="dxa"/>
            <w:gridSpan w:val="2"/>
          </w:tcPr>
          <w:p w:rsidR="00527D2B" w:rsidRPr="00AA0515" w:rsidRDefault="00527D2B" w:rsidP="00081CD6">
            <w:pPr>
              <w:pStyle w:val="Tabletext"/>
            </w:pPr>
            <w:r w:rsidRPr="00AA0515">
              <w:t xml:space="preserve">Down-lnk </w:t>
            </w:r>
            <w:r w:rsidRPr="00AA0515">
              <w:rPr>
                <w:i/>
                <w:iCs/>
              </w:rPr>
              <w:t>G</w:t>
            </w:r>
            <w:r w:rsidRPr="00AA0515">
              <w:t>/</w:t>
            </w:r>
            <w:r w:rsidRPr="00AA0515">
              <w:rPr>
                <w:i/>
                <w:iCs/>
              </w:rPr>
              <w:t>T</w:t>
            </w:r>
          </w:p>
        </w:tc>
        <w:tc>
          <w:tcPr>
            <w:tcW w:w="2573" w:type="dxa"/>
          </w:tcPr>
          <w:p w:rsidR="00527D2B" w:rsidRPr="00AA0515" w:rsidRDefault="00527D2B" w:rsidP="00081CD6">
            <w:pPr>
              <w:pStyle w:val="Tabletext"/>
              <w:jc w:val="center"/>
            </w:pPr>
            <w:r w:rsidRPr="00AA0515">
              <w:t>24.4 dB(K</w:t>
            </w:r>
            <w:r w:rsidRPr="00AA0515">
              <w:rPr>
                <w:vertAlign w:val="superscript"/>
              </w:rPr>
              <w:t>–1</w:t>
            </w:r>
            <w:r w:rsidRPr="00AA0515">
              <w:t>)</w:t>
            </w:r>
          </w:p>
        </w:tc>
        <w:tc>
          <w:tcPr>
            <w:tcW w:w="4196" w:type="dxa"/>
          </w:tcPr>
          <w:p w:rsidR="00527D2B" w:rsidRPr="00AA0515" w:rsidRDefault="00527D2B" w:rsidP="00081CD6">
            <w:pPr>
              <w:pStyle w:val="Tabletext"/>
              <w:jc w:val="center"/>
            </w:pPr>
          </w:p>
        </w:tc>
      </w:tr>
      <w:tr w:rsidR="00527D2B" w:rsidRPr="00AA0515" w:rsidTr="00081CD6">
        <w:trPr>
          <w:cantSplit/>
          <w:jc w:val="center"/>
        </w:trPr>
        <w:tc>
          <w:tcPr>
            <w:tcW w:w="2960" w:type="dxa"/>
            <w:gridSpan w:val="2"/>
          </w:tcPr>
          <w:p w:rsidR="00527D2B" w:rsidRPr="00AA0515" w:rsidRDefault="00527D2B" w:rsidP="006754BC">
            <w:pPr>
              <w:pStyle w:val="Tabletext"/>
            </w:pPr>
            <w:r w:rsidRPr="00AA0515">
              <w:t xml:space="preserve">Down-link </w:t>
            </w:r>
            <w:r w:rsidRPr="00AA0515">
              <w:rPr>
                <w:i/>
                <w:iCs/>
              </w:rPr>
              <w:t>C</w:t>
            </w:r>
            <w:r w:rsidRPr="00AA0515">
              <w:t>/</w:t>
            </w:r>
            <w:r w:rsidRPr="006754BC">
              <w:t>N</w:t>
            </w:r>
            <w:r w:rsidR="006754BC" w:rsidRPr="006754BC">
              <w:rPr>
                <w:vertAlign w:val="subscript"/>
              </w:rPr>
              <w:t>0</w:t>
            </w:r>
          </w:p>
        </w:tc>
        <w:tc>
          <w:tcPr>
            <w:tcW w:w="2573" w:type="dxa"/>
          </w:tcPr>
          <w:p w:rsidR="00527D2B" w:rsidRPr="00AA0515" w:rsidRDefault="00527D2B" w:rsidP="00081CD6">
            <w:pPr>
              <w:pStyle w:val="Tabletext"/>
              <w:jc w:val="center"/>
            </w:pPr>
            <w:r w:rsidRPr="00AA0515">
              <w:t>79.0 dB.Hz</w:t>
            </w:r>
          </w:p>
        </w:tc>
        <w:tc>
          <w:tcPr>
            <w:tcW w:w="4196" w:type="dxa"/>
          </w:tcPr>
          <w:p w:rsidR="00527D2B" w:rsidRPr="00AA0515" w:rsidRDefault="00527D2B" w:rsidP="00081CD6">
            <w:pPr>
              <w:pStyle w:val="Tabletext"/>
              <w:jc w:val="center"/>
            </w:pPr>
          </w:p>
        </w:tc>
      </w:tr>
      <w:tr w:rsidR="00527D2B" w:rsidRPr="00AA0515" w:rsidTr="00081CD6">
        <w:trPr>
          <w:cantSplit/>
          <w:jc w:val="center"/>
        </w:trPr>
        <w:tc>
          <w:tcPr>
            <w:tcW w:w="2960" w:type="dxa"/>
            <w:gridSpan w:val="2"/>
          </w:tcPr>
          <w:p w:rsidR="00527D2B" w:rsidRPr="00AA0515" w:rsidRDefault="00527D2B" w:rsidP="00081CD6">
            <w:pPr>
              <w:pStyle w:val="Tabletext"/>
            </w:pPr>
            <w:r w:rsidRPr="00AA0515">
              <w:t>Data rate</w:t>
            </w:r>
          </w:p>
        </w:tc>
        <w:tc>
          <w:tcPr>
            <w:tcW w:w="2573" w:type="dxa"/>
          </w:tcPr>
          <w:p w:rsidR="00527D2B" w:rsidRPr="00AA0515" w:rsidRDefault="00527D2B" w:rsidP="00081CD6">
            <w:pPr>
              <w:pStyle w:val="Tabletext"/>
              <w:jc w:val="center"/>
            </w:pPr>
            <w:r w:rsidRPr="00AA0515">
              <w:t>2.6 Mbit/s</w:t>
            </w:r>
          </w:p>
        </w:tc>
        <w:tc>
          <w:tcPr>
            <w:tcW w:w="4196" w:type="dxa"/>
          </w:tcPr>
          <w:p w:rsidR="00527D2B" w:rsidRPr="00AA0515" w:rsidRDefault="00527D2B" w:rsidP="00081CD6">
            <w:pPr>
              <w:pStyle w:val="Tabletext"/>
              <w:jc w:val="center"/>
            </w:pPr>
          </w:p>
        </w:tc>
      </w:tr>
      <w:tr w:rsidR="00527D2B" w:rsidRPr="00C57D7D" w:rsidTr="006754BC">
        <w:trPr>
          <w:cantSplit/>
          <w:jc w:val="center"/>
        </w:trPr>
        <w:tc>
          <w:tcPr>
            <w:tcW w:w="2960" w:type="dxa"/>
            <w:gridSpan w:val="2"/>
            <w:tcBorders>
              <w:bottom w:val="single" w:sz="4" w:space="0" w:color="auto"/>
            </w:tcBorders>
          </w:tcPr>
          <w:p w:rsidR="00527D2B" w:rsidRPr="00AA0515" w:rsidRDefault="00527D2B" w:rsidP="006754BC">
            <w:pPr>
              <w:pStyle w:val="Tabletext"/>
            </w:pPr>
            <w:r w:rsidRPr="00AA0515">
              <w:t xml:space="preserve">Required </w:t>
            </w:r>
            <w:r w:rsidRPr="00AA0515">
              <w:rPr>
                <w:i/>
                <w:iCs/>
              </w:rPr>
              <w:t>C</w:t>
            </w:r>
            <w:r w:rsidRPr="00AA0515">
              <w:t>/</w:t>
            </w:r>
            <w:r w:rsidRPr="00AA0515">
              <w:rPr>
                <w:i/>
                <w:iCs/>
              </w:rPr>
              <w:t>N</w:t>
            </w:r>
            <w:r w:rsidR="006754BC" w:rsidRPr="006754BC">
              <w:rPr>
                <w:vertAlign w:val="subscript"/>
              </w:rPr>
              <w:t>0</w:t>
            </w:r>
          </w:p>
        </w:tc>
        <w:tc>
          <w:tcPr>
            <w:tcW w:w="2573" w:type="dxa"/>
            <w:tcBorders>
              <w:bottom w:val="single" w:sz="4" w:space="0" w:color="auto"/>
            </w:tcBorders>
          </w:tcPr>
          <w:p w:rsidR="00527D2B" w:rsidRPr="00AA0515" w:rsidRDefault="00527D2B" w:rsidP="00081CD6">
            <w:pPr>
              <w:pStyle w:val="Tabletext"/>
              <w:jc w:val="center"/>
            </w:pPr>
            <w:r w:rsidRPr="00AA0515">
              <w:t>78.1 dB.Hz</w:t>
            </w:r>
          </w:p>
        </w:tc>
        <w:tc>
          <w:tcPr>
            <w:tcW w:w="4196" w:type="dxa"/>
            <w:tcBorders>
              <w:bottom w:val="single" w:sz="4" w:space="0" w:color="auto"/>
            </w:tcBorders>
          </w:tcPr>
          <w:p w:rsidR="00527D2B" w:rsidRPr="00C57D7D" w:rsidRDefault="00527D2B" w:rsidP="00527D2B">
            <w:pPr>
              <w:pStyle w:val="Tabletext"/>
              <w:jc w:val="center"/>
              <w:rPr>
                <w:lang w:val="en-GB"/>
              </w:rPr>
            </w:pPr>
            <w:r w:rsidRPr="00C57D7D">
              <w:rPr>
                <w:lang w:val="en-GB"/>
              </w:rPr>
              <w:t xml:space="preserve">BER </w:t>
            </w:r>
            <w:r w:rsidRPr="00AA0515">
              <w:rPr>
                <w:rFonts w:ascii="Symbol" w:hAnsi="Symbol"/>
              </w:rPr>
              <w:t></w:t>
            </w:r>
            <w:r w:rsidRPr="00C57D7D">
              <w:rPr>
                <w:lang w:val="en-GB"/>
              </w:rPr>
              <w:t xml:space="preserve"> 1 </w:t>
            </w:r>
            <w:r w:rsidRPr="00AA0515">
              <w:rPr>
                <w:rFonts w:ascii="Symbol" w:hAnsi="Symbol"/>
              </w:rPr>
              <w:t></w:t>
            </w:r>
            <w:r w:rsidRPr="00C57D7D">
              <w:rPr>
                <w:lang w:val="en-GB"/>
              </w:rPr>
              <w:t xml:space="preserve"> 10</w:t>
            </w:r>
            <w:r w:rsidRPr="00C57D7D">
              <w:rPr>
                <w:vertAlign w:val="superscript"/>
                <w:lang w:val="en-GB"/>
              </w:rPr>
              <w:t>−6</w:t>
            </w:r>
            <w:r w:rsidRPr="00C57D7D">
              <w:rPr>
                <w:position w:val="6"/>
                <w:lang w:val="en-GB"/>
              </w:rPr>
              <w:br/>
            </w:r>
            <w:r w:rsidRPr="00C57D7D">
              <w:rPr>
                <w:lang w:val="en-GB"/>
              </w:rPr>
              <w:t>2.2 dB implementation loss</w:t>
            </w:r>
            <w:r w:rsidRPr="00C57D7D">
              <w:rPr>
                <w:lang w:val="en-GB"/>
              </w:rPr>
              <w:br/>
              <w:t>1 dB modulation loss</w:t>
            </w:r>
          </w:p>
        </w:tc>
      </w:tr>
      <w:tr w:rsidR="00527D2B" w:rsidRPr="0021422E" w:rsidTr="006754BC">
        <w:trPr>
          <w:cantSplit/>
          <w:jc w:val="center"/>
        </w:trPr>
        <w:tc>
          <w:tcPr>
            <w:tcW w:w="2960" w:type="dxa"/>
            <w:gridSpan w:val="2"/>
            <w:tcBorders>
              <w:bottom w:val="single" w:sz="4" w:space="0" w:color="auto"/>
            </w:tcBorders>
          </w:tcPr>
          <w:p w:rsidR="00527D2B" w:rsidRPr="00AA0515" w:rsidRDefault="00527D2B" w:rsidP="00081CD6">
            <w:pPr>
              <w:pStyle w:val="Tabletext"/>
            </w:pPr>
            <w:r w:rsidRPr="00AA0515">
              <w:t>Margin</w:t>
            </w:r>
          </w:p>
        </w:tc>
        <w:tc>
          <w:tcPr>
            <w:tcW w:w="2573" w:type="dxa"/>
            <w:tcBorders>
              <w:bottom w:val="single" w:sz="4" w:space="0" w:color="auto"/>
            </w:tcBorders>
          </w:tcPr>
          <w:p w:rsidR="00527D2B" w:rsidRPr="00AA0515" w:rsidRDefault="00527D2B" w:rsidP="00081CD6">
            <w:pPr>
              <w:pStyle w:val="Tabletext"/>
              <w:jc w:val="center"/>
            </w:pPr>
            <w:r w:rsidRPr="00AA0515">
              <w:t>0.9 dB</w:t>
            </w:r>
          </w:p>
        </w:tc>
        <w:tc>
          <w:tcPr>
            <w:tcW w:w="4196" w:type="dxa"/>
            <w:tcBorders>
              <w:bottom w:val="single" w:sz="4" w:space="0" w:color="auto"/>
            </w:tcBorders>
          </w:tcPr>
          <w:p w:rsidR="00527D2B" w:rsidRPr="00527D2B" w:rsidRDefault="00527D2B" w:rsidP="00081CD6">
            <w:pPr>
              <w:pStyle w:val="Tabletext"/>
              <w:jc w:val="center"/>
              <w:rPr>
                <w:lang w:val="en-GB"/>
              </w:rPr>
            </w:pPr>
            <w:r w:rsidRPr="00527D2B">
              <w:rPr>
                <w:lang w:val="en-GB"/>
              </w:rPr>
              <w:t>Long-term and short-term</w:t>
            </w:r>
          </w:p>
        </w:tc>
      </w:tr>
      <w:tr w:rsidR="00527D2B" w:rsidRPr="00AA0515" w:rsidTr="006754BC">
        <w:trPr>
          <w:cantSplit/>
          <w:jc w:val="center"/>
        </w:trPr>
        <w:tc>
          <w:tcPr>
            <w:tcW w:w="2960" w:type="dxa"/>
            <w:gridSpan w:val="2"/>
            <w:tcBorders>
              <w:top w:val="single" w:sz="4" w:space="0" w:color="auto"/>
            </w:tcBorders>
          </w:tcPr>
          <w:p w:rsidR="00527D2B" w:rsidRPr="00AA0515" w:rsidRDefault="00527D2B" w:rsidP="00081CD6">
            <w:pPr>
              <w:pStyle w:val="Tabletext"/>
            </w:pPr>
            <w:r w:rsidRPr="00AA0515">
              <w:t>Receive antenna gain</w:t>
            </w:r>
          </w:p>
        </w:tc>
        <w:tc>
          <w:tcPr>
            <w:tcW w:w="2573" w:type="dxa"/>
            <w:tcBorders>
              <w:top w:val="single" w:sz="4" w:space="0" w:color="auto"/>
            </w:tcBorders>
          </w:tcPr>
          <w:p w:rsidR="00527D2B" w:rsidRPr="00AA0515" w:rsidRDefault="00527D2B" w:rsidP="00081CD6">
            <w:pPr>
              <w:pStyle w:val="Tabletext"/>
              <w:jc w:val="center"/>
            </w:pPr>
            <w:r w:rsidRPr="00AA0515">
              <w:t>45.1 dBi</w:t>
            </w:r>
          </w:p>
        </w:tc>
        <w:tc>
          <w:tcPr>
            <w:tcW w:w="4196" w:type="dxa"/>
            <w:tcBorders>
              <w:top w:val="single" w:sz="4" w:space="0" w:color="auto"/>
            </w:tcBorders>
          </w:tcPr>
          <w:p w:rsidR="00527D2B" w:rsidRPr="00AA0515" w:rsidRDefault="00527D2B" w:rsidP="00081CD6">
            <w:pPr>
              <w:pStyle w:val="Tabletext"/>
              <w:jc w:val="center"/>
            </w:pPr>
          </w:p>
        </w:tc>
      </w:tr>
      <w:tr w:rsidR="00527D2B" w:rsidRPr="00AA0515" w:rsidTr="00081CD6">
        <w:trPr>
          <w:cantSplit/>
          <w:jc w:val="center"/>
        </w:trPr>
        <w:tc>
          <w:tcPr>
            <w:tcW w:w="2960" w:type="dxa"/>
            <w:gridSpan w:val="2"/>
          </w:tcPr>
          <w:p w:rsidR="00527D2B" w:rsidRPr="00AA0515" w:rsidRDefault="00527D2B" w:rsidP="00081CD6">
            <w:pPr>
              <w:pStyle w:val="Tabletext"/>
            </w:pPr>
            <w:r w:rsidRPr="00AA0515">
              <w:t>Receiver noise density</w:t>
            </w:r>
          </w:p>
        </w:tc>
        <w:tc>
          <w:tcPr>
            <w:tcW w:w="2573" w:type="dxa"/>
          </w:tcPr>
          <w:p w:rsidR="00527D2B" w:rsidRPr="00AA0515" w:rsidRDefault="00527D2B" w:rsidP="00081CD6">
            <w:pPr>
              <w:pStyle w:val="Tabletext"/>
              <w:jc w:val="center"/>
            </w:pPr>
            <w:r w:rsidRPr="00AA0515">
              <w:t>–207.9 dB(W/Hz)</w:t>
            </w:r>
          </w:p>
        </w:tc>
        <w:tc>
          <w:tcPr>
            <w:tcW w:w="4196" w:type="dxa"/>
          </w:tcPr>
          <w:p w:rsidR="00527D2B" w:rsidRPr="00AA0515" w:rsidRDefault="00527D2B" w:rsidP="00081CD6">
            <w:pPr>
              <w:pStyle w:val="Tabletext"/>
              <w:jc w:val="center"/>
            </w:pPr>
          </w:p>
        </w:tc>
      </w:tr>
      <w:tr w:rsidR="00527D2B" w:rsidRPr="00AA0515" w:rsidTr="00081CD6">
        <w:trPr>
          <w:cantSplit/>
          <w:jc w:val="center"/>
        </w:trPr>
        <w:tc>
          <w:tcPr>
            <w:tcW w:w="1638" w:type="dxa"/>
            <w:vMerge w:val="restart"/>
            <w:vAlign w:val="center"/>
          </w:tcPr>
          <w:p w:rsidR="00527D2B" w:rsidRPr="00AA0515" w:rsidRDefault="00527D2B" w:rsidP="00081CD6">
            <w:pPr>
              <w:pStyle w:val="Tabletext"/>
            </w:pPr>
            <w:r w:rsidRPr="00AA0515">
              <w:t>Interference criteria</w:t>
            </w:r>
          </w:p>
        </w:tc>
        <w:tc>
          <w:tcPr>
            <w:tcW w:w="1322" w:type="dxa"/>
          </w:tcPr>
          <w:p w:rsidR="00527D2B" w:rsidRPr="00AA0515" w:rsidRDefault="00527D2B" w:rsidP="00081CD6">
            <w:pPr>
              <w:pStyle w:val="Tabletext"/>
            </w:pPr>
            <w:r w:rsidRPr="00AA0515">
              <w:t>Long-term</w:t>
            </w:r>
          </w:p>
        </w:tc>
        <w:tc>
          <w:tcPr>
            <w:tcW w:w="2573" w:type="dxa"/>
          </w:tcPr>
          <w:p w:rsidR="00527D2B" w:rsidRPr="00AA0515" w:rsidRDefault="00527D2B" w:rsidP="00081CD6">
            <w:pPr>
              <w:pStyle w:val="Tabletext"/>
              <w:jc w:val="center"/>
            </w:pPr>
            <w:r w:rsidRPr="00AA0515">
              <w:t>–153.9 dB(W/2.6 MHz)</w:t>
            </w:r>
          </w:p>
        </w:tc>
        <w:tc>
          <w:tcPr>
            <w:tcW w:w="4196" w:type="dxa"/>
          </w:tcPr>
          <w:p w:rsidR="00527D2B" w:rsidRPr="00AA0515" w:rsidRDefault="00527D2B" w:rsidP="00527D2B">
            <w:pPr>
              <w:pStyle w:val="Tabletext"/>
              <w:jc w:val="center"/>
            </w:pPr>
            <w:r w:rsidRPr="00AA0515">
              <w:rPr>
                <w:i/>
                <w:iCs/>
              </w:rPr>
              <w:t>q</w:t>
            </w:r>
            <w:r w:rsidRPr="00AA0515">
              <w:t xml:space="preserve"> </w:t>
            </w:r>
            <w:r w:rsidRPr="00AA0515">
              <w:rPr>
                <w:rFonts w:ascii="Symbol" w:hAnsi="Symbol"/>
              </w:rPr>
              <w:t></w:t>
            </w:r>
            <w:r w:rsidRPr="00AA0515">
              <w:t xml:space="preserve"> 1/3 and </w:t>
            </w:r>
            <w:r w:rsidRPr="00AA0515">
              <w:rPr>
                <w:i/>
                <w:iCs/>
              </w:rPr>
              <w:t>M</w:t>
            </w:r>
            <w:r w:rsidRPr="00527D2B">
              <w:rPr>
                <w:i/>
                <w:iCs/>
                <w:vertAlign w:val="subscript"/>
              </w:rPr>
              <w:t>min</w:t>
            </w:r>
            <w:r w:rsidRPr="00AA0515">
              <w:t xml:space="preserve"> </w:t>
            </w:r>
            <w:r w:rsidRPr="00AA0515">
              <w:rPr>
                <w:rFonts w:ascii="Symbol" w:hAnsi="Symbol"/>
              </w:rPr>
              <w:t></w:t>
            </w:r>
            <w:r w:rsidRPr="00AA0515">
              <w:t xml:space="preserve"> 1.2 dB</w:t>
            </w:r>
          </w:p>
        </w:tc>
      </w:tr>
      <w:tr w:rsidR="00527D2B" w:rsidRPr="00AA0515" w:rsidTr="00081CD6">
        <w:trPr>
          <w:cantSplit/>
          <w:jc w:val="center"/>
        </w:trPr>
        <w:tc>
          <w:tcPr>
            <w:tcW w:w="1638" w:type="dxa"/>
            <w:vMerge/>
          </w:tcPr>
          <w:p w:rsidR="00527D2B" w:rsidRPr="00AA0515" w:rsidRDefault="00527D2B" w:rsidP="00081CD6">
            <w:pPr>
              <w:pStyle w:val="Tabletext"/>
            </w:pPr>
          </w:p>
        </w:tc>
        <w:tc>
          <w:tcPr>
            <w:tcW w:w="1322" w:type="dxa"/>
          </w:tcPr>
          <w:p w:rsidR="00527D2B" w:rsidRPr="00AA0515" w:rsidRDefault="00527D2B" w:rsidP="00081CD6">
            <w:pPr>
              <w:pStyle w:val="Tabletext"/>
            </w:pPr>
            <w:r w:rsidRPr="00AA0515">
              <w:t>Short-term</w:t>
            </w:r>
          </w:p>
        </w:tc>
        <w:tc>
          <w:tcPr>
            <w:tcW w:w="2573" w:type="dxa"/>
          </w:tcPr>
          <w:p w:rsidR="00527D2B" w:rsidRPr="00AA0515" w:rsidRDefault="00527D2B" w:rsidP="00081CD6">
            <w:pPr>
              <w:pStyle w:val="Tabletext"/>
              <w:jc w:val="center"/>
            </w:pPr>
            <w:r w:rsidRPr="00AA0515">
              <w:t>–148.7 dB(W/2.6 MHz)</w:t>
            </w:r>
          </w:p>
        </w:tc>
        <w:tc>
          <w:tcPr>
            <w:tcW w:w="4196" w:type="dxa"/>
          </w:tcPr>
          <w:p w:rsidR="00527D2B" w:rsidRPr="00AA0515" w:rsidRDefault="00527D2B" w:rsidP="00081CD6">
            <w:pPr>
              <w:pStyle w:val="Tabletext"/>
              <w:jc w:val="center"/>
            </w:pPr>
            <w:r w:rsidRPr="00AA0515">
              <w:rPr>
                <w:i/>
                <w:iCs/>
              </w:rPr>
              <w:t>q</w:t>
            </w:r>
            <w:r w:rsidRPr="00AA0515">
              <w:t xml:space="preserve"> </w:t>
            </w:r>
            <w:r w:rsidRPr="00AA0515">
              <w:rPr>
                <w:rFonts w:ascii="Symbol" w:hAnsi="Symbol"/>
              </w:rPr>
              <w:t></w:t>
            </w:r>
            <w:r w:rsidRPr="00AA0515">
              <w:t xml:space="preserve"> 1 and </w:t>
            </w:r>
            <w:r w:rsidRPr="00AA0515">
              <w:rPr>
                <w:i/>
                <w:iCs/>
              </w:rPr>
              <w:t>M</w:t>
            </w:r>
            <w:r w:rsidRPr="00527D2B">
              <w:rPr>
                <w:i/>
                <w:iCs/>
                <w:vertAlign w:val="subscript"/>
              </w:rPr>
              <w:t>min</w:t>
            </w:r>
            <w:r w:rsidRPr="00AA0515">
              <w:t xml:space="preserve"> </w:t>
            </w:r>
            <w:r w:rsidRPr="00AA0515">
              <w:rPr>
                <w:rFonts w:ascii="Symbol" w:hAnsi="Symbol"/>
              </w:rPr>
              <w:t></w:t>
            </w:r>
            <w:r w:rsidRPr="00AA0515">
              <w:t xml:space="preserve"> 1.2 dB</w:t>
            </w:r>
          </w:p>
        </w:tc>
      </w:tr>
    </w:tbl>
    <w:p w:rsidR="00D15648" w:rsidRDefault="00D15648" w:rsidP="00527D2B">
      <w:pPr>
        <w:pStyle w:val="Tabletitle"/>
        <w:rPr>
          <w:b w:val="0"/>
        </w:rPr>
      </w:pPr>
    </w:p>
    <w:p w:rsidR="00527D2B" w:rsidRPr="00AA0515" w:rsidRDefault="00527D2B" w:rsidP="00527D2B">
      <w:pPr>
        <w:pStyle w:val="Tabletitle"/>
        <w:rPr>
          <w:b w:val="0"/>
        </w:rPr>
      </w:pPr>
      <w:r w:rsidRPr="00AA0515">
        <w:rPr>
          <w:b w:val="0"/>
        </w:rPr>
        <w:t>b) Frequency band 25.5-27.0 GHz</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39"/>
        <w:gridCol w:w="1321"/>
        <w:gridCol w:w="2574"/>
        <w:gridCol w:w="4196"/>
      </w:tblGrid>
      <w:tr w:rsidR="00527D2B" w:rsidRPr="00AA0515" w:rsidTr="00E34017">
        <w:tc>
          <w:tcPr>
            <w:tcW w:w="2960" w:type="dxa"/>
            <w:gridSpan w:val="2"/>
          </w:tcPr>
          <w:p w:rsidR="00527D2B" w:rsidRPr="00AA0515" w:rsidRDefault="00527D2B" w:rsidP="00081CD6">
            <w:pPr>
              <w:pStyle w:val="Tablehead"/>
            </w:pPr>
            <w:r w:rsidRPr="00AA0515">
              <w:t>Link parameter</w:t>
            </w:r>
          </w:p>
        </w:tc>
        <w:tc>
          <w:tcPr>
            <w:tcW w:w="2574" w:type="dxa"/>
          </w:tcPr>
          <w:p w:rsidR="00527D2B" w:rsidRPr="00AA0515" w:rsidRDefault="00527D2B" w:rsidP="00081CD6">
            <w:pPr>
              <w:pStyle w:val="Tablehead"/>
            </w:pPr>
            <w:r w:rsidRPr="00AA0515">
              <w:t>Value</w:t>
            </w:r>
          </w:p>
        </w:tc>
        <w:tc>
          <w:tcPr>
            <w:tcW w:w="4196" w:type="dxa"/>
          </w:tcPr>
          <w:p w:rsidR="00527D2B" w:rsidRPr="00AA0515" w:rsidRDefault="00527D2B" w:rsidP="00081CD6">
            <w:pPr>
              <w:pStyle w:val="Tablehead"/>
            </w:pPr>
            <w:r w:rsidRPr="00AA0515">
              <w:t>Notes</w:t>
            </w:r>
          </w:p>
        </w:tc>
      </w:tr>
      <w:tr w:rsidR="00527D2B" w:rsidRPr="00AA0515" w:rsidTr="00E34017">
        <w:tc>
          <w:tcPr>
            <w:tcW w:w="2960" w:type="dxa"/>
            <w:gridSpan w:val="2"/>
          </w:tcPr>
          <w:p w:rsidR="00527D2B" w:rsidRPr="00527D2B" w:rsidRDefault="00527D2B" w:rsidP="00081CD6">
            <w:pPr>
              <w:pStyle w:val="Tabletext"/>
              <w:rPr>
                <w:lang w:val="en-GB"/>
              </w:rPr>
            </w:pPr>
            <w:r w:rsidRPr="00527D2B">
              <w:rPr>
                <w:lang w:val="en-GB"/>
              </w:rPr>
              <w:t>Down-link e.i.r.p.</w:t>
            </w:r>
          </w:p>
        </w:tc>
        <w:tc>
          <w:tcPr>
            <w:tcW w:w="2574" w:type="dxa"/>
          </w:tcPr>
          <w:p w:rsidR="00527D2B" w:rsidRPr="00AA0515" w:rsidRDefault="00527D2B" w:rsidP="00081CD6">
            <w:pPr>
              <w:pStyle w:val="Tabletext"/>
              <w:jc w:val="center"/>
            </w:pPr>
            <w:r w:rsidRPr="00AA0515">
              <w:t>55.5 dBW</w:t>
            </w:r>
          </w:p>
        </w:tc>
        <w:tc>
          <w:tcPr>
            <w:tcW w:w="4196" w:type="dxa"/>
          </w:tcPr>
          <w:p w:rsidR="00527D2B" w:rsidRPr="00AA0515" w:rsidRDefault="00527D2B" w:rsidP="00081CD6">
            <w:pPr>
              <w:pStyle w:val="Tabletext"/>
            </w:pPr>
          </w:p>
        </w:tc>
      </w:tr>
      <w:tr w:rsidR="00527D2B" w:rsidRPr="0021422E" w:rsidTr="00E34017">
        <w:trPr>
          <w:cantSplit/>
        </w:trPr>
        <w:tc>
          <w:tcPr>
            <w:tcW w:w="1639" w:type="dxa"/>
            <w:vMerge w:val="restart"/>
            <w:vAlign w:val="center"/>
          </w:tcPr>
          <w:p w:rsidR="00527D2B" w:rsidRPr="00AA0515" w:rsidRDefault="00527D2B" w:rsidP="00081CD6">
            <w:pPr>
              <w:pStyle w:val="Tabletext"/>
            </w:pPr>
            <w:r w:rsidRPr="00AA0515">
              <w:t>Down-link loss</w:t>
            </w:r>
          </w:p>
        </w:tc>
        <w:tc>
          <w:tcPr>
            <w:tcW w:w="1321" w:type="dxa"/>
          </w:tcPr>
          <w:p w:rsidR="00527D2B" w:rsidRPr="00AA0515" w:rsidRDefault="00527D2B" w:rsidP="00081CD6">
            <w:pPr>
              <w:pStyle w:val="Tabletext"/>
            </w:pPr>
            <w:r w:rsidRPr="00AA0515">
              <w:t>Long-term</w:t>
            </w:r>
          </w:p>
        </w:tc>
        <w:tc>
          <w:tcPr>
            <w:tcW w:w="2574" w:type="dxa"/>
          </w:tcPr>
          <w:p w:rsidR="00527D2B" w:rsidRPr="00AA0515" w:rsidRDefault="00527D2B" w:rsidP="00081CD6">
            <w:pPr>
              <w:pStyle w:val="Tabletext"/>
              <w:jc w:val="center"/>
            </w:pPr>
            <w:r w:rsidRPr="00AA0515">
              <w:t>227.9 dB</w:t>
            </w:r>
          </w:p>
        </w:tc>
        <w:tc>
          <w:tcPr>
            <w:tcW w:w="4196" w:type="dxa"/>
          </w:tcPr>
          <w:p w:rsidR="00527D2B" w:rsidRPr="00527D2B" w:rsidRDefault="00527D2B" w:rsidP="00081CD6">
            <w:pPr>
              <w:pStyle w:val="Tabletext"/>
              <w:jc w:val="center"/>
              <w:rPr>
                <w:lang w:val="en-GB"/>
              </w:rPr>
            </w:pPr>
            <w:r w:rsidRPr="00527D2B">
              <w:rPr>
                <w:lang w:val="en-GB"/>
              </w:rPr>
              <w:t>Free-space, rain and atmospheric, polarization, and antenna pointing</w:t>
            </w:r>
          </w:p>
        </w:tc>
      </w:tr>
      <w:tr w:rsidR="00527D2B" w:rsidRPr="00AA0515" w:rsidTr="00E34017">
        <w:trPr>
          <w:cantSplit/>
        </w:trPr>
        <w:tc>
          <w:tcPr>
            <w:tcW w:w="1639" w:type="dxa"/>
            <w:vMerge/>
          </w:tcPr>
          <w:p w:rsidR="00527D2B" w:rsidRPr="00527D2B" w:rsidRDefault="00527D2B" w:rsidP="00081CD6">
            <w:pPr>
              <w:pStyle w:val="Tabletext"/>
              <w:rPr>
                <w:lang w:val="en-GB"/>
              </w:rPr>
            </w:pPr>
          </w:p>
        </w:tc>
        <w:tc>
          <w:tcPr>
            <w:tcW w:w="1321" w:type="dxa"/>
          </w:tcPr>
          <w:p w:rsidR="00527D2B" w:rsidRPr="00AA0515" w:rsidRDefault="00527D2B" w:rsidP="00081CD6">
            <w:pPr>
              <w:pStyle w:val="Tabletext"/>
            </w:pPr>
            <w:r w:rsidRPr="00AA0515">
              <w:t>Short-term</w:t>
            </w:r>
          </w:p>
        </w:tc>
        <w:tc>
          <w:tcPr>
            <w:tcW w:w="2574" w:type="dxa"/>
          </w:tcPr>
          <w:p w:rsidR="00527D2B" w:rsidRPr="00AA0515" w:rsidRDefault="00527D2B" w:rsidP="00081CD6">
            <w:pPr>
              <w:pStyle w:val="Tabletext"/>
              <w:jc w:val="center"/>
            </w:pPr>
            <w:r w:rsidRPr="00AA0515">
              <w:t>231.3 dB</w:t>
            </w:r>
          </w:p>
        </w:tc>
        <w:tc>
          <w:tcPr>
            <w:tcW w:w="4196" w:type="dxa"/>
          </w:tcPr>
          <w:p w:rsidR="00527D2B" w:rsidRPr="00AA0515" w:rsidRDefault="00527D2B" w:rsidP="00081CD6">
            <w:pPr>
              <w:pStyle w:val="Tabletext"/>
              <w:jc w:val="center"/>
            </w:pPr>
            <w:r w:rsidRPr="00AA0515">
              <w:t>7.1 dB excess loss</w:t>
            </w:r>
          </w:p>
        </w:tc>
      </w:tr>
      <w:tr w:rsidR="00527D2B" w:rsidRPr="00AA0515" w:rsidTr="00E34017">
        <w:tc>
          <w:tcPr>
            <w:tcW w:w="2960" w:type="dxa"/>
            <w:gridSpan w:val="2"/>
          </w:tcPr>
          <w:p w:rsidR="00527D2B" w:rsidRPr="00AA0515" w:rsidRDefault="00527D2B" w:rsidP="00081CD6">
            <w:pPr>
              <w:pStyle w:val="Tabletext"/>
            </w:pPr>
            <w:r w:rsidRPr="00AA0515">
              <w:t xml:space="preserve">Down-link </w:t>
            </w:r>
            <w:r w:rsidRPr="00AA0515">
              <w:rPr>
                <w:i/>
                <w:iCs/>
              </w:rPr>
              <w:t>G</w:t>
            </w:r>
            <w:r w:rsidRPr="00AA0515">
              <w:t>/</w:t>
            </w:r>
            <w:r w:rsidRPr="00AA0515">
              <w:rPr>
                <w:i/>
                <w:iCs/>
              </w:rPr>
              <w:t>T</w:t>
            </w:r>
          </w:p>
        </w:tc>
        <w:tc>
          <w:tcPr>
            <w:tcW w:w="2574" w:type="dxa"/>
          </w:tcPr>
          <w:p w:rsidR="00527D2B" w:rsidRPr="00AA0515" w:rsidRDefault="00527D2B" w:rsidP="00081CD6">
            <w:pPr>
              <w:pStyle w:val="Tabletext"/>
              <w:jc w:val="center"/>
            </w:pPr>
            <w:r w:rsidRPr="00AA0515">
              <w:t>37.6 dB(K</w:t>
            </w:r>
            <w:r w:rsidRPr="00AA0515">
              <w:rPr>
                <w:position w:val="6"/>
              </w:rPr>
              <w:t>–1</w:t>
            </w:r>
            <w:r w:rsidRPr="00AA0515">
              <w:t>)</w:t>
            </w:r>
          </w:p>
        </w:tc>
        <w:tc>
          <w:tcPr>
            <w:tcW w:w="4196" w:type="dxa"/>
          </w:tcPr>
          <w:p w:rsidR="00527D2B" w:rsidRPr="00AA0515" w:rsidRDefault="00527D2B" w:rsidP="00081CD6">
            <w:pPr>
              <w:pStyle w:val="Tabletext"/>
              <w:jc w:val="center"/>
            </w:pPr>
          </w:p>
        </w:tc>
      </w:tr>
      <w:tr w:rsidR="00527D2B" w:rsidRPr="00AA0515" w:rsidTr="00E34017">
        <w:trPr>
          <w:cantSplit/>
        </w:trPr>
        <w:tc>
          <w:tcPr>
            <w:tcW w:w="1639" w:type="dxa"/>
            <w:vMerge w:val="restart"/>
            <w:vAlign w:val="center"/>
          </w:tcPr>
          <w:p w:rsidR="00527D2B" w:rsidRPr="00AA0515" w:rsidRDefault="00527D2B" w:rsidP="006754BC">
            <w:pPr>
              <w:pStyle w:val="Tabletext"/>
            </w:pPr>
            <w:r w:rsidRPr="00AA0515">
              <w:t xml:space="preserve">Down-link </w:t>
            </w:r>
            <w:r w:rsidRPr="00AA0515">
              <w:rPr>
                <w:i/>
                <w:iCs/>
              </w:rPr>
              <w:t>C</w:t>
            </w:r>
            <w:r w:rsidRPr="00AA0515">
              <w:t>/</w:t>
            </w:r>
            <w:r w:rsidRPr="00AA0515">
              <w:rPr>
                <w:i/>
                <w:iCs/>
              </w:rPr>
              <w:t>N</w:t>
            </w:r>
            <w:r w:rsidR="006754BC" w:rsidRPr="006754BC">
              <w:rPr>
                <w:vertAlign w:val="subscript"/>
              </w:rPr>
              <w:t>0</w:t>
            </w:r>
          </w:p>
        </w:tc>
        <w:tc>
          <w:tcPr>
            <w:tcW w:w="1321" w:type="dxa"/>
            <w:tcBorders>
              <w:bottom w:val="single" w:sz="4" w:space="0" w:color="auto"/>
            </w:tcBorders>
          </w:tcPr>
          <w:p w:rsidR="00527D2B" w:rsidRPr="00AA0515" w:rsidRDefault="00527D2B" w:rsidP="00081CD6">
            <w:pPr>
              <w:pStyle w:val="Tabletext"/>
            </w:pPr>
            <w:r w:rsidRPr="00AA0515">
              <w:t>Long-term</w:t>
            </w:r>
          </w:p>
        </w:tc>
        <w:tc>
          <w:tcPr>
            <w:tcW w:w="2574" w:type="dxa"/>
            <w:tcBorders>
              <w:bottom w:val="single" w:sz="4" w:space="0" w:color="auto"/>
            </w:tcBorders>
          </w:tcPr>
          <w:p w:rsidR="00527D2B" w:rsidRPr="00AA0515" w:rsidRDefault="00527D2B" w:rsidP="00081CD6">
            <w:pPr>
              <w:pStyle w:val="Tabletext"/>
              <w:jc w:val="center"/>
            </w:pPr>
            <w:r w:rsidRPr="00AA0515">
              <w:t>93.8 dB.Hz</w:t>
            </w:r>
          </w:p>
        </w:tc>
        <w:tc>
          <w:tcPr>
            <w:tcW w:w="4196" w:type="dxa"/>
            <w:tcBorders>
              <w:bottom w:val="single" w:sz="4" w:space="0" w:color="auto"/>
            </w:tcBorders>
          </w:tcPr>
          <w:p w:rsidR="00527D2B" w:rsidRPr="00AA0515" w:rsidRDefault="00527D2B" w:rsidP="00081CD6">
            <w:pPr>
              <w:pStyle w:val="Tabletext"/>
              <w:jc w:val="center"/>
            </w:pPr>
          </w:p>
        </w:tc>
      </w:tr>
      <w:tr w:rsidR="00527D2B" w:rsidRPr="00AA0515" w:rsidTr="00E34017">
        <w:trPr>
          <w:cantSplit/>
        </w:trPr>
        <w:tc>
          <w:tcPr>
            <w:tcW w:w="1639" w:type="dxa"/>
            <w:vMerge/>
            <w:tcBorders>
              <w:bottom w:val="single" w:sz="4" w:space="0" w:color="auto"/>
            </w:tcBorders>
          </w:tcPr>
          <w:p w:rsidR="00527D2B" w:rsidRPr="00AA0515" w:rsidRDefault="00527D2B" w:rsidP="00081CD6">
            <w:pPr>
              <w:pStyle w:val="Tabletext"/>
            </w:pPr>
          </w:p>
        </w:tc>
        <w:tc>
          <w:tcPr>
            <w:tcW w:w="1321" w:type="dxa"/>
            <w:tcBorders>
              <w:bottom w:val="single" w:sz="4" w:space="0" w:color="auto"/>
            </w:tcBorders>
          </w:tcPr>
          <w:p w:rsidR="00527D2B" w:rsidRPr="00AA0515" w:rsidRDefault="00527D2B" w:rsidP="00081CD6">
            <w:pPr>
              <w:pStyle w:val="Tabletext"/>
            </w:pPr>
            <w:r w:rsidRPr="00AA0515">
              <w:t>Short-term</w:t>
            </w:r>
          </w:p>
        </w:tc>
        <w:tc>
          <w:tcPr>
            <w:tcW w:w="2574" w:type="dxa"/>
            <w:tcBorders>
              <w:bottom w:val="single" w:sz="4" w:space="0" w:color="auto"/>
            </w:tcBorders>
          </w:tcPr>
          <w:p w:rsidR="00527D2B" w:rsidRPr="00AA0515" w:rsidRDefault="00527D2B" w:rsidP="00081CD6">
            <w:pPr>
              <w:pStyle w:val="Tabletext"/>
              <w:jc w:val="center"/>
            </w:pPr>
            <w:r w:rsidRPr="00AA0515">
              <w:t>90.4 dB.Hz</w:t>
            </w:r>
          </w:p>
        </w:tc>
        <w:tc>
          <w:tcPr>
            <w:tcW w:w="4196" w:type="dxa"/>
            <w:tcBorders>
              <w:bottom w:val="single" w:sz="4" w:space="0" w:color="auto"/>
            </w:tcBorders>
          </w:tcPr>
          <w:p w:rsidR="00527D2B" w:rsidRPr="00AA0515" w:rsidRDefault="00527D2B" w:rsidP="00081CD6">
            <w:pPr>
              <w:pStyle w:val="Tabletext"/>
              <w:jc w:val="center"/>
            </w:pPr>
          </w:p>
        </w:tc>
      </w:tr>
      <w:tr w:rsidR="00527D2B" w:rsidRPr="00AA0515" w:rsidTr="00E34017">
        <w:tc>
          <w:tcPr>
            <w:tcW w:w="2960" w:type="dxa"/>
            <w:gridSpan w:val="2"/>
            <w:tcBorders>
              <w:top w:val="single" w:sz="4" w:space="0" w:color="auto"/>
            </w:tcBorders>
          </w:tcPr>
          <w:p w:rsidR="00527D2B" w:rsidRPr="00AA0515" w:rsidRDefault="00527D2B" w:rsidP="00081CD6">
            <w:pPr>
              <w:pStyle w:val="Tabletext"/>
            </w:pPr>
            <w:r w:rsidRPr="00AA0515">
              <w:t>Data rate</w:t>
            </w:r>
          </w:p>
        </w:tc>
        <w:tc>
          <w:tcPr>
            <w:tcW w:w="2574" w:type="dxa"/>
            <w:tcBorders>
              <w:top w:val="single" w:sz="4" w:space="0" w:color="auto"/>
            </w:tcBorders>
          </w:tcPr>
          <w:p w:rsidR="00527D2B" w:rsidRPr="00AA0515" w:rsidRDefault="00527D2B" w:rsidP="00081CD6">
            <w:pPr>
              <w:pStyle w:val="Tabletext"/>
              <w:jc w:val="center"/>
            </w:pPr>
            <w:r w:rsidRPr="00AA0515">
              <w:t>164 Mbit/s</w:t>
            </w:r>
          </w:p>
        </w:tc>
        <w:tc>
          <w:tcPr>
            <w:tcW w:w="4196" w:type="dxa"/>
            <w:tcBorders>
              <w:top w:val="single" w:sz="4" w:space="0" w:color="auto"/>
            </w:tcBorders>
          </w:tcPr>
          <w:p w:rsidR="00527D2B" w:rsidRPr="00AA0515" w:rsidRDefault="00527D2B" w:rsidP="00081CD6">
            <w:pPr>
              <w:pStyle w:val="Tabletext"/>
              <w:jc w:val="center"/>
            </w:pPr>
          </w:p>
        </w:tc>
      </w:tr>
      <w:tr w:rsidR="00527D2B" w:rsidRPr="00C57D7D" w:rsidTr="00E34017">
        <w:tc>
          <w:tcPr>
            <w:tcW w:w="2960" w:type="dxa"/>
            <w:gridSpan w:val="2"/>
          </w:tcPr>
          <w:p w:rsidR="00527D2B" w:rsidRPr="00AA0515" w:rsidRDefault="00527D2B" w:rsidP="006754BC">
            <w:pPr>
              <w:pStyle w:val="Tabletext"/>
            </w:pPr>
            <w:r w:rsidRPr="00AA0515">
              <w:t xml:space="preserve">Required </w:t>
            </w:r>
            <w:r w:rsidRPr="00AA0515">
              <w:rPr>
                <w:i/>
                <w:iCs/>
              </w:rPr>
              <w:t>C</w:t>
            </w:r>
            <w:r w:rsidRPr="00AA0515">
              <w:t>/</w:t>
            </w:r>
            <w:r w:rsidRPr="00AA0515">
              <w:rPr>
                <w:i/>
                <w:iCs/>
              </w:rPr>
              <w:t>N</w:t>
            </w:r>
            <w:r w:rsidR="006754BC" w:rsidRPr="006754BC">
              <w:rPr>
                <w:vertAlign w:val="subscript"/>
              </w:rPr>
              <w:t>0</w:t>
            </w:r>
          </w:p>
        </w:tc>
        <w:tc>
          <w:tcPr>
            <w:tcW w:w="2574" w:type="dxa"/>
          </w:tcPr>
          <w:p w:rsidR="00527D2B" w:rsidRPr="00AA0515" w:rsidRDefault="00527D2B" w:rsidP="00081CD6">
            <w:pPr>
              <w:pStyle w:val="Tabletext"/>
              <w:jc w:val="center"/>
            </w:pPr>
            <w:r w:rsidRPr="00AA0515">
              <w:t>88.7 dB.Hz</w:t>
            </w:r>
          </w:p>
        </w:tc>
        <w:tc>
          <w:tcPr>
            <w:tcW w:w="4196" w:type="dxa"/>
          </w:tcPr>
          <w:p w:rsidR="00527D2B" w:rsidRPr="00C57D7D" w:rsidRDefault="00527D2B" w:rsidP="006754BC">
            <w:pPr>
              <w:pStyle w:val="Tabletext"/>
              <w:jc w:val="center"/>
              <w:rPr>
                <w:lang w:val="en-GB"/>
              </w:rPr>
            </w:pPr>
            <w:r w:rsidRPr="00C57D7D">
              <w:rPr>
                <w:lang w:val="en-GB"/>
              </w:rPr>
              <w:t xml:space="preserve">BER </w:t>
            </w:r>
            <w:r w:rsidRPr="00AA0515">
              <w:rPr>
                <w:rFonts w:ascii="Symbol" w:hAnsi="Symbol"/>
              </w:rPr>
              <w:t></w:t>
            </w:r>
            <w:r w:rsidRPr="00C57D7D">
              <w:rPr>
                <w:lang w:val="en-GB"/>
              </w:rPr>
              <w:t xml:space="preserve"> 1 </w:t>
            </w:r>
            <w:r w:rsidRPr="00AA0515">
              <w:rPr>
                <w:rFonts w:ascii="Symbol" w:hAnsi="Symbol"/>
              </w:rPr>
              <w:t></w:t>
            </w:r>
            <w:r w:rsidRPr="00C57D7D">
              <w:rPr>
                <w:lang w:val="en-GB"/>
              </w:rPr>
              <w:t xml:space="preserve"> 10</w:t>
            </w:r>
            <w:r w:rsidR="006754BC" w:rsidRPr="00C57D7D">
              <w:rPr>
                <w:vertAlign w:val="superscript"/>
                <w:lang w:val="en-GB"/>
              </w:rPr>
              <w:t>−9</w:t>
            </w:r>
            <w:r w:rsidRPr="00C57D7D">
              <w:rPr>
                <w:position w:val="6"/>
                <w:lang w:val="en-GB"/>
              </w:rPr>
              <w:br/>
            </w:r>
            <w:r w:rsidRPr="00C57D7D">
              <w:rPr>
                <w:lang w:val="en-GB"/>
              </w:rPr>
              <w:t>1.5 dB implementation loss</w:t>
            </w:r>
            <w:r w:rsidRPr="00C57D7D">
              <w:rPr>
                <w:lang w:val="en-GB"/>
              </w:rPr>
              <w:br/>
              <w:t>1.75 dB modulation loss</w:t>
            </w:r>
          </w:p>
        </w:tc>
      </w:tr>
      <w:tr w:rsidR="00527D2B" w:rsidRPr="00AA0515" w:rsidTr="00E34017">
        <w:trPr>
          <w:cantSplit/>
        </w:trPr>
        <w:tc>
          <w:tcPr>
            <w:tcW w:w="1639" w:type="dxa"/>
            <w:vMerge w:val="restart"/>
            <w:vAlign w:val="center"/>
          </w:tcPr>
          <w:p w:rsidR="00527D2B" w:rsidRPr="00AA0515" w:rsidRDefault="00527D2B" w:rsidP="00081CD6">
            <w:pPr>
              <w:pStyle w:val="Tabletext"/>
            </w:pPr>
            <w:r w:rsidRPr="00AA0515">
              <w:t>Margin</w:t>
            </w:r>
          </w:p>
        </w:tc>
        <w:tc>
          <w:tcPr>
            <w:tcW w:w="1321" w:type="dxa"/>
          </w:tcPr>
          <w:p w:rsidR="00527D2B" w:rsidRPr="00AA0515" w:rsidRDefault="00527D2B" w:rsidP="00081CD6">
            <w:pPr>
              <w:pStyle w:val="Tabletext"/>
            </w:pPr>
            <w:r w:rsidRPr="00AA0515">
              <w:t>Long-term</w:t>
            </w:r>
          </w:p>
        </w:tc>
        <w:tc>
          <w:tcPr>
            <w:tcW w:w="2574" w:type="dxa"/>
          </w:tcPr>
          <w:p w:rsidR="00527D2B" w:rsidRPr="00AA0515" w:rsidRDefault="00527D2B" w:rsidP="00081CD6">
            <w:pPr>
              <w:pStyle w:val="Tabletext"/>
              <w:jc w:val="center"/>
            </w:pPr>
            <w:r w:rsidRPr="00AA0515">
              <w:t>5.1 dB</w:t>
            </w:r>
          </w:p>
        </w:tc>
        <w:tc>
          <w:tcPr>
            <w:tcW w:w="4196" w:type="dxa"/>
          </w:tcPr>
          <w:p w:rsidR="00527D2B" w:rsidRPr="00AA0515" w:rsidRDefault="00527D2B" w:rsidP="00081CD6">
            <w:pPr>
              <w:pStyle w:val="Tabletext"/>
              <w:jc w:val="center"/>
            </w:pPr>
          </w:p>
        </w:tc>
      </w:tr>
      <w:tr w:rsidR="00527D2B" w:rsidRPr="00AA0515" w:rsidTr="0021422E">
        <w:trPr>
          <w:cantSplit/>
          <w:trHeight w:val="64"/>
        </w:trPr>
        <w:tc>
          <w:tcPr>
            <w:tcW w:w="1639" w:type="dxa"/>
            <w:vMerge/>
            <w:tcBorders>
              <w:bottom w:val="nil"/>
            </w:tcBorders>
          </w:tcPr>
          <w:p w:rsidR="00527D2B" w:rsidRPr="00AA0515" w:rsidRDefault="00527D2B" w:rsidP="00081CD6">
            <w:pPr>
              <w:pStyle w:val="Tabletext"/>
            </w:pPr>
          </w:p>
        </w:tc>
        <w:tc>
          <w:tcPr>
            <w:tcW w:w="1321" w:type="dxa"/>
            <w:tcBorders>
              <w:bottom w:val="nil"/>
            </w:tcBorders>
          </w:tcPr>
          <w:p w:rsidR="00527D2B" w:rsidRPr="00AA0515" w:rsidRDefault="00527D2B" w:rsidP="00081CD6">
            <w:pPr>
              <w:pStyle w:val="Tabletext"/>
            </w:pPr>
            <w:r w:rsidRPr="00AA0515">
              <w:t>Short-term</w:t>
            </w:r>
          </w:p>
        </w:tc>
        <w:tc>
          <w:tcPr>
            <w:tcW w:w="2574" w:type="dxa"/>
            <w:tcBorders>
              <w:bottom w:val="nil"/>
            </w:tcBorders>
          </w:tcPr>
          <w:p w:rsidR="00527D2B" w:rsidRPr="00AA0515" w:rsidRDefault="00527D2B" w:rsidP="00081CD6">
            <w:pPr>
              <w:pStyle w:val="Tabletext"/>
              <w:jc w:val="center"/>
            </w:pPr>
            <w:r w:rsidRPr="00AA0515">
              <w:t>1.7 dB</w:t>
            </w:r>
          </w:p>
        </w:tc>
        <w:tc>
          <w:tcPr>
            <w:tcW w:w="4196" w:type="dxa"/>
            <w:tcBorders>
              <w:bottom w:val="nil"/>
            </w:tcBorders>
          </w:tcPr>
          <w:p w:rsidR="00527D2B" w:rsidRPr="00AA0515" w:rsidRDefault="00527D2B" w:rsidP="00081CD6">
            <w:pPr>
              <w:pStyle w:val="Tabletext"/>
              <w:jc w:val="center"/>
            </w:pPr>
          </w:p>
        </w:tc>
      </w:tr>
      <w:tr w:rsidR="00C57D7D" w:rsidRPr="00AA0515" w:rsidTr="0021422E">
        <w:tc>
          <w:tcPr>
            <w:tcW w:w="2960" w:type="dxa"/>
            <w:gridSpan w:val="2"/>
            <w:tcBorders>
              <w:top w:val="nil"/>
            </w:tcBorders>
          </w:tcPr>
          <w:p w:rsidR="00C57D7D" w:rsidRPr="00AA0515" w:rsidRDefault="00C57D7D" w:rsidP="00C57D7D">
            <w:pPr>
              <w:pStyle w:val="Tabletext"/>
            </w:pPr>
            <w:r w:rsidRPr="00AA0515">
              <w:t>Receive antenna gain</w:t>
            </w:r>
          </w:p>
        </w:tc>
        <w:tc>
          <w:tcPr>
            <w:tcW w:w="2574" w:type="dxa"/>
            <w:tcBorders>
              <w:top w:val="nil"/>
            </w:tcBorders>
          </w:tcPr>
          <w:p w:rsidR="00C57D7D" w:rsidRPr="00AA0515" w:rsidRDefault="00C57D7D" w:rsidP="00C57D7D">
            <w:pPr>
              <w:pStyle w:val="Tabletext"/>
              <w:jc w:val="center"/>
            </w:pPr>
            <w:r w:rsidRPr="00AA0515">
              <w:t>60.6 dBi</w:t>
            </w:r>
          </w:p>
        </w:tc>
        <w:tc>
          <w:tcPr>
            <w:tcW w:w="4196" w:type="dxa"/>
            <w:tcBorders>
              <w:top w:val="nil"/>
            </w:tcBorders>
          </w:tcPr>
          <w:p w:rsidR="00C57D7D" w:rsidRPr="00AA0515" w:rsidRDefault="00C57D7D" w:rsidP="00C57D7D">
            <w:pPr>
              <w:pStyle w:val="Tabletext"/>
              <w:jc w:val="center"/>
            </w:pPr>
            <w:r w:rsidRPr="00AA0515">
              <w:t>Including pointing losses</w:t>
            </w:r>
          </w:p>
        </w:tc>
      </w:tr>
      <w:tr w:rsidR="00C57D7D" w:rsidRPr="00AA0515" w:rsidTr="00E34017">
        <w:tc>
          <w:tcPr>
            <w:tcW w:w="2960" w:type="dxa"/>
            <w:gridSpan w:val="2"/>
          </w:tcPr>
          <w:p w:rsidR="00C57D7D" w:rsidRPr="00AA0515" w:rsidRDefault="00C57D7D" w:rsidP="00C57D7D">
            <w:pPr>
              <w:pStyle w:val="Tabletext"/>
            </w:pPr>
            <w:r w:rsidRPr="00AA0515">
              <w:t>Receiver noise density</w:t>
            </w:r>
          </w:p>
        </w:tc>
        <w:tc>
          <w:tcPr>
            <w:tcW w:w="2574" w:type="dxa"/>
          </w:tcPr>
          <w:p w:rsidR="00C57D7D" w:rsidRPr="00AA0515" w:rsidRDefault="00C57D7D" w:rsidP="00C57D7D">
            <w:pPr>
              <w:pStyle w:val="Tabletext"/>
              <w:jc w:val="center"/>
            </w:pPr>
            <w:r w:rsidRPr="00AA0515">
              <w:t>–205.6 dB(W/Hz)</w:t>
            </w:r>
          </w:p>
        </w:tc>
        <w:tc>
          <w:tcPr>
            <w:tcW w:w="4196" w:type="dxa"/>
          </w:tcPr>
          <w:p w:rsidR="00C57D7D" w:rsidRPr="00AA0515" w:rsidRDefault="00C57D7D" w:rsidP="00C57D7D">
            <w:pPr>
              <w:pStyle w:val="Tabletext"/>
              <w:jc w:val="center"/>
            </w:pPr>
          </w:p>
        </w:tc>
      </w:tr>
      <w:tr w:rsidR="00C57D7D" w:rsidRPr="00AA0515" w:rsidTr="00E34017">
        <w:trPr>
          <w:cantSplit/>
        </w:trPr>
        <w:tc>
          <w:tcPr>
            <w:tcW w:w="1639" w:type="dxa"/>
            <w:vMerge w:val="restart"/>
            <w:vAlign w:val="center"/>
          </w:tcPr>
          <w:p w:rsidR="00C57D7D" w:rsidRPr="00AA0515" w:rsidRDefault="00C57D7D" w:rsidP="00C57D7D">
            <w:pPr>
              <w:pStyle w:val="Tabletext"/>
              <w:jc w:val="center"/>
            </w:pPr>
            <w:r w:rsidRPr="00AA0515">
              <w:t>Interference criteria</w:t>
            </w:r>
          </w:p>
        </w:tc>
        <w:tc>
          <w:tcPr>
            <w:tcW w:w="1321" w:type="dxa"/>
          </w:tcPr>
          <w:p w:rsidR="00C57D7D" w:rsidRPr="00AA0515" w:rsidRDefault="00C57D7D" w:rsidP="00C57D7D">
            <w:pPr>
              <w:pStyle w:val="Tabletext"/>
            </w:pPr>
            <w:r w:rsidRPr="00AA0515">
              <w:t>Long-term</w:t>
            </w:r>
          </w:p>
        </w:tc>
        <w:tc>
          <w:tcPr>
            <w:tcW w:w="2574" w:type="dxa"/>
          </w:tcPr>
          <w:p w:rsidR="00C57D7D" w:rsidRPr="00AA0515" w:rsidRDefault="00C57D7D" w:rsidP="00C57D7D">
            <w:pPr>
              <w:pStyle w:val="Tabletext"/>
              <w:jc w:val="center"/>
            </w:pPr>
            <w:r w:rsidRPr="00AA0515">
              <w:t>–144.6 dB(W/10 MHz)</w:t>
            </w:r>
          </w:p>
        </w:tc>
        <w:tc>
          <w:tcPr>
            <w:tcW w:w="4196" w:type="dxa"/>
          </w:tcPr>
          <w:p w:rsidR="00C57D7D" w:rsidRPr="00AA0515" w:rsidRDefault="00C57D7D" w:rsidP="00C57D7D">
            <w:pPr>
              <w:pStyle w:val="Tabletext"/>
              <w:jc w:val="center"/>
              <w:rPr>
                <w:i/>
              </w:rPr>
            </w:pPr>
            <w:r w:rsidRPr="00AA0515">
              <w:rPr>
                <w:i/>
                <w:iCs/>
              </w:rPr>
              <w:t>q</w:t>
            </w:r>
            <w:r w:rsidRPr="00AA0515">
              <w:t xml:space="preserve"> </w:t>
            </w:r>
            <w:r w:rsidRPr="00AA0515">
              <w:rPr>
                <w:rFonts w:ascii="Symbol" w:hAnsi="Symbol"/>
              </w:rPr>
              <w:t></w:t>
            </w:r>
            <w:r w:rsidRPr="00AA0515">
              <w:t xml:space="preserve"> 0.1 and </w:t>
            </w:r>
            <w:r w:rsidRPr="00AA0515">
              <w:rPr>
                <w:i/>
                <w:iCs/>
              </w:rPr>
              <w:t>M</w:t>
            </w:r>
            <w:r w:rsidRPr="006754BC">
              <w:rPr>
                <w:i/>
                <w:iCs/>
                <w:vertAlign w:val="subscript"/>
              </w:rPr>
              <w:t>min</w:t>
            </w:r>
            <w:r w:rsidRPr="00AA0515">
              <w:t xml:space="preserve"> </w:t>
            </w:r>
            <w:r w:rsidRPr="00AA0515">
              <w:rPr>
                <w:rFonts w:ascii="Symbol" w:hAnsi="Symbol"/>
              </w:rPr>
              <w:t></w:t>
            </w:r>
            <w:r w:rsidRPr="00AA0515">
              <w:t xml:space="preserve"> 4.5 dB</w:t>
            </w:r>
          </w:p>
        </w:tc>
      </w:tr>
      <w:tr w:rsidR="00C57D7D" w:rsidRPr="00AA0515" w:rsidTr="00E34017">
        <w:trPr>
          <w:cantSplit/>
        </w:trPr>
        <w:tc>
          <w:tcPr>
            <w:tcW w:w="1639" w:type="dxa"/>
            <w:vMerge/>
          </w:tcPr>
          <w:p w:rsidR="00C57D7D" w:rsidRPr="00AA0515" w:rsidRDefault="00C57D7D" w:rsidP="00C57D7D">
            <w:pPr>
              <w:pStyle w:val="Tabletext"/>
            </w:pPr>
          </w:p>
        </w:tc>
        <w:tc>
          <w:tcPr>
            <w:tcW w:w="1321" w:type="dxa"/>
          </w:tcPr>
          <w:p w:rsidR="00C57D7D" w:rsidRPr="00AA0515" w:rsidRDefault="00C57D7D" w:rsidP="00C57D7D">
            <w:pPr>
              <w:pStyle w:val="Tabletext"/>
            </w:pPr>
            <w:r w:rsidRPr="00AA0515">
              <w:t>Short-term</w:t>
            </w:r>
          </w:p>
        </w:tc>
        <w:tc>
          <w:tcPr>
            <w:tcW w:w="2574" w:type="dxa"/>
          </w:tcPr>
          <w:p w:rsidR="00C57D7D" w:rsidRPr="00AA0515" w:rsidRDefault="00C57D7D" w:rsidP="00C57D7D">
            <w:pPr>
              <w:pStyle w:val="Tabletext"/>
              <w:jc w:val="center"/>
            </w:pPr>
            <w:r w:rsidRPr="00AA0515">
              <w:t>–133.0 dB(W/10 MHz)</w:t>
            </w:r>
          </w:p>
        </w:tc>
        <w:tc>
          <w:tcPr>
            <w:tcW w:w="4196" w:type="dxa"/>
          </w:tcPr>
          <w:p w:rsidR="00C57D7D" w:rsidRPr="00AA0515" w:rsidRDefault="00C57D7D" w:rsidP="00C57D7D">
            <w:pPr>
              <w:pStyle w:val="Tabletext"/>
              <w:jc w:val="center"/>
              <w:rPr>
                <w:i/>
              </w:rPr>
            </w:pPr>
            <w:r w:rsidRPr="00AA0515">
              <w:rPr>
                <w:i/>
                <w:iCs/>
              </w:rPr>
              <w:t>q</w:t>
            </w:r>
            <w:r w:rsidRPr="00AA0515">
              <w:t xml:space="preserve"> </w:t>
            </w:r>
            <w:r w:rsidRPr="00AA0515">
              <w:rPr>
                <w:rFonts w:ascii="Symbol" w:hAnsi="Symbol"/>
              </w:rPr>
              <w:t></w:t>
            </w:r>
            <w:r w:rsidRPr="00AA0515">
              <w:t xml:space="preserve"> 1 and </w:t>
            </w:r>
            <w:r w:rsidRPr="00AA0515">
              <w:rPr>
                <w:i/>
                <w:iCs/>
              </w:rPr>
              <w:t>M</w:t>
            </w:r>
            <w:r w:rsidRPr="006754BC">
              <w:rPr>
                <w:i/>
                <w:iCs/>
                <w:vertAlign w:val="subscript"/>
              </w:rPr>
              <w:t>min</w:t>
            </w:r>
            <w:r w:rsidRPr="00AA0515">
              <w:t xml:space="preserve"> </w:t>
            </w:r>
            <w:r w:rsidRPr="00AA0515">
              <w:rPr>
                <w:rFonts w:ascii="Symbol" w:hAnsi="Symbol"/>
              </w:rPr>
              <w:t></w:t>
            </w:r>
            <w:r w:rsidRPr="00AA0515">
              <w:t xml:space="preserve"> 4.5 dB</w:t>
            </w:r>
          </w:p>
        </w:tc>
      </w:tr>
    </w:tbl>
    <w:p w:rsidR="00C95C69" w:rsidRPr="00527D2B" w:rsidRDefault="00C95C69" w:rsidP="00785C81">
      <w:pPr>
        <w:pStyle w:val="Heading1"/>
        <w:rPr>
          <w:lang w:val="en-GB"/>
        </w:rPr>
      </w:pPr>
      <w:r w:rsidRPr="00527D2B">
        <w:rPr>
          <w:lang w:val="en-GB"/>
        </w:rPr>
        <w:lastRenderedPageBreak/>
        <w:t>2</w:t>
      </w:r>
      <w:r w:rsidRPr="00527D2B">
        <w:rPr>
          <w:lang w:val="en-GB"/>
        </w:rPr>
        <w:tab/>
        <w:t>Data dissemination to user stations</w:t>
      </w:r>
    </w:p>
    <w:p w:rsidR="00C95C69" w:rsidRPr="00C95C69" w:rsidRDefault="00C95C69" w:rsidP="00C95C69">
      <w:pPr>
        <w:rPr>
          <w:lang w:val="en-GB"/>
        </w:rPr>
      </w:pPr>
      <w:r w:rsidRPr="00C95C69">
        <w:rPr>
          <w:lang w:val="en-GB"/>
        </w:rPr>
        <w:t>Dissemination of high-resolution processed data is affected by interference received at the station via the satellite as well as by interference transmitted directly into the station in the 1</w:t>
      </w:r>
      <w:r w:rsidRPr="00C95C69">
        <w:rPr>
          <w:rFonts w:ascii="Tms Rmn" w:hAnsi="Tms Rmn"/>
          <w:sz w:val="12"/>
          <w:lang w:val="en-GB"/>
        </w:rPr>
        <w:t> </w:t>
      </w:r>
      <w:r w:rsidRPr="00C95C69">
        <w:rPr>
          <w:lang w:val="en-GB"/>
        </w:rPr>
        <w:t>670-1</w:t>
      </w:r>
      <w:r w:rsidRPr="00C95C69">
        <w:rPr>
          <w:rFonts w:ascii="Tms Rmn" w:hAnsi="Tms Rmn"/>
          <w:sz w:val="12"/>
          <w:lang w:val="en-GB"/>
        </w:rPr>
        <w:t> </w:t>
      </w:r>
      <w:r w:rsidRPr="00C95C69">
        <w:rPr>
          <w:lang w:val="en-GB"/>
        </w:rPr>
        <w:t>710 MHz band. The high-resolution processed data are up-linked to the satellite in the 2</w:t>
      </w:r>
      <w:r w:rsidRPr="00C95C69">
        <w:rPr>
          <w:rFonts w:ascii="Tms Rmn" w:hAnsi="Tms Rmn"/>
          <w:sz w:val="12"/>
          <w:lang w:val="en-GB"/>
        </w:rPr>
        <w:t> </w:t>
      </w:r>
      <w:r w:rsidRPr="00C95C69">
        <w:rPr>
          <w:lang w:val="en-GB"/>
        </w:rPr>
        <w:t>025-2</w:t>
      </w:r>
      <w:r w:rsidRPr="00C95C69">
        <w:rPr>
          <w:rFonts w:ascii="Tms Rmn" w:hAnsi="Tms Rmn"/>
          <w:sz w:val="12"/>
          <w:lang w:val="en-GB"/>
        </w:rPr>
        <w:t> </w:t>
      </w:r>
      <w:r w:rsidRPr="00C95C69">
        <w:rPr>
          <w:lang w:val="en-GB"/>
        </w:rPr>
        <w:t>110 MHz band, and relayed, along with interfering signals entering the satellite in the same band, to the Earth station receivers via fixed-gain satellite transponders.</w:t>
      </w:r>
    </w:p>
    <w:p w:rsidR="00C95C69" w:rsidRPr="00C95C69" w:rsidRDefault="00C95C69" w:rsidP="00C95C69">
      <w:pPr>
        <w:rPr>
          <w:lang w:val="en-GB"/>
        </w:rPr>
      </w:pPr>
      <w:r w:rsidRPr="00C95C69">
        <w:rPr>
          <w:lang w:val="en-GB"/>
        </w:rPr>
        <w:t>The up-link and down-link carrier-to-noise plus interference density ratios are respectively:</w:t>
      </w:r>
    </w:p>
    <w:p w:rsidR="00C95C69" w:rsidRDefault="00C95C69" w:rsidP="00C95C69">
      <w:pPr>
        <w:pStyle w:val="Equation"/>
      </w:pPr>
      <w:r w:rsidRPr="00C95C69">
        <w:rPr>
          <w:lang w:val="en-GB"/>
        </w:rPr>
        <w:tab/>
      </w:r>
      <w:r w:rsidRPr="00C95C69">
        <w:rPr>
          <w:lang w:val="en-GB"/>
        </w:rPr>
        <w:tab/>
      </w:r>
      <w:r>
        <w:rPr>
          <w:position w:val="-56"/>
          <w:lang w:val="en-GB"/>
        </w:rPr>
        <w:object w:dxaOrig="2655" w:dyaOrig="1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3pt;height:50.5pt" o:ole="">
            <v:imagedata r:id="rId14" o:title=""/>
          </v:shape>
          <o:OLEObject Type="Embed" ProgID="Equation.3" ShapeID="_x0000_i1025" DrawAspect="Content" ObjectID="_1563110428" r:id="rId15"/>
        </w:object>
      </w:r>
    </w:p>
    <w:p w:rsidR="00C95C69" w:rsidRDefault="00C95C69" w:rsidP="00C95C69">
      <w:r>
        <w:t>and</w:t>
      </w:r>
    </w:p>
    <w:p w:rsidR="00C95C69" w:rsidRDefault="00C95C69" w:rsidP="00C95C69">
      <w:pPr>
        <w:pStyle w:val="Equation"/>
      </w:pPr>
      <w:r>
        <w:tab/>
      </w:r>
      <w:r>
        <w:tab/>
      </w:r>
      <w:r>
        <w:rPr>
          <w:position w:val="-56"/>
          <w:lang w:val="en-GB"/>
        </w:rPr>
        <w:object w:dxaOrig="3075" w:dyaOrig="960">
          <v:shape id="_x0000_i1026" type="#_x0000_t75" style="width:153.35pt;height:47.7pt" o:ole="">
            <v:imagedata r:id="rId16" o:title=""/>
          </v:shape>
          <o:OLEObject Type="Embed" ProgID="Equation.3" ShapeID="_x0000_i1026" DrawAspect="Content" ObjectID="_1563110429" r:id="rId17"/>
        </w:object>
      </w:r>
    </w:p>
    <w:p w:rsidR="00C95C69" w:rsidRPr="00C95C69" w:rsidRDefault="00C95C69" w:rsidP="00C95C69">
      <w:pPr>
        <w:rPr>
          <w:lang w:val="en-GB"/>
        </w:rPr>
      </w:pPr>
      <w:r w:rsidRPr="00C95C69">
        <w:rPr>
          <w:lang w:val="en-GB"/>
        </w:rPr>
        <w:t>where:</w:t>
      </w:r>
    </w:p>
    <w:p w:rsidR="00C95C69" w:rsidRDefault="00C95C69" w:rsidP="00C95C69">
      <w:pPr>
        <w:pStyle w:val="Equationlegend"/>
      </w:pPr>
      <w:r>
        <w:rPr>
          <w:i/>
        </w:rPr>
        <w:tab/>
        <w:t>I</w:t>
      </w:r>
      <w:r>
        <w:rPr>
          <w:iCs/>
          <w:position w:val="-4"/>
          <w:sz w:val="16"/>
        </w:rPr>
        <w:t>01</w:t>
      </w:r>
      <w:r>
        <w:t xml:space="preserve"> and </w:t>
      </w:r>
      <w:r>
        <w:rPr>
          <w:i/>
        </w:rPr>
        <w:t>I</w:t>
      </w:r>
      <w:r>
        <w:rPr>
          <w:iCs/>
          <w:position w:val="-4"/>
          <w:sz w:val="16"/>
        </w:rPr>
        <w:t>02</w:t>
      </w:r>
      <w:r>
        <w:rPr>
          <w:rFonts w:ascii="Tms Rmn" w:hAnsi="Tms Rmn"/>
          <w:iCs/>
          <w:position w:val="-4"/>
          <w:sz w:val="12"/>
        </w:rPr>
        <w:t> </w:t>
      </w:r>
      <w:r>
        <w:rPr>
          <w:iCs/>
        </w:rPr>
        <w:t>:</w:t>
      </w:r>
      <w:r>
        <w:rPr>
          <w:iCs/>
        </w:rPr>
        <w:tab/>
      </w:r>
      <w:r>
        <w:t xml:space="preserve">interference densities transmitted into the </w:t>
      </w:r>
      <w:r w:rsidR="00921542">
        <w:t>satellite and station receivers</w:t>
      </w:r>
    </w:p>
    <w:p w:rsidR="00C95C69" w:rsidRDefault="00C95C69" w:rsidP="00C95C69">
      <w:pPr>
        <w:pStyle w:val="Equationlegend"/>
      </w:pPr>
      <w:r>
        <w:rPr>
          <w:i/>
        </w:rPr>
        <w:tab/>
        <w:t>T</w:t>
      </w:r>
      <w:r>
        <w:rPr>
          <w:iCs/>
          <w:position w:val="-4"/>
          <w:sz w:val="16"/>
        </w:rPr>
        <w:t>1</w:t>
      </w:r>
      <w:r>
        <w:t xml:space="preserve"> and </w:t>
      </w:r>
      <w:r>
        <w:rPr>
          <w:i/>
        </w:rPr>
        <w:t>T</w:t>
      </w:r>
      <w:r>
        <w:rPr>
          <w:iCs/>
          <w:position w:val="-4"/>
          <w:sz w:val="16"/>
        </w:rPr>
        <w:t>2</w:t>
      </w:r>
      <w:r>
        <w:rPr>
          <w:rFonts w:ascii="Tms Rmn" w:hAnsi="Tms Rmn"/>
          <w:iCs/>
          <w:position w:val="-4"/>
          <w:sz w:val="12"/>
        </w:rPr>
        <w:t> </w:t>
      </w:r>
      <w:r>
        <w:t>:</w:t>
      </w:r>
      <w:r>
        <w:tab/>
        <w:t xml:space="preserve">system noise temperatures of the </w:t>
      </w:r>
      <w:r w:rsidR="00921542">
        <w:t>satellite and station receivers</w:t>
      </w:r>
    </w:p>
    <w:p w:rsidR="00C95C69" w:rsidRDefault="00C95C69" w:rsidP="00C95C69">
      <w:pPr>
        <w:pStyle w:val="Equationlegend"/>
      </w:pPr>
      <w:r>
        <w:rPr>
          <w:i/>
        </w:rPr>
        <w:tab/>
        <w:t>k</w:t>
      </w:r>
      <w:r>
        <w:rPr>
          <w:rFonts w:ascii="Tms Rmn" w:hAnsi="Tms Rmn"/>
          <w:i/>
          <w:sz w:val="12"/>
        </w:rPr>
        <w:t> </w:t>
      </w:r>
      <w:r>
        <w:rPr>
          <w:iCs/>
        </w:rPr>
        <w:t>:</w:t>
      </w:r>
      <w:r>
        <w:rPr>
          <w:iCs/>
        </w:rPr>
        <w:tab/>
      </w:r>
      <w:r>
        <w:t>Boltzmann’s constant.</w:t>
      </w:r>
    </w:p>
    <w:p w:rsidR="00C95C69" w:rsidRPr="00C95C69" w:rsidRDefault="00C95C69" w:rsidP="00C95C69">
      <w:pPr>
        <w:rPr>
          <w:lang w:val="en-GB"/>
        </w:rPr>
      </w:pPr>
      <w:r w:rsidRPr="00C95C69">
        <w:rPr>
          <w:lang w:val="en-GB"/>
        </w:rPr>
        <w:t>The composite carrier-to-noise plus interference density ratio is:</w:t>
      </w:r>
    </w:p>
    <w:p w:rsidR="00C95C69" w:rsidRDefault="00C95C69" w:rsidP="00C95C69">
      <w:pPr>
        <w:pStyle w:val="Equation"/>
      </w:pPr>
      <w:r w:rsidRPr="00C95C69">
        <w:rPr>
          <w:lang w:val="en-GB"/>
        </w:rPr>
        <w:tab/>
      </w:r>
      <w:r w:rsidRPr="00C95C69">
        <w:rPr>
          <w:lang w:val="en-GB"/>
        </w:rPr>
        <w:tab/>
      </w:r>
      <w:r>
        <w:rPr>
          <w:position w:val="-32"/>
          <w:lang w:val="en-GB"/>
        </w:rPr>
        <w:object w:dxaOrig="4905" w:dyaOrig="825">
          <v:shape id="_x0000_i1027" type="#_x0000_t75" style="width:245.45pt;height:41.6pt" o:ole="">
            <v:imagedata r:id="rId18" o:title=""/>
          </v:shape>
          <o:OLEObject Type="Embed" ProgID="Equation.3" ShapeID="_x0000_i1027" DrawAspect="Content" ObjectID="_1563110430" r:id="rId19"/>
        </w:object>
      </w:r>
    </w:p>
    <w:p w:rsidR="00C95C69" w:rsidRPr="00C95C69" w:rsidRDefault="00C95C69" w:rsidP="00C95C69">
      <w:pPr>
        <w:rPr>
          <w:lang w:val="en-GB"/>
        </w:rPr>
      </w:pPr>
      <w:r w:rsidRPr="00C95C69">
        <w:rPr>
          <w:lang w:val="en-GB"/>
        </w:rPr>
        <w:t>From Recommendation ITU-R SA.1022 this can also be written:</w:t>
      </w:r>
    </w:p>
    <w:p w:rsidR="00C95C69" w:rsidRDefault="00C95C69" w:rsidP="00C95C69">
      <w:pPr>
        <w:pStyle w:val="Equation"/>
      </w:pPr>
      <w:r w:rsidRPr="00C95C69">
        <w:rPr>
          <w:lang w:val="en-GB"/>
        </w:rPr>
        <w:tab/>
      </w:r>
      <w:r w:rsidRPr="00C95C69">
        <w:rPr>
          <w:lang w:val="en-GB"/>
        </w:rPr>
        <w:tab/>
      </w:r>
      <w:r>
        <w:rPr>
          <w:position w:val="-28"/>
          <w:lang w:val="en-GB"/>
        </w:rPr>
        <w:object w:dxaOrig="2100" w:dyaOrig="630">
          <v:shape id="_x0000_i1028" type="#_x0000_t75" style="width:105.65pt;height:30.85pt" o:ole="">
            <v:imagedata r:id="rId20" o:title=""/>
          </v:shape>
          <o:OLEObject Type="Embed" ProgID="Equation.3" ShapeID="_x0000_i1028" DrawAspect="Content" ObjectID="_1563110431" r:id="rId21"/>
        </w:object>
      </w:r>
    </w:p>
    <w:p w:rsidR="00C95C69" w:rsidRPr="00C95C69" w:rsidRDefault="00C95C69" w:rsidP="00C95C69">
      <w:pPr>
        <w:rPr>
          <w:lang w:val="en-GB"/>
        </w:rPr>
      </w:pPr>
      <w:r w:rsidRPr="00C95C69">
        <w:rPr>
          <w:lang w:val="en-GB"/>
        </w:rPr>
        <w:t>where:</w:t>
      </w:r>
    </w:p>
    <w:p w:rsidR="00C95C69" w:rsidRDefault="00C95C69" w:rsidP="00C95C69">
      <w:pPr>
        <w:pStyle w:val="Equationlegend"/>
      </w:pPr>
      <w:r>
        <w:rPr>
          <w:i/>
        </w:rPr>
        <w:tab/>
        <w:t>M</w:t>
      </w:r>
      <w:r>
        <w:rPr>
          <w:rFonts w:ascii="Tms Rmn" w:hAnsi="Tms Rmn"/>
          <w:i/>
          <w:sz w:val="12"/>
        </w:rPr>
        <w:t> </w:t>
      </w:r>
      <w:r>
        <w:rPr>
          <w:iCs/>
        </w:rPr>
        <w:t>:</w:t>
      </w:r>
      <w:r>
        <w:rPr>
          <w:iCs/>
        </w:rPr>
        <w:tab/>
        <w:t>inte</w:t>
      </w:r>
      <w:r w:rsidR="00921542">
        <w:t>rference-free margin</w:t>
      </w:r>
    </w:p>
    <w:p w:rsidR="00C95C69" w:rsidRDefault="00C95C69" w:rsidP="00C95C69">
      <w:pPr>
        <w:pStyle w:val="Equationlegend"/>
      </w:pPr>
      <w:r>
        <w:rPr>
          <w:i/>
        </w:rPr>
        <w:tab/>
        <w:t>q</w:t>
      </w:r>
      <w:r>
        <w:rPr>
          <w:rFonts w:ascii="Tms Rmn" w:hAnsi="Tms Rmn"/>
          <w:i/>
          <w:sz w:val="12"/>
        </w:rPr>
        <w:t> </w:t>
      </w:r>
      <w:r>
        <w:rPr>
          <w:iCs/>
        </w:rPr>
        <w:t>:</w:t>
      </w:r>
      <w:r>
        <w:rPr>
          <w:iCs/>
        </w:rPr>
        <w:tab/>
      </w:r>
      <w:r>
        <w:t>action of the interference-free margin that the int</w:t>
      </w:r>
      <w:r w:rsidR="00921542">
        <w:t>erference is allowed to consume</w:t>
      </w:r>
    </w:p>
    <w:p w:rsidR="00C95C69" w:rsidRDefault="00C95C69" w:rsidP="00C95C69">
      <w:pPr>
        <w:pStyle w:val="Equationlegend"/>
      </w:pPr>
      <w:r>
        <w:rPr>
          <w:i/>
        </w:rPr>
        <w:tab/>
        <w:t>C</w:t>
      </w:r>
      <w:r>
        <w:t>/</w:t>
      </w:r>
      <w:r>
        <w:rPr>
          <w:i/>
        </w:rPr>
        <w:t>N</w:t>
      </w:r>
      <w:r>
        <w:rPr>
          <w:iCs/>
          <w:position w:val="-4"/>
          <w:sz w:val="16"/>
        </w:rPr>
        <w:t>0</w:t>
      </w:r>
      <w:r>
        <w:rPr>
          <w:rFonts w:ascii="Tms Rmn" w:hAnsi="Tms Rmn"/>
          <w:iCs/>
          <w:position w:val="-4"/>
          <w:sz w:val="12"/>
        </w:rPr>
        <w:t> </w:t>
      </w:r>
      <w:r>
        <w:t>:</w:t>
      </w:r>
      <w:r>
        <w:tab/>
        <w:t>composite carrier-to-noise density ratio given by:</w:t>
      </w:r>
    </w:p>
    <w:p w:rsidR="00C95C69" w:rsidRDefault="00C95C69" w:rsidP="00C95C69">
      <w:pPr>
        <w:pStyle w:val="Equation"/>
      </w:pPr>
      <w:r w:rsidRPr="00C95C69">
        <w:rPr>
          <w:lang w:val="en-GB"/>
        </w:rPr>
        <w:tab/>
      </w:r>
      <w:r w:rsidRPr="00C95C69">
        <w:rPr>
          <w:lang w:val="en-GB"/>
        </w:rPr>
        <w:tab/>
      </w:r>
      <w:r>
        <w:rPr>
          <w:position w:val="-16"/>
          <w:lang w:val="en-GB"/>
        </w:rPr>
        <w:object w:dxaOrig="3360" w:dyaOrig="540">
          <v:shape id="_x0000_i1029" type="#_x0000_t75" style="width:168.3pt;height:27.1pt" o:ole="">
            <v:imagedata r:id="rId22" o:title=""/>
          </v:shape>
          <o:OLEObject Type="Embed" ProgID="Equation.3" ShapeID="_x0000_i1029" DrawAspect="Content" ObjectID="_1563110432" r:id="rId23"/>
        </w:object>
      </w:r>
    </w:p>
    <w:p w:rsidR="00C95C69" w:rsidRDefault="00C95C69" w:rsidP="00C95C69">
      <w:r>
        <w:t>From the foregoing equations:</w:t>
      </w:r>
    </w:p>
    <w:p w:rsidR="00C95C69" w:rsidRDefault="00C95C69" w:rsidP="00C95C69">
      <w:pPr>
        <w:pStyle w:val="Equation"/>
      </w:pPr>
      <w:r>
        <w:tab/>
      </w:r>
      <w:r>
        <w:tab/>
      </w:r>
      <w:r>
        <w:rPr>
          <w:position w:val="-32"/>
          <w:lang w:val="en-GB"/>
        </w:rPr>
        <w:object w:dxaOrig="4440" w:dyaOrig="1005">
          <v:shape id="_x0000_i1030" type="#_x0000_t75" style="width:222.1pt;height:50.5pt" o:ole="">
            <v:imagedata r:id="rId24" o:title=""/>
          </v:shape>
          <o:OLEObject Type="Embed" ProgID="Equation.3" ShapeID="_x0000_i1030" DrawAspect="Content" ObjectID="_1563110433" r:id="rId25"/>
        </w:object>
      </w:r>
    </w:p>
    <w:p w:rsidR="00C95C69" w:rsidRPr="00C95C69" w:rsidRDefault="00C95C69" w:rsidP="00C95C69">
      <w:pPr>
        <w:rPr>
          <w:lang w:val="en-GB"/>
        </w:rPr>
      </w:pPr>
      <w:r w:rsidRPr="00C95C69">
        <w:rPr>
          <w:lang w:val="en-GB"/>
        </w:rPr>
        <w:t>Assume that the up-link and down-link interference are allocated so that a fraction </w:t>
      </w:r>
      <w:r w:rsidRPr="00C95C69">
        <w:rPr>
          <w:i/>
          <w:lang w:val="en-GB"/>
        </w:rPr>
        <w:t>p</w:t>
      </w:r>
      <w:r w:rsidRPr="00C95C69">
        <w:rPr>
          <w:lang w:val="en-GB"/>
        </w:rPr>
        <w:t xml:space="preserve"> of the interference received at the earth station is received via the satellite, and that a fraction </w:t>
      </w:r>
      <w:r w:rsidRPr="00C95C69">
        <w:rPr>
          <w:iCs/>
          <w:lang w:val="en-GB"/>
        </w:rPr>
        <w:t>1</w:t>
      </w:r>
      <w:r w:rsidRPr="00C95C69">
        <w:rPr>
          <w:i/>
          <w:lang w:val="en-GB"/>
        </w:rPr>
        <w:t> – p</w:t>
      </w:r>
      <w:r w:rsidRPr="00C95C69">
        <w:rPr>
          <w:lang w:val="en-GB"/>
        </w:rPr>
        <w:t xml:space="preserve"> is transmitted directly into the station. It is desirable for </w:t>
      </w:r>
      <w:r w:rsidRPr="00C95C69">
        <w:rPr>
          <w:i/>
          <w:lang w:val="en-GB"/>
        </w:rPr>
        <w:t xml:space="preserve">p </w:t>
      </w:r>
      <w:r w:rsidRPr="00C95C69">
        <w:rPr>
          <w:lang w:val="en-GB"/>
        </w:rPr>
        <w:t>to be near 1/2 in order to provide a reasonable balance in the interference allocated to the up-link and to the down-link. For a fixed-gain transponder it can be shown that:</w:t>
      </w:r>
    </w:p>
    <w:p w:rsidR="00C95C69" w:rsidRDefault="00C95C69" w:rsidP="00C95C69">
      <w:pPr>
        <w:pStyle w:val="Equation"/>
      </w:pPr>
      <w:r w:rsidRPr="00C95C69">
        <w:rPr>
          <w:lang w:val="en-GB"/>
        </w:rPr>
        <w:lastRenderedPageBreak/>
        <w:tab/>
      </w:r>
      <w:r w:rsidRPr="00C95C69">
        <w:rPr>
          <w:lang w:val="en-GB"/>
        </w:rPr>
        <w:tab/>
      </w:r>
      <w:r>
        <w:rPr>
          <w:position w:val="-32"/>
          <w:lang w:val="en-GB"/>
        </w:rPr>
        <w:object w:dxaOrig="3165" w:dyaOrig="690">
          <v:shape id="_x0000_i1031" type="#_x0000_t75" style="width:158.5pt;height:34.6pt" o:ole="">
            <v:imagedata r:id="rId26" o:title=""/>
          </v:shape>
          <o:OLEObject Type="Embed" ProgID="Equation.3" ShapeID="_x0000_i1031" DrawAspect="Content" ObjectID="_1563110434" r:id="rId27"/>
        </w:object>
      </w:r>
    </w:p>
    <w:p w:rsidR="00C95C69" w:rsidRDefault="00C95C69" w:rsidP="00C95C69">
      <w:r>
        <w:t>so that:</w:t>
      </w:r>
    </w:p>
    <w:p w:rsidR="00C95C69" w:rsidRDefault="00C95C69" w:rsidP="00C95C69">
      <w:pPr>
        <w:pStyle w:val="Equation"/>
      </w:pPr>
      <w:r>
        <w:tab/>
      </w:r>
      <w:r>
        <w:tab/>
      </w:r>
      <w:r>
        <w:rPr>
          <w:position w:val="-30"/>
          <w:lang w:val="en-GB"/>
        </w:rPr>
        <w:object w:dxaOrig="3885" w:dyaOrig="795">
          <v:shape id="_x0000_i1032" type="#_x0000_t75" style="width:194.5pt;height:40.2pt" o:ole="">
            <v:imagedata r:id="rId28" o:title=""/>
          </v:shape>
          <o:OLEObject Type="Embed" ProgID="Equation.3" ShapeID="_x0000_i1032" DrawAspect="Content" ObjectID="_1563110435" r:id="rId29"/>
        </w:object>
      </w:r>
    </w:p>
    <w:p w:rsidR="00C95C69" w:rsidRPr="00C95C69" w:rsidRDefault="00C95C69" w:rsidP="00C95C69">
      <w:pPr>
        <w:rPr>
          <w:lang w:val="en-GB"/>
        </w:rPr>
      </w:pPr>
      <w:r w:rsidRPr="00C95C69">
        <w:rPr>
          <w:lang w:val="en-GB"/>
        </w:rPr>
        <w:t>Accordingly, the permissible up-link interference density becomes:</w:t>
      </w:r>
    </w:p>
    <w:p w:rsidR="00C95C69" w:rsidRPr="00C95C69" w:rsidRDefault="00C95C69" w:rsidP="00C95C69">
      <w:pPr>
        <w:pStyle w:val="Equation"/>
        <w:tabs>
          <w:tab w:val="left" w:pos="7655"/>
        </w:tabs>
        <w:rPr>
          <w:lang w:val="en-GB"/>
        </w:rPr>
      </w:pPr>
      <w:r w:rsidRPr="00C95C69">
        <w:rPr>
          <w:lang w:val="en-GB"/>
        </w:rPr>
        <w:tab/>
      </w:r>
      <w:r w:rsidRPr="00C95C69">
        <w:rPr>
          <w:lang w:val="en-GB"/>
        </w:rPr>
        <w:tab/>
      </w:r>
      <w:r>
        <w:rPr>
          <w:position w:val="-30"/>
          <w:lang w:val="en-GB"/>
        </w:rPr>
        <w:object w:dxaOrig="4320" w:dyaOrig="735">
          <v:shape id="_x0000_i1033" type="#_x0000_t75" style="width:3in;height:36.45pt" o:ole="">
            <v:imagedata r:id="rId30" o:title=""/>
          </v:shape>
          <o:OLEObject Type="Embed" ProgID="Equation.3" ShapeID="_x0000_i1033" DrawAspect="Content" ObjectID="_1563110436" r:id="rId31"/>
        </w:object>
      </w:r>
      <w:r w:rsidRPr="00C95C69">
        <w:rPr>
          <w:lang w:val="en-GB"/>
        </w:rPr>
        <w:tab/>
        <w:t>for</w:t>
      </w:r>
      <w:r w:rsidRPr="00C95C69">
        <w:rPr>
          <w:i/>
          <w:lang w:val="en-GB"/>
        </w:rPr>
        <w:t xml:space="preserve"> M</w:t>
      </w:r>
      <w:r w:rsidRPr="00C95C69">
        <w:rPr>
          <w:lang w:val="en-GB"/>
        </w:rPr>
        <w:t xml:space="preserve"> </w:t>
      </w:r>
      <w:r>
        <w:rPr>
          <w:rFonts w:ascii="Symbol" w:hAnsi="Symbol"/>
        </w:rPr>
        <w:t></w:t>
      </w:r>
      <w:r w:rsidRPr="00C95C69">
        <w:rPr>
          <w:lang w:val="en-GB"/>
        </w:rPr>
        <w:t xml:space="preserve"> </w:t>
      </w:r>
      <w:r w:rsidRPr="00C95C69">
        <w:rPr>
          <w:i/>
          <w:lang w:val="en-GB"/>
        </w:rPr>
        <w:t>M</w:t>
      </w:r>
      <w:r w:rsidRPr="00C95C69">
        <w:rPr>
          <w:i/>
          <w:iCs/>
          <w:position w:val="-4"/>
          <w:sz w:val="18"/>
          <w:lang w:val="en-GB"/>
        </w:rPr>
        <w:t>mín</w:t>
      </w:r>
    </w:p>
    <w:p w:rsidR="00C95C69" w:rsidRPr="00C95C69" w:rsidRDefault="00C95C69" w:rsidP="00C95C69">
      <w:pPr>
        <w:rPr>
          <w:lang w:val="en-GB"/>
        </w:rPr>
      </w:pPr>
      <w:r w:rsidRPr="00C95C69">
        <w:rPr>
          <w:lang w:val="en-GB"/>
        </w:rPr>
        <w:t xml:space="preserve">where, according to Recommendation ITU-R SA.1022, </w:t>
      </w:r>
      <w:r w:rsidRPr="00C95C69">
        <w:rPr>
          <w:i/>
          <w:lang w:val="en-GB"/>
        </w:rPr>
        <w:t>M</w:t>
      </w:r>
      <w:r w:rsidRPr="00C95C69">
        <w:rPr>
          <w:i/>
          <w:position w:val="-4"/>
          <w:sz w:val="16"/>
          <w:lang w:val="en-GB"/>
        </w:rPr>
        <w:t>min</w:t>
      </w:r>
      <w:r w:rsidRPr="00C95C69">
        <w:rPr>
          <w:lang w:val="en-GB"/>
        </w:rPr>
        <w:t xml:space="preserve"> is the smallest interference-free margin for which only a fraction </w:t>
      </w:r>
      <w:r w:rsidRPr="00C95C69">
        <w:rPr>
          <w:i/>
          <w:lang w:val="en-GB"/>
        </w:rPr>
        <w:t>q</w:t>
      </w:r>
      <w:r w:rsidRPr="00C95C69">
        <w:rPr>
          <w:lang w:val="en-GB"/>
        </w:rPr>
        <w:t xml:space="preserve"> of the margin is consumed by the interference.</w:t>
      </w:r>
      <w:r w:rsidRPr="00C95C69">
        <w:rPr>
          <w:i/>
          <w:lang w:val="en-GB"/>
        </w:rPr>
        <w:t xml:space="preserve"> </w:t>
      </w:r>
      <w:r w:rsidRPr="00C95C69">
        <w:rPr>
          <w:lang w:val="en-GB"/>
        </w:rPr>
        <w:t>Correspondingly, the permissible down-link interference density is:</w:t>
      </w:r>
    </w:p>
    <w:p w:rsidR="00C95C69" w:rsidRPr="00C95C69" w:rsidRDefault="00C95C69" w:rsidP="00C95C69">
      <w:pPr>
        <w:pStyle w:val="Equation"/>
        <w:tabs>
          <w:tab w:val="left" w:pos="7655"/>
        </w:tabs>
        <w:rPr>
          <w:lang w:val="en-GB"/>
        </w:rPr>
      </w:pPr>
      <w:r w:rsidRPr="00C95C69">
        <w:rPr>
          <w:lang w:val="en-GB"/>
        </w:rPr>
        <w:tab/>
      </w:r>
      <w:r w:rsidRPr="00C95C69">
        <w:rPr>
          <w:lang w:val="en-GB"/>
        </w:rPr>
        <w:tab/>
      </w:r>
      <w:r>
        <w:rPr>
          <w:position w:val="-34"/>
          <w:lang w:val="en-GB"/>
        </w:rPr>
        <w:object w:dxaOrig="4515" w:dyaOrig="795">
          <v:shape id="_x0000_i1034" type="#_x0000_t75" style="width:225.35pt;height:40.2pt" o:ole="">
            <v:imagedata r:id="rId32" o:title=""/>
          </v:shape>
          <o:OLEObject Type="Embed" ProgID="Equation.3" ShapeID="_x0000_i1034" DrawAspect="Content" ObjectID="_1563110437" r:id="rId33"/>
        </w:object>
      </w:r>
      <w:r w:rsidRPr="00C95C69">
        <w:rPr>
          <w:lang w:val="en-GB"/>
        </w:rPr>
        <w:tab/>
        <w:t xml:space="preserve">for </w:t>
      </w:r>
      <w:r w:rsidRPr="00C95C69">
        <w:rPr>
          <w:i/>
          <w:lang w:val="en-GB"/>
        </w:rPr>
        <w:t>M</w:t>
      </w:r>
      <w:r w:rsidRPr="00C95C69">
        <w:rPr>
          <w:lang w:val="en-GB"/>
        </w:rPr>
        <w:t xml:space="preserve"> </w:t>
      </w:r>
      <w:r>
        <w:rPr>
          <w:rFonts w:ascii="Symbol" w:hAnsi="Symbol"/>
        </w:rPr>
        <w:t></w:t>
      </w:r>
      <w:r w:rsidRPr="00C95C69">
        <w:rPr>
          <w:lang w:val="en-GB"/>
        </w:rPr>
        <w:t xml:space="preserve"> </w:t>
      </w:r>
      <w:r w:rsidRPr="00C95C69">
        <w:rPr>
          <w:i/>
          <w:lang w:val="en-GB"/>
        </w:rPr>
        <w:t>M</w:t>
      </w:r>
      <w:r w:rsidRPr="00C95C69">
        <w:rPr>
          <w:i/>
          <w:iCs/>
          <w:position w:val="-4"/>
          <w:sz w:val="18"/>
          <w:lang w:val="en-GB"/>
        </w:rPr>
        <w:t>min</w:t>
      </w:r>
    </w:p>
    <w:p w:rsidR="00C95C69" w:rsidRPr="00C95C69" w:rsidRDefault="00C95C69" w:rsidP="00C95C69">
      <w:pPr>
        <w:rPr>
          <w:lang w:val="en-GB"/>
        </w:rPr>
      </w:pPr>
      <w:r w:rsidRPr="00C95C69">
        <w:rPr>
          <w:lang w:val="en-GB"/>
        </w:rPr>
        <w:t xml:space="preserve">Table 3 summarizes the calculation of </w:t>
      </w:r>
      <w:r w:rsidRPr="00C95C69">
        <w:rPr>
          <w:i/>
          <w:lang w:val="en-GB"/>
        </w:rPr>
        <w:t>I</w:t>
      </w:r>
      <w:r w:rsidRPr="00C95C69">
        <w:rPr>
          <w:iCs/>
          <w:position w:val="-4"/>
          <w:sz w:val="16"/>
          <w:lang w:val="en-GB"/>
        </w:rPr>
        <w:t>01</w:t>
      </w:r>
      <w:r w:rsidRPr="00C95C69">
        <w:rPr>
          <w:i/>
          <w:lang w:val="en-GB"/>
        </w:rPr>
        <w:t xml:space="preserve"> </w:t>
      </w:r>
      <w:r w:rsidRPr="00C95C69">
        <w:rPr>
          <w:lang w:val="en-GB"/>
        </w:rPr>
        <w:t xml:space="preserve">and </w:t>
      </w:r>
      <w:r w:rsidRPr="00C95C69">
        <w:rPr>
          <w:i/>
          <w:lang w:val="en-GB"/>
        </w:rPr>
        <w:t>I</w:t>
      </w:r>
      <w:r w:rsidRPr="00C95C69">
        <w:rPr>
          <w:iCs/>
          <w:position w:val="-4"/>
          <w:sz w:val="16"/>
          <w:lang w:val="en-GB"/>
        </w:rPr>
        <w:t>02</w:t>
      </w:r>
      <w:r w:rsidRPr="00C95C69">
        <w:rPr>
          <w:lang w:val="en-GB"/>
        </w:rPr>
        <w:t xml:space="preserve"> for high-resolution, assuming that </w:t>
      </w:r>
      <w:r w:rsidRPr="00C95C69">
        <w:rPr>
          <w:i/>
          <w:lang w:val="en-GB"/>
        </w:rPr>
        <w:t>p</w:t>
      </w:r>
      <w:r w:rsidRPr="00C95C69">
        <w:rPr>
          <w:lang w:val="en-GB"/>
        </w:rPr>
        <w:t xml:space="preserve"> </w:t>
      </w:r>
      <w:r>
        <w:rPr>
          <w:rFonts w:ascii="Symbol" w:hAnsi="Symbol"/>
        </w:rPr>
        <w:t></w:t>
      </w:r>
      <w:r w:rsidRPr="00C95C69">
        <w:rPr>
          <w:lang w:val="en-GB"/>
        </w:rPr>
        <w:t xml:space="preserve"> 1/2, </w:t>
      </w:r>
      <w:r w:rsidRPr="00C95C69">
        <w:rPr>
          <w:i/>
          <w:lang w:val="en-GB"/>
        </w:rPr>
        <w:t>q</w:t>
      </w:r>
      <w:r w:rsidRPr="00C95C69">
        <w:rPr>
          <w:lang w:val="en-GB"/>
        </w:rPr>
        <w:t xml:space="preserve"> </w:t>
      </w:r>
      <w:r>
        <w:rPr>
          <w:rFonts w:ascii="Symbol" w:hAnsi="Symbol"/>
        </w:rPr>
        <w:t></w:t>
      </w:r>
      <w:r w:rsidRPr="00C95C69">
        <w:rPr>
          <w:lang w:val="en-GB"/>
        </w:rPr>
        <w:t xml:space="preserve"> 1/3, and </w:t>
      </w:r>
      <w:r w:rsidRPr="00C95C69">
        <w:rPr>
          <w:i/>
          <w:lang w:val="en-GB"/>
        </w:rPr>
        <w:t>M</w:t>
      </w:r>
      <w:r w:rsidRPr="00C95C69">
        <w:rPr>
          <w:i/>
          <w:position w:val="-4"/>
          <w:sz w:val="16"/>
          <w:lang w:val="en-GB"/>
        </w:rPr>
        <w:t>min</w:t>
      </w:r>
      <w:r w:rsidRPr="00C95C69">
        <w:rPr>
          <w:lang w:val="en-GB"/>
        </w:rPr>
        <w:t> </w:t>
      </w:r>
      <w:r>
        <w:rPr>
          <w:rFonts w:ascii="Symbol" w:hAnsi="Symbol"/>
        </w:rPr>
        <w:t></w:t>
      </w:r>
      <w:r w:rsidRPr="00C95C69">
        <w:rPr>
          <w:lang w:val="en-GB"/>
        </w:rPr>
        <w:t xml:space="preserve"> 1.2 dB for long-term interference, and that </w:t>
      </w:r>
      <w:r w:rsidRPr="00C95C69">
        <w:rPr>
          <w:i/>
          <w:lang w:val="en-GB"/>
        </w:rPr>
        <w:t>p</w:t>
      </w:r>
      <w:r w:rsidRPr="00C95C69">
        <w:rPr>
          <w:lang w:val="en-GB"/>
        </w:rPr>
        <w:t> </w:t>
      </w:r>
      <w:r>
        <w:rPr>
          <w:rFonts w:ascii="Symbol" w:hAnsi="Symbol"/>
        </w:rPr>
        <w:t></w:t>
      </w:r>
      <w:r w:rsidRPr="00C95C69">
        <w:rPr>
          <w:lang w:val="en-GB"/>
        </w:rPr>
        <w:t xml:space="preserve"> 1/2, </w:t>
      </w:r>
      <w:r w:rsidRPr="00C95C69">
        <w:rPr>
          <w:i/>
          <w:lang w:val="en-GB"/>
        </w:rPr>
        <w:t>q</w:t>
      </w:r>
      <w:r w:rsidRPr="00C95C69">
        <w:rPr>
          <w:lang w:val="en-GB"/>
        </w:rPr>
        <w:t> </w:t>
      </w:r>
      <w:r>
        <w:rPr>
          <w:rFonts w:ascii="Symbol" w:hAnsi="Symbol"/>
        </w:rPr>
        <w:t></w:t>
      </w:r>
      <w:r w:rsidRPr="00C95C69">
        <w:rPr>
          <w:lang w:val="en-GB"/>
        </w:rPr>
        <w:t xml:space="preserve"> 1, and </w:t>
      </w:r>
      <w:r w:rsidRPr="00C95C69">
        <w:rPr>
          <w:i/>
          <w:lang w:val="en-GB"/>
        </w:rPr>
        <w:t>M</w:t>
      </w:r>
      <w:r w:rsidRPr="00C95C69">
        <w:rPr>
          <w:i/>
          <w:position w:val="-4"/>
          <w:sz w:val="16"/>
          <w:lang w:val="en-GB"/>
        </w:rPr>
        <w:t>min</w:t>
      </w:r>
      <w:r w:rsidRPr="00C95C69">
        <w:rPr>
          <w:lang w:val="en-GB"/>
        </w:rPr>
        <w:t> </w:t>
      </w:r>
      <w:r>
        <w:rPr>
          <w:rFonts w:ascii="Symbol" w:hAnsi="Symbol"/>
        </w:rPr>
        <w:t></w:t>
      </w:r>
      <w:r w:rsidRPr="00C95C69">
        <w:rPr>
          <w:lang w:val="en-GB"/>
        </w:rPr>
        <w:t> 1.2 dB for short-term interference.</w:t>
      </w:r>
    </w:p>
    <w:p w:rsidR="00C95C69" w:rsidRPr="00C95C69" w:rsidRDefault="00C95C69" w:rsidP="00C95C69">
      <w:pPr>
        <w:rPr>
          <w:lang w:val="en-GB"/>
        </w:rPr>
      </w:pPr>
      <w:r w:rsidRPr="00C95C69">
        <w:rPr>
          <w:lang w:val="en-GB"/>
        </w:rPr>
        <w:t>The interference criteria can be expressed as permissible power flux-densities into the main beam of the receive antenna by subtracting 10 log(</w:t>
      </w:r>
      <w:r w:rsidRPr="00C95C69">
        <w:rPr>
          <w:i/>
          <w:iCs/>
          <w:lang w:val="en-GB"/>
        </w:rPr>
        <w:t>G</w:t>
      </w:r>
      <w:r w:rsidRPr="00C95C69">
        <w:rPr>
          <w:lang w:val="en-GB"/>
        </w:rPr>
        <w:t xml:space="preserve"> </w:t>
      </w:r>
      <w:r>
        <w:sym w:font="Symbol" w:char="F06C"/>
      </w:r>
      <w:r w:rsidRPr="00C95C69">
        <w:rPr>
          <w:position w:val="6"/>
          <w:sz w:val="16"/>
          <w:lang w:val="en-GB"/>
        </w:rPr>
        <w:t>2</w:t>
      </w:r>
      <w:r w:rsidRPr="00C95C69">
        <w:rPr>
          <w:lang w:val="en-GB"/>
        </w:rPr>
        <w:t>/4</w:t>
      </w:r>
      <w:r>
        <w:sym w:font="Symbol" w:char="F070"/>
      </w:r>
      <w:r w:rsidRPr="00C95C69">
        <w:rPr>
          <w:lang w:val="en-GB"/>
        </w:rPr>
        <w:t xml:space="preserve">) from the values given in Table 3, where </w:t>
      </w:r>
      <w:r w:rsidRPr="00C95C69">
        <w:rPr>
          <w:i/>
          <w:iCs/>
          <w:lang w:val="en-GB"/>
        </w:rPr>
        <w:t>G</w:t>
      </w:r>
      <w:r w:rsidRPr="00C95C69">
        <w:rPr>
          <w:lang w:val="en-GB"/>
        </w:rPr>
        <w:t xml:space="preserve"> is the receive antenna gain and </w:t>
      </w:r>
      <w:r>
        <w:sym w:font="Symbol" w:char="F06C"/>
      </w:r>
      <w:r w:rsidRPr="00C95C69">
        <w:rPr>
          <w:lang w:val="en-GB"/>
        </w:rPr>
        <w:t xml:space="preserve"> is the wavelength.</w:t>
      </w:r>
    </w:p>
    <w:p w:rsidR="00C95C69" w:rsidRPr="00C95C69" w:rsidRDefault="00C95C69" w:rsidP="00C95C69">
      <w:pPr>
        <w:pStyle w:val="TableNo"/>
        <w:rPr>
          <w:lang w:val="en-GB"/>
        </w:rPr>
      </w:pPr>
      <w:r w:rsidRPr="00C95C69">
        <w:rPr>
          <w:lang w:val="en-GB"/>
        </w:rPr>
        <w:t>TABLE 3</w:t>
      </w:r>
    </w:p>
    <w:p w:rsidR="00C95C69" w:rsidRPr="00C95C69" w:rsidRDefault="00C95C69" w:rsidP="00C95C69">
      <w:pPr>
        <w:pStyle w:val="Tabletitle"/>
        <w:rPr>
          <w:lang w:val="en-GB"/>
        </w:rPr>
      </w:pPr>
      <w:r w:rsidRPr="00C95C69">
        <w:rPr>
          <w:lang w:val="en-GB"/>
        </w:rPr>
        <w:t>Performance analysis used as a basis for interference criteria</w:t>
      </w:r>
      <w:r w:rsidRPr="00C95C69">
        <w:rPr>
          <w:lang w:val="en-GB"/>
        </w:rPr>
        <w:br/>
        <w:t>of high-resolution data dissemination to user stations using geostationary satellites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932"/>
        <w:gridCol w:w="2550"/>
        <w:gridCol w:w="4157"/>
      </w:tblGrid>
      <w:tr w:rsidR="00C95C69" w:rsidTr="00921542">
        <w:trPr>
          <w:cantSplit/>
          <w:tblHeader/>
          <w:jc w:val="center"/>
        </w:trPr>
        <w:tc>
          <w:tcPr>
            <w:tcW w:w="2932" w:type="dxa"/>
            <w:tcBorders>
              <w:top w:val="single" w:sz="4" w:space="0" w:color="auto"/>
              <w:left w:val="single" w:sz="4" w:space="0" w:color="auto"/>
              <w:bottom w:val="single" w:sz="4" w:space="0" w:color="auto"/>
              <w:right w:val="single" w:sz="4" w:space="0" w:color="auto"/>
            </w:tcBorders>
            <w:hideMark/>
          </w:tcPr>
          <w:p w:rsidR="00C95C69" w:rsidRDefault="00C95C69">
            <w:pPr>
              <w:pStyle w:val="Tablehead"/>
              <w:rPr>
                <w:lang w:val="en-US"/>
              </w:rPr>
            </w:pPr>
            <w:r>
              <w:rPr>
                <w:lang w:val="en-US"/>
              </w:rPr>
              <w:t>Link parameter</w:t>
            </w:r>
          </w:p>
        </w:tc>
        <w:tc>
          <w:tcPr>
            <w:tcW w:w="2550" w:type="dxa"/>
            <w:tcBorders>
              <w:top w:val="single" w:sz="4" w:space="0" w:color="auto"/>
              <w:left w:val="single" w:sz="4" w:space="0" w:color="auto"/>
              <w:bottom w:val="single" w:sz="4" w:space="0" w:color="auto"/>
              <w:right w:val="single" w:sz="4" w:space="0" w:color="auto"/>
            </w:tcBorders>
            <w:hideMark/>
          </w:tcPr>
          <w:p w:rsidR="00C95C69" w:rsidRDefault="00C95C69">
            <w:pPr>
              <w:pStyle w:val="Tablehead"/>
              <w:rPr>
                <w:lang w:val="en-US"/>
              </w:rPr>
            </w:pPr>
            <w:r>
              <w:rPr>
                <w:lang w:val="en-US"/>
              </w:rPr>
              <w:t>Value</w:t>
            </w:r>
          </w:p>
        </w:tc>
        <w:tc>
          <w:tcPr>
            <w:tcW w:w="4157" w:type="dxa"/>
            <w:tcBorders>
              <w:top w:val="single" w:sz="4" w:space="0" w:color="auto"/>
              <w:left w:val="single" w:sz="4" w:space="0" w:color="auto"/>
              <w:bottom w:val="single" w:sz="4" w:space="0" w:color="auto"/>
              <w:right w:val="single" w:sz="4" w:space="0" w:color="auto"/>
            </w:tcBorders>
            <w:hideMark/>
          </w:tcPr>
          <w:p w:rsidR="00C95C69" w:rsidRDefault="00C95C69">
            <w:pPr>
              <w:pStyle w:val="Tablehead"/>
              <w:rPr>
                <w:lang w:val="en-US"/>
              </w:rPr>
            </w:pPr>
            <w:r>
              <w:rPr>
                <w:lang w:val="en-US"/>
              </w:rPr>
              <w:t>Notes</w:t>
            </w:r>
          </w:p>
        </w:tc>
      </w:tr>
      <w:tr w:rsidR="00C95C69" w:rsidTr="00921542">
        <w:trPr>
          <w:cantSplit/>
          <w:jc w:val="center"/>
        </w:trPr>
        <w:tc>
          <w:tcPr>
            <w:tcW w:w="2932" w:type="dxa"/>
            <w:tcBorders>
              <w:top w:val="single" w:sz="4" w:space="0" w:color="auto"/>
              <w:left w:val="single" w:sz="4" w:space="0" w:color="auto"/>
              <w:bottom w:val="single" w:sz="4" w:space="0" w:color="auto"/>
              <w:right w:val="single" w:sz="4" w:space="0" w:color="auto"/>
            </w:tcBorders>
            <w:hideMark/>
          </w:tcPr>
          <w:p w:rsidR="00C95C69" w:rsidRDefault="00C95C69">
            <w:pPr>
              <w:pStyle w:val="Tabletext"/>
              <w:rPr>
                <w:lang w:val="en-US"/>
              </w:rPr>
            </w:pPr>
            <w:r>
              <w:rPr>
                <w:lang w:val="en-US"/>
              </w:rPr>
              <w:t>Up-link e.i.r.p.</w:t>
            </w:r>
          </w:p>
        </w:tc>
        <w:tc>
          <w:tcPr>
            <w:tcW w:w="2550" w:type="dxa"/>
            <w:tcBorders>
              <w:top w:val="single" w:sz="4" w:space="0" w:color="auto"/>
              <w:left w:val="single" w:sz="4" w:space="0" w:color="auto"/>
              <w:bottom w:val="single" w:sz="4" w:space="0" w:color="auto"/>
              <w:right w:val="single" w:sz="4" w:space="0" w:color="auto"/>
            </w:tcBorders>
            <w:hideMark/>
          </w:tcPr>
          <w:p w:rsidR="00C95C69" w:rsidRDefault="00C95C69">
            <w:pPr>
              <w:pStyle w:val="Tabletext"/>
              <w:jc w:val="center"/>
              <w:rPr>
                <w:lang w:val="en-US"/>
              </w:rPr>
            </w:pPr>
            <w:r>
              <w:rPr>
                <w:lang w:val="en-US"/>
              </w:rPr>
              <w:t>72.1 dBW</w:t>
            </w:r>
          </w:p>
        </w:tc>
        <w:tc>
          <w:tcPr>
            <w:tcW w:w="4157" w:type="dxa"/>
            <w:tcBorders>
              <w:top w:val="single" w:sz="4" w:space="0" w:color="auto"/>
              <w:left w:val="single" w:sz="4" w:space="0" w:color="auto"/>
              <w:bottom w:val="single" w:sz="4" w:space="0" w:color="auto"/>
              <w:right w:val="single" w:sz="4" w:space="0" w:color="auto"/>
            </w:tcBorders>
          </w:tcPr>
          <w:p w:rsidR="00C95C69" w:rsidRDefault="00C95C69">
            <w:pPr>
              <w:pStyle w:val="Tabletext"/>
              <w:jc w:val="center"/>
              <w:rPr>
                <w:lang w:val="en-US"/>
              </w:rPr>
            </w:pPr>
          </w:p>
        </w:tc>
      </w:tr>
      <w:tr w:rsidR="00C95C69" w:rsidRPr="0021422E" w:rsidTr="00921542">
        <w:trPr>
          <w:cantSplit/>
          <w:jc w:val="center"/>
        </w:trPr>
        <w:tc>
          <w:tcPr>
            <w:tcW w:w="2932" w:type="dxa"/>
            <w:tcBorders>
              <w:top w:val="single" w:sz="4" w:space="0" w:color="auto"/>
              <w:left w:val="single" w:sz="4" w:space="0" w:color="auto"/>
              <w:bottom w:val="single" w:sz="4" w:space="0" w:color="auto"/>
              <w:right w:val="single" w:sz="4" w:space="0" w:color="auto"/>
            </w:tcBorders>
            <w:hideMark/>
          </w:tcPr>
          <w:p w:rsidR="00C95C69" w:rsidRDefault="00C95C69">
            <w:pPr>
              <w:pStyle w:val="Tabletext"/>
              <w:rPr>
                <w:lang w:val="en-US"/>
              </w:rPr>
            </w:pPr>
            <w:r>
              <w:rPr>
                <w:lang w:val="en-US"/>
              </w:rPr>
              <w:t>Up-link loss</w:t>
            </w:r>
          </w:p>
        </w:tc>
        <w:tc>
          <w:tcPr>
            <w:tcW w:w="2550" w:type="dxa"/>
            <w:tcBorders>
              <w:top w:val="single" w:sz="4" w:space="0" w:color="auto"/>
              <w:left w:val="single" w:sz="4" w:space="0" w:color="auto"/>
              <w:bottom w:val="single" w:sz="4" w:space="0" w:color="auto"/>
              <w:right w:val="single" w:sz="4" w:space="0" w:color="auto"/>
            </w:tcBorders>
            <w:hideMark/>
          </w:tcPr>
          <w:p w:rsidR="00C95C69" w:rsidRDefault="00C95C69">
            <w:pPr>
              <w:pStyle w:val="Tabletext"/>
              <w:jc w:val="center"/>
              <w:rPr>
                <w:lang w:val="en-US"/>
              </w:rPr>
            </w:pPr>
            <w:r>
              <w:rPr>
                <w:lang w:val="en-US"/>
              </w:rPr>
              <w:t>191.7 dB</w:t>
            </w:r>
          </w:p>
        </w:tc>
        <w:tc>
          <w:tcPr>
            <w:tcW w:w="4157" w:type="dxa"/>
            <w:tcBorders>
              <w:top w:val="single" w:sz="4" w:space="0" w:color="auto"/>
              <w:left w:val="single" w:sz="4" w:space="0" w:color="auto"/>
              <w:bottom w:val="single" w:sz="4" w:space="0" w:color="auto"/>
              <w:right w:val="single" w:sz="4" w:space="0" w:color="auto"/>
            </w:tcBorders>
            <w:hideMark/>
          </w:tcPr>
          <w:p w:rsidR="00C95C69" w:rsidRDefault="00C95C69">
            <w:pPr>
              <w:pStyle w:val="Tabletext"/>
              <w:jc w:val="center"/>
              <w:rPr>
                <w:lang w:val="en-US"/>
              </w:rPr>
            </w:pPr>
            <w:r>
              <w:rPr>
                <w:lang w:val="en-US"/>
              </w:rPr>
              <w:t>Free-space, polarization, and antenna pointing</w:t>
            </w:r>
          </w:p>
        </w:tc>
      </w:tr>
      <w:tr w:rsidR="00C95C69" w:rsidTr="00921542">
        <w:trPr>
          <w:cantSplit/>
          <w:jc w:val="center"/>
        </w:trPr>
        <w:tc>
          <w:tcPr>
            <w:tcW w:w="2932" w:type="dxa"/>
            <w:tcBorders>
              <w:top w:val="single" w:sz="4" w:space="0" w:color="auto"/>
              <w:left w:val="single" w:sz="4" w:space="0" w:color="auto"/>
              <w:bottom w:val="single" w:sz="4" w:space="0" w:color="auto"/>
              <w:right w:val="single" w:sz="4" w:space="0" w:color="auto"/>
            </w:tcBorders>
            <w:hideMark/>
          </w:tcPr>
          <w:p w:rsidR="00C95C69" w:rsidRDefault="00C95C69">
            <w:pPr>
              <w:pStyle w:val="Tabletext"/>
              <w:rPr>
                <w:lang w:val="en-US"/>
              </w:rPr>
            </w:pPr>
            <w:r>
              <w:rPr>
                <w:lang w:val="en-US"/>
              </w:rPr>
              <w:t xml:space="preserve">Up-link </w:t>
            </w:r>
            <w:r>
              <w:rPr>
                <w:i/>
                <w:iCs/>
                <w:lang w:val="en-US"/>
              </w:rPr>
              <w:t>G</w:t>
            </w:r>
            <w:r>
              <w:rPr>
                <w:lang w:val="en-US"/>
              </w:rPr>
              <w:t>/</w:t>
            </w:r>
            <w:r>
              <w:rPr>
                <w:i/>
                <w:iCs/>
                <w:lang w:val="en-US"/>
              </w:rPr>
              <w:t>T</w:t>
            </w:r>
          </w:p>
        </w:tc>
        <w:tc>
          <w:tcPr>
            <w:tcW w:w="2550" w:type="dxa"/>
            <w:tcBorders>
              <w:top w:val="single" w:sz="4" w:space="0" w:color="auto"/>
              <w:left w:val="single" w:sz="4" w:space="0" w:color="auto"/>
              <w:bottom w:val="single" w:sz="4" w:space="0" w:color="auto"/>
              <w:right w:val="single" w:sz="4" w:space="0" w:color="auto"/>
            </w:tcBorders>
            <w:hideMark/>
          </w:tcPr>
          <w:p w:rsidR="00C95C69" w:rsidRDefault="001B6B0B" w:rsidP="001B6B0B">
            <w:pPr>
              <w:pStyle w:val="Tabletext"/>
              <w:jc w:val="center"/>
              <w:rPr>
                <w:lang w:val="en-US"/>
              </w:rPr>
            </w:pPr>
            <w:r>
              <w:rPr>
                <w:lang w:val="en-GB"/>
              </w:rPr>
              <w:t>−</w:t>
            </w:r>
            <w:r w:rsidR="00C95C69">
              <w:rPr>
                <w:lang w:val="en-US"/>
              </w:rPr>
              <w:t>17.5 dB(K</w:t>
            </w:r>
            <w:r w:rsidRPr="001B6B0B">
              <w:rPr>
                <w:vertAlign w:val="superscript"/>
                <w:lang w:val="en-US"/>
              </w:rPr>
              <w:t>−1</w:t>
            </w:r>
            <w:r w:rsidR="00C95C69">
              <w:rPr>
                <w:lang w:val="en-US"/>
              </w:rPr>
              <w:t>)</w:t>
            </w:r>
          </w:p>
        </w:tc>
        <w:tc>
          <w:tcPr>
            <w:tcW w:w="4157" w:type="dxa"/>
            <w:tcBorders>
              <w:top w:val="single" w:sz="4" w:space="0" w:color="auto"/>
              <w:left w:val="single" w:sz="4" w:space="0" w:color="auto"/>
              <w:bottom w:val="single" w:sz="4" w:space="0" w:color="auto"/>
              <w:right w:val="single" w:sz="4" w:space="0" w:color="auto"/>
            </w:tcBorders>
            <w:hideMark/>
          </w:tcPr>
          <w:p w:rsidR="00C95C69" w:rsidRDefault="00C95C69">
            <w:pPr>
              <w:pStyle w:val="Tabletext"/>
              <w:jc w:val="center"/>
              <w:rPr>
                <w:lang w:val="en-US"/>
              </w:rPr>
            </w:pPr>
            <w:r>
              <w:rPr>
                <w:lang w:val="en-US"/>
              </w:rPr>
              <w:t>Post-launch measurement</w:t>
            </w:r>
          </w:p>
        </w:tc>
      </w:tr>
      <w:tr w:rsidR="00C95C69" w:rsidTr="00921542">
        <w:trPr>
          <w:cantSplit/>
          <w:jc w:val="center"/>
        </w:trPr>
        <w:tc>
          <w:tcPr>
            <w:tcW w:w="2932" w:type="dxa"/>
            <w:tcBorders>
              <w:top w:val="single" w:sz="4" w:space="0" w:color="auto"/>
              <w:left w:val="single" w:sz="4" w:space="0" w:color="auto"/>
              <w:bottom w:val="single" w:sz="4" w:space="0" w:color="auto"/>
              <w:right w:val="single" w:sz="4" w:space="0" w:color="auto"/>
            </w:tcBorders>
            <w:hideMark/>
          </w:tcPr>
          <w:p w:rsidR="00C95C69" w:rsidRDefault="00C95C69" w:rsidP="00197FB0">
            <w:pPr>
              <w:pStyle w:val="Tabletext"/>
              <w:rPr>
                <w:lang w:val="en-US"/>
              </w:rPr>
            </w:pPr>
            <w:r>
              <w:rPr>
                <w:lang w:val="en-US"/>
              </w:rPr>
              <w:t xml:space="preserve">Up-link </w:t>
            </w:r>
            <w:r>
              <w:rPr>
                <w:i/>
                <w:iCs/>
                <w:lang w:val="en-US"/>
              </w:rPr>
              <w:t>C</w:t>
            </w:r>
            <w:r>
              <w:rPr>
                <w:lang w:val="en-US"/>
              </w:rPr>
              <w:t>/</w:t>
            </w:r>
            <w:r w:rsidRPr="00197FB0">
              <w:rPr>
                <w:lang w:val="en-US"/>
              </w:rPr>
              <w:t>N</w:t>
            </w:r>
            <w:r w:rsidR="00197FB0" w:rsidRPr="00197FB0">
              <w:rPr>
                <w:vertAlign w:val="subscript"/>
                <w:lang w:val="en-US"/>
              </w:rPr>
              <w:t>0</w:t>
            </w:r>
          </w:p>
        </w:tc>
        <w:tc>
          <w:tcPr>
            <w:tcW w:w="2550" w:type="dxa"/>
            <w:tcBorders>
              <w:top w:val="single" w:sz="4" w:space="0" w:color="auto"/>
              <w:left w:val="single" w:sz="4" w:space="0" w:color="auto"/>
              <w:bottom w:val="single" w:sz="4" w:space="0" w:color="auto"/>
              <w:right w:val="single" w:sz="4" w:space="0" w:color="auto"/>
            </w:tcBorders>
            <w:hideMark/>
          </w:tcPr>
          <w:p w:rsidR="00C95C69" w:rsidRDefault="00C95C69">
            <w:pPr>
              <w:pStyle w:val="Tabletext"/>
              <w:jc w:val="center"/>
              <w:rPr>
                <w:lang w:val="en-US"/>
              </w:rPr>
            </w:pPr>
            <w:r>
              <w:rPr>
                <w:lang w:val="en-US"/>
              </w:rPr>
              <w:t>91.5 dB/Hz</w:t>
            </w:r>
          </w:p>
        </w:tc>
        <w:tc>
          <w:tcPr>
            <w:tcW w:w="4157" w:type="dxa"/>
            <w:tcBorders>
              <w:top w:val="single" w:sz="4" w:space="0" w:color="auto"/>
              <w:left w:val="single" w:sz="4" w:space="0" w:color="auto"/>
              <w:bottom w:val="single" w:sz="4" w:space="0" w:color="auto"/>
              <w:right w:val="single" w:sz="4" w:space="0" w:color="auto"/>
            </w:tcBorders>
          </w:tcPr>
          <w:p w:rsidR="00C95C69" w:rsidRDefault="00C95C69">
            <w:pPr>
              <w:pStyle w:val="Tabletext"/>
              <w:jc w:val="center"/>
              <w:rPr>
                <w:lang w:val="en-US"/>
              </w:rPr>
            </w:pPr>
          </w:p>
        </w:tc>
      </w:tr>
      <w:tr w:rsidR="00C95C69" w:rsidTr="00921542">
        <w:trPr>
          <w:cantSplit/>
          <w:jc w:val="center"/>
        </w:trPr>
        <w:tc>
          <w:tcPr>
            <w:tcW w:w="2932" w:type="dxa"/>
            <w:tcBorders>
              <w:top w:val="single" w:sz="4" w:space="0" w:color="auto"/>
              <w:left w:val="single" w:sz="4" w:space="0" w:color="auto"/>
              <w:bottom w:val="single" w:sz="4" w:space="0" w:color="auto"/>
              <w:right w:val="single" w:sz="4" w:space="0" w:color="auto"/>
            </w:tcBorders>
            <w:hideMark/>
          </w:tcPr>
          <w:p w:rsidR="00C95C69" w:rsidRDefault="00C95C69">
            <w:pPr>
              <w:pStyle w:val="Tabletext"/>
              <w:rPr>
                <w:lang w:val="en-US"/>
              </w:rPr>
            </w:pPr>
            <w:r>
              <w:rPr>
                <w:lang w:val="en-US"/>
              </w:rPr>
              <w:t>Down-link e.i.r.p.</w:t>
            </w:r>
          </w:p>
        </w:tc>
        <w:tc>
          <w:tcPr>
            <w:tcW w:w="2550" w:type="dxa"/>
            <w:tcBorders>
              <w:top w:val="single" w:sz="4" w:space="0" w:color="auto"/>
              <w:left w:val="single" w:sz="4" w:space="0" w:color="auto"/>
              <w:bottom w:val="single" w:sz="4" w:space="0" w:color="auto"/>
              <w:right w:val="single" w:sz="4" w:space="0" w:color="auto"/>
            </w:tcBorders>
            <w:hideMark/>
          </w:tcPr>
          <w:p w:rsidR="00C95C69" w:rsidRDefault="00C95C69">
            <w:pPr>
              <w:pStyle w:val="Tabletext"/>
              <w:jc w:val="center"/>
              <w:rPr>
                <w:lang w:val="en-US"/>
              </w:rPr>
            </w:pPr>
            <w:r>
              <w:rPr>
                <w:lang w:val="en-US"/>
              </w:rPr>
              <w:t>23.8 dBW</w:t>
            </w:r>
          </w:p>
        </w:tc>
        <w:tc>
          <w:tcPr>
            <w:tcW w:w="4157" w:type="dxa"/>
            <w:tcBorders>
              <w:top w:val="single" w:sz="4" w:space="0" w:color="auto"/>
              <w:left w:val="single" w:sz="4" w:space="0" w:color="auto"/>
              <w:bottom w:val="single" w:sz="4" w:space="0" w:color="auto"/>
              <w:right w:val="single" w:sz="4" w:space="0" w:color="auto"/>
            </w:tcBorders>
          </w:tcPr>
          <w:p w:rsidR="00C95C69" w:rsidRDefault="00C95C69">
            <w:pPr>
              <w:pStyle w:val="Tabletext"/>
              <w:jc w:val="center"/>
              <w:rPr>
                <w:lang w:val="en-US"/>
              </w:rPr>
            </w:pPr>
          </w:p>
        </w:tc>
      </w:tr>
      <w:tr w:rsidR="00C95C69" w:rsidRPr="0021422E" w:rsidTr="00921542">
        <w:trPr>
          <w:cantSplit/>
          <w:jc w:val="center"/>
        </w:trPr>
        <w:tc>
          <w:tcPr>
            <w:tcW w:w="2932" w:type="dxa"/>
            <w:tcBorders>
              <w:top w:val="single" w:sz="4" w:space="0" w:color="auto"/>
              <w:left w:val="single" w:sz="4" w:space="0" w:color="auto"/>
              <w:bottom w:val="single" w:sz="4" w:space="0" w:color="auto"/>
              <w:right w:val="single" w:sz="4" w:space="0" w:color="auto"/>
            </w:tcBorders>
            <w:hideMark/>
          </w:tcPr>
          <w:p w:rsidR="00C95C69" w:rsidRDefault="00C95C69">
            <w:pPr>
              <w:pStyle w:val="Tabletext"/>
              <w:rPr>
                <w:lang w:val="en-US"/>
              </w:rPr>
            </w:pPr>
            <w:r>
              <w:rPr>
                <w:lang w:val="en-US"/>
              </w:rPr>
              <w:t>Down-link loss</w:t>
            </w:r>
          </w:p>
        </w:tc>
        <w:tc>
          <w:tcPr>
            <w:tcW w:w="2550" w:type="dxa"/>
            <w:tcBorders>
              <w:top w:val="single" w:sz="4" w:space="0" w:color="auto"/>
              <w:left w:val="single" w:sz="4" w:space="0" w:color="auto"/>
              <w:bottom w:val="single" w:sz="4" w:space="0" w:color="auto"/>
              <w:right w:val="single" w:sz="4" w:space="0" w:color="auto"/>
            </w:tcBorders>
            <w:hideMark/>
          </w:tcPr>
          <w:p w:rsidR="00C95C69" w:rsidRDefault="00C95C69">
            <w:pPr>
              <w:pStyle w:val="Tabletext"/>
              <w:jc w:val="center"/>
              <w:rPr>
                <w:lang w:val="en-US"/>
              </w:rPr>
            </w:pPr>
            <w:r>
              <w:rPr>
                <w:lang w:val="en-US"/>
              </w:rPr>
              <w:t>190.1 dB</w:t>
            </w:r>
          </w:p>
        </w:tc>
        <w:tc>
          <w:tcPr>
            <w:tcW w:w="4157" w:type="dxa"/>
            <w:tcBorders>
              <w:top w:val="single" w:sz="4" w:space="0" w:color="auto"/>
              <w:left w:val="single" w:sz="4" w:space="0" w:color="auto"/>
              <w:bottom w:val="single" w:sz="4" w:space="0" w:color="auto"/>
              <w:right w:val="single" w:sz="4" w:space="0" w:color="auto"/>
            </w:tcBorders>
            <w:hideMark/>
          </w:tcPr>
          <w:p w:rsidR="00C95C69" w:rsidRDefault="00C95C69">
            <w:pPr>
              <w:pStyle w:val="Tabletext"/>
              <w:jc w:val="center"/>
              <w:rPr>
                <w:lang w:val="en-US"/>
              </w:rPr>
            </w:pPr>
            <w:r>
              <w:rPr>
                <w:lang w:val="en-US"/>
              </w:rPr>
              <w:t>Free-space, polarization, and antenna pointing</w:t>
            </w:r>
          </w:p>
        </w:tc>
      </w:tr>
      <w:tr w:rsidR="00C95C69" w:rsidTr="00921542">
        <w:trPr>
          <w:cantSplit/>
          <w:jc w:val="center"/>
        </w:trPr>
        <w:tc>
          <w:tcPr>
            <w:tcW w:w="2932" w:type="dxa"/>
            <w:tcBorders>
              <w:top w:val="single" w:sz="4" w:space="0" w:color="auto"/>
              <w:left w:val="single" w:sz="4" w:space="0" w:color="auto"/>
              <w:bottom w:val="single" w:sz="4" w:space="0" w:color="auto"/>
              <w:right w:val="single" w:sz="4" w:space="0" w:color="auto"/>
            </w:tcBorders>
            <w:hideMark/>
          </w:tcPr>
          <w:p w:rsidR="00C95C69" w:rsidRDefault="00C95C69">
            <w:pPr>
              <w:pStyle w:val="Tabletext"/>
              <w:rPr>
                <w:lang w:val="en-US"/>
              </w:rPr>
            </w:pPr>
            <w:r>
              <w:rPr>
                <w:lang w:val="en-US"/>
              </w:rPr>
              <w:t xml:space="preserve">Down-link </w:t>
            </w:r>
            <w:r>
              <w:rPr>
                <w:i/>
                <w:iCs/>
                <w:lang w:val="en-US"/>
              </w:rPr>
              <w:t>G</w:t>
            </w:r>
            <w:r>
              <w:rPr>
                <w:lang w:val="en-US"/>
              </w:rPr>
              <w:t>/</w:t>
            </w:r>
            <w:r>
              <w:rPr>
                <w:i/>
                <w:iCs/>
                <w:lang w:val="en-US"/>
              </w:rPr>
              <w:t>T</w:t>
            </w:r>
          </w:p>
        </w:tc>
        <w:tc>
          <w:tcPr>
            <w:tcW w:w="2550" w:type="dxa"/>
            <w:tcBorders>
              <w:top w:val="single" w:sz="4" w:space="0" w:color="auto"/>
              <w:left w:val="single" w:sz="4" w:space="0" w:color="auto"/>
              <w:bottom w:val="single" w:sz="4" w:space="0" w:color="auto"/>
              <w:right w:val="single" w:sz="4" w:space="0" w:color="auto"/>
            </w:tcBorders>
            <w:hideMark/>
          </w:tcPr>
          <w:p w:rsidR="00C95C69" w:rsidRDefault="00C95C69" w:rsidP="001B6B0B">
            <w:pPr>
              <w:pStyle w:val="Tabletext"/>
              <w:jc w:val="center"/>
              <w:rPr>
                <w:lang w:val="en-US"/>
              </w:rPr>
            </w:pPr>
            <w:r>
              <w:rPr>
                <w:lang w:val="en-US"/>
              </w:rPr>
              <w:t>15.2 dB(K</w:t>
            </w:r>
            <w:r w:rsidR="001B6B0B" w:rsidRPr="001B6B0B">
              <w:rPr>
                <w:vertAlign w:val="superscript"/>
                <w:lang w:val="en-US"/>
              </w:rPr>
              <w:t>−1</w:t>
            </w:r>
            <w:r>
              <w:rPr>
                <w:lang w:val="en-US"/>
              </w:rPr>
              <w:t>)</w:t>
            </w:r>
          </w:p>
        </w:tc>
        <w:tc>
          <w:tcPr>
            <w:tcW w:w="4157" w:type="dxa"/>
            <w:tcBorders>
              <w:top w:val="single" w:sz="4" w:space="0" w:color="auto"/>
              <w:left w:val="single" w:sz="4" w:space="0" w:color="auto"/>
              <w:bottom w:val="single" w:sz="4" w:space="0" w:color="auto"/>
              <w:right w:val="single" w:sz="4" w:space="0" w:color="auto"/>
            </w:tcBorders>
          </w:tcPr>
          <w:p w:rsidR="00C95C69" w:rsidRDefault="00C95C69">
            <w:pPr>
              <w:pStyle w:val="Tabletext"/>
              <w:jc w:val="center"/>
              <w:rPr>
                <w:lang w:val="en-US"/>
              </w:rPr>
            </w:pPr>
          </w:p>
        </w:tc>
      </w:tr>
      <w:tr w:rsidR="00C95C69" w:rsidTr="00921542">
        <w:trPr>
          <w:cantSplit/>
          <w:jc w:val="center"/>
        </w:trPr>
        <w:tc>
          <w:tcPr>
            <w:tcW w:w="2932" w:type="dxa"/>
            <w:tcBorders>
              <w:top w:val="single" w:sz="4" w:space="0" w:color="auto"/>
              <w:left w:val="single" w:sz="4" w:space="0" w:color="auto"/>
              <w:bottom w:val="single" w:sz="4" w:space="0" w:color="auto"/>
              <w:right w:val="single" w:sz="4" w:space="0" w:color="auto"/>
            </w:tcBorders>
            <w:hideMark/>
          </w:tcPr>
          <w:p w:rsidR="00C95C69" w:rsidRDefault="00C95C69" w:rsidP="00197FB0">
            <w:pPr>
              <w:pStyle w:val="Tabletext"/>
              <w:rPr>
                <w:lang w:val="en-US"/>
              </w:rPr>
            </w:pPr>
            <w:r>
              <w:rPr>
                <w:lang w:val="en-US"/>
              </w:rPr>
              <w:t xml:space="preserve">Down-link </w:t>
            </w:r>
            <w:r>
              <w:rPr>
                <w:i/>
                <w:iCs/>
                <w:lang w:val="en-US"/>
              </w:rPr>
              <w:t>C</w:t>
            </w:r>
            <w:r>
              <w:rPr>
                <w:lang w:val="en-US"/>
              </w:rPr>
              <w:t>/</w:t>
            </w:r>
            <w:r>
              <w:rPr>
                <w:i/>
                <w:iCs/>
                <w:lang w:val="en-US"/>
              </w:rPr>
              <w:t>N</w:t>
            </w:r>
            <w:r w:rsidR="00197FB0" w:rsidRPr="00197FB0">
              <w:rPr>
                <w:vertAlign w:val="subscript"/>
                <w:lang w:val="en-US"/>
              </w:rPr>
              <w:t>0</w:t>
            </w:r>
          </w:p>
        </w:tc>
        <w:tc>
          <w:tcPr>
            <w:tcW w:w="2550" w:type="dxa"/>
            <w:tcBorders>
              <w:top w:val="single" w:sz="4" w:space="0" w:color="auto"/>
              <w:left w:val="single" w:sz="4" w:space="0" w:color="auto"/>
              <w:bottom w:val="single" w:sz="4" w:space="0" w:color="auto"/>
              <w:right w:val="single" w:sz="4" w:space="0" w:color="auto"/>
            </w:tcBorders>
            <w:hideMark/>
          </w:tcPr>
          <w:p w:rsidR="00C95C69" w:rsidRDefault="00C95C69">
            <w:pPr>
              <w:pStyle w:val="Tabletext"/>
              <w:jc w:val="center"/>
              <w:rPr>
                <w:lang w:val="en-US"/>
              </w:rPr>
            </w:pPr>
            <w:r>
              <w:rPr>
                <w:lang w:val="en-US"/>
              </w:rPr>
              <w:t>77.5 dB.Hz</w:t>
            </w:r>
          </w:p>
        </w:tc>
        <w:tc>
          <w:tcPr>
            <w:tcW w:w="4157" w:type="dxa"/>
            <w:tcBorders>
              <w:top w:val="single" w:sz="4" w:space="0" w:color="auto"/>
              <w:left w:val="single" w:sz="4" w:space="0" w:color="auto"/>
              <w:bottom w:val="single" w:sz="4" w:space="0" w:color="auto"/>
              <w:right w:val="single" w:sz="4" w:space="0" w:color="auto"/>
            </w:tcBorders>
          </w:tcPr>
          <w:p w:rsidR="00C95C69" w:rsidRDefault="00C95C69">
            <w:pPr>
              <w:pStyle w:val="Tabletext"/>
              <w:jc w:val="center"/>
              <w:rPr>
                <w:lang w:val="en-US"/>
              </w:rPr>
            </w:pPr>
          </w:p>
        </w:tc>
      </w:tr>
      <w:tr w:rsidR="00C95C69" w:rsidTr="00921542">
        <w:trPr>
          <w:cantSplit/>
          <w:jc w:val="center"/>
        </w:trPr>
        <w:tc>
          <w:tcPr>
            <w:tcW w:w="2932" w:type="dxa"/>
            <w:tcBorders>
              <w:top w:val="single" w:sz="4" w:space="0" w:color="auto"/>
              <w:left w:val="single" w:sz="4" w:space="0" w:color="auto"/>
              <w:bottom w:val="single" w:sz="4" w:space="0" w:color="auto"/>
              <w:right w:val="single" w:sz="4" w:space="0" w:color="auto"/>
            </w:tcBorders>
            <w:hideMark/>
          </w:tcPr>
          <w:p w:rsidR="00C95C69" w:rsidRDefault="00C95C69" w:rsidP="00197FB0">
            <w:pPr>
              <w:pStyle w:val="Tabletext"/>
              <w:rPr>
                <w:lang w:val="en-US"/>
              </w:rPr>
            </w:pPr>
            <w:r>
              <w:rPr>
                <w:lang w:val="en-US"/>
              </w:rPr>
              <w:t xml:space="preserve">Composite </w:t>
            </w:r>
            <w:r>
              <w:rPr>
                <w:i/>
                <w:iCs/>
                <w:lang w:val="en-US"/>
              </w:rPr>
              <w:t>C</w:t>
            </w:r>
            <w:r>
              <w:rPr>
                <w:lang w:val="en-US"/>
              </w:rPr>
              <w:t>/</w:t>
            </w:r>
            <w:r>
              <w:rPr>
                <w:i/>
                <w:iCs/>
                <w:lang w:val="en-US"/>
              </w:rPr>
              <w:t>N</w:t>
            </w:r>
            <w:r w:rsidR="00197FB0" w:rsidRPr="00197FB0">
              <w:rPr>
                <w:vertAlign w:val="subscript"/>
                <w:lang w:val="en-US"/>
              </w:rPr>
              <w:t>0</w:t>
            </w:r>
          </w:p>
        </w:tc>
        <w:tc>
          <w:tcPr>
            <w:tcW w:w="2550" w:type="dxa"/>
            <w:tcBorders>
              <w:top w:val="single" w:sz="4" w:space="0" w:color="auto"/>
              <w:left w:val="single" w:sz="4" w:space="0" w:color="auto"/>
              <w:bottom w:val="single" w:sz="4" w:space="0" w:color="auto"/>
              <w:right w:val="single" w:sz="4" w:space="0" w:color="auto"/>
            </w:tcBorders>
            <w:hideMark/>
          </w:tcPr>
          <w:p w:rsidR="00C95C69" w:rsidRDefault="00C95C69">
            <w:pPr>
              <w:pStyle w:val="Tabletext"/>
              <w:jc w:val="center"/>
              <w:rPr>
                <w:lang w:val="en-US"/>
              </w:rPr>
            </w:pPr>
            <w:r>
              <w:rPr>
                <w:lang w:val="en-US"/>
              </w:rPr>
              <w:t>77.3 dB.Hz</w:t>
            </w:r>
          </w:p>
        </w:tc>
        <w:tc>
          <w:tcPr>
            <w:tcW w:w="4157" w:type="dxa"/>
            <w:tcBorders>
              <w:top w:val="single" w:sz="4" w:space="0" w:color="auto"/>
              <w:left w:val="single" w:sz="4" w:space="0" w:color="auto"/>
              <w:bottom w:val="single" w:sz="4" w:space="0" w:color="auto"/>
              <w:right w:val="single" w:sz="4" w:space="0" w:color="auto"/>
            </w:tcBorders>
          </w:tcPr>
          <w:p w:rsidR="00C95C69" w:rsidRDefault="00C95C69">
            <w:pPr>
              <w:pStyle w:val="Tabletext"/>
              <w:jc w:val="center"/>
              <w:rPr>
                <w:lang w:val="en-US"/>
              </w:rPr>
            </w:pPr>
          </w:p>
        </w:tc>
      </w:tr>
      <w:tr w:rsidR="00C95C69" w:rsidTr="00921542">
        <w:trPr>
          <w:cantSplit/>
          <w:jc w:val="center"/>
        </w:trPr>
        <w:tc>
          <w:tcPr>
            <w:tcW w:w="2932" w:type="dxa"/>
            <w:tcBorders>
              <w:top w:val="single" w:sz="4" w:space="0" w:color="auto"/>
              <w:left w:val="single" w:sz="4" w:space="0" w:color="auto"/>
              <w:bottom w:val="single" w:sz="4" w:space="0" w:color="auto"/>
              <w:right w:val="single" w:sz="4" w:space="0" w:color="auto"/>
            </w:tcBorders>
            <w:hideMark/>
          </w:tcPr>
          <w:p w:rsidR="00C95C69" w:rsidRDefault="00C95C69">
            <w:pPr>
              <w:pStyle w:val="Tabletext"/>
              <w:rPr>
                <w:lang w:val="en-US"/>
              </w:rPr>
            </w:pPr>
            <w:r>
              <w:rPr>
                <w:lang w:val="en-US"/>
              </w:rPr>
              <w:t>Data rate</w:t>
            </w:r>
          </w:p>
        </w:tc>
        <w:tc>
          <w:tcPr>
            <w:tcW w:w="2550" w:type="dxa"/>
            <w:tcBorders>
              <w:top w:val="single" w:sz="4" w:space="0" w:color="auto"/>
              <w:left w:val="single" w:sz="4" w:space="0" w:color="auto"/>
              <w:bottom w:val="single" w:sz="4" w:space="0" w:color="auto"/>
              <w:right w:val="single" w:sz="4" w:space="0" w:color="auto"/>
            </w:tcBorders>
            <w:hideMark/>
          </w:tcPr>
          <w:p w:rsidR="00C95C69" w:rsidRDefault="00C95C69">
            <w:pPr>
              <w:pStyle w:val="Tabletext"/>
              <w:jc w:val="center"/>
              <w:rPr>
                <w:lang w:val="en-US"/>
              </w:rPr>
            </w:pPr>
            <w:r>
              <w:rPr>
                <w:lang w:val="en-US"/>
              </w:rPr>
              <w:t>2.11 Mbit/s</w:t>
            </w:r>
          </w:p>
        </w:tc>
        <w:tc>
          <w:tcPr>
            <w:tcW w:w="4157" w:type="dxa"/>
            <w:tcBorders>
              <w:top w:val="single" w:sz="4" w:space="0" w:color="auto"/>
              <w:left w:val="single" w:sz="4" w:space="0" w:color="auto"/>
              <w:bottom w:val="single" w:sz="4" w:space="0" w:color="auto"/>
              <w:right w:val="single" w:sz="4" w:space="0" w:color="auto"/>
            </w:tcBorders>
          </w:tcPr>
          <w:p w:rsidR="00C95C69" w:rsidRDefault="00C95C69">
            <w:pPr>
              <w:pStyle w:val="Tabletext"/>
              <w:jc w:val="center"/>
              <w:rPr>
                <w:lang w:val="en-US"/>
              </w:rPr>
            </w:pPr>
          </w:p>
        </w:tc>
      </w:tr>
      <w:tr w:rsidR="00C95C69" w:rsidTr="00921542">
        <w:trPr>
          <w:cantSplit/>
          <w:jc w:val="center"/>
        </w:trPr>
        <w:tc>
          <w:tcPr>
            <w:tcW w:w="2932" w:type="dxa"/>
            <w:tcBorders>
              <w:top w:val="single" w:sz="4" w:space="0" w:color="auto"/>
              <w:left w:val="single" w:sz="4" w:space="0" w:color="auto"/>
              <w:bottom w:val="single" w:sz="4" w:space="0" w:color="auto"/>
              <w:right w:val="single" w:sz="4" w:space="0" w:color="auto"/>
            </w:tcBorders>
            <w:hideMark/>
          </w:tcPr>
          <w:p w:rsidR="00C95C69" w:rsidRDefault="00C95C69" w:rsidP="00197FB0">
            <w:pPr>
              <w:pStyle w:val="Tabletext"/>
              <w:rPr>
                <w:lang w:val="en-US"/>
              </w:rPr>
            </w:pPr>
            <w:r>
              <w:rPr>
                <w:lang w:val="en-US"/>
              </w:rPr>
              <w:t xml:space="preserve">Required </w:t>
            </w:r>
            <w:r>
              <w:rPr>
                <w:i/>
                <w:iCs/>
                <w:lang w:val="en-US"/>
              </w:rPr>
              <w:t>C</w:t>
            </w:r>
            <w:r>
              <w:rPr>
                <w:lang w:val="en-US"/>
              </w:rPr>
              <w:t>/</w:t>
            </w:r>
            <w:r>
              <w:rPr>
                <w:i/>
                <w:iCs/>
                <w:lang w:val="en-US"/>
              </w:rPr>
              <w:t>N</w:t>
            </w:r>
            <w:r w:rsidR="00197FB0" w:rsidRPr="00197FB0">
              <w:rPr>
                <w:vertAlign w:val="subscript"/>
                <w:lang w:val="en-US"/>
              </w:rPr>
              <w:t>0</w:t>
            </w:r>
          </w:p>
        </w:tc>
        <w:tc>
          <w:tcPr>
            <w:tcW w:w="2550" w:type="dxa"/>
            <w:tcBorders>
              <w:top w:val="single" w:sz="4" w:space="0" w:color="auto"/>
              <w:left w:val="single" w:sz="4" w:space="0" w:color="auto"/>
              <w:bottom w:val="single" w:sz="4" w:space="0" w:color="auto"/>
              <w:right w:val="single" w:sz="4" w:space="0" w:color="auto"/>
            </w:tcBorders>
            <w:hideMark/>
          </w:tcPr>
          <w:p w:rsidR="00C95C69" w:rsidRDefault="00C95C69">
            <w:pPr>
              <w:pStyle w:val="Tabletext"/>
              <w:jc w:val="center"/>
              <w:rPr>
                <w:lang w:val="en-US"/>
              </w:rPr>
            </w:pPr>
            <w:r>
              <w:rPr>
                <w:lang w:val="en-US"/>
              </w:rPr>
              <w:t>75.9 dB.Hz</w:t>
            </w:r>
          </w:p>
        </w:tc>
        <w:tc>
          <w:tcPr>
            <w:tcW w:w="4157" w:type="dxa"/>
            <w:tcBorders>
              <w:top w:val="single" w:sz="4" w:space="0" w:color="auto"/>
              <w:left w:val="single" w:sz="4" w:space="0" w:color="auto"/>
              <w:bottom w:val="single" w:sz="4" w:space="0" w:color="auto"/>
              <w:right w:val="single" w:sz="4" w:space="0" w:color="auto"/>
            </w:tcBorders>
            <w:hideMark/>
          </w:tcPr>
          <w:p w:rsidR="00462A82" w:rsidRDefault="00C95C69" w:rsidP="001B6B0B">
            <w:pPr>
              <w:pStyle w:val="Tabletext"/>
              <w:jc w:val="center"/>
              <w:rPr>
                <w:position w:val="6"/>
                <w:lang w:val="en-US"/>
              </w:rPr>
            </w:pPr>
            <w:r>
              <w:rPr>
                <w:lang w:val="en-US"/>
              </w:rPr>
              <w:t xml:space="preserve">BER </w:t>
            </w:r>
            <w:r>
              <w:rPr>
                <w:rFonts w:ascii="Symbol" w:hAnsi="Symbol"/>
                <w:lang w:val="en-US"/>
              </w:rPr>
              <w:t></w:t>
            </w:r>
            <w:r>
              <w:rPr>
                <w:lang w:val="en-US"/>
              </w:rPr>
              <w:t xml:space="preserve"> 1 </w:t>
            </w:r>
            <w:r>
              <w:rPr>
                <w:rFonts w:ascii="Symbol" w:hAnsi="Symbol"/>
                <w:lang w:val="en-US"/>
              </w:rPr>
              <w:t></w:t>
            </w:r>
            <w:r>
              <w:rPr>
                <w:lang w:val="en-US"/>
              </w:rPr>
              <w:t xml:space="preserve"> 10</w:t>
            </w:r>
            <w:r w:rsidR="001B6B0B" w:rsidRPr="001B6B0B">
              <w:rPr>
                <w:vertAlign w:val="superscript"/>
                <w:lang w:val="en-US"/>
              </w:rPr>
              <w:t>−6</w:t>
            </w:r>
          </w:p>
          <w:p w:rsidR="00C95C69" w:rsidRDefault="00C95C69" w:rsidP="00462A82">
            <w:pPr>
              <w:pStyle w:val="Tabletext"/>
              <w:jc w:val="center"/>
              <w:rPr>
                <w:lang w:val="en-US"/>
              </w:rPr>
            </w:pPr>
            <w:r>
              <w:rPr>
                <w:lang w:val="en-US"/>
              </w:rPr>
              <w:t>1.9 dB implementation loss</w:t>
            </w:r>
          </w:p>
        </w:tc>
      </w:tr>
      <w:tr w:rsidR="00C95C69" w:rsidTr="00921542">
        <w:trPr>
          <w:cantSplit/>
          <w:jc w:val="center"/>
        </w:trPr>
        <w:tc>
          <w:tcPr>
            <w:tcW w:w="2932" w:type="dxa"/>
            <w:tcBorders>
              <w:top w:val="single" w:sz="4" w:space="0" w:color="auto"/>
              <w:left w:val="single" w:sz="4" w:space="0" w:color="auto"/>
              <w:bottom w:val="single" w:sz="4" w:space="0" w:color="auto"/>
              <w:right w:val="single" w:sz="4" w:space="0" w:color="auto"/>
            </w:tcBorders>
            <w:hideMark/>
          </w:tcPr>
          <w:p w:rsidR="00C95C69" w:rsidRDefault="00C95C69">
            <w:pPr>
              <w:pStyle w:val="Tabletext"/>
              <w:rPr>
                <w:lang w:val="en-US"/>
              </w:rPr>
            </w:pPr>
            <w:r>
              <w:rPr>
                <w:lang w:val="en-US"/>
              </w:rPr>
              <w:t>Margin</w:t>
            </w:r>
          </w:p>
        </w:tc>
        <w:tc>
          <w:tcPr>
            <w:tcW w:w="2550" w:type="dxa"/>
            <w:tcBorders>
              <w:top w:val="single" w:sz="4" w:space="0" w:color="auto"/>
              <w:left w:val="single" w:sz="4" w:space="0" w:color="auto"/>
              <w:bottom w:val="single" w:sz="4" w:space="0" w:color="auto"/>
              <w:right w:val="single" w:sz="4" w:space="0" w:color="auto"/>
            </w:tcBorders>
            <w:hideMark/>
          </w:tcPr>
          <w:p w:rsidR="00C95C69" w:rsidRDefault="00C95C69">
            <w:pPr>
              <w:pStyle w:val="Tabletext"/>
              <w:jc w:val="center"/>
              <w:rPr>
                <w:lang w:val="en-US"/>
              </w:rPr>
            </w:pPr>
            <w:r>
              <w:rPr>
                <w:lang w:val="en-US"/>
              </w:rPr>
              <w:t>1.4 dB</w:t>
            </w:r>
          </w:p>
        </w:tc>
        <w:tc>
          <w:tcPr>
            <w:tcW w:w="4157" w:type="dxa"/>
            <w:tcBorders>
              <w:top w:val="single" w:sz="4" w:space="0" w:color="auto"/>
              <w:left w:val="single" w:sz="4" w:space="0" w:color="auto"/>
              <w:bottom w:val="single" w:sz="4" w:space="0" w:color="auto"/>
              <w:right w:val="single" w:sz="4" w:space="0" w:color="auto"/>
            </w:tcBorders>
          </w:tcPr>
          <w:p w:rsidR="00C95C69" w:rsidRDefault="00C95C69">
            <w:pPr>
              <w:pStyle w:val="Tabletext"/>
              <w:jc w:val="center"/>
              <w:rPr>
                <w:lang w:val="en-US"/>
              </w:rPr>
            </w:pPr>
          </w:p>
        </w:tc>
      </w:tr>
    </w:tbl>
    <w:p w:rsidR="00921542" w:rsidRDefault="00921542">
      <w:r>
        <w:br w:type="page"/>
      </w:r>
    </w:p>
    <w:p w:rsidR="00921542" w:rsidRPr="00C95C69" w:rsidRDefault="00921542" w:rsidP="00921542">
      <w:pPr>
        <w:pStyle w:val="TableNo"/>
        <w:rPr>
          <w:lang w:val="en-GB"/>
        </w:rPr>
      </w:pPr>
      <w:r w:rsidRPr="00C95C69">
        <w:rPr>
          <w:lang w:val="en-GB"/>
        </w:rPr>
        <w:lastRenderedPageBreak/>
        <w:t>TABLE 3</w:t>
      </w:r>
      <w:r>
        <w:rPr>
          <w:lang w:val="en-GB"/>
        </w:rPr>
        <w:t xml:space="preserve"> (</w:t>
      </w:r>
      <w:r w:rsidRPr="00921542">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623"/>
        <w:gridCol w:w="1309"/>
        <w:gridCol w:w="2550"/>
        <w:gridCol w:w="4157"/>
      </w:tblGrid>
      <w:tr w:rsidR="00921542" w:rsidTr="00081CD6">
        <w:trPr>
          <w:cantSplit/>
          <w:tblHeader/>
          <w:jc w:val="center"/>
        </w:trPr>
        <w:tc>
          <w:tcPr>
            <w:tcW w:w="2932" w:type="dxa"/>
            <w:gridSpan w:val="2"/>
            <w:tcBorders>
              <w:top w:val="single" w:sz="4" w:space="0" w:color="auto"/>
              <w:left w:val="single" w:sz="4" w:space="0" w:color="auto"/>
              <w:bottom w:val="single" w:sz="4" w:space="0" w:color="auto"/>
              <w:right w:val="single" w:sz="4" w:space="0" w:color="auto"/>
            </w:tcBorders>
            <w:hideMark/>
          </w:tcPr>
          <w:p w:rsidR="00921542" w:rsidRDefault="00921542" w:rsidP="00081CD6">
            <w:pPr>
              <w:pStyle w:val="Tablehead"/>
              <w:rPr>
                <w:lang w:val="en-US"/>
              </w:rPr>
            </w:pPr>
            <w:r>
              <w:rPr>
                <w:lang w:val="en-US"/>
              </w:rPr>
              <w:t>Link parameter</w:t>
            </w:r>
          </w:p>
        </w:tc>
        <w:tc>
          <w:tcPr>
            <w:tcW w:w="2550" w:type="dxa"/>
            <w:tcBorders>
              <w:top w:val="single" w:sz="4" w:space="0" w:color="auto"/>
              <w:left w:val="single" w:sz="4" w:space="0" w:color="auto"/>
              <w:bottom w:val="single" w:sz="4" w:space="0" w:color="auto"/>
              <w:right w:val="single" w:sz="4" w:space="0" w:color="auto"/>
            </w:tcBorders>
            <w:hideMark/>
          </w:tcPr>
          <w:p w:rsidR="00921542" w:rsidRDefault="00921542" w:rsidP="00081CD6">
            <w:pPr>
              <w:pStyle w:val="Tablehead"/>
              <w:rPr>
                <w:lang w:val="en-US"/>
              </w:rPr>
            </w:pPr>
            <w:r>
              <w:rPr>
                <w:lang w:val="en-US"/>
              </w:rPr>
              <w:t>Value</w:t>
            </w:r>
          </w:p>
        </w:tc>
        <w:tc>
          <w:tcPr>
            <w:tcW w:w="4157" w:type="dxa"/>
            <w:tcBorders>
              <w:top w:val="single" w:sz="4" w:space="0" w:color="auto"/>
              <w:left w:val="single" w:sz="4" w:space="0" w:color="auto"/>
              <w:bottom w:val="single" w:sz="4" w:space="0" w:color="auto"/>
              <w:right w:val="single" w:sz="4" w:space="0" w:color="auto"/>
            </w:tcBorders>
            <w:hideMark/>
          </w:tcPr>
          <w:p w:rsidR="00921542" w:rsidRDefault="00921542" w:rsidP="00081CD6">
            <w:pPr>
              <w:pStyle w:val="Tablehead"/>
              <w:rPr>
                <w:lang w:val="en-US"/>
              </w:rPr>
            </w:pPr>
            <w:r>
              <w:rPr>
                <w:lang w:val="en-US"/>
              </w:rPr>
              <w:t>Notes</w:t>
            </w:r>
          </w:p>
        </w:tc>
      </w:tr>
      <w:tr w:rsidR="00C95C69" w:rsidTr="00921542">
        <w:trPr>
          <w:cantSplit/>
          <w:jc w:val="center"/>
        </w:trPr>
        <w:tc>
          <w:tcPr>
            <w:tcW w:w="2932" w:type="dxa"/>
            <w:gridSpan w:val="2"/>
            <w:tcBorders>
              <w:top w:val="single" w:sz="4" w:space="0" w:color="auto"/>
              <w:left w:val="single" w:sz="4" w:space="0" w:color="auto"/>
              <w:bottom w:val="single" w:sz="4" w:space="0" w:color="auto"/>
              <w:right w:val="single" w:sz="4" w:space="0" w:color="auto"/>
            </w:tcBorders>
            <w:hideMark/>
          </w:tcPr>
          <w:p w:rsidR="00C95C69" w:rsidRDefault="00C95C69">
            <w:pPr>
              <w:pStyle w:val="Tabletext"/>
              <w:rPr>
                <w:lang w:val="en-US"/>
              </w:rPr>
            </w:pPr>
            <w:r>
              <w:rPr>
                <w:lang w:val="en-US"/>
              </w:rPr>
              <w:t>Up-link receive antenna gain</w:t>
            </w:r>
          </w:p>
        </w:tc>
        <w:tc>
          <w:tcPr>
            <w:tcW w:w="2550" w:type="dxa"/>
            <w:tcBorders>
              <w:top w:val="single" w:sz="4" w:space="0" w:color="auto"/>
              <w:left w:val="single" w:sz="4" w:space="0" w:color="auto"/>
              <w:bottom w:val="single" w:sz="4" w:space="0" w:color="auto"/>
              <w:right w:val="single" w:sz="4" w:space="0" w:color="auto"/>
            </w:tcBorders>
            <w:hideMark/>
          </w:tcPr>
          <w:p w:rsidR="00C95C69" w:rsidRDefault="00C95C69">
            <w:pPr>
              <w:pStyle w:val="Tabletext"/>
              <w:jc w:val="center"/>
              <w:rPr>
                <w:lang w:val="en-US"/>
              </w:rPr>
            </w:pPr>
            <w:r>
              <w:rPr>
                <w:lang w:val="en-US"/>
              </w:rPr>
              <w:t>9.5 dBi</w:t>
            </w:r>
          </w:p>
        </w:tc>
        <w:tc>
          <w:tcPr>
            <w:tcW w:w="4157" w:type="dxa"/>
            <w:tcBorders>
              <w:top w:val="single" w:sz="4" w:space="0" w:color="auto"/>
              <w:left w:val="single" w:sz="4" w:space="0" w:color="auto"/>
              <w:bottom w:val="single" w:sz="4" w:space="0" w:color="auto"/>
              <w:right w:val="single" w:sz="4" w:space="0" w:color="auto"/>
            </w:tcBorders>
          </w:tcPr>
          <w:p w:rsidR="00C95C69" w:rsidRDefault="00C95C69">
            <w:pPr>
              <w:pStyle w:val="Tabletext"/>
              <w:jc w:val="center"/>
              <w:rPr>
                <w:lang w:val="en-US"/>
              </w:rPr>
            </w:pPr>
          </w:p>
        </w:tc>
      </w:tr>
      <w:tr w:rsidR="00C95C69" w:rsidTr="00921542">
        <w:trPr>
          <w:cantSplit/>
          <w:jc w:val="center"/>
        </w:trPr>
        <w:tc>
          <w:tcPr>
            <w:tcW w:w="2932" w:type="dxa"/>
            <w:gridSpan w:val="2"/>
            <w:tcBorders>
              <w:top w:val="single" w:sz="4" w:space="0" w:color="auto"/>
              <w:left w:val="single" w:sz="4" w:space="0" w:color="auto"/>
              <w:bottom w:val="single" w:sz="4" w:space="0" w:color="auto"/>
              <w:right w:val="single" w:sz="4" w:space="0" w:color="auto"/>
            </w:tcBorders>
            <w:hideMark/>
          </w:tcPr>
          <w:p w:rsidR="00C95C69" w:rsidRDefault="00C95C69">
            <w:pPr>
              <w:pStyle w:val="Tabletext"/>
              <w:rPr>
                <w:lang w:val="en-US"/>
              </w:rPr>
            </w:pPr>
            <w:r>
              <w:rPr>
                <w:lang w:val="en-US"/>
              </w:rPr>
              <w:t>Up-link noise density</w:t>
            </w:r>
          </w:p>
        </w:tc>
        <w:tc>
          <w:tcPr>
            <w:tcW w:w="2550" w:type="dxa"/>
            <w:tcBorders>
              <w:top w:val="single" w:sz="4" w:space="0" w:color="auto"/>
              <w:left w:val="single" w:sz="4" w:space="0" w:color="auto"/>
              <w:bottom w:val="single" w:sz="4" w:space="0" w:color="auto"/>
              <w:right w:val="single" w:sz="4" w:space="0" w:color="auto"/>
            </w:tcBorders>
            <w:hideMark/>
          </w:tcPr>
          <w:p w:rsidR="00C95C69" w:rsidRDefault="001B6B0B">
            <w:pPr>
              <w:pStyle w:val="Tabletext"/>
              <w:jc w:val="center"/>
              <w:rPr>
                <w:lang w:val="en-US"/>
              </w:rPr>
            </w:pPr>
            <w:r>
              <w:rPr>
                <w:lang w:val="en-GB"/>
              </w:rPr>
              <w:t>−</w:t>
            </w:r>
            <w:r w:rsidR="00C95C69">
              <w:rPr>
                <w:lang w:val="en-US"/>
              </w:rPr>
              <w:t>201.6 dB(W/Hz)</w:t>
            </w:r>
          </w:p>
        </w:tc>
        <w:tc>
          <w:tcPr>
            <w:tcW w:w="4157" w:type="dxa"/>
            <w:tcBorders>
              <w:top w:val="single" w:sz="4" w:space="0" w:color="auto"/>
              <w:left w:val="single" w:sz="4" w:space="0" w:color="auto"/>
              <w:bottom w:val="single" w:sz="4" w:space="0" w:color="auto"/>
              <w:right w:val="single" w:sz="4" w:space="0" w:color="auto"/>
            </w:tcBorders>
            <w:hideMark/>
          </w:tcPr>
          <w:p w:rsidR="00C95C69" w:rsidRDefault="00C95C69">
            <w:pPr>
              <w:pStyle w:val="Tabletext"/>
              <w:jc w:val="center"/>
              <w:rPr>
                <w:lang w:val="en-US"/>
              </w:rPr>
            </w:pPr>
            <w:r>
              <w:rPr>
                <w:i/>
                <w:iCs/>
                <w:lang w:val="en-US"/>
              </w:rPr>
              <w:t>T</w:t>
            </w:r>
            <w:r>
              <w:rPr>
                <w:lang w:val="en-US"/>
              </w:rPr>
              <w:t xml:space="preserve"> </w:t>
            </w:r>
            <w:r>
              <w:rPr>
                <w:rFonts w:ascii="Symbol" w:hAnsi="Symbol"/>
                <w:lang w:val="en-US"/>
              </w:rPr>
              <w:t></w:t>
            </w:r>
            <w:r>
              <w:rPr>
                <w:lang w:val="en-US"/>
              </w:rPr>
              <w:t xml:space="preserve"> 500 K</w:t>
            </w:r>
          </w:p>
        </w:tc>
      </w:tr>
      <w:tr w:rsidR="00C95C69" w:rsidTr="00921542">
        <w:trPr>
          <w:cantSplit/>
          <w:trHeight w:val="361"/>
          <w:jc w:val="center"/>
        </w:trPr>
        <w:tc>
          <w:tcPr>
            <w:tcW w:w="1623" w:type="dxa"/>
            <w:vMerge w:val="restart"/>
            <w:tcBorders>
              <w:top w:val="single" w:sz="4" w:space="0" w:color="auto"/>
              <w:left w:val="single" w:sz="4" w:space="0" w:color="auto"/>
              <w:bottom w:val="single" w:sz="4" w:space="0" w:color="auto"/>
              <w:right w:val="single" w:sz="4" w:space="0" w:color="auto"/>
            </w:tcBorders>
            <w:hideMark/>
          </w:tcPr>
          <w:p w:rsidR="00C95C69" w:rsidRDefault="00C95C69" w:rsidP="00921542">
            <w:pPr>
              <w:pStyle w:val="Tabletext"/>
              <w:jc w:val="left"/>
              <w:rPr>
                <w:lang w:val="en-US"/>
              </w:rPr>
            </w:pPr>
            <w:r>
              <w:rPr>
                <w:lang w:val="en-US"/>
              </w:rPr>
              <w:t>Up-link interference criterion (2 025-2 110 MHz)</w:t>
            </w:r>
          </w:p>
        </w:tc>
        <w:tc>
          <w:tcPr>
            <w:tcW w:w="1309" w:type="dxa"/>
            <w:tcBorders>
              <w:top w:val="single" w:sz="4" w:space="0" w:color="auto"/>
              <w:left w:val="single" w:sz="4" w:space="0" w:color="auto"/>
              <w:bottom w:val="single" w:sz="4" w:space="0" w:color="auto"/>
              <w:right w:val="single" w:sz="4" w:space="0" w:color="auto"/>
            </w:tcBorders>
            <w:hideMark/>
          </w:tcPr>
          <w:p w:rsidR="00C95C69" w:rsidRDefault="00C95C69">
            <w:pPr>
              <w:pStyle w:val="Tabletext"/>
              <w:rPr>
                <w:lang w:val="en-US"/>
              </w:rPr>
            </w:pPr>
            <w:r>
              <w:rPr>
                <w:lang w:val="en-US"/>
              </w:rPr>
              <w:t>Long-term</w:t>
            </w:r>
          </w:p>
        </w:tc>
        <w:tc>
          <w:tcPr>
            <w:tcW w:w="2550" w:type="dxa"/>
            <w:tcBorders>
              <w:top w:val="single" w:sz="4" w:space="0" w:color="auto"/>
              <w:left w:val="single" w:sz="4" w:space="0" w:color="auto"/>
              <w:bottom w:val="single" w:sz="4" w:space="0" w:color="auto"/>
              <w:right w:val="single" w:sz="4" w:space="0" w:color="auto"/>
            </w:tcBorders>
            <w:hideMark/>
          </w:tcPr>
          <w:p w:rsidR="00C95C69" w:rsidRDefault="001B6B0B">
            <w:pPr>
              <w:pStyle w:val="Tabletext"/>
              <w:jc w:val="center"/>
              <w:rPr>
                <w:lang w:val="en-US"/>
              </w:rPr>
            </w:pPr>
            <w:r>
              <w:rPr>
                <w:lang w:val="en-GB"/>
              </w:rPr>
              <w:t>−</w:t>
            </w:r>
            <w:r w:rsidR="00C95C69">
              <w:rPr>
                <w:lang w:val="en-US"/>
              </w:rPr>
              <w:t>136.7 dB(W/2.11 MHz)</w:t>
            </w:r>
          </w:p>
        </w:tc>
        <w:tc>
          <w:tcPr>
            <w:tcW w:w="4157" w:type="dxa"/>
            <w:tcBorders>
              <w:top w:val="single" w:sz="4" w:space="0" w:color="auto"/>
              <w:left w:val="single" w:sz="4" w:space="0" w:color="auto"/>
              <w:bottom w:val="single" w:sz="4" w:space="0" w:color="auto"/>
              <w:right w:val="single" w:sz="4" w:space="0" w:color="auto"/>
            </w:tcBorders>
            <w:hideMark/>
          </w:tcPr>
          <w:p w:rsidR="00C95C69" w:rsidRDefault="00C95C69">
            <w:pPr>
              <w:pStyle w:val="Tabletext"/>
              <w:jc w:val="center"/>
              <w:rPr>
                <w:lang w:val="en-US"/>
              </w:rPr>
            </w:pPr>
            <w:r>
              <w:rPr>
                <w:i/>
                <w:iCs/>
                <w:lang w:val="en-US"/>
              </w:rPr>
              <w:t>q</w:t>
            </w:r>
            <w:r>
              <w:rPr>
                <w:lang w:val="en-US"/>
              </w:rPr>
              <w:t xml:space="preserve"> </w:t>
            </w:r>
            <w:r>
              <w:rPr>
                <w:rFonts w:ascii="Symbol" w:hAnsi="Symbol"/>
                <w:lang w:val="en-US"/>
              </w:rPr>
              <w:t></w:t>
            </w:r>
            <w:r>
              <w:rPr>
                <w:lang w:val="en-US"/>
              </w:rPr>
              <w:t xml:space="preserve"> 1/3</w:t>
            </w:r>
          </w:p>
        </w:tc>
      </w:tr>
      <w:tr w:rsidR="00C95C69" w:rsidTr="00921542">
        <w:trPr>
          <w:cantSplit/>
          <w:jc w:val="center"/>
        </w:trPr>
        <w:tc>
          <w:tcPr>
            <w:tcW w:w="1623" w:type="dxa"/>
            <w:vMerge/>
            <w:tcBorders>
              <w:top w:val="single" w:sz="4" w:space="0" w:color="auto"/>
              <w:left w:val="single" w:sz="4" w:space="0" w:color="auto"/>
              <w:bottom w:val="single" w:sz="4" w:space="0" w:color="auto"/>
              <w:right w:val="single" w:sz="4" w:space="0" w:color="auto"/>
            </w:tcBorders>
            <w:vAlign w:val="center"/>
            <w:hideMark/>
          </w:tcPr>
          <w:p w:rsidR="00C95C69" w:rsidRDefault="00C95C69">
            <w:pPr>
              <w:overflowPunct/>
              <w:autoSpaceDE/>
              <w:autoSpaceDN/>
              <w:adjustRightInd/>
              <w:spacing w:before="0"/>
              <w:rPr>
                <w:sz w:val="20"/>
                <w:lang w:val="en-US"/>
              </w:rPr>
            </w:pPr>
          </w:p>
        </w:tc>
        <w:tc>
          <w:tcPr>
            <w:tcW w:w="1309" w:type="dxa"/>
            <w:tcBorders>
              <w:top w:val="single" w:sz="4" w:space="0" w:color="auto"/>
              <w:left w:val="single" w:sz="4" w:space="0" w:color="auto"/>
              <w:bottom w:val="single" w:sz="4" w:space="0" w:color="auto"/>
              <w:right w:val="single" w:sz="4" w:space="0" w:color="auto"/>
            </w:tcBorders>
            <w:hideMark/>
          </w:tcPr>
          <w:p w:rsidR="00C95C69" w:rsidRDefault="00C95C69">
            <w:pPr>
              <w:pStyle w:val="Tabletext"/>
              <w:rPr>
                <w:lang w:val="en-US"/>
              </w:rPr>
            </w:pPr>
            <w:r>
              <w:rPr>
                <w:lang w:val="en-US"/>
              </w:rPr>
              <w:t>Short-term</w:t>
            </w:r>
          </w:p>
        </w:tc>
        <w:tc>
          <w:tcPr>
            <w:tcW w:w="2550" w:type="dxa"/>
            <w:tcBorders>
              <w:top w:val="single" w:sz="4" w:space="0" w:color="auto"/>
              <w:left w:val="single" w:sz="4" w:space="0" w:color="auto"/>
              <w:bottom w:val="single" w:sz="4" w:space="0" w:color="auto"/>
              <w:right w:val="single" w:sz="4" w:space="0" w:color="auto"/>
            </w:tcBorders>
            <w:hideMark/>
          </w:tcPr>
          <w:p w:rsidR="00C95C69" w:rsidRDefault="001B6B0B">
            <w:pPr>
              <w:pStyle w:val="Tabletext"/>
              <w:jc w:val="center"/>
              <w:rPr>
                <w:lang w:val="en-US"/>
              </w:rPr>
            </w:pPr>
            <w:r>
              <w:rPr>
                <w:lang w:val="en-GB"/>
              </w:rPr>
              <w:t>−</w:t>
            </w:r>
            <w:r w:rsidR="00C95C69">
              <w:rPr>
                <w:lang w:val="en-US"/>
              </w:rPr>
              <w:t>133.4 dB(W/2.11 MHz)</w:t>
            </w:r>
          </w:p>
        </w:tc>
        <w:tc>
          <w:tcPr>
            <w:tcW w:w="4157" w:type="dxa"/>
            <w:tcBorders>
              <w:top w:val="single" w:sz="4" w:space="0" w:color="auto"/>
              <w:left w:val="single" w:sz="4" w:space="0" w:color="auto"/>
              <w:bottom w:val="single" w:sz="4" w:space="0" w:color="auto"/>
              <w:right w:val="single" w:sz="4" w:space="0" w:color="auto"/>
            </w:tcBorders>
            <w:hideMark/>
          </w:tcPr>
          <w:p w:rsidR="00C95C69" w:rsidRDefault="00C95C69">
            <w:pPr>
              <w:pStyle w:val="Tabletext"/>
              <w:jc w:val="center"/>
              <w:rPr>
                <w:lang w:val="en-US"/>
              </w:rPr>
            </w:pPr>
            <w:r>
              <w:rPr>
                <w:i/>
                <w:iCs/>
                <w:lang w:val="en-US"/>
              </w:rPr>
              <w:t>q</w:t>
            </w:r>
            <w:r>
              <w:rPr>
                <w:lang w:val="en-US"/>
              </w:rPr>
              <w:t xml:space="preserve"> </w:t>
            </w:r>
            <w:r>
              <w:rPr>
                <w:rFonts w:ascii="Symbol" w:hAnsi="Symbol"/>
                <w:lang w:val="en-US"/>
              </w:rPr>
              <w:t></w:t>
            </w:r>
            <w:r>
              <w:rPr>
                <w:lang w:val="en-US"/>
              </w:rPr>
              <w:t xml:space="preserve"> 1</w:t>
            </w:r>
          </w:p>
        </w:tc>
      </w:tr>
      <w:tr w:rsidR="00C95C69" w:rsidTr="00921542">
        <w:trPr>
          <w:cantSplit/>
          <w:jc w:val="center"/>
        </w:trPr>
        <w:tc>
          <w:tcPr>
            <w:tcW w:w="2932" w:type="dxa"/>
            <w:gridSpan w:val="2"/>
            <w:tcBorders>
              <w:top w:val="single" w:sz="4" w:space="0" w:color="auto"/>
              <w:left w:val="single" w:sz="4" w:space="0" w:color="auto"/>
              <w:bottom w:val="single" w:sz="4" w:space="0" w:color="auto"/>
              <w:right w:val="single" w:sz="4" w:space="0" w:color="auto"/>
            </w:tcBorders>
            <w:hideMark/>
          </w:tcPr>
          <w:p w:rsidR="00C95C69" w:rsidRDefault="00C95C69">
            <w:pPr>
              <w:pStyle w:val="Tabletext"/>
              <w:rPr>
                <w:lang w:val="en-US"/>
              </w:rPr>
            </w:pPr>
            <w:r>
              <w:rPr>
                <w:lang w:val="en-US"/>
              </w:rPr>
              <w:t>Down-link receive antenna gain</w:t>
            </w:r>
          </w:p>
        </w:tc>
        <w:tc>
          <w:tcPr>
            <w:tcW w:w="2550" w:type="dxa"/>
            <w:tcBorders>
              <w:top w:val="single" w:sz="4" w:space="0" w:color="auto"/>
              <w:left w:val="single" w:sz="4" w:space="0" w:color="auto"/>
              <w:bottom w:val="single" w:sz="4" w:space="0" w:color="auto"/>
              <w:right w:val="single" w:sz="4" w:space="0" w:color="auto"/>
            </w:tcBorders>
            <w:hideMark/>
          </w:tcPr>
          <w:p w:rsidR="00C95C69" w:rsidRDefault="00C95C69">
            <w:pPr>
              <w:pStyle w:val="Tabletext"/>
              <w:jc w:val="center"/>
              <w:rPr>
                <w:lang w:val="en-US"/>
              </w:rPr>
            </w:pPr>
            <w:r>
              <w:rPr>
                <w:lang w:val="en-US"/>
              </w:rPr>
              <w:t>39.5 dBi</w:t>
            </w:r>
          </w:p>
        </w:tc>
        <w:tc>
          <w:tcPr>
            <w:tcW w:w="4157" w:type="dxa"/>
            <w:tcBorders>
              <w:top w:val="single" w:sz="4" w:space="0" w:color="auto"/>
              <w:left w:val="single" w:sz="4" w:space="0" w:color="auto"/>
              <w:bottom w:val="single" w:sz="4" w:space="0" w:color="auto"/>
              <w:right w:val="single" w:sz="4" w:space="0" w:color="auto"/>
            </w:tcBorders>
          </w:tcPr>
          <w:p w:rsidR="00C95C69" w:rsidRDefault="00C95C69">
            <w:pPr>
              <w:pStyle w:val="Tabletext"/>
              <w:jc w:val="center"/>
              <w:rPr>
                <w:lang w:val="en-US"/>
              </w:rPr>
            </w:pPr>
          </w:p>
        </w:tc>
      </w:tr>
      <w:tr w:rsidR="00C95C69" w:rsidTr="00921542">
        <w:trPr>
          <w:cantSplit/>
          <w:jc w:val="center"/>
        </w:trPr>
        <w:tc>
          <w:tcPr>
            <w:tcW w:w="2932" w:type="dxa"/>
            <w:gridSpan w:val="2"/>
            <w:tcBorders>
              <w:top w:val="single" w:sz="4" w:space="0" w:color="auto"/>
              <w:left w:val="single" w:sz="4" w:space="0" w:color="auto"/>
              <w:bottom w:val="single" w:sz="4" w:space="0" w:color="auto"/>
              <w:right w:val="single" w:sz="4" w:space="0" w:color="auto"/>
            </w:tcBorders>
            <w:hideMark/>
          </w:tcPr>
          <w:p w:rsidR="00C95C69" w:rsidRDefault="00C95C69">
            <w:pPr>
              <w:pStyle w:val="Tabletext"/>
              <w:rPr>
                <w:lang w:val="en-US"/>
              </w:rPr>
            </w:pPr>
            <w:r>
              <w:rPr>
                <w:lang w:val="en-US"/>
              </w:rPr>
              <w:t>Down-link noise density</w:t>
            </w:r>
          </w:p>
        </w:tc>
        <w:tc>
          <w:tcPr>
            <w:tcW w:w="2550" w:type="dxa"/>
            <w:tcBorders>
              <w:top w:val="single" w:sz="4" w:space="0" w:color="auto"/>
              <w:left w:val="single" w:sz="4" w:space="0" w:color="auto"/>
              <w:bottom w:val="single" w:sz="4" w:space="0" w:color="auto"/>
              <w:right w:val="single" w:sz="4" w:space="0" w:color="auto"/>
            </w:tcBorders>
            <w:hideMark/>
          </w:tcPr>
          <w:p w:rsidR="00C95C69" w:rsidRDefault="001B6B0B">
            <w:pPr>
              <w:pStyle w:val="Tabletext"/>
              <w:jc w:val="center"/>
              <w:rPr>
                <w:lang w:val="en-US"/>
              </w:rPr>
            </w:pPr>
            <w:r>
              <w:rPr>
                <w:lang w:val="en-GB"/>
              </w:rPr>
              <w:t>−</w:t>
            </w:r>
            <w:r w:rsidR="00C95C69">
              <w:rPr>
                <w:lang w:val="en-US"/>
              </w:rPr>
              <w:t>204.3 dB(W/Hz)</w:t>
            </w:r>
          </w:p>
        </w:tc>
        <w:tc>
          <w:tcPr>
            <w:tcW w:w="4157" w:type="dxa"/>
            <w:tcBorders>
              <w:top w:val="single" w:sz="4" w:space="0" w:color="auto"/>
              <w:left w:val="single" w:sz="4" w:space="0" w:color="auto"/>
              <w:bottom w:val="single" w:sz="4" w:space="0" w:color="auto"/>
              <w:right w:val="single" w:sz="4" w:space="0" w:color="auto"/>
            </w:tcBorders>
            <w:hideMark/>
          </w:tcPr>
          <w:p w:rsidR="00C95C69" w:rsidRDefault="00C95C69">
            <w:pPr>
              <w:pStyle w:val="Tabletext"/>
              <w:jc w:val="center"/>
              <w:rPr>
                <w:lang w:val="en-US"/>
              </w:rPr>
            </w:pPr>
            <w:r>
              <w:rPr>
                <w:i/>
                <w:iCs/>
                <w:lang w:val="en-US"/>
              </w:rPr>
              <w:t>T</w:t>
            </w:r>
            <w:r>
              <w:rPr>
                <w:lang w:val="en-US"/>
              </w:rPr>
              <w:t xml:space="preserve"> </w:t>
            </w:r>
            <w:r>
              <w:rPr>
                <w:rFonts w:ascii="Symbol" w:hAnsi="Symbol"/>
                <w:lang w:val="en-US"/>
              </w:rPr>
              <w:t></w:t>
            </w:r>
            <w:r>
              <w:rPr>
                <w:lang w:val="en-US"/>
              </w:rPr>
              <w:t xml:space="preserve"> 269 K</w:t>
            </w:r>
          </w:p>
        </w:tc>
      </w:tr>
      <w:tr w:rsidR="00C95C69" w:rsidTr="00921542">
        <w:trPr>
          <w:cantSplit/>
          <w:trHeight w:val="480"/>
          <w:jc w:val="center"/>
        </w:trPr>
        <w:tc>
          <w:tcPr>
            <w:tcW w:w="1623" w:type="dxa"/>
            <w:vMerge w:val="restart"/>
            <w:tcBorders>
              <w:top w:val="single" w:sz="4" w:space="0" w:color="auto"/>
              <w:left w:val="single" w:sz="4" w:space="0" w:color="auto"/>
              <w:bottom w:val="single" w:sz="4" w:space="0" w:color="auto"/>
              <w:right w:val="single" w:sz="4" w:space="0" w:color="auto"/>
            </w:tcBorders>
            <w:hideMark/>
          </w:tcPr>
          <w:p w:rsidR="00C95C69" w:rsidRDefault="00C95C69" w:rsidP="00921542">
            <w:pPr>
              <w:pStyle w:val="Tabletext"/>
              <w:jc w:val="left"/>
              <w:rPr>
                <w:lang w:val="en-US"/>
              </w:rPr>
            </w:pPr>
            <w:r>
              <w:rPr>
                <w:lang w:val="en-US"/>
              </w:rPr>
              <w:t>Down-link interference criterion (1 670-1 710 MHz)</w:t>
            </w:r>
          </w:p>
        </w:tc>
        <w:tc>
          <w:tcPr>
            <w:tcW w:w="1309" w:type="dxa"/>
            <w:tcBorders>
              <w:top w:val="single" w:sz="4" w:space="0" w:color="auto"/>
              <w:left w:val="single" w:sz="4" w:space="0" w:color="auto"/>
              <w:bottom w:val="single" w:sz="4" w:space="0" w:color="auto"/>
              <w:right w:val="single" w:sz="4" w:space="0" w:color="auto"/>
            </w:tcBorders>
            <w:hideMark/>
          </w:tcPr>
          <w:p w:rsidR="00C95C69" w:rsidRDefault="00C95C69">
            <w:pPr>
              <w:pStyle w:val="Tabletext"/>
              <w:rPr>
                <w:lang w:val="en-US"/>
              </w:rPr>
            </w:pPr>
            <w:r>
              <w:rPr>
                <w:lang w:val="en-US"/>
              </w:rPr>
              <w:t>Long-term</w:t>
            </w:r>
          </w:p>
        </w:tc>
        <w:tc>
          <w:tcPr>
            <w:tcW w:w="2550" w:type="dxa"/>
            <w:tcBorders>
              <w:top w:val="single" w:sz="4" w:space="0" w:color="auto"/>
              <w:left w:val="single" w:sz="4" w:space="0" w:color="auto"/>
              <w:bottom w:val="single" w:sz="4" w:space="0" w:color="auto"/>
              <w:right w:val="single" w:sz="4" w:space="0" w:color="auto"/>
            </w:tcBorders>
            <w:hideMark/>
          </w:tcPr>
          <w:p w:rsidR="00C95C69" w:rsidRDefault="001B6B0B">
            <w:pPr>
              <w:pStyle w:val="Tabletext"/>
              <w:jc w:val="center"/>
              <w:rPr>
                <w:lang w:val="en-US"/>
              </w:rPr>
            </w:pPr>
            <w:r>
              <w:rPr>
                <w:lang w:val="en-GB"/>
              </w:rPr>
              <w:t>−</w:t>
            </w:r>
            <w:r w:rsidR="00C95C69">
              <w:rPr>
                <w:lang w:val="en-US"/>
              </w:rPr>
              <w:t>153.4 dB(W/2.11 MHz)</w:t>
            </w:r>
          </w:p>
        </w:tc>
        <w:tc>
          <w:tcPr>
            <w:tcW w:w="4157" w:type="dxa"/>
            <w:tcBorders>
              <w:top w:val="single" w:sz="4" w:space="0" w:color="auto"/>
              <w:left w:val="single" w:sz="4" w:space="0" w:color="auto"/>
              <w:bottom w:val="single" w:sz="4" w:space="0" w:color="auto"/>
              <w:right w:val="single" w:sz="4" w:space="0" w:color="auto"/>
            </w:tcBorders>
            <w:hideMark/>
          </w:tcPr>
          <w:p w:rsidR="00C95C69" w:rsidRDefault="00C95C69">
            <w:pPr>
              <w:pStyle w:val="Tabletext"/>
              <w:jc w:val="center"/>
              <w:rPr>
                <w:lang w:val="en-US"/>
              </w:rPr>
            </w:pPr>
            <w:r>
              <w:rPr>
                <w:i/>
                <w:iCs/>
                <w:lang w:val="en-US"/>
              </w:rPr>
              <w:t>q</w:t>
            </w:r>
            <w:r>
              <w:rPr>
                <w:lang w:val="en-US"/>
              </w:rPr>
              <w:t xml:space="preserve"> </w:t>
            </w:r>
            <w:r>
              <w:rPr>
                <w:rFonts w:ascii="Symbol" w:hAnsi="Symbol"/>
                <w:lang w:val="en-US"/>
              </w:rPr>
              <w:t></w:t>
            </w:r>
            <w:r>
              <w:rPr>
                <w:lang w:val="en-US"/>
              </w:rPr>
              <w:t xml:space="preserve"> 1/3</w:t>
            </w:r>
          </w:p>
        </w:tc>
      </w:tr>
      <w:tr w:rsidR="00C95C69" w:rsidTr="00921542">
        <w:trPr>
          <w:cantSplit/>
          <w:jc w:val="center"/>
        </w:trPr>
        <w:tc>
          <w:tcPr>
            <w:tcW w:w="1623" w:type="dxa"/>
            <w:vMerge/>
            <w:tcBorders>
              <w:top w:val="single" w:sz="4" w:space="0" w:color="auto"/>
              <w:left w:val="single" w:sz="4" w:space="0" w:color="auto"/>
              <w:bottom w:val="single" w:sz="4" w:space="0" w:color="auto"/>
              <w:right w:val="single" w:sz="4" w:space="0" w:color="auto"/>
            </w:tcBorders>
            <w:vAlign w:val="center"/>
            <w:hideMark/>
          </w:tcPr>
          <w:p w:rsidR="00C95C69" w:rsidRDefault="00C95C69">
            <w:pPr>
              <w:overflowPunct/>
              <w:autoSpaceDE/>
              <w:autoSpaceDN/>
              <w:adjustRightInd/>
              <w:spacing w:before="0"/>
              <w:rPr>
                <w:sz w:val="20"/>
                <w:lang w:val="en-US"/>
              </w:rPr>
            </w:pPr>
          </w:p>
        </w:tc>
        <w:tc>
          <w:tcPr>
            <w:tcW w:w="1309" w:type="dxa"/>
            <w:tcBorders>
              <w:top w:val="single" w:sz="4" w:space="0" w:color="auto"/>
              <w:left w:val="single" w:sz="4" w:space="0" w:color="auto"/>
              <w:bottom w:val="single" w:sz="4" w:space="0" w:color="auto"/>
              <w:right w:val="single" w:sz="4" w:space="0" w:color="auto"/>
            </w:tcBorders>
            <w:hideMark/>
          </w:tcPr>
          <w:p w:rsidR="00C95C69" w:rsidRDefault="00C95C69">
            <w:pPr>
              <w:pStyle w:val="Tabletext"/>
              <w:rPr>
                <w:lang w:val="en-US"/>
              </w:rPr>
            </w:pPr>
            <w:r>
              <w:rPr>
                <w:lang w:val="en-US"/>
              </w:rPr>
              <w:t>Short-term</w:t>
            </w:r>
          </w:p>
        </w:tc>
        <w:tc>
          <w:tcPr>
            <w:tcW w:w="2550" w:type="dxa"/>
            <w:tcBorders>
              <w:top w:val="single" w:sz="4" w:space="0" w:color="auto"/>
              <w:left w:val="single" w:sz="4" w:space="0" w:color="auto"/>
              <w:bottom w:val="single" w:sz="4" w:space="0" w:color="auto"/>
              <w:right w:val="single" w:sz="4" w:space="0" w:color="auto"/>
            </w:tcBorders>
            <w:hideMark/>
          </w:tcPr>
          <w:p w:rsidR="00C95C69" w:rsidRDefault="001B6B0B">
            <w:pPr>
              <w:pStyle w:val="Tabletext"/>
              <w:jc w:val="center"/>
              <w:rPr>
                <w:lang w:val="en-US"/>
              </w:rPr>
            </w:pPr>
            <w:r>
              <w:rPr>
                <w:lang w:val="en-GB"/>
              </w:rPr>
              <w:t>−</w:t>
            </w:r>
            <w:r w:rsidR="00C95C69">
              <w:rPr>
                <w:lang w:val="en-US"/>
              </w:rPr>
              <w:t>148.1 dB(W/2.11 MHz)</w:t>
            </w:r>
          </w:p>
        </w:tc>
        <w:tc>
          <w:tcPr>
            <w:tcW w:w="4157" w:type="dxa"/>
            <w:tcBorders>
              <w:top w:val="single" w:sz="4" w:space="0" w:color="auto"/>
              <w:left w:val="single" w:sz="4" w:space="0" w:color="auto"/>
              <w:bottom w:val="single" w:sz="4" w:space="0" w:color="auto"/>
              <w:right w:val="single" w:sz="4" w:space="0" w:color="auto"/>
            </w:tcBorders>
            <w:hideMark/>
          </w:tcPr>
          <w:p w:rsidR="00C95C69" w:rsidRDefault="00C95C69">
            <w:pPr>
              <w:pStyle w:val="Tabletext"/>
              <w:jc w:val="center"/>
              <w:rPr>
                <w:lang w:val="en-US"/>
              </w:rPr>
            </w:pPr>
            <w:r>
              <w:rPr>
                <w:i/>
                <w:iCs/>
                <w:lang w:val="en-US"/>
              </w:rPr>
              <w:t>q</w:t>
            </w:r>
            <w:r>
              <w:rPr>
                <w:lang w:val="en-US"/>
              </w:rPr>
              <w:t xml:space="preserve"> </w:t>
            </w:r>
            <w:r>
              <w:rPr>
                <w:rFonts w:ascii="Symbol" w:hAnsi="Symbol"/>
                <w:lang w:val="en-US"/>
              </w:rPr>
              <w:t></w:t>
            </w:r>
            <w:r>
              <w:rPr>
                <w:lang w:val="en-US"/>
              </w:rPr>
              <w:t xml:space="preserve"> 1</w:t>
            </w:r>
          </w:p>
        </w:tc>
      </w:tr>
    </w:tbl>
    <w:p w:rsidR="0007600B" w:rsidRDefault="0007600B" w:rsidP="0007600B">
      <w:pPr>
        <w:pStyle w:val="Tablefin"/>
      </w:pPr>
    </w:p>
    <w:p w:rsidR="00C95C69" w:rsidRDefault="00C95C69" w:rsidP="009239F0">
      <w:pPr>
        <w:pStyle w:val="Heading1"/>
        <w:rPr>
          <w:lang w:val="en-GB"/>
        </w:rPr>
      </w:pPr>
      <w:r>
        <w:t>3</w:t>
      </w:r>
      <w:r>
        <w:tab/>
        <w:t>Conclusions</w:t>
      </w:r>
    </w:p>
    <w:p w:rsidR="00C95C69" w:rsidRDefault="00C95C69" w:rsidP="009239F0">
      <w:pPr>
        <w:pStyle w:val="Heading2"/>
      </w:pPr>
      <w:r>
        <w:t>3.1</w:t>
      </w:r>
      <w:r>
        <w:tab/>
        <w:t>Frequency band 1 670-1 710 MHz</w:t>
      </w:r>
    </w:p>
    <w:p w:rsidR="00C95C69" w:rsidRPr="00C95C69" w:rsidRDefault="00C95C69" w:rsidP="00C95C69">
      <w:pPr>
        <w:rPr>
          <w:lang w:val="en-GB"/>
        </w:rPr>
      </w:pPr>
      <w:r w:rsidRPr="00C95C69">
        <w:rPr>
          <w:lang w:val="en-GB"/>
        </w:rPr>
        <w:t>The above analyses provide two different sets of interference criteria, for raw instrument data downlink transmissions to main reception Earth stations and data dissemination to user stations respectively.</w:t>
      </w:r>
    </w:p>
    <w:p w:rsidR="00C95C69" w:rsidRPr="00C95C69" w:rsidRDefault="00C95C69" w:rsidP="00C95C69">
      <w:pPr>
        <w:rPr>
          <w:lang w:val="en-GB"/>
        </w:rPr>
      </w:pPr>
      <w:r w:rsidRPr="00C95C69">
        <w:rPr>
          <w:lang w:val="en-GB"/>
        </w:rPr>
        <w:t>It is assumed that raw instrument data downlink transmissions to main reception Earth stations are the most representative systems in the band. For simplification, it is further proposed to normalise the criteria in a 1 MHz bandwidth, leading to the following values:</w:t>
      </w:r>
    </w:p>
    <w:p w:rsidR="00C95C69" w:rsidRPr="00C95C69" w:rsidRDefault="00C95C69" w:rsidP="001B6B0B">
      <w:pPr>
        <w:pStyle w:val="enumlev1"/>
        <w:rPr>
          <w:lang w:val="en-GB"/>
        </w:rPr>
      </w:pPr>
      <w:r w:rsidRPr="00C95C69">
        <w:rPr>
          <w:lang w:val="en-GB"/>
        </w:rPr>
        <w:t>–</w:t>
      </w:r>
      <w:r w:rsidRPr="00C95C69">
        <w:rPr>
          <w:lang w:val="en-GB"/>
        </w:rPr>
        <w:tab/>
        <w:t xml:space="preserve">long-term: </w:t>
      </w:r>
      <w:r w:rsidR="001B6B0B">
        <w:rPr>
          <w:lang w:val="en-GB"/>
        </w:rPr>
        <w:t>−</w:t>
      </w:r>
      <w:r w:rsidRPr="00C95C69">
        <w:rPr>
          <w:lang w:val="en-GB"/>
        </w:rPr>
        <w:t>158.0 dBW/MHz</w:t>
      </w:r>
    </w:p>
    <w:p w:rsidR="00C95C69" w:rsidRPr="00C95C69" w:rsidRDefault="00C95C69" w:rsidP="001B6B0B">
      <w:pPr>
        <w:pStyle w:val="enumlev1"/>
        <w:rPr>
          <w:lang w:val="en-GB"/>
        </w:rPr>
      </w:pPr>
      <w:r w:rsidRPr="00C95C69">
        <w:rPr>
          <w:lang w:val="en-GB"/>
        </w:rPr>
        <w:t>–</w:t>
      </w:r>
      <w:r w:rsidRPr="00C95C69">
        <w:rPr>
          <w:lang w:val="en-GB"/>
        </w:rPr>
        <w:tab/>
        <w:t xml:space="preserve">short-term: </w:t>
      </w:r>
      <w:r w:rsidR="001B6B0B">
        <w:rPr>
          <w:lang w:val="en-GB"/>
        </w:rPr>
        <w:t>−</w:t>
      </w:r>
      <w:r w:rsidRPr="00C95C69">
        <w:rPr>
          <w:lang w:val="en-GB"/>
        </w:rPr>
        <w:t>152.8 dBW/MHz.</w:t>
      </w:r>
    </w:p>
    <w:p w:rsidR="00C95C69" w:rsidRPr="00C95C69" w:rsidRDefault="00C95C69" w:rsidP="00214D8C">
      <w:pPr>
        <w:pStyle w:val="Heading2"/>
        <w:rPr>
          <w:lang w:val="en-GB"/>
        </w:rPr>
      </w:pPr>
      <w:r w:rsidRPr="00C95C69">
        <w:rPr>
          <w:lang w:val="en-GB"/>
        </w:rPr>
        <w:t>3.2</w:t>
      </w:r>
      <w:r w:rsidRPr="00C95C69">
        <w:rPr>
          <w:lang w:val="en-GB"/>
        </w:rPr>
        <w:tab/>
        <w:t>Frequency band 2 025-2 110 MHz</w:t>
      </w:r>
    </w:p>
    <w:p w:rsidR="00C95C69" w:rsidRPr="00C95C69" w:rsidRDefault="00C95C69" w:rsidP="00214D8C">
      <w:pPr>
        <w:rPr>
          <w:lang w:val="en-GB"/>
        </w:rPr>
      </w:pPr>
      <w:r w:rsidRPr="00C95C69">
        <w:rPr>
          <w:lang w:val="en-GB"/>
        </w:rPr>
        <w:t>The above analysis provides a single sets of interference criteria for data dissemination systems. For simplification, it is further proposed to normalise the criteria in a 1 MHz bandwidth, leading to the following values:</w:t>
      </w:r>
    </w:p>
    <w:p w:rsidR="00C95C69" w:rsidRPr="007F28DF" w:rsidRDefault="00C95C69" w:rsidP="001B6B0B">
      <w:pPr>
        <w:pStyle w:val="enumlev1"/>
        <w:rPr>
          <w:lang w:val="en-GB"/>
        </w:rPr>
      </w:pPr>
      <w:r w:rsidRPr="00C95C69">
        <w:rPr>
          <w:lang w:val="en-GB"/>
        </w:rPr>
        <w:t>–</w:t>
      </w:r>
      <w:r w:rsidRPr="00C95C69">
        <w:rPr>
          <w:lang w:val="en-GB"/>
        </w:rPr>
        <w:tab/>
      </w:r>
      <w:r w:rsidRPr="007F28DF">
        <w:rPr>
          <w:lang w:val="en-GB"/>
        </w:rPr>
        <w:t xml:space="preserve">long-term: </w:t>
      </w:r>
      <w:r w:rsidR="001B6B0B">
        <w:rPr>
          <w:lang w:val="en-GB"/>
        </w:rPr>
        <w:t>−</w:t>
      </w:r>
      <w:r w:rsidRPr="007F28DF">
        <w:rPr>
          <w:lang w:val="en-GB"/>
        </w:rPr>
        <w:t>139.9 dBW/MHz</w:t>
      </w:r>
    </w:p>
    <w:p w:rsidR="00C95C69" w:rsidRPr="00C95C69" w:rsidRDefault="00C95C69" w:rsidP="001B6B0B">
      <w:pPr>
        <w:pStyle w:val="enumlev1"/>
        <w:rPr>
          <w:lang w:val="en-GB"/>
        </w:rPr>
      </w:pPr>
      <w:r w:rsidRPr="007F28DF">
        <w:rPr>
          <w:lang w:val="en-GB"/>
        </w:rPr>
        <w:t>–</w:t>
      </w:r>
      <w:r w:rsidRPr="007F28DF">
        <w:rPr>
          <w:lang w:val="en-GB"/>
        </w:rPr>
        <w:tab/>
        <w:t>short</w:t>
      </w:r>
      <w:r w:rsidRPr="00C95C69">
        <w:rPr>
          <w:lang w:val="en-GB"/>
        </w:rPr>
        <w:t xml:space="preserve">-term: </w:t>
      </w:r>
      <w:r w:rsidR="001B6B0B">
        <w:rPr>
          <w:lang w:val="en-GB"/>
        </w:rPr>
        <w:t>−</w:t>
      </w:r>
      <w:r w:rsidRPr="00C95C69">
        <w:rPr>
          <w:lang w:val="en-GB"/>
        </w:rPr>
        <w:t>136.6 dBW/MHz</w:t>
      </w:r>
    </w:p>
    <w:p w:rsidR="00C95C69" w:rsidRPr="00C95C69" w:rsidRDefault="00C95C69" w:rsidP="00214D8C">
      <w:pPr>
        <w:pStyle w:val="Heading2"/>
        <w:rPr>
          <w:lang w:val="en-GB"/>
        </w:rPr>
      </w:pPr>
      <w:r w:rsidRPr="00C95C69">
        <w:rPr>
          <w:lang w:val="en-GB"/>
        </w:rPr>
        <w:t>3.3</w:t>
      </w:r>
      <w:r w:rsidRPr="00C95C69">
        <w:rPr>
          <w:lang w:val="en-GB"/>
        </w:rPr>
        <w:tab/>
        <w:t>Frequency band 25.5-27 GHz</w:t>
      </w:r>
    </w:p>
    <w:p w:rsidR="00C95C69" w:rsidRPr="00C95C69" w:rsidRDefault="00C95C69" w:rsidP="001B6B0B">
      <w:pPr>
        <w:rPr>
          <w:lang w:val="en-GB"/>
        </w:rPr>
      </w:pPr>
      <w:r w:rsidRPr="00C95C69">
        <w:rPr>
          <w:lang w:val="en-GB"/>
        </w:rPr>
        <w:t>The above analysis provides a single sets of interference criteria for raw instrument data downlink transmissions to main reception, representing the new generation of systems using the band 25.5</w:t>
      </w:r>
      <w:r w:rsidR="001B6B0B">
        <w:rPr>
          <w:lang w:val="en-GB"/>
        </w:rPr>
        <w:noBreakHyphen/>
      </w:r>
      <w:r w:rsidRPr="00C95C69">
        <w:rPr>
          <w:lang w:val="en-GB"/>
        </w:rPr>
        <w:t>27</w:t>
      </w:r>
      <w:r w:rsidR="001B6B0B">
        <w:rPr>
          <w:lang w:val="en-GB"/>
        </w:rPr>
        <w:t> </w:t>
      </w:r>
      <w:r w:rsidRPr="00C95C69">
        <w:rPr>
          <w:lang w:val="en-GB"/>
        </w:rPr>
        <w:t>GHz and leading to the following values:</w:t>
      </w:r>
    </w:p>
    <w:p w:rsidR="00C95C69" w:rsidRPr="007F28DF" w:rsidRDefault="00C95C69" w:rsidP="001B6B0B">
      <w:pPr>
        <w:pStyle w:val="enumlev1"/>
        <w:rPr>
          <w:lang w:val="en-GB"/>
        </w:rPr>
      </w:pPr>
      <w:r w:rsidRPr="00C95C69">
        <w:rPr>
          <w:lang w:val="en-GB"/>
        </w:rPr>
        <w:t>–</w:t>
      </w:r>
      <w:r w:rsidRPr="007F28DF">
        <w:rPr>
          <w:lang w:val="en-GB"/>
        </w:rPr>
        <w:tab/>
        <w:t xml:space="preserve">long-term: </w:t>
      </w:r>
      <w:r w:rsidR="001B6B0B">
        <w:rPr>
          <w:lang w:val="en-GB"/>
        </w:rPr>
        <w:t>−</w:t>
      </w:r>
      <w:r w:rsidRPr="007F28DF">
        <w:rPr>
          <w:lang w:val="en-GB"/>
        </w:rPr>
        <w:t>144.6 dBW/10 MHz</w:t>
      </w:r>
    </w:p>
    <w:p w:rsidR="00C95C69" w:rsidRDefault="00C95C69" w:rsidP="001B6B0B">
      <w:pPr>
        <w:pStyle w:val="enumlev1"/>
        <w:rPr>
          <w:lang w:val="en-GB"/>
        </w:rPr>
      </w:pPr>
      <w:r w:rsidRPr="007F28DF">
        <w:rPr>
          <w:lang w:val="en-GB"/>
        </w:rPr>
        <w:t>–</w:t>
      </w:r>
      <w:r w:rsidRPr="007F28DF">
        <w:rPr>
          <w:lang w:val="en-GB"/>
        </w:rPr>
        <w:tab/>
        <w:t>short</w:t>
      </w:r>
      <w:r w:rsidRPr="00C95C69">
        <w:rPr>
          <w:lang w:val="en-GB"/>
        </w:rPr>
        <w:t xml:space="preserve">-term: </w:t>
      </w:r>
      <w:r w:rsidR="001B6B0B">
        <w:rPr>
          <w:lang w:val="en-GB"/>
        </w:rPr>
        <w:t>−</w:t>
      </w:r>
      <w:r w:rsidRPr="00C95C69">
        <w:rPr>
          <w:lang w:val="en-GB"/>
        </w:rPr>
        <w:t>133.0 dBW/10 MHz</w:t>
      </w:r>
    </w:p>
    <w:p w:rsidR="00D15648" w:rsidRDefault="00D15648" w:rsidP="001B6B0B">
      <w:pPr>
        <w:pStyle w:val="enumlev1"/>
        <w:rPr>
          <w:lang w:val="en-GB"/>
        </w:rPr>
      </w:pPr>
    </w:p>
    <w:p w:rsidR="00214D8C" w:rsidRPr="00C95C69" w:rsidRDefault="00214D8C" w:rsidP="00214D8C">
      <w:pPr>
        <w:pStyle w:val="Line"/>
        <w:rPr>
          <w:lang w:eastAsia="zh-CN"/>
        </w:rPr>
      </w:pPr>
    </w:p>
    <w:sectPr w:rsidR="00214D8C" w:rsidRPr="00C95C69" w:rsidSect="00947763">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70D1" w:rsidRDefault="007270D1">
      <w:r>
        <w:separator/>
      </w:r>
    </w:p>
  </w:endnote>
  <w:endnote w:type="continuationSeparator" w:id="0">
    <w:p w:rsidR="007270D1" w:rsidRDefault="00727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70D1" w:rsidRDefault="007270D1">
      <w:r>
        <w:separator/>
      </w:r>
    </w:p>
  </w:footnote>
  <w:footnote w:type="continuationSeparator" w:id="0">
    <w:p w:rsidR="007270D1" w:rsidRDefault="007270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64E" w:rsidRDefault="009C5417" w:rsidP="00B033C8">
    <w:pPr>
      <w:pStyle w:val="Header"/>
      <w:ind w:right="360" w:firstLine="360"/>
    </w:pPr>
    <w:r>
      <w:rPr>
        <w:noProof/>
        <w:lang w:val="en-GB" w:eastAsia="en-GB"/>
      </w:rPr>
      <w:drawing>
        <wp:anchor distT="0" distB="0" distL="114300" distR="114300" simplePos="0" relativeHeight="251656704" behindDoc="1" locked="0" layoutInCell="1" allowOverlap="1" wp14:anchorId="14512C5E" wp14:editId="091FDF0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64E" w:rsidRPr="00C95C69" w:rsidRDefault="00E727E8">
    <w:pPr>
      <w:pStyle w:val="Header"/>
      <w:jc w:val="left"/>
      <w:rPr>
        <w:lang w:val="fr-CH"/>
      </w:rPr>
    </w:pPr>
    <w:r>
      <w:rPr>
        <w:rStyle w:val="PageNumber"/>
        <w:b/>
        <w:bCs/>
      </w:rPr>
      <w:fldChar w:fldCharType="begin"/>
    </w:r>
    <w:r w:rsidR="001B164E" w:rsidRPr="00C95C69">
      <w:rPr>
        <w:rStyle w:val="PageNumber"/>
        <w:b/>
        <w:bCs/>
        <w:lang w:val="fr-CH"/>
      </w:rPr>
      <w:instrText xml:space="preserve"> PAGE </w:instrText>
    </w:r>
    <w:r>
      <w:rPr>
        <w:rStyle w:val="PageNumber"/>
        <w:b/>
        <w:bCs/>
      </w:rPr>
      <w:fldChar w:fldCharType="separate"/>
    </w:r>
    <w:r w:rsidR="00077390">
      <w:rPr>
        <w:rStyle w:val="PageNumber"/>
        <w:b/>
        <w:bCs/>
        <w:noProof/>
        <w:lang w:val="fr-CH"/>
      </w:rPr>
      <w:t>6</w:t>
    </w:r>
    <w:r>
      <w:rPr>
        <w:rStyle w:val="PageNumber"/>
        <w:b/>
        <w:bCs/>
      </w:rPr>
      <w:fldChar w:fldCharType="end"/>
    </w:r>
    <w:r w:rsidR="001B164E" w:rsidRPr="00C95C69">
      <w:rPr>
        <w:lang w:val="fr-CH"/>
      </w:rPr>
      <w:tab/>
    </w:r>
    <w:r w:rsidR="00077390">
      <w:fldChar w:fldCharType="begin"/>
    </w:r>
    <w:r w:rsidR="00077390">
      <w:instrText xml:space="preserve"> DOCPROPERTY "Header" \* MERGEFORMAT </w:instrText>
    </w:r>
    <w:r w:rsidR="00077390">
      <w:fldChar w:fldCharType="separate"/>
    </w:r>
    <w:r w:rsidR="00077390" w:rsidRPr="00077390">
      <w:rPr>
        <w:b/>
        <w:bCs/>
        <w:lang w:val="fr-CH"/>
      </w:rPr>
      <w:t xml:space="preserve">Rec. </w:t>
    </w:r>
    <w:r w:rsidR="00077390">
      <w:rPr>
        <w:b/>
        <w:bCs/>
        <w:lang w:val="fr-CH"/>
      </w:rPr>
      <w:fldChar w:fldCharType="end"/>
    </w:r>
    <w:r w:rsidR="001B164E">
      <w:rPr>
        <w:b/>
        <w:bCs/>
      </w:rPr>
      <w:t xml:space="preserve"> </w:t>
    </w:r>
    <w:r>
      <w:rPr>
        <w:b/>
        <w:bCs/>
      </w:rPr>
      <w:fldChar w:fldCharType="begin"/>
    </w:r>
    <w:r w:rsidR="001B164E" w:rsidRPr="00C95C69">
      <w:rPr>
        <w:b/>
        <w:bCs/>
        <w:lang w:val="fr-CH"/>
      </w:rPr>
      <w:instrText>styleref href</w:instrText>
    </w:r>
    <w:r>
      <w:rPr>
        <w:b/>
        <w:bCs/>
      </w:rPr>
      <w:fldChar w:fldCharType="separate"/>
    </w:r>
    <w:r w:rsidR="00077390">
      <w:rPr>
        <w:b/>
        <w:bCs/>
        <w:noProof/>
      </w:rPr>
      <w:t>ITU-R  SA.1160-3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64E" w:rsidRDefault="001B164E" w:rsidP="00625EA9">
    <w:pPr>
      <w:pStyle w:val="Header"/>
      <w:tabs>
        <w:tab w:val="left" w:pos="3686"/>
      </w:tabs>
    </w:pPr>
    <w:r>
      <w:tab/>
    </w:r>
    <w:r w:rsidR="00077390">
      <w:fldChar w:fldCharType="begin"/>
    </w:r>
    <w:r w:rsidR="00077390">
      <w:instrText xml:space="preserve"> DOCPROPERTY "Header" \* MERGEFORMAT </w:instrText>
    </w:r>
    <w:r w:rsidR="00077390">
      <w:fldChar w:fldCharType="separate"/>
    </w:r>
    <w:r w:rsidR="00077390" w:rsidRPr="00077390">
      <w:rPr>
        <w:b/>
        <w:bCs/>
      </w:rPr>
      <w:t xml:space="preserve">Rec. </w:t>
    </w:r>
    <w:r w:rsidR="00077390">
      <w:rPr>
        <w:b/>
        <w:bCs/>
      </w:rPr>
      <w:fldChar w:fldCharType="end"/>
    </w:r>
    <w:r>
      <w:rPr>
        <w:b/>
        <w:bCs/>
      </w:rPr>
      <w:t xml:space="preserve"> </w:t>
    </w:r>
    <w:r w:rsidR="00E727E8">
      <w:rPr>
        <w:b/>
        <w:bCs/>
      </w:rPr>
      <w:fldChar w:fldCharType="begin"/>
    </w:r>
    <w:r>
      <w:rPr>
        <w:b/>
        <w:bCs/>
      </w:rPr>
      <w:instrText>styleref href</w:instrText>
    </w:r>
    <w:r w:rsidR="00E727E8">
      <w:rPr>
        <w:b/>
        <w:bCs/>
      </w:rPr>
      <w:fldChar w:fldCharType="separate"/>
    </w:r>
    <w:r w:rsidR="00077390">
      <w:rPr>
        <w:b/>
        <w:bCs/>
        <w:noProof/>
      </w:rPr>
      <w:t>ITU-R  SA.1160-3</w:t>
    </w:r>
    <w:r w:rsidR="00E727E8">
      <w:rPr>
        <w:b/>
        <w:bCs/>
      </w:rPr>
      <w:fldChar w:fldCharType="end"/>
    </w:r>
    <w:r>
      <w:tab/>
    </w:r>
    <w:r w:rsidR="00E727E8">
      <w:rPr>
        <w:rStyle w:val="PageNumber"/>
        <w:b/>
        <w:bCs/>
      </w:rPr>
      <w:fldChar w:fldCharType="begin"/>
    </w:r>
    <w:r>
      <w:rPr>
        <w:rStyle w:val="PageNumber"/>
        <w:b/>
        <w:bCs/>
      </w:rPr>
      <w:instrText xml:space="preserve"> PAGE </w:instrText>
    </w:r>
    <w:r w:rsidR="00E727E8">
      <w:rPr>
        <w:rStyle w:val="PageNumber"/>
        <w:b/>
        <w:bCs/>
      </w:rPr>
      <w:fldChar w:fldCharType="separate"/>
    </w:r>
    <w:r w:rsidR="00077390">
      <w:rPr>
        <w:rStyle w:val="PageNumber"/>
        <w:b/>
        <w:bCs/>
        <w:noProof/>
      </w:rPr>
      <w:t>5</w:t>
    </w:r>
    <w:r w:rsidR="00E727E8">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6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174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6EE3"/>
    <w:rsid w:val="00066152"/>
    <w:rsid w:val="00072484"/>
    <w:rsid w:val="000734E0"/>
    <w:rsid w:val="0007600B"/>
    <w:rsid w:val="00077390"/>
    <w:rsid w:val="00095530"/>
    <w:rsid w:val="00096612"/>
    <w:rsid w:val="000B7683"/>
    <w:rsid w:val="000D0677"/>
    <w:rsid w:val="000E6A6E"/>
    <w:rsid w:val="000F61F1"/>
    <w:rsid w:val="00102934"/>
    <w:rsid w:val="00127040"/>
    <w:rsid w:val="00130CF6"/>
    <w:rsid w:val="00147110"/>
    <w:rsid w:val="001511A6"/>
    <w:rsid w:val="00197FB0"/>
    <w:rsid w:val="001B164E"/>
    <w:rsid w:val="001B6B0B"/>
    <w:rsid w:val="001B7886"/>
    <w:rsid w:val="001F38BB"/>
    <w:rsid w:val="002058CE"/>
    <w:rsid w:val="0021422E"/>
    <w:rsid w:val="00214D8C"/>
    <w:rsid w:val="002165F1"/>
    <w:rsid w:val="00216D4D"/>
    <w:rsid w:val="00276D21"/>
    <w:rsid w:val="00285042"/>
    <w:rsid w:val="00296D7F"/>
    <w:rsid w:val="002B3CF6"/>
    <w:rsid w:val="002C768A"/>
    <w:rsid w:val="002D76C4"/>
    <w:rsid w:val="002F5199"/>
    <w:rsid w:val="00356B5D"/>
    <w:rsid w:val="00391BC3"/>
    <w:rsid w:val="00391D74"/>
    <w:rsid w:val="003A6FB5"/>
    <w:rsid w:val="003E3C5A"/>
    <w:rsid w:val="003E5917"/>
    <w:rsid w:val="003F695E"/>
    <w:rsid w:val="00420DFD"/>
    <w:rsid w:val="00437A76"/>
    <w:rsid w:val="00462A82"/>
    <w:rsid w:val="00470E28"/>
    <w:rsid w:val="00476D4D"/>
    <w:rsid w:val="00485ED6"/>
    <w:rsid w:val="004934C5"/>
    <w:rsid w:val="004C3D60"/>
    <w:rsid w:val="00503D0D"/>
    <w:rsid w:val="00527D2B"/>
    <w:rsid w:val="00545183"/>
    <w:rsid w:val="00554B55"/>
    <w:rsid w:val="00556548"/>
    <w:rsid w:val="00586EF8"/>
    <w:rsid w:val="005B49AB"/>
    <w:rsid w:val="005B50E7"/>
    <w:rsid w:val="005E705D"/>
    <w:rsid w:val="005E7B4F"/>
    <w:rsid w:val="00601882"/>
    <w:rsid w:val="00607D68"/>
    <w:rsid w:val="00613212"/>
    <w:rsid w:val="006149B1"/>
    <w:rsid w:val="006251B9"/>
    <w:rsid w:val="00625EA9"/>
    <w:rsid w:val="00674DD3"/>
    <w:rsid w:val="006754BC"/>
    <w:rsid w:val="00680D2B"/>
    <w:rsid w:val="00681B32"/>
    <w:rsid w:val="006873B1"/>
    <w:rsid w:val="006B0C51"/>
    <w:rsid w:val="006B1D2B"/>
    <w:rsid w:val="006E1131"/>
    <w:rsid w:val="006E2037"/>
    <w:rsid w:val="006E6199"/>
    <w:rsid w:val="00712870"/>
    <w:rsid w:val="007270D1"/>
    <w:rsid w:val="00743D85"/>
    <w:rsid w:val="00750FB8"/>
    <w:rsid w:val="00753CF4"/>
    <w:rsid w:val="007565CC"/>
    <w:rsid w:val="00763B9A"/>
    <w:rsid w:val="00770B44"/>
    <w:rsid w:val="00785C81"/>
    <w:rsid w:val="007A4DEE"/>
    <w:rsid w:val="007A6AA8"/>
    <w:rsid w:val="007B1357"/>
    <w:rsid w:val="007F28DF"/>
    <w:rsid w:val="0081070A"/>
    <w:rsid w:val="008310C9"/>
    <w:rsid w:val="00853CC5"/>
    <w:rsid w:val="008C7848"/>
    <w:rsid w:val="00906589"/>
    <w:rsid w:val="00906AD6"/>
    <w:rsid w:val="009106DC"/>
    <w:rsid w:val="00913657"/>
    <w:rsid w:val="00917AF2"/>
    <w:rsid w:val="00921542"/>
    <w:rsid w:val="009239F0"/>
    <w:rsid w:val="0092418A"/>
    <w:rsid w:val="00934ED7"/>
    <w:rsid w:val="00947763"/>
    <w:rsid w:val="009508FC"/>
    <w:rsid w:val="0095421D"/>
    <w:rsid w:val="009543C3"/>
    <w:rsid w:val="009644FE"/>
    <w:rsid w:val="00966E1B"/>
    <w:rsid w:val="00971B94"/>
    <w:rsid w:val="00986C18"/>
    <w:rsid w:val="009947C0"/>
    <w:rsid w:val="009C0792"/>
    <w:rsid w:val="009C0FF1"/>
    <w:rsid w:val="009C5417"/>
    <w:rsid w:val="009E0719"/>
    <w:rsid w:val="009F13A1"/>
    <w:rsid w:val="009F2D2C"/>
    <w:rsid w:val="00A148A2"/>
    <w:rsid w:val="00A31928"/>
    <w:rsid w:val="00A3533F"/>
    <w:rsid w:val="00A4173A"/>
    <w:rsid w:val="00A42DBF"/>
    <w:rsid w:val="00A62A14"/>
    <w:rsid w:val="00A6617B"/>
    <w:rsid w:val="00A71C6A"/>
    <w:rsid w:val="00A71FE5"/>
    <w:rsid w:val="00A90A34"/>
    <w:rsid w:val="00A971A1"/>
    <w:rsid w:val="00AA3AD8"/>
    <w:rsid w:val="00AA63E1"/>
    <w:rsid w:val="00AB0DC8"/>
    <w:rsid w:val="00AC03DB"/>
    <w:rsid w:val="00B033C8"/>
    <w:rsid w:val="00B33425"/>
    <w:rsid w:val="00B44E24"/>
    <w:rsid w:val="00B54ECC"/>
    <w:rsid w:val="00B60AC0"/>
    <w:rsid w:val="00B714F3"/>
    <w:rsid w:val="00B87B6B"/>
    <w:rsid w:val="00B91530"/>
    <w:rsid w:val="00BC5D77"/>
    <w:rsid w:val="00BF487A"/>
    <w:rsid w:val="00C06195"/>
    <w:rsid w:val="00C155F7"/>
    <w:rsid w:val="00C457E8"/>
    <w:rsid w:val="00C46BD9"/>
    <w:rsid w:val="00C55258"/>
    <w:rsid w:val="00C57D7D"/>
    <w:rsid w:val="00C73560"/>
    <w:rsid w:val="00C81103"/>
    <w:rsid w:val="00C95C69"/>
    <w:rsid w:val="00CB0F14"/>
    <w:rsid w:val="00CD659B"/>
    <w:rsid w:val="00CE0A43"/>
    <w:rsid w:val="00CF0807"/>
    <w:rsid w:val="00CF722F"/>
    <w:rsid w:val="00D05881"/>
    <w:rsid w:val="00D15648"/>
    <w:rsid w:val="00D61962"/>
    <w:rsid w:val="00D71EC5"/>
    <w:rsid w:val="00D83556"/>
    <w:rsid w:val="00DF4176"/>
    <w:rsid w:val="00E14504"/>
    <w:rsid w:val="00E17240"/>
    <w:rsid w:val="00E34017"/>
    <w:rsid w:val="00E46E15"/>
    <w:rsid w:val="00E6058A"/>
    <w:rsid w:val="00E727E8"/>
    <w:rsid w:val="00E74165"/>
    <w:rsid w:val="00E74595"/>
    <w:rsid w:val="00EB7C57"/>
    <w:rsid w:val="00ED2695"/>
    <w:rsid w:val="00ED3CA5"/>
    <w:rsid w:val="00EE04BA"/>
    <w:rsid w:val="00F1136E"/>
    <w:rsid w:val="00F30C9B"/>
    <w:rsid w:val="00F315AA"/>
    <w:rsid w:val="00F354B1"/>
    <w:rsid w:val="00F52627"/>
    <w:rsid w:val="00F76F3C"/>
    <w:rsid w:val="00F92A40"/>
    <w:rsid w:val="00FB0E4E"/>
    <w:rsid w:val="00FC5A7B"/>
    <w:rsid w:val="00FC7E86"/>
    <w:rsid w:val="00FD003C"/>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31745">
      <o:colormru v:ext="edit" colors="#d62a47"/>
      <o:colormenu v:ext="edit" strokecolor="#d62a47"/>
    </o:shapedefaults>
    <o:shapelayout v:ext="edit">
      <o:idmap v:ext="edit" data="1"/>
    </o:shapelayout>
  </w:shapeDefaults>
  <w:decimalSymbol w:val="."/>
  <w:listSeparator w:val=","/>
  <w15:docId w15:val="{F48C7E62-4973-444C-8B57-808746C2C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1D7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91D74"/>
    <w:pPr>
      <w:keepNext/>
      <w:keepLines/>
      <w:spacing w:before="480"/>
      <w:ind w:left="794" w:hanging="794"/>
      <w:outlineLvl w:val="0"/>
    </w:pPr>
    <w:rPr>
      <w:b/>
    </w:rPr>
  </w:style>
  <w:style w:type="paragraph" w:styleId="Heading2">
    <w:name w:val="heading 2"/>
    <w:basedOn w:val="Heading1"/>
    <w:next w:val="Normal"/>
    <w:qFormat/>
    <w:rsid w:val="00391D74"/>
    <w:pPr>
      <w:spacing w:before="320"/>
      <w:outlineLvl w:val="1"/>
    </w:pPr>
  </w:style>
  <w:style w:type="paragraph" w:styleId="Heading3">
    <w:name w:val="heading 3"/>
    <w:basedOn w:val="Heading1"/>
    <w:next w:val="Normal"/>
    <w:qFormat/>
    <w:rsid w:val="00391D74"/>
    <w:pPr>
      <w:spacing w:before="200"/>
      <w:outlineLvl w:val="2"/>
    </w:pPr>
  </w:style>
  <w:style w:type="paragraph" w:styleId="Heading4">
    <w:name w:val="heading 4"/>
    <w:basedOn w:val="Heading3"/>
    <w:next w:val="Normal"/>
    <w:qFormat/>
    <w:rsid w:val="00391D74"/>
    <w:pPr>
      <w:tabs>
        <w:tab w:val="clear" w:pos="794"/>
        <w:tab w:val="left" w:pos="992"/>
      </w:tabs>
      <w:ind w:left="992" w:hanging="992"/>
      <w:outlineLvl w:val="3"/>
    </w:pPr>
  </w:style>
  <w:style w:type="paragraph" w:styleId="Heading5">
    <w:name w:val="heading 5"/>
    <w:basedOn w:val="Heading4"/>
    <w:next w:val="Normal"/>
    <w:qFormat/>
    <w:rsid w:val="00391D74"/>
    <w:pPr>
      <w:outlineLvl w:val="4"/>
    </w:pPr>
  </w:style>
  <w:style w:type="paragraph" w:styleId="Heading6">
    <w:name w:val="heading 6"/>
    <w:basedOn w:val="Heading4"/>
    <w:next w:val="Normal"/>
    <w:qFormat/>
    <w:rsid w:val="00391D74"/>
    <w:pPr>
      <w:tabs>
        <w:tab w:val="clear" w:pos="992"/>
        <w:tab w:val="clear" w:pos="1191"/>
      </w:tabs>
      <w:ind w:left="1588" w:hanging="1588"/>
      <w:outlineLvl w:val="5"/>
    </w:pPr>
  </w:style>
  <w:style w:type="paragraph" w:styleId="Heading7">
    <w:name w:val="heading 7"/>
    <w:basedOn w:val="Heading6"/>
    <w:next w:val="Normal"/>
    <w:qFormat/>
    <w:rsid w:val="00391D74"/>
    <w:pPr>
      <w:outlineLvl w:val="6"/>
    </w:pPr>
  </w:style>
  <w:style w:type="paragraph" w:styleId="Heading8">
    <w:name w:val="heading 8"/>
    <w:basedOn w:val="Heading6"/>
    <w:next w:val="Normal"/>
    <w:qFormat/>
    <w:rsid w:val="00391D74"/>
    <w:pPr>
      <w:outlineLvl w:val="7"/>
    </w:pPr>
  </w:style>
  <w:style w:type="paragraph" w:styleId="Heading9">
    <w:name w:val="heading 9"/>
    <w:basedOn w:val="Heading6"/>
    <w:next w:val="Normal"/>
    <w:qFormat/>
    <w:rsid w:val="00391D7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91D7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91D7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91D74"/>
  </w:style>
  <w:style w:type="paragraph" w:customStyle="1" w:styleId="Headingb">
    <w:name w:val="Heading_b"/>
    <w:basedOn w:val="Heading3"/>
    <w:next w:val="Normal"/>
    <w:qFormat/>
    <w:rsid w:val="00391D74"/>
    <w:pPr>
      <w:spacing w:before="160"/>
      <w:ind w:left="0" w:firstLine="0"/>
      <w:outlineLvl w:val="9"/>
    </w:pPr>
  </w:style>
  <w:style w:type="paragraph" w:customStyle="1" w:styleId="Headingi">
    <w:name w:val="Heading_i"/>
    <w:basedOn w:val="Heading3"/>
    <w:next w:val="Normal"/>
    <w:rsid w:val="00391D74"/>
    <w:pPr>
      <w:spacing w:before="160"/>
      <w:ind w:left="0" w:firstLine="0"/>
    </w:pPr>
    <w:rPr>
      <w:b w:val="0"/>
      <w:i/>
    </w:rPr>
  </w:style>
  <w:style w:type="character" w:customStyle="1" w:styleId="href">
    <w:name w:val="href"/>
    <w:basedOn w:val="DefaultParagraphFont"/>
    <w:rsid w:val="00391D74"/>
  </w:style>
  <w:style w:type="paragraph" w:customStyle="1" w:styleId="AnnexNoTitle">
    <w:name w:val="Annex_NoTitle"/>
    <w:basedOn w:val="Normal"/>
    <w:next w:val="Normalaftertitle"/>
    <w:rsid w:val="00391D74"/>
    <w:pPr>
      <w:keepNext/>
      <w:keepLines/>
      <w:spacing w:before="480" w:after="80"/>
      <w:jc w:val="center"/>
    </w:pPr>
    <w:rPr>
      <w:b/>
      <w:sz w:val="28"/>
    </w:rPr>
  </w:style>
  <w:style w:type="paragraph" w:customStyle="1" w:styleId="Normalaftertitle">
    <w:name w:val="Normal_after_title"/>
    <w:basedOn w:val="Normal"/>
    <w:next w:val="Normal"/>
    <w:rsid w:val="00391D74"/>
    <w:pPr>
      <w:spacing w:before="320"/>
    </w:pPr>
  </w:style>
  <w:style w:type="paragraph" w:customStyle="1" w:styleId="enumlev2">
    <w:name w:val="enumlev2"/>
    <w:basedOn w:val="enumlev1"/>
    <w:rsid w:val="00391D74"/>
    <w:pPr>
      <w:ind w:left="1191" w:hanging="397"/>
    </w:pPr>
  </w:style>
  <w:style w:type="paragraph" w:customStyle="1" w:styleId="enumlev1">
    <w:name w:val="enumlev1"/>
    <w:basedOn w:val="Normal"/>
    <w:rsid w:val="00391D74"/>
    <w:pPr>
      <w:spacing w:before="80"/>
      <w:ind w:left="794" w:hanging="794"/>
    </w:pPr>
  </w:style>
  <w:style w:type="paragraph" w:customStyle="1" w:styleId="enumlev3">
    <w:name w:val="enumlev3"/>
    <w:basedOn w:val="enumlev2"/>
    <w:rsid w:val="00391D74"/>
    <w:pPr>
      <w:ind w:left="1588"/>
    </w:pPr>
  </w:style>
  <w:style w:type="paragraph" w:customStyle="1" w:styleId="Note">
    <w:name w:val="Note"/>
    <w:basedOn w:val="Normal"/>
    <w:rsid w:val="00391D7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91D7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91D74"/>
    <w:pPr>
      <w:keepNext/>
      <w:keepLines/>
      <w:spacing w:before="240"/>
      <w:jc w:val="center"/>
    </w:pPr>
    <w:rPr>
      <w:b/>
      <w:sz w:val="28"/>
    </w:rPr>
  </w:style>
  <w:style w:type="paragraph" w:customStyle="1" w:styleId="Recref">
    <w:name w:val="Rec_ref"/>
    <w:basedOn w:val="Normal"/>
    <w:next w:val="Recdate"/>
    <w:rsid w:val="00391D74"/>
    <w:pPr>
      <w:jc w:val="center"/>
    </w:pPr>
  </w:style>
  <w:style w:type="paragraph" w:customStyle="1" w:styleId="Recdate">
    <w:name w:val="Rec_date"/>
    <w:basedOn w:val="Recref"/>
    <w:next w:val="Normalaftertitle"/>
    <w:rsid w:val="00391D74"/>
    <w:pPr>
      <w:jc w:val="right"/>
    </w:pPr>
  </w:style>
  <w:style w:type="paragraph" w:customStyle="1" w:styleId="HeadingSum">
    <w:name w:val="Heading_Sum"/>
    <w:basedOn w:val="Headingb"/>
    <w:next w:val="Normal"/>
    <w:autoRedefine/>
    <w:rsid w:val="00391D74"/>
    <w:pPr>
      <w:spacing w:before="240"/>
    </w:pPr>
    <w:rPr>
      <w:lang w:val="es-ES_tradnl"/>
    </w:rPr>
  </w:style>
  <w:style w:type="paragraph" w:customStyle="1" w:styleId="AppendixNoTitle">
    <w:name w:val="Appendix_NoTitle"/>
    <w:basedOn w:val="AnnexNoTitle"/>
    <w:next w:val="Normal"/>
    <w:rsid w:val="00391D74"/>
  </w:style>
  <w:style w:type="paragraph" w:customStyle="1" w:styleId="Tablefin">
    <w:name w:val="Table_fin"/>
    <w:basedOn w:val="Normal"/>
    <w:next w:val="Normal"/>
    <w:rsid w:val="00391D74"/>
    <w:pPr>
      <w:spacing w:before="0"/>
    </w:pPr>
    <w:rPr>
      <w:sz w:val="20"/>
      <w:lang w:val="en-GB"/>
    </w:rPr>
  </w:style>
  <w:style w:type="paragraph" w:customStyle="1" w:styleId="Tablehead">
    <w:name w:val="Table_head"/>
    <w:basedOn w:val="Normal"/>
    <w:next w:val="Normal"/>
    <w:rsid w:val="00391D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91D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91D74"/>
    <w:pPr>
      <w:keepNext/>
      <w:spacing w:before="360" w:after="120"/>
      <w:jc w:val="center"/>
    </w:pPr>
  </w:style>
  <w:style w:type="paragraph" w:customStyle="1" w:styleId="Tabletext">
    <w:name w:val="Table_text"/>
    <w:basedOn w:val="Normal"/>
    <w:rsid w:val="00391D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91D74"/>
    <w:pPr>
      <w:tabs>
        <w:tab w:val="clear" w:pos="1191"/>
        <w:tab w:val="clear" w:pos="1588"/>
        <w:tab w:val="clear" w:pos="1985"/>
        <w:tab w:val="center" w:pos="4820"/>
        <w:tab w:val="right" w:pos="9639"/>
      </w:tabs>
    </w:pPr>
  </w:style>
  <w:style w:type="paragraph" w:customStyle="1" w:styleId="Equationlegend">
    <w:name w:val="Equation_legend"/>
    <w:basedOn w:val="NormalIndent"/>
    <w:rsid w:val="00391D7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91D74"/>
    <w:pPr>
      <w:ind w:left="794"/>
    </w:pPr>
  </w:style>
  <w:style w:type="paragraph" w:customStyle="1" w:styleId="Figurelegend">
    <w:name w:val="Figure_legend"/>
    <w:basedOn w:val="Normal"/>
    <w:rsid w:val="00391D7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91D74"/>
    <w:pPr>
      <w:keepNext/>
      <w:keepLines/>
      <w:spacing w:before="480" w:after="80"/>
      <w:jc w:val="center"/>
    </w:pPr>
    <w:rPr>
      <w:caps/>
      <w:sz w:val="18"/>
    </w:rPr>
  </w:style>
  <w:style w:type="paragraph" w:customStyle="1" w:styleId="Figuretitle">
    <w:name w:val="Figure_title"/>
    <w:basedOn w:val="Normal"/>
    <w:next w:val="Figure"/>
    <w:rsid w:val="00391D74"/>
    <w:pPr>
      <w:keepNext/>
      <w:spacing w:before="0" w:after="120"/>
      <w:jc w:val="center"/>
    </w:pPr>
    <w:rPr>
      <w:rFonts w:ascii="Times New Roman Bold" w:hAnsi="Times New Roman Bold"/>
      <w:b/>
      <w:sz w:val="18"/>
    </w:rPr>
  </w:style>
  <w:style w:type="paragraph" w:customStyle="1" w:styleId="Figure">
    <w:name w:val="Figure"/>
    <w:basedOn w:val="FigureNo"/>
    <w:next w:val="Normal"/>
    <w:rsid w:val="00391D74"/>
    <w:pPr>
      <w:keepNext w:val="0"/>
      <w:spacing w:before="0" w:after="240"/>
    </w:pPr>
  </w:style>
  <w:style w:type="paragraph" w:customStyle="1" w:styleId="tocpart">
    <w:name w:val="tocpart"/>
    <w:basedOn w:val="Normal"/>
    <w:rsid w:val="00391D7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91D74"/>
    <w:pPr>
      <w:keepNext/>
      <w:keepLines/>
      <w:spacing w:before="480"/>
      <w:jc w:val="center"/>
    </w:pPr>
    <w:rPr>
      <w:sz w:val="28"/>
    </w:rPr>
  </w:style>
  <w:style w:type="paragraph" w:customStyle="1" w:styleId="Arttitle">
    <w:name w:val="Art_title"/>
    <w:basedOn w:val="Normal"/>
    <w:next w:val="Normalaftertitle"/>
    <w:rsid w:val="00391D74"/>
    <w:pPr>
      <w:keepNext/>
      <w:keepLines/>
      <w:spacing w:before="240"/>
      <w:jc w:val="center"/>
    </w:pPr>
    <w:rPr>
      <w:b/>
      <w:sz w:val="28"/>
    </w:rPr>
  </w:style>
  <w:style w:type="paragraph" w:customStyle="1" w:styleId="Blanc">
    <w:name w:val="Blanc"/>
    <w:basedOn w:val="Normal"/>
    <w:next w:val="Tabletext"/>
    <w:rsid w:val="00391D7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91D7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91D74"/>
    <w:pPr>
      <w:keepNext/>
      <w:keepLines/>
      <w:spacing w:before="160"/>
      <w:ind w:left="794"/>
    </w:pPr>
    <w:rPr>
      <w:i/>
    </w:rPr>
  </w:style>
  <w:style w:type="paragraph" w:customStyle="1" w:styleId="ChapNo">
    <w:name w:val="Chap_No"/>
    <w:basedOn w:val="ArtNo"/>
    <w:next w:val="Chaptitle"/>
    <w:rsid w:val="00391D74"/>
    <w:rPr>
      <w:b/>
    </w:rPr>
  </w:style>
  <w:style w:type="paragraph" w:customStyle="1" w:styleId="Chaptitle">
    <w:name w:val="Chap_title"/>
    <w:basedOn w:val="Arttitle"/>
    <w:next w:val="Normalaftertitle"/>
    <w:rsid w:val="00391D74"/>
  </w:style>
  <w:style w:type="character" w:styleId="FootnoteReference">
    <w:name w:val="footnote reference"/>
    <w:basedOn w:val="DefaultParagraphFont"/>
    <w:semiHidden/>
    <w:rsid w:val="00391D74"/>
    <w:rPr>
      <w:position w:val="6"/>
      <w:sz w:val="18"/>
    </w:rPr>
  </w:style>
  <w:style w:type="paragraph" w:styleId="FootnoteText">
    <w:name w:val="footnote text"/>
    <w:basedOn w:val="Normal"/>
    <w:semiHidden/>
    <w:rsid w:val="00391D74"/>
    <w:pPr>
      <w:keepLines/>
      <w:tabs>
        <w:tab w:val="left" w:pos="255"/>
      </w:tabs>
      <w:ind w:left="255" w:hanging="255"/>
    </w:pPr>
    <w:rPr>
      <w:sz w:val="22"/>
    </w:rPr>
  </w:style>
  <w:style w:type="paragraph" w:styleId="Index1">
    <w:name w:val="index 1"/>
    <w:basedOn w:val="Normal"/>
    <w:next w:val="Normal"/>
    <w:semiHidden/>
    <w:rsid w:val="00391D74"/>
  </w:style>
  <w:style w:type="paragraph" w:styleId="Index2">
    <w:name w:val="index 2"/>
    <w:basedOn w:val="Normal"/>
    <w:next w:val="Normal"/>
    <w:semiHidden/>
    <w:rsid w:val="00391D74"/>
    <w:pPr>
      <w:ind w:left="283"/>
    </w:pPr>
  </w:style>
  <w:style w:type="paragraph" w:styleId="Index3">
    <w:name w:val="index 3"/>
    <w:basedOn w:val="Normal"/>
    <w:next w:val="Normal"/>
    <w:semiHidden/>
    <w:rsid w:val="00391D74"/>
    <w:pPr>
      <w:ind w:left="566"/>
    </w:pPr>
  </w:style>
  <w:style w:type="paragraph" w:styleId="IndexHeading">
    <w:name w:val="index heading"/>
    <w:basedOn w:val="Normal"/>
    <w:next w:val="Index1"/>
    <w:semiHidden/>
    <w:rsid w:val="00391D74"/>
  </w:style>
  <w:style w:type="paragraph" w:customStyle="1" w:styleId="Line">
    <w:name w:val="Line"/>
    <w:basedOn w:val="Normal"/>
    <w:next w:val="Normal"/>
    <w:rsid w:val="00391D7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91D7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91D74"/>
  </w:style>
  <w:style w:type="paragraph" w:customStyle="1" w:styleId="Partref">
    <w:name w:val="Part_ref"/>
    <w:basedOn w:val="Normal"/>
    <w:next w:val="Normal"/>
    <w:rsid w:val="00391D74"/>
    <w:pPr>
      <w:keepNext/>
      <w:keepLines/>
      <w:spacing w:after="280"/>
      <w:jc w:val="center"/>
    </w:pPr>
  </w:style>
  <w:style w:type="paragraph" w:customStyle="1" w:styleId="Parttitle">
    <w:name w:val="Part_title"/>
    <w:basedOn w:val="Normal"/>
    <w:next w:val="Normalaftertitle"/>
    <w:rsid w:val="00391D7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91D74"/>
  </w:style>
  <w:style w:type="paragraph" w:customStyle="1" w:styleId="QuestionNo">
    <w:name w:val="Question_No"/>
    <w:basedOn w:val="RecNo"/>
    <w:next w:val="Normal"/>
    <w:rsid w:val="00391D74"/>
  </w:style>
  <w:style w:type="paragraph" w:customStyle="1" w:styleId="Questionref">
    <w:name w:val="Question_ref"/>
    <w:basedOn w:val="Recref"/>
    <w:next w:val="Questiondate"/>
    <w:rsid w:val="00391D74"/>
  </w:style>
  <w:style w:type="paragraph" w:customStyle="1" w:styleId="Questiontitle">
    <w:name w:val="Question_title"/>
    <w:basedOn w:val="Normal"/>
    <w:next w:val="Questionref"/>
    <w:rsid w:val="00391D74"/>
  </w:style>
  <w:style w:type="paragraph" w:customStyle="1" w:styleId="Reftext">
    <w:name w:val="Ref_text"/>
    <w:basedOn w:val="Normal"/>
    <w:rsid w:val="00391D74"/>
    <w:pPr>
      <w:ind w:left="794" w:hanging="794"/>
    </w:pPr>
    <w:rPr>
      <w:sz w:val="22"/>
    </w:rPr>
  </w:style>
  <w:style w:type="paragraph" w:customStyle="1" w:styleId="Reftitle">
    <w:name w:val="Ref_title"/>
    <w:basedOn w:val="Normal"/>
    <w:next w:val="Reftext"/>
    <w:rsid w:val="00391D7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91D74"/>
  </w:style>
  <w:style w:type="paragraph" w:customStyle="1" w:styleId="RepNo">
    <w:name w:val="Rep_No"/>
    <w:basedOn w:val="RecNo"/>
    <w:next w:val="Reptitle"/>
    <w:rsid w:val="00391D74"/>
  </w:style>
  <w:style w:type="paragraph" w:customStyle="1" w:styleId="Reptitle">
    <w:name w:val="Rep_title"/>
    <w:basedOn w:val="Rectitle"/>
    <w:next w:val="Repref"/>
    <w:rsid w:val="00391D74"/>
  </w:style>
  <w:style w:type="paragraph" w:customStyle="1" w:styleId="Repref">
    <w:name w:val="Rep_ref"/>
    <w:basedOn w:val="Recref"/>
    <w:next w:val="Repdate"/>
    <w:rsid w:val="00391D74"/>
  </w:style>
  <w:style w:type="paragraph" w:customStyle="1" w:styleId="Resdate">
    <w:name w:val="Res_date"/>
    <w:basedOn w:val="Recdate"/>
    <w:next w:val="Normalaftertitle"/>
    <w:rsid w:val="00391D74"/>
  </w:style>
  <w:style w:type="paragraph" w:customStyle="1" w:styleId="ResNo">
    <w:name w:val="Res_No"/>
    <w:basedOn w:val="RecNo"/>
    <w:next w:val="Restitle"/>
    <w:rsid w:val="00391D74"/>
  </w:style>
  <w:style w:type="paragraph" w:customStyle="1" w:styleId="Restitle">
    <w:name w:val="Res_title"/>
    <w:basedOn w:val="Normal"/>
    <w:next w:val="Resref"/>
    <w:rsid w:val="00391D74"/>
    <w:pPr>
      <w:spacing w:before="240"/>
      <w:jc w:val="center"/>
    </w:pPr>
    <w:rPr>
      <w:b/>
      <w:sz w:val="28"/>
    </w:rPr>
  </w:style>
  <w:style w:type="paragraph" w:customStyle="1" w:styleId="Resref">
    <w:name w:val="Res_ref"/>
    <w:basedOn w:val="Recref"/>
    <w:next w:val="Resdate"/>
    <w:rsid w:val="00391D74"/>
  </w:style>
  <w:style w:type="paragraph" w:customStyle="1" w:styleId="SectionNo">
    <w:name w:val="Section_No"/>
    <w:basedOn w:val="Normal"/>
    <w:next w:val="Normal"/>
    <w:rsid w:val="00391D74"/>
  </w:style>
  <w:style w:type="paragraph" w:customStyle="1" w:styleId="Sectiontitle">
    <w:name w:val="Section_title"/>
    <w:basedOn w:val="Normal"/>
    <w:next w:val="Normalaftertitle"/>
    <w:rsid w:val="00391D7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91D74"/>
    <w:pPr>
      <w:tabs>
        <w:tab w:val="clear" w:pos="794"/>
        <w:tab w:val="clear" w:pos="1191"/>
        <w:tab w:val="clear" w:pos="1588"/>
        <w:tab w:val="clear" w:pos="1985"/>
        <w:tab w:val="right" w:pos="9611"/>
      </w:tabs>
    </w:pPr>
    <w:rPr>
      <w:i/>
    </w:rPr>
  </w:style>
  <w:style w:type="paragraph" w:styleId="TOC1">
    <w:name w:val="toc 1"/>
    <w:basedOn w:val="Normal"/>
    <w:semiHidden/>
    <w:rsid w:val="00391D7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91D74"/>
    <w:pPr>
      <w:tabs>
        <w:tab w:val="clear" w:pos="567"/>
        <w:tab w:val="left" w:pos="1276"/>
      </w:tabs>
      <w:spacing w:before="160"/>
      <w:ind w:left="1276" w:hanging="709"/>
    </w:pPr>
  </w:style>
  <w:style w:type="paragraph" w:styleId="TOC3">
    <w:name w:val="toc 3"/>
    <w:basedOn w:val="TOC2"/>
    <w:semiHidden/>
    <w:rsid w:val="00391D74"/>
    <w:pPr>
      <w:tabs>
        <w:tab w:val="clear" w:pos="1276"/>
        <w:tab w:val="left" w:pos="2155"/>
      </w:tabs>
      <w:ind w:left="2155" w:hanging="879"/>
    </w:pPr>
  </w:style>
  <w:style w:type="paragraph" w:styleId="TOC4">
    <w:name w:val="toc 4"/>
    <w:basedOn w:val="TOC3"/>
    <w:semiHidden/>
    <w:rsid w:val="00391D74"/>
    <w:pPr>
      <w:tabs>
        <w:tab w:val="left" w:pos="3261"/>
      </w:tabs>
      <w:spacing w:before="80"/>
      <w:ind w:left="3261" w:hanging="993"/>
    </w:pPr>
  </w:style>
  <w:style w:type="paragraph" w:styleId="TOC5">
    <w:name w:val="toc 5"/>
    <w:basedOn w:val="TOC4"/>
    <w:semiHidden/>
    <w:rsid w:val="00391D74"/>
  </w:style>
  <w:style w:type="paragraph" w:styleId="TOC6">
    <w:name w:val="toc 6"/>
    <w:basedOn w:val="TOC4"/>
    <w:semiHidden/>
    <w:rsid w:val="00391D74"/>
  </w:style>
  <w:style w:type="paragraph" w:styleId="TOC7">
    <w:name w:val="toc 7"/>
    <w:basedOn w:val="TOC4"/>
    <w:semiHidden/>
    <w:rsid w:val="00391D74"/>
  </w:style>
  <w:style w:type="paragraph" w:styleId="TOC8">
    <w:name w:val="toc 8"/>
    <w:basedOn w:val="TOC4"/>
    <w:semiHidden/>
    <w:rsid w:val="00391D74"/>
  </w:style>
  <w:style w:type="paragraph" w:customStyle="1" w:styleId="Annexref">
    <w:name w:val="Annex_ref"/>
    <w:basedOn w:val="Normal"/>
    <w:next w:val="Normalaftertitle"/>
    <w:rsid w:val="00391D74"/>
    <w:pPr>
      <w:keepNext/>
      <w:keepLines/>
      <w:spacing w:after="280"/>
      <w:jc w:val="center"/>
    </w:pPr>
  </w:style>
  <w:style w:type="paragraph" w:customStyle="1" w:styleId="Appendixref">
    <w:name w:val="Appendix_ref"/>
    <w:basedOn w:val="Annexref"/>
    <w:next w:val="Normalaftertitle"/>
    <w:rsid w:val="00391D74"/>
  </w:style>
  <w:style w:type="paragraph" w:customStyle="1" w:styleId="Tabletitle">
    <w:name w:val="Table_title"/>
    <w:basedOn w:val="Normal"/>
    <w:next w:val="Tablehead"/>
    <w:rsid w:val="00391D74"/>
    <w:pPr>
      <w:keepNext/>
      <w:spacing w:before="0" w:after="120"/>
      <w:jc w:val="center"/>
    </w:pPr>
    <w:rPr>
      <w:b/>
    </w:rPr>
  </w:style>
  <w:style w:type="paragraph" w:customStyle="1" w:styleId="Summary">
    <w:name w:val="Summary"/>
    <w:basedOn w:val="Normal"/>
    <w:next w:val="Normalaftertitle"/>
    <w:autoRedefine/>
    <w:rsid w:val="00986C18"/>
    <w:pPr>
      <w:spacing w:after="480"/>
    </w:pPr>
    <w:rPr>
      <w:sz w:val="22"/>
      <w:szCs w:val="22"/>
      <w:lang w:val="en-GB"/>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391D74"/>
    <w:pPr>
      <w:ind w:left="-85" w:firstLine="0"/>
    </w:pPr>
    <w:rPr>
      <w:lang w:val="en-US"/>
    </w:rPr>
  </w:style>
  <w:style w:type="paragraph" w:customStyle="1" w:styleId="Source">
    <w:name w:val="Source"/>
    <w:basedOn w:val="Normal"/>
    <w:next w:val="Normal"/>
    <w:rsid w:val="00C95C69"/>
    <w:pPr>
      <w:tabs>
        <w:tab w:val="clear" w:pos="794"/>
        <w:tab w:val="clear" w:pos="1191"/>
        <w:tab w:val="clear" w:pos="1588"/>
        <w:tab w:val="clear" w:pos="1985"/>
        <w:tab w:val="left" w:pos="1134"/>
        <w:tab w:val="left" w:pos="1871"/>
        <w:tab w:val="left" w:pos="2268"/>
      </w:tabs>
      <w:spacing w:before="840"/>
      <w:jc w:val="center"/>
      <w:textAlignment w:val="auto"/>
    </w:pPr>
    <w:rPr>
      <w:b/>
      <w:sz w:val="28"/>
      <w:lang w:val="en-GB"/>
    </w:rPr>
  </w:style>
  <w:style w:type="paragraph" w:customStyle="1" w:styleId="AnnexNo">
    <w:name w:val="Annex_No"/>
    <w:basedOn w:val="Normal"/>
    <w:next w:val="Normal"/>
    <w:rsid w:val="00C95C69"/>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caps/>
      <w:sz w:val="28"/>
      <w:lang w:val="en-GB"/>
    </w:rPr>
  </w:style>
  <w:style w:type="paragraph" w:customStyle="1" w:styleId="Annextitle">
    <w:name w:val="Annex_title"/>
    <w:basedOn w:val="Normal"/>
    <w:next w:val="Normal"/>
    <w:rsid w:val="00C95C69"/>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hAnsi="Times New Roman Bold"/>
      <w:b/>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 w:id="2142535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C7F7C-EC5E-4F39-B672-121820BC1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139</TotalTime>
  <Pages>1</Pages>
  <Words>1927</Words>
  <Characters>11371</Characters>
  <Application>Microsoft Office Word</Application>
  <DocSecurity>0</DocSecurity>
  <Lines>541</Lines>
  <Paragraphs>110</Paragraphs>
  <ScaleCrop>false</ScaleCrop>
  <HeadingPairs>
    <vt:vector size="2" baseType="variant">
      <vt:variant>
        <vt:lpstr>Title</vt:lpstr>
      </vt:variant>
      <vt:variant>
        <vt:i4>1</vt:i4>
      </vt:variant>
    </vt:vector>
  </HeadingPairs>
  <TitlesOfParts>
    <vt:vector size="1" baseType="lpstr">
      <vt:lpstr>RECOMMENDATION  ITU-R  SA.1160-3 - Aggregate interference criteria for data transmission systems in the Earth exploration-satellite and meteorological-satellite services using satellites in the geostationary orbit</vt:lpstr>
    </vt:vector>
  </TitlesOfParts>
  <Manager/>
  <Company>ITU</Company>
  <LinksUpToDate>false</LinksUpToDate>
  <CharactersWithSpaces>13188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SA.1160-3 - Aggregate interference criteria for data transmission systems in the Earth exploration-satellite and meteorological-satellite services using satellites in the geostationary orbit</dc:title>
  <dc:subject>SA Series = Space applications</dc:subject>
  <dc:creator>ITU Radiocommunication Bureau (BR)</dc:creator>
  <cp:keywords>SA,1160-3</cp:keywords>
  <dc:description>Gachetc, 01/08/2017, ITU51007784</dc:description>
  <cp:lastModifiedBy>Gachet, Christelle</cp:lastModifiedBy>
  <cp:revision>69</cp:revision>
  <cp:lastPrinted>2017-08-01T14:28:00Z</cp:lastPrinted>
  <dcterms:created xsi:type="dcterms:W3CDTF">2017-06-05T06:48:00Z</dcterms:created>
  <dcterms:modified xsi:type="dcterms:W3CDTF">2017-08-01T14:28:00Z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01 August 2017</vt:lpwstr>
  </property>
</Properties>
</file>