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582A6" w14:textId="77777777" w:rsidR="00B230E8" w:rsidRDefault="00B230E8" w:rsidP="00B230E8">
      <w:pPr>
        <w:pStyle w:val="RecNo"/>
        <w:spacing w:before="0"/>
        <w:rPr>
          <w:lang w:val="es-ES_tradnl"/>
        </w:rPr>
      </w:pPr>
      <w:proofErr w:type="gramStart"/>
      <w:r>
        <w:rPr>
          <w:lang w:val="es-ES_tradnl"/>
        </w:rPr>
        <w:t xml:space="preserve">RECOMENDACIÓN  </w:t>
      </w:r>
      <w:r>
        <w:rPr>
          <w:rStyle w:val="href"/>
          <w:lang w:val="es-ES_tradnl"/>
        </w:rPr>
        <w:t>UIT</w:t>
      </w:r>
      <w:proofErr w:type="gramEnd"/>
      <w:r>
        <w:rPr>
          <w:rStyle w:val="href"/>
          <w:lang w:val="es-ES_tradnl"/>
        </w:rPr>
        <w:t>-R  SA.1157-1</w:t>
      </w:r>
    </w:p>
    <w:p w14:paraId="5CE212CA" w14:textId="77777777" w:rsidR="00B230E8" w:rsidRDefault="00B230E8" w:rsidP="00B230E8">
      <w:pPr>
        <w:pStyle w:val="Rectitle"/>
        <w:rPr>
          <w:lang w:val="es-ES_tradnl"/>
        </w:rPr>
      </w:pPr>
      <w:r>
        <w:rPr>
          <w:lang w:val="es-ES_tradnl"/>
        </w:rPr>
        <w:t>Criterios de protección para la investigación del espacio lejano</w:t>
      </w:r>
    </w:p>
    <w:p w14:paraId="67F7AC38" w14:textId="77777777" w:rsidR="00A23E5A" w:rsidRDefault="00A23E5A" w:rsidP="00B230E8">
      <w:pPr>
        <w:pStyle w:val="Recdate"/>
        <w:rPr>
          <w:lang w:val="es-ES_tradnl"/>
        </w:rPr>
      </w:pPr>
    </w:p>
    <w:p w14:paraId="2396BC35" w14:textId="77777777" w:rsidR="00A23E5A" w:rsidRDefault="00A23E5A" w:rsidP="00B230E8">
      <w:pPr>
        <w:pStyle w:val="Recdate"/>
        <w:rPr>
          <w:lang w:val="es-ES_tradnl"/>
        </w:rPr>
      </w:pPr>
    </w:p>
    <w:p w14:paraId="68BF0B41" w14:textId="77777777" w:rsidR="00B230E8" w:rsidRDefault="00B230E8" w:rsidP="00B230E8">
      <w:pPr>
        <w:pStyle w:val="Recdate"/>
        <w:rPr>
          <w:lang w:val="es-ES_tradnl"/>
        </w:rPr>
      </w:pPr>
      <w:r>
        <w:rPr>
          <w:lang w:val="es-ES_tradnl"/>
        </w:rPr>
        <w:t>(1995</w:t>
      </w:r>
      <w:r w:rsidR="00A96126">
        <w:rPr>
          <w:lang w:val="es-ES_tradnl"/>
        </w:rPr>
        <w:t>-2006</w:t>
      </w:r>
      <w:r>
        <w:rPr>
          <w:lang w:val="es-ES_tradnl"/>
        </w:rPr>
        <w:t>)</w:t>
      </w:r>
    </w:p>
    <w:p w14:paraId="041F99D4" w14:textId="77777777" w:rsidR="00A96126" w:rsidRDefault="00A96126" w:rsidP="00A96126">
      <w:pPr>
        <w:rPr>
          <w:lang w:val="es-ES_tradnl"/>
        </w:rPr>
      </w:pPr>
    </w:p>
    <w:p w14:paraId="4B5D0BFE" w14:textId="77777777" w:rsidR="00A96126" w:rsidRDefault="00A96126" w:rsidP="00A96126">
      <w:pPr>
        <w:pStyle w:val="HeadingSum"/>
      </w:pPr>
      <w:r>
        <w:t>Cometido</w:t>
      </w:r>
    </w:p>
    <w:p w14:paraId="4BA1EF08" w14:textId="77777777" w:rsidR="00A96126" w:rsidRPr="00A96126" w:rsidRDefault="00A96126" w:rsidP="00A96126">
      <w:pPr>
        <w:pStyle w:val="Summary"/>
      </w:pPr>
      <w:r>
        <w:t>Esta Recomendación se especifican los criterios de protección necesarios para controlar, gestionar y explotar plenamente los satélites de investigación tripulados y no tripulados en el espacio lejano; es decir, los satélites que realizan misiones asignadas en el volumen de espacio que se encuentra a más de 2 millones de km de la Tierra.</w:t>
      </w:r>
    </w:p>
    <w:p w14:paraId="1E5BE4FE" w14:textId="77777777" w:rsidR="00B230E8" w:rsidRDefault="00B230E8" w:rsidP="00B230E8">
      <w:pPr>
        <w:pStyle w:val="Normalaftertitle"/>
        <w:rPr>
          <w:lang w:val="es-ES_tradnl"/>
        </w:rPr>
      </w:pPr>
      <w:r>
        <w:rPr>
          <w:lang w:val="es-ES_tradnl"/>
        </w:rPr>
        <w:t>La Asamblea de Radiocomunicaciones de la UIT,</w:t>
      </w:r>
    </w:p>
    <w:p w14:paraId="466CAB01" w14:textId="77777777" w:rsidR="00B230E8" w:rsidRDefault="00B230E8" w:rsidP="00B230E8">
      <w:pPr>
        <w:pStyle w:val="Call"/>
        <w:rPr>
          <w:lang w:val="es-ES_tradnl"/>
        </w:rPr>
      </w:pPr>
      <w:r>
        <w:rPr>
          <w:lang w:val="es-ES_tradnl"/>
        </w:rPr>
        <w:t>considerando</w:t>
      </w:r>
    </w:p>
    <w:p w14:paraId="51E9312F" w14:textId="77777777" w:rsidR="00B230E8" w:rsidRDefault="00B230E8" w:rsidP="00B230E8">
      <w:pPr>
        <w:rPr>
          <w:lang w:val="es-ES_tradnl"/>
        </w:rPr>
      </w:pPr>
      <w:r>
        <w:rPr>
          <w:lang w:val="es-ES_tradnl"/>
        </w:rPr>
        <w:t>a)</w:t>
      </w:r>
      <w:r>
        <w:rPr>
          <w:lang w:val="es-ES_tradnl"/>
        </w:rPr>
        <w:tab/>
        <w:t xml:space="preserve">que la investigación tripulada en el espacio lejano tiene requisitos específicos de extrema fiabilidad en materia de </w:t>
      </w:r>
      <w:r w:rsidR="00A96126">
        <w:rPr>
          <w:lang w:val="es-ES_tradnl"/>
        </w:rPr>
        <w:t>radio</w:t>
      </w:r>
      <w:r>
        <w:rPr>
          <w:lang w:val="es-ES_tradnl"/>
        </w:rPr>
        <w:t>comunicaciones para garantizar la seguridad de la vida humana;</w:t>
      </w:r>
    </w:p>
    <w:p w14:paraId="7A10C085" w14:textId="77777777" w:rsidR="00B230E8" w:rsidRDefault="00B230E8" w:rsidP="00B230E8">
      <w:pPr>
        <w:rPr>
          <w:lang w:val="es-ES_tradnl"/>
        </w:rPr>
      </w:pPr>
      <w:r>
        <w:rPr>
          <w:lang w:val="es-ES_tradnl"/>
        </w:rPr>
        <w:t>b)</w:t>
      </w:r>
      <w:r>
        <w:rPr>
          <w:lang w:val="es-ES_tradnl"/>
        </w:rPr>
        <w:tab/>
        <w:t xml:space="preserve">que la investigación tripulada y no tripulada en el espacio lejano tiene necesidades específicas de extrema fiabilidad en materia de </w:t>
      </w:r>
      <w:r w:rsidR="00A96126">
        <w:rPr>
          <w:lang w:val="es-ES_tradnl"/>
        </w:rPr>
        <w:t>radio</w:t>
      </w:r>
      <w:r>
        <w:rPr>
          <w:lang w:val="es-ES_tradnl"/>
        </w:rPr>
        <w:t>comunicaciones para garantizar la debida recepción de los valiosos datos científicos recogidos en instantes particularmente críticos en los que a menudo no es posible repetir la transmisión;</w:t>
      </w:r>
    </w:p>
    <w:p w14:paraId="6FB6B675" w14:textId="77777777" w:rsidR="00B230E8" w:rsidRDefault="00B230E8" w:rsidP="00B230E8">
      <w:pPr>
        <w:rPr>
          <w:lang w:val="es-ES_tradnl"/>
        </w:rPr>
      </w:pPr>
      <w:r>
        <w:rPr>
          <w:lang w:val="es-ES_tradnl"/>
        </w:rPr>
        <w:t>c)</w:t>
      </w:r>
      <w:r>
        <w:rPr>
          <w:lang w:val="es-ES_tradnl"/>
        </w:rPr>
        <w:tab/>
        <w:t xml:space="preserve">que </w:t>
      </w:r>
      <w:proofErr w:type="gramStart"/>
      <w:r>
        <w:rPr>
          <w:lang w:val="es-ES_tradnl"/>
        </w:rPr>
        <w:t>la extrema sensibilidad de las estaciones terrenas para el espacio lejano producen</w:t>
      </w:r>
      <w:proofErr w:type="gramEnd"/>
      <w:r>
        <w:rPr>
          <w:lang w:val="es-ES_tradnl"/>
        </w:rPr>
        <w:t xml:space="preserve"> niveles de interferencia admisibles notablemente bajos;</w:t>
      </w:r>
    </w:p>
    <w:p w14:paraId="4F82A85B" w14:textId="77777777" w:rsidR="00B230E8" w:rsidRDefault="00B230E8" w:rsidP="00B230E8">
      <w:pPr>
        <w:rPr>
          <w:lang w:val="es-ES_tradnl"/>
        </w:rPr>
      </w:pPr>
      <w:r>
        <w:rPr>
          <w:lang w:val="es-ES_tradnl"/>
        </w:rPr>
        <w:t>d)</w:t>
      </w:r>
      <w:r>
        <w:rPr>
          <w:lang w:val="es-ES_tradnl"/>
        </w:rPr>
        <w:tab/>
        <w:t>que se han calculado los criterios de protección para las estaciones terrenas de investigación del espacio lejano y para las estaciones situadas en el espacio lejano que figuran en el Anexo 1;</w:t>
      </w:r>
    </w:p>
    <w:p w14:paraId="62817CA7" w14:textId="77777777" w:rsidR="00B230E8" w:rsidRDefault="00B230E8" w:rsidP="00B230E8">
      <w:pPr>
        <w:rPr>
          <w:lang w:val="es-ES_tradnl"/>
        </w:rPr>
      </w:pPr>
      <w:r>
        <w:rPr>
          <w:lang w:val="es-ES_tradnl"/>
        </w:rPr>
        <w:t>e)</w:t>
      </w:r>
      <w:r>
        <w:rPr>
          <w:lang w:val="es-ES_tradnl"/>
        </w:rPr>
        <w:tab/>
        <w:t>que se ha calculado la sensibilidad a la interferencia indicada en el Anexo 2,</w:t>
      </w:r>
    </w:p>
    <w:p w14:paraId="1C980B74" w14:textId="77777777" w:rsidR="00B230E8" w:rsidRDefault="00B230E8" w:rsidP="00B230E8">
      <w:pPr>
        <w:pStyle w:val="Call"/>
        <w:rPr>
          <w:lang w:val="es-ES_tradnl"/>
        </w:rPr>
      </w:pPr>
      <w:r>
        <w:rPr>
          <w:lang w:val="es-ES_tradnl"/>
        </w:rPr>
        <w:t>recomienda</w:t>
      </w:r>
    </w:p>
    <w:p w14:paraId="0FFC337D" w14:textId="77777777" w:rsidR="00B230E8" w:rsidRDefault="00B230E8" w:rsidP="00B230E8">
      <w:pPr>
        <w:rPr>
          <w:lang w:val="es-ES_tradnl"/>
        </w:rPr>
      </w:pPr>
      <w:r>
        <w:rPr>
          <w:b/>
          <w:lang w:val="es-ES_tradnl"/>
        </w:rPr>
        <w:t>1</w:t>
      </w:r>
      <w:r>
        <w:rPr>
          <w:lang w:val="es-ES_tradnl"/>
        </w:rPr>
        <w:tab/>
        <w:t>que se establezcan los siguientes criterios de protección para las estaciones terrenas de investigación del espacio lejano:</w:t>
      </w:r>
    </w:p>
    <w:p w14:paraId="59500DC9" w14:textId="77777777" w:rsidR="00B230E8" w:rsidRDefault="00B230E8" w:rsidP="00B230E8">
      <w:pPr>
        <w:pStyle w:val="enumlev1"/>
        <w:rPr>
          <w:lang w:val="es-ES_tradnl"/>
        </w:rPr>
      </w:pPr>
      <w:r>
        <w:rPr>
          <w:lang w:val="es-ES_tradnl"/>
        </w:rPr>
        <w:t>–</w:t>
      </w:r>
      <w:r>
        <w:rPr>
          <w:sz w:val="12"/>
          <w:lang w:val="es-ES_tradnl"/>
        </w:rPr>
        <w:t> </w:t>
      </w:r>
      <w:r>
        <w:rPr>
          <w:lang w:val="es-ES_tradnl"/>
        </w:rPr>
        <w:t>222 dB(W/Hz) en bandas cercanas a 2 GHz,</w:t>
      </w:r>
    </w:p>
    <w:p w14:paraId="6F2DCDE1" w14:textId="77777777" w:rsidR="00B230E8" w:rsidRDefault="00B230E8" w:rsidP="00B230E8">
      <w:pPr>
        <w:pStyle w:val="enumlev1"/>
        <w:rPr>
          <w:lang w:val="es-ES_tradnl"/>
        </w:rPr>
      </w:pPr>
      <w:r>
        <w:rPr>
          <w:lang w:val="es-ES_tradnl"/>
        </w:rPr>
        <w:t>–</w:t>
      </w:r>
      <w:r>
        <w:rPr>
          <w:sz w:val="12"/>
          <w:lang w:val="es-ES_tradnl"/>
        </w:rPr>
        <w:t> </w:t>
      </w:r>
      <w:r>
        <w:rPr>
          <w:lang w:val="es-ES_tradnl"/>
        </w:rPr>
        <w:t>22</w:t>
      </w:r>
      <w:r w:rsidR="00A96126">
        <w:rPr>
          <w:lang w:val="es-ES_tradnl"/>
        </w:rPr>
        <w:t>1</w:t>
      </w:r>
      <w:r>
        <w:rPr>
          <w:lang w:val="es-ES_tradnl"/>
        </w:rPr>
        <w:t xml:space="preserve"> dB(W/Hz) en bandas cercanas a 8 GHz,</w:t>
      </w:r>
    </w:p>
    <w:p w14:paraId="4B40263A" w14:textId="77777777" w:rsidR="00B230E8" w:rsidRDefault="00B230E8" w:rsidP="00B230E8">
      <w:pPr>
        <w:pStyle w:val="enumlev1"/>
        <w:rPr>
          <w:lang w:val="es-ES_tradnl"/>
        </w:rPr>
      </w:pPr>
      <w:r>
        <w:rPr>
          <w:lang w:val="es-ES_tradnl"/>
        </w:rPr>
        <w:t>–</w:t>
      </w:r>
      <w:r>
        <w:rPr>
          <w:sz w:val="12"/>
          <w:lang w:val="es-ES_tradnl"/>
        </w:rPr>
        <w:t> </w:t>
      </w:r>
      <w:r>
        <w:rPr>
          <w:lang w:val="es-ES_tradnl"/>
        </w:rPr>
        <w:t>220 dB(W/Hz) en bandas cercanas a 13 GHz,</w:t>
      </w:r>
    </w:p>
    <w:p w14:paraId="770751B7" w14:textId="77777777" w:rsidR="00B230E8" w:rsidRDefault="00B230E8" w:rsidP="00B230E8">
      <w:pPr>
        <w:pStyle w:val="enumlev1"/>
        <w:rPr>
          <w:lang w:val="es-ES_tradnl"/>
        </w:rPr>
      </w:pPr>
      <w:r>
        <w:rPr>
          <w:lang w:val="es-ES_tradnl"/>
        </w:rPr>
        <w:t>–</w:t>
      </w:r>
      <w:r>
        <w:rPr>
          <w:sz w:val="12"/>
          <w:lang w:val="es-ES_tradnl"/>
        </w:rPr>
        <w:t> </w:t>
      </w:r>
      <w:r>
        <w:rPr>
          <w:lang w:val="es-ES_tradnl"/>
        </w:rPr>
        <w:t>21</w:t>
      </w:r>
      <w:r w:rsidR="00A96126">
        <w:rPr>
          <w:lang w:val="es-ES_tradnl"/>
        </w:rPr>
        <w:t>7</w:t>
      </w:r>
      <w:r>
        <w:rPr>
          <w:lang w:val="es-ES_tradnl"/>
        </w:rPr>
        <w:t xml:space="preserve"> dB(W/Hz) en bandas cercanas a 32 GHz;</w:t>
      </w:r>
    </w:p>
    <w:p w14:paraId="6ED6C0BB" w14:textId="77777777" w:rsidR="00B230E8" w:rsidRDefault="00B230E8" w:rsidP="00B230E8">
      <w:pPr>
        <w:rPr>
          <w:lang w:val="es-ES_tradnl"/>
        </w:rPr>
      </w:pPr>
      <w:r>
        <w:rPr>
          <w:b/>
          <w:lang w:val="es-ES_tradnl"/>
        </w:rPr>
        <w:t>2</w:t>
      </w:r>
      <w:r>
        <w:rPr>
          <w:lang w:val="es-ES_tradnl"/>
        </w:rPr>
        <w:tab/>
        <w:t>que se establezcan los siguientes criterios de protección para estaciones a bordo de vehículos espaciales en el espacio lejano:</w:t>
      </w:r>
    </w:p>
    <w:p w14:paraId="3FACAB76" w14:textId="77777777" w:rsidR="00B230E8" w:rsidRDefault="00B230E8" w:rsidP="00B230E8">
      <w:pPr>
        <w:pStyle w:val="enumlev1"/>
        <w:rPr>
          <w:lang w:val="es-ES_tradnl"/>
        </w:rPr>
      </w:pPr>
      <w:r>
        <w:rPr>
          <w:lang w:val="es-ES_tradnl"/>
        </w:rPr>
        <w:t>–</w:t>
      </w:r>
      <w:r>
        <w:rPr>
          <w:sz w:val="12"/>
          <w:lang w:val="es-ES_tradnl"/>
        </w:rPr>
        <w:t> </w:t>
      </w:r>
      <w:r>
        <w:rPr>
          <w:lang w:val="es-ES_tradnl"/>
        </w:rPr>
        <w:t>19</w:t>
      </w:r>
      <w:r w:rsidR="00A96126">
        <w:rPr>
          <w:lang w:val="es-ES_tradnl"/>
        </w:rPr>
        <w:t>3</w:t>
      </w:r>
      <w:r>
        <w:rPr>
          <w:lang w:val="es-ES_tradnl"/>
        </w:rPr>
        <w:t xml:space="preserve"> </w:t>
      </w:r>
      <w:proofErr w:type="gramStart"/>
      <w:r>
        <w:rPr>
          <w:lang w:val="es-ES_tradnl"/>
        </w:rPr>
        <w:t>dB(</w:t>
      </w:r>
      <w:proofErr w:type="gramEnd"/>
      <w:r>
        <w:rPr>
          <w:lang w:val="es-ES_tradnl"/>
        </w:rPr>
        <w:t>W/20 Hz) en bandas cercanas a 2 GHz,</w:t>
      </w:r>
    </w:p>
    <w:p w14:paraId="5E3AAC80" w14:textId="77777777" w:rsidR="00B230E8" w:rsidRDefault="00B230E8" w:rsidP="00B230E8">
      <w:pPr>
        <w:pStyle w:val="enumlev1"/>
        <w:rPr>
          <w:lang w:val="es-ES_tradnl"/>
        </w:rPr>
      </w:pPr>
      <w:r>
        <w:rPr>
          <w:lang w:val="es-ES_tradnl"/>
        </w:rPr>
        <w:t>–</w:t>
      </w:r>
      <w:r>
        <w:rPr>
          <w:sz w:val="12"/>
          <w:lang w:val="es-ES_tradnl"/>
        </w:rPr>
        <w:t> </w:t>
      </w:r>
      <w:r>
        <w:rPr>
          <w:lang w:val="es-ES_tradnl"/>
        </w:rPr>
        <w:t>1</w:t>
      </w:r>
      <w:r w:rsidR="00A96126">
        <w:rPr>
          <w:lang w:val="es-ES_tradnl"/>
        </w:rPr>
        <w:t>90</w:t>
      </w:r>
      <w:r>
        <w:rPr>
          <w:lang w:val="es-ES_tradnl"/>
        </w:rPr>
        <w:t xml:space="preserve"> </w:t>
      </w:r>
      <w:proofErr w:type="gramStart"/>
      <w:r>
        <w:rPr>
          <w:lang w:val="es-ES_tradnl"/>
        </w:rPr>
        <w:t>dB(</w:t>
      </w:r>
      <w:proofErr w:type="gramEnd"/>
      <w:r>
        <w:rPr>
          <w:lang w:val="es-ES_tradnl"/>
        </w:rPr>
        <w:t>W/20 Hz) en bandas cercanas a 7 GHz,</w:t>
      </w:r>
    </w:p>
    <w:p w14:paraId="0BF89427" w14:textId="77777777" w:rsidR="00B230E8" w:rsidRDefault="00B230E8" w:rsidP="00B230E8">
      <w:pPr>
        <w:pStyle w:val="enumlev1"/>
        <w:rPr>
          <w:lang w:val="es-ES_tradnl"/>
        </w:rPr>
      </w:pPr>
      <w:r>
        <w:rPr>
          <w:lang w:val="es-ES_tradnl"/>
        </w:rPr>
        <w:t>–</w:t>
      </w:r>
      <w:r>
        <w:rPr>
          <w:sz w:val="12"/>
          <w:lang w:val="es-ES_tradnl"/>
        </w:rPr>
        <w:t> </w:t>
      </w:r>
      <w:r>
        <w:rPr>
          <w:lang w:val="es-ES_tradnl"/>
        </w:rPr>
        <w:t xml:space="preserve">186 </w:t>
      </w:r>
      <w:proofErr w:type="gramStart"/>
      <w:r>
        <w:rPr>
          <w:lang w:val="es-ES_tradnl"/>
        </w:rPr>
        <w:t>dB(</w:t>
      </w:r>
      <w:proofErr w:type="gramEnd"/>
      <w:r>
        <w:rPr>
          <w:lang w:val="es-ES_tradnl"/>
        </w:rPr>
        <w:t>W/20 Hz) en bandas cercanas a 17 GHz,</w:t>
      </w:r>
    </w:p>
    <w:p w14:paraId="5A5853FD" w14:textId="77777777" w:rsidR="00B230E8" w:rsidRDefault="00B230E8" w:rsidP="00B230E8">
      <w:pPr>
        <w:pStyle w:val="enumlev1"/>
        <w:rPr>
          <w:lang w:val="es-ES_tradnl"/>
        </w:rPr>
      </w:pPr>
      <w:r>
        <w:rPr>
          <w:lang w:val="es-ES_tradnl"/>
        </w:rPr>
        <w:t>–</w:t>
      </w:r>
      <w:r>
        <w:rPr>
          <w:sz w:val="12"/>
          <w:lang w:val="es-ES_tradnl"/>
        </w:rPr>
        <w:t> </w:t>
      </w:r>
      <w:r>
        <w:rPr>
          <w:lang w:val="es-ES_tradnl"/>
        </w:rPr>
        <w:t>18</w:t>
      </w:r>
      <w:r w:rsidR="00A96126">
        <w:rPr>
          <w:lang w:val="es-ES_tradnl"/>
        </w:rPr>
        <w:t>3</w:t>
      </w:r>
      <w:r>
        <w:rPr>
          <w:lang w:val="es-ES_tradnl"/>
        </w:rPr>
        <w:t xml:space="preserve"> </w:t>
      </w:r>
      <w:proofErr w:type="gramStart"/>
      <w:r>
        <w:rPr>
          <w:lang w:val="es-ES_tradnl"/>
        </w:rPr>
        <w:t>dB(</w:t>
      </w:r>
      <w:proofErr w:type="gramEnd"/>
      <w:r>
        <w:rPr>
          <w:lang w:val="es-ES_tradnl"/>
        </w:rPr>
        <w:t>W/20 Hz) en bandas cercanas a 34 GHz;</w:t>
      </w:r>
    </w:p>
    <w:p w14:paraId="099AF71E" w14:textId="77777777" w:rsidR="00B230E8" w:rsidRDefault="00B230E8" w:rsidP="00B230E8">
      <w:pPr>
        <w:rPr>
          <w:lang w:val="es-ES_tradnl"/>
        </w:rPr>
      </w:pPr>
      <w:r>
        <w:rPr>
          <w:b/>
          <w:lang w:val="es-ES_tradnl"/>
        </w:rPr>
        <w:lastRenderedPageBreak/>
        <w:t>3</w:t>
      </w:r>
      <w:r>
        <w:rPr>
          <w:lang w:val="es-ES_tradnl"/>
        </w:rPr>
        <w:tab/>
        <w:t>que el cálculo de la interferencia que pueda ser debida a los efectos atmosféricos y las precipitaciones se base en las estadísticas meteorológicas aplicables al 0,001% del tiempo (véase el § 2.3 del Anexo 1).</w:t>
      </w:r>
    </w:p>
    <w:p w14:paraId="1906E416" w14:textId="77777777" w:rsidR="00B230E8" w:rsidRDefault="00B230E8" w:rsidP="00B230E8">
      <w:pPr>
        <w:rPr>
          <w:lang w:val="es-ES_tradnl"/>
        </w:rPr>
      </w:pPr>
    </w:p>
    <w:p w14:paraId="3868DD96" w14:textId="77777777" w:rsidR="00A23E5A" w:rsidRDefault="00A23E5A" w:rsidP="00B230E8">
      <w:pPr>
        <w:rPr>
          <w:lang w:val="es-ES_tradnl"/>
        </w:rPr>
      </w:pPr>
    </w:p>
    <w:p w14:paraId="2A0982CF" w14:textId="77777777" w:rsidR="00B230E8" w:rsidRDefault="00B230E8" w:rsidP="00B230E8">
      <w:pPr>
        <w:pStyle w:val="AnnexNoTitle"/>
        <w:rPr>
          <w:lang w:val="es-ES_tradnl"/>
        </w:rPr>
      </w:pPr>
      <w:r>
        <w:rPr>
          <w:lang w:val="es-ES_tradnl"/>
        </w:rPr>
        <w:t>Anexo 1</w:t>
      </w:r>
      <w:r>
        <w:rPr>
          <w:lang w:val="es-ES_tradnl"/>
        </w:rPr>
        <w:br/>
      </w:r>
      <w:r>
        <w:rPr>
          <w:lang w:val="es-ES_tradnl"/>
        </w:rPr>
        <w:br/>
        <w:t>Criterios de protección para la investigación del espacio lejano</w:t>
      </w:r>
    </w:p>
    <w:p w14:paraId="49EC0555" w14:textId="77777777" w:rsidR="00B230E8" w:rsidRDefault="00B230E8" w:rsidP="00B230E8">
      <w:pPr>
        <w:pStyle w:val="Heading1"/>
        <w:rPr>
          <w:lang w:val="es-ES_tradnl"/>
        </w:rPr>
      </w:pPr>
      <w:r>
        <w:rPr>
          <w:lang w:val="es-ES_tradnl"/>
        </w:rPr>
        <w:t>1</w:t>
      </w:r>
      <w:r>
        <w:rPr>
          <w:lang w:val="es-ES_tradnl"/>
        </w:rPr>
        <w:tab/>
      </w:r>
      <w:proofErr w:type="gramStart"/>
      <w:r>
        <w:rPr>
          <w:lang w:val="es-ES_tradnl"/>
        </w:rPr>
        <w:t>Introducción</w:t>
      </w:r>
      <w:proofErr w:type="gramEnd"/>
    </w:p>
    <w:p w14:paraId="7E956850" w14:textId="77777777" w:rsidR="00B230E8" w:rsidRDefault="00B230E8" w:rsidP="00B230E8">
      <w:pPr>
        <w:rPr>
          <w:lang w:val="es-ES_tradnl"/>
        </w:rPr>
      </w:pPr>
      <w:r>
        <w:rPr>
          <w:lang w:val="es-ES_tradnl"/>
        </w:rPr>
        <w:t>En este Anexo se establecen los criterios de protección para la investigación del espacio lejano. Estos criterios pueden utilizarse en los cálculos de la distancia de coordinación o para otros análisis. Los criterios de protección también conciernen a los estudios de compartición dentro del servicio de investigación espacial. Se considera la interferencia posible con otros servicios y se deducen conclusiones sobre la viabilidad de la compartición. En el presente Anexo no se consideran los futuros satélites de retransmisión que se utilizarán con misiones del espacio lejano.</w:t>
      </w:r>
    </w:p>
    <w:p w14:paraId="44CFCE7B" w14:textId="77777777" w:rsidR="00B230E8" w:rsidRDefault="00B230E8" w:rsidP="00B230E8">
      <w:pPr>
        <w:rPr>
          <w:lang w:val="es-ES_tradnl"/>
        </w:rPr>
      </w:pPr>
      <w:r>
        <w:rPr>
          <w:lang w:val="es-ES_tradnl"/>
        </w:rPr>
        <w:t>Los criterios de protección se basan en la sensibilidad a la interferencia de los receptores que normalmente se utilizan en la investigación del espacio lejano, tema que se trata en el Anexo 2.</w:t>
      </w:r>
    </w:p>
    <w:p w14:paraId="7331239D" w14:textId="77777777" w:rsidR="00B230E8" w:rsidRDefault="00B230E8" w:rsidP="00B230E8">
      <w:pPr>
        <w:pStyle w:val="Heading2"/>
        <w:rPr>
          <w:lang w:val="es-ES_tradnl"/>
        </w:rPr>
      </w:pPr>
      <w:r>
        <w:rPr>
          <w:lang w:val="es-ES_tradnl"/>
        </w:rPr>
        <w:t>1.1</w:t>
      </w:r>
      <w:r>
        <w:rPr>
          <w:lang w:val="es-ES_tradnl"/>
        </w:rPr>
        <w:tab/>
        <w:t>Efectos y consecuencias de la interferencia</w:t>
      </w:r>
    </w:p>
    <w:p w14:paraId="3F30438F" w14:textId="77777777" w:rsidR="00B230E8" w:rsidRDefault="00B230E8" w:rsidP="00B230E8">
      <w:pPr>
        <w:rPr>
          <w:lang w:val="es-ES_tradnl"/>
        </w:rPr>
      </w:pPr>
      <w:r>
        <w:rPr>
          <w:lang w:val="es-ES_tradnl"/>
        </w:rPr>
        <w:t>La interferencia que perturba el correcto funcionamiento de un receptor de estación terrena o de estación espacial puede reducir o interrumpir la posibilidad de explotar y controlar un vehículo espacial o de recibir los datos científicos y técnicos enviados por un vehículo espacial.</w:t>
      </w:r>
    </w:p>
    <w:p w14:paraId="399C92CD" w14:textId="77777777" w:rsidR="00B230E8" w:rsidRDefault="00B230E8" w:rsidP="00B230E8">
      <w:pPr>
        <w:rPr>
          <w:lang w:val="es-ES_tradnl"/>
        </w:rPr>
      </w:pPr>
      <w:r>
        <w:rPr>
          <w:lang w:val="es-ES_tradnl"/>
        </w:rPr>
        <w:t>El receptor contiene varios bucles de sincronización, cada uno de los cuales se engancha y sigue a una componente determinada de la señal. Una interferencia suficientemente intensa hará que uno o varios bucles pierdan el enganche con la señal deseada. Este desenganche puede también producirse por una interferencia momentánea, y su restablecimiento puede llevar varios minutos en el caso de las señales más débiles. En los periodos críticos que aparecen en la mayor parte de las misiones de investigación del espacio lejano, es esencial transmitir y recibir los datos científicos sin errores ni interrupciones. La pérdida de enganche en estos periodos produce una pérdida irrecuperable de datos. Esta característica es la que obliga a imponer requisitos tan severos de protección contra la interferencia. En cambio, es frecuente que los datos de otros servicios radioeléctricos sí puedan retransmitirse.</w:t>
      </w:r>
    </w:p>
    <w:p w14:paraId="46B891BF" w14:textId="77777777" w:rsidR="00B230E8" w:rsidRDefault="00B230E8" w:rsidP="00B230E8">
      <w:pPr>
        <w:rPr>
          <w:lang w:val="es-ES_tradnl"/>
        </w:rPr>
      </w:pPr>
      <w:r>
        <w:rPr>
          <w:lang w:val="es-ES_tradnl"/>
        </w:rPr>
        <w:t xml:space="preserve">En algunos modos de operación, las anchuras de banda de los bucles son extraordinariamente estrechas. Un ejemplo concreto es el bucle de seguimiento de portadora en el receptor de la estación terrena. La anchura de banda de este bucle puede ser de sólo 1 Hz y en circunstancias especiales, inferior (300 </w:t>
      </w:r>
      <w:proofErr w:type="spellStart"/>
      <w:r w:rsidR="004E1DC1">
        <w:rPr>
          <w:lang w:val="es-ES_tradnl"/>
        </w:rPr>
        <w:t>m</w:t>
      </w:r>
      <w:r>
        <w:rPr>
          <w:lang w:val="es-ES_tradnl"/>
        </w:rPr>
        <w:t>Hz</w:t>
      </w:r>
      <w:proofErr w:type="spellEnd"/>
      <w:r>
        <w:rPr>
          <w:lang w:val="es-ES_tradnl"/>
        </w:rPr>
        <w:t xml:space="preserve">). Sería pues improbable que una señal interferente se hallase exactamente en esa anchura de banda, pero debe recordarse que la frecuencia de la señal deseada sufre un desplazamiento Doppler a consecuencia de la rotación de la Tierra. Por ejemplo, una señal de 8,4 GHz sufrirá un desplazamiento de </w:t>
      </w:r>
      <w:r>
        <w:rPr>
          <w:rFonts w:ascii="Symbol" w:hAnsi="Symbol"/>
          <w:u w:val="single"/>
          <w:lang w:val="es-ES_tradnl"/>
        </w:rPr>
        <w:t></w:t>
      </w:r>
      <w:r>
        <w:rPr>
          <w:lang w:val="es-ES_tradnl"/>
        </w:rPr>
        <w:t>11 kHz a lo largo de un periodo de recepción de 24 h por una estación terrena situada a una latitud de 35</w:t>
      </w:r>
      <w:r>
        <w:rPr>
          <w:rFonts w:ascii="Symbol" w:hAnsi="Symbol"/>
          <w:lang w:val="es-ES_tradnl"/>
        </w:rPr>
        <w:t></w:t>
      </w:r>
      <w:r>
        <w:rPr>
          <w:lang w:val="es-ES_tradnl"/>
        </w:rPr>
        <w:t xml:space="preserve">. Una señal interferente de frecuencia fija situada en cualquier punto de la gama de la señal del espacio lejano que sufre desplazamiento Doppler parecerá que barre completamente la anchura de banda del bucle de seguimiento de portadora, y puede producirse el desenganche. Por otra parte, la interferencia no tiene que hallarse exactamente en la anchura de banda del bucle para que afecte a éste. Cuando la frecuencia de la interferencia se halla próxima a la anchura </w:t>
      </w:r>
      <w:r>
        <w:rPr>
          <w:lang w:val="es-ES_tradnl"/>
        </w:rPr>
        <w:lastRenderedPageBreak/>
        <w:t>de banda del bucle y tiene suficiente potencia, es posible una grave degradación. La interferencia alejada de la anchura de banda del bucle puede también producir degradación por otros mecanismos, tales como la saturación del máser.</w:t>
      </w:r>
    </w:p>
    <w:p w14:paraId="31BC2CF8" w14:textId="77777777" w:rsidR="00B230E8" w:rsidRDefault="00B230E8" w:rsidP="00B230E8">
      <w:pPr>
        <w:pStyle w:val="Heading2"/>
        <w:rPr>
          <w:lang w:val="es-ES_tradnl"/>
        </w:rPr>
      </w:pPr>
      <w:r>
        <w:rPr>
          <w:lang w:val="es-ES_tradnl"/>
        </w:rPr>
        <w:t>1.2</w:t>
      </w:r>
      <w:r>
        <w:rPr>
          <w:lang w:val="es-ES_tradnl"/>
        </w:rPr>
        <w:tab/>
        <w:t>Elaboración de criterios de protección</w:t>
      </w:r>
    </w:p>
    <w:p w14:paraId="1B16051B" w14:textId="77777777" w:rsidR="00B230E8" w:rsidRDefault="00B230E8" w:rsidP="00B230E8">
      <w:pPr>
        <w:rPr>
          <w:lang w:val="es-ES_tradnl"/>
        </w:rPr>
      </w:pPr>
      <w:r>
        <w:rPr>
          <w:lang w:val="es-ES_tradnl"/>
        </w:rPr>
        <w:t>Con vistas al correcto funcionamiento de todo el sistema de recepción, deben protegerse contra la interferencia todos y cada uno de los cuatro subsistemas. Un criterio de protección especifica la magnitud de la potencia de interferencia que producirá la máxima degradación aceptable de la calidad de funcionamiento. El Cuadro 1 indica la degradación máxima aceptable en cada subsistema. Empleando estos valores, se puede determinar la máxima interferencia correspondiente.</w:t>
      </w:r>
    </w:p>
    <w:p w14:paraId="36CE9C93" w14:textId="77777777" w:rsidR="00B230E8" w:rsidRDefault="00B230E8" w:rsidP="00B230E8">
      <w:pPr>
        <w:rPr>
          <w:lang w:val="es-ES_tradnl"/>
        </w:rPr>
      </w:pPr>
      <w:r>
        <w:rPr>
          <w:lang w:val="es-ES_tradnl"/>
        </w:rPr>
        <w:t>En los puntos que siguen de este Anexo, se exponen criterios de protección. Para cada uno de los diversos subsistemas de recepción, existe una degradación máxima aceptable de la calidad por efecto de la interferencia. En el Anexo 2 figura la magnitud de interferencia que puede producir esa degradación. La máxima interferencia admisible se determina a partir del subsistema de recepción que sea más sensible a la interferencia. Esta magnitud es el criterio de protección para el receptor completo. Una mayor interferencia resulta perjudicial.</w:t>
      </w:r>
    </w:p>
    <w:p w14:paraId="2F597CFC" w14:textId="77777777" w:rsidR="00B230E8" w:rsidRDefault="00B230E8" w:rsidP="00B230E8">
      <w:pPr>
        <w:pStyle w:val="Table"/>
        <w:rPr>
          <w:lang w:val="es-ES_tradnl"/>
        </w:rPr>
      </w:pPr>
      <w:r>
        <w:rPr>
          <w:lang w:val="es-ES_tradnl"/>
        </w:rPr>
        <w:t>CUADRO  1</w:t>
      </w:r>
    </w:p>
    <w:p w14:paraId="171C9143" w14:textId="77777777" w:rsidR="00B230E8" w:rsidRDefault="00B230E8" w:rsidP="00B230E8">
      <w:pPr>
        <w:pStyle w:val="TableTitle0"/>
        <w:rPr>
          <w:lang w:val="es-ES_tradnl"/>
        </w:rPr>
      </w:pPr>
      <w:r>
        <w:rPr>
          <w:lang w:val="es-ES_tradnl"/>
        </w:rPr>
        <w:t>Máxima degradación aceptable en los subsistemas de recepción</w:t>
      </w:r>
    </w:p>
    <w:tbl>
      <w:tblPr>
        <w:tblW w:w="0" w:type="auto"/>
        <w:jc w:val="center"/>
        <w:tblLayout w:type="fixed"/>
        <w:tblLook w:val="0000" w:firstRow="0" w:lastRow="0" w:firstColumn="0" w:lastColumn="0" w:noHBand="0" w:noVBand="0"/>
      </w:tblPr>
      <w:tblGrid>
        <w:gridCol w:w="3510"/>
        <w:gridCol w:w="3969"/>
      </w:tblGrid>
      <w:tr w:rsidR="00B230E8" w14:paraId="48AE013E" w14:textId="77777777">
        <w:tblPrEx>
          <w:tblCellMar>
            <w:top w:w="0" w:type="dxa"/>
            <w:bottom w:w="0" w:type="dxa"/>
          </w:tblCellMar>
        </w:tblPrEx>
        <w:trPr>
          <w:cantSplit/>
          <w:jc w:val="center"/>
        </w:trPr>
        <w:tc>
          <w:tcPr>
            <w:tcW w:w="3510" w:type="dxa"/>
            <w:tcBorders>
              <w:top w:val="single" w:sz="6" w:space="0" w:color="auto"/>
              <w:left w:val="single" w:sz="6" w:space="0" w:color="auto"/>
              <w:right w:val="single" w:sz="6" w:space="0" w:color="auto"/>
            </w:tcBorders>
          </w:tcPr>
          <w:p w14:paraId="3DFD7648" w14:textId="77777777" w:rsidR="00B230E8" w:rsidRPr="00A96126" w:rsidRDefault="00B230E8" w:rsidP="00A96126">
            <w:pPr>
              <w:pStyle w:val="TableText0"/>
              <w:jc w:val="center"/>
              <w:rPr>
                <w:b/>
                <w:lang w:val="es-ES_tradnl"/>
              </w:rPr>
            </w:pPr>
            <w:r w:rsidRPr="00A96126">
              <w:rPr>
                <w:b/>
                <w:lang w:val="es-ES_tradnl"/>
              </w:rPr>
              <w:t>Subsistema de recepción</w:t>
            </w:r>
          </w:p>
        </w:tc>
        <w:tc>
          <w:tcPr>
            <w:tcW w:w="3969" w:type="dxa"/>
            <w:tcBorders>
              <w:top w:val="single" w:sz="6" w:space="0" w:color="auto"/>
              <w:left w:val="single" w:sz="6" w:space="0" w:color="auto"/>
              <w:right w:val="single" w:sz="6" w:space="0" w:color="auto"/>
            </w:tcBorders>
          </w:tcPr>
          <w:p w14:paraId="3FAF71D0" w14:textId="77777777" w:rsidR="00B230E8" w:rsidRPr="00A96126" w:rsidRDefault="00B230E8" w:rsidP="00A96126">
            <w:pPr>
              <w:pStyle w:val="TableText0"/>
              <w:jc w:val="center"/>
              <w:rPr>
                <w:b/>
                <w:lang w:val="es-ES_tradnl"/>
              </w:rPr>
            </w:pPr>
            <w:r w:rsidRPr="00A96126">
              <w:rPr>
                <w:b/>
                <w:lang w:val="es-ES_tradnl"/>
              </w:rPr>
              <w:t>Máxima degradación aceptable</w:t>
            </w:r>
          </w:p>
        </w:tc>
      </w:tr>
      <w:tr w:rsidR="00B230E8" w14:paraId="4B95512E" w14:textId="77777777">
        <w:tblPrEx>
          <w:tblCellMar>
            <w:top w:w="0" w:type="dxa"/>
            <w:bottom w:w="0" w:type="dxa"/>
          </w:tblCellMar>
        </w:tblPrEx>
        <w:trPr>
          <w:cantSplit/>
          <w:jc w:val="center"/>
        </w:trPr>
        <w:tc>
          <w:tcPr>
            <w:tcW w:w="3510" w:type="dxa"/>
            <w:tcBorders>
              <w:top w:val="single" w:sz="6" w:space="0" w:color="auto"/>
              <w:left w:val="single" w:sz="6" w:space="0" w:color="auto"/>
              <w:right w:val="single" w:sz="6" w:space="0" w:color="auto"/>
            </w:tcBorders>
          </w:tcPr>
          <w:p w14:paraId="567288B4" w14:textId="77777777" w:rsidR="00B230E8" w:rsidRDefault="00B230E8" w:rsidP="00A96126">
            <w:pPr>
              <w:pStyle w:val="TableText0"/>
              <w:spacing w:after="60"/>
              <w:jc w:val="left"/>
              <w:rPr>
                <w:lang w:val="es-ES_tradnl"/>
              </w:rPr>
            </w:pPr>
            <w:r>
              <w:rPr>
                <w:lang w:val="es-ES_tradnl"/>
              </w:rPr>
              <w:t>Preamplificador máser</w:t>
            </w:r>
          </w:p>
        </w:tc>
        <w:tc>
          <w:tcPr>
            <w:tcW w:w="3969" w:type="dxa"/>
            <w:tcBorders>
              <w:top w:val="single" w:sz="6" w:space="0" w:color="auto"/>
              <w:right w:val="single" w:sz="6" w:space="0" w:color="auto"/>
            </w:tcBorders>
          </w:tcPr>
          <w:p w14:paraId="02F351CA" w14:textId="77777777" w:rsidR="00B230E8" w:rsidRDefault="00B230E8" w:rsidP="00A96126">
            <w:pPr>
              <w:pStyle w:val="TableText0"/>
              <w:spacing w:after="60"/>
              <w:jc w:val="left"/>
              <w:rPr>
                <w:lang w:val="es-ES_tradnl"/>
              </w:rPr>
            </w:pPr>
            <w:r>
              <w:rPr>
                <w:lang w:val="es-ES_tradnl"/>
              </w:rPr>
              <w:t>Compresión de la ganancia de 1 dB</w:t>
            </w:r>
          </w:p>
        </w:tc>
      </w:tr>
      <w:tr w:rsidR="00B230E8" w14:paraId="412C193B" w14:textId="77777777">
        <w:tblPrEx>
          <w:tblCellMar>
            <w:top w:w="0" w:type="dxa"/>
            <w:bottom w:w="0" w:type="dxa"/>
          </w:tblCellMar>
        </w:tblPrEx>
        <w:trPr>
          <w:cantSplit/>
          <w:jc w:val="center"/>
        </w:trPr>
        <w:tc>
          <w:tcPr>
            <w:tcW w:w="3510" w:type="dxa"/>
            <w:tcBorders>
              <w:left w:val="single" w:sz="6" w:space="0" w:color="auto"/>
              <w:right w:val="single" w:sz="6" w:space="0" w:color="auto"/>
            </w:tcBorders>
          </w:tcPr>
          <w:p w14:paraId="3A581E4A" w14:textId="77777777" w:rsidR="00B230E8" w:rsidRDefault="00B230E8" w:rsidP="00A96126">
            <w:pPr>
              <w:pStyle w:val="TableText0"/>
              <w:spacing w:before="60" w:after="60"/>
              <w:jc w:val="left"/>
              <w:rPr>
                <w:lang w:val="es-ES_tradnl"/>
              </w:rPr>
            </w:pPr>
            <w:r>
              <w:rPr>
                <w:lang w:val="es-ES_tradnl"/>
              </w:rPr>
              <w:t>Seguimiento de portadora</w:t>
            </w:r>
          </w:p>
        </w:tc>
        <w:tc>
          <w:tcPr>
            <w:tcW w:w="3969" w:type="dxa"/>
            <w:tcBorders>
              <w:right w:val="single" w:sz="6" w:space="0" w:color="auto"/>
            </w:tcBorders>
          </w:tcPr>
          <w:p w14:paraId="618EDFC9" w14:textId="77777777" w:rsidR="00B230E8" w:rsidRDefault="00B230E8" w:rsidP="00A96126">
            <w:pPr>
              <w:pStyle w:val="TableText0"/>
              <w:spacing w:before="60" w:after="60"/>
              <w:jc w:val="left"/>
              <w:rPr>
                <w:lang w:val="es-ES_tradnl"/>
              </w:rPr>
            </w:pPr>
            <w:r>
              <w:rPr>
                <w:lang w:val="es-ES_tradnl"/>
              </w:rPr>
              <w:t>10° de error de fase estático o temblor de fase de cresta del bucle</w:t>
            </w:r>
          </w:p>
        </w:tc>
      </w:tr>
      <w:tr w:rsidR="00B230E8" w14:paraId="6BFBD661" w14:textId="77777777">
        <w:tblPrEx>
          <w:tblCellMar>
            <w:top w:w="0" w:type="dxa"/>
            <w:bottom w:w="0" w:type="dxa"/>
          </w:tblCellMar>
        </w:tblPrEx>
        <w:trPr>
          <w:cantSplit/>
          <w:jc w:val="center"/>
        </w:trPr>
        <w:tc>
          <w:tcPr>
            <w:tcW w:w="3510" w:type="dxa"/>
            <w:tcBorders>
              <w:left w:val="single" w:sz="6" w:space="0" w:color="auto"/>
              <w:right w:val="single" w:sz="6" w:space="0" w:color="auto"/>
            </w:tcBorders>
          </w:tcPr>
          <w:p w14:paraId="53D0C5E6" w14:textId="77777777" w:rsidR="00B230E8" w:rsidRDefault="00B230E8" w:rsidP="00A96126">
            <w:pPr>
              <w:pStyle w:val="TableText0"/>
              <w:spacing w:before="60" w:after="60"/>
              <w:jc w:val="left"/>
              <w:rPr>
                <w:lang w:val="es-ES_tradnl"/>
              </w:rPr>
            </w:pPr>
            <w:r>
              <w:rPr>
                <w:lang w:val="es-ES_tradnl"/>
              </w:rPr>
              <w:t>Telemedida</w:t>
            </w:r>
          </w:p>
        </w:tc>
        <w:tc>
          <w:tcPr>
            <w:tcW w:w="3969" w:type="dxa"/>
            <w:tcBorders>
              <w:right w:val="single" w:sz="6" w:space="0" w:color="auto"/>
            </w:tcBorders>
          </w:tcPr>
          <w:p w14:paraId="0B44DDC0" w14:textId="77777777" w:rsidR="00B230E8" w:rsidRDefault="00B230E8" w:rsidP="00A96126">
            <w:pPr>
              <w:pStyle w:val="TableText0"/>
              <w:spacing w:before="60" w:after="60"/>
              <w:jc w:val="left"/>
              <w:rPr>
                <w:lang w:val="es-ES_tradnl"/>
              </w:rPr>
            </w:pPr>
            <w:r>
              <w:rPr>
                <w:lang w:val="es-ES_tradnl"/>
              </w:rPr>
              <w:t>Reducción equivalente de 1 dB en la relación energía por símbolo/densidad espectral de ruido (</w:t>
            </w:r>
            <w:r>
              <w:rPr>
                <w:rFonts w:ascii="Symbol" w:hAnsi="Symbol"/>
                <w:lang w:val="es-ES_tradnl"/>
              </w:rPr>
              <w:t></w:t>
            </w:r>
            <w:r>
              <w:rPr>
                <w:i/>
                <w:lang w:val="es-ES_tradnl"/>
              </w:rPr>
              <w:t>E</w:t>
            </w:r>
            <w:r>
              <w:rPr>
                <w:lang w:val="es-ES_tradnl"/>
              </w:rPr>
              <w:t>/</w:t>
            </w:r>
            <w:r>
              <w:rPr>
                <w:i/>
                <w:lang w:val="es-ES_tradnl"/>
              </w:rPr>
              <w:t>N</w:t>
            </w:r>
            <w:r>
              <w:rPr>
                <w:position w:val="-4"/>
                <w:sz w:val="14"/>
                <w:lang w:val="es-ES_tradnl"/>
              </w:rPr>
              <w:t>0</w:t>
            </w:r>
            <w:r>
              <w:rPr>
                <w:lang w:val="es-ES_tradnl"/>
              </w:rPr>
              <w:t xml:space="preserve"> </w:t>
            </w:r>
            <w:r>
              <w:rPr>
                <w:rFonts w:ascii="Symbol" w:hAnsi="Symbol"/>
                <w:lang w:val="es-ES_tradnl"/>
              </w:rPr>
              <w:t></w:t>
            </w:r>
            <w:r>
              <w:rPr>
                <w:lang w:val="es-ES_tradnl"/>
              </w:rPr>
              <w:t> –1 dB)</w:t>
            </w:r>
          </w:p>
        </w:tc>
      </w:tr>
      <w:tr w:rsidR="00B230E8" w14:paraId="66D67D25" w14:textId="77777777">
        <w:tblPrEx>
          <w:tblCellMar>
            <w:top w:w="0" w:type="dxa"/>
            <w:bottom w:w="0" w:type="dxa"/>
          </w:tblCellMar>
        </w:tblPrEx>
        <w:trPr>
          <w:cantSplit/>
          <w:jc w:val="center"/>
        </w:trPr>
        <w:tc>
          <w:tcPr>
            <w:tcW w:w="3510" w:type="dxa"/>
            <w:tcBorders>
              <w:left w:val="single" w:sz="6" w:space="0" w:color="auto"/>
              <w:bottom w:val="single" w:sz="6" w:space="0" w:color="auto"/>
              <w:right w:val="single" w:sz="6" w:space="0" w:color="auto"/>
            </w:tcBorders>
          </w:tcPr>
          <w:p w14:paraId="375C39F4" w14:textId="77777777" w:rsidR="00B230E8" w:rsidRDefault="00B230E8" w:rsidP="00A96126">
            <w:pPr>
              <w:pStyle w:val="TableText0"/>
              <w:spacing w:before="60" w:after="60"/>
              <w:jc w:val="left"/>
              <w:rPr>
                <w:lang w:val="es-ES_tradnl"/>
              </w:rPr>
            </w:pPr>
            <w:r>
              <w:rPr>
                <w:lang w:val="es-ES_tradnl"/>
              </w:rPr>
              <w:t>Determinación de distancia</w:t>
            </w:r>
          </w:p>
        </w:tc>
        <w:tc>
          <w:tcPr>
            <w:tcW w:w="3969" w:type="dxa"/>
            <w:tcBorders>
              <w:bottom w:val="single" w:sz="6" w:space="0" w:color="auto"/>
              <w:right w:val="single" w:sz="6" w:space="0" w:color="auto"/>
            </w:tcBorders>
          </w:tcPr>
          <w:p w14:paraId="68282313" w14:textId="77777777" w:rsidR="00B230E8" w:rsidRDefault="00B230E8" w:rsidP="00A96126">
            <w:pPr>
              <w:pStyle w:val="TableText0"/>
              <w:spacing w:before="60" w:after="60"/>
              <w:jc w:val="left"/>
              <w:rPr>
                <w:lang w:val="es-ES_tradnl"/>
              </w:rPr>
            </w:pPr>
            <w:r>
              <w:rPr>
                <w:lang w:val="es-ES_tradnl"/>
              </w:rPr>
              <w:t>Reducción equivalente de 1 dB en la relación</w:t>
            </w:r>
            <w:r>
              <w:rPr>
                <w:lang w:val="es-ES_tradnl"/>
              </w:rPr>
              <w:br/>
              <w:t>señal de determinación de distancia/ruido (</w:t>
            </w:r>
            <w:r>
              <w:rPr>
                <w:rFonts w:ascii="Symbol" w:hAnsi="Symbol"/>
                <w:lang w:val="es-ES_tradnl"/>
              </w:rPr>
              <w:t></w:t>
            </w:r>
            <w:r>
              <w:rPr>
                <w:i/>
                <w:lang w:val="es-ES_tradnl"/>
              </w:rPr>
              <w:t>E</w:t>
            </w:r>
            <w:r>
              <w:rPr>
                <w:lang w:val="es-ES_tradnl"/>
              </w:rPr>
              <w:t>/</w:t>
            </w:r>
            <w:r>
              <w:rPr>
                <w:i/>
                <w:lang w:val="es-ES_tradnl"/>
              </w:rPr>
              <w:t>N</w:t>
            </w:r>
            <w:r>
              <w:rPr>
                <w:position w:val="-4"/>
                <w:sz w:val="14"/>
                <w:lang w:val="es-ES_tradnl"/>
              </w:rPr>
              <w:t>0</w:t>
            </w:r>
            <w:r>
              <w:rPr>
                <w:lang w:val="es-ES_tradnl"/>
              </w:rPr>
              <w:t> </w:t>
            </w:r>
            <w:r>
              <w:rPr>
                <w:rFonts w:ascii="Symbol" w:hAnsi="Symbol"/>
                <w:lang w:val="es-ES_tradnl"/>
              </w:rPr>
              <w:t></w:t>
            </w:r>
            <w:r>
              <w:rPr>
                <w:lang w:val="es-ES_tradnl"/>
              </w:rPr>
              <w:t> –1 dB)</w:t>
            </w:r>
          </w:p>
        </w:tc>
      </w:tr>
    </w:tbl>
    <w:p w14:paraId="4D8BEE33" w14:textId="77777777" w:rsidR="00B230E8" w:rsidRPr="00B230E8" w:rsidRDefault="00B230E8" w:rsidP="00B230E8">
      <w:pPr>
        <w:pStyle w:val="Tablefin"/>
        <w:rPr>
          <w:lang w:val="es-ES_tradnl"/>
        </w:rPr>
      </w:pPr>
    </w:p>
    <w:p w14:paraId="0C3DFABD" w14:textId="77777777" w:rsidR="00B230E8" w:rsidRDefault="00B230E8" w:rsidP="00B230E8">
      <w:pPr>
        <w:pStyle w:val="Heading1"/>
        <w:rPr>
          <w:lang w:val="es-ES_tradnl"/>
        </w:rPr>
      </w:pPr>
      <w:r>
        <w:rPr>
          <w:lang w:val="es-ES_tradnl"/>
        </w:rPr>
        <w:t>2</w:t>
      </w:r>
      <w:r>
        <w:rPr>
          <w:lang w:val="es-ES_tradnl"/>
        </w:rPr>
        <w:tab/>
      </w:r>
      <w:proofErr w:type="gramStart"/>
      <w:r>
        <w:rPr>
          <w:lang w:val="es-ES_tradnl"/>
        </w:rPr>
        <w:t>Criterios</w:t>
      </w:r>
      <w:proofErr w:type="gramEnd"/>
      <w:r>
        <w:rPr>
          <w:lang w:val="es-ES_tradnl"/>
        </w:rPr>
        <w:t xml:space="preserve"> de protección para estaciones terrenas dedicadas al espacio lejano</w:t>
      </w:r>
    </w:p>
    <w:p w14:paraId="40C8E0D4" w14:textId="77777777" w:rsidR="00B230E8" w:rsidRDefault="00B230E8" w:rsidP="00B230E8">
      <w:pPr>
        <w:rPr>
          <w:lang w:val="es-ES_tradnl"/>
        </w:rPr>
      </w:pPr>
      <w:r>
        <w:rPr>
          <w:lang w:val="es-ES_tradnl"/>
        </w:rPr>
        <w:t>Existen cuatro subsistemas de recepción que son sensibles a la interferencia: el preamplificador máser, el bucle de seguimiento de portadora, el subsistema de telemedida y el subsistema de determinación de distancia.</w:t>
      </w:r>
    </w:p>
    <w:p w14:paraId="7565F962" w14:textId="77777777" w:rsidR="00B230E8" w:rsidRDefault="00B230E8" w:rsidP="00B230E8">
      <w:pPr>
        <w:pStyle w:val="Heading2"/>
        <w:rPr>
          <w:lang w:val="es-ES_tradnl"/>
        </w:rPr>
      </w:pPr>
      <w:r>
        <w:rPr>
          <w:lang w:val="es-ES_tradnl"/>
        </w:rPr>
        <w:t>2.1</w:t>
      </w:r>
      <w:r>
        <w:rPr>
          <w:lang w:val="es-ES_tradnl"/>
        </w:rPr>
        <w:tab/>
        <w:t>Degradación máxima admisible de la calidad de funcionamiento</w:t>
      </w:r>
    </w:p>
    <w:p w14:paraId="641D12AB" w14:textId="77777777" w:rsidR="00B230E8" w:rsidRDefault="00B230E8" w:rsidP="00B230E8">
      <w:pPr>
        <w:rPr>
          <w:lang w:val="es-ES_tradnl"/>
        </w:rPr>
      </w:pPr>
      <w:r>
        <w:rPr>
          <w:lang w:val="es-ES_tradnl"/>
        </w:rPr>
        <w:t>La ganancia de un amplificador máser se reduce en función de la potencia de entrada de las señales o interferencias muy intensas. Esta compresión de la ganancia produce un funcionamiento no lineal, con lo que una interferencia intensa puede producir efectos no lineales en la señal deseada, incluida la generación de señales parásitas. Se considera que la máxima compresión de ganancia aceptable es 1 dB. El empleo de la compresión de ganancia como medida de los efectos no lineales está de acuerdo con la práctica común.</w:t>
      </w:r>
    </w:p>
    <w:p w14:paraId="4A6223E1" w14:textId="77777777" w:rsidR="00B230E8" w:rsidRDefault="00B230E8" w:rsidP="00B230E8">
      <w:pPr>
        <w:rPr>
          <w:lang w:val="es-ES_tradnl"/>
        </w:rPr>
      </w:pPr>
      <w:r>
        <w:rPr>
          <w:lang w:val="es-ES_tradnl"/>
        </w:rPr>
        <w:t xml:space="preserve">La respuesta del bucle de seguimiento de portadora a una interferencia es un aumento del error de fase y del temblor de fase </w:t>
      </w:r>
      <w:r w:rsidR="00A96126">
        <w:rPr>
          <w:lang w:val="es-ES_tradnl"/>
        </w:rPr>
        <w:t>«</w:t>
      </w:r>
      <w:proofErr w:type="spellStart"/>
      <w:r>
        <w:rPr>
          <w:lang w:val="es-ES_tradnl"/>
        </w:rPr>
        <w:t>jitter</w:t>
      </w:r>
      <w:proofErr w:type="spellEnd"/>
      <w:r w:rsidR="00A96126">
        <w:rPr>
          <w:lang w:val="es-ES_tradnl"/>
        </w:rPr>
        <w:t>»</w:t>
      </w:r>
      <w:r>
        <w:rPr>
          <w:lang w:val="es-ES_tradnl"/>
        </w:rPr>
        <w:t>. Una interferencia muy intensa puede causar la pérdida de enganche. La máxima degradación aceptable se considera que es un aumento de 10</w:t>
      </w:r>
      <w:r>
        <w:rPr>
          <w:rFonts w:ascii="Symbol" w:hAnsi="Symbol"/>
          <w:lang w:val="es-ES_tradnl"/>
        </w:rPr>
        <w:t></w:t>
      </w:r>
      <w:r>
        <w:rPr>
          <w:lang w:val="es-ES_tradnl"/>
        </w:rPr>
        <w:t xml:space="preserve"> en el error de fase estático o un aumento de 10</w:t>
      </w:r>
      <w:r>
        <w:rPr>
          <w:rFonts w:ascii="Symbol" w:hAnsi="Symbol"/>
          <w:lang w:val="es-ES_tradnl"/>
        </w:rPr>
        <w:t></w:t>
      </w:r>
      <w:r>
        <w:rPr>
          <w:lang w:val="es-ES_tradnl"/>
        </w:rPr>
        <w:t xml:space="preserve"> en el temblor de fase de cresta.</w:t>
      </w:r>
    </w:p>
    <w:p w14:paraId="32074EF3" w14:textId="77777777" w:rsidR="00B230E8" w:rsidRDefault="00B230E8" w:rsidP="00B230E8">
      <w:pPr>
        <w:rPr>
          <w:lang w:val="es-ES_tradnl"/>
        </w:rPr>
      </w:pPr>
      <w:r>
        <w:rPr>
          <w:lang w:val="es-ES_tradnl"/>
        </w:rPr>
        <w:lastRenderedPageBreak/>
        <w:t>La degradación de la característica de bits erróneos de la telemedida de la exactitud de determinación de la distancia a consecuencia de la interferencia puede expresarse en forma de reducción correspondiente de la relación señal/ruido. La máxima degradación aceptable en el subsistema de telemedida corresponde a una reducción de 1 dB en la relación energía por símbolo/densidad espectral de ruido.</w:t>
      </w:r>
    </w:p>
    <w:p w14:paraId="5D6C7C71" w14:textId="77777777" w:rsidR="00B230E8" w:rsidRDefault="00B230E8" w:rsidP="00B230E8">
      <w:pPr>
        <w:rPr>
          <w:lang w:val="es-ES_tradnl"/>
        </w:rPr>
      </w:pPr>
      <w:r>
        <w:rPr>
          <w:lang w:val="es-ES_tradnl"/>
        </w:rPr>
        <w:t>La máxima interferencia admisible en cada subsistema del receptor se obtiene a partir de la correspondiente degradación máxima aceptable. El criterio de protección para el receptor completo es la máxima interferencia admisible en el subsistema más sensible.</w:t>
      </w:r>
    </w:p>
    <w:p w14:paraId="25EEF5C9" w14:textId="77777777" w:rsidR="00B230E8" w:rsidRDefault="00B230E8" w:rsidP="00B230E8">
      <w:pPr>
        <w:rPr>
          <w:lang w:val="es-ES_tradnl"/>
        </w:rPr>
      </w:pPr>
      <w:r>
        <w:rPr>
          <w:lang w:val="es-ES_tradnl"/>
        </w:rPr>
        <w:t xml:space="preserve">En el Cuadro 1 se indica la degradación máxima aceptable de la calidad </w:t>
      </w:r>
      <w:proofErr w:type="gramStart"/>
      <w:r>
        <w:rPr>
          <w:lang w:val="es-ES_tradnl"/>
        </w:rPr>
        <w:t>de  funcionamiento</w:t>
      </w:r>
      <w:proofErr w:type="gramEnd"/>
      <w:r>
        <w:rPr>
          <w:lang w:val="es-ES_tradnl"/>
        </w:rPr>
        <w:t xml:space="preserve"> de cada uno de los cuatro subsistemas de recepción.</w:t>
      </w:r>
    </w:p>
    <w:p w14:paraId="5B57E7B9" w14:textId="77777777" w:rsidR="00B230E8" w:rsidRDefault="00B230E8" w:rsidP="00B230E8">
      <w:pPr>
        <w:pStyle w:val="Heading2"/>
        <w:rPr>
          <w:lang w:val="es-ES_tradnl"/>
        </w:rPr>
      </w:pPr>
      <w:r>
        <w:rPr>
          <w:lang w:val="es-ES_tradnl"/>
        </w:rPr>
        <w:t>2.2</w:t>
      </w:r>
      <w:r>
        <w:rPr>
          <w:lang w:val="es-ES_tradnl"/>
        </w:rPr>
        <w:tab/>
        <w:t>Niveles de interferencia correspondientes a la máxima degradación admisible de la calidad</w:t>
      </w:r>
    </w:p>
    <w:p w14:paraId="56619DE4" w14:textId="77777777" w:rsidR="00B230E8" w:rsidRDefault="00B230E8" w:rsidP="00B230E8">
      <w:pPr>
        <w:pStyle w:val="Heading3"/>
        <w:rPr>
          <w:lang w:val="es-ES_tradnl"/>
        </w:rPr>
      </w:pPr>
      <w:r>
        <w:rPr>
          <w:lang w:val="es-ES_tradnl"/>
        </w:rPr>
        <w:t>2.2.1</w:t>
      </w:r>
      <w:r>
        <w:rPr>
          <w:lang w:val="es-ES_tradnl"/>
        </w:rPr>
        <w:tab/>
        <w:t>Preamplificador máser</w:t>
      </w:r>
    </w:p>
    <w:p w14:paraId="79F30D11" w14:textId="77777777" w:rsidR="00B230E8" w:rsidRDefault="00B230E8" w:rsidP="00B230E8">
      <w:pPr>
        <w:rPr>
          <w:lang w:val="es-ES_tradnl"/>
        </w:rPr>
      </w:pPr>
      <w:r>
        <w:rPr>
          <w:lang w:val="es-ES_tradnl"/>
        </w:rPr>
        <w:t>El Cuadro 2 muestra la potencia de interferencia que causa una compresión de ganancia de 1 dB en el preamplificador máser. El origen de los datos figura en el Anexo 2.</w:t>
      </w:r>
    </w:p>
    <w:p w14:paraId="7C492BD3" w14:textId="77777777" w:rsidR="00B230E8" w:rsidRDefault="00B230E8" w:rsidP="00B230E8">
      <w:pPr>
        <w:pStyle w:val="Table"/>
        <w:rPr>
          <w:lang w:val="es-ES_tradnl"/>
        </w:rPr>
      </w:pPr>
      <w:r>
        <w:rPr>
          <w:lang w:val="es-ES_tradnl"/>
        </w:rPr>
        <w:t>CUADRO  2</w:t>
      </w:r>
    </w:p>
    <w:p w14:paraId="1E23382A" w14:textId="77777777" w:rsidR="00B230E8" w:rsidRDefault="00B230E8" w:rsidP="00B230E8">
      <w:pPr>
        <w:pStyle w:val="TableTitle0"/>
        <w:rPr>
          <w:lang w:val="es-ES_tradnl"/>
        </w:rPr>
      </w:pPr>
      <w:r>
        <w:rPr>
          <w:lang w:val="es-ES_tradnl"/>
        </w:rPr>
        <w:t>Máxima potencia de interferencia admisible para una compresión de ganancia</w:t>
      </w:r>
      <w:r>
        <w:rPr>
          <w:lang w:val="es-ES_tradnl"/>
        </w:rPr>
        <w:br/>
        <w:t>de 1 dB en el preamplificador máser 8,4 GHz</w:t>
      </w:r>
    </w:p>
    <w:tbl>
      <w:tblPr>
        <w:tblW w:w="0" w:type="auto"/>
        <w:jc w:val="center"/>
        <w:tblLayout w:type="fixed"/>
        <w:tblLook w:val="0000" w:firstRow="0" w:lastRow="0" w:firstColumn="0" w:lastColumn="0" w:noHBand="0" w:noVBand="0"/>
      </w:tblPr>
      <w:tblGrid>
        <w:gridCol w:w="2835"/>
        <w:gridCol w:w="1701"/>
        <w:gridCol w:w="2835"/>
      </w:tblGrid>
      <w:tr w:rsidR="00B230E8" w14:paraId="25694BA7" w14:textId="77777777">
        <w:tblPrEx>
          <w:tblCellMar>
            <w:top w:w="0" w:type="dxa"/>
            <w:bottom w:w="0" w:type="dxa"/>
          </w:tblCellMar>
        </w:tblPrEx>
        <w:trPr>
          <w:cantSplit/>
          <w:jc w:val="center"/>
        </w:trPr>
        <w:tc>
          <w:tcPr>
            <w:tcW w:w="2835" w:type="dxa"/>
            <w:tcBorders>
              <w:top w:val="single" w:sz="6" w:space="0" w:color="auto"/>
              <w:left w:val="single" w:sz="6" w:space="0" w:color="auto"/>
              <w:right w:val="single" w:sz="6" w:space="0" w:color="auto"/>
            </w:tcBorders>
          </w:tcPr>
          <w:p w14:paraId="482E5622" w14:textId="77777777" w:rsidR="00B230E8" w:rsidRPr="00A96126" w:rsidRDefault="00B230E8" w:rsidP="00A96126">
            <w:pPr>
              <w:pStyle w:val="TableText0"/>
              <w:spacing w:before="200"/>
              <w:jc w:val="center"/>
              <w:rPr>
                <w:b/>
                <w:lang w:val="es-ES_tradnl"/>
              </w:rPr>
            </w:pPr>
            <w:r w:rsidRPr="00A96126">
              <w:rPr>
                <w:b/>
                <w:lang w:val="es-ES_tradnl"/>
              </w:rPr>
              <w:t>Tipo de interferencia</w:t>
            </w:r>
          </w:p>
        </w:tc>
        <w:tc>
          <w:tcPr>
            <w:tcW w:w="1701" w:type="dxa"/>
            <w:tcBorders>
              <w:top w:val="single" w:sz="6" w:space="0" w:color="auto"/>
              <w:left w:val="single" w:sz="6" w:space="0" w:color="auto"/>
              <w:right w:val="single" w:sz="6" w:space="0" w:color="auto"/>
            </w:tcBorders>
          </w:tcPr>
          <w:p w14:paraId="34AB3D01" w14:textId="77777777" w:rsidR="00B230E8" w:rsidRPr="00A96126" w:rsidRDefault="00B230E8" w:rsidP="00A96126">
            <w:pPr>
              <w:pStyle w:val="TableText0"/>
              <w:spacing w:before="200"/>
              <w:jc w:val="center"/>
              <w:rPr>
                <w:b/>
                <w:lang w:val="es-ES_tradnl"/>
              </w:rPr>
            </w:pPr>
            <w:r w:rsidRPr="00A96126">
              <w:rPr>
                <w:b/>
                <w:lang w:val="es-ES_tradnl"/>
              </w:rPr>
              <w:t>Fuente de los datos</w:t>
            </w:r>
          </w:p>
        </w:tc>
        <w:tc>
          <w:tcPr>
            <w:tcW w:w="2835" w:type="dxa"/>
            <w:tcBorders>
              <w:top w:val="single" w:sz="6" w:space="0" w:color="auto"/>
              <w:left w:val="single" w:sz="6" w:space="0" w:color="auto"/>
              <w:right w:val="single" w:sz="6" w:space="0" w:color="auto"/>
            </w:tcBorders>
          </w:tcPr>
          <w:p w14:paraId="2850235C" w14:textId="77777777" w:rsidR="00B230E8" w:rsidRPr="00A96126" w:rsidRDefault="00B230E8" w:rsidP="00A96126">
            <w:pPr>
              <w:pStyle w:val="TableText0"/>
              <w:jc w:val="center"/>
              <w:rPr>
                <w:b/>
                <w:lang w:val="es-ES_tradnl"/>
              </w:rPr>
            </w:pPr>
            <w:r w:rsidRPr="00A96126">
              <w:rPr>
                <w:b/>
                <w:lang w:val="es-ES_tradnl"/>
              </w:rPr>
              <w:t>Interferencia para una compresión de ganancia de 1 dB</w:t>
            </w:r>
          </w:p>
        </w:tc>
      </w:tr>
      <w:tr w:rsidR="00B230E8" w14:paraId="3403E772" w14:textId="77777777">
        <w:tblPrEx>
          <w:tblCellMar>
            <w:top w:w="0" w:type="dxa"/>
            <w:bottom w:w="0" w:type="dxa"/>
          </w:tblCellMar>
        </w:tblPrEx>
        <w:trPr>
          <w:cantSplit/>
          <w:jc w:val="center"/>
        </w:trPr>
        <w:tc>
          <w:tcPr>
            <w:tcW w:w="2835" w:type="dxa"/>
            <w:tcBorders>
              <w:top w:val="single" w:sz="6" w:space="0" w:color="auto"/>
              <w:left w:val="single" w:sz="6" w:space="0" w:color="auto"/>
              <w:right w:val="single" w:sz="6" w:space="0" w:color="auto"/>
            </w:tcBorders>
          </w:tcPr>
          <w:p w14:paraId="5388073B" w14:textId="77777777" w:rsidR="00B230E8" w:rsidRDefault="00B230E8" w:rsidP="00A96126">
            <w:pPr>
              <w:pStyle w:val="TableText0"/>
              <w:spacing w:before="60" w:after="60"/>
              <w:jc w:val="left"/>
              <w:rPr>
                <w:lang w:val="es-ES_tradnl"/>
              </w:rPr>
            </w:pPr>
            <w:r>
              <w:rPr>
                <w:lang w:val="es-ES_tradnl"/>
              </w:rPr>
              <w:t>Onda continua</w:t>
            </w:r>
            <w:r w:rsidR="00F37FE0">
              <w:rPr>
                <w:lang w:val="es-ES_tradnl"/>
              </w:rPr>
              <w:t xml:space="preserve"> (CW)</w:t>
            </w:r>
          </w:p>
        </w:tc>
        <w:tc>
          <w:tcPr>
            <w:tcW w:w="1701" w:type="dxa"/>
            <w:tcBorders>
              <w:top w:val="single" w:sz="6" w:space="0" w:color="auto"/>
              <w:right w:val="single" w:sz="6" w:space="0" w:color="auto"/>
            </w:tcBorders>
          </w:tcPr>
          <w:p w14:paraId="248A39CD" w14:textId="77777777" w:rsidR="00B230E8" w:rsidRDefault="00B230E8" w:rsidP="00A96126">
            <w:pPr>
              <w:pStyle w:val="TableText0"/>
              <w:spacing w:before="60" w:after="60"/>
              <w:jc w:val="center"/>
              <w:rPr>
                <w:lang w:val="es-ES_tradnl"/>
              </w:rPr>
            </w:pPr>
            <w:r>
              <w:rPr>
                <w:lang w:val="es-ES_tradnl"/>
              </w:rPr>
              <w:t>Fig. 2</w:t>
            </w:r>
          </w:p>
        </w:tc>
        <w:tc>
          <w:tcPr>
            <w:tcW w:w="2835" w:type="dxa"/>
            <w:tcBorders>
              <w:top w:val="single" w:sz="6" w:space="0" w:color="auto"/>
              <w:right w:val="single" w:sz="6" w:space="0" w:color="auto"/>
            </w:tcBorders>
          </w:tcPr>
          <w:p w14:paraId="65D83F5E" w14:textId="77777777" w:rsidR="00B230E8" w:rsidRDefault="00B230E8" w:rsidP="00A96126">
            <w:pPr>
              <w:pStyle w:val="TableText0"/>
              <w:spacing w:before="60" w:after="60"/>
              <w:jc w:val="left"/>
              <w:rPr>
                <w:lang w:val="es-ES_tradnl"/>
              </w:rPr>
            </w:pPr>
            <w:r>
              <w:rPr>
                <w:lang w:val="es-ES_tradnl"/>
              </w:rPr>
              <w:tab/>
              <w:t xml:space="preserve">–114 </w:t>
            </w:r>
            <w:proofErr w:type="spellStart"/>
            <w:r>
              <w:rPr>
                <w:lang w:val="es-ES_tradnl"/>
              </w:rPr>
              <w:t>dBW</w:t>
            </w:r>
            <w:proofErr w:type="spellEnd"/>
          </w:p>
        </w:tc>
      </w:tr>
      <w:tr w:rsidR="00B230E8" w14:paraId="48FD060F" w14:textId="77777777">
        <w:tblPrEx>
          <w:tblCellMar>
            <w:top w:w="0" w:type="dxa"/>
            <w:bottom w:w="0" w:type="dxa"/>
          </w:tblCellMar>
        </w:tblPrEx>
        <w:trPr>
          <w:cantSplit/>
          <w:jc w:val="center"/>
        </w:trPr>
        <w:tc>
          <w:tcPr>
            <w:tcW w:w="2835" w:type="dxa"/>
            <w:tcBorders>
              <w:left w:val="single" w:sz="6" w:space="0" w:color="auto"/>
              <w:bottom w:val="single" w:sz="6" w:space="0" w:color="auto"/>
              <w:right w:val="single" w:sz="6" w:space="0" w:color="auto"/>
            </w:tcBorders>
          </w:tcPr>
          <w:p w14:paraId="14D2C247" w14:textId="77777777" w:rsidR="00B230E8" w:rsidRDefault="00B230E8" w:rsidP="00A96126">
            <w:pPr>
              <w:pStyle w:val="TableText0"/>
              <w:spacing w:before="60" w:after="80"/>
              <w:jc w:val="left"/>
              <w:rPr>
                <w:lang w:val="es-ES_tradnl"/>
              </w:rPr>
            </w:pPr>
            <w:r>
              <w:rPr>
                <w:lang w:val="es-ES_tradnl"/>
              </w:rPr>
              <w:t>Tipo ruido (anchura de banda 40 MHz)</w:t>
            </w:r>
          </w:p>
        </w:tc>
        <w:tc>
          <w:tcPr>
            <w:tcW w:w="1701" w:type="dxa"/>
            <w:tcBorders>
              <w:bottom w:val="single" w:sz="6" w:space="0" w:color="auto"/>
              <w:right w:val="single" w:sz="6" w:space="0" w:color="auto"/>
            </w:tcBorders>
          </w:tcPr>
          <w:p w14:paraId="7473EAAB" w14:textId="77777777" w:rsidR="00B230E8" w:rsidRDefault="00B230E8" w:rsidP="00A96126">
            <w:pPr>
              <w:pStyle w:val="TableText0"/>
              <w:spacing w:before="60" w:after="80"/>
              <w:jc w:val="center"/>
              <w:rPr>
                <w:lang w:val="en-US"/>
              </w:rPr>
            </w:pPr>
            <w:r>
              <w:rPr>
                <w:lang w:val="en-US"/>
              </w:rPr>
              <w:t>Fig. 2</w:t>
            </w:r>
          </w:p>
        </w:tc>
        <w:tc>
          <w:tcPr>
            <w:tcW w:w="2835" w:type="dxa"/>
            <w:tcBorders>
              <w:bottom w:val="single" w:sz="6" w:space="0" w:color="auto"/>
              <w:right w:val="single" w:sz="6" w:space="0" w:color="auto"/>
            </w:tcBorders>
          </w:tcPr>
          <w:p w14:paraId="1DFE89E6" w14:textId="77777777" w:rsidR="00B230E8" w:rsidRDefault="00B230E8" w:rsidP="00A96126">
            <w:pPr>
              <w:pStyle w:val="TableText0"/>
              <w:spacing w:before="60" w:after="80"/>
              <w:jc w:val="left"/>
              <w:rPr>
                <w:lang w:val="en-US"/>
              </w:rPr>
            </w:pPr>
            <w:r>
              <w:rPr>
                <w:lang w:val="en-US"/>
              </w:rPr>
              <w:tab/>
              <w:t>–190 dB(W/Hz)</w:t>
            </w:r>
          </w:p>
        </w:tc>
      </w:tr>
    </w:tbl>
    <w:p w14:paraId="2DDE4E8F" w14:textId="77777777" w:rsidR="00B230E8" w:rsidRDefault="00B230E8" w:rsidP="00B230E8">
      <w:pPr>
        <w:pStyle w:val="Tablefin"/>
      </w:pPr>
    </w:p>
    <w:p w14:paraId="44788703" w14:textId="77777777" w:rsidR="00A23E5A" w:rsidRPr="00A23E5A" w:rsidRDefault="00A23E5A" w:rsidP="00A23E5A">
      <w:pPr>
        <w:rPr>
          <w:lang w:val="en-GB"/>
        </w:rPr>
      </w:pPr>
    </w:p>
    <w:p w14:paraId="5EE0475E" w14:textId="77777777" w:rsidR="00B230E8" w:rsidRDefault="00B230E8" w:rsidP="00B230E8">
      <w:pPr>
        <w:pStyle w:val="Heading3"/>
        <w:rPr>
          <w:lang w:val="es-ES_tradnl"/>
        </w:rPr>
      </w:pPr>
      <w:r>
        <w:rPr>
          <w:lang w:val="es-ES_tradnl"/>
        </w:rPr>
        <w:t>2.2.2</w:t>
      </w:r>
      <w:r>
        <w:rPr>
          <w:lang w:val="es-ES_tradnl"/>
        </w:rPr>
        <w:tab/>
        <w:t>Subsistemas de seguimiento de portadora, de telemedida y de determinación de distancia</w:t>
      </w:r>
    </w:p>
    <w:p w14:paraId="5D1ED3B6" w14:textId="77777777" w:rsidR="00B230E8" w:rsidRDefault="00B230E8" w:rsidP="00B230E8">
      <w:pPr>
        <w:pStyle w:val="Heading4"/>
        <w:rPr>
          <w:lang w:val="es-ES_tradnl"/>
        </w:rPr>
      </w:pPr>
      <w:r>
        <w:rPr>
          <w:lang w:val="es-ES_tradnl"/>
        </w:rPr>
        <w:t>2.2.2.1</w:t>
      </w:r>
      <w:r>
        <w:rPr>
          <w:lang w:val="es-ES_tradnl"/>
        </w:rPr>
        <w:tab/>
        <w:t>Relaciones de interferencia para el seguimiento de portadora, la telemedida y la determinación de distancia</w:t>
      </w:r>
    </w:p>
    <w:p w14:paraId="02ACE2E9" w14:textId="77777777" w:rsidR="00B230E8" w:rsidRDefault="00B230E8" w:rsidP="00B230E8">
      <w:pPr>
        <w:rPr>
          <w:lang w:val="es-ES_tradnl"/>
        </w:rPr>
      </w:pPr>
      <w:r>
        <w:rPr>
          <w:lang w:val="es-ES_tradnl"/>
        </w:rPr>
        <w:t xml:space="preserve">El Cuadro 3 muestra las relaciones interferencia/portadora, </w:t>
      </w:r>
      <w:r>
        <w:rPr>
          <w:i/>
          <w:lang w:val="es-ES_tradnl"/>
        </w:rPr>
        <w:t>I</w:t>
      </w:r>
      <w:r>
        <w:rPr>
          <w:lang w:val="es-ES_tradnl"/>
        </w:rPr>
        <w:t>/</w:t>
      </w:r>
      <w:r>
        <w:rPr>
          <w:i/>
          <w:lang w:val="es-ES_tradnl"/>
        </w:rPr>
        <w:t>C</w:t>
      </w:r>
      <w:r>
        <w:rPr>
          <w:lang w:val="es-ES_tradnl"/>
        </w:rPr>
        <w:t xml:space="preserve">, interferencia/señal, </w:t>
      </w:r>
      <w:r>
        <w:rPr>
          <w:i/>
          <w:lang w:val="es-ES_tradnl"/>
        </w:rPr>
        <w:t>I</w:t>
      </w:r>
      <w:r>
        <w:rPr>
          <w:lang w:val="es-ES_tradnl"/>
        </w:rPr>
        <w:t>/</w:t>
      </w:r>
      <w:r>
        <w:rPr>
          <w:i/>
          <w:lang w:val="es-ES_tradnl"/>
        </w:rPr>
        <w:t>S</w:t>
      </w:r>
      <w:r>
        <w:rPr>
          <w:lang w:val="es-ES_tradnl"/>
        </w:rPr>
        <w:t xml:space="preserve">, o interferencia/ruido, </w:t>
      </w:r>
      <w:r>
        <w:rPr>
          <w:i/>
          <w:lang w:val="es-ES_tradnl"/>
        </w:rPr>
        <w:t>I</w:t>
      </w:r>
      <w:r>
        <w:rPr>
          <w:lang w:val="es-ES_tradnl"/>
        </w:rPr>
        <w:t>/</w:t>
      </w:r>
      <w:r>
        <w:rPr>
          <w:i/>
          <w:lang w:val="es-ES_tradnl"/>
        </w:rPr>
        <w:t>N</w:t>
      </w:r>
      <w:r>
        <w:rPr>
          <w:lang w:val="es-ES_tradnl"/>
        </w:rPr>
        <w:t>, que corresponden a la degradación admisible de los subsistemas de seguimiento de portadora, de telemedida y de determinación de distancia. Las relaciones se determinan como sigue:</w:t>
      </w:r>
    </w:p>
    <w:p w14:paraId="3D89A670" w14:textId="77777777" w:rsidR="00B230E8" w:rsidRDefault="00B230E8" w:rsidP="00B230E8">
      <w:pPr>
        <w:rPr>
          <w:lang w:val="es-ES_tradnl"/>
        </w:rPr>
      </w:pPr>
      <w:r>
        <w:rPr>
          <w:lang w:val="es-ES_tradnl"/>
        </w:rPr>
        <w:t>Con interferencia de onda continua, la relación de interferencia admisible en cada subsistema puede determinarse directamente con las curvas del Anexo 2.</w:t>
      </w:r>
    </w:p>
    <w:p w14:paraId="64C2ED74" w14:textId="77777777" w:rsidR="00B230E8" w:rsidRDefault="00B230E8" w:rsidP="00B230E8">
      <w:pPr>
        <w:rPr>
          <w:lang w:val="es-ES_tradnl"/>
        </w:rPr>
      </w:pPr>
      <w:r>
        <w:rPr>
          <w:lang w:val="es-ES_tradnl"/>
        </w:rPr>
        <w:t>Con interferencia de tipo ruido causada al bucle de seguimiento de portadora, la Fig. 8 muestra que una reducción del margen de portadora de 10 dB (el típico punto de operación mínimo) a 5,5 dB produce un temblor de fase adicional de 10</w:t>
      </w:r>
      <w:r>
        <w:rPr>
          <w:rFonts w:ascii="Symbol" w:hAnsi="Symbol"/>
          <w:lang w:val="es-ES_tradnl"/>
        </w:rPr>
        <w:t></w:t>
      </w:r>
      <w:r>
        <w:rPr>
          <w:lang w:val="es-ES_tradnl"/>
        </w:rPr>
        <w:t xml:space="preserve">. La relación </w:t>
      </w:r>
      <w:r>
        <w:rPr>
          <w:i/>
          <w:lang w:val="es-ES_tradnl"/>
        </w:rPr>
        <w:t>I</w:t>
      </w:r>
      <w:r>
        <w:rPr>
          <w:lang w:val="es-ES_tradnl"/>
        </w:rPr>
        <w:t>/</w:t>
      </w:r>
      <w:r>
        <w:rPr>
          <w:i/>
          <w:lang w:val="es-ES_tradnl"/>
        </w:rPr>
        <w:t>N</w:t>
      </w:r>
      <w:r>
        <w:rPr>
          <w:lang w:val="es-ES_tradnl"/>
        </w:rPr>
        <w:t xml:space="preserve"> correspondiente viene dada por:</w:t>
      </w:r>
    </w:p>
    <w:p w14:paraId="251C7906" w14:textId="77777777" w:rsidR="00A23E5A" w:rsidRDefault="00A23E5A" w:rsidP="00A23E5A">
      <w:pPr>
        <w:pStyle w:val="Blanc"/>
      </w:pPr>
      <w:bookmarkStart w:id="0" w:name="F001"/>
    </w:p>
    <w:p w14:paraId="505B94A6" w14:textId="77777777" w:rsidR="00B230E8" w:rsidRDefault="00B230E8" w:rsidP="00B230E8">
      <w:pPr>
        <w:pStyle w:val="Equation"/>
        <w:rPr>
          <w:lang w:val="es-ES_tradnl"/>
        </w:rPr>
      </w:pPr>
      <w:r>
        <w:rPr>
          <w:lang w:val="es-ES_tradnl"/>
        </w:rPr>
        <w:tab/>
      </w:r>
      <w:r>
        <w:rPr>
          <w:lang w:val="es-ES_tradnl"/>
        </w:rPr>
        <w:tab/>
      </w:r>
      <w:r w:rsidR="00A96126" w:rsidRPr="00A80132">
        <w:rPr>
          <w:position w:val="-12"/>
        </w:rPr>
        <w:object w:dxaOrig="4160" w:dyaOrig="420" w14:anchorId="42735C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75pt;height:21pt" o:ole="" o:allowoverlap="f">
            <v:imagedata r:id="rId7" o:title=""/>
          </v:shape>
          <o:OLEObject Type="Embed" ProgID="Equation.3" ShapeID="_x0000_i1025" DrawAspect="Content" ObjectID="_1760428857" r:id="rId8"/>
        </w:object>
      </w:r>
      <w:r>
        <w:rPr>
          <w:lang w:val="es-ES_tradnl"/>
        </w:rPr>
        <w:t>               </w:t>
      </w:r>
      <w:r w:rsidR="00A96126">
        <w:rPr>
          <w:lang w:val="es-ES_tradnl"/>
        </w:rPr>
        <w:t> </w:t>
      </w:r>
      <w:r>
        <w:rPr>
          <w:lang w:val="es-ES_tradnl"/>
        </w:rPr>
        <w:t>dB</w:t>
      </w:r>
      <w:bookmarkEnd w:id="0"/>
    </w:p>
    <w:p w14:paraId="64628A5B" w14:textId="77777777" w:rsidR="00A23E5A" w:rsidRDefault="00A23E5A" w:rsidP="00A23E5A">
      <w:pPr>
        <w:pStyle w:val="Blanc"/>
      </w:pPr>
    </w:p>
    <w:p w14:paraId="3362AE09" w14:textId="77777777" w:rsidR="00B230E8" w:rsidRDefault="00A23E5A" w:rsidP="00B230E8">
      <w:pPr>
        <w:rPr>
          <w:lang w:val="es-ES_tradnl"/>
        </w:rPr>
      </w:pPr>
      <w:r>
        <w:rPr>
          <w:lang w:val="es-ES_tradnl"/>
        </w:rPr>
        <w:br w:type="page"/>
      </w:r>
      <w:r w:rsidR="00B230E8">
        <w:rPr>
          <w:lang w:val="es-ES_tradnl"/>
        </w:rPr>
        <w:lastRenderedPageBreak/>
        <w:t>siendo:</w:t>
      </w:r>
    </w:p>
    <w:p w14:paraId="6BBB551A" w14:textId="77777777" w:rsidR="00B230E8" w:rsidRPr="00A96126" w:rsidRDefault="00B230E8" w:rsidP="00B230E8">
      <w:pPr>
        <w:pStyle w:val="Equationlegend"/>
        <w:rPr>
          <w:lang w:val="es-ES_tradnl"/>
        </w:rPr>
      </w:pPr>
      <w:r w:rsidRPr="00B230E8">
        <w:rPr>
          <w:i/>
          <w:lang w:val="es-ES_tradnl"/>
        </w:rPr>
        <w:tab/>
        <w:t>I</w:t>
      </w:r>
      <w:r w:rsidR="00F37FE0" w:rsidRPr="00F37FE0">
        <w:rPr>
          <w:szCs w:val="24"/>
          <w:vertAlign w:val="subscript"/>
          <w:lang w:val="es-ES_tradnl"/>
        </w:rPr>
        <w:t>0</w:t>
      </w:r>
      <w:r w:rsidRPr="00B230E8">
        <w:rPr>
          <w:lang w:val="es-ES_tradnl"/>
        </w:rPr>
        <w:t>/</w:t>
      </w:r>
      <w:r w:rsidRPr="00B230E8">
        <w:rPr>
          <w:i/>
          <w:lang w:val="es-ES_tradnl"/>
        </w:rPr>
        <w:t>N</w:t>
      </w:r>
      <w:proofErr w:type="gramStart"/>
      <w:r w:rsidR="00F37FE0" w:rsidRPr="00F37FE0">
        <w:rPr>
          <w:szCs w:val="24"/>
          <w:vertAlign w:val="subscript"/>
          <w:lang w:val="es-ES_tradnl"/>
        </w:rPr>
        <w:t>0</w:t>
      </w:r>
      <w:r w:rsidRPr="00B230E8">
        <w:rPr>
          <w:rFonts w:ascii="Tms Rmn" w:hAnsi="Tms Rmn"/>
          <w:i/>
          <w:sz w:val="12"/>
          <w:lang w:val="es-ES_tradnl"/>
        </w:rPr>
        <w:t> </w:t>
      </w:r>
      <w:r w:rsidRPr="00B230E8">
        <w:rPr>
          <w:lang w:val="es-ES_tradnl"/>
        </w:rPr>
        <w:t>:</w:t>
      </w:r>
      <w:proofErr w:type="gramEnd"/>
      <w:r w:rsidRPr="00B230E8">
        <w:rPr>
          <w:lang w:val="es-ES_tradnl"/>
        </w:rPr>
        <w:tab/>
      </w:r>
      <w:r w:rsidR="00A96126" w:rsidRPr="00A96126">
        <w:rPr>
          <w:lang w:val="es-ES_tradnl"/>
        </w:rPr>
        <w:t>relación entre la densidad espectral de ruido de interferencia y la densidad espectral del ruido del receptor</w:t>
      </w:r>
    </w:p>
    <w:p w14:paraId="0CBCAB61" w14:textId="77777777" w:rsidR="00B230E8" w:rsidRPr="00B230E8" w:rsidRDefault="00B230E8" w:rsidP="00B230E8">
      <w:pPr>
        <w:pStyle w:val="Equationlegend"/>
        <w:rPr>
          <w:lang w:val="es-ES_tradnl"/>
        </w:rPr>
      </w:pPr>
      <w:r w:rsidRPr="00B230E8">
        <w:rPr>
          <w:i/>
          <w:lang w:val="es-ES_tradnl"/>
        </w:rPr>
        <w:tab/>
        <w:t>CM</w:t>
      </w:r>
      <w:proofErr w:type="gramStart"/>
      <w:r w:rsidRPr="00B230E8">
        <w:rPr>
          <w:position w:val="-4"/>
          <w:sz w:val="16"/>
          <w:lang w:val="es-ES_tradnl"/>
        </w:rPr>
        <w:t>0</w:t>
      </w:r>
      <w:r w:rsidRPr="00B230E8">
        <w:rPr>
          <w:position w:val="-4"/>
          <w:sz w:val="12"/>
          <w:lang w:val="es-ES_tradnl"/>
        </w:rPr>
        <w:t> </w:t>
      </w:r>
      <w:r w:rsidRPr="00B230E8">
        <w:rPr>
          <w:sz w:val="18"/>
          <w:lang w:val="es-ES_tradnl"/>
        </w:rPr>
        <w:t>:</w:t>
      </w:r>
      <w:proofErr w:type="gramEnd"/>
      <w:r w:rsidRPr="00B230E8">
        <w:rPr>
          <w:position w:val="-4"/>
          <w:lang w:val="es-ES_tradnl"/>
        </w:rPr>
        <w:tab/>
      </w:r>
      <w:r w:rsidRPr="00B230E8">
        <w:rPr>
          <w:lang w:val="es-ES_tradnl"/>
        </w:rPr>
        <w:t>margen de la portadora (dB) sin interferencia</w:t>
      </w:r>
    </w:p>
    <w:p w14:paraId="3D074F20" w14:textId="77777777" w:rsidR="00B230E8" w:rsidRDefault="00B230E8" w:rsidP="00B230E8">
      <w:pPr>
        <w:pStyle w:val="Equationlegend"/>
        <w:rPr>
          <w:lang w:val="es-ES_tradnl"/>
        </w:rPr>
      </w:pPr>
      <w:r w:rsidRPr="00B230E8">
        <w:rPr>
          <w:i/>
          <w:lang w:val="es-ES_tradnl"/>
        </w:rPr>
        <w:tab/>
      </w:r>
      <w:proofErr w:type="gramStart"/>
      <w:r w:rsidRPr="00B230E8">
        <w:rPr>
          <w:i/>
          <w:lang w:val="es-ES_tradnl"/>
        </w:rPr>
        <w:t>CM</w:t>
      </w:r>
      <w:r w:rsidRPr="00B230E8">
        <w:rPr>
          <w:i/>
          <w:position w:val="-4"/>
          <w:sz w:val="16"/>
          <w:lang w:val="es-ES_tradnl"/>
        </w:rPr>
        <w:t>i</w:t>
      </w:r>
      <w:r w:rsidRPr="00B230E8">
        <w:rPr>
          <w:rFonts w:ascii="Tms Rmn" w:hAnsi="Tms Rmn"/>
          <w:i/>
          <w:position w:val="-4"/>
          <w:sz w:val="12"/>
          <w:lang w:val="es-ES_tradnl"/>
        </w:rPr>
        <w:t> </w:t>
      </w:r>
      <w:r w:rsidRPr="00B230E8">
        <w:rPr>
          <w:lang w:val="es-ES_tradnl"/>
        </w:rPr>
        <w:t>:</w:t>
      </w:r>
      <w:proofErr w:type="gramEnd"/>
      <w:r w:rsidRPr="00B230E8">
        <w:rPr>
          <w:position w:val="6"/>
          <w:lang w:val="es-ES_tradnl"/>
        </w:rPr>
        <w:tab/>
      </w:r>
      <w:r w:rsidRPr="00B230E8">
        <w:rPr>
          <w:lang w:val="es-ES_tradnl"/>
        </w:rPr>
        <w:t>margen de la portadora (dB) con interferencia</w:t>
      </w:r>
      <w:r w:rsidR="00A96126">
        <w:rPr>
          <w:lang w:val="es-ES_tradnl"/>
        </w:rPr>
        <w:t>,</w:t>
      </w:r>
    </w:p>
    <w:p w14:paraId="5C7362E1" w14:textId="77777777" w:rsidR="00A96126" w:rsidRPr="00A96126" w:rsidRDefault="00A96126" w:rsidP="00A96126">
      <w:pPr>
        <w:rPr>
          <w:lang w:val="es-ES_tradnl"/>
        </w:rPr>
      </w:pPr>
      <w:r w:rsidRPr="00A96126">
        <w:rPr>
          <w:lang w:val="es-ES_tradnl"/>
        </w:rPr>
        <w:t>y el margen de la portadora es la relación potencia de portadora/potencia de ruido en el bucle de seguimiento de portadora.</w:t>
      </w:r>
    </w:p>
    <w:p w14:paraId="51A52CED" w14:textId="77777777" w:rsidR="00B230E8" w:rsidRDefault="00B230E8" w:rsidP="00B230E8">
      <w:pPr>
        <w:rPr>
          <w:lang w:val="es-ES_tradnl"/>
        </w:rPr>
      </w:pPr>
      <w:r>
        <w:rPr>
          <w:lang w:val="es-ES_tradnl"/>
        </w:rPr>
        <w:t xml:space="preserve">Con interferencia de tipo ruido causada a los subsistemas de telemedida y de determinación de distancia, la relación </w:t>
      </w:r>
      <w:r w:rsidR="00F37FE0" w:rsidRPr="00F37FE0">
        <w:rPr>
          <w:i/>
          <w:lang w:val="es-ES_tradnl"/>
        </w:rPr>
        <w:t>I</w:t>
      </w:r>
      <w:r>
        <w:rPr>
          <w:lang w:val="es-ES_tradnl"/>
        </w:rPr>
        <w:t>/</w:t>
      </w:r>
      <w:r w:rsidR="00F37FE0" w:rsidRPr="00F37FE0">
        <w:rPr>
          <w:i/>
          <w:lang w:val="es-ES_tradnl"/>
        </w:rPr>
        <w:t>N</w:t>
      </w:r>
      <w:r>
        <w:rPr>
          <w:lang w:val="es-ES_tradnl"/>
        </w:rPr>
        <w:t xml:space="preserve"> admisible viene dada por:</w:t>
      </w:r>
    </w:p>
    <w:p w14:paraId="48B95C1C" w14:textId="77777777" w:rsidR="00A23E5A" w:rsidRPr="00F37FE0" w:rsidRDefault="00A23E5A" w:rsidP="00A23E5A">
      <w:pPr>
        <w:pStyle w:val="Blanc"/>
        <w:rPr>
          <w:lang w:val="es-ES_tradnl"/>
        </w:rPr>
      </w:pPr>
      <w:bookmarkStart w:id="1" w:name="F002"/>
    </w:p>
    <w:p w14:paraId="0A0F7A1D" w14:textId="77777777" w:rsidR="00B230E8" w:rsidRDefault="00B230E8" w:rsidP="00B230E8">
      <w:pPr>
        <w:pStyle w:val="Equation"/>
        <w:rPr>
          <w:lang w:val="es-ES_tradnl"/>
        </w:rPr>
      </w:pPr>
      <w:r>
        <w:rPr>
          <w:lang w:val="es-ES_tradnl"/>
        </w:rPr>
        <w:tab/>
      </w:r>
      <w:r>
        <w:rPr>
          <w:lang w:val="es-ES_tradnl"/>
        </w:rPr>
        <w:tab/>
      </w:r>
      <w:r>
        <w:fldChar w:fldCharType="begin"/>
      </w:r>
      <w:r>
        <w:rPr>
          <w:lang w:val="es-ES_tradnl"/>
        </w:rPr>
        <w:instrText xml:space="preserve">eq </w:instrText>
      </w:r>
      <w:r>
        <w:rPr>
          <w:i/>
          <w:lang w:val="es-ES_tradnl"/>
        </w:rPr>
        <w:instrText>I</w:instrText>
      </w:r>
      <w:r>
        <w:rPr>
          <w:position w:val="-4"/>
          <w:sz w:val="18"/>
          <w:lang w:val="es-ES_tradnl"/>
        </w:rPr>
        <w:instrText>0</w:instrText>
      </w:r>
      <w:r>
        <w:rPr>
          <w:rFonts w:ascii="Tms Rmn" w:hAnsi="Tms Rmn"/>
          <w:position w:val="-4"/>
          <w:sz w:val="12"/>
          <w:lang w:val="es-ES_tradnl"/>
        </w:rPr>
        <w:instrText> </w:instrText>
      </w:r>
      <w:r>
        <w:rPr>
          <w:rFonts w:ascii="Tms Rmn" w:hAnsi="Tms Rmn"/>
          <w:lang w:val="es-ES_tradnl"/>
        </w:rPr>
        <w:instrText>/</w:instrText>
      </w:r>
      <w:r>
        <w:rPr>
          <w:rFonts w:ascii="Tms Rmn" w:hAnsi="Tms Rmn"/>
          <w:i/>
          <w:lang w:val="es-ES_tradnl"/>
        </w:rPr>
        <w:instrText>N</w:instrText>
      </w:r>
      <w:r>
        <w:rPr>
          <w:rFonts w:ascii="Tms Rmn" w:hAnsi="Tms Rmn"/>
          <w:position w:val="-4"/>
          <w:sz w:val="18"/>
          <w:lang w:val="es-ES_tradnl"/>
        </w:rPr>
        <w:instrText>0</w:instrText>
      </w:r>
      <w:r>
        <w:rPr>
          <w:rFonts w:ascii="Tms Rmn" w:hAnsi="Tms Rmn"/>
          <w:lang w:val="es-ES_tradnl"/>
        </w:rPr>
        <w:instrText xml:space="preserve">  </w:instrText>
      </w:r>
      <w:r>
        <w:rPr>
          <w:rFonts w:ascii="Symbol" w:hAnsi="Symbol"/>
          <w:lang w:val="es-ES_tradnl"/>
        </w:rPr>
        <w:instrText>=</w:instrText>
      </w:r>
      <w:r>
        <w:rPr>
          <w:rFonts w:ascii="Tms Rmn" w:hAnsi="Tms Rmn"/>
          <w:lang w:val="es-ES_tradnl"/>
        </w:rPr>
        <w:instrText xml:space="preserve">  10 log (10\s\up3(</w:instrText>
      </w:r>
      <w:r>
        <w:rPr>
          <w:rFonts w:ascii="Tms Rmn" w:hAnsi="Tms Rmn"/>
          <w:position w:val="6"/>
          <w:sz w:val="18"/>
          <w:lang w:val="es-ES_tradnl"/>
        </w:rPr>
        <w:instrText>(</w:instrText>
      </w:r>
      <w:r>
        <w:rPr>
          <w:rFonts w:ascii="Symbol" w:hAnsi="Symbol"/>
          <w:position w:val="6"/>
          <w:sz w:val="18"/>
          <w:lang w:val="es-ES_tradnl"/>
        </w:rPr>
        <w:instrText>D</w:instrText>
      </w:r>
      <w:r>
        <w:rPr>
          <w:i/>
          <w:position w:val="6"/>
          <w:sz w:val="18"/>
          <w:lang w:val="es-ES_tradnl"/>
        </w:rPr>
        <w:instrText>E</w:instrText>
      </w:r>
      <w:r>
        <w:rPr>
          <w:rFonts w:ascii="Tms Rmn" w:hAnsi="Tms Rmn"/>
          <w:position w:val="6"/>
          <w:sz w:val="18"/>
          <w:lang w:val="es-ES_tradnl"/>
        </w:rPr>
        <w:instrText>/</w:instrText>
      </w:r>
      <w:r>
        <w:rPr>
          <w:rFonts w:ascii="Tms Rmn" w:hAnsi="Tms Rmn"/>
          <w:i/>
          <w:position w:val="6"/>
          <w:sz w:val="18"/>
          <w:lang w:val="es-ES_tradnl"/>
        </w:rPr>
        <w:instrText>N\s\do2(</w:instrText>
      </w:r>
      <w:r>
        <w:rPr>
          <w:rFonts w:ascii="Tms Rmn" w:hAnsi="Tms Rmn"/>
          <w:position w:val="6"/>
          <w:sz w:val="14"/>
          <w:lang w:val="es-ES_tradnl"/>
        </w:rPr>
        <w:instrText>0</w:instrText>
      </w:r>
      <w:r>
        <w:rPr>
          <w:rFonts w:ascii="Tms Rmn" w:hAnsi="Tms Rmn"/>
          <w:position w:val="6"/>
          <w:sz w:val="18"/>
          <w:lang w:val="es-ES_tradnl"/>
        </w:rPr>
        <w:instrText>)) / 10)</w:instrText>
      </w:r>
      <w:r>
        <w:rPr>
          <w:rFonts w:ascii="Tms Rmn" w:hAnsi="Tms Rmn"/>
          <w:lang w:val="es-ES_tradnl"/>
        </w:rPr>
        <w:instrText xml:space="preserve">  –  1)</w:instrText>
      </w:r>
      <w:r>
        <w:fldChar w:fldCharType="end"/>
      </w:r>
      <w:r>
        <w:rPr>
          <w:lang w:val="es-ES_tradnl"/>
        </w:rPr>
        <w:t>               dB</w:t>
      </w:r>
      <w:bookmarkEnd w:id="1"/>
    </w:p>
    <w:p w14:paraId="0ECC5925" w14:textId="77777777" w:rsidR="00A23E5A" w:rsidRDefault="00A23E5A" w:rsidP="00A23E5A">
      <w:pPr>
        <w:pStyle w:val="Blanc"/>
      </w:pPr>
    </w:p>
    <w:p w14:paraId="5084932B" w14:textId="77777777" w:rsidR="00B230E8" w:rsidRDefault="00B230E8" w:rsidP="00B230E8">
      <w:pPr>
        <w:rPr>
          <w:lang w:val="es-ES_tradnl"/>
        </w:rPr>
      </w:pPr>
      <w:r>
        <w:rPr>
          <w:lang w:val="es-ES_tradnl"/>
        </w:rPr>
        <w:t>siendo:</w:t>
      </w:r>
    </w:p>
    <w:p w14:paraId="090EB157" w14:textId="77777777" w:rsidR="00B230E8" w:rsidRPr="00B230E8" w:rsidRDefault="00B230E8" w:rsidP="00B230E8">
      <w:pPr>
        <w:pStyle w:val="Equationlegend"/>
        <w:rPr>
          <w:lang w:val="es-ES_tradnl"/>
        </w:rPr>
      </w:pPr>
      <w:r w:rsidRPr="00B230E8">
        <w:rPr>
          <w:lang w:val="es-ES_tradnl"/>
        </w:rPr>
        <w:tab/>
      </w:r>
      <w:r w:rsidRPr="00B230E8">
        <w:rPr>
          <w:i/>
          <w:lang w:val="es-ES_tradnl"/>
        </w:rPr>
        <w:t>I</w:t>
      </w:r>
      <w:r w:rsidRPr="00B230E8">
        <w:rPr>
          <w:position w:val="-4"/>
          <w:sz w:val="16"/>
          <w:lang w:val="es-ES_tradnl"/>
        </w:rPr>
        <w:t>0</w:t>
      </w:r>
      <w:r w:rsidRPr="00B230E8">
        <w:rPr>
          <w:lang w:val="es-ES_tradnl"/>
        </w:rPr>
        <w:t>/</w:t>
      </w:r>
      <w:r w:rsidRPr="00B230E8">
        <w:rPr>
          <w:i/>
          <w:lang w:val="es-ES_tradnl"/>
        </w:rPr>
        <w:t>N</w:t>
      </w:r>
      <w:proofErr w:type="gramStart"/>
      <w:r w:rsidRPr="00B230E8">
        <w:rPr>
          <w:position w:val="-4"/>
          <w:sz w:val="16"/>
          <w:lang w:val="es-ES_tradnl"/>
        </w:rPr>
        <w:t>0</w:t>
      </w:r>
      <w:r w:rsidRPr="00B230E8">
        <w:rPr>
          <w:position w:val="-4"/>
          <w:sz w:val="12"/>
          <w:lang w:val="es-ES_tradnl"/>
        </w:rPr>
        <w:t> </w:t>
      </w:r>
      <w:r w:rsidRPr="00B230E8">
        <w:rPr>
          <w:lang w:val="es-ES_tradnl"/>
        </w:rPr>
        <w:t>:</w:t>
      </w:r>
      <w:proofErr w:type="gramEnd"/>
      <w:r w:rsidRPr="00B230E8">
        <w:rPr>
          <w:lang w:val="es-ES_tradnl"/>
        </w:rPr>
        <w:tab/>
        <w:t>relación densidad espectral de ruido de interferencia/densidad espectral del ruido del receptor</w:t>
      </w:r>
    </w:p>
    <w:p w14:paraId="13B60C7B" w14:textId="77777777" w:rsidR="00B230E8" w:rsidRPr="00B230E8" w:rsidRDefault="00B230E8" w:rsidP="00B230E8">
      <w:pPr>
        <w:pStyle w:val="Equationlegend"/>
        <w:rPr>
          <w:lang w:val="es-ES_tradnl"/>
        </w:rPr>
      </w:pPr>
      <w:r w:rsidRPr="00B230E8">
        <w:rPr>
          <w:rFonts w:ascii="Symbol" w:hAnsi="Symbol"/>
          <w:lang w:val="es-ES_tradnl"/>
        </w:rPr>
        <w:tab/>
      </w:r>
      <w:r>
        <w:rPr>
          <w:rFonts w:ascii="Symbol" w:hAnsi="Symbol"/>
        </w:rPr>
        <w:t></w:t>
      </w:r>
      <w:r w:rsidRPr="00B230E8">
        <w:rPr>
          <w:i/>
          <w:lang w:val="es-ES_tradnl"/>
        </w:rPr>
        <w:t>E</w:t>
      </w:r>
      <w:r w:rsidRPr="00B230E8">
        <w:rPr>
          <w:lang w:val="es-ES_tradnl"/>
        </w:rPr>
        <w:t>/</w:t>
      </w:r>
      <w:r w:rsidRPr="00B230E8">
        <w:rPr>
          <w:i/>
          <w:lang w:val="es-ES_tradnl"/>
        </w:rPr>
        <w:t>N</w:t>
      </w:r>
      <w:proofErr w:type="gramStart"/>
      <w:r w:rsidRPr="00B230E8">
        <w:rPr>
          <w:position w:val="-4"/>
          <w:sz w:val="16"/>
          <w:lang w:val="es-ES_tradnl"/>
        </w:rPr>
        <w:t>0</w:t>
      </w:r>
      <w:r w:rsidRPr="00B230E8">
        <w:rPr>
          <w:position w:val="-4"/>
          <w:sz w:val="12"/>
          <w:lang w:val="es-ES_tradnl"/>
        </w:rPr>
        <w:t> </w:t>
      </w:r>
      <w:r w:rsidRPr="00B230E8">
        <w:rPr>
          <w:lang w:val="es-ES_tradnl"/>
        </w:rPr>
        <w:t>:</w:t>
      </w:r>
      <w:proofErr w:type="gramEnd"/>
      <w:r w:rsidRPr="00B230E8">
        <w:rPr>
          <w:lang w:val="es-ES_tradnl"/>
        </w:rPr>
        <w:tab/>
        <w:t>criterio indicado en el Cuadro 1, de la reducción equivalente de la relación energía por símbolo/densidad espectral de ruido o señal/ruido.</w:t>
      </w:r>
    </w:p>
    <w:p w14:paraId="4A099529" w14:textId="77777777" w:rsidR="00B230E8" w:rsidRDefault="00B230E8" w:rsidP="00B230E8">
      <w:pPr>
        <w:pStyle w:val="Table"/>
        <w:rPr>
          <w:lang w:val="es-ES_tradnl"/>
        </w:rPr>
      </w:pPr>
      <w:r>
        <w:rPr>
          <w:lang w:val="es-ES_tradnl"/>
        </w:rPr>
        <w:t>CUADRO  3</w:t>
      </w:r>
    </w:p>
    <w:p w14:paraId="6CAC34DC" w14:textId="77777777" w:rsidR="00B230E8" w:rsidRDefault="00B230E8" w:rsidP="00B230E8">
      <w:pPr>
        <w:pStyle w:val="TableTitle0"/>
        <w:rPr>
          <w:lang w:val="es-ES_tradnl"/>
        </w:rPr>
      </w:pPr>
      <w:r>
        <w:rPr>
          <w:lang w:val="es-ES_tradnl"/>
        </w:rPr>
        <w:t xml:space="preserve">Valores máximos admisibles de </w:t>
      </w:r>
      <w:r>
        <w:rPr>
          <w:i/>
          <w:lang w:val="es-ES_tradnl"/>
        </w:rPr>
        <w:t>I</w:t>
      </w:r>
      <w:r>
        <w:rPr>
          <w:lang w:val="es-ES_tradnl"/>
        </w:rPr>
        <w:t>/</w:t>
      </w:r>
      <w:r>
        <w:rPr>
          <w:i/>
          <w:lang w:val="es-ES_tradnl"/>
        </w:rPr>
        <w:t>C</w:t>
      </w:r>
      <w:r>
        <w:rPr>
          <w:lang w:val="es-ES_tradnl"/>
        </w:rPr>
        <w:t xml:space="preserve">, </w:t>
      </w:r>
      <w:r>
        <w:rPr>
          <w:i/>
          <w:lang w:val="es-ES_tradnl"/>
        </w:rPr>
        <w:t>I</w:t>
      </w:r>
      <w:r>
        <w:rPr>
          <w:lang w:val="es-ES_tradnl"/>
        </w:rPr>
        <w:t>/</w:t>
      </w:r>
      <w:r>
        <w:rPr>
          <w:i/>
          <w:lang w:val="es-ES_tradnl"/>
        </w:rPr>
        <w:t>S</w:t>
      </w:r>
      <w:r>
        <w:rPr>
          <w:lang w:val="es-ES_tradnl"/>
        </w:rPr>
        <w:t xml:space="preserve"> o </w:t>
      </w:r>
      <w:r>
        <w:rPr>
          <w:i/>
          <w:lang w:val="es-ES_tradnl"/>
        </w:rPr>
        <w:t>I</w:t>
      </w:r>
      <w:r>
        <w:rPr>
          <w:lang w:val="es-ES_tradnl"/>
        </w:rPr>
        <w:t>/</w:t>
      </w:r>
      <w:r>
        <w:rPr>
          <w:i/>
          <w:lang w:val="es-ES_tradnl"/>
        </w:rPr>
        <w:t>N</w:t>
      </w:r>
      <w:r>
        <w:rPr>
          <w:lang w:val="es-ES_tradnl"/>
        </w:rPr>
        <w:t xml:space="preserve"> para interferencia de </w:t>
      </w:r>
      <w:r w:rsidR="00F37FE0">
        <w:rPr>
          <w:lang w:val="es-ES_tradnl"/>
        </w:rPr>
        <w:t>CW</w:t>
      </w:r>
      <w:r>
        <w:rPr>
          <w:lang w:val="es-ES_tradnl"/>
        </w:rPr>
        <w:t xml:space="preserve"> y de tipo ruido</w:t>
      </w:r>
    </w:p>
    <w:tbl>
      <w:tblPr>
        <w:tblW w:w="0" w:type="auto"/>
        <w:jc w:val="center"/>
        <w:tblLayout w:type="fixed"/>
        <w:tblLook w:val="0000" w:firstRow="0" w:lastRow="0" w:firstColumn="0" w:lastColumn="0" w:noHBand="0" w:noVBand="0"/>
      </w:tblPr>
      <w:tblGrid>
        <w:gridCol w:w="4536"/>
        <w:gridCol w:w="1701"/>
        <w:gridCol w:w="1418"/>
        <w:gridCol w:w="1701"/>
      </w:tblGrid>
      <w:tr w:rsidR="00B230E8" w14:paraId="6E7119AA" w14:textId="77777777">
        <w:tblPrEx>
          <w:tblCellMar>
            <w:top w:w="0" w:type="dxa"/>
            <w:bottom w:w="0" w:type="dxa"/>
          </w:tblCellMar>
        </w:tblPrEx>
        <w:trPr>
          <w:cantSplit/>
          <w:jc w:val="center"/>
        </w:trPr>
        <w:tc>
          <w:tcPr>
            <w:tcW w:w="4536" w:type="dxa"/>
            <w:tcBorders>
              <w:top w:val="single" w:sz="6" w:space="0" w:color="auto"/>
              <w:left w:val="single" w:sz="6" w:space="0" w:color="auto"/>
              <w:right w:val="single" w:sz="6" w:space="0" w:color="auto"/>
            </w:tcBorders>
          </w:tcPr>
          <w:p w14:paraId="2574DC80" w14:textId="77777777" w:rsidR="00B230E8" w:rsidRPr="00A96126" w:rsidRDefault="00B230E8" w:rsidP="00A96126">
            <w:pPr>
              <w:pStyle w:val="TableText0"/>
              <w:spacing w:before="300"/>
              <w:jc w:val="center"/>
              <w:rPr>
                <w:b/>
                <w:lang w:val="es-ES_tradnl"/>
              </w:rPr>
            </w:pPr>
            <w:r w:rsidRPr="00A96126">
              <w:rPr>
                <w:b/>
                <w:lang w:val="es-ES_tradnl"/>
              </w:rPr>
              <w:t>Subsistema (criterio)</w:t>
            </w:r>
          </w:p>
        </w:tc>
        <w:tc>
          <w:tcPr>
            <w:tcW w:w="1701" w:type="dxa"/>
            <w:tcBorders>
              <w:top w:val="single" w:sz="6" w:space="0" w:color="auto"/>
              <w:bottom w:val="single" w:sz="6" w:space="0" w:color="auto"/>
              <w:right w:val="single" w:sz="6" w:space="0" w:color="auto"/>
            </w:tcBorders>
          </w:tcPr>
          <w:p w14:paraId="0F3BE8A7" w14:textId="77777777" w:rsidR="00B230E8" w:rsidRPr="00A96126" w:rsidRDefault="00B230E8" w:rsidP="00A96126">
            <w:pPr>
              <w:pStyle w:val="TableText0"/>
              <w:spacing w:before="200"/>
              <w:jc w:val="center"/>
              <w:rPr>
                <w:b/>
                <w:lang w:val="es-ES_tradnl"/>
              </w:rPr>
            </w:pPr>
            <w:r w:rsidRPr="00A96126">
              <w:rPr>
                <w:b/>
                <w:lang w:val="es-ES_tradnl"/>
              </w:rPr>
              <w:t>Tipo de interferencia</w:t>
            </w:r>
          </w:p>
        </w:tc>
        <w:tc>
          <w:tcPr>
            <w:tcW w:w="1418" w:type="dxa"/>
            <w:tcBorders>
              <w:top w:val="single" w:sz="6" w:space="0" w:color="auto"/>
              <w:left w:val="single" w:sz="6" w:space="0" w:color="auto"/>
              <w:bottom w:val="single" w:sz="6" w:space="0" w:color="auto"/>
              <w:right w:val="single" w:sz="6" w:space="0" w:color="auto"/>
            </w:tcBorders>
          </w:tcPr>
          <w:p w14:paraId="08591375" w14:textId="77777777" w:rsidR="00B230E8" w:rsidRPr="00A96126" w:rsidRDefault="00B230E8" w:rsidP="00A96126">
            <w:pPr>
              <w:pStyle w:val="TableText0"/>
              <w:spacing w:before="200"/>
              <w:jc w:val="center"/>
              <w:rPr>
                <w:b/>
                <w:lang w:val="es-ES_tradnl"/>
              </w:rPr>
            </w:pPr>
            <w:r w:rsidRPr="00A96126">
              <w:rPr>
                <w:b/>
                <w:lang w:val="es-ES_tradnl"/>
              </w:rPr>
              <w:t>Fuente de los datos</w:t>
            </w:r>
          </w:p>
        </w:tc>
        <w:tc>
          <w:tcPr>
            <w:tcW w:w="1701" w:type="dxa"/>
            <w:tcBorders>
              <w:top w:val="single" w:sz="6" w:space="0" w:color="auto"/>
              <w:left w:val="single" w:sz="6" w:space="0" w:color="auto"/>
              <w:bottom w:val="single" w:sz="6" w:space="0" w:color="auto"/>
              <w:right w:val="single" w:sz="6" w:space="0" w:color="auto"/>
            </w:tcBorders>
          </w:tcPr>
          <w:p w14:paraId="5C4C193D" w14:textId="77777777" w:rsidR="00B230E8" w:rsidRPr="00A96126" w:rsidRDefault="00B230E8" w:rsidP="00A96126">
            <w:pPr>
              <w:pStyle w:val="TableText0"/>
              <w:jc w:val="center"/>
              <w:rPr>
                <w:b/>
                <w:lang w:val="es-ES_tradnl"/>
              </w:rPr>
            </w:pPr>
            <w:r w:rsidRPr="00A96126">
              <w:rPr>
                <w:b/>
                <w:lang w:val="es-ES_tradnl"/>
              </w:rPr>
              <w:t>Relación de interferencia máxima</w:t>
            </w:r>
          </w:p>
        </w:tc>
      </w:tr>
      <w:tr w:rsidR="00B230E8" w14:paraId="3ED81EE2" w14:textId="77777777">
        <w:tblPrEx>
          <w:tblCellMar>
            <w:top w:w="0" w:type="dxa"/>
            <w:bottom w:w="0" w:type="dxa"/>
          </w:tblCellMar>
        </w:tblPrEx>
        <w:trPr>
          <w:cantSplit/>
          <w:jc w:val="center"/>
        </w:trPr>
        <w:tc>
          <w:tcPr>
            <w:tcW w:w="4536" w:type="dxa"/>
            <w:tcBorders>
              <w:top w:val="single" w:sz="6" w:space="0" w:color="auto"/>
              <w:left w:val="single" w:sz="6" w:space="0" w:color="auto"/>
              <w:right w:val="single" w:sz="6" w:space="0" w:color="auto"/>
            </w:tcBorders>
          </w:tcPr>
          <w:p w14:paraId="03F28D2A" w14:textId="77777777" w:rsidR="00B230E8" w:rsidRDefault="00B230E8" w:rsidP="00A96126">
            <w:pPr>
              <w:pStyle w:val="TableText0"/>
              <w:spacing w:before="60" w:after="60"/>
              <w:rPr>
                <w:lang w:val="es-ES_tradnl"/>
              </w:rPr>
            </w:pPr>
            <w:r>
              <w:rPr>
                <w:i/>
                <w:lang w:val="es-ES_tradnl"/>
              </w:rPr>
              <w:t>Seguimiento de portadora</w:t>
            </w:r>
          </w:p>
        </w:tc>
        <w:tc>
          <w:tcPr>
            <w:tcW w:w="1701" w:type="dxa"/>
            <w:tcBorders>
              <w:top w:val="single" w:sz="6" w:space="0" w:color="auto"/>
              <w:bottom w:val="single" w:sz="6" w:space="0" w:color="auto"/>
              <w:right w:val="single" w:sz="6" w:space="0" w:color="auto"/>
            </w:tcBorders>
          </w:tcPr>
          <w:p w14:paraId="0B1E4839" w14:textId="77777777" w:rsidR="00B230E8" w:rsidRDefault="00F37FE0" w:rsidP="00A96126">
            <w:pPr>
              <w:pStyle w:val="TableText0"/>
              <w:spacing w:before="60" w:after="60"/>
              <w:jc w:val="left"/>
              <w:rPr>
                <w:lang w:val="en-US"/>
              </w:rPr>
            </w:pPr>
            <w:r>
              <w:t>CW</w:t>
            </w:r>
          </w:p>
        </w:tc>
        <w:tc>
          <w:tcPr>
            <w:tcW w:w="1418" w:type="dxa"/>
            <w:tcBorders>
              <w:top w:val="single" w:sz="6" w:space="0" w:color="auto"/>
              <w:left w:val="single" w:sz="6" w:space="0" w:color="auto"/>
              <w:bottom w:val="single" w:sz="6" w:space="0" w:color="auto"/>
              <w:right w:val="single" w:sz="6" w:space="0" w:color="auto"/>
            </w:tcBorders>
          </w:tcPr>
          <w:p w14:paraId="23C55C85" w14:textId="77777777" w:rsidR="00B230E8" w:rsidRDefault="00B230E8" w:rsidP="00A96126">
            <w:pPr>
              <w:pStyle w:val="TableText0"/>
              <w:spacing w:before="60" w:after="60"/>
              <w:jc w:val="left"/>
              <w:rPr>
                <w:lang w:val="en-US"/>
              </w:rPr>
            </w:pPr>
            <w:r>
              <w:rPr>
                <w:lang w:val="en-US"/>
              </w:rPr>
              <w:t>Fig. 3</w:t>
            </w:r>
          </w:p>
        </w:tc>
        <w:tc>
          <w:tcPr>
            <w:tcW w:w="1701" w:type="dxa"/>
            <w:tcBorders>
              <w:top w:val="single" w:sz="6" w:space="0" w:color="auto"/>
              <w:left w:val="single" w:sz="6" w:space="0" w:color="auto"/>
              <w:bottom w:val="single" w:sz="6" w:space="0" w:color="auto"/>
              <w:right w:val="single" w:sz="6" w:space="0" w:color="auto"/>
            </w:tcBorders>
          </w:tcPr>
          <w:p w14:paraId="657B1B6D" w14:textId="77777777" w:rsidR="00B230E8" w:rsidRDefault="00B230E8" w:rsidP="00A96126">
            <w:pPr>
              <w:pStyle w:val="TableText0"/>
              <w:spacing w:before="60" w:after="60"/>
              <w:jc w:val="left"/>
              <w:rPr>
                <w:lang w:val="en-US"/>
              </w:rPr>
            </w:pPr>
            <w:r>
              <w:rPr>
                <w:i/>
                <w:lang w:val="en-US"/>
              </w:rPr>
              <w:t>I</w:t>
            </w:r>
            <w:r>
              <w:rPr>
                <w:lang w:val="en-US"/>
              </w:rPr>
              <w:t>/</w:t>
            </w:r>
            <w:r>
              <w:rPr>
                <w:i/>
                <w:lang w:val="en-US"/>
              </w:rPr>
              <w:t>C</w:t>
            </w:r>
            <w:r>
              <w:rPr>
                <w:lang w:val="en-US"/>
              </w:rPr>
              <w:t xml:space="preserve"> </w:t>
            </w:r>
            <w:r>
              <w:rPr>
                <w:rFonts w:ascii="Symbol" w:hAnsi="Symbol"/>
                <w:lang w:val="fr-FR"/>
              </w:rPr>
              <w:t></w:t>
            </w:r>
            <w:r>
              <w:rPr>
                <w:lang w:val="en-US"/>
              </w:rPr>
              <w:t xml:space="preserve"> –15 dB</w:t>
            </w:r>
          </w:p>
        </w:tc>
      </w:tr>
      <w:tr w:rsidR="00B230E8" w14:paraId="7F43ED2D" w14:textId="77777777">
        <w:tblPrEx>
          <w:tblCellMar>
            <w:top w:w="0" w:type="dxa"/>
            <w:bottom w:w="0" w:type="dxa"/>
          </w:tblCellMar>
        </w:tblPrEx>
        <w:trPr>
          <w:cantSplit/>
          <w:jc w:val="center"/>
        </w:trPr>
        <w:tc>
          <w:tcPr>
            <w:tcW w:w="4536" w:type="dxa"/>
            <w:tcBorders>
              <w:left w:val="single" w:sz="6" w:space="0" w:color="auto"/>
              <w:right w:val="single" w:sz="6" w:space="0" w:color="auto"/>
            </w:tcBorders>
          </w:tcPr>
          <w:p w14:paraId="0425885D" w14:textId="77777777" w:rsidR="00B230E8" w:rsidRDefault="00B230E8" w:rsidP="00A96126">
            <w:pPr>
              <w:pStyle w:val="TableText0"/>
              <w:spacing w:before="60" w:after="60"/>
              <w:jc w:val="left"/>
              <w:rPr>
                <w:lang w:val="es-ES_tradnl"/>
              </w:rPr>
            </w:pPr>
            <w:r>
              <w:rPr>
                <w:lang w:val="es-ES_tradnl"/>
              </w:rPr>
              <w:t>(Incremento de 10° en el temblor de fase de cresta)</w:t>
            </w:r>
          </w:p>
        </w:tc>
        <w:tc>
          <w:tcPr>
            <w:tcW w:w="1701" w:type="dxa"/>
            <w:tcBorders>
              <w:top w:val="single" w:sz="6" w:space="0" w:color="auto"/>
              <w:bottom w:val="single" w:sz="6" w:space="0" w:color="auto"/>
              <w:right w:val="single" w:sz="6" w:space="0" w:color="auto"/>
            </w:tcBorders>
          </w:tcPr>
          <w:p w14:paraId="2EED1D78" w14:textId="77777777" w:rsidR="00B230E8" w:rsidRDefault="00B230E8" w:rsidP="00A96126">
            <w:pPr>
              <w:pStyle w:val="TableText0"/>
              <w:spacing w:before="60" w:after="60"/>
              <w:jc w:val="left"/>
              <w:rPr>
                <w:lang w:val="es-ES_tradnl"/>
              </w:rPr>
            </w:pPr>
            <w:r>
              <w:rPr>
                <w:lang w:val="es-ES_tradnl"/>
              </w:rPr>
              <w:t>Tipo ruido</w:t>
            </w:r>
          </w:p>
        </w:tc>
        <w:tc>
          <w:tcPr>
            <w:tcW w:w="1418" w:type="dxa"/>
            <w:tcBorders>
              <w:top w:val="single" w:sz="6" w:space="0" w:color="auto"/>
              <w:left w:val="single" w:sz="6" w:space="0" w:color="auto"/>
              <w:bottom w:val="single" w:sz="6" w:space="0" w:color="auto"/>
              <w:right w:val="single" w:sz="6" w:space="0" w:color="auto"/>
            </w:tcBorders>
          </w:tcPr>
          <w:p w14:paraId="59905B96" w14:textId="77777777" w:rsidR="00B230E8" w:rsidRDefault="00B230E8" w:rsidP="00A96126">
            <w:pPr>
              <w:pStyle w:val="TableText0"/>
              <w:spacing w:before="60" w:after="60"/>
              <w:jc w:val="left"/>
              <w:rPr>
                <w:lang w:val="es-ES_tradnl"/>
              </w:rPr>
            </w:pPr>
            <w:r>
              <w:rPr>
                <w:lang w:val="es-ES_tradnl"/>
              </w:rPr>
              <w:t>Fig. 8 y cálculos</w:t>
            </w:r>
          </w:p>
        </w:tc>
        <w:tc>
          <w:tcPr>
            <w:tcW w:w="1701" w:type="dxa"/>
            <w:tcBorders>
              <w:top w:val="single" w:sz="6" w:space="0" w:color="auto"/>
              <w:left w:val="single" w:sz="6" w:space="0" w:color="auto"/>
              <w:bottom w:val="single" w:sz="6" w:space="0" w:color="auto"/>
              <w:right w:val="single" w:sz="6" w:space="0" w:color="auto"/>
            </w:tcBorders>
          </w:tcPr>
          <w:p w14:paraId="12165EEA" w14:textId="77777777" w:rsidR="00B230E8" w:rsidRDefault="00B230E8" w:rsidP="00A96126">
            <w:pPr>
              <w:pStyle w:val="TableText0"/>
              <w:spacing w:before="60" w:after="60"/>
              <w:jc w:val="left"/>
              <w:rPr>
                <w:lang w:val="en-US"/>
              </w:rPr>
            </w:pPr>
            <w:r>
              <w:rPr>
                <w:i/>
                <w:lang w:val="en-US"/>
              </w:rPr>
              <w:t>I</w:t>
            </w:r>
            <w:r w:rsidR="00F37FE0" w:rsidRPr="00F37FE0">
              <w:rPr>
                <w:szCs w:val="18"/>
                <w:vertAlign w:val="subscript"/>
                <w:lang w:val="en-US"/>
              </w:rPr>
              <w:t>0</w:t>
            </w:r>
            <w:r>
              <w:rPr>
                <w:lang w:val="en-US"/>
              </w:rPr>
              <w:t>/</w:t>
            </w:r>
            <w:r>
              <w:rPr>
                <w:i/>
                <w:lang w:val="en-US"/>
              </w:rPr>
              <w:t>N</w:t>
            </w:r>
            <w:r w:rsidR="00F37FE0" w:rsidRPr="00F37FE0">
              <w:rPr>
                <w:szCs w:val="18"/>
                <w:vertAlign w:val="subscript"/>
                <w:lang w:val="en-US"/>
              </w:rPr>
              <w:t>0</w:t>
            </w:r>
            <w:r>
              <w:rPr>
                <w:lang w:val="en-US"/>
              </w:rPr>
              <w:t xml:space="preserve"> </w:t>
            </w:r>
            <w:r>
              <w:rPr>
                <w:rFonts w:ascii="Symbol" w:hAnsi="Symbol"/>
                <w:lang w:val="fr-FR"/>
              </w:rPr>
              <w:t></w:t>
            </w:r>
            <w:r>
              <w:rPr>
                <w:lang w:val="en-US"/>
              </w:rPr>
              <w:t xml:space="preserve"> </w:t>
            </w:r>
            <w:r>
              <w:rPr>
                <w:rFonts w:ascii="Symbol" w:hAnsi="Symbol"/>
                <w:lang w:val="fr-FR"/>
              </w:rPr>
              <w:t></w:t>
            </w:r>
            <w:r>
              <w:rPr>
                <w:lang w:val="en-US"/>
              </w:rPr>
              <w:t>2,3 dB</w:t>
            </w:r>
          </w:p>
        </w:tc>
      </w:tr>
      <w:tr w:rsidR="00B230E8" w14:paraId="49E47299" w14:textId="77777777">
        <w:tblPrEx>
          <w:tblCellMar>
            <w:top w:w="0" w:type="dxa"/>
            <w:bottom w:w="0" w:type="dxa"/>
          </w:tblCellMar>
        </w:tblPrEx>
        <w:trPr>
          <w:cantSplit/>
          <w:jc w:val="center"/>
        </w:trPr>
        <w:tc>
          <w:tcPr>
            <w:tcW w:w="4536" w:type="dxa"/>
            <w:tcBorders>
              <w:top w:val="single" w:sz="6" w:space="0" w:color="auto"/>
              <w:left w:val="single" w:sz="6" w:space="0" w:color="auto"/>
              <w:right w:val="single" w:sz="6" w:space="0" w:color="auto"/>
            </w:tcBorders>
          </w:tcPr>
          <w:p w14:paraId="6BEEE410" w14:textId="77777777" w:rsidR="00B230E8" w:rsidRDefault="00B230E8" w:rsidP="00A96126">
            <w:pPr>
              <w:pStyle w:val="TableText0"/>
              <w:spacing w:before="60" w:after="60"/>
              <w:jc w:val="left"/>
              <w:rPr>
                <w:lang w:val="es-ES_tradnl"/>
              </w:rPr>
            </w:pPr>
            <w:r>
              <w:rPr>
                <w:i/>
                <w:lang w:val="es-ES_tradnl"/>
              </w:rPr>
              <w:t>Telemedida</w:t>
            </w:r>
          </w:p>
          <w:p w14:paraId="46B01872" w14:textId="77777777" w:rsidR="00B230E8" w:rsidRDefault="00B230E8" w:rsidP="00A96126">
            <w:pPr>
              <w:pStyle w:val="TableText0"/>
              <w:spacing w:before="60" w:after="60"/>
              <w:jc w:val="left"/>
              <w:rPr>
                <w:lang w:val="es-ES_tradnl"/>
              </w:rPr>
            </w:pPr>
            <w:r>
              <w:rPr>
                <w:lang w:val="es-ES_tradnl"/>
              </w:rPr>
              <w:t>(</w:t>
            </w:r>
            <w:r>
              <w:rPr>
                <w:i/>
                <w:lang w:val="es-ES_tradnl"/>
              </w:rPr>
              <w:t>E</w:t>
            </w:r>
            <w:r>
              <w:rPr>
                <w:lang w:val="es-ES_tradnl"/>
              </w:rPr>
              <w:t>/</w:t>
            </w:r>
            <w:r>
              <w:rPr>
                <w:i/>
                <w:lang w:val="es-ES_tradnl"/>
              </w:rPr>
              <w:t>N</w:t>
            </w:r>
            <w:r>
              <w:rPr>
                <w:position w:val="-3"/>
                <w:sz w:val="14"/>
                <w:lang w:val="es-ES_tradnl"/>
              </w:rPr>
              <w:t>0</w:t>
            </w:r>
            <w:r>
              <w:rPr>
                <w:lang w:val="es-ES_tradnl"/>
              </w:rPr>
              <w:t xml:space="preserve"> de 1 dB por efecto de interferencia en</w:t>
            </w:r>
            <w:r>
              <w:rPr>
                <w:lang w:val="es-ES_tradnl"/>
              </w:rPr>
              <w:br/>
              <w:t>el bucle de seguimiento de portadora)</w:t>
            </w:r>
          </w:p>
        </w:tc>
        <w:tc>
          <w:tcPr>
            <w:tcW w:w="1701" w:type="dxa"/>
            <w:tcBorders>
              <w:top w:val="single" w:sz="6" w:space="0" w:color="auto"/>
              <w:bottom w:val="single" w:sz="6" w:space="0" w:color="auto"/>
              <w:right w:val="single" w:sz="6" w:space="0" w:color="auto"/>
            </w:tcBorders>
          </w:tcPr>
          <w:p w14:paraId="6CA6B723" w14:textId="77777777" w:rsidR="00B230E8" w:rsidRDefault="00F37FE0" w:rsidP="00A96126">
            <w:pPr>
              <w:pStyle w:val="TableText0"/>
              <w:spacing w:before="340" w:after="60"/>
            </w:pPr>
            <w:r>
              <w:t>CW</w:t>
            </w:r>
          </w:p>
        </w:tc>
        <w:tc>
          <w:tcPr>
            <w:tcW w:w="1418" w:type="dxa"/>
            <w:tcBorders>
              <w:top w:val="single" w:sz="6" w:space="0" w:color="auto"/>
              <w:left w:val="single" w:sz="6" w:space="0" w:color="auto"/>
              <w:bottom w:val="single" w:sz="6" w:space="0" w:color="auto"/>
              <w:right w:val="single" w:sz="6" w:space="0" w:color="auto"/>
            </w:tcBorders>
          </w:tcPr>
          <w:p w14:paraId="52CC9EDE" w14:textId="77777777" w:rsidR="00B230E8" w:rsidRDefault="00B230E8" w:rsidP="00A96126">
            <w:pPr>
              <w:pStyle w:val="TableText0"/>
              <w:spacing w:before="340" w:after="60"/>
              <w:jc w:val="left"/>
              <w:rPr>
                <w:lang w:val="en-US"/>
              </w:rPr>
            </w:pPr>
            <w:r>
              <w:t>Fig. 5</w:t>
            </w:r>
          </w:p>
        </w:tc>
        <w:tc>
          <w:tcPr>
            <w:tcW w:w="1701" w:type="dxa"/>
            <w:tcBorders>
              <w:top w:val="single" w:sz="6" w:space="0" w:color="auto"/>
              <w:left w:val="single" w:sz="6" w:space="0" w:color="auto"/>
              <w:bottom w:val="single" w:sz="6" w:space="0" w:color="auto"/>
              <w:right w:val="single" w:sz="6" w:space="0" w:color="auto"/>
            </w:tcBorders>
          </w:tcPr>
          <w:p w14:paraId="0EF78CE2" w14:textId="77777777" w:rsidR="00B230E8" w:rsidRDefault="00B230E8" w:rsidP="00A96126">
            <w:pPr>
              <w:pStyle w:val="TableText0"/>
              <w:spacing w:before="340" w:after="60"/>
              <w:jc w:val="left"/>
              <w:rPr>
                <w:lang w:val="en-US"/>
              </w:rPr>
            </w:pPr>
            <w:r>
              <w:rPr>
                <w:i/>
                <w:lang w:val="en-US"/>
              </w:rPr>
              <w:t>I</w:t>
            </w:r>
            <w:r>
              <w:rPr>
                <w:lang w:val="en-US"/>
              </w:rPr>
              <w:t>/</w:t>
            </w:r>
            <w:r>
              <w:rPr>
                <w:i/>
                <w:lang w:val="en-US"/>
              </w:rPr>
              <w:t>C</w:t>
            </w:r>
            <w:r>
              <w:rPr>
                <w:lang w:val="en-US"/>
              </w:rPr>
              <w:t xml:space="preserve"> </w:t>
            </w:r>
            <w:r>
              <w:rPr>
                <w:rFonts w:ascii="Symbol" w:hAnsi="Symbol"/>
                <w:lang w:val="fr-FR"/>
              </w:rPr>
              <w:t></w:t>
            </w:r>
            <w:r>
              <w:rPr>
                <w:lang w:val="en-US"/>
              </w:rPr>
              <w:t xml:space="preserve"> –1,5 dB</w:t>
            </w:r>
          </w:p>
        </w:tc>
      </w:tr>
      <w:tr w:rsidR="00B230E8" w14:paraId="07A9A538" w14:textId="77777777">
        <w:tblPrEx>
          <w:tblCellMar>
            <w:top w:w="0" w:type="dxa"/>
            <w:bottom w:w="0" w:type="dxa"/>
          </w:tblCellMar>
        </w:tblPrEx>
        <w:trPr>
          <w:cantSplit/>
          <w:jc w:val="center"/>
        </w:trPr>
        <w:tc>
          <w:tcPr>
            <w:tcW w:w="4536" w:type="dxa"/>
            <w:tcBorders>
              <w:top w:val="single" w:sz="6" w:space="0" w:color="auto"/>
              <w:left w:val="single" w:sz="6" w:space="0" w:color="auto"/>
              <w:right w:val="single" w:sz="6" w:space="0" w:color="auto"/>
            </w:tcBorders>
          </w:tcPr>
          <w:p w14:paraId="5C0D2FC5" w14:textId="77777777" w:rsidR="00B230E8" w:rsidRDefault="00B230E8" w:rsidP="00A96126">
            <w:pPr>
              <w:pStyle w:val="TableText0"/>
              <w:spacing w:before="60" w:after="60"/>
              <w:jc w:val="left"/>
              <w:rPr>
                <w:i/>
                <w:lang w:val="es-ES_tradnl"/>
              </w:rPr>
            </w:pPr>
            <w:r>
              <w:rPr>
                <w:i/>
                <w:lang w:val="es-ES_tradnl"/>
              </w:rPr>
              <w:t>Telemedida</w:t>
            </w:r>
          </w:p>
        </w:tc>
        <w:tc>
          <w:tcPr>
            <w:tcW w:w="1701" w:type="dxa"/>
            <w:tcBorders>
              <w:top w:val="single" w:sz="6" w:space="0" w:color="auto"/>
              <w:bottom w:val="single" w:sz="6" w:space="0" w:color="auto"/>
              <w:right w:val="single" w:sz="6" w:space="0" w:color="auto"/>
            </w:tcBorders>
          </w:tcPr>
          <w:p w14:paraId="00EE90C1" w14:textId="77777777" w:rsidR="00B230E8" w:rsidRDefault="00F37FE0" w:rsidP="00A96126">
            <w:pPr>
              <w:pStyle w:val="TableText0"/>
              <w:spacing w:before="60" w:after="60"/>
              <w:jc w:val="left"/>
              <w:rPr>
                <w:lang w:val="es-ES_tradnl"/>
              </w:rPr>
            </w:pPr>
            <w:r>
              <w:t>CW</w:t>
            </w:r>
          </w:p>
        </w:tc>
        <w:tc>
          <w:tcPr>
            <w:tcW w:w="1418" w:type="dxa"/>
            <w:tcBorders>
              <w:top w:val="single" w:sz="6" w:space="0" w:color="auto"/>
              <w:left w:val="single" w:sz="6" w:space="0" w:color="auto"/>
              <w:bottom w:val="single" w:sz="6" w:space="0" w:color="auto"/>
              <w:right w:val="single" w:sz="6" w:space="0" w:color="auto"/>
            </w:tcBorders>
          </w:tcPr>
          <w:p w14:paraId="5B33FD13" w14:textId="77777777" w:rsidR="00B230E8" w:rsidRDefault="00B230E8" w:rsidP="00A96126">
            <w:pPr>
              <w:pStyle w:val="TableText0"/>
              <w:spacing w:before="60" w:after="60"/>
              <w:jc w:val="left"/>
              <w:rPr>
                <w:lang w:val="en-US"/>
              </w:rPr>
            </w:pPr>
            <w:r>
              <w:rPr>
                <w:lang w:val="en-US"/>
              </w:rPr>
              <w:t>Fig. 4</w:t>
            </w:r>
          </w:p>
        </w:tc>
        <w:tc>
          <w:tcPr>
            <w:tcW w:w="1701" w:type="dxa"/>
            <w:tcBorders>
              <w:top w:val="single" w:sz="6" w:space="0" w:color="auto"/>
              <w:left w:val="single" w:sz="6" w:space="0" w:color="auto"/>
              <w:bottom w:val="single" w:sz="6" w:space="0" w:color="auto"/>
              <w:right w:val="single" w:sz="6" w:space="0" w:color="auto"/>
            </w:tcBorders>
          </w:tcPr>
          <w:p w14:paraId="7480AE3F" w14:textId="77777777" w:rsidR="00B230E8" w:rsidRDefault="00B230E8" w:rsidP="00A96126">
            <w:pPr>
              <w:pStyle w:val="TableText0"/>
              <w:spacing w:before="60" w:after="60"/>
              <w:jc w:val="left"/>
              <w:rPr>
                <w:lang w:val="en-US"/>
              </w:rPr>
            </w:pPr>
            <w:r>
              <w:rPr>
                <w:i/>
                <w:lang w:val="en-US"/>
              </w:rPr>
              <w:t>I</w:t>
            </w:r>
            <w:r>
              <w:rPr>
                <w:lang w:val="en-US"/>
              </w:rPr>
              <w:t>/</w:t>
            </w:r>
            <w:r>
              <w:rPr>
                <w:i/>
                <w:lang w:val="en-US"/>
              </w:rPr>
              <w:t>S</w:t>
            </w:r>
            <w:r>
              <w:rPr>
                <w:lang w:val="en-US"/>
              </w:rPr>
              <w:t xml:space="preserve"> </w:t>
            </w:r>
            <w:r>
              <w:rPr>
                <w:rFonts w:ascii="Symbol" w:hAnsi="Symbol"/>
                <w:lang w:val="fr-FR"/>
              </w:rPr>
              <w:t></w:t>
            </w:r>
            <w:r>
              <w:rPr>
                <w:lang w:val="en-US"/>
              </w:rPr>
              <w:t xml:space="preserve"> –11 dB</w:t>
            </w:r>
          </w:p>
        </w:tc>
      </w:tr>
      <w:tr w:rsidR="00B230E8" w14:paraId="700A8F3E" w14:textId="77777777">
        <w:tblPrEx>
          <w:tblCellMar>
            <w:top w:w="0" w:type="dxa"/>
            <w:bottom w:w="0" w:type="dxa"/>
          </w:tblCellMar>
        </w:tblPrEx>
        <w:trPr>
          <w:cantSplit/>
          <w:jc w:val="center"/>
        </w:trPr>
        <w:tc>
          <w:tcPr>
            <w:tcW w:w="4536" w:type="dxa"/>
            <w:tcBorders>
              <w:left w:val="single" w:sz="6" w:space="0" w:color="auto"/>
              <w:right w:val="single" w:sz="6" w:space="0" w:color="auto"/>
            </w:tcBorders>
          </w:tcPr>
          <w:p w14:paraId="1234126A" w14:textId="77777777" w:rsidR="00B230E8" w:rsidRDefault="00B230E8" w:rsidP="00A96126">
            <w:pPr>
              <w:pStyle w:val="TableText0"/>
              <w:spacing w:before="60" w:after="60"/>
              <w:jc w:val="left"/>
              <w:rPr>
                <w:lang w:val="es-ES_tradnl"/>
              </w:rPr>
            </w:pPr>
            <w:r>
              <w:rPr>
                <w:lang w:val="es-ES_tradnl"/>
              </w:rPr>
              <w:t>(</w:t>
            </w:r>
            <w:r>
              <w:rPr>
                <w:i/>
                <w:lang w:val="es-ES_tradnl"/>
              </w:rPr>
              <w:t>E</w:t>
            </w:r>
            <w:r>
              <w:rPr>
                <w:lang w:val="es-ES_tradnl"/>
              </w:rPr>
              <w:t>/</w:t>
            </w:r>
            <w:r>
              <w:rPr>
                <w:i/>
                <w:lang w:val="es-ES_tradnl"/>
              </w:rPr>
              <w:t>N</w:t>
            </w:r>
            <w:r>
              <w:rPr>
                <w:position w:val="-3"/>
                <w:sz w:val="14"/>
                <w:lang w:val="es-ES_tradnl"/>
              </w:rPr>
              <w:t>0</w:t>
            </w:r>
            <w:r>
              <w:rPr>
                <w:lang w:val="es-ES_tradnl"/>
              </w:rPr>
              <w:t xml:space="preserve"> de 1 dB por efecto de interferencia en</w:t>
            </w:r>
            <w:r>
              <w:rPr>
                <w:lang w:val="es-ES_tradnl"/>
              </w:rPr>
              <w:br/>
              <w:t>la anchura de banda de detección de telemedida)</w:t>
            </w:r>
          </w:p>
        </w:tc>
        <w:tc>
          <w:tcPr>
            <w:tcW w:w="1701" w:type="dxa"/>
            <w:tcBorders>
              <w:top w:val="single" w:sz="6" w:space="0" w:color="auto"/>
              <w:bottom w:val="single" w:sz="6" w:space="0" w:color="auto"/>
              <w:right w:val="single" w:sz="6" w:space="0" w:color="auto"/>
            </w:tcBorders>
          </w:tcPr>
          <w:p w14:paraId="72B32168" w14:textId="77777777" w:rsidR="00B230E8" w:rsidRDefault="00B230E8" w:rsidP="00A96126">
            <w:pPr>
              <w:pStyle w:val="TableText0"/>
              <w:spacing w:before="60" w:after="60"/>
              <w:jc w:val="left"/>
              <w:rPr>
                <w:lang w:val="es-ES_tradnl"/>
              </w:rPr>
            </w:pPr>
            <w:r>
              <w:rPr>
                <w:lang w:val="es-ES_tradnl"/>
              </w:rPr>
              <w:t>Tipo ruido</w:t>
            </w:r>
          </w:p>
        </w:tc>
        <w:tc>
          <w:tcPr>
            <w:tcW w:w="1418" w:type="dxa"/>
            <w:tcBorders>
              <w:top w:val="single" w:sz="6" w:space="0" w:color="auto"/>
              <w:left w:val="single" w:sz="6" w:space="0" w:color="auto"/>
              <w:bottom w:val="single" w:sz="6" w:space="0" w:color="auto"/>
              <w:right w:val="single" w:sz="6" w:space="0" w:color="auto"/>
            </w:tcBorders>
          </w:tcPr>
          <w:p w14:paraId="5D1575C3" w14:textId="77777777" w:rsidR="00B230E8" w:rsidRDefault="00B230E8" w:rsidP="00A96126">
            <w:pPr>
              <w:pStyle w:val="TableText0"/>
              <w:spacing w:before="60" w:after="60"/>
              <w:jc w:val="left"/>
              <w:rPr>
                <w:lang w:val="es-ES_tradnl"/>
              </w:rPr>
            </w:pPr>
            <w:r>
              <w:rPr>
                <w:lang w:val="es-ES_tradnl"/>
              </w:rPr>
              <w:t>Cálculo</w:t>
            </w:r>
          </w:p>
        </w:tc>
        <w:tc>
          <w:tcPr>
            <w:tcW w:w="1701" w:type="dxa"/>
            <w:tcBorders>
              <w:top w:val="single" w:sz="6" w:space="0" w:color="auto"/>
              <w:left w:val="single" w:sz="6" w:space="0" w:color="auto"/>
              <w:bottom w:val="single" w:sz="6" w:space="0" w:color="auto"/>
              <w:right w:val="single" w:sz="6" w:space="0" w:color="auto"/>
            </w:tcBorders>
          </w:tcPr>
          <w:p w14:paraId="1B5391BC" w14:textId="77777777" w:rsidR="00B230E8" w:rsidRDefault="00B230E8" w:rsidP="00A96126">
            <w:pPr>
              <w:pStyle w:val="TableText0"/>
              <w:spacing w:before="60" w:after="60"/>
              <w:jc w:val="left"/>
              <w:rPr>
                <w:lang w:val="en-US"/>
              </w:rPr>
            </w:pPr>
            <w:r>
              <w:rPr>
                <w:i/>
                <w:lang w:val="en-US"/>
              </w:rPr>
              <w:t>I</w:t>
            </w:r>
            <w:r>
              <w:rPr>
                <w:lang w:val="en-US"/>
              </w:rPr>
              <w:t>/</w:t>
            </w:r>
            <w:r>
              <w:rPr>
                <w:i/>
                <w:lang w:val="en-US"/>
              </w:rPr>
              <w:t>N</w:t>
            </w:r>
            <w:r>
              <w:rPr>
                <w:lang w:val="en-US"/>
              </w:rPr>
              <w:t xml:space="preserve"> </w:t>
            </w:r>
            <w:r>
              <w:rPr>
                <w:rFonts w:ascii="Symbol" w:hAnsi="Symbol"/>
                <w:lang w:val="fr-FR"/>
              </w:rPr>
              <w:t></w:t>
            </w:r>
            <w:r>
              <w:rPr>
                <w:lang w:val="en-US"/>
              </w:rPr>
              <w:t xml:space="preserve"> –5,9 dB</w:t>
            </w:r>
          </w:p>
        </w:tc>
      </w:tr>
      <w:tr w:rsidR="00B230E8" w14:paraId="7E67526E" w14:textId="77777777">
        <w:tblPrEx>
          <w:tblCellMar>
            <w:top w:w="0" w:type="dxa"/>
            <w:bottom w:w="0" w:type="dxa"/>
          </w:tblCellMar>
        </w:tblPrEx>
        <w:trPr>
          <w:cantSplit/>
          <w:jc w:val="center"/>
        </w:trPr>
        <w:tc>
          <w:tcPr>
            <w:tcW w:w="4536" w:type="dxa"/>
            <w:tcBorders>
              <w:top w:val="single" w:sz="6" w:space="0" w:color="auto"/>
              <w:left w:val="single" w:sz="6" w:space="0" w:color="auto"/>
              <w:bottom w:val="single" w:sz="6" w:space="0" w:color="auto"/>
              <w:right w:val="single" w:sz="6" w:space="0" w:color="auto"/>
            </w:tcBorders>
          </w:tcPr>
          <w:p w14:paraId="60263555" w14:textId="77777777" w:rsidR="00B230E8" w:rsidRDefault="00B230E8" w:rsidP="00A96126">
            <w:pPr>
              <w:pStyle w:val="TableText0"/>
              <w:spacing w:before="60" w:after="60"/>
              <w:jc w:val="left"/>
              <w:rPr>
                <w:lang w:val="es-ES_tradnl"/>
              </w:rPr>
            </w:pPr>
            <w:r>
              <w:rPr>
                <w:i/>
                <w:lang w:val="es-ES_tradnl"/>
              </w:rPr>
              <w:t>Determinación de distancia</w:t>
            </w:r>
          </w:p>
          <w:p w14:paraId="34D8E8CD" w14:textId="77777777" w:rsidR="00B230E8" w:rsidRDefault="00B230E8" w:rsidP="00A96126">
            <w:pPr>
              <w:pStyle w:val="TableText0"/>
              <w:spacing w:before="60" w:after="60"/>
              <w:jc w:val="left"/>
              <w:rPr>
                <w:lang w:val="es-ES_tradnl"/>
              </w:rPr>
            </w:pPr>
            <w:r>
              <w:rPr>
                <w:lang w:val="es-ES_tradnl"/>
              </w:rPr>
              <w:t>(</w:t>
            </w:r>
            <w:r>
              <w:rPr>
                <w:i/>
                <w:lang w:val="es-ES_tradnl"/>
              </w:rPr>
              <w:t>E</w:t>
            </w:r>
            <w:r>
              <w:rPr>
                <w:lang w:val="es-ES_tradnl"/>
              </w:rPr>
              <w:t>/</w:t>
            </w:r>
            <w:r>
              <w:rPr>
                <w:i/>
                <w:lang w:val="es-ES_tradnl"/>
              </w:rPr>
              <w:t>N</w:t>
            </w:r>
            <w:r>
              <w:rPr>
                <w:position w:val="-3"/>
                <w:sz w:val="14"/>
                <w:lang w:val="es-ES_tradnl"/>
              </w:rPr>
              <w:t>0</w:t>
            </w:r>
            <w:r>
              <w:rPr>
                <w:lang w:val="es-ES_tradnl"/>
              </w:rPr>
              <w:t xml:space="preserve"> de 1 dB por efecto de interferencia en</w:t>
            </w:r>
            <w:r>
              <w:rPr>
                <w:lang w:val="es-ES_tradnl"/>
              </w:rPr>
              <w:br/>
              <w:t>el bucle de seguimiento de portadora)</w:t>
            </w:r>
          </w:p>
        </w:tc>
        <w:tc>
          <w:tcPr>
            <w:tcW w:w="1701" w:type="dxa"/>
            <w:tcBorders>
              <w:top w:val="single" w:sz="6" w:space="0" w:color="auto"/>
              <w:bottom w:val="single" w:sz="6" w:space="0" w:color="auto"/>
              <w:right w:val="single" w:sz="6" w:space="0" w:color="auto"/>
            </w:tcBorders>
          </w:tcPr>
          <w:p w14:paraId="0067E209" w14:textId="77777777" w:rsidR="00B230E8" w:rsidRDefault="00F37FE0" w:rsidP="00A96126">
            <w:pPr>
              <w:pStyle w:val="TableText0"/>
              <w:spacing w:before="340" w:after="60"/>
              <w:jc w:val="left"/>
              <w:rPr>
                <w:lang w:val="en-US"/>
              </w:rPr>
            </w:pPr>
            <w:r>
              <w:t>CW</w:t>
            </w:r>
          </w:p>
        </w:tc>
        <w:tc>
          <w:tcPr>
            <w:tcW w:w="1418" w:type="dxa"/>
            <w:tcBorders>
              <w:top w:val="single" w:sz="6" w:space="0" w:color="auto"/>
              <w:left w:val="single" w:sz="6" w:space="0" w:color="auto"/>
              <w:bottom w:val="single" w:sz="6" w:space="0" w:color="auto"/>
              <w:right w:val="single" w:sz="6" w:space="0" w:color="auto"/>
            </w:tcBorders>
          </w:tcPr>
          <w:p w14:paraId="2C57136A" w14:textId="77777777" w:rsidR="00B230E8" w:rsidRDefault="00B230E8" w:rsidP="00A96126">
            <w:pPr>
              <w:pStyle w:val="TableText0"/>
              <w:spacing w:before="340" w:after="60"/>
              <w:jc w:val="left"/>
              <w:rPr>
                <w:lang w:val="en-US"/>
              </w:rPr>
            </w:pPr>
            <w:r>
              <w:rPr>
                <w:lang w:val="en-US"/>
              </w:rPr>
              <w:t>Fig. 6</w:t>
            </w:r>
          </w:p>
        </w:tc>
        <w:tc>
          <w:tcPr>
            <w:tcW w:w="1701" w:type="dxa"/>
            <w:tcBorders>
              <w:top w:val="single" w:sz="6" w:space="0" w:color="auto"/>
              <w:left w:val="single" w:sz="6" w:space="0" w:color="auto"/>
              <w:bottom w:val="single" w:sz="6" w:space="0" w:color="auto"/>
              <w:right w:val="single" w:sz="6" w:space="0" w:color="auto"/>
            </w:tcBorders>
          </w:tcPr>
          <w:p w14:paraId="2390A06E" w14:textId="77777777" w:rsidR="00B230E8" w:rsidRDefault="00B230E8" w:rsidP="00A96126">
            <w:pPr>
              <w:pStyle w:val="TableText0"/>
              <w:spacing w:before="340" w:after="60"/>
              <w:jc w:val="left"/>
              <w:rPr>
                <w:lang w:val="en-US"/>
              </w:rPr>
            </w:pPr>
            <w:r>
              <w:rPr>
                <w:i/>
                <w:lang w:val="en-US"/>
              </w:rPr>
              <w:t>I</w:t>
            </w:r>
            <w:r>
              <w:rPr>
                <w:lang w:val="en-US"/>
              </w:rPr>
              <w:t>/</w:t>
            </w:r>
            <w:r>
              <w:rPr>
                <w:i/>
                <w:lang w:val="en-US"/>
              </w:rPr>
              <w:t>C</w:t>
            </w:r>
            <w:r>
              <w:rPr>
                <w:lang w:val="en-US"/>
              </w:rPr>
              <w:t xml:space="preserve"> </w:t>
            </w:r>
            <w:r>
              <w:rPr>
                <w:rFonts w:ascii="Symbol" w:hAnsi="Symbol"/>
                <w:lang w:val="fr-FR"/>
              </w:rPr>
              <w:t></w:t>
            </w:r>
            <w:r>
              <w:rPr>
                <w:lang w:val="en-US"/>
              </w:rPr>
              <w:t xml:space="preserve"> –5 dB</w:t>
            </w:r>
          </w:p>
        </w:tc>
      </w:tr>
      <w:tr w:rsidR="00B230E8" w14:paraId="0609D45C" w14:textId="77777777">
        <w:tblPrEx>
          <w:tblCellMar>
            <w:top w:w="0" w:type="dxa"/>
            <w:bottom w:w="0" w:type="dxa"/>
          </w:tblCellMar>
        </w:tblPrEx>
        <w:trPr>
          <w:cantSplit/>
          <w:jc w:val="center"/>
        </w:trPr>
        <w:tc>
          <w:tcPr>
            <w:tcW w:w="4536" w:type="dxa"/>
            <w:tcBorders>
              <w:left w:val="single" w:sz="6" w:space="0" w:color="auto"/>
              <w:right w:val="single" w:sz="6" w:space="0" w:color="auto"/>
            </w:tcBorders>
          </w:tcPr>
          <w:p w14:paraId="5CD2482F" w14:textId="77777777" w:rsidR="00B230E8" w:rsidRDefault="00B230E8" w:rsidP="00A96126">
            <w:pPr>
              <w:pStyle w:val="TableText0"/>
              <w:rPr>
                <w:i/>
                <w:lang w:val="es-ES_tradnl"/>
              </w:rPr>
            </w:pPr>
            <w:r>
              <w:rPr>
                <w:i/>
                <w:lang w:val="es-ES_tradnl"/>
              </w:rPr>
              <w:t>Determinación de distancia</w:t>
            </w:r>
          </w:p>
        </w:tc>
        <w:tc>
          <w:tcPr>
            <w:tcW w:w="1701" w:type="dxa"/>
            <w:tcBorders>
              <w:top w:val="single" w:sz="6" w:space="0" w:color="auto"/>
              <w:bottom w:val="single" w:sz="6" w:space="0" w:color="auto"/>
              <w:right w:val="single" w:sz="6" w:space="0" w:color="auto"/>
            </w:tcBorders>
          </w:tcPr>
          <w:p w14:paraId="0A282797" w14:textId="77777777" w:rsidR="00B230E8" w:rsidRDefault="00F37FE0" w:rsidP="00A96126">
            <w:pPr>
              <w:pStyle w:val="TableText0"/>
              <w:spacing w:before="60" w:after="60"/>
              <w:jc w:val="left"/>
              <w:rPr>
                <w:lang w:val="en-US"/>
              </w:rPr>
            </w:pPr>
            <w:r>
              <w:t>CW</w:t>
            </w:r>
          </w:p>
        </w:tc>
        <w:tc>
          <w:tcPr>
            <w:tcW w:w="1418" w:type="dxa"/>
            <w:tcBorders>
              <w:top w:val="single" w:sz="6" w:space="0" w:color="auto"/>
              <w:left w:val="single" w:sz="6" w:space="0" w:color="auto"/>
              <w:bottom w:val="single" w:sz="6" w:space="0" w:color="auto"/>
              <w:right w:val="single" w:sz="6" w:space="0" w:color="auto"/>
            </w:tcBorders>
          </w:tcPr>
          <w:p w14:paraId="418390A4" w14:textId="77777777" w:rsidR="00B230E8" w:rsidRDefault="00B230E8" w:rsidP="00A96126">
            <w:pPr>
              <w:pStyle w:val="TableText0"/>
              <w:spacing w:before="60" w:after="60"/>
              <w:jc w:val="left"/>
              <w:rPr>
                <w:lang w:val="en-US"/>
              </w:rPr>
            </w:pPr>
            <w:r>
              <w:rPr>
                <w:lang w:val="en-US"/>
              </w:rPr>
              <w:t>Fig. 7</w:t>
            </w:r>
          </w:p>
        </w:tc>
        <w:tc>
          <w:tcPr>
            <w:tcW w:w="1701" w:type="dxa"/>
            <w:tcBorders>
              <w:top w:val="single" w:sz="6" w:space="0" w:color="auto"/>
              <w:left w:val="single" w:sz="6" w:space="0" w:color="auto"/>
              <w:bottom w:val="single" w:sz="6" w:space="0" w:color="auto"/>
              <w:right w:val="single" w:sz="6" w:space="0" w:color="auto"/>
            </w:tcBorders>
          </w:tcPr>
          <w:p w14:paraId="6F50B3AD" w14:textId="77777777" w:rsidR="00B230E8" w:rsidRDefault="00B230E8" w:rsidP="00A96126">
            <w:pPr>
              <w:pStyle w:val="TableText0"/>
              <w:spacing w:before="60" w:after="60"/>
              <w:jc w:val="left"/>
              <w:rPr>
                <w:lang w:val="en-US"/>
              </w:rPr>
            </w:pPr>
            <w:r>
              <w:rPr>
                <w:i/>
                <w:lang w:val="en-US"/>
              </w:rPr>
              <w:t>I</w:t>
            </w:r>
            <w:r>
              <w:rPr>
                <w:lang w:val="en-US"/>
              </w:rPr>
              <w:t>/</w:t>
            </w:r>
            <w:r>
              <w:rPr>
                <w:i/>
                <w:lang w:val="en-US"/>
              </w:rPr>
              <w:t>S</w:t>
            </w:r>
            <w:r>
              <w:rPr>
                <w:lang w:val="en-US"/>
              </w:rPr>
              <w:t xml:space="preserve"> </w:t>
            </w:r>
            <w:r>
              <w:rPr>
                <w:rFonts w:ascii="Symbol" w:hAnsi="Symbol"/>
                <w:lang w:val="fr-FR"/>
              </w:rPr>
              <w:t></w:t>
            </w:r>
            <w:r>
              <w:rPr>
                <w:lang w:val="en-US"/>
              </w:rPr>
              <w:t xml:space="preserve"> –7,1 dB</w:t>
            </w:r>
          </w:p>
        </w:tc>
      </w:tr>
      <w:tr w:rsidR="00B230E8" w14:paraId="50A9E39D" w14:textId="77777777">
        <w:tblPrEx>
          <w:tblCellMar>
            <w:top w:w="0" w:type="dxa"/>
            <w:bottom w:w="0" w:type="dxa"/>
          </w:tblCellMar>
        </w:tblPrEx>
        <w:trPr>
          <w:cantSplit/>
          <w:jc w:val="center"/>
        </w:trPr>
        <w:tc>
          <w:tcPr>
            <w:tcW w:w="4536" w:type="dxa"/>
            <w:tcBorders>
              <w:left w:val="single" w:sz="6" w:space="0" w:color="auto"/>
              <w:bottom w:val="single" w:sz="6" w:space="0" w:color="auto"/>
              <w:right w:val="single" w:sz="6" w:space="0" w:color="auto"/>
            </w:tcBorders>
          </w:tcPr>
          <w:p w14:paraId="42247F19" w14:textId="77777777" w:rsidR="00B230E8" w:rsidRDefault="00B230E8" w:rsidP="00A96126">
            <w:pPr>
              <w:pStyle w:val="TableText0"/>
              <w:spacing w:before="60" w:after="80"/>
              <w:jc w:val="left"/>
              <w:rPr>
                <w:lang w:val="es-ES_tradnl"/>
              </w:rPr>
            </w:pPr>
            <w:r>
              <w:rPr>
                <w:lang w:val="es-ES_tradnl"/>
              </w:rPr>
              <w:t>(</w:t>
            </w:r>
            <w:r>
              <w:rPr>
                <w:i/>
                <w:lang w:val="es-ES_tradnl"/>
              </w:rPr>
              <w:t>E</w:t>
            </w:r>
            <w:r>
              <w:rPr>
                <w:lang w:val="es-ES_tradnl"/>
              </w:rPr>
              <w:t>/</w:t>
            </w:r>
            <w:r>
              <w:rPr>
                <w:i/>
                <w:lang w:val="es-ES_tradnl"/>
              </w:rPr>
              <w:t>N</w:t>
            </w:r>
            <w:r>
              <w:rPr>
                <w:position w:val="-3"/>
                <w:sz w:val="14"/>
                <w:lang w:val="es-ES_tradnl"/>
              </w:rPr>
              <w:t>0</w:t>
            </w:r>
            <w:r>
              <w:rPr>
                <w:lang w:val="es-ES_tradnl"/>
              </w:rPr>
              <w:t xml:space="preserve"> de 1 dB por efecto de interferencia en</w:t>
            </w:r>
            <w:r>
              <w:rPr>
                <w:lang w:val="es-ES_tradnl"/>
              </w:rPr>
              <w:br/>
              <w:t>la anchura de banda del estimador de distancias)</w:t>
            </w:r>
          </w:p>
        </w:tc>
        <w:tc>
          <w:tcPr>
            <w:tcW w:w="1701" w:type="dxa"/>
            <w:tcBorders>
              <w:top w:val="single" w:sz="6" w:space="0" w:color="auto"/>
              <w:bottom w:val="single" w:sz="6" w:space="0" w:color="auto"/>
              <w:right w:val="single" w:sz="6" w:space="0" w:color="auto"/>
            </w:tcBorders>
          </w:tcPr>
          <w:p w14:paraId="0D2CCC55" w14:textId="77777777" w:rsidR="00B230E8" w:rsidRDefault="00B230E8" w:rsidP="00A96126">
            <w:pPr>
              <w:pStyle w:val="TableText0"/>
              <w:spacing w:before="60" w:after="80"/>
              <w:jc w:val="left"/>
              <w:rPr>
                <w:lang w:val="es-ES_tradnl"/>
              </w:rPr>
            </w:pPr>
            <w:r>
              <w:rPr>
                <w:lang w:val="es-ES_tradnl"/>
              </w:rPr>
              <w:t>Tipo ruido</w:t>
            </w:r>
          </w:p>
        </w:tc>
        <w:tc>
          <w:tcPr>
            <w:tcW w:w="1418" w:type="dxa"/>
            <w:tcBorders>
              <w:top w:val="single" w:sz="6" w:space="0" w:color="auto"/>
              <w:left w:val="single" w:sz="6" w:space="0" w:color="auto"/>
              <w:bottom w:val="single" w:sz="6" w:space="0" w:color="auto"/>
              <w:right w:val="single" w:sz="6" w:space="0" w:color="auto"/>
            </w:tcBorders>
          </w:tcPr>
          <w:p w14:paraId="0AA7A216" w14:textId="77777777" w:rsidR="00B230E8" w:rsidRDefault="00B230E8" w:rsidP="00A96126">
            <w:pPr>
              <w:pStyle w:val="TableText0"/>
              <w:spacing w:before="60" w:after="80"/>
              <w:jc w:val="left"/>
              <w:rPr>
                <w:lang w:val="es-ES_tradnl"/>
              </w:rPr>
            </w:pPr>
            <w:r>
              <w:rPr>
                <w:lang w:val="es-ES_tradnl"/>
              </w:rPr>
              <w:t>Cálculo</w:t>
            </w:r>
          </w:p>
        </w:tc>
        <w:tc>
          <w:tcPr>
            <w:tcW w:w="1701" w:type="dxa"/>
            <w:tcBorders>
              <w:top w:val="single" w:sz="6" w:space="0" w:color="auto"/>
              <w:left w:val="single" w:sz="6" w:space="0" w:color="auto"/>
              <w:bottom w:val="single" w:sz="6" w:space="0" w:color="auto"/>
              <w:right w:val="single" w:sz="6" w:space="0" w:color="auto"/>
            </w:tcBorders>
          </w:tcPr>
          <w:p w14:paraId="5C01EB39" w14:textId="77777777" w:rsidR="00B230E8" w:rsidRDefault="00F37FE0" w:rsidP="00A96126">
            <w:pPr>
              <w:pStyle w:val="TableText0"/>
              <w:spacing w:before="60" w:after="80"/>
              <w:jc w:val="left"/>
              <w:rPr>
                <w:lang w:val="en-US"/>
              </w:rPr>
            </w:pPr>
            <w:r>
              <w:rPr>
                <w:i/>
                <w:lang w:val="en-US"/>
              </w:rPr>
              <w:t>I</w:t>
            </w:r>
            <w:r w:rsidRPr="00F37FE0">
              <w:rPr>
                <w:szCs w:val="18"/>
                <w:vertAlign w:val="subscript"/>
                <w:lang w:val="en-US"/>
              </w:rPr>
              <w:t>0</w:t>
            </w:r>
            <w:r>
              <w:rPr>
                <w:lang w:val="en-US"/>
              </w:rPr>
              <w:t>/</w:t>
            </w:r>
            <w:r>
              <w:rPr>
                <w:i/>
                <w:lang w:val="en-US"/>
              </w:rPr>
              <w:t>N</w:t>
            </w:r>
            <w:r w:rsidRPr="00F37FE0">
              <w:rPr>
                <w:szCs w:val="18"/>
                <w:vertAlign w:val="subscript"/>
                <w:lang w:val="en-US"/>
              </w:rPr>
              <w:t>0</w:t>
            </w:r>
            <w:r w:rsidR="00B230E8">
              <w:rPr>
                <w:lang w:val="en-US"/>
              </w:rPr>
              <w:t xml:space="preserve"> </w:t>
            </w:r>
            <w:r w:rsidR="00B230E8">
              <w:rPr>
                <w:rFonts w:ascii="Symbol" w:hAnsi="Symbol"/>
                <w:lang w:val="fr-FR"/>
              </w:rPr>
              <w:t></w:t>
            </w:r>
            <w:r w:rsidR="00B230E8">
              <w:rPr>
                <w:lang w:val="en-US"/>
              </w:rPr>
              <w:t xml:space="preserve"> –5,9 dB</w:t>
            </w:r>
          </w:p>
        </w:tc>
      </w:tr>
    </w:tbl>
    <w:p w14:paraId="208DEC2F" w14:textId="77777777" w:rsidR="00B230E8" w:rsidRDefault="00B230E8" w:rsidP="00B230E8">
      <w:pPr>
        <w:pStyle w:val="Tablefin"/>
      </w:pPr>
    </w:p>
    <w:p w14:paraId="7FAA7AFF" w14:textId="77777777" w:rsidR="00B230E8" w:rsidRDefault="00B230E8" w:rsidP="00B230E8">
      <w:pPr>
        <w:pStyle w:val="Heading4"/>
        <w:rPr>
          <w:lang w:val="es-ES_tradnl"/>
        </w:rPr>
      </w:pPr>
      <w:r>
        <w:rPr>
          <w:lang w:val="es-ES_tradnl"/>
        </w:rPr>
        <w:t>2.2.2.2</w:t>
      </w:r>
      <w:r>
        <w:rPr>
          <w:lang w:val="es-ES_tradnl"/>
        </w:rPr>
        <w:tab/>
        <w:t>Máxima interferencia admisible en el seguimiento de portadora, la telemedida y la determinación de distancia</w:t>
      </w:r>
    </w:p>
    <w:p w14:paraId="4A3D841E" w14:textId="77777777" w:rsidR="00B230E8" w:rsidRDefault="00B230E8" w:rsidP="00B230E8">
      <w:pPr>
        <w:rPr>
          <w:lang w:val="es-ES_tradnl"/>
        </w:rPr>
      </w:pPr>
      <w:r>
        <w:rPr>
          <w:lang w:val="es-ES_tradnl"/>
        </w:rPr>
        <w:t xml:space="preserve">Con interferencia de onda continua, la máxima interferencia admisible depende de la </w:t>
      </w:r>
      <w:r>
        <w:rPr>
          <w:i/>
          <w:lang w:val="es-ES_tradnl"/>
        </w:rPr>
        <w:t>I</w:t>
      </w:r>
      <w:r>
        <w:rPr>
          <w:lang w:val="es-ES_tradnl"/>
        </w:rPr>
        <w:t>/</w:t>
      </w:r>
      <w:r>
        <w:rPr>
          <w:i/>
          <w:lang w:val="es-ES_tradnl"/>
        </w:rPr>
        <w:t>C</w:t>
      </w:r>
      <w:r w:rsidR="00A96126">
        <w:rPr>
          <w:i/>
          <w:lang w:val="es-ES_tradnl"/>
        </w:rPr>
        <w:t xml:space="preserve"> </w:t>
      </w:r>
      <w:r>
        <w:rPr>
          <w:lang w:val="es-ES_tradnl"/>
        </w:rPr>
        <w:t>(</w:t>
      </w:r>
      <w:r>
        <w:rPr>
          <w:i/>
          <w:lang w:val="es-ES_tradnl"/>
        </w:rPr>
        <w:t>I</w:t>
      </w:r>
      <w:r>
        <w:rPr>
          <w:lang w:val="es-ES_tradnl"/>
        </w:rPr>
        <w:t>/</w:t>
      </w:r>
      <w:r>
        <w:rPr>
          <w:i/>
          <w:lang w:val="es-ES_tradnl"/>
        </w:rPr>
        <w:t>S</w:t>
      </w:r>
      <w:r>
        <w:rPr>
          <w:lang w:val="es-ES_tradnl"/>
        </w:rPr>
        <w:t xml:space="preserve">) y del nivel mínimo de portadora (señal) determinado por el punto de diseño del receptor. Si se supone que las potencias de las señales portadora, de telemedida y de determinación de distancia son iguales, el Cuadro 3 muestra que la máxima interferencia de onda continua admisible viene impuesta por el bucle de seguimiento de portadora, que es el que exige la </w:t>
      </w:r>
      <w:r>
        <w:rPr>
          <w:i/>
          <w:lang w:val="es-ES_tradnl"/>
        </w:rPr>
        <w:t>I</w:t>
      </w:r>
      <w:r>
        <w:rPr>
          <w:lang w:val="es-ES_tradnl"/>
        </w:rPr>
        <w:t>/</w:t>
      </w:r>
      <w:r>
        <w:rPr>
          <w:i/>
          <w:lang w:val="es-ES_tradnl"/>
        </w:rPr>
        <w:t>C</w:t>
      </w:r>
      <w:r>
        <w:rPr>
          <w:lang w:val="es-ES_tradnl"/>
        </w:rPr>
        <w:t xml:space="preserve"> más pequeña.</w:t>
      </w:r>
    </w:p>
    <w:p w14:paraId="350259ED" w14:textId="77777777" w:rsidR="00B230E8" w:rsidRDefault="00B230E8" w:rsidP="00B230E8">
      <w:pPr>
        <w:rPr>
          <w:lang w:val="es-ES_tradnl"/>
        </w:rPr>
      </w:pPr>
      <w:r>
        <w:rPr>
          <w:lang w:val="es-ES_tradnl"/>
        </w:rPr>
        <w:lastRenderedPageBreak/>
        <w:t>En el seguimiento de portadora, la relación mínima portadora/ruido es de 10 dB. La correspondiente potencia de interferencia admisible para interferencia de tipo ruido es:</w:t>
      </w:r>
    </w:p>
    <w:p w14:paraId="3640A992" w14:textId="77777777" w:rsidR="00A23E5A" w:rsidRDefault="00A23E5A" w:rsidP="00A23E5A">
      <w:pPr>
        <w:pStyle w:val="Blanc"/>
      </w:pPr>
      <w:bookmarkStart w:id="2" w:name="F003"/>
    </w:p>
    <w:p w14:paraId="69B62306" w14:textId="77777777" w:rsidR="00B230E8" w:rsidRPr="00B230E8" w:rsidRDefault="00B230E8" w:rsidP="00B230E8">
      <w:pPr>
        <w:pStyle w:val="Equation"/>
        <w:rPr>
          <w:lang w:val="es-ES_tradnl"/>
        </w:rPr>
      </w:pPr>
      <w:r>
        <w:rPr>
          <w:lang w:val="es-ES_tradnl"/>
        </w:rPr>
        <w:tab/>
      </w:r>
      <w:r>
        <w:rPr>
          <w:lang w:val="es-ES_tradnl"/>
        </w:rPr>
        <w:tab/>
      </w:r>
      <w:proofErr w:type="gramStart"/>
      <w:r w:rsidRPr="00B230E8">
        <w:rPr>
          <w:i/>
          <w:lang w:val="es-ES_tradnl"/>
        </w:rPr>
        <w:t>P</w:t>
      </w:r>
      <w:r w:rsidRPr="00B230E8">
        <w:rPr>
          <w:i/>
          <w:position w:val="-4"/>
          <w:sz w:val="18"/>
          <w:lang w:val="es-ES_tradnl"/>
        </w:rPr>
        <w:t>i</w:t>
      </w:r>
      <w:r w:rsidRPr="00B230E8">
        <w:rPr>
          <w:lang w:val="es-ES_tradnl"/>
        </w:rPr>
        <w:t xml:space="preserve">  </w:t>
      </w:r>
      <w:r>
        <w:rPr>
          <w:rFonts w:ascii="Symbol" w:hAnsi="Symbol"/>
        </w:rPr>
        <w:t></w:t>
      </w:r>
      <w:proofErr w:type="gramEnd"/>
      <w:r w:rsidRPr="00B230E8">
        <w:rPr>
          <w:lang w:val="es-ES_tradnl"/>
        </w:rPr>
        <w:t xml:space="preserve">  </w:t>
      </w:r>
      <w:r w:rsidRPr="00B230E8">
        <w:rPr>
          <w:i/>
          <w:lang w:val="es-ES_tradnl"/>
        </w:rPr>
        <w:t>N</w:t>
      </w:r>
      <w:r w:rsidRPr="00B230E8">
        <w:rPr>
          <w:position w:val="-4"/>
          <w:sz w:val="18"/>
          <w:lang w:val="es-ES_tradnl"/>
        </w:rPr>
        <w:t>0</w:t>
      </w:r>
      <w:r w:rsidRPr="00B230E8">
        <w:rPr>
          <w:lang w:val="es-ES_tradnl"/>
        </w:rPr>
        <w:t xml:space="preserve">  </w:t>
      </w:r>
      <w:r>
        <w:rPr>
          <w:rFonts w:ascii="Symbol" w:hAnsi="Symbol"/>
        </w:rPr>
        <w:t></w:t>
      </w:r>
      <w:r w:rsidRPr="00B230E8">
        <w:rPr>
          <w:lang w:val="es-ES_tradnl"/>
        </w:rPr>
        <w:t xml:space="preserve">  10 log </w:t>
      </w:r>
      <w:r w:rsidRPr="00B230E8">
        <w:rPr>
          <w:i/>
          <w:lang w:val="es-ES_tradnl"/>
        </w:rPr>
        <w:t>B</w:t>
      </w:r>
      <w:r w:rsidRPr="00B230E8">
        <w:rPr>
          <w:lang w:val="es-ES_tradnl"/>
        </w:rPr>
        <w:t xml:space="preserve">  </w:t>
      </w:r>
      <w:r>
        <w:rPr>
          <w:rFonts w:ascii="Symbol" w:hAnsi="Symbol"/>
        </w:rPr>
        <w:t></w:t>
      </w:r>
      <w:r w:rsidRPr="00B230E8">
        <w:rPr>
          <w:lang w:val="es-ES_tradnl"/>
        </w:rPr>
        <w:t xml:space="preserve">  10  </w:t>
      </w:r>
      <w:r>
        <w:rPr>
          <w:rFonts w:ascii="Symbol" w:hAnsi="Symbol"/>
        </w:rPr>
        <w:t></w:t>
      </w:r>
      <w:r w:rsidRPr="00B230E8">
        <w:rPr>
          <w:lang w:val="es-ES_tradnl"/>
        </w:rPr>
        <w:t xml:space="preserve">  </w:t>
      </w:r>
      <w:r w:rsidRPr="00B230E8">
        <w:rPr>
          <w:i/>
          <w:lang w:val="es-ES_tradnl"/>
        </w:rPr>
        <w:t>I</w:t>
      </w:r>
      <w:r w:rsidRPr="00B230E8">
        <w:rPr>
          <w:lang w:val="es-ES_tradnl"/>
        </w:rPr>
        <w:t>/</w:t>
      </w:r>
      <w:r w:rsidRPr="00B230E8">
        <w:rPr>
          <w:i/>
          <w:lang w:val="es-ES_tradnl"/>
        </w:rPr>
        <w:t>C</w:t>
      </w:r>
      <w:bookmarkEnd w:id="2"/>
    </w:p>
    <w:p w14:paraId="0B6A86FB" w14:textId="77777777" w:rsidR="00A23E5A" w:rsidRDefault="00A23E5A" w:rsidP="00A23E5A">
      <w:pPr>
        <w:pStyle w:val="Blanc"/>
      </w:pPr>
    </w:p>
    <w:p w14:paraId="10C910F2" w14:textId="77777777" w:rsidR="00B230E8" w:rsidRDefault="00B230E8" w:rsidP="00B230E8">
      <w:pPr>
        <w:rPr>
          <w:lang w:val="es-ES_tradnl"/>
        </w:rPr>
      </w:pPr>
      <w:r>
        <w:rPr>
          <w:lang w:val="es-ES_tradnl"/>
        </w:rPr>
        <w:t>siendo:</w:t>
      </w:r>
    </w:p>
    <w:p w14:paraId="0C9BCB84" w14:textId="77777777" w:rsidR="00B230E8" w:rsidRDefault="00B230E8" w:rsidP="00B230E8">
      <w:pPr>
        <w:pStyle w:val="Equationlegend"/>
        <w:rPr>
          <w:lang w:val="es-ES_tradnl"/>
        </w:rPr>
      </w:pPr>
      <w:r w:rsidRPr="00B230E8">
        <w:rPr>
          <w:lang w:val="es-ES_tradnl"/>
        </w:rPr>
        <w:tab/>
      </w:r>
      <w:proofErr w:type="gramStart"/>
      <w:r>
        <w:rPr>
          <w:i/>
          <w:lang w:val="es-ES_tradnl"/>
        </w:rPr>
        <w:t>P</w:t>
      </w:r>
      <w:r>
        <w:rPr>
          <w:i/>
          <w:position w:val="-4"/>
          <w:sz w:val="18"/>
          <w:lang w:val="es-ES_tradnl"/>
        </w:rPr>
        <w:t>i</w:t>
      </w:r>
      <w:r>
        <w:rPr>
          <w:i/>
          <w:position w:val="-4"/>
          <w:sz w:val="12"/>
          <w:lang w:val="es-ES_tradnl"/>
        </w:rPr>
        <w:t> </w:t>
      </w:r>
      <w:r>
        <w:rPr>
          <w:lang w:val="es-ES_tradnl"/>
        </w:rPr>
        <w:t>:</w:t>
      </w:r>
      <w:proofErr w:type="gramEnd"/>
      <w:r>
        <w:rPr>
          <w:lang w:val="es-ES_tradnl"/>
        </w:rPr>
        <w:tab/>
        <w:t>máxima potencia de interferencia admisible en el seguimiento de la portadora (</w:t>
      </w:r>
      <w:proofErr w:type="spellStart"/>
      <w:r>
        <w:rPr>
          <w:lang w:val="es-ES_tradnl"/>
        </w:rPr>
        <w:t>dBW</w:t>
      </w:r>
      <w:proofErr w:type="spellEnd"/>
      <w:r>
        <w:rPr>
          <w:lang w:val="es-ES_tradnl"/>
        </w:rPr>
        <w:t>)</w:t>
      </w:r>
    </w:p>
    <w:p w14:paraId="4FDB31E3" w14:textId="77777777" w:rsidR="00B230E8" w:rsidRDefault="00B230E8" w:rsidP="00B230E8">
      <w:pPr>
        <w:pStyle w:val="Equationlegend"/>
        <w:rPr>
          <w:lang w:val="es-ES_tradnl"/>
        </w:rPr>
      </w:pPr>
      <w:r>
        <w:rPr>
          <w:lang w:val="es-ES_tradnl"/>
        </w:rPr>
        <w:tab/>
      </w:r>
      <w:r>
        <w:rPr>
          <w:i/>
          <w:lang w:val="es-ES_tradnl"/>
        </w:rPr>
        <w:t>N</w:t>
      </w:r>
      <w:proofErr w:type="gramStart"/>
      <w:r>
        <w:rPr>
          <w:position w:val="-4"/>
          <w:sz w:val="16"/>
          <w:lang w:val="es-ES_tradnl"/>
        </w:rPr>
        <w:t>0</w:t>
      </w:r>
      <w:r>
        <w:rPr>
          <w:position w:val="-4"/>
          <w:sz w:val="12"/>
          <w:lang w:val="es-ES_tradnl"/>
        </w:rPr>
        <w:t> </w:t>
      </w:r>
      <w:r>
        <w:rPr>
          <w:lang w:val="es-ES_tradnl"/>
        </w:rPr>
        <w:t>:</w:t>
      </w:r>
      <w:proofErr w:type="gramEnd"/>
      <w:r>
        <w:rPr>
          <w:lang w:val="es-ES_tradnl"/>
        </w:rPr>
        <w:tab/>
        <w:t>densidad espectral de ruido del receptor, indicada en el Cuadro 4 (dB(W/Hz))</w:t>
      </w:r>
    </w:p>
    <w:p w14:paraId="2715AE61" w14:textId="77777777" w:rsidR="00B230E8" w:rsidRDefault="00B230E8" w:rsidP="00B230E8">
      <w:pPr>
        <w:pStyle w:val="Equationlegend"/>
        <w:rPr>
          <w:lang w:val="es-ES_tradnl"/>
        </w:rPr>
      </w:pPr>
      <w:r>
        <w:rPr>
          <w:lang w:val="es-ES_tradnl"/>
        </w:rPr>
        <w:tab/>
      </w:r>
      <w:proofErr w:type="gramStart"/>
      <w:r>
        <w:rPr>
          <w:i/>
          <w:lang w:val="es-ES_tradnl"/>
        </w:rPr>
        <w:t>B</w:t>
      </w:r>
      <w:r>
        <w:rPr>
          <w:i/>
          <w:sz w:val="12"/>
          <w:lang w:val="es-ES_tradnl"/>
        </w:rPr>
        <w:t> </w:t>
      </w:r>
      <w:r>
        <w:rPr>
          <w:lang w:val="es-ES_tradnl"/>
        </w:rPr>
        <w:t>:</w:t>
      </w:r>
      <w:proofErr w:type="gramEnd"/>
      <w:r>
        <w:rPr>
          <w:lang w:val="es-ES_tradnl"/>
        </w:rPr>
        <w:tab/>
        <w:t>anchura de banda del bucle de seguimiento de la portadora, que se supone de 1 Hz</w:t>
      </w:r>
    </w:p>
    <w:p w14:paraId="05CF7BB6" w14:textId="77777777" w:rsidR="00B230E8" w:rsidRDefault="00B230E8" w:rsidP="00B230E8">
      <w:pPr>
        <w:pStyle w:val="Equationlegend"/>
        <w:rPr>
          <w:lang w:val="es-ES_tradnl"/>
        </w:rPr>
      </w:pPr>
      <w:r>
        <w:rPr>
          <w:lang w:val="es-ES_tradnl"/>
        </w:rPr>
        <w:tab/>
      </w:r>
      <w:r>
        <w:rPr>
          <w:i/>
          <w:lang w:val="es-ES_tradnl"/>
        </w:rPr>
        <w:t>I</w:t>
      </w:r>
      <w:r>
        <w:rPr>
          <w:lang w:val="es-ES_tradnl"/>
        </w:rPr>
        <w:t>/</w:t>
      </w:r>
      <w:proofErr w:type="gramStart"/>
      <w:r>
        <w:rPr>
          <w:i/>
          <w:lang w:val="es-ES_tradnl"/>
        </w:rPr>
        <w:t>C</w:t>
      </w:r>
      <w:r>
        <w:rPr>
          <w:i/>
          <w:sz w:val="12"/>
          <w:lang w:val="es-ES_tradnl"/>
        </w:rPr>
        <w:t> </w:t>
      </w:r>
      <w:r>
        <w:rPr>
          <w:lang w:val="es-ES_tradnl"/>
        </w:rPr>
        <w:t>:</w:t>
      </w:r>
      <w:proofErr w:type="gramEnd"/>
      <w:r>
        <w:rPr>
          <w:lang w:val="es-ES_tradnl"/>
        </w:rPr>
        <w:tab/>
        <w:t>relación interferencia/portadora, que se indica en el Cuadro 3 (dB).</w:t>
      </w:r>
    </w:p>
    <w:p w14:paraId="03C998A3" w14:textId="77777777" w:rsidR="00B230E8" w:rsidRDefault="00B230E8" w:rsidP="00B230E8">
      <w:pPr>
        <w:rPr>
          <w:lang w:val="es-ES_tradnl"/>
        </w:rPr>
      </w:pPr>
      <w:r>
        <w:rPr>
          <w:lang w:val="es-ES_tradnl"/>
        </w:rPr>
        <w:t>Los resultados de esos cálculos se indican en el Cuadro 4.</w:t>
      </w:r>
    </w:p>
    <w:p w14:paraId="67F15C6F" w14:textId="77777777" w:rsidR="00B230E8" w:rsidRDefault="00B230E8" w:rsidP="00B230E8">
      <w:pPr>
        <w:pStyle w:val="Table"/>
        <w:rPr>
          <w:lang w:val="es-ES_tradnl"/>
        </w:rPr>
      </w:pPr>
      <w:r>
        <w:rPr>
          <w:lang w:val="es-ES_tradnl"/>
        </w:rPr>
        <w:t>CUADRO  4</w:t>
      </w:r>
    </w:p>
    <w:p w14:paraId="31740982" w14:textId="77777777" w:rsidR="00B230E8" w:rsidRDefault="00B230E8" w:rsidP="00B230E8">
      <w:pPr>
        <w:pStyle w:val="TableTitle0"/>
        <w:rPr>
          <w:lang w:val="es-ES_tradnl"/>
        </w:rPr>
      </w:pPr>
      <w:r>
        <w:rPr>
          <w:lang w:val="es-ES_tradnl"/>
        </w:rPr>
        <w:t>Máxima potencia de interferencia admisible causada a los receptores de estación terrena</w:t>
      </w:r>
    </w:p>
    <w:tbl>
      <w:tblPr>
        <w:tblW w:w="0" w:type="auto"/>
        <w:jc w:val="center"/>
        <w:tblLayout w:type="fixed"/>
        <w:tblLook w:val="0000" w:firstRow="0" w:lastRow="0" w:firstColumn="0" w:lastColumn="0" w:noHBand="0" w:noVBand="0"/>
      </w:tblPr>
      <w:tblGrid>
        <w:gridCol w:w="1416"/>
        <w:gridCol w:w="2552"/>
        <w:gridCol w:w="2552"/>
        <w:gridCol w:w="2552"/>
      </w:tblGrid>
      <w:tr w:rsidR="00B230E8" w14:paraId="1479E921" w14:textId="77777777">
        <w:tblPrEx>
          <w:tblCellMar>
            <w:top w:w="0" w:type="dxa"/>
            <w:bottom w:w="0" w:type="dxa"/>
          </w:tblCellMar>
        </w:tblPrEx>
        <w:trPr>
          <w:cantSplit/>
          <w:jc w:val="center"/>
        </w:trPr>
        <w:tc>
          <w:tcPr>
            <w:tcW w:w="1416" w:type="dxa"/>
            <w:tcBorders>
              <w:top w:val="single" w:sz="6" w:space="0" w:color="auto"/>
              <w:left w:val="single" w:sz="6" w:space="0" w:color="auto"/>
              <w:bottom w:val="single" w:sz="6" w:space="0" w:color="auto"/>
              <w:right w:val="single" w:sz="6" w:space="0" w:color="auto"/>
            </w:tcBorders>
          </w:tcPr>
          <w:p w14:paraId="4B9D8B61" w14:textId="77777777" w:rsidR="00B230E8" w:rsidRPr="00A96126" w:rsidRDefault="00B230E8" w:rsidP="00A96126">
            <w:pPr>
              <w:pStyle w:val="TableText0"/>
              <w:spacing w:before="300"/>
              <w:jc w:val="center"/>
              <w:rPr>
                <w:b/>
                <w:lang w:val="es-ES_tradnl"/>
              </w:rPr>
            </w:pPr>
            <w:r w:rsidRPr="00A96126">
              <w:rPr>
                <w:b/>
                <w:lang w:val="es-ES_tradnl"/>
              </w:rPr>
              <w:t>Banda</w:t>
            </w:r>
            <w:r w:rsidRPr="00A96126">
              <w:rPr>
                <w:b/>
                <w:lang w:val="es-ES_tradnl"/>
              </w:rPr>
              <w:br/>
              <w:t>(GHz)</w:t>
            </w:r>
          </w:p>
        </w:tc>
        <w:tc>
          <w:tcPr>
            <w:tcW w:w="2552" w:type="dxa"/>
            <w:tcBorders>
              <w:top w:val="single" w:sz="6" w:space="0" w:color="auto"/>
              <w:left w:val="single" w:sz="6" w:space="0" w:color="auto"/>
              <w:bottom w:val="single" w:sz="6" w:space="0" w:color="auto"/>
              <w:right w:val="single" w:sz="6" w:space="0" w:color="auto"/>
            </w:tcBorders>
          </w:tcPr>
          <w:p w14:paraId="75F8E931" w14:textId="77777777" w:rsidR="00B230E8" w:rsidRPr="00A96126" w:rsidRDefault="00B230E8" w:rsidP="00A96126">
            <w:pPr>
              <w:pStyle w:val="TableText0"/>
              <w:spacing w:before="200"/>
              <w:jc w:val="center"/>
              <w:rPr>
                <w:b/>
                <w:lang w:val="es-ES_tradnl"/>
              </w:rPr>
            </w:pPr>
            <w:r w:rsidRPr="00A96126">
              <w:rPr>
                <w:b/>
                <w:lang w:val="es-ES_tradnl"/>
              </w:rPr>
              <w:t>Densidad espectral de ruido</w:t>
            </w:r>
            <w:r w:rsidRPr="00A96126">
              <w:rPr>
                <w:b/>
                <w:lang w:val="es-ES_tradnl"/>
              </w:rPr>
              <w:br/>
              <w:t>del receptor</w:t>
            </w:r>
            <w:r w:rsidRPr="00A96126">
              <w:rPr>
                <w:b/>
                <w:lang w:val="es-ES_tradnl"/>
              </w:rPr>
              <w:br/>
              <w:t>(dB(W/Hz))</w:t>
            </w:r>
          </w:p>
        </w:tc>
        <w:tc>
          <w:tcPr>
            <w:tcW w:w="2552" w:type="dxa"/>
            <w:tcBorders>
              <w:top w:val="single" w:sz="6" w:space="0" w:color="auto"/>
              <w:left w:val="single" w:sz="6" w:space="0" w:color="auto"/>
              <w:bottom w:val="single" w:sz="6" w:space="0" w:color="auto"/>
              <w:right w:val="single" w:sz="6" w:space="0" w:color="auto"/>
            </w:tcBorders>
          </w:tcPr>
          <w:p w14:paraId="6916FEA6" w14:textId="77777777" w:rsidR="00B230E8" w:rsidRPr="00A96126" w:rsidRDefault="00B230E8" w:rsidP="00A96126">
            <w:pPr>
              <w:pStyle w:val="TableText0"/>
              <w:spacing w:before="200"/>
              <w:jc w:val="center"/>
              <w:rPr>
                <w:b/>
                <w:lang w:val="es-ES_tradnl"/>
              </w:rPr>
            </w:pPr>
            <w:r w:rsidRPr="00A96126">
              <w:rPr>
                <w:b/>
                <w:lang w:val="es-ES_tradnl"/>
              </w:rPr>
              <w:t xml:space="preserve">Máxima potencia de interferencia de </w:t>
            </w:r>
            <w:r w:rsidR="00F37FE0">
              <w:rPr>
                <w:b/>
                <w:lang w:val="es-ES_tradnl"/>
              </w:rPr>
              <w:t>CW</w:t>
            </w:r>
            <w:r w:rsidR="00F37FE0">
              <w:rPr>
                <w:b/>
                <w:lang w:val="es-ES_tradnl"/>
              </w:rPr>
              <w:br/>
            </w:r>
            <w:r w:rsidRPr="00A96126">
              <w:rPr>
                <w:b/>
                <w:lang w:val="es-ES_tradnl"/>
              </w:rPr>
              <w:t>(</w:t>
            </w:r>
            <w:proofErr w:type="spellStart"/>
            <w:r w:rsidRPr="00A96126">
              <w:rPr>
                <w:b/>
                <w:lang w:val="es-ES_tradnl"/>
              </w:rPr>
              <w:t>dBW</w:t>
            </w:r>
            <w:proofErr w:type="spellEnd"/>
            <w:r w:rsidRPr="00A96126">
              <w:rPr>
                <w:b/>
                <w:lang w:val="es-ES_tradnl"/>
              </w:rPr>
              <w:t>)</w:t>
            </w:r>
          </w:p>
        </w:tc>
        <w:tc>
          <w:tcPr>
            <w:tcW w:w="2552" w:type="dxa"/>
            <w:tcBorders>
              <w:top w:val="single" w:sz="6" w:space="0" w:color="auto"/>
              <w:left w:val="single" w:sz="6" w:space="0" w:color="auto"/>
              <w:bottom w:val="single" w:sz="6" w:space="0" w:color="auto"/>
              <w:right w:val="single" w:sz="6" w:space="0" w:color="auto"/>
            </w:tcBorders>
          </w:tcPr>
          <w:p w14:paraId="32341E44" w14:textId="77777777" w:rsidR="00B230E8" w:rsidRPr="00A96126" w:rsidRDefault="00B230E8" w:rsidP="00A96126">
            <w:pPr>
              <w:pStyle w:val="TableText0"/>
              <w:jc w:val="center"/>
              <w:rPr>
                <w:b/>
                <w:lang w:val="es-ES_tradnl"/>
              </w:rPr>
            </w:pPr>
            <w:r w:rsidRPr="00A96126">
              <w:rPr>
                <w:b/>
                <w:lang w:val="es-ES_tradnl"/>
              </w:rPr>
              <w:t>Máxima densidad espectral</w:t>
            </w:r>
            <w:r w:rsidRPr="00A96126">
              <w:rPr>
                <w:b/>
                <w:lang w:val="es-ES_tradnl"/>
              </w:rPr>
              <w:br/>
              <w:t xml:space="preserve">de potencia de interferencia </w:t>
            </w:r>
            <w:r w:rsidRPr="00A96126">
              <w:rPr>
                <w:b/>
                <w:lang w:val="es-ES_tradnl"/>
              </w:rPr>
              <w:br/>
              <w:t>de tipo ruido</w:t>
            </w:r>
            <w:r w:rsidRPr="00A96126">
              <w:rPr>
                <w:b/>
                <w:lang w:val="es-ES_tradnl"/>
              </w:rPr>
              <w:br/>
              <w:t>(dB(W/Hz))</w:t>
            </w:r>
          </w:p>
        </w:tc>
      </w:tr>
      <w:tr w:rsidR="00B230E8" w14:paraId="28D6B9D3" w14:textId="77777777">
        <w:tblPrEx>
          <w:tblCellMar>
            <w:top w:w="0" w:type="dxa"/>
            <w:bottom w:w="0" w:type="dxa"/>
          </w:tblCellMar>
        </w:tblPrEx>
        <w:trPr>
          <w:cantSplit/>
          <w:jc w:val="center"/>
        </w:trPr>
        <w:tc>
          <w:tcPr>
            <w:tcW w:w="1416" w:type="dxa"/>
            <w:tcBorders>
              <w:top w:val="single" w:sz="6" w:space="0" w:color="auto"/>
              <w:left w:val="single" w:sz="6" w:space="0" w:color="auto"/>
              <w:bottom w:val="single" w:sz="6" w:space="0" w:color="auto"/>
              <w:right w:val="single" w:sz="6" w:space="0" w:color="auto"/>
            </w:tcBorders>
          </w:tcPr>
          <w:p w14:paraId="23F142F9" w14:textId="77777777" w:rsidR="00B230E8" w:rsidRDefault="00A96126" w:rsidP="00A96126">
            <w:pPr>
              <w:pStyle w:val="TableText0"/>
              <w:tabs>
                <w:tab w:val="clear" w:pos="794"/>
                <w:tab w:val="clear" w:pos="1191"/>
                <w:tab w:val="clear" w:pos="1588"/>
                <w:tab w:val="clear" w:pos="1985"/>
                <w:tab w:val="right" w:pos="709"/>
              </w:tabs>
              <w:spacing w:before="60" w:after="60"/>
              <w:jc w:val="center"/>
              <w:rPr>
                <w:lang w:val="es-ES_tradnl"/>
              </w:rPr>
            </w:pPr>
            <w:r>
              <w:rPr>
                <w:lang w:val="es-ES_tradnl"/>
              </w:rPr>
              <w:t>2,29-</w:t>
            </w:r>
            <w:r w:rsidR="00B230E8">
              <w:rPr>
                <w:lang w:val="es-ES_tradnl"/>
              </w:rPr>
              <w:t>2,3</w:t>
            </w:r>
            <w:r>
              <w:rPr>
                <w:lang w:val="es-ES_tradnl"/>
              </w:rPr>
              <w:t>0</w:t>
            </w:r>
            <w:r w:rsidR="00B230E8">
              <w:rPr>
                <w:lang w:val="es-ES_tradnl"/>
              </w:rPr>
              <w:br/>
            </w:r>
            <w:r>
              <w:rPr>
                <w:lang w:val="es-ES_tradnl"/>
              </w:rPr>
              <w:t>8,40-</w:t>
            </w:r>
            <w:r w:rsidR="00B230E8">
              <w:rPr>
                <w:lang w:val="es-ES_tradnl"/>
              </w:rPr>
              <w:t>8,4</w:t>
            </w:r>
            <w:r>
              <w:rPr>
                <w:lang w:val="es-ES_tradnl"/>
              </w:rPr>
              <w:t>5</w:t>
            </w:r>
            <w:r>
              <w:rPr>
                <w:lang w:val="es-ES_tradnl"/>
              </w:rPr>
              <w:br/>
              <w:t>12,75-</w:t>
            </w:r>
            <w:r w:rsidR="00B230E8">
              <w:rPr>
                <w:lang w:val="es-ES_tradnl"/>
              </w:rPr>
              <w:t>13,</w:t>
            </w:r>
            <w:r>
              <w:rPr>
                <w:lang w:val="es-ES_tradnl"/>
              </w:rPr>
              <w:t>25</w:t>
            </w:r>
            <w:r>
              <w:rPr>
                <w:lang w:val="es-ES_tradnl"/>
              </w:rPr>
              <w:br/>
              <w:t>31,8-</w:t>
            </w:r>
            <w:r w:rsidR="00B230E8">
              <w:rPr>
                <w:lang w:val="es-ES_tradnl"/>
              </w:rPr>
              <w:t>32,</w:t>
            </w:r>
            <w:r>
              <w:rPr>
                <w:lang w:val="es-ES_tradnl"/>
              </w:rPr>
              <w:t>3</w:t>
            </w:r>
          </w:p>
        </w:tc>
        <w:tc>
          <w:tcPr>
            <w:tcW w:w="2552" w:type="dxa"/>
            <w:tcBorders>
              <w:top w:val="single" w:sz="6" w:space="0" w:color="auto"/>
              <w:left w:val="single" w:sz="6" w:space="0" w:color="auto"/>
              <w:bottom w:val="single" w:sz="6" w:space="0" w:color="auto"/>
              <w:right w:val="single" w:sz="6" w:space="0" w:color="auto"/>
            </w:tcBorders>
          </w:tcPr>
          <w:p w14:paraId="79A315D5" w14:textId="77777777" w:rsidR="00B230E8" w:rsidRDefault="00B230E8" w:rsidP="00A96126">
            <w:pPr>
              <w:pStyle w:val="TableText0"/>
              <w:tabs>
                <w:tab w:val="clear" w:pos="794"/>
                <w:tab w:val="clear" w:pos="1191"/>
                <w:tab w:val="clear" w:pos="1588"/>
                <w:tab w:val="clear" w:pos="1985"/>
                <w:tab w:val="right" w:pos="1418"/>
              </w:tabs>
              <w:spacing w:before="60" w:after="60"/>
              <w:rPr>
                <w:lang w:val="es-ES_tradnl"/>
              </w:rPr>
            </w:pPr>
            <w:r>
              <w:rPr>
                <w:lang w:val="es-ES_tradnl"/>
              </w:rPr>
              <w:tab/>
              <w:t>–216,6</w:t>
            </w:r>
            <w:r>
              <w:rPr>
                <w:lang w:val="es-ES_tradnl"/>
              </w:rPr>
              <w:br/>
            </w:r>
            <w:r>
              <w:rPr>
                <w:lang w:val="es-ES_tradnl"/>
              </w:rPr>
              <w:tab/>
              <w:t>–215,0</w:t>
            </w:r>
            <w:r>
              <w:rPr>
                <w:lang w:val="es-ES_tradnl"/>
              </w:rPr>
              <w:br/>
            </w:r>
            <w:r>
              <w:rPr>
                <w:lang w:val="es-ES_tradnl"/>
              </w:rPr>
              <w:tab/>
              <w:t>–214,6</w:t>
            </w:r>
            <w:r>
              <w:rPr>
                <w:lang w:val="es-ES_tradnl"/>
              </w:rPr>
              <w:br/>
            </w:r>
            <w:r>
              <w:rPr>
                <w:lang w:val="es-ES_tradnl"/>
              </w:rPr>
              <w:tab/>
              <w:t>–211,4</w:t>
            </w:r>
          </w:p>
        </w:tc>
        <w:tc>
          <w:tcPr>
            <w:tcW w:w="2552" w:type="dxa"/>
            <w:tcBorders>
              <w:top w:val="single" w:sz="6" w:space="0" w:color="auto"/>
              <w:left w:val="single" w:sz="6" w:space="0" w:color="auto"/>
              <w:bottom w:val="single" w:sz="6" w:space="0" w:color="auto"/>
              <w:right w:val="single" w:sz="6" w:space="0" w:color="auto"/>
            </w:tcBorders>
          </w:tcPr>
          <w:p w14:paraId="0089823F" w14:textId="77777777" w:rsidR="00B230E8" w:rsidRDefault="00B230E8" w:rsidP="00A96126">
            <w:pPr>
              <w:pStyle w:val="TableText0"/>
              <w:tabs>
                <w:tab w:val="clear" w:pos="794"/>
                <w:tab w:val="clear" w:pos="1191"/>
                <w:tab w:val="clear" w:pos="1588"/>
                <w:tab w:val="clear" w:pos="1985"/>
                <w:tab w:val="right" w:pos="1418"/>
              </w:tabs>
              <w:spacing w:before="60" w:after="60"/>
              <w:rPr>
                <w:lang w:val="es-ES_tradnl"/>
              </w:rPr>
            </w:pPr>
            <w:r>
              <w:rPr>
                <w:lang w:val="es-ES_tradnl"/>
              </w:rPr>
              <w:tab/>
              <w:t>–221,6</w:t>
            </w:r>
            <w:r>
              <w:rPr>
                <w:lang w:val="es-ES_tradnl"/>
              </w:rPr>
              <w:br/>
            </w:r>
            <w:r>
              <w:rPr>
                <w:lang w:val="es-ES_tradnl"/>
              </w:rPr>
              <w:tab/>
              <w:t>–220,0</w:t>
            </w:r>
            <w:r>
              <w:rPr>
                <w:lang w:val="es-ES_tradnl"/>
              </w:rPr>
              <w:br/>
            </w:r>
            <w:r>
              <w:rPr>
                <w:lang w:val="es-ES_tradnl"/>
              </w:rPr>
              <w:tab/>
              <w:t>–219,6</w:t>
            </w:r>
            <w:r>
              <w:rPr>
                <w:lang w:val="es-ES_tradnl"/>
              </w:rPr>
              <w:br/>
            </w:r>
            <w:r>
              <w:rPr>
                <w:lang w:val="es-ES_tradnl"/>
              </w:rPr>
              <w:tab/>
              <w:t>–216,4</w:t>
            </w:r>
          </w:p>
        </w:tc>
        <w:tc>
          <w:tcPr>
            <w:tcW w:w="2552" w:type="dxa"/>
            <w:tcBorders>
              <w:top w:val="single" w:sz="6" w:space="0" w:color="auto"/>
              <w:left w:val="single" w:sz="6" w:space="0" w:color="auto"/>
              <w:bottom w:val="single" w:sz="6" w:space="0" w:color="auto"/>
              <w:right w:val="single" w:sz="6" w:space="0" w:color="auto"/>
            </w:tcBorders>
          </w:tcPr>
          <w:p w14:paraId="365653B9" w14:textId="77777777" w:rsidR="00B230E8" w:rsidRDefault="00B230E8" w:rsidP="00A96126">
            <w:pPr>
              <w:pStyle w:val="TableText0"/>
              <w:tabs>
                <w:tab w:val="clear" w:pos="794"/>
                <w:tab w:val="clear" w:pos="1191"/>
                <w:tab w:val="clear" w:pos="1588"/>
                <w:tab w:val="clear" w:pos="1985"/>
                <w:tab w:val="right" w:pos="1418"/>
              </w:tabs>
              <w:spacing w:before="60" w:after="60"/>
              <w:rPr>
                <w:lang w:val="es-ES_tradnl"/>
              </w:rPr>
            </w:pPr>
            <w:r>
              <w:rPr>
                <w:lang w:val="es-ES_tradnl"/>
              </w:rPr>
              <w:tab/>
              <w:t>–222,5</w:t>
            </w:r>
            <w:r>
              <w:rPr>
                <w:lang w:val="es-ES_tradnl"/>
              </w:rPr>
              <w:br/>
            </w:r>
            <w:r>
              <w:rPr>
                <w:lang w:val="es-ES_tradnl"/>
              </w:rPr>
              <w:tab/>
              <w:t>–220,9</w:t>
            </w:r>
            <w:r>
              <w:rPr>
                <w:lang w:val="es-ES_tradnl"/>
              </w:rPr>
              <w:br/>
            </w:r>
            <w:r>
              <w:rPr>
                <w:lang w:val="es-ES_tradnl"/>
              </w:rPr>
              <w:tab/>
              <w:t>–220,5</w:t>
            </w:r>
            <w:r>
              <w:rPr>
                <w:lang w:val="es-ES_tradnl"/>
              </w:rPr>
              <w:br/>
            </w:r>
            <w:r>
              <w:rPr>
                <w:lang w:val="es-ES_tradnl"/>
              </w:rPr>
              <w:tab/>
              <w:t>–217,3</w:t>
            </w:r>
          </w:p>
        </w:tc>
      </w:tr>
    </w:tbl>
    <w:p w14:paraId="50A39BE2" w14:textId="77777777" w:rsidR="00B230E8" w:rsidRDefault="00B230E8" w:rsidP="00B230E8">
      <w:pPr>
        <w:pStyle w:val="Tablefin"/>
      </w:pPr>
    </w:p>
    <w:p w14:paraId="2FA00AD7" w14:textId="77777777" w:rsidR="00B230E8" w:rsidRDefault="00B230E8" w:rsidP="00B230E8">
      <w:pPr>
        <w:pStyle w:val="Heading2"/>
        <w:rPr>
          <w:lang w:val="es-ES_tradnl"/>
        </w:rPr>
      </w:pPr>
      <w:r>
        <w:rPr>
          <w:lang w:val="es-ES_tradnl"/>
        </w:rPr>
        <w:t>2.3</w:t>
      </w:r>
      <w:r>
        <w:rPr>
          <w:lang w:val="es-ES_tradnl"/>
        </w:rPr>
        <w:tab/>
        <w:t>Criterios de protección en los receptores de estaciones terrenas que trabajan con el espacio lejano</w:t>
      </w:r>
    </w:p>
    <w:p w14:paraId="29CC9680" w14:textId="77777777" w:rsidR="00B230E8" w:rsidRDefault="00B230E8" w:rsidP="00B230E8">
      <w:pPr>
        <w:rPr>
          <w:lang w:val="es-ES_tradnl"/>
        </w:rPr>
      </w:pPr>
      <w:r>
        <w:rPr>
          <w:lang w:val="es-ES_tradnl"/>
        </w:rPr>
        <w:t>El Cuadro 5 indica la interferencia máxima con la que no se rebasará la degradación admisible de la característica de funcionamiento de los receptores de estación terrena. Estos valores constituyen los criterios de protección para los receptores de las estaciones terrenas que trabajan con el espacio lejano: una interferencia mayor es perjudicial. También se incluye el valor correspondiente de la densidad espectral de flujo de potencia en la abertura de una antena de 70 m. La antena tiene una eficacia de superficie aproximada del 70% para las bandas inferiores y 40% a 32 GHz.</w:t>
      </w:r>
    </w:p>
    <w:p w14:paraId="28B66F6A" w14:textId="77777777" w:rsidR="00B230E8" w:rsidRDefault="00B230E8" w:rsidP="00B230E8">
      <w:pPr>
        <w:pStyle w:val="Table"/>
        <w:rPr>
          <w:lang w:val="es-ES_tradnl"/>
        </w:rPr>
      </w:pPr>
      <w:r>
        <w:rPr>
          <w:lang w:val="es-ES_tradnl"/>
        </w:rPr>
        <w:t>CUADRO  5</w:t>
      </w:r>
    </w:p>
    <w:p w14:paraId="79DCF0D9" w14:textId="77777777" w:rsidR="00B230E8" w:rsidRDefault="00B230E8" w:rsidP="00B230E8">
      <w:pPr>
        <w:pStyle w:val="TableTitle0"/>
        <w:rPr>
          <w:lang w:val="es-ES_tradnl"/>
        </w:rPr>
      </w:pPr>
      <w:r>
        <w:rPr>
          <w:lang w:val="es-ES_tradnl"/>
        </w:rPr>
        <w:t>Protección contra la interferencia de los receptores de estaciones</w:t>
      </w:r>
      <w:r>
        <w:rPr>
          <w:lang w:val="es-ES_tradnl"/>
        </w:rPr>
        <w:br/>
        <w:t>terrenas para el espacio lejano</w:t>
      </w:r>
    </w:p>
    <w:tbl>
      <w:tblPr>
        <w:tblW w:w="0" w:type="auto"/>
        <w:jc w:val="center"/>
        <w:tblLayout w:type="fixed"/>
        <w:tblLook w:val="0000" w:firstRow="0" w:lastRow="0" w:firstColumn="0" w:lastColumn="0" w:noHBand="0" w:noVBand="0"/>
      </w:tblPr>
      <w:tblGrid>
        <w:gridCol w:w="1755"/>
        <w:gridCol w:w="3232"/>
        <w:gridCol w:w="3232"/>
      </w:tblGrid>
      <w:tr w:rsidR="00B230E8" w14:paraId="632AA811" w14:textId="77777777">
        <w:tblPrEx>
          <w:tblCellMar>
            <w:top w:w="0" w:type="dxa"/>
            <w:bottom w:w="0" w:type="dxa"/>
          </w:tblCellMar>
        </w:tblPrEx>
        <w:trPr>
          <w:cantSplit/>
          <w:jc w:val="center"/>
        </w:trPr>
        <w:tc>
          <w:tcPr>
            <w:tcW w:w="1755" w:type="dxa"/>
            <w:tcBorders>
              <w:top w:val="single" w:sz="6" w:space="0" w:color="auto"/>
              <w:left w:val="single" w:sz="6" w:space="0" w:color="auto"/>
              <w:bottom w:val="single" w:sz="6" w:space="0" w:color="auto"/>
              <w:right w:val="single" w:sz="6" w:space="0" w:color="auto"/>
            </w:tcBorders>
          </w:tcPr>
          <w:p w14:paraId="2C10AFA4" w14:textId="77777777" w:rsidR="00B230E8" w:rsidRPr="00A96126" w:rsidRDefault="00B230E8" w:rsidP="00A96126">
            <w:pPr>
              <w:pStyle w:val="TableText0"/>
              <w:spacing w:before="200"/>
              <w:jc w:val="center"/>
              <w:rPr>
                <w:b/>
                <w:lang w:val="es-ES_tradnl"/>
              </w:rPr>
            </w:pPr>
            <w:r w:rsidRPr="00A96126">
              <w:rPr>
                <w:b/>
                <w:lang w:val="es-ES_tradnl"/>
              </w:rPr>
              <w:t>Banda</w:t>
            </w:r>
            <w:r w:rsidRPr="00A96126">
              <w:rPr>
                <w:b/>
                <w:lang w:val="es-ES_tradnl"/>
              </w:rPr>
              <w:br/>
              <w:t>(GHz)</w:t>
            </w:r>
          </w:p>
        </w:tc>
        <w:tc>
          <w:tcPr>
            <w:tcW w:w="3232" w:type="dxa"/>
            <w:tcBorders>
              <w:top w:val="single" w:sz="6" w:space="0" w:color="auto"/>
              <w:left w:val="single" w:sz="6" w:space="0" w:color="auto"/>
              <w:bottom w:val="single" w:sz="6" w:space="0" w:color="auto"/>
              <w:right w:val="single" w:sz="6" w:space="0" w:color="auto"/>
            </w:tcBorders>
          </w:tcPr>
          <w:p w14:paraId="172EF555" w14:textId="77777777" w:rsidR="00B230E8" w:rsidRPr="00A96126" w:rsidRDefault="00B230E8" w:rsidP="00A96126">
            <w:pPr>
              <w:pStyle w:val="TableText0"/>
              <w:jc w:val="center"/>
              <w:rPr>
                <w:b/>
                <w:lang w:val="es-ES_tradnl"/>
              </w:rPr>
            </w:pPr>
            <w:r w:rsidRPr="00A96126">
              <w:rPr>
                <w:b/>
                <w:lang w:val="es-ES_tradnl"/>
              </w:rPr>
              <w:t>Máxima densidad espectral de potencia de interferencia admisible</w:t>
            </w:r>
            <w:r w:rsidRPr="00A96126">
              <w:rPr>
                <w:b/>
                <w:lang w:val="es-ES_tradnl"/>
              </w:rPr>
              <w:br/>
              <w:t>(dB(W/Hz))</w:t>
            </w:r>
          </w:p>
        </w:tc>
        <w:tc>
          <w:tcPr>
            <w:tcW w:w="3232" w:type="dxa"/>
            <w:tcBorders>
              <w:top w:val="single" w:sz="6" w:space="0" w:color="auto"/>
              <w:left w:val="single" w:sz="6" w:space="0" w:color="auto"/>
              <w:bottom w:val="single" w:sz="6" w:space="0" w:color="auto"/>
              <w:right w:val="single" w:sz="6" w:space="0" w:color="auto"/>
            </w:tcBorders>
          </w:tcPr>
          <w:p w14:paraId="7F866DAE" w14:textId="77777777" w:rsidR="00B230E8" w:rsidRPr="00A96126" w:rsidRDefault="00B230E8" w:rsidP="00A96126">
            <w:pPr>
              <w:pStyle w:val="TableText0"/>
              <w:jc w:val="center"/>
              <w:rPr>
                <w:b/>
                <w:lang w:val="es-ES_tradnl"/>
              </w:rPr>
            </w:pPr>
            <w:r w:rsidRPr="00A96126">
              <w:rPr>
                <w:b/>
                <w:lang w:val="es-ES_tradnl"/>
              </w:rPr>
              <w:t>Máxima densidad espectral de flujo de potencia de interferencia admisible</w:t>
            </w:r>
            <w:r w:rsidRPr="00A96126">
              <w:rPr>
                <w:b/>
                <w:lang w:val="es-ES_tradnl"/>
              </w:rPr>
              <w:br/>
              <w:t>(</w:t>
            </w:r>
            <w:proofErr w:type="gramStart"/>
            <w:r w:rsidRPr="00A96126">
              <w:rPr>
                <w:b/>
                <w:lang w:val="es-ES_tradnl"/>
              </w:rPr>
              <w:t>dB(</w:t>
            </w:r>
            <w:proofErr w:type="gramEnd"/>
            <w:r w:rsidRPr="00A96126">
              <w:rPr>
                <w:b/>
                <w:lang w:val="es-ES_tradnl"/>
              </w:rPr>
              <w:t>W/m</w:t>
            </w:r>
            <w:r w:rsidRPr="00A96126">
              <w:rPr>
                <w:b/>
                <w:position w:val="6"/>
                <w:sz w:val="14"/>
                <w:lang w:val="es-ES_tradnl"/>
              </w:rPr>
              <w:t>2</w:t>
            </w:r>
            <w:r w:rsidRPr="00A96126">
              <w:rPr>
                <w:b/>
                <w:lang w:val="es-ES_tradnl"/>
              </w:rPr>
              <w:t xml:space="preserve"> · Hz))</w:t>
            </w:r>
          </w:p>
        </w:tc>
      </w:tr>
      <w:tr w:rsidR="00B230E8" w14:paraId="76A53C1C" w14:textId="77777777">
        <w:tblPrEx>
          <w:tblCellMar>
            <w:top w:w="0" w:type="dxa"/>
            <w:bottom w:w="0" w:type="dxa"/>
          </w:tblCellMar>
        </w:tblPrEx>
        <w:trPr>
          <w:cantSplit/>
          <w:jc w:val="center"/>
        </w:trPr>
        <w:tc>
          <w:tcPr>
            <w:tcW w:w="1755" w:type="dxa"/>
            <w:tcBorders>
              <w:top w:val="single" w:sz="6" w:space="0" w:color="auto"/>
              <w:left w:val="single" w:sz="6" w:space="0" w:color="auto"/>
              <w:bottom w:val="single" w:sz="6" w:space="0" w:color="auto"/>
              <w:right w:val="single" w:sz="6" w:space="0" w:color="auto"/>
            </w:tcBorders>
          </w:tcPr>
          <w:p w14:paraId="767E77C1" w14:textId="77777777" w:rsidR="00B230E8" w:rsidRDefault="00B230E8" w:rsidP="00A96126">
            <w:pPr>
              <w:pStyle w:val="TableText0"/>
              <w:tabs>
                <w:tab w:val="clear" w:pos="794"/>
                <w:tab w:val="clear" w:pos="1191"/>
                <w:tab w:val="clear" w:pos="1588"/>
                <w:tab w:val="clear" w:pos="1985"/>
                <w:tab w:val="right" w:pos="1134"/>
              </w:tabs>
              <w:spacing w:before="60" w:after="60"/>
              <w:rPr>
                <w:lang w:val="es-ES_tradnl"/>
              </w:rPr>
            </w:pPr>
            <w:r>
              <w:rPr>
                <w:lang w:val="es-ES_tradnl"/>
              </w:rPr>
              <w:tab/>
              <w:t>2,29-2,30</w:t>
            </w:r>
            <w:r>
              <w:rPr>
                <w:lang w:val="es-ES_tradnl"/>
              </w:rPr>
              <w:br/>
            </w:r>
            <w:r>
              <w:rPr>
                <w:lang w:val="es-ES_tradnl"/>
              </w:rPr>
              <w:tab/>
              <w:t>8,40-8,45</w:t>
            </w:r>
            <w:r>
              <w:rPr>
                <w:lang w:val="es-ES_tradnl"/>
              </w:rPr>
              <w:br/>
            </w:r>
            <w:r>
              <w:rPr>
                <w:lang w:val="es-ES_tradnl"/>
              </w:rPr>
              <w:tab/>
              <w:t>12,75-13,25</w:t>
            </w:r>
            <w:r>
              <w:rPr>
                <w:lang w:val="es-ES_tradnl"/>
              </w:rPr>
              <w:br/>
            </w:r>
            <w:r>
              <w:rPr>
                <w:lang w:val="es-ES_tradnl"/>
              </w:rPr>
              <w:tab/>
              <w:t>31,8-32,3</w:t>
            </w:r>
          </w:p>
        </w:tc>
        <w:tc>
          <w:tcPr>
            <w:tcW w:w="3232" w:type="dxa"/>
            <w:tcBorders>
              <w:top w:val="single" w:sz="6" w:space="0" w:color="auto"/>
              <w:left w:val="single" w:sz="6" w:space="0" w:color="auto"/>
              <w:bottom w:val="single" w:sz="6" w:space="0" w:color="auto"/>
              <w:right w:val="single" w:sz="6" w:space="0" w:color="auto"/>
            </w:tcBorders>
          </w:tcPr>
          <w:p w14:paraId="6CC5104F" w14:textId="77777777" w:rsidR="00B230E8" w:rsidRDefault="00B230E8" w:rsidP="00A96126">
            <w:pPr>
              <w:pStyle w:val="TableText0"/>
              <w:tabs>
                <w:tab w:val="clear" w:pos="794"/>
                <w:tab w:val="clear" w:pos="1191"/>
                <w:tab w:val="clear" w:pos="1588"/>
                <w:tab w:val="clear" w:pos="1985"/>
                <w:tab w:val="right" w:pos="1701"/>
              </w:tabs>
              <w:spacing w:before="60" w:after="60"/>
              <w:rPr>
                <w:lang w:val="es-ES_tradnl"/>
              </w:rPr>
            </w:pPr>
            <w:r>
              <w:rPr>
                <w:lang w:val="es-ES_tradnl"/>
              </w:rPr>
              <w:tab/>
              <w:t>–222,5</w:t>
            </w:r>
            <w:r>
              <w:rPr>
                <w:lang w:val="es-ES_tradnl"/>
              </w:rPr>
              <w:br/>
            </w:r>
            <w:r>
              <w:rPr>
                <w:lang w:val="es-ES_tradnl"/>
              </w:rPr>
              <w:tab/>
              <w:t>–220,9</w:t>
            </w:r>
            <w:r>
              <w:rPr>
                <w:lang w:val="es-ES_tradnl"/>
              </w:rPr>
              <w:br/>
            </w:r>
            <w:r>
              <w:rPr>
                <w:lang w:val="es-ES_tradnl"/>
              </w:rPr>
              <w:tab/>
              <w:t>–220,5</w:t>
            </w:r>
            <w:r>
              <w:rPr>
                <w:lang w:val="es-ES_tradnl"/>
              </w:rPr>
              <w:br/>
            </w:r>
            <w:r>
              <w:rPr>
                <w:lang w:val="es-ES_tradnl"/>
              </w:rPr>
              <w:tab/>
              <w:t>–217,3</w:t>
            </w:r>
          </w:p>
        </w:tc>
        <w:tc>
          <w:tcPr>
            <w:tcW w:w="3232" w:type="dxa"/>
            <w:tcBorders>
              <w:top w:val="single" w:sz="6" w:space="0" w:color="auto"/>
              <w:left w:val="single" w:sz="6" w:space="0" w:color="auto"/>
              <w:bottom w:val="single" w:sz="6" w:space="0" w:color="auto"/>
              <w:right w:val="single" w:sz="6" w:space="0" w:color="auto"/>
            </w:tcBorders>
          </w:tcPr>
          <w:p w14:paraId="5F0FA7CD" w14:textId="77777777" w:rsidR="00B230E8" w:rsidRDefault="00B230E8" w:rsidP="00A96126">
            <w:pPr>
              <w:pStyle w:val="TableText0"/>
              <w:tabs>
                <w:tab w:val="clear" w:pos="794"/>
                <w:tab w:val="clear" w:pos="1191"/>
                <w:tab w:val="clear" w:pos="1588"/>
                <w:tab w:val="clear" w:pos="1985"/>
                <w:tab w:val="right" w:pos="1701"/>
              </w:tabs>
              <w:spacing w:before="60" w:after="60"/>
              <w:rPr>
                <w:lang w:val="es-ES_tradnl"/>
              </w:rPr>
            </w:pPr>
            <w:r>
              <w:rPr>
                <w:lang w:val="es-ES_tradnl"/>
              </w:rPr>
              <w:tab/>
              <w:t>–257,0</w:t>
            </w:r>
            <w:r>
              <w:rPr>
                <w:lang w:val="es-ES_tradnl"/>
              </w:rPr>
              <w:br/>
            </w:r>
            <w:r>
              <w:rPr>
                <w:lang w:val="es-ES_tradnl"/>
              </w:rPr>
              <w:tab/>
              <w:t>–255,1</w:t>
            </w:r>
            <w:r>
              <w:rPr>
                <w:lang w:val="es-ES_tradnl"/>
              </w:rPr>
              <w:br/>
            </w:r>
            <w:r>
              <w:rPr>
                <w:lang w:val="es-ES_tradnl"/>
              </w:rPr>
              <w:tab/>
              <w:t>–254,3</w:t>
            </w:r>
            <w:r>
              <w:rPr>
                <w:lang w:val="es-ES_tradnl"/>
              </w:rPr>
              <w:br/>
            </w:r>
            <w:r>
              <w:rPr>
                <w:lang w:val="es-ES_tradnl"/>
              </w:rPr>
              <w:tab/>
              <w:t>–249,3</w:t>
            </w:r>
          </w:p>
        </w:tc>
      </w:tr>
    </w:tbl>
    <w:p w14:paraId="3BFFF9CE" w14:textId="77777777" w:rsidR="00B230E8" w:rsidRDefault="00B230E8" w:rsidP="00B230E8">
      <w:pPr>
        <w:pStyle w:val="Tablefin"/>
      </w:pPr>
    </w:p>
    <w:p w14:paraId="661F2295" w14:textId="77777777" w:rsidR="00B230E8" w:rsidRDefault="00B230E8" w:rsidP="00B230E8">
      <w:pPr>
        <w:rPr>
          <w:lang w:val="es-ES_tradnl"/>
        </w:rPr>
      </w:pPr>
      <w:r>
        <w:rPr>
          <w:lang w:val="es-ES_tradnl"/>
        </w:rPr>
        <w:lastRenderedPageBreak/>
        <w:t>Para proteger los receptores de estación terrena, la densidad espectral de potencia de la interferencia de tipo ruido o la potencia total de interferencia de onda continua no deberán rebasar el valor indicado en el Cuadro 5 durante un tiempo total de cinco minutos de cualquier día.</w:t>
      </w:r>
    </w:p>
    <w:p w14:paraId="537EAAA9" w14:textId="77777777" w:rsidR="00B230E8" w:rsidRDefault="00B230E8" w:rsidP="00B230E8">
      <w:pPr>
        <w:rPr>
          <w:lang w:val="es-ES_tradnl"/>
        </w:rPr>
      </w:pPr>
      <w:r>
        <w:rPr>
          <w:lang w:val="es-ES_tradnl"/>
        </w:rPr>
        <w:t xml:space="preserve">Para obtener la zona de coordinación de una estación terrena, hay que considerar la propagación debida a la fluctuación de las condiciones meteorológicas. Para limitar a menos de 5 min durante cualquier día del año las interrupciones del servicio debidas al aumento de la propagación </w:t>
      </w:r>
      <w:proofErr w:type="spellStart"/>
      <w:r>
        <w:rPr>
          <w:lang w:val="es-ES_tradnl"/>
        </w:rPr>
        <w:t>transhorizonte</w:t>
      </w:r>
      <w:proofErr w:type="spellEnd"/>
      <w:r>
        <w:rPr>
          <w:lang w:val="es-ES_tradnl"/>
        </w:rPr>
        <w:t>, es necesario prever la propagación en la hora peor meteorológica del año y en los peores 5 min de dicha hora. Esta condición corresponde al 0,001% del tiempo.</w:t>
      </w:r>
    </w:p>
    <w:p w14:paraId="3D65EAE3" w14:textId="77777777" w:rsidR="00B230E8" w:rsidRDefault="00B230E8" w:rsidP="00B230E8">
      <w:pPr>
        <w:rPr>
          <w:lang w:val="es-ES_tradnl"/>
        </w:rPr>
      </w:pPr>
      <w:r>
        <w:rPr>
          <w:lang w:val="es-ES_tradnl"/>
        </w:rPr>
        <w:t xml:space="preserve">El Apéndice </w:t>
      </w:r>
      <w:r w:rsidR="00A96126">
        <w:rPr>
          <w:lang w:val="es-ES_tradnl"/>
        </w:rPr>
        <w:t xml:space="preserve">7 </w:t>
      </w:r>
      <w:r>
        <w:rPr>
          <w:lang w:val="es-ES_tradnl"/>
        </w:rPr>
        <w:t>al Reglamento de Radiocomunicaciones</w:t>
      </w:r>
      <w:r w:rsidR="00A96126">
        <w:rPr>
          <w:lang w:val="es-ES_tradnl"/>
        </w:rPr>
        <w:t xml:space="preserve"> (RR)</w:t>
      </w:r>
      <w:r>
        <w:rPr>
          <w:lang w:val="es-ES_tradnl"/>
        </w:rPr>
        <w:t xml:space="preserve"> muestra que la aplicación de la condición meteorológica del 0,001% conduce a una distancia de coordinación ligeramente mayor a la necesaria para un servicio capaz de tolerar interrupciones mayores.</w:t>
      </w:r>
    </w:p>
    <w:p w14:paraId="09F0E9F9" w14:textId="77777777" w:rsidR="00B230E8" w:rsidRDefault="00B230E8" w:rsidP="00B230E8">
      <w:pPr>
        <w:pStyle w:val="Heading1"/>
        <w:rPr>
          <w:lang w:val="es-ES_tradnl"/>
        </w:rPr>
      </w:pPr>
      <w:r>
        <w:rPr>
          <w:lang w:val="es-ES_tradnl"/>
        </w:rPr>
        <w:t>3</w:t>
      </w:r>
      <w:r>
        <w:rPr>
          <w:lang w:val="es-ES_tradnl"/>
        </w:rPr>
        <w:tab/>
      </w:r>
      <w:proofErr w:type="gramStart"/>
      <w:r>
        <w:rPr>
          <w:lang w:val="es-ES_tradnl"/>
        </w:rPr>
        <w:t>Criterios</w:t>
      </w:r>
      <w:proofErr w:type="gramEnd"/>
      <w:r>
        <w:rPr>
          <w:lang w:val="es-ES_tradnl"/>
        </w:rPr>
        <w:t xml:space="preserve"> de protección de las estaciones del espacio lejano</w:t>
      </w:r>
    </w:p>
    <w:p w14:paraId="7A4CB152" w14:textId="77777777" w:rsidR="00B230E8" w:rsidRDefault="00B230E8" w:rsidP="00B230E8">
      <w:pPr>
        <w:rPr>
          <w:lang w:val="es-ES_tradnl"/>
        </w:rPr>
      </w:pPr>
      <w:r>
        <w:rPr>
          <w:lang w:val="es-ES_tradnl"/>
        </w:rPr>
        <w:t>Los receptores de estación espacial y de estación terrena para la investigación del espacio lejano funcionan de manera similar, salvo en cuanto a que la estación espacial no incluye un máser. Las estaciones espaciales son sensibles a la interferencia en una forma análoga a la descrita para las estaciones terrenas.</w:t>
      </w:r>
    </w:p>
    <w:p w14:paraId="6B3B9C02" w14:textId="77777777" w:rsidR="00B230E8" w:rsidRDefault="00B230E8" w:rsidP="00B230E8">
      <w:pPr>
        <w:rPr>
          <w:lang w:val="es-ES_tradnl"/>
        </w:rPr>
      </w:pPr>
      <w:r>
        <w:rPr>
          <w:lang w:val="es-ES_tradnl"/>
        </w:rPr>
        <w:t>El criterio para la protección de los receptores de estación del espacio lejano es el siguiente: la potencia interferente no deberá ser superior a la potencia de ruido del receptor. En comparación con los criterios para los receptores de estación terrena para el espacio lejano, éste es menos riguroso y se debe a que los márgenes de funcionamiento suelen ser más amplios en el enlace Tierra-espacio. Para la protección de estaciones del espacio lejano, la densidad espectral de potencia de las señales interferentes de banda ancha, o la potencia total de la señal interferente de onda continua, en cualquier banda de 20 Hz, no debe ser superior al valor indicado en el Cuadro 6 en los terminales de entrada del receptor: una interferencia superior es perjudicial. La anchura de banda de 20 Hz especificada equivale a la anchura de banda del bucle de seguimiento de la portadora del transpondedor del vehículo espacial, para una intensidad de umbral de la señal. Los valores de la temperatura de ruido mostrados en el Cuadro 6, corresponden a cálculos de sistemas actuales prácticos que podrían utilizarse en el espacio lejano.</w:t>
      </w:r>
    </w:p>
    <w:p w14:paraId="68DCF76E" w14:textId="77777777" w:rsidR="00A23E5A" w:rsidRDefault="00A23E5A" w:rsidP="00B230E8">
      <w:pPr>
        <w:rPr>
          <w:lang w:val="es-ES_tradnl"/>
        </w:rPr>
      </w:pPr>
    </w:p>
    <w:p w14:paraId="000D16CC" w14:textId="77777777" w:rsidR="00B230E8" w:rsidRDefault="00B230E8" w:rsidP="00B230E8">
      <w:pPr>
        <w:pStyle w:val="Table"/>
        <w:rPr>
          <w:lang w:val="es-ES_tradnl"/>
        </w:rPr>
      </w:pPr>
      <w:r>
        <w:rPr>
          <w:lang w:val="es-ES_tradnl"/>
        </w:rPr>
        <w:t>CUADRO  6</w:t>
      </w:r>
    </w:p>
    <w:p w14:paraId="11304FCD" w14:textId="77777777" w:rsidR="00B230E8" w:rsidRDefault="00B230E8" w:rsidP="00B230E8">
      <w:pPr>
        <w:pStyle w:val="TableTitle0"/>
        <w:rPr>
          <w:lang w:val="es-ES_tradnl"/>
        </w:rPr>
      </w:pPr>
      <w:r>
        <w:rPr>
          <w:lang w:val="es-ES_tradnl"/>
        </w:rPr>
        <w:t>Protección de receptores para el espacio lejano contra la interferencia</w:t>
      </w:r>
    </w:p>
    <w:tbl>
      <w:tblPr>
        <w:tblW w:w="0" w:type="auto"/>
        <w:jc w:val="center"/>
        <w:tblLayout w:type="fixed"/>
        <w:tblLook w:val="0000" w:firstRow="0" w:lastRow="0" w:firstColumn="0" w:lastColumn="0" w:noHBand="0" w:noVBand="0"/>
      </w:tblPr>
      <w:tblGrid>
        <w:gridCol w:w="1418"/>
        <w:gridCol w:w="2475"/>
        <w:gridCol w:w="2855"/>
      </w:tblGrid>
      <w:tr w:rsidR="00B230E8" w14:paraId="1BB6D9E2" w14:textId="77777777">
        <w:tblPrEx>
          <w:tblCellMar>
            <w:top w:w="0" w:type="dxa"/>
            <w:bottom w:w="0" w:type="dxa"/>
          </w:tblCellMar>
        </w:tblPrEx>
        <w:trPr>
          <w:cantSplit/>
          <w:jc w:val="center"/>
        </w:trPr>
        <w:tc>
          <w:tcPr>
            <w:tcW w:w="1418" w:type="dxa"/>
            <w:tcBorders>
              <w:top w:val="single" w:sz="6" w:space="0" w:color="auto"/>
              <w:left w:val="single" w:sz="6" w:space="0" w:color="auto"/>
              <w:bottom w:val="single" w:sz="6" w:space="0" w:color="auto"/>
              <w:right w:val="single" w:sz="6" w:space="0" w:color="auto"/>
            </w:tcBorders>
          </w:tcPr>
          <w:p w14:paraId="05722E17" w14:textId="77777777" w:rsidR="00B230E8" w:rsidRPr="00A96126" w:rsidRDefault="00B230E8" w:rsidP="00A96126">
            <w:pPr>
              <w:pStyle w:val="TableText0"/>
              <w:spacing w:before="200"/>
              <w:jc w:val="center"/>
              <w:rPr>
                <w:b/>
                <w:lang w:val="es-ES_tradnl"/>
              </w:rPr>
            </w:pPr>
            <w:r w:rsidRPr="00A96126">
              <w:rPr>
                <w:b/>
                <w:lang w:val="es-ES_tradnl"/>
              </w:rPr>
              <w:t>Banda</w:t>
            </w:r>
            <w:r w:rsidRPr="00A96126">
              <w:rPr>
                <w:b/>
                <w:lang w:val="es-ES_tradnl"/>
              </w:rPr>
              <w:br/>
              <w:t>(GHz)</w:t>
            </w:r>
          </w:p>
        </w:tc>
        <w:tc>
          <w:tcPr>
            <w:tcW w:w="2475" w:type="dxa"/>
            <w:tcBorders>
              <w:top w:val="single" w:sz="6" w:space="0" w:color="auto"/>
              <w:left w:val="single" w:sz="6" w:space="0" w:color="auto"/>
              <w:bottom w:val="single" w:sz="6" w:space="0" w:color="auto"/>
              <w:right w:val="single" w:sz="6" w:space="0" w:color="auto"/>
            </w:tcBorders>
          </w:tcPr>
          <w:p w14:paraId="085ED57C" w14:textId="77777777" w:rsidR="00B230E8" w:rsidRPr="00A96126" w:rsidRDefault="00B230E8" w:rsidP="00A96126">
            <w:pPr>
              <w:pStyle w:val="TableText0"/>
              <w:jc w:val="center"/>
              <w:rPr>
                <w:b/>
                <w:lang w:val="es-ES_tradnl"/>
              </w:rPr>
            </w:pPr>
            <w:r w:rsidRPr="00A96126">
              <w:rPr>
                <w:b/>
                <w:lang w:val="es-ES_tradnl"/>
              </w:rPr>
              <w:t>Temperatura de ruido</w:t>
            </w:r>
            <w:r w:rsidRPr="00A96126">
              <w:rPr>
                <w:b/>
                <w:lang w:val="es-ES_tradnl"/>
              </w:rPr>
              <w:br/>
              <w:t>del receptor</w:t>
            </w:r>
            <w:r w:rsidRPr="00A96126">
              <w:rPr>
                <w:b/>
                <w:lang w:val="es-ES_tradnl"/>
              </w:rPr>
              <w:br/>
              <w:t>(K)</w:t>
            </w:r>
          </w:p>
        </w:tc>
        <w:tc>
          <w:tcPr>
            <w:tcW w:w="2855" w:type="dxa"/>
            <w:tcBorders>
              <w:top w:val="single" w:sz="6" w:space="0" w:color="auto"/>
              <w:left w:val="single" w:sz="6" w:space="0" w:color="auto"/>
              <w:bottom w:val="single" w:sz="6" w:space="0" w:color="auto"/>
              <w:right w:val="single" w:sz="6" w:space="0" w:color="auto"/>
            </w:tcBorders>
          </w:tcPr>
          <w:p w14:paraId="3930AF03" w14:textId="77777777" w:rsidR="00B230E8" w:rsidRPr="00A96126" w:rsidRDefault="00B230E8" w:rsidP="00A96126">
            <w:pPr>
              <w:pStyle w:val="TableText0"/>
              <w:jc w:val="center"/>
              <w:rPr>
                <w:b/>
                <w:lang w:val="es-ES_tradnl"/>
              </w:rPr>
            </w:pPr>
            <w:r w:rsidRPr="00A96126">
              <w:rPr>
                <w:b/>
                <w:lang w:val="es-ES_tradnl"/>
              </w:rPr>
              <w:t>Máxima densidad espectral de potencia de interferencia admisible (dB(W/Hz))</w:t>
            </w:r>
          </w:p>
        </w:tc>
      </w:tr>
      <w:tr w:rsidR="00B230E8" w14:paraId="216ADEE8" w14:textId="77777777">
        <w:tblPrEx>
          <w:tblCellMar>
            <w:top w:w="0" w:type="dxa"/>
            <w:bottom w:w="0" w:type="dxa"/>
          </w:tblCellMar>
        </w:tblPrEx>
        <w:trPr>
          <w:cantSplit/>
          <w:jc w:val="center"/>
        </w:trPr>
        <w:tc>
          <w:tcPr>
            <w:tcW w:w="1418" w:type="dxa"/>
            <w:tcBorders>
              <w:top w:val="single" w:sz="6" w:space="0" w:color="auto"/>
              <w:left w:val="single" w:sz="6" w:space="0" w:color="auto"/>
              <w:bottom w:val="single" w:sz="6" w:space="0" w:color="auto"/>
              <w:right w:val="single" w:sz="6" w:space="0" w:color="auto"/>
            </w:tcBorders>
          </w:tcPr>
          <w:p w14:paraId="50D1618E" w14:textId="77777777" w:rsidR="00B230E8" w:rsidRDefault="00B230E8" w:rsidP="00A96126">
            <w:pPr>
              <w:pStyle w:val="TableText0"/>
              <w:tabs>
                <w:tab w:val="clear" w:pos="794"/>
                <w:tab w:val="clear" w:pos="1191"/>
                <w:tab w:val="clear" w:pos="1588"/>
                <w:tab w:val="clear" w:pos="1985"/>
                <w:tab w:val="right" w:pos="709"/>
              </w:tabs>
              <w:rPr>
                <w:lang w:val="es-ES_tradnl"/>
              </w:rPr>
            </w:pPr>
            <w:r>
              <w:rPr>
                <w:lang w:val="es-ES_tradnl"/>
              </w:rPr>
              <w:t>2,1</w:t>
            </w:r>
            <w:r w:rsidR="00A96126">
              <w:rPr>
                <w:lang w:val="es-ES_tradnl"/>
              </w:rPr>
              <w:t>1-2,12</w:t>
            </w:r>
            <w:r>
              <w:rPr>
                <w:lang w:val="es-ES_tradnl"/>
              </w:rPr>
              <w:br/>
            </w:r>
            <w:r w:rsidR="00A96126">
              <w:rPr>
                <w:lang w:val="es-ES_tradnl"/>
              </w:rPr>
              <w:t>7,145-7,190</w:t>
            </w:r>
            <w:r>
              <w:rPr>
                <w:lang w:val="es-ES_tradnl"/>
              </w:rPr>
              <w:br/>
            </w:r>
            <w:r w:rsidR="00A96126">
              <w:rPr>
                <w:lang w:val="es-ES_tradnl"/>
              </w:rPr>
              <w:t>16,6-17,1</w:t>
            </w:r>
            <w:r>
              <w:rPr>
                <w:lang w:val="es-ES_tradnl"/>
              </w:rPr>
              <w:br/>
            </w:r>
            <w:r w:rsidR="00A96126">
              <w:rPr>
                <w:lang w:val="es-ES_tradnl"/>
              </w:rPr>
              <w:t>34,2-34,7</w:t>
            </w:r>
          </w:p>
        </w:tc>
        <w:tc>
          <w:tcPr>
            <w:tcW w:w="2475" w:type="dxa"/>
            <w:tcBorders>
              <w:top w:val="single" w:sz="6" w:space="0" w:color="auto"/>
              <w:left w:val="single" w:sz="6" w:space="0" w:color="auto"/>
              <w:bottom w:val="single" w:sz="6" w:space="0" w:color="auto"/>
              <w:right w:val="single" w:sz="6" w:space="0" w:color="auto"/>
            </w:tcBorders>
          </w:tcPr>
          <w:p w14:paraId="0B98761B" w14:textId="77777777" w:rsidR="00B230E8" w:rsidRDefault="00B230E8" w:rsidP="00A96126">
            <w:pPr>
              <w:pStyle w:val="TableText0"/>
              <w:tabs>
                <w:tab w:val="clear" w:pos="794"/>
                <w:tab w:val="clear" w:pos="1191"/>
                <w:tab w:val="clear" w:pos="1588"/>
                <w:tab w:val="clear" w:pos="1985"/>
                <w:tab w:val="right" w:pos="1276"/>
              </w:tabs>
              <w:rPr>
                <w:lang w:val="es-ES_tradnl"/>
              </w:rPr>
            </w:pPr>
            <w:r>
              <w:rPr>
                <w:lang w:val="es-ES_tradnl"/>
              </w:rPr>
              <w:tab/>
              <w:t>200</w:t>
            </w:r>
            <w:r>
              <w:rPr>
                <w:lang w:val="es-ES_tradnl"/>
              </w:rPr>
              <w:br/>
            </w:r>
            <w:r>
              <w:rPr>
                <w:lang w:val="es-ES_tradnl"/>
              </w:rPr>
              <w:tab/>
              <w:t>330</w:t>
            </w:r>
            <w:r>
              <w:rPr>
                <w:lang w:val="es-ES_tradnl"/>
              </w:rPr>
              <w:br/>
            </w:r>
            <w:r>
              <w:rPr>
                <w:lang w:val="es-ES_tradnl"/>
              </w:rPr>
              <w:tab/>
              <w:t>910</w:t>
            </w:r>
            <w:r>
              <w:rPr>
                <w:lang w:val="es-ES_tradnl"/>
              </w:rPr>
              <w:br/>
            </w:r>
            <w:r>
              <w:rPr>
                <w:lang w:val="es-ES_tradnl"/>
              </w:rPr>
              <w:tab/>
              <w:t>2 000</w:t>
            </w:r>
          </w:p>
        </w:tc>
        <w:tc>
          <w:tcPr>
            <w:tcW w:w="2855" w:type="dxa"/>
            <w:tcBorders>
              <w:top w:val="single" w:sz="6" w:space="0" w:color="auto"/>
              <w:left w:val="single" w:sz="6" w:space="0" w:color="auto"/>
              <w:bottom w:val="single" w:sz="6" w:space="0" w:color="auto"/>
              <w:right w:val="single" w:sz="6" w:space="0" w:color="auto"/>
            </w:tcBorders>
          </w:tcPr>
          <w:p w14:paraId="72F7A466" w14:textId="77777777" w:rsidR="00B230E8" w:rsidRDefault="00B230E8" w:rsidP="00A96126">
            <w:pPr>
              <w:pStyle w:val="TableText0"/>
              <w:tabs>
                <w:tab w:val="clear" w:pos="794"/>
                <w:tab w:val="clear" w:pos="1191"/>
                <w:tab w:val="clear" w:pos="1588"/>
                <w:tab w:val="clear" w:pos="1985"/>
                <w:tab w:val="right" w:pos="1560"/>
              </w:tabs>
              <w:rPr>
                <w:lang w:val="es-ES_tradnl"/>
              </w:rPr>
            </w:pPr>
            <w:r>
              <w:rPr>
                <w:lang w:val="es-ES_tradnl"/>
              </w:rPr>
              <w:tab/>
              <w:t>–192,6</w:t>
            </w:r>
            <w:r>
              <w:rPr>
                <w:lang w:val="es-ES_tradnl"/>
              </w:rPr>
              <w:br/>
            </w:r>
            <w:r>
              <w:rPr>
                <w:lang w:val="es-ES_tradnl"/>
              </w:rPr>
              <w:tab/>
              <w:t>–190,4</w:t>
            </w:r>
            <w:r>
              <w:rPr>
                <w:lang w:val="es-ES_tradnl"/>
              </w:rPr>
              <w:br/>
            </w:r>
            <w:r>
              <w:rPr>
                <w:lang w:val="es-ES_tradnl"/>
              </w:rPr>
              <w:tab/>
              <w:t>–186,0</w:t>
            </w:r>
            <w:r>
              <w:rPr>
                <w:lang w:val="es-ES_tradnl"/>
              </w:rPr>
              <w:br/>
            </w:r>
            <w:r>
              <w:rPr>
                <w:lang w:val="es-ES_tradnl"/>
              </w:rPr>
              <w:tab/>
              <w:t>–182,6</w:t>
            </w:r>
          </w:p>
        </w:tc>
      </w:tr>
    </w:tbl>
    <w:p w14:paraId="1BF63BE1" w14:textId="77777777" w:rsidR="00B230E8" w:rsidRDefault="00B230E8" w:rsidP="00B230E8">
      <w:pPr>
        <w:pStyle w:val="Tablefin"/>
      </w:pPr>
    </w:p>
    <w:p w14:paraId="5063F929" w14:textId="77777777" w:rsidR="00B230E8" w:rsidRDefault="00B230E8" w:rsidP="00B230E8">
      <w:pPr>
        <w:pStyle w:val="AnnexNoTitle"/>
        <w:rPr>
          <w:lang w:val="es-ES_tradnl"/>
        </w:rPr>
      </w:pPr>
      <w:r>
        <w:rPr>
          <w:lang w:val="es-ES_tradnl"/>
        </w:rPr>
        <w:lastRenderedPageBreak/>
        <w:t>Anexo 2</w:t>
      </w:r>
      <w:r>
        <w:rPr>
          <w:lang w:val="es-ES_tradnl"/>
        </w:rPr>
        <w:br/>
      </w:r>
      <w:r>
        <w:rPr>
          <w:lang w:val="es-ES_tradnl"/>
        </w:rPr>
        <w:br/>
        <w:t>Sensibilidad a la interferencia de los sistemas de recepción</w:t>
      </w:r>
      <w:r>
        <w:rPr>
          <w:lang w:val="es-ES_tradnl"/>
        </w:rPr>
        <w:br/>
        <w:t>para la investigación del espacio lejano</w:t>
      </w:r>
    </w:p>
    <w:p w14:paraId="265A6C3E" w14:textId="77777777" w:rsidR="00B230E8" w:rsidRDefault="00B230E8" w:rsidP="00B230E8">
      <w:pPr>
        <w:pStyle w:val="Heading1"/>
        <w:rPr>
          <w:lang w:val="es-ES_tradnl"/>
        </w:rPr>
      </w:pPr>
      <w:r>
        <w:rPr>
          <w:lang w:val="es-ES_tradnl"/>
        </w:rPr>
        <w:t>1</w:t>
      </w:r>
      <w:r>
        <w:rPr>
          <w:lang w:val="es-ES_tradnl"/>
        </w:rPr>
        <w:tab/>
      </w:r>
      <w:proofErr w:type="gramStart"/>
      <w:r>
        <w:rPr>
          <w:lang w:val="es-ES_tradnl"/>
        </w:rPr>
        <w:t>Introducción</w:t>
      </w:r>
      <w:proofErr w:type="gramEnd"/>
    </w:p>
    <w:p w14:paraId="75F751E6" w14:textId="77777777" w:rsidR="00B230E8" w:rsidRDefault="00B230E8" w:rsidP="00B230E8">
      <w:pPr>
        <w:rPr>
          <w:lang w:val="es-ES_tradnl"/>
        </w:rPr>
      </w:pPr>
      <w:r>
        <w:rPr>
          <w:lang w:val="es-ES_tradnl"/>
        </w:rPr>
        <w:t xml:space="preserve">Este Anexo presenta información sobre la sensibilidad a la interferencia de los sistemas de recepción utilizados en las </w:t>
      </w:r>
      <w:r w:rsidR="00A96126">
        <w:rPr>
          <w:lang w:val="es-ES_tradnl"/>
        </w:rPr>
        <w:t>radio</w:t>
      </w:r>
      <w:r>
        <w:rPr>
          <w:lang w:val="es-ES_tradnl"/>
        </w:rPr>
        <w:t>comunicaciones de investigación del espacio lejano. Se consideran dos clases de interferencia: onda continua y tipo ruido. Los sistemas de recepción concretos que se han analizado son los de la red del espacio lejano (</w:t>
      </w:r>
      <w:proofErr w:type="spellStart"/>
      <w:proofErr w:type="gramStart"/>
      <w:r>
        <w:rPr>
          <w:lang w:val="es-ES_tradnl"/>
        </w:rPr>
        <w:t>DSN</w:t>
      </w:r>
      <w:r w:rsidR="00A96126">
        <w:rPr>
          <w:lang w:val="es-ES_tradnl"/>
        </w:rPr>
        <w:t>,</w:t>
      </w:r>
      <w:r w:rsidR="00A96126" w:rsidRPr="00A96126">
        <w:rPr>
          <w:i/>
          <w:lang w:val="es-ES_tradnl"/>
        </w:rPr>
        <w:t>d</w:t>
      </w:r>
      <w:r w:rsidRPr="00A96126">
        <w:rPr>
          <w:i/>
          <w:lang w:val="es-ES_tradnl"/>
        </w:rPr>
        <w:t>eep</w:t>
      </w:r>
      <w:proofErr w:type="spellEnd"/>
      <w:proofErr w:type="gramEnd"/>
      <w:r w:rsidRPr="00A96126">
        <w:rPr>
          <w:i/>
          <w:lang w:val="es-ES_tradnl"/>
        </w:rPr>
        <w:t xml:space="preserve"> </w:t>
      </w:r>
      <w:proofErr w:type="spellStart"/>
      <w:r w:rsidR="00A96126" w:rsidRPr="00A96126">
        <w:rPr>
          <w:i/>
          <w:lang w:val="es-ES_tradnl"/>
        </w:rPr>
        <w:t>s</w:t>
      </w:r>
      <w:r w:rsidRPr="00A96126">
        <w:rPr>
          <w:i/>
          <w:lang w:val="es-ES_tradnl"/>
        </w:rPr>
        <w:t>pace</w:t>
      </w:r>
      <w:proofErr w:type="spellEnd"/>
      <w:r w:rsidRPr="00A96126">
        <w:rPr>
          <w:i/>
          <w:lang w:val="es-ES_tradnl"/>
        </w:rPr>
        <w:t xml:space="preserve"> </w:t>
      </w:r>
      <w:proofErr w:type="spellStart"/>
      <w:r w:rsidR="00A96126" w:rsidRPr="00A96126">
        <w:rPr>
          <w:i/>
          <w:lang w:val="es-ES_tradnl"/>
        </w:rPr>
        <w:t>n</w:t>
      </w:r>
      <w:r w:rsidRPr="00A96126">
        <w:rPr>
          <w:i/>
          <w:lang w:val="es-ES_tradnl"/>
        </w:rPr>
        <w:t>etwork</w:t>
      </w:r>
      <w:proofErr w:type="spellEnd"/>
      <w:r>
        <w:rPr>
          <w:lang w:val="es-ES_tradnl"/>
        </w:rPr>
        <w:t>) que existe en los Estados Unidos de América.</w:t>
      </w:r>
    </w:p>
    <w:p w14:paraId="2C0DDA6B" w14:textId="77777777" w:rsidR="00B230E8" w:rsidRDefault="00B230E8" w:rsidP="00B230E8">
      <w:pPr>
        <w:pStyle w:val="Heading1"/>
        <w:rPr>
          <w:lang w:val="es-ES_tradnl"/>
        </w:rPr>
      </w:pPr>
      <w:r>
        <w:rPr>
          <w:lang w:val="es-ES_tradnl"/>
        </w:rPr>
        <w:t>2</w:t>
      </w:r>
      <w:r>
        <w:rPr>
          <w:lang w:val="es-ES_tradnl"/>
        </w:rPr>
        <w:tab/>
      </w:r>
      <w:proofErr w:type="gramStart"/>
      <w:r>
        <w:rPr>
          <w:lang w:val="es-ES_tradnl"/>
        </w:rPr>
        <w:t>El</w:t>
      </w:r>
      <w:proofErr w:type="gramEnd"/>
      <w:r>
        <w:rPr>
          <w:lang w:val="es-ES_tradnl"/>
        </w:rPr>
        <w:t xml:space="preserve"> sistema de recepción</w:t>
      </w:r>
    </w:p>
    <w:p w14:paraId="2A810A12" w14:textId="77777777" w:rsidR="00B230E8" w:rsidRDefault="00B230E8" w:rsidP="00B230E8">
      <w:pPr>
        <w:rPr>
          <w:lang w:val="es-ES_tradnl"/>
        </w:rPr>
      </w:pPr>
      <w:r>
        <w:rPr>
          <w:lang w:val="es-ES_tradnl"/>
        </w:rPr>
        <w:t xml:space="preserve">El sistema de recepción incluye cuatro elementos principales, todos y cada uno de los cuales </w:t>
      </w:r>
      <w:proofErr w:type="gramStart"/>
      <w:r>
        <w:rPr>
          <w:lang w:val="es-ES_tradnl"/>
        </w:rPr>
        <w:t>deben  protegerse</w:t>
      </w:r>
      <w:proofErr w:type="gramEnd"/>
      <w:r>
        <w:rPr>
          <w:lang w:val="es-ES_tradnl"/>
        </w:rPr>
        <w:t xml:space="preserve"> contra la interferencia: el preamplificador máser, el bucle de seguimiento de portadora, el subsistema de telemedida y el subsistema de determinación de distancia. La sensibilidad de cada uno de estos subsistemas a la interferencia se tratará en el § 4 que aparece a continuación. La Fig. 1 muestra un diagrama de bloques simplificado del sistema de recepción.</w:t>
      </w:r>
    </w:p>
    <w:p w14:paraId="336C2E28" w14:textId="77777777" w:rsidR="00A23E5A" w:rsidRDefault="00A23E5A" w:rsidP="00B230E8">
      <w:pPr>
        <w:rPr>
          <w:lang w:val="es-ES_tradnl"/>
        </w:rPr>
      </w:pPr>
    </w:p>
    <w:p w14:paraId="5833714C" w14:textId="77777777" w:rsidR="00B230E8" w:rsidRDefault="00A96126" w:rsidP="00B230E8">
      <w:pPr>
        <w:pStyle w:val="FigureNo"/>
      </w:pPr>
      <w:r>
        <w:object w:dxaOrig="9426" w:dyaOrig="6651" w14:anchorId="5EBBC092">
          <v:shape id="_x0000_i1026" type="#_x0000_t75" style="width:471pt;height:332.25pt" o:ole="" o:allowoverlap="f">
            <v:imagedata r:id="rId9" o:title=""/>
          </v:shape>
          <o:OLEObject Type="Embed" ProgID="CorelDRAW.Graphic.12" ShapeID="_x0000_i1026" DrawAspect="Content" ObjectID="_1760428858" r:id="rId10"/>
        </w:object>
      </w:r>
    </w:p>
    <w:p w14:paraId="488E565D" w14:textId="77777777" w:rsidR="00B230E8" w:rsidRDefault="00B230E8" w:rsidP="00B230E8">
      <w:pPr>
        <w:pStyle w:val="Heading1"/>
        <w:rPr>
          <w:lang w:val="es-ES_tradnl"/>
        </w:rPr>
      </w:pPr>
      <w:r>
        <w:rPr>
          <w:lang w:val="es-ES_tradnl"/>
        </w:rPr>
        <w:lastRenderedPageBreak/>
        <w:t>3</w:t>
      </w:r>
      <w:r>
        <w:rPr>
          <w:lang w:val="es-ES_tradnl"/>
        </w:rPr>
        <w:tab/>
      </w:r>
      <w:proofErr w:type="gramStart"/>
      <w:r>
        <w:rPr>
          <w:lang w:val="es-ES_tradnl"/>
        </w:rPr>
        <w:t>Resultados</w:t>
      </w:r>
      <w:proofErr w:type="gramEnd"/>
      <w:r>
        <w:rPr>
          <w:lang w:val="es-ES_tradnl"/>
        </w:rPr>
        <w:t xml:space="preserve"> de la interferencia</w:t>
      </w:r>
    </w:p>
    <w:p w14:paraId="1793FAE4" w14:textId="77777777" w:rsidR="00B230E8" w:rsidRDefault="00B230E8" w:rsidP="00B230E8">
      <w:pPr>
        <w:rPr>
          <w:lang w:val="es-ES_tradnl"/>
        </w:rPr>
      </w:pPr>
      <w:r>
        <w:rPr>
          <w:lang w:val="es-ES_tradnl"/>
        </w:rPr>
        <w:t>La interferencia puede producir degradación de la característica de funcionamiento, funcionamiento no lineal o pérdida de datos. El efecto de la interferencia depende de su intensidad y de la separación de frecuencia con respecto a la señal deseada.</w:t>
      </w:r>
    </w:p>
    <w:p w14:paraId="230CACC9" w14:textId="77777777" w:rsidR="00B230E8" w:rsidRDefault="00B230E8" w:rsidP="00B230E8">
      <w:pPr>
        <w:rPr>
          <w:lang w:val="es-ES_tradnl"/>
        </w:rPr>
      </w:pPr>
      <w:r>
        <w:rPr>
          <w:lang w:val="es-ES_tradnl"/>
        </w:rPr>
        <w:t xml:space="preserve">A niveles de potencia débiles a moderados, la interferencia </w:t>
      </w:r>
      <w:proofErr w:type="spellStart"/>
      <w:r>
        <w:rPr>
          <w:lang w:val="es-ES_tradnl"/>
        </w:rPr>
        <w:t>cocanal</w:t>
      </w:r>
      <w:proofErr w:type="spellEnd"/>
      <w:r>
        <w:rPr>
          <w:lang w:val="es-ES_tradnl"/>
        </w:rPr>
        <w:t xml:space="preserve"> puede aumentar el error de fase estático y el temblor de fase del bucle de seguimiento de portadora, aumentar la proporción de bits erróneos de la telemedida o reducir la precisión de la estimación de la distancia. Esta degradación de la característica de funcionamiento puede expresarse generalmente como una reducción equivalente de la relación señal/ruido y compensarse en teoría aumentando el nivel de potencia de la señal deseada. En la práctica, la potencia de la señal deseada no suele ser ajustable.</w:t>
      </w:r>
    </w:p>
    <w:p w14:paraId="384D5816" w14:textId="77777777" w:rsidR="00B230E8" w:rsidRDefault="00B230E8" w:rsidP="00B230E8">
      <w:pPr>
        <w:rPr>
          <w:lang w:val="es-ES_tradnl"/>
        </w:rPr>
      </w:pPr>
      <w:r>
        <w:rPr>
          <w:lang w:val="es-ES_tradnl"/>
        </w:rPr>
        <w:t>Una interferencia intensa de gran separación de frecuencia con relación a la señal deseada puede producir una degradación de la característica de funcionamiento y arrastrar simultáneamente a uno o más de los componentes del receptor a una región no lineal, lo que da lugar a compresión de la ganancia y a la generación de armónicos, señales parásitas y productos de intermodulación. Los efectos no lineales se denominan colectivamente efectos de saturación. A diferencia de la degradación de la característica de funcionamiento, los efectos de saturación no pueden generalmente compensarse ni siquiera aumentando el nivel de potencia de la señal deseada.</w:t>
      </w:r>
    </w:p>
    <w:p w14:paraId="0A391F42" w14:textId="77777777" w:rsidR="00B230E8" w:rsidRDefault="00B230E8" w:rsidP="00B230E8">
      <w:pPr>
        <w:rPr>
          <w:lang w:val="es-ES_tradnl"/>
        </w:rPr>
      </w:pPr>
      <w:r>
        <w:rPr>
          <w:lang w:val="es-ES_tradnl"/>
        </w:rPr>
        <w:t>La interferencia intensa con una pequeña separación de frecuencia respecto a la señal deseada puede provocar la pérdida de enganche o de sincronización del sistema de recepción, dando lugar a una pérdida total de datos.</w:t>
      </w:r>
    </w:p>
    <w:p w14:paraId="4C70E398" w14:textId="77777777" w:rsidR="00B230E8" w:rsidRDefault="00B230E8" w:rsidP="00B230E8">
      <w:pPr>
        <w:pStyle w:val="Heading1"/>
        <w:rPr>
          <w:lang w:val="es-ES_tradnl"/>
        </w:rPr>
      </w:pPr>
      <w:r>
        <w:rPr>
          <w:lang w:val="es-ES_tradnl"/>
        </w:rPr>
        <w:t>4</w:t>
      </w:r>
      <w:r>
        <w:rPr>
          <w:lang w:val="es-ES_tradnl"/>
        </w:rPr>
        <w:tab/>
      </w:r>
      <w:proofErr w:type="gramStart"/>
      <w:r>
        <w:rPr>
          <w:lang w:val="es-ES_tradnl"/>
        </w:rPr>
        <w:t>Efectos</w:t>
      </w:r>
      <w:proofErr w:type="gramEnd"/>
      <w:r>
        <w:rPr>
          <w:lang w:val="es-ES_tradnl"/>
        </w:rPr>
        <w:t xml:space="preserve"> de la interferencia de onda continua</w:t>
      </w:r>
    </w:p>
    <w:p w14:paraId="21D81609" w14:textId="77777777" w:rsidR="00B230E8" w:rsidRDefault="00B230E8" w:rsidP="00B230E8">
      <w:pPr>
        <w:rPr>
          <w:lang w:val="es-ES_tradnl"/>
        </w:rPr>
      </w:pPr>
      <w:r>
        <w:rPr>
          <w:lang w:val="es-ES_tradnl"/>
        </w:rPr>
        <w:t xml:space="preserve">Los efectos específicos de la interferencia se tratarán en los puntos que siguen para cada uno de los cuatro subsistemas de recepción. Aunque el sistema de recepción es sumamente sensible a la interferencia </w:t>
      </w:r>
      <w:proofErr w:type="spellStart"/>
      <w:r>
        <w:rPr>
          <w:lang w:val="es-ES_tradnl"/>
        </w:rPr>
        <w:t>cocanal</w:t>
      </w:r>
      <w:proofErr w:type="spellEnd"/>
      <w:r>
        <w:rPr>
          <w:lang w:val="es-ES_tradnl"/>
        </w:rPr>
        <w:t xml:space="preserve">, la interferencia de canal adyacente e incluso fuera de banda puede a veces causar efectos perjudiciales. Interferencia </w:t>
      </w:r>
      <w:proofErr w:type="spellStart"/>
      <w:r>
        <w:rPr>
          <w:lang w:val="es-ES_tradnl"/>
        </w:rPr>
        <w:t>cocanal</w:t>
      </w:r>
      <w:proofErr w:type="spellEnd"/>
      <w:r>
        <w:rPr>
          <w:lang w:val="es-ES_tradnl"/>
        </w:rPr>
        <w:t xml:space="preserve"> es aquella cuya frecuencia se halla dentro de la banda de paso del subsistema. La frecuencia de la interferencia se supone fija a menos que se indique otra cosa.</w:t>
      </w:r>
    </w:p>
    <w:p w14:paraId="79D22C9C" w14:textId="77777777" w:rsidR="00B230E8" w:rsidRDefault="00B230E8" w:rsidP="00B230E8">
      <w:pPr>
        <w:pStyle w:val="Heading2"/>
        <w:rPr>
          <w:lang w:val="es-ES_tradnl"/>
        </w:rPr>
      </w:pPr>
      <w:r>
        <w:rPr>
          <w:lang w:val="es-ES_tradnl"/>
        </w:rPr>
        <w:t>4.1</w:t>
      </w:r>
      <w:r>
        <w:rPr>
          <w:lang w:val="es-ES_tradnl"/>
        </w:rPr>
        <w:tab/>
        <w:t>Sensibilidad del preamplificador máser a la interferencia</w:t>
      </w:r>
    </w:p>
    <w:p w14:paraId="0F06589B" w14:textId="77777777" w:rsidR="00B230E8" w:rsidRDefault="00B230E8" w:rsidP="00B230E8">
      <w:pPr>
        <w:rPr>
          <w:lang w:val="es-ES_tradnl"/>
        </w:rPr>
      </w:pPr>
      <w:r>
        <w:rPr>
          <w:lang w:val="es-ES_tradnl"/>
        </w:rPr>
        <w:t>El máser es especialmente sensible a la saturación (compresión de la ganancia) que producen las señales intensas, en particular si la interferencia tiene una frecuencia dentro o cerca de la banda de paso del máser o de las frecuencias menos activas del máser. La Fig. 2 muestra la potencia de interferencia que produce una compresión de la ganancia de 1 dB para un máser típico en la banda de 8,4 GHz.</w:t>
      </w:r>
    </w:p>
    <w:p w14:paraId="0181F693" w14:textId="77777777" w:rsidR="00B230E8" w:rsidRDefault="00FE3E86" w:rsidP="00B230E8">
      <w:pPr>
        <w:pStyle w:val="FigureNo"/>
      </w:pPr>
      <w:r>
        <w:object w:dxaOrig="8870" w:dyaOrig="5711" w14:anchorId="63D77F4C">
          <v:shape id="_x0000_i1027" type="#_x0000_t75" style="width:443.25pt;height:285.75pt" o:ole="" o:allowoverlap="f">
            <v:imagedata r:id="rId11" o:title=""/>
          </v:shape>
          <o:OLEObject Type="Embed" ProgID="CorelDRAW.Graphic.12" ShapeID="_x0000_i1027" DrawAspect="Content" ObjectID="_1760428859" r:id="rId12"/>
        </w:object>
      </w:r>
    </w:p>
    <w:p w14:paraId="71DD04B8" w14:textId="77777777" w:rsidR="00A23E5A" w:rsidRDefault="00A23E5A" w:rsidP="00A23E5A">
      <w:pPr>
        <w:rPr>
          <w:lang w:val="es-ES_tradnl"/>
        </w:rPr>
      </w:pPr>
    </w:p>
    <w:p w14:paraId="470B0433" w14:textId="77777777" w:rsidR="00B230E8" w:rsidRDefault="00B230E8" w:rsidP="00B230E8">
      <w:pPr>
        <w:pStyle w:val="Heading2"/>
        <w:rPr>
          <w:lang w:val="es-ES_tradnl"/>
        </w:rPr>
      </w:pPr>
      <w:r>
        <w:rPr>
          <w:lang w:val="es-ES_tradnl"/>
        </w:rPr>
        <w:t>4.2</w:t>
      </w:r>
      <w:r>
        <w:rPr>
          <w:lang w:val="es-ES_tradnl"/>
        </w:rPr>
        <w:tab/>
        <w:t>Sensibilidad del bucle de seguimiento de portadora a la interferencia de onda continua</w:t>
      </w:r>
    </w:p>
    <w:p w14:paraId="0CACF990" w14:textId="77777777" w:rsidR="00B230E8" w:rsidRDefault="00B230E8" w:rsidP="00B230E8">
      <w:pPr>
        <w:rPr>
          <w:lang w:val="es-ES_tradnl"/>
        </w:rPr>
      </w:pPr>
      <w:r>
        <w:rPr>
          <w:lang w:val="es-ES_tradnl"/>
        </w:rPr>
        <w:t>El bucle de seguimiento de portadora es un doble bucle de seguimiento heterodino que emplea un bucle de CAG (control automático de ganancia) con detector síncrono y un bucle de enganche de fase de segundo orden precedido por un limitador de banda de paso.</w:t>
      </w:r>
    </w:p>
    <w:p w14:paraId="62EEC567" w14:textId="77777777" w:rsidR="00B230E8" w:rsidRDefault="00B230E8" w:rsidP="00B230E8">
      <w:pPr>
        <w:rPr>
          <w:lang w:val="es-ES_tradnl"/>
        </w:rPr>
      </w:pPr>
      <w:r>
        <w:rPr>
          <w:lang w:val="es-ES_tradnl"/>
        </w:rPr>
        <w:t xml:space="preserve">La interferencia intensa puede hacer que el bucle pierda la señal deseada o quede enganchado a la interferencia. La interferencia de onda </w:t>
      </w:r>
      <w:proofErr w:type="gramStart"/>
      <w:r>
        <w:rPr>
          <w:lang w:val="es-ES_tradnl"/>
        </w:rPr>
        <w:t>continua,</w:t>
      </w:r>
      <w:proofErr w:type="gramEnd"/>
      <w:r>
        <w:rPr>
          <w:lang w:val="es-ES_tradnl"/>
        </w:rPr>
        <w:t xml:space="preserve"> sea de frecuencia fija o de barrido (frecuencia variable), puede producir este efecto. Si la frecuencia de la interferencia varía, el bucle puede primero desengancharse de la señal deseada y engancharse luego a la interferencia a medida que ésta va acercándose a la frecuencia de la señal deseada. Una vez que la interferencia pasa por la frecuencia y se aleja de ella, el bucle se desengancha de la interferencia y puede reengancharse luego a la señal deseada. El tiempo que tarda el bucle en reengancharse a la señal deseada depende de la intensidad de la señal y de la interferencia y de la velocidad de barrido, y puede variar de segundos a minutos. Si la interferencia es de frecuencia fija, es posible que el reenganche con la señal deseada no llegue a producirse.</w:t>
      </w:r>
    </w:p>
    <w:p w14:paraId="7D17F42E" w14:textId="77777777" w:rsidR="00B230E8" w:rsidRDefault="00B230E8" w:rsidP="00B230E8">
      <w:pPr>
        <w:rPr>
          <w:lang w:val="es-ES_tradnl"/>
        </w:rPr>
      </w:pPr>
      <w:r>
        <w:rPr>
          <w:lang w:val="es-ES_tradnl"/>
        </w:rPr>
        <w:t>A un nivel más débil, la interferencia puede aumentar el error de fase estático y el temblor de fase en el bucle lo cual ocurre con interferencia tanto fija como de barrido.</w:t>
      </w:r>
    </w:p>
    <w:p w14:paraId="1AFF7AE7" w14:textId="77777777" w:rsidR="00B230E8" w:rsidRDefault="00B230E8" w:rsidP="00B230E8">
      <w:pPr>
        <w:rPr>
          <w:lang w:val="es-ES_tradnl"/>
        </w:rPr>
      </w:pPr>
      <w:r>
        <w:rPr>
          <w:lang w:val="es-ES_tradnl"/>
        </w:rPr>
        <w:t xml:space="preserve">La Fig. 3 muestra el temblor de fase de cresta en función de la relación </w:t>
      </w:r>
      <w:r w:rsidR="00FE3E86">
        <w:rPr>
          <w:lang w:val="es-ES_tradnl"/>
        </w:rPr>
        <w:t xml:space="preserve">CW </w:t>
      </w:r>
      <w:r w:rsidR="00FE3E86" w:rsidRPr="00FE3E86">
        <w:rPr>
          <w:i/>
          <w:lang w:val="es-ES_tradnl"/>
        </w:rPr>
        <w:t>I</w:t>
      </w:r>
      <w:r w:rsidR="00FE3E86">
        <w:rPr>
          <w:lang w:val="es-ES_tradnl"/>
        </w:rPr>
        <w:t>/</w:t>
      </w:r>
      <w:r w:rsidR="00FE3E86" w:rsidRPr="00FE3E86">
        <w:rPr>
          <w:i/>
          <w:lang w:val="es-ES_tradnl"/>
        </w:rPr>
        <w:t>C</w:t>
      </w:r>
      <w:r>
        <w:rPr>
          <w:lang w:val="es-ES_tradnl"/>
        </w:rPr>
        <w:t>.</w:t>
      </w:r>
    </w:p>
    <w:p w14:paraId="561AC2DD" w14:textId="77777777" w:rsidR="00B230E8" w:rsidRDefault="00FE3E86" w:rsidP="00B230E8">
      <w:pPr>
        <w:pStyle w:val="FigureNo"/>
      </w:pPr>
      <w:r>
        <w:object w:dxaOrig="4248" w:dyaOrig="8381" w14:anchorId="5D3B73C7">
          <v:shape id="_x0000_i1028" type="#_x0000_t75" style="width:212.25pt;height:419.25pt" o:ole="" o:allowoverlap="f">
            <v:imagedata r:id="rId13" o:title=""/>
          </v:shape>
          <o:OLEObject Type="Embed" ProgID="CorelDRAW.Graphic.12" ShapeID="_x0000_i1028" DrawAspect="Content" ObjectID="_1760428860" r:id="rId14"/>
        </w:object>
      </w:r>
    </w:p>
    <w:p w14:paraId="5BB2750C" w14:textId="77777777" w:rsidR="00A23E5A" w:rsidRDefault="00A23E5A" w:rsidP="00A23E5A">
      <w:pPr>
        <w:rPr>
          <w:lang w:val="es-ES_tradnl"/>
        </w:rPr>
      </w:pPr>
    </w:p>
    <w:p w14:paraId="68412240" w14:textId="77777777" w:rsidR="00B230E8" w:rsidRDefault="00B230E8" w:rsidP="00B230E8">
      <w:pPr>
        <w:pStyle w:val="Heading2"/>
        <w:rPr>
          <w:lang w:val="es-ES_tradnl"/>
        </w:rPr>
      </w:pPr>
      <w:r>
        <w:rPr>
          <w:lang w:val="es-ES_tradnl"/>
        </w:rPr>
        <w:t>4.3</w:t>
      </w:r>
      <w:r>
        <w:rPr>
          <w:lang w:val="es-ES_tradnl"/>
        </w:rPr>
        <w:tab/>
        <w:t>Sensibilidad del subsistema de recepción de telemedida a la interferencia de onda continua</w:t>
      </w:r>
    </w:p>
    <w:p w14:paraId="25CBE9BD" w14:textId="77777777" w:rsidR="00B230E8" w:rsidRDefault="00B230E8" w:rsidP="00B230E8">
      <w:pPr>
        <w:rPr>
          <w:lang w:val="es-ES_tradnl"/>
        </w:rPr>
      </w:pPr>
      <w:r>
        <w:rPr>
          <w:lang w:val="es-ES_tradnl"/>
        </w:rPr>
        <w:t xml:space="preserve">La degradación de la telemedida puede expresarse como una reducción equivalente de la relación energía por símbolo/densidad espectral de ruido, </w:t>
      </w:r>
      <w:r>
        <w:rPr>
          <w:rFonts w:ascii="Symbol" w:hAnsi="Symbol"/>
          <w:lang w:val="es-ES_tradnl"/>
        </w:rPr>
        <w:t></w:t>
      </w:r>
      <w:r>
        <w:rPr>
          <w:i/>
          <w:lang w:val="es-ES_tradnl"/>
        </w:rPr>
        <w:t>E</w:t>
      </w:r>
      <w:r>
        <w:rPr>
          <w:lang w:val="es-ES_tradnl"/>
        </w:rPr>
        <w:t>/</w:t>
      </w:r>
      <w:r>
        <w:rPr>
          <w:i/>
          <w:lang w:val="es-ES_tradnl"/>
        </w:rPr>
        <w:t>N</w:t>
      </w:r>
      <w:r>
        <w:rPr>
          <w:position w:val="-4"/>
          <w:sz w:val="16"/>
          <w:lang w:val="es-ES_tradnl"/>
        </w:rPr>
        <w:t>0</w:t>
      </w:r>
      <w:r>
        <w:rPr>
          <w:lang w:val="es-ES_tradnl"/>
        </w:rPr>
        <w:t>, que se define como la magnitud en que tendría que reducirse la relación energía por símbolo/densidad espectral de ruido en ausencia de interferencia para obtener una proporción de símbolos erróneos igual a la que existe en presencia de interferencia.</w:t>
      </w:r>
    </w:p>
    <w:p w14:paraId="1AD2AE23" w14:textId="77777777" w:rsidR="00B230E8" w:rsidRDefault="00B230E8" w:rsidP="00B230E8">
      <w:pPr>
        <w:rPr>
          <w:lang w:val="es-ES_tradnl"/>
        </w:rPr>
      </w:pPr>
      <w:r>
        <w:rPr>
          <w:lang w:val="es-ES_tradnl"/>
        </w:rPr>
        <w:t xml:space="preserve">La relación </w:t>
      </w:r>
      <w:r>
        <w:rPr>
          <w:rFonts w:ascii="Symbol" w:hAnsi="Symbol"/>
          <w:lang w:val="es-ES_tradnl"/>
        </w:rPr>
        <w:t></w:t>
      </w:r>
      <w:r>
        <w:rPr>
          <w:i/>
          <w:lang w:val="es-ES_tradnl"/>
        </w:rPr>
        <w:t>E</w:t>
      </w:r>
      <w:r>
        <w:rPr>
          <w:lang w:val="es-ES_tradnl"/>
        </w:rPr>
        <w:t>/</w:t>
      </w:r>
      <w:r>
        <w:rPr>
          <w:i/>
          <w:lang w:val="es-ES_tradnl"/>
        </w:rPr>
        <w:t>N</w:t>
      </w:r>
      <w:r>
        <w:rPr>
          <w:position w:val="-4"/>
          <w:sz w:val="16"/>
          <w:lang w:val="es-ES_tradnl"/>
        </w:rPr>
        <w:t>0</w:t>
      </w:r>
      <w:r>
        <w:rPr>
          <w:lang w:val="es-ES_tradnl"/>
        </w:rPr>
        <w:t xml:space="preserve"> que produce la interferencia de onda </w:t>
      </w:r>
      <w:proofErr w:type="gramStart"/>
      <w:r>
        <w:rPr>
          <w:lang w:val="es-ES_tradnl"/>
        </w:rPr>
        <w:t>continua</w:t>
      </w:r>
      <w:proofErr w:type="gramEnd"/>
      <w:r>
        <w:rPr>
          <w:lang w:val="es-ES_tradnl"/>
        </w:rPr>
        <w:t xml:space="preserve"> situada dentro de la anchura de banda de detección de telemedida se indica en la Fig. 4.</w:t>
      </w:r>
    </w:p>
    <w:p w14:paraId="1F6F2A37" w14:textId="77777777" w:rsidR="00B230E8" w:rsidRDefault="00B230E8" w:rsidP="00B230E8">
      <w:pPr>
        <w:rPr>
          <w:lang w:val="es-ES_tradnl"/>
        </w:rPr>
      </w:pPr>
      <w:r>
        <w:rPr>
          <w:lang w:val="es-ES_tradnl"/>
        </w:rPr>
        <w:t xml:space="preserve">La calidad de funcionamiento de la telemedida puede también sufrir degradación por interferencia de onda </w:t>
      </w:r>
      <w:proofErr w:type="gramStart"/>
      <w:r>
        <w:rPr>
          <w:lang w:val="es-ES_tradnl"/>
        </w:rPr>
        <w:t>continua</w:t>
      </w:r>
      <w:proofErr w:type="gramEnd"/>
      <w:r>
        <w:rPr>
          <w:lang w:val="es-ES_tradnl"/>
        </w:rPr>
        <w:t xml:space="preserve"> situada dentro de la anchura de banda del bucle de portadora. La Fig. 5 muestra la relación </w:t>
      </w:r>
      <w:r>
        <w:rPr>
          <w:i/>
          <w:lang w:val="es-ES_tradnl"/>
        </w:rPr>
        <w:t>E</w:t>
      </w:r>
      <w:r>
        <w:rPr>
          <w:lang w:val="es-ES_tradnl"/>
        </w:rPr>
        <w:t>/</w:t>
      </w:r>
      <w:r>
        <w:rPr>
          <w:i/>
          <w:lang w:val="es-ES_tradnl"/>
        </w:rPr>
        <w:t>N</w:t>
      </w:r>
      <w:r>
        <w:rPr>
          <w:position w:val="-4"/>
          <w:sz w:val="16"/>
          <w:lang w:val="es-ES_tradnl"/>
        </w:rPr>
        <w:t>0</w:t>
      </w:r>
      <w:r>
        <w:rPr>
          <w:lang w:val="es-ES_tradnl"/>
        </w:rPr>
        <w:t xml:space="preserve"> por efecto del temblor de fase en el bucle de portadora en función de la relación </w:t>
      </w:r>
      <w:r w:rsidR="00FE3E86" w:rsidRPr="00FE3E86">
        <w:rPr>
          <w:i/>
          <w:lang w:val="es-ES_tradnl"/>
        </w:rPr>
        <w:t>I</w:t>
      </w:r>
      <w:r w:rsidR="00FE3E86">
        <w:rPr>
          <w:lang w:val="es-ES_tradnl"/>
        </w:rPr>
        <w:t>/</w:t>
      </w:r>
      <w:r w:rsidR="00FE3E86" w:rsidRPr="00FE3E86">
        <w:rPr>
          <w:i/>
          <w:lang w:val="es-ES_tradnl"/>
        </w:rPr>
        <w:t>C</w:t>
      </w:r>
      <w:r>
        <w:rPr>
          <w:lang w:val="es-ES_tradnl"/>
        </w:rPr>
        <w:t>, para un desplazamiento de frecuencia de 10 Hz y para un modo de recepción típico que opera en la banda de 8,4 GHz.</w:t>
      </w:r>
    </w:p>
    <w:p w14:paraId="06B34DFC" w14:textId="77777777" w:rsidR="00B230E8" w:rsidRDefault="006D1618" w:rsidP="00A23E5A">
      <w:pPr>
        <w:pStyle w:val="FigureNo"/>
        <w:spacing w:after="0"/>
      </w:pPr>
      <w:r>
        <w:object w:dxaOrig="5220" w:dyaOrig="7311" w14:anchorId="4CD58C15">
          <v:shape id="_x0000_i1029" type="#_x0000_t75" style="width:261pt;height:365.25pt" o:ole="" o:allowoverlap="f">
            <v:imagedata r:id="rId15" o:title=""/>
          </v:shape>
          <o:OLEObject Type="Embed" ProgID="CorelDRAW.Graphic.12" ShapeID="_x0000_i1029" DrawAspect="Content" ObjectID="_1760428861" r:id="rId16"/>
        </w:object>
      </w:r>
    </w:p>
    <w:p w14:paraId="27C37365" w14:textId="77777777" w:rsidR="00B230E8" w:rsidRDefault="00FE3E86" w:rsidP="00A23E5A">
      <w:pPr>
        <w:pStyle w:val="FigureNo"/>
        <w:spacing w:before="120" w:after="0"/>
        <w:rPr>
          <w:lang w:val="es-ES_tradnl"/>
        </w:rPr>
      </w:pPr>
      <w:r>
        <w:object w:dxaOrig="5322" w:dyaOrig="6835" w14:anchorId="376BE5F5">
          <v:shape id="_x0000_i1030" type="#_x0000_t75" style="width:266.25pt;height:342pt" o:ole="" o:allowoverlap="f">
            <v:imagedata r:id="rId17" o:title=""/>
          </v:shape>
          <o:OLEObject Type="Embed" ProgID="CorelDRAW.Graphic.12" ShapeID="_x0000_i1030" DrawAspect="Content" ObjectID="_1760428862" r:id="rId18"/>
        </w:object>
      </w:r>
    </w:p>
    <w:p w14:paraId="102EC209" w14:textId="77777777" w:rsidR="00B230E8" w:rsidRDefault="00B230E8" w:rsidP="00B230E8">
      <w:pPr>
        <w:pStyle w:val="Heading2"/>
        <w:rPr>
          <w:lang w:val="es-ES_tradnl"/>
        </w:rPr>
      </w:pPr>
      <w:r>
        <w:rPr>
          <w:lang w:val="es-ES_tradnl"/>
        </w:rPr>
        <w:lastRenderedPageBreak/>
        <w:t>4.4</w:t>
      </w:r>
      <w:r>
        <w:rPr>
          <w:lang w:val="es-ES_tradnl"/>
        </w:rPr>
        <w:tab/>
        <w:t>Sensibilidad del subsistema de determinación de distancia a la interferencia RF de onda continua</w:t>
      </w:r>
    </w:p>
    <w:p w14:paraId="6CD68CAA" w14:textId="77777777" w:rsidR="00B230E8" w:rsidRDefault="00B230E8" w:rsidP="00B230E8">
      <w:pPr>
        <w:rPr>
          <w:lang w:val="es-ES_tradnl"/>
        </w:rPr>
      </w:pPr>
      <w:r>
        <w:rPr>
          <w:lang w:val="es-ES_tradnl"/>
        </w:rPr>
        <w:t>La interferencia puede degradar la característica de funcionamiento del subsistema de determinación de distancia al aumentar la varianza de las estimaciones de los retardos que determinan la distancia. La degradación puede expresarse en forma de reducción equivalente de la relación señal/</w:t>
      </w:r>
      <w:proofErr w:type="gramStart"/>
      <w:r>
        <w:rPr>
          <w:lang w:val="es-ES_tradnl"/>
        </w:rPr>
        <w:t>ruido efectiva</w:t>
      </w:r>
      <w:proofErr w:type="gramEnd"/>
      <w:r>
        <w:rPr>
          <w:lang w:val="es-ES_tradnl"/>
        </w:rPr>
        <w:t xml:space="preserve"> de determinación de distancia.</w:t>
      </w:r>
    </w:p>
    <w:p w14:paraId="7DDF34D7" w14:textId="77777777" w:rsidR="00B230E8" w:rsidRDefault="00B230E8" w:rsidP="00B230E8">
      <w:pPr>
        <w:rPr>
          <w:lang w:val="es-ES_tradnl"/>
        </w:rPr>
      </w:pPr>
      <w:r>
        <w:rPr>
          <w:lang w:val="es-ES_tradnl"/>
        </w:rPr>
        <w:t xml:space="preserve">La interferencia de onda continua en la anchura de banda del bucle de seguimiento de portadora afecta a la característica de funcionamiento del sistema de determinación de distancia, como se muestra en la Fig. 6. El efecto de la interferencia de onda continua en la anchura de banda de la señal de determinación de distancia se muestra en la Fig. 7. La </w:t>
      </w:r>
      <w:r>
        <w:rPr>
          <w:i/>
          <w:lang w:val="es-ES_tradnl"/>
        </w:rPr>
        <w:t>I</w:t>
      </w:r>
      <w:r>
        <w:rPr>
          <w:lang w:val="es-ES_tradnl"/>
        </w:rPr>
        <w:t>/</w:t>
      </w:r>
      <w:r>
        <w:rPr>
          <w:i/>
          <w:lang w:val="es-ES_tradnl"/>
        </w:rPr>
        <w:t>S</w:t>
      </w:r>
      <w:r>
        <w:rPr>
          <w:lang w:val="es-ES_tradnl"/>
        </w:rPr>
        <w:t xml:space="preserve"> es la relación interferencia/señal de determinación de distancia.</w:t>
      </w:r>
    </w:p>
    <w:p w14:paraId="76FB0946" w14:textId="77777777" w:rsidR="00A23E5A" w:rsidRDefault="00A23E5A" w:rsidP="00B230E8">
      <w:pPr>
        <w:rPr>
          <w:lang w:val="es-ES_tradnl"/>
        </w:rPr>
      </w:pPr>
    </w:p>
    <w:p w14:paraId="179FB54C" w14:textId="77777777" w:rsidR="00B230E8" w:rsidRDefault="00FE3E86" w:rsidP="00B230E8">
      <w:pPr>
        <w:pStyle w:val="FigureNo"/>
      </w:pPr>
      <w:r>
        <w:object w:dxaOrig="6421" w:dyaOrig="10040" w14:anchorId="4161CA29">
          <v:shape id="_x0000_i1031" type="#_x0000_t75" style="width:321pt;height:501.75pt" o:ole="" o:allowoverlap="f">
            <v:imagedata r:id="rId19" o:title=""/>
          </v:shape>
          <o:OLEObject Type="Embed" ProgID="CorelDRAW.Graphic.12" ShapeID="_x0000_i1031" DrawAspect="Content" ObjectID="_1760428863" r:id="rId20"/>
        </w:object>
      </w:r>
    </w:p>
    <w:p w14:paraId="64FAE99E" w14:textId="77777777" w:rsidR="00B230E8" w:rsidRDefault="00FE3E86" w:rsidP="00B230E8">
      <w:pPr>
        <w:pStyle w:val="FigureNo"/>
      </w:pPr>
      <w:r>
        <w:object w:dxaOrig="5364" w:dyaOrig="10523" w14:anchorId="5F955EC9">
          <v:shape id="_x0000_i1032" type="#_x0000_t75" style="width:268.5pt;height:526.5pt" o:ole="" o:allowoverlap="f">
            <v:imagedata r:id="rId21" o:title=""/>
          </v:shape>
          <o:OLEObject Type="Embed" ProgID="CorelDRAW.Graphic.12" ShapeID="_x0000_i1032" DrawAspect="Content" ObjectID="_1760428864" r:id="rId22"/>
        </w:object>
      </w:r>
    </w:p>
    <w:p w14:paraId="08E13768" w14:textId="77777777" w:rsidR="00A23E5A" w:rsidRDefault="00A23E5A" w:rsidP="00A23E5A"/>
    <w:p w14:paraId="43173E90" w14:textId="77777777" w:rsidR="00B230E8" w:rsidRDefault="00B230E8" w:rsidP="00B230E8">
      <w:pPr>
        <w:pStyle w:val="Heading1"/>
        <w:rPr>
          <w:lang w:val="es-ES_tradnl"/>
        </w:rPr>
      </w:pPr>
      <w:r>
        <w:rPr>
          <w:lang w:val="es-ES_tradnl"/>
        </w:rPr>
        <w:t>5</w:t>
      </w:r>
      <w:r>
        <w:rPr>
          <w:lang w:val="es-ES_tradnl"/>
        </w:rPr>
        <w:tab/>
      </w:r>
      <w:proofErr w:type="gramStart"/>
      <w:r>
        <w:rPr>
          <w:lang w:val="es-ES_tradnl"/>
        </w:rPr>
        <w:t>Efectos</w:t>
      </w:r>
      <w:proofErr w:type="gramEnd"/>
      <w:r>
        <w:rPr>
          <w:lang w:val="es-ES_tradnl"/>
        </w:rPr>
        <w:t xml:space="preserve"> de la interferencia de tipo ruido</w:t>
      </w:r>
    </w:p>
    <w:p w14:paraId="6DC7F37A" w14:textId="77777777" w:rsidR="00B230E8" w:rsidRDefault="00B230E8" w:rsidP="00B230E8">
      <w:pPr>
        <w:rPr>
          <w:lang w:val="es-ES_tradnl"/>
        </w:rPr>
      </w:pPr>
      <w:r>
        <w:rPr>
          <w:lang w:val="es-ES_tradnl"/>
        </w:rPr>
        <w:t>La interferencia de tipo ruido puede saturar el preamplificador máser y degradar la característica de funcionamiento del bucle de seguimiento de portadora, del subsistema de telemedida y del subsistema de determinación de distancia. Para producir una compresión de ganancia del máser de 1</w:t>
      </w:r>
      <w:r w:rsidR="00FE3E86">
        <w:rPr>
          <w:lang w:val="es-ES_tradnl"/>
        </w:rPr>
        <w:t> </w:t>
      </w:r>
      <w:r>
        <w:rPr>
          <w:lang w:val="es-ES_tradnl"/>
        </w:rPr>
        <w:t xml:space="preserve">dB, la densidad espectral de la interferencia de tipo ruido, </w:t>
      </w:r>
      <w:r>
        <w:rPr>
          <w:i/>
          <w:lang w:val="es-ES_tradnl"/>
        </w:rPr>
        <w:t>I</w:t>
      </w:r>
      <w:r>
        <w:rPr>
          <w:position w:val="-4"/>
          <w:sz w:val="16"/>
          <w:lang w:val="es-ES_tradnl"/>
        </w:rPr>
        <w:t>0</w:t>
      </w:r>
      <w:r>
        <w:rPr>
          <w:lang w:val="es-ES_tradnl"/>
        </w:rPr>
        <w:t xml:space="preserve"> tendría que ser –190 dB(W/Hz), suponiendo una anchura de banda del máser de 40 MHz.</w:t>
      </w:r>
    </w:p>
    <w:p w14:paraId="2AD46F01" w14:textId="77777777" w:rsidR="00B230E8" w:rsidRDefault="00A23E5A" w:rsidP="00B230E8">
      <w:pPr>
        <w:rPr>
          <w:lang w:val="es-ES_tradnl"/>
        </w:rPr>
      </w:pPr>
      <w:r>
        <w:rPr>
          <w:lang w:val="es-ES_tradnl"/>
        </w:rPr>
        <w:br w:type="page"/>
      </w:r>
      <w:r w:rsidR="00B230E8">
        <w:rPr>
          <w:lang w:val="es-ES_tradnl"/>
        </w:rPr>
        <w:lastRenderedPageBreak/>
        <w:t xml:space="preserve">En el bucle de seguimiento de portadora, el temblor de fase de cresta depende del margen de portadora (Fig. 8). La interferencia de tipo ruido reduce el margen de portadora y aumenta por tanto el temblor de fase. El margen de portadora está relacionado con </w:t>
      </w:r>
      <w:r w:rsidR="00B230E8">
        <w:rPr>
          <w:i/>
          <w:lang w:val="es-ES_tradnl"/>
        </w:rPr>
        <w:t>I</w:t>
      </w:r>
      <w:r w:rsidR="00B230E8">
        <w:rPr>
          <w:position w:val="-4"/>
          <w:sz w:val="16"/>
          <w:lang w:val="es-ES_tradnl"/>
        </w:rPr>
        <w:t>0</w:t>
      </w:r>
      <w:r w:rsidR="00B230E8">
        <w:rPr>
          <w:lang w:val="es-ES_tradnl"/>
        </w:rPr>
        <w:t>/</w:t>
      </w:r>
      <w:r w:rsidR="00B230E8">
        <w:rPr>
          <w:i/>
          <w:lang w:val="es-ES_tradnl"/>
        </w:rPr>
        <w:t>N</w:t>
      </w:r>
      <w:r w:rsidR="00B230E8">
        <w:rPr>
          <w:position w:val="-4"/>
          <w:sz w:val="16"/>
          <w:lang w:val="es-ES_tradnl"/>
        </w:rPr>
        <w:t>0</w:t>
      </w:r>
      <w:r w:rsidR="00B230E8">
        <w:rPr>
          <w:lang w:val="es-ES_tradnl"/>
        </w:rPr>
        <w:t xml:space="preserve"> por la expresión:</w:t>
      </w:r>
    </w:p>
    <w:p w14:paraId="32B3518E" w14:textId="77777777" w:rsidR="00A23E5A" w:rsidRDefault="00A23E5A" w:rsidP="00A23E5A">
      <w:pPr>
        <w:pStyle w:val="Blanc"/>
      </w:pPr>
      <w:bookmarkStart w:id="3" w:name="F004"/>
    </w:p>
    <w:p w14:paraId="244C8669" w14:textId="77777777" w:rsidR="00B230E8" w:rsidRDefault="00B230E8" w:rsidP="00B230E8">
      <w:pPr>
        <w:pStyle w:val="Equation"/>
        <w:rPr>
          <w:lang w:val="en-US"/>
        </w:rPr>
      </w:pPr>
      <w:r>
        <w:rPr>
          <w:lang w:val="es-ES_tradnl"/>
        </w:rPr>
        <w:tab/>
      </w:r>
      <w:r>
        <w:rPr>
          <w:lang w:val="es-ES_tradnl"/>
        </w:rPr>
        <w:tab/>
      </w:r>
      <w:proofErr w:type="gramStart"/>
      <w:r>
        <w:rPr>
          <w:i/>
          <w:lang w:val="en-US"/>
        </w:rPr>
        <w:t>CM</w:t>
      </w:r>
      <w:proofErr w:type="spellStart"/>
      <w:r>
        <w:rPr>
          <w:i/>
          <w:position w:val="-4"/>
          <w:sz w:val="18"/>
          <w:lang w:val="en-US"/>
        </w:rPr>
        <w:t>i</w:t>
      </w:r>
      <w:proofErr w:type="spellEnd"/>
      <w:r>
        <w:rPr>
          <w:lang w:val="en-US"/>
        </w:rPr>
        <w:t xml:space="preserve">  =</w:t>
      </w:r>
      <w:proofErr w:type="gramEnd"/>
      <w:r>
        <w:rPr>
          <w:lang w:val="en-US"/>
        </w:rPr>
        <w:t xml:space="preserve">  </w:t>
      </w:r>
      <w:r>
        <w:rPr>
          <w:i/>
          <w:lang w:val="en-US"/>
        </w:rPr>
        <w:t>CM</w:t>
      </w:r>
      <w:r>
        <w:rPr>
          <w:position w:val="-4"/>
          <w:sz w:val="18"/>
          <w:lang w:val="en-US"/>
        </w:rPr>
        <w:t>0</w:t>
      </w:r>
      <w:r>
        <w:rPr>
          <w:lang w:val="en-US"/>
        </w:rPr>
        <w:t xml:space="preserve">  </w:t>
      </w:r>
      <w:r>
        <w:rPr>
          <w:rFonts w:ascii="Symbol" w:hAnsi="Symbol"/>
        </w:rPr>
        <w:t></w:t>
      </w:r>
      <w:r>
        <w:rPr>
          <w:lang w:val="en-US"/>
        </w:rPr>
        <w:t xml:space="preserve">  10 log (1  </w:t>
      </w:r>
      <w:r>
        <w:rPr>
          <w:rFonts w:ascii="Symbol" w:hAnsi="Symbol"/>
        </w:rPr>
        <w:t></w:t>
      </w:r>
      <w:r>
        <w:rPr>
          <w:lang w:val="en-US"/>
        </w:rPr>
        <w:t xml:space="preserve">  </w:t>
      </w:r>
      <w:r>
        <w:rPr>
          <w:i/>
          <w:lang w:val="en-US"/>
        </w:rPr>
        <w:t>I</w:t>
      </w:r>
      <w:r>
        <w:rPr>
          <w:position w:val="-4"/>
          <w:sz w:val="18"/>
          <w:lang w:val="en-US"/>
        </w:rPr>
        <w:t>0</w:t>
      </w:r>
      <w:r>
        <w:rPr>
          <w:rFonts w:ascii="Tms Rmn" w:hAnsi="Tms Rmn"/>
          <w:position w:val="-4"/>
          <w:sz w:val="12"/>
          <w:lang w:val="en-US"/>
        </w:rPr>
        <w:t> </w:t>
      </w:r>
      <w:r>
        <w:rPr>
          <w:lang w:val="en-US"/>
        </w:rPr>
        <w:t>/</w:t>
      </w:r>
      <w:r>
        <w:rPr>
          <w:i/>
          <w:lang w:val="en-US"/>
        </w:rPr>
        <w:t>N</w:t>
      </w:r>
      <w:r>
        <w:rPr>
          <w:position w:val="-4"/>
          <w:sz w:val="18"/>
          <w:lang w:val="en-US"/>
        </w:rPr>
        <w:t>0</w:t>
      </w:r>
      <w:r>
        <w:rPr>
          <w:lang w:val="en-US"/>
        </w:rPr>
        <w:t>)</w:t>
      </w:r>
      <w:r>
        <w:rPr>
          <w:position w:val="6"/>
          <w:sz w:val="18"/>
          <w:lang w:val="en-US"/>
        </w:rPr>
        <w:t>–1</w:t>
      </w:r>
      <w:bookmarkEnd w:id="3"/>
    </w:p>
    <w:p w14:paraId="26CD2B1C" w14:textId="77777777" w:rsidR="00A23E5A" w:rsidRDefault="00A23E5A" w:rsidP="00A23E5A">
      <w:pPr>
        <w:pStyle w:val="Blanc"/>
      </w:pPr>
    </w:p>
    <w:p w14:paraId="27FB9728" w14:textId="77777777" w:rsidR="00B230E8" w:rsidRDefault="00B230E8" w:rsidP="00B230E8">
      <w:pPr>
        <w:rPr>
          <w:lang w:val="es-ES_tradnl"/>
        </w:rPr>
      </w:pPr>
      <w:r>
        <w:rPr>
          <w:lang w:val="es-ES_tradnl"/>
        </w:rPr>
        <w:t>donde:</w:t>
      </w:r>
    </w:p>
    <w:p w14:paraId="79E2A608" w14:textId="77777777" w:rsidR="00B230E8" w:rsidRDefault="00B230E8" w:rsidP="00B230E8">
      <w:pPr>
        <w:pStyle w:val="Equationlegend"/>
        <w:rPr>
          <w:lang w:val="es-ES_tradnl"/>
        </w:rPr>
      </w:pPr>
      <w:r>
        <w:rPr>
          <w:lang w:val="es-ES_tradnl"/>
        </w:rPr>
        <w:tab/>
      </w:r>
      <w:proofErr w:type="gramStart"/>
      <w:r>
        <w:rPr>
          <w:i/>
          <w:lang w:val="es-ES_tradnl"/>
        </w:rPr>
        <w:t>CM</w:t>
      </w:r>
      <w:r>
        <w:rPr>
          <w:position w:val="-4"/>
          <w:sz w:val="16"/>
          <w:lang w:val="es-ES_tradnl"/>
        </w:rPr>
        <w:t>i</w:t>
      </w:r>
      <w:r>
        <w:rPr>
          <w:position w:val="-4"/>
          <w:sz w:val="12"/>
          <w:lang w:val="es-ES_tradnl"/>
        </w:rPr>
        <w:t> </w:t>
      </w:r>
      <w:r>
        <w:rPr>
          <w:lang w:val="es-ES_tradnl"/>
        </w:rPr>
        <w:t>:</w:t>
      </w:r>
      <w:proofErr w:type="gramEnd"/>
      <w:r>
        <w:rPr>
          <w:lang w:val="es-ES_tradnl"/>
        </w:rPr>
        <w:tab/>
        <w:t>margen de portadora</w:t>
      </w:r>
      <w:r w:rsidR="00A96126">
        <w:rPr>
          <w:lang w:val="es-ES_tradnl"/>
        </w:rPr>
        <w:t xml:space="preserve"> (dB)</w:t>
      </w:r>
      <w:r>
        <w:rPr>
          <w:lang w:val="es-ES_tradnl"/>
        </w:rPr>
        <w:t xml:space="preserve"> en presencia de interferencia</w:t>
      </w:r>
    </w:p>
    <w:p w14:paraId="07086C35" w14:textId="77777777" w:rsidR="00B230E8" w:rsidRDefault="00B230E8" w:rsidP="00B230E8">
      <w:pPr>
        <w:pStyle w:val="Equationlegend"/>
        <w:rPr>
          <w:lang w:val="es-ES_tradnl"/>
        </w:rPr>
      </w:pPr>
      <w:r>
        <w:rPr>
          <w:lang w:val="es-ES_tradnl"/>
        </w:rPr>
        <w:tab/>
      </w:r>
      <w:r>
        <w:rPr>
          <w:i/>
          <w:lang w:val="es-ES_tradnl"/>
        </w:rPr>
        <w:t>CM</w:t>
      </w:r>
      <w:proofErr w:type="gramStart"/>
      <w:r>
        <w:rPr>
          <w:position w:val="-4"/>
          <w:sz w:val="16"/>
          <w:lang w:val="es-ES_tradnl"/>
        </w:rPr>
        <w:t>0</w:t>
      </w:r>
      <w:r>
        <w:rPr>
          <w:i/>
          <w:sz w:val="12"/>
          <w:lang w:val="es-ES_tradnl"/>
        </w:rPr>
        <w:t> </w:t>
      </w:r>
      <w:r>
        <w:rPr>
          <w:lang w:val="es-ES_tradnl"/>
        </w:rPr>
        <w:t>:</w:t>
      </w:r>
      <w:proofErr w:type="gramEnd"/>
      <w:r>
        <w:rPr>
          <w:lang w:val="es-ES_tradnl"/>
        </w:rPr>
        <w:tab/>
        <w:t xml:space="preserve">margen </w:t>
      </w:r>
      <w:r w:rsidR="00A96126">
        <w:rPr>
          <w:lang w:val="es-ES_tradnl"/>
        </w:rPr>
        <w:t xml:space="preserve">(dB) </w:t>
      </w:r>
      <w:r>
        <w:rPr>
          <w:lang w:val="es-ES_tradnl"/>
        </w:rPr>
        <w:t>sin interferencia</w:t>
      </w:r>
    </w:p>
    <w:p w14:paraId="692BE4EC" w14:textId="77777777" w:rsidR="00B230E8" w:rsidRDefault="00B230E8" w:rsidP="00B230E8">
      <w:pPr>
        <w:pStyle w:val="Equationlegend"/>
        <w:rPr>
          <w:lang w:val="es-ES_tradnl"/>
        </w:rPr>
      </w:pPr>
      <w:r>
        <w:rPr>
          <w:lang w:val="es-ES_tradnl"/>
        </w:rPr>
        <w:tab/>
      </w:r>
      <w:r>
        <w:rPr>
          <w:i/>
          <w:lang w:val="es-ES_tradnl"/>
        </w:rPr>
        <w:t>I</w:t>
      </w:r>
      <w:r>
        <w:rPr>
          <w:position w:val="-4"/>
          <w:sz w:val="16"/>
          <w:lang w:val="es-ES_tradnl"/>
        </w:rPr>
        <w:t>0</w:t>
      </w:r>
      <w:r>
        <w:rPr>
          <w:lang w:val="es-ES_tradnl"/>
        </w:rPr>
        <w:t>/</w:t>
      </w:r>
      <w:r>
        <w:rPr>
          <w:i/>
          <w:lang w:val="es-ES_tradnl"/>
        </w:rPr>
        <w:t>N</w:t>
      </w:r>
      <w:proofErr w:type="gramStart"/>
      <w:r>
        <w:rPr>
          <w:position w:val="-4"/>
          <w:sz w:val="16"/>
          <w:lang w:val="es-ES_tradnl"/>
        </w:rPr>
        <w:t>0</w:t>
      </w:r>
      <w:r>
        <w:rPr>
          <w:sz w:val="12"/>
          <w:lang w:val="es-ES_tradnl"/>
        </w:rPr>
        <w:t> </w:t>
      </w:r>
      <w:r>
        <w:rPr>
          <w:lang w:val="es-ES_tradnl"/>
        </w:rPr>
        <w:t>:</w:t>
      </w:r>
      <w:proofErr w:type="gramEnd"/>
      <w:r>
        <w:rPr>
          <w:lang w:val="es-ES_tradnl"/>
        </w:rPr>
        <w:tab/>
        <w:t>relación densidad espectral de la interferencia/densidad espectral de ruido.</w:t>
      </w:r>
    </w:p>
    <w:p w14:paraId="53FA305D" w14:textId="77777777" w:rsidR="00B230E8" w:rsidRDefault="00B230E8" w:rsidP="00B230E8">
      <w:pPr>
        <w:rPr>
          <w:lang w:val="es-ES_tradnl"/>
        </w:rPr>
      </w:pPr>
      <w:r>
        <w:rPr>
          <w:lang w:val="es-ES_tradnl"/>
        </w:rPr>
        <w:t xml:space="preserve">Dado un determinado margen de portadora sin interferencia, y el aumento aceptable del temblor de fase, la Fig. 8 y la expresión anterior permiten calcular la relación </w:t>
      </w:r>
      <w:r>
        <w:rPr>
          <w:i/>
          <w:lang w:val="es-ES_tradnl"/>
        </w:rPr>
        <w:t>I</w:t>
      </w:r>
      <w:r>
        <w:rPr>
          <w:position w:val="-4"/>
          <w:sz w:val="16"/>
          <w:lang w:val="es-ES_tradnl"/>
        </w:rPr>
        <w:t>0</w:t>
      </w:r>
      <w:r>
        <w:rPr>
          <w:lang w:val="es-ES_tradnl"/>
        </w:rPr>
        <w:t>/</w:t>
      </w:r>
      <w:r>
        <w:rPr>
          <w:i/>
          <w:lang w:val="es-ES_tradnl"/>
        </w:rPr>
        <w:t>N</w:t>
      </w:r>
      <w:r>
        <w:rPr>
          <w:position w:val="-4"/>
          <w:sz w:val="16"/>
          <w:lang w:val="es-ES_tradnl"/>
        </w:rPr>
        <w:t>0</w:t>
      </w:r>
      <w:r>
        <w:rPr>
          <w:lang w:val="es-ES_tradnl"/>
        </w:rPr>
        <w:t xml:space="preserve">. Por ejemplo, para un margen típico de 10 dB, la interferencia causará un aumento de 10° en el temblor de fase de cresta, lo que reducirá el margen a 5,5 dB. La relación </w:t>
      </w:r>
      <w:r>
        <w:rPr>
          <w:i/>
          <w:lang w:val="es-ES_tradnl"/>
        </w:rPr>
        <w:t>I</w:t>
      </w:r>
      <w:r>
        <w:rPr>
          <w:position w:val="-4"/>
          <w:sz w:val="16"/>
          <w:lang w:val="es-ES_tradnl"/>
        </w:rPr>
        <w:t>0</w:t>
      </w:r>
      <w:r>
        <w:rPr>
          <w:lang w:val="es-ES_tradnl"/>
        </w:rPr>
        <w:t>/</w:t>
      </w:r>
      <w:r>
        <w:rPr>
          <w:i/>
          <w:lang w:val="es-ES_tradnl"/>
        </w:rPr>
        <w:t>N</w:t>
      </w:r>
      <w:r>
        <w:rPr>
          <w:position w:val="-4"/>
          <w:sz w:val="16"/>
          <w:lang w:val="es-ES_tradnl"/>
        </w:rPr>
        <w:t>0</w:t>
      </w:r>
      <w:r>
        <w:rPr>
          <w:lang w:val="es-ES_tradnl"/>
        </w:rPr>
        <w:t xml:space="preserve"> en esta circunstancia es de 2,</w:t>
      </w:r>
      <w:r w:rsidR="00A96126">
        <w:rPr>
          <w:lang w:val="es-ES_tradnl"/>
        </w:rPr>
        <w:t>6</w:t>
      </w:r>
      <w:r>
        <w:rPr>
          <w:lang w:val="es-ES_tradnl"/>
        </w:rPr>
        <w:t> dB.</w:t>
      </w:r>
    </w:p>
    <w:p w14:paraId="401E3893" w14:textId="77777777" w:rsidR="00A23E5A" w:rsidRDefault="00A23E5A" w:rsidP="00B230E8">
      <w:pPr>
        <w:rPr>
          <w:lang w:val="es-ES_tradnl"/>
        </w:rPr>
      </w:pPr>
    </w:p>
    <w:p w14:paraId="626D429B" w14:textId="77777777" w:rsidR="00B230E8" w:rsidRDefault="00A96126" w:rsidP="00B230E8">
      <w:pPr>
        <w:pStyle w:val="FigureNo"/>
      </w:pPr>
      <w:r>
        <w:object w:dxaOrig="5364" w:dyaOrig="7676" w14:anchorId="00622156">
          <v:shape id="_x0000_i1033" type="#_x0000_t75" style="width:268.5pt;height:384pt" o:ole="" o:allowoverlap="f">
            <v:imagedata r:id="rId23" o:title=""/>
          </v:shape>
          <o:OLEObject Type="Embed" ProgID="CorelDRAW.Graphic.12" ShapeID="_x0000_i1033" DrawAspect="Content" ObjectID="_1760428865" r:id="rId24"/>
        </w:object>
      </w:r>
    </w:p>
    <w:p w14:paraId="14A12108" w14:textId="77777777" w:rsidR="00A23E5A" w:rsidRDefault="00A23E5A" w:rsidP="00B230E8">
      <w:pPr>
        <w:rPr>
          <w:lang w:val="es-ES_tradnl"/>
        </w:rPr>
      </w:pPr>
    </w:p>
    <w:p w14:paraId="047CF8E4" w14:textId="77777777" w:rsidR="00B230E8" w:rsidRDefault="00A23E5A" w:rsidP="00B230E8">
      <w:pPr>
        <w:rPr>
          <w:lang w:val="es-ES_tradnl"/>
        </w:rPr>
      </w:pPr>
      <w:r>
        <w:rPr>
          <w:lang w:val="es-ES_tradnl"/>
        </w:rPr>
        <w:br w:type="page"/>
      </w:r>
      <w:r w:rsidR="00B230E8">
        <w:rPr>
          <w:lang w:val="es-ES_tradnl"/>
        </w:rPr>
        <w:lastRenderedPageBreak/>
        <w:t>La interferencia de ruido en los subsistemas de telemedida y de determinación de distancia reduce la relación energía por símbolo/densidad espectral ruido efectiva y aumenta por tanto la proporción de errores de telemedida y la varianza en la estimación del retardo para la determinación de la distancia.</w:t>
      </w:r>
    </w:p>
    <w:p w14:paraId="4964F328" w14:textId="77777777" w:rsidR="00B230E8" w:rsidRDefault="00B230E8" w:rsidP="00B230E8">
      <w:pPr>
        <w:rPr>
          <w:lang w:val="es-ES_tradnl"/>
        </w:rPr>
      </w:pPr>
      <w:r>
        <w:rPr>
          <w:lang w:val="es-ES_tradnl"/>
        </w:rPr>
        <w:t xml:space="preserve">La reducción de la relación energía por símbolo/densidad espectral de ruido equivalente, </w:t>
      </w:r>
      <w:r>
        <w:rPr>
          <w:rFonts w:ascii="Symbol" w:hAnsi="Symbol"/>
          <w:lang w:val="es-ES_tradnl"/>
        </w:rPr>
        <w:t></w:t>
      </w:r>
      <w:r>
        <w:rPr>
          <w:i/>
          <w:lang w:val="es-ES_tradnl"/>
        </w:rPr>
        <w:t>E</w:t>
      </w:r>
      <w:r>
        <w:rPr>
          <w:lang w:val="es-ES_tradnl"/>
        </w:rPr>
        <w:t>/</w:t>
      </w:r>
      <w:r>
        <w:rPr>
          <w:i/>
          <w:lang w:val="es-ES_tradnl"/>
        </w:rPr>
        <w:t>N</w:t>
      </w:r>
      <w:r>
        <w:rPr>
          <w:position w:val="-4"/>
          <w:sz w:val="16"/>
          <w:lang w:val="es-ES_tradnl"/>
        </w:rPr>
        <w:t>0</w:t>
      </w:r>
      <w:r>
        <w:rPr>
          <w:lang w:val="es-ES_tradnl"/>
        </w:rPr>
        <w:t>, puede expresarse por:</w:t>
      </w:r>
    </w:p>
    <w:p w14:paraId="40D12571" w14:textId="77777777" w:rsidR="00A23E5A" w:rsidRDefault="00A23E5A" w:rsidP="00A23E5A">
      <w:pPr>
        <w:pStyle w:val="Blanc"/>
      </w:pPr>
      <w:bookmarkStart w:id="4" w:name="F005"/>
    </w:p>
    <w:p w14:paraId="329626B6" w14:textId="77777777" w:rsidR="00B230E8" w:rsidRPr="00B230E8" w:rsidRDefault="00B230E8" w:rsidP="00B230E8">
      <w:pPr>
        <w:pStyle w:val="Equation"/>
        <w:rPr>
          <w:lang w:val="es-ES_tradnl"/>
        </w:rPr>
      </w:pPr>
      <w:r>
        <w:rPr>
          <w:lang w:val="es-ES_tradnl"/>
        </w:rPr>
        <w:tab/>
      </w:r>
      <w:r>
        <w:rPr>
          <w:lang w:val="es-ES_tradnl"/>
        </w:rPr>
        <w:tab/>
      </w:r>
      <w:r>
        <w:rPr>
          <w:rFonts w:ascii="Symbol" w:hAnsi="Symbol"/>
        </w:rPr>
        <w:t></w:t>
      </w:r>
      <w:r w:rsidRPr="00B230E8">
        <w:rPr>
          <w:i/>
          <w:lang w:val="es-ES_tradnl"/>
        </w:rPr>
        <w:t>E</w:t>
      </w:r>
      <w:r w:rsidRPr="00B230E8">
        <w:rPr>
          <w:rFonts w:ascii="Tms Rmn" w:hAnsi="Tms Rmn"/>
          <w:lang w:val="es-ES_tradnl"/>
        </w:rPr>
        <w:t>/</w:t>
      </w:r>
      <w:r w:rsidRPr="00B230E8">
        <w:rPr>
          <w:rFonts w:ascii="Tms Rmn" w:hAnsi="Tms Rmn"/>
          <w:i/>
          <w:lang w:val="es-ES_tradnl"/>
        </w:rPr>
        <w:t>N</w:t>
      </w:r>
      <w:proofErr w:type="gramStart"/>
      <w:r w:rsidRPr="00B230E8">
        <w:rPr>
          <w:rFonts w:ascii="Tms Rmn" w:hAnsi="Tms Rmn"/>
          <w:position w:val="-4"/>
          <w:sz w:val="18"/>
          <w:lang w:val="es-ES_tradnl"/>
        </w:rPr>
        <w:t>0</w:t>
      </w:r>
      <w:r w:rsidRPr="00B230E8">
        <w:rPr>
          <w:rFonts w:ascii="Tms Rmn" w:hAnsi="Tms Rmn"/>
          <w:lang w:val="es-ES_tradnl"/>
        </w:rPr>
        <w:t xml:space="preserve">  </w:t>
      </w:r>
      <w:r>
        <w:rPr>
          <w:rFonts w:ascii="Symbol" w:hAnsi="Symbol"/>
        </w:rPr>
        <w:t></w:t>
      </w:r>
      <w:proofErr w:type="gramEnd"/>
      <w:r w:rsidRPr="00B230E8">
        <w:rPr>
          <w:rFonts w:ascii="Tms Rmn" w:hAnsi="Tms Rmn"/>
          <w:lang w:val="es-ES_tradnl"/>
        </w:rPr>
        <w:t xml:space="preserve">  10 log (1  </w:t>
      </w:r>
      <w:r>
        <w:rPr>
          <w:rFonts w:ascii="Symbol" w:hAnsi="Symbol"/>
        </w:rPr>
        <w:t></w:t>
      </w:r>
      <w:r w:rsidRPr="00B230E8">
        <w:rPr>
          <w:rFonts w:ascii="Tms Rmn" w:hAnsi="Tms Rmn"/>
          <w:lang w:val="es-ES_tradnl"/>
        </w:rPr>
        <w:t xml:space="preserve">  </w:t>
      </w:r>
      <w:r w:rsidRPr="00B230E8">
        <w:rPr>
          <w:rFonts w:ascii="Tms Rmn" w:hAnsi="Tms Rmn"/>
          <w:i/>
          <w:lang w:val="es-ES_tradnl"/>
        </w:rPr>
        <w:t>I</w:t>
      </w:r>
      <w:r w:rsidRPr="00B230E8">
        <w:rPr>
          <w:rFonts w:ascii="Tms Rmn" w:hAnsi="Tms Rmn"/>
          <w:position w:val="-4"/>
          <w:sz w:val="18"/>
          <w:lang w:val="es-ES_tradnl"/>
        </w:rPr>
        <w:t>0</w:t>
      </w:r>
      <w:r w:rsidRPr="00B230E8">
        <w:rPr>
          <w:rFonts w:ascii="Tms Rmn" w:hAnsi="Tms Rmn"/>
          <w:position w:val="-4"/>
          <w:sz w:val="12"/>
          <w:lang w:val="es-ES_tradnl"/>
        </w:rPr>
        <w:t> </w:t>
      </w:r>
      <w:r w:rsidRPr="00B230E8">
        <w:rPr>
          <w:rFonts w:ascii="Tms Rmn" w:hAnsi="Tms Rmn"/>
          <w:lang w:val="es-ES_tradnl"/>
        </w:rPr>
        <w:t>/</w:t>
      </w:r>
      <w:r w:rsidRPr="00B230E8">
        <w:rPr>
          <w:rFonts w:ascii="Tms Rmn" w:hAnsi="Tms Rmn"/>
          <w:i/>
          <w:lang w:val="es-ES_tradnl"/>
        </w:rPr>
        <w:t>N</w:t>
      </w:r>
      <w:r w:rsidRPr="00B230E8">
        <w:rPr>
          <w:rFonts w:ascii="Tms Rmn" w:hAnsi="Tms Rmn"/>
          <w:position w:val="-4"/>
          <w:sz w:val="18"/>
          <w:lang w:val="es-ES_tradnl"/>
        </w:rPr>
        <w:t>0</w:t>
      </w:r>
      <w:r w:rsidRPr="00B230E8">
        <w:rPr>
          <w:rFonts w:ascii="Tms Rmn" w:hAnsi="Tms Rmn"/>
          <w:lang w:val="es-ES_tradnl"/>
        </w:rPr>
        <w:t>)</w:t>
      </w:r>
      <w:r w:rsidRPr="00B230E8">
        <w:rPr>
          <w:lang w:val="es-ES_tradnl"/>
        </w:rPr>
        <w:t>               </w:t>
      </w:r>
      <w:r w:rsidRPr="00B230E8">
        <w:rPr>
          <w:rFonts w:ascii="Tms Rmn" w:hAnsi="Tms Rmn"/>
          <w:lang w:val="es-ES_tradnl"/>
        </w:rPr>
        <w:t>dB</w:t>
      </w:r>
      <w:bookmarkEnd w:id="4"/>
    </w:p>
    <w:p w14:paraId="4557D29B" w14:textId="77777777" w:rsidR="00A23E5A" w:rsidRDefault="00A23E5A" w:rsidP="00A23E5A">
      <w:pPr>
        <w:pStyle w:val="Blanc"/>
      </w:pPr>
    </w:p>
    <w:p w14:paraId="553770E1" w14:textId="77777777" w:rsidR="00B230E8" w:rsidRDefault="00B230E8" w:rsidP="00B230E8">
      <w:pPr>
        <w:rPr>
          <w:lang w:val="es-ES_tradnl"/>
        </w:rPr>
      </w:pPr>
      <w:r>
        <w:rPr>
          <w:lang w:val="es-ES_tradnl"/>
        </w:rPr>
        <w:t xml:space="preserve">donde </w:t>
      </w:r>
      <w:r>
        <w:rPr>
          <w:i/>
          <w:lang w:val="es-ES_tradnl"/>
        </w:rPr>
        <w:t>I</w:t>
      </w:r>
      <w:r>
        <w:rPr>
          <w:position w:val="-4"/>
          <w:sz w:val="16"/>
          <w:lang w:val="es-ES_tradnl"/>
        </w:rPr>
        <w:t>0</w:t>
      </w:r>
      <w:r>
        <w:rPr>
          <w:lang w:val="es-ES_tradnl"/>
        </w:rPr>
        <w:t>/</w:t>
      </w:r>
      <w:r>
        <w:rPr>
          <w:i/>
          <w:lang w:val="es-ES_tradnl"/>
        </w:rPr>
        <w:t>N</w:t>
      </w:r>
      <w:r>
        <w:rPr>
          <w:position w:val="-4"/>
          <w:sz w:val="16"/>
          <w:lang w:val="es-ES_tradnl"/>
        </w:rPr>
        <w:t>0</w:t>
      </w:r>
      <w:r>
        <w:rPr>
          <w:lang w:val="es-ES_tradnl"/>
        </w:rPr>
        <w:t xml:space="preserve"> es la relación densidad espectral de la interferencia/densidad espectral de ruido. Conociendo la </w:t>
      </w:r>
      <w:r w:rsidR="00A96126">
        <w:rPr>
          <w:lang w:val="es-ES_tradnl"/>
        </w:rPr>
        <w:t xml:space="preserve">reducción aceptable de la </w:t>
      </w:r>
      <w:r>
        <w:rPr>
          <w:lang w:val="es-ES_tradnl"/>
        </w:rPr>
        <w:t xml:space="preserve">relación </w:t>
      </w:r>
      <w:r>
        <w:rPr>
          <w:i/>
          <w:lang w:val="es-ES_tradnl"/>
        </w:rPr>
        <w:t>E</w:t>
      </w:r>
      <w:r>
        <w:rPr>
          <w:lang w:val="es-ES_tradnl"/>
        </w:rPr>
        <w:t>/</w:t>
      </w:r>
      <w:r>
        <w:rPr>
          <w:i/>
          <w:lang w:val="es-ES_tradnl"/>
        </w:rPr>
        <w:t>N</w:t>
      </w:r>
      <w:r>
        <w:rPr>
          <w:position w:val="-4"/>
          <w:sz w:val="16"/>
          <w:lang w:val="es-ES_tradnl"/>
        </w:rPr>
        <w:t>0</w:t>
      </w:r>
      <w:r>
        <w:rPr>
          <w:lang w:val="es-ES_tradnl"/>
        </w:rPr>
        <w:t xml:space="preserve">, puede calcularse la relación </w:t>
      </w:r>
      <w:r>
        <w:rPr>
          <w:i/>
          <w:lang w:val="es-ES_tradnl"/>
        </w:rPr>
        <w:t>I</w:t>
      </w:r>
      <w:r>
        <w:rPr>
          <w:position w:val="-4"/>
          <w:sz w:val="16"/>
          <w:lang w:val="es-ES_tradnl"/>
        </w:rPr>
        <w:t>0</w:t>
      </w:r>
      <w:r>
        <w:rPr>
          <w:lang w:val="es-ES_tradnl"/>
        </w:rPr>
        <w:t>/</w:t>
      </w:r>
      <w:r>
        <w:rPr>
          <w:i/>
          <w:lang w:val="es-ES_tradnl"/>
        </w:rPr>
        <w:t>N</w:t>
      </w:r>
      <w:r>
        <w:rPr>
          <w:position w:val="-4"/>
          <w:sz w:val="16"/>
          <w:lang w:val="es-ES_tradnl"/>
        </w:rPr>
        <w:t>0</w:t>
      </w:r>
      <w:r>
        <w:rPr>
          <w:position w:val="-4"/>
          <w:sz w:val="18"/>
          <w:lang w:val="es-ES_tradnl"/>
        </w:rPr>
        <w:t xml:space="preserve"> </w:t>
      </w:r>
      <w:r>
        <w:rPr>
          <w:lang w:val="es-ES_tradnl"/>
        </w:rPr>
        <w:t>correspondiente.</w:t>
      </w:r>
    </w:p>
    <w:p w14:paraId="4AF24925" w14:textId="77777777" w:rsidR="00B230E8" w:rsidRDefault="00B230E8" w:rsidP="00B230E8">
      <w:pPr>
        <w:rPr>
          <w:lang w:val="es-ES_tradnl"/>
        </w:rPr>
      </w:pPr>
    </w:p>
    <w:p w14:paraId="4BECEF60" w14:textId="77777777" w:rsidR="00B230E8" w:rsidRDefault="00B230E8" w:rsidP="00B230E8">
      <w:pPr>
        <w:rPr>
          <w:lang w:val="es-ES_tradnl"/>
        </w:rPr>
      </w:pPr>
    </w:p>
    <w:p w14:paraId="5BA81508" w14:textId="77777777" w:rsidR="00B230E8" w:rsidRDefault="00B230E8" w:rsidP="00B230E8">
      <w:pPr>
        <w:pStyle w:val="Line"/>
        <w:rPr>
          <w:lang w:val="es-ES_tradnl"/>
        </w:rPr>
      </w:pPr>
    </w:p>
    <w:p w14:paraId="5A3BC7F8" w14:textId="77777777" w:rsidR="00B230E8" w:rsidRPr="00B230E8" w:rsidRDefault="00B230E8" w:rsidP="00B230E8">
      <w:pPr>
        <w:rPr>
          <w:lang w:val="es-ES_tradnl"/>
        </w:rPr>
      </w:pPr>
    </w:p>
    <w:sectPr w:rsidR="00B230E8" w:rsidRPr="00B230E8">
      <w:headerReference w:type="even" r:id="rId25"/>
      <w:headerReference w:type="default" r:id="rId26"/>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22199" w14:textId="77777777" w:rsidR="0092373E" w:rsidRDefault="0092373E" w:rsidP="00B230E8">
      <w:pPr>
        <w:pStyle w:val="TableText0"/>
      </w:pPr>
      <w:r>
        <w:separator/>
      </w:r>
    </w:p>
  </w:endnote>
  <w:endnote w:type="continuationSeparator" w:id="0">
    <w:p w14:paraId="79296AC2" w14:textId="77777777" w:rsidR="0092373E" w:rsidRDefault="0092373E" w:rsidP="00B230E8">
      <w:pPr>
        <w:pStyle w:val="TableText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58B53" w14:textId="77777777" w:rsidR="0092373E" w:rsidRDefault="0092373E" w:rsidP="00B230E8">
      <w:pPr>
        <w:pStyle w:val="TableText0"/>
      </w:pPr>
      <w:r>
        <w:separator/>
      </w:r>
    </w:p>
  </w:footnote>
  <w:footnote w:type="continuationSeparator" w:id="0">
    <w:p w14:paraId="2C5E1AFA" w14:textId="77777777" w:rsidR="0092373E" w:rsidRDefault="0092373E" w:rsidP="00B230E8">
      <w:pPr>
        <w:pStyle w:val="TableText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7F72" w14:textId="5836E900" w:rsidR="00F37FE0" w:rsidRDefault="00F37FE0">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6D1618">
      <w:rPr>
        <w:rStyle w:val="PageNumber"/>
        <w:b/>
        <w:bCs/>
        <w:noProof/>
        <w:lang w:val="en-US"/>
      </w:rPr>
      <w:t>16</w:t>
    </w:r>
    <w:r>
      <w:rPr>
        <w:rStyle w:val="PageNumber"/>
        <w:b/>
        <w:bCs/>
      </w:rPr>
      <w:fldChar w:fldCharType="end"/>
    </w:r>
    <w:r>
      <w:rPr>
        <w:lang w:val="en-US"/>
      </w:rPr>
      <w:tab/>
    </w:r>
    <w:r>
      <w:rPr>
        <w:b/>
        <w:bCs/>
      </w:rPr>
      <w:fldChar w:fldCharType="begin"/>
    </w:r>
    <w:r>
      <w:rPr>
        <w:b/>
        <w:bCs/>
        <w:lang w:val="en-US"/>
      </w:rPr>
      <w:instrText xml:space="preserve"> DOCPROPERTY "Header" \* MERGEFORMAT </w:instrText>
    </w:r>
    <w:r>
      <w:rPr>
        <w:b/>
        <w:bCs/>
      </w:rPr>
      <w:fldChar w:fldCharType="separate"/>
    </w:r>
    <w:r w:rsidR="006D1618">
      <w:rPr>
        <w:b/>
        <w:bCs/>
        <w:lang w:val="en-US"/>
      </w:rPr>
      <w:t xml:space="preserve">Rec. </w:t>
    </w:r>
    <w:r>
      <w:rPr>
        <w:b/>
        <w:bCs/>
      </w:rPr>
      <w:fldChar w:fldCharType="end"/>
    </w:r>
    <w:r>
      <w:rPr>
        <w:b/>
        <w:bCs/>
      </w:rPr>
      <w:t xml:space="preserve"> </w:t>
    </w:r>
    <w:r>
      <w:rPr>
        <w:b/>
        <w:bCs/>
      </w:rPr>
      <w:fldChar w:fldCharType="begin"/>
    </w:r>
    <w:r>
      <w:rPr>
        <w:b/>
        <w:bCs/>
        <w:lang w:val="en-US"/>
      </w:rPr>
      <w:instrText>styleref href</w:instrText>
    </w:r>
    <w:r>
      <w:rPr>
        <w:b/>
        <w:bCs/>
      </w:rPr>
      <w:fldChar w:fldCharType="separate"/>
    </w:r>
    <w:r w:rsidR="005B6971">
      <w:rPr>
        <w:b/>
        <w:bCs/>
        <w:noProof/>
        <w:lang w:val="en-US"/>
      </w:rPr>
      <w:t>UIT-R  SA.1157-1</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F1CE" w14:textId="5F9C37E1" w:rsidR="00F37FE0" w:rsidRDefault="00F37FE0">
    <w:pPr>
      <w:pStyle w:val="Header"/>
    </w:pPr>
    <w:r>
      <w:tab/>
    </w:r>
    <w:r>
      <w:rPr>
        <w:b/>
        <w:bCs/>
      </w:rPr>
      <w:fldChar w:fldCharType="begin"/>
    </w:r>
    <w:r>
      <w:rPr>
        <w:b/>
        <w:bCs/>
      </w:rPr>
      <w:instrText xml:space="preserve"> DOCPROPERTY "Header" \* MERGEFORMAT </w:instrText>
    </w:r>
    <w:r>
      <w:rPr>
        <w:b/>
        <w:bCs/>
      </w:rPr>
      <w:fldChar w:fldCharType="separate"/>
    </w:r>
    <w:r w:rsidR="006D1618">
      <w:rPr>
        <w:b/>
        <w:bCs/>
      </w:rPr>
      <w:t xml:space="preserve">Rec. </w:t>
    </w:r>
    <w:r>
      <w:rPr>
        <w:b/>
        <w:bCs/>
      </w:rPr>
      <w:fldChar w:fldCharType="end"/>
    </w:r>
    <w:r>
      <w:rPr>
        <w:b/>
        <w:bCs/>
      </w:rPr>
      <w:t xml:space="preserve"> </w:t>
    </w:r>
    <w:r>
      <w:rPr>
        <w:b/>
        <w:bCs/>
      </w:rPr>
      <w:fldChar w:fldCharType="begin"/>
    </w:r>
    <w:r>
      <w:rPr>
        <w:b/>
        <w:bCs/>
      </w:rPr>
      <w:instrText>styleref href</w:instrText>
    </w:r>
    <w:r>
      <w:rPr>
        <w:b/>
        <w:bCs/>
      </w:rPr>
      <w:fldChar w:fldCharType="separate"/>
    </w:r>
    <w:r w:rsidR="005B6971">
      <w:rPr>
        <w:b/>
        <w:bCs/>
        <w:noProof/>
      </w:rPr>
      <w:t>UIT-R  SA.1157-1</w:t>
    </w:r>
    <w:r>
      <w:rPr>
        <w:b/>
        <w:bCs/>
      </w:rPr>
      <w:fldChar w:fldCharType="end"/>
    </w:r>
    <w:r>
      <w:tab/>
    </w:r>
    <w:r>
      <w:rPr>
        <w:rStyle w:val="PageNumber"/>
        <w:b/>
        <w:bCs/>
      </w:rPr>
      <w:fldChar w:fldCharType="begin"/>
    </w:r>
    <w:r>
      <w:rPr>
        <w:rStyle w:val="PageNumber"/>
        <w:b/>
        <w:bCs/>
      </w:rPr>
      <w:instrText xml:space="preserve"> PAGE </w:instrText>
    </w:r>
    <w:r>
      <w:rPr>
        <w:rStyle w:val="PageNumber"/>
        <w:b/>
        <w:bCs/>
      </w:rPr>
      <w:fldChar w:fldCharType="separate"/>
    </w:r>
    <w:r w:rsidR="006D1618">
      <w:rPr>
        <w:rStyle w:val="PageNumber"/>
        <w:b/>
        <w:bCs/>
        <w:noProof/>
      </w:rPr>
      <w:t>15</w:t>
    </w:r>
    <w:r>
      <w:rPr>
        <w:rStyle w:val="PageNumbe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activeWritingStyle w:appName="MSWord" w:lang="en-US" w:vendorID="64" w:dllVersion="131077" w:nlCheck="1" w:checkStyle="0"/>
  <w:activeWritingStyle w:appName="MSWord" w:lang="es-ES_tradnl"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126"/>
    <w:rsid w:val="004E1DC1"/>
    <w:rsid w:val="005B6971"/>
    <w:rsid w:val="00600F66"/>
    <w:rsid w:val="006D1618"/>
    <w:rsid w:val="0092373E"/>
    <w:rsid w:val="009D2E7B"/>
    <w:rsid w:val="00A23E5A"/>
    <w:rsid w:val="00A96126"/>
    <w:rsid w:val="00B230E8"/>
    <w:rsid w:val="00F37FE0"/>
    <w:rsid w:val="00FE3E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B1B6138"/>
  <w15:chartTrackingRefBased/>
  <w15:docId w15:val="{AC013434-8653-4F66-B37B-603876BDF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pPr>
      <w:keepNext/>
      <w:keepLine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992"/>
      </w:tabs>
      <w:ind w:left="992" w:hanging="992"/>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992"/>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jc w:val="left"/>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pPr>
      <w:tabs>
        <w:tab w:val="clear" w:pos="794"/>
        <w:tab w:val="clear" w:pos="1191"/>
        <w:tab w:val="clear" w:pos="1588"/>
        <w:tab w:val="clear" w:pos="1985"/>
      </w:tabs>
      <w:spacing w:before="0"/>
    </w:pPr>
    <w:rPr>
      <w:noProof/>
      <w:sz w:val="18"/>
    </w:rPr>
  </w:style>
  <w:style w:type="character" w:styleId="PageNumber">
    <w:name w:val="page number"/>
    <w:basedOn w:val="DefaultParagraphFont"/>
  </w:style>
  <w:style w:type="paragraph" w:customStyle="1" w:styleId="Headingb">
    <w:name w:val="Heading_b"/>
    <w:basedOn w:val="Heading3"/>
    <w:next w:val="Normal"/>
    <w:pPr>
      <w:spacing w:before="160"/>
      <w:ind w:left="0" w:firstLine="0"/>
      <w:outlineLvl w:val="9"/>
    </w:pPr>
  </w:style>
  <w:style w:type="paragraph" w:customStyle="1" w:styleId="Headingi">
    <w:name w:val="Heading_i"/>
    <w:basedOn w:val="Heading3"/>
    <w:next w:val="Normal"/>
    <w:pPr>
      <w:spacing w:before="160"/>
      <w:ind w:left="0" w:firstLine="0"/>
    </w:pPr>
    <w:rPr>
      <w:b w:val="0"/>
      <w:i/>
    </w:rPr>
  </w:style>
  <w:style w:type="character" w:customStyle="1" w:styleId="href">
    <w:name w:val="href"/>
    <w:basedOn w:val="DefaultParagraphFont"/>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Normalaftertitle">
    <w:name w:val="Normal_after_title"/>
    <w:basedOn w:val="Normal"/>
    <w:next w:val="Normal"/>
    <w:pPr>
      <w:spacing w:before="320"/>
    </w:pPr>
  </w:style>
  <w:style w:type="paragraph" w:customStyle="1" w:styleId="Note">
    <w:name w:val="Note"/>
    <w:basedOn w:val="Normal"/>
    <w:pPr>
      <w:tabs>
        <w:tab w:val="clear" w:pos="794"/>
        <w:tab w:val="clear" w:pos="1191"/>
        <w:tab w:val="clear" w:pos="1588"/>
        <w:tab w:val="clear" w:pos="1985"/>
      </w:tabs>
      <w:spacing w:before="80"/>
    </w:pPr>
    <w:rPr>
      <w:sz w:val="22"/>
    </w:rPr>
  </w:style>
  <w:style w:type="paragraph" w:customStyle="1" w:styleId="RecNo">
    <w:name w:val="Rec_No"/>
    <w:basedOn w:val="Normal"/>
    <w:next w:val="Rectitl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pPr>
      <w:spacing w:before="240"/>
    </w:pPr>
    <w:rPr>
      <w:sz w:val="22"/>
      <w:lang w:val="es-ES_tradnl"/>
    </w:rPr>
  </w:style>
  <w:style w:type="paragraph" w:customStyle="1" w:styleId="Recref">
    <w:name w:val="Rec_ref"/>
    <w:basedOn w:val="Normal"/>
    <w:next w:val="Recdate"/>
    <w:pPr>
      <w:jc w:val="center"/>
    </w:pPr>
  </w:style>
  <w:style w:type="paragraph" w:customStyle="1" w:styleId="Recdate">
    <w:name w:val="Rec_date"/>
    <w:basedOn w:val="Recref"/>
    <w:next w:val="Normal"/>
    <w:pPr>
      <w:jc w:val="right"/>
    </w:pPr>
  </w:style>
  <w:style w:type="paragraph" w:customStyle="1" w:styleId="AnnexNoTitle">
    <w:name w:val="Annex_NoTitle"/>
    <w:basedOn w:val="Normal"/>
    <w:next w:val="Normalaftertitle"/>
    <w:rsid w:val="005B6971"/>
    <w:pPr>
      <w:keepNext/>
      <w:keepLines/>
      <w:spacing w:before="480" w:after="80"/>
      <w:jc w:val="center"/>
      <w:outlineLvl w:val="0"/>
    </w:pPr>
    <w:rPr>
      <w:b/>
      <w:sz w:val="28"/>
    </w:rPr>
  </w:style>
  <w:style w:type="paragraph" w:customStyle="1" w:styleId="AppendixNoTitle">
    <w:name w:val="Appendix_NoTitle"/>
    <w:basedOn w:val="AnnexNoTitle"/>
    <w:next w:val="Normal"/>
  </w:style>
  <w:style w:type="paragraph" w:customStyle="1" w:styleId="Tablefin">
    <w:name w:val="Table_fin"/>
    <w:basedOn w:val="Normal"/>
    <w:next w:val="Normal"/>
    <w:pPr>
      <w:spacing w:before="0"/>
    </w:pPr>
    <w:rPr>
      <w:sz w:val="20"/>
      <w:lang w:val="en-GB"/>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pPr>
      <w:keepNext/>
      <w:spacing w:before="36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Indent"/>
    <w:pPr>
      <w:tabs>
        <w:tab w:val="clear" w:pos="794"/>
        <w:tab w:val="clear" w:pos="1191"/>
        <w:tab w:val="clear" w:pos="1588"/>
        <w:tab w:val="right" w:pos="1701"/>
        <w:tab w:val="left" w:pos="1985"/>
      </w:tabs>
      <w:spacing w:before="80"/>
      <w:ind w:left="1985" w:hanging="1985"/>
    </w:pPr>
    <w:rPr>
      <w:lang w:val="en-US"/>
    </w:rPr>
  </w:style>
  <w:style w:type="paragraph" w:styleId="NormalIndent">
    <w:name w:val="Normal Indent"/>
    <w:basedOn w:val="Normal"/>
    <w:pPr>
      <w:ind w:left="794"/>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pPr>
      <w:keepLines/>
      <w:spacing w:before="480" w:after="80"/>
      <w:jc w:val="center"/>
    </w:pPr>
    <w:rPr>
      <w:caps/>
      <w:sz w:val="18"/>
    </w:rPr>
  </w:style>
  <w:style w:type="paragraph" w:customStyle="1" w:styleId="tocpart">
    <w:name w:val="tocpart"/>
    <w:basedOn w:val="Normal"/>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pPr>
      <w:keepNext/>
      <w:keepLines/>
      <w:spacing w:before="480"/>
      <w:jc w:val="center"/>
    </w:pPr>
    <w:rPr>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Blanc">
    <w:name w:val="Blanc"/>
    <w:basedOn w:val="Normal"/>
    <w:next w:val="Tabletext"/>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ArtNo"/>
    <w:next w:val="Chaptitle"/>
    <w:rPr>
      <w:b/>
    </w:rPr>
  </w:style>
  <w:style w:type="paragraph" w:customStyle="1" w:styleId="Chaptitle">
    <w:name w:val="Chap_title"/>
    <w:basedOn w:val="Arttitle"/>
    <w:next w:val="Normalaftertitle"/>
  </w:style>
  <w:style w:type="character" w:styleId="FootnoteReference">
    <w:name w:val="footnote reference"/>
    <w:semiHidden/>
    <w:rPr>
      <w:position w:val="6"/>
      <w:sz w:val="18"/>
    </w:rPr>
  </w:style>
  <w:style w:type="paragraph" w:styleId="FootnoteText">
    <w:name w:val="footnote text"/>
    <w:basedOn w:val="Normal"/>
    <w:semiHidden/>
    <w:pPr>
      <w:keepLines/>
      <w:tabs>
        <w:tab w:val="left" w:pos="255"/>
      </w:tabs>
      <w:ind w:left="255" w:hanging="255"/>
    </w:pPr>
    <w:rPr>
      <w:sz w:val="22"/>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Heading">
    <w:name w:val="index heading"/>
    <w:basedOn w:val="Normal"/>
    <w:next w:val="Index1"/>
    <w:semiHidden/>
  </w:style>
  <w:style w:type="paragraph" w:customStyle="1" w:styleId="Line">
    <w:name w:val="Line"/>
    <w:basedOn w:val="Normal"/>
    <w:next w:val="Normal"/>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style>
  <w:style w:type="paragraph" w:customStyle="1" w:styleId="Partref">
    <w:name w:val="Part_ref"/>
    <w:basedOn w:val="Normal"/>
    <w:next w:val="Normal"/>
    <w:pPr>
      <w:keepNext/>
      <w:keepLines/>
      <w:spacing w:after="280"/>
      <w:jc w:val="center"/>
    </w:pPr>
  </w:style>
  <w:style w:type="paragraph" w:customStyle="1" w:styleId="Parttitle">
    <w:name w:val="Part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style>
  <w:style w:type="paragraph" w:customStyle="1" w:styleId="QuestionNo">
    <w:name w:val="Question_No"/>
    <w:basedOn w:val="RecNo"/>
    <w:next w:val="Normal"/>
  </w:style>
  <w:style w:type="paragraph" w:customStyle="1" w:styleId="Questionref">
    <w:name w:val="Question_ref"/>
    <w:basedOn w:val="Recref"/>
    <w:next w:val="Questiondate"/>
  </w:style>
  <w:style w:type="paragraph" w:customStyle="1" w:styleId="Questiontitle">
    <w:name w:val="Question_title"/>
    <w:basedOn w:val="Normal"/>
    <w:next w:val="Questionref"/>
  </w:style>
  <w:style w:type="paragraph" w:customStyle="1" w:styleId="Reftext">
    <w:name w:val="Ref_text"/>
    <w:basedOn w:val="Normal"/>
    <w:pPr>
      <w:ind w:left="794" w:hanging="794"/>
    </w:pPr>
    <w:rPr>
      <w:sz w:val="22"/>
    </w:rPr>
  </w:style>
  <w:style w:type="paragraph" w:customStyle="1" w:styleId="Reftitle">
    <w:name w:val="Ref_title"/>
    <w:basedOn w:val="Normal"/>
    <w:next w:val="Reftext"/>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paragraph" w:customStyle="1" w:styleId="Restitle">
    <w:name w:val="Res_title"/>
    <w:basedOn w:val="Normal"/>
    <w:next w:val="Resref"/>
  </w:style>
  <w:style w:type="paragraph" w:customStyle="1" w:styleId="SectionNo">
    <w:name w:val="Section_No"/>
    <w:basedOn w:val="Normal"/>
    <w:next w:val="Normal"/>
  </w:style>
  <w:style w:type="paragraph" w:customStyle="1" w:styleId="Sectiontitle">
    <w:name w:val="Section_title"/>
    <w:basedOn w:val="Normal"/>
    <w:next w:val="Normalaftertitl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pPr>
      <w:tabs>
        <w:tab w:val="clear" w:pos="794"/>
        <w:tab w:val="clear" w:pos="1191"/>
        <w:tab w:val="clear" w:pos="1588"/>
        <w:tab w:val="clear" w:pos="1985"/>
        <w:tab w:val="right" w:pos="9611"/>
      </w:tabs>
    </w:pPr>
    <w:rPr>
      <w:i/>
    </w:rPr>
  </w:style>
  <w:style w:type="paragraph" w:styleId="TOC1">
    <w:name w:val="toc 1"/>
    <w:basedOn w:val="Normal"/>
    <w:semiHidden/>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pPr>
      <w:tabs>
        <w:tab w:val="clear" w:pos="567"/>
        <w:tab w:val="left" w:pos="1276"/>
      </w:tabs>
      <w:spacing w:before="160"/>
      <w:ind w:left="1276" w:hanging="709"/>
    </w:pPr>
  </w:style>
  <w:style w:type="paragraph" w:styleId="TOC3">
    <w:name w:val="toc 3"/>
    <w:basedOn w:val="TOC2"/>
    <w:semiHidden/>
    <w:pPr>
      <w:tabs>
        <w:tab w:val="clear" w:pos="1276"/>
        <w:tab w:val="left" w:pos="2155"/>
      </w:tabs>
      <w:ind w:left="2155" w:hanging="879"/>
    </w:pPr>
  </w:style>
  <w:style w:type="paragraph" w:styleId="TOC4">
    <w:name w:val="toc 4"/>
    <w:basedOn w:val="TOC3"/>
    <w:semiHidden/>
    <w:pPr>
      <w:tabs>
        <w:tab w:val="left" w:pos="3261"/>
      </w:tabs>
      <w:spacing w:before="80"/>
      <w:ind w:left="3261" w:hanging="993"/>
    </w:pPr>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Rectitle">
    <w:name w:val="Rec_title"/>
    <w:basedOn w:val="Normal"/>
    <w:next w:val="Recref"/>
    <w:pPr>
      <w:keepNext/>
      <w:keepLines/>
      <w:spacing w:before="240"/>
      <w:jc w:val="center"/>
    </w:pPr>
    <w:rPr>
      <w:b/>
      <w:sz w:val="28"/>
    </w:rPr>
  </w:style>
  <w:style w:type="paragraph" w:customStyle="1" w:styleId="Annexref">
    <w:name w:val="Annex_ref"/>
    <w:basedOn w:val="Normal"/>
    <w:next w:val="Normalaftertitle"/>
    <w:pPr>
      <w:keepNext/>
      <w:keepLines/>
      <w:spacing w:after="280"/>
      <w:jc w:val="center"/>
    </w:pPr>
  </w:style>
  <w:style w:type="paragraph" w:customStyle="1" w:styleId="Appendixref">
    <w:name w:val="Appendix_ref"/>
    <w:basedOn w:val="Annexref"/>
    <w:next w:val="Normalaftertitle"/>
  </w:style>
  <w:style w:type="paragraph" w:customStyle="1" w:styleId="Figuretitle">
    <w:name w:val="Figure_title"/>
    <w:basedOn w:val="Normal"/>
    <w:next w:val="Figure"/>
    <w:pPr>
      <w:keepNext/>
      <w:spacing w:before="0" w:after="120"/>
      <w:jc w:val="center"/>
    </w:pPr>
    <w:rPr>
      <w:rFonts w:ascii="Times New Roman Bold" w:hAnsi="Times New Roman Bold"/>
      <w:b/>
      <w:sz w:val="18"/>
    </w:rPr>
  </w:style>
  <w:style w:type="paragraph" w:customStyle="1" w:styleId="Tabletitle">
    <w:name w:val="Table_title"/>
    <w:basedOn w:val="Normal"/>
    <w:next w:val="Tablehead"/>
    <w:pPr>
      <w:keepNext/>
      <w:spacing w:before="0" w:after="120"/>
      <w:jc w:val="center"/>
    </w:pPr>
    <w:rPr>
      <w:b/>
    </w:rPr>
  </w:style>
  <w:style w:type="paragraph" w:customStyle="1" w:styleId="Summary">
    <w:name w:val="Summary"/>
    <w:basedOn w:val="Normal"/>
    <w:next w:val="Normalaftertitle"/>
    <w:pPr>
      <w:spacing w:after="480"/>
    </w:pPr>
    <w:rPr>
      <w:sz w:val="22"/>
      <w:lang w:val="es-ES_tradnl"/>
    </w:rPr>
  </w:style>
  <w:style w:type="paragraph" w:customStyle="1" w:styleId="TableTitle0">
    <w:name w:val="Table_Title"/>
    <w:basedOn w:val="Table"/>
    <w:next w:val="Blanc"/>
    <w:rsid w:val="00B230E8"/>
    <w:pPr>
      <w:spacing w:before="0"/>
    </w:pPr>
    <w:rPr>
      <w:b/>
    </w:rPr>
  </w:style>
  <w:style w:type="paragraph" w:customStyle="1" w:styleId="Figure">
    <w:name w:val="Figure"/>
    <w:basedOn w:val="FigureNo"/>
    <w:next w:val="Figuretitle"/>
    <w:pPr>
      <w:spacing w:before="0" w:after="240"/>
    </w:pPr>
  </w:style>
  <w:style w:type="paragraph" w:customStyle="1" w:styleId="Table">
    <w:name w:val="Table_#"/>
    <w:basedOn w:val="Normal"/>
    <w:next w:val="TableTitle0"/>
    <w:rsid w:val="00B230E8"/>
    <w:pPr>
      <w:keepNext/>
      <w:tabs>
        <w:tab w:val="clear" w:pos="794"/>
        <w:tab w:val="clear" w:pos="1191"/>
        <w:tab w:val="clear" w:pos="1588"/>
        <w:tab w:val="clear" w:pos="1985"/>
      </w:tabs>
      <w:spacing w:before="567" w:after="113"/>
      <w:jc w:val="center"/>
    </w:pPr>
    <w:rPr>
      <w:sz w:val="18"/>
      <w:lang w:val="en-GB"/>
    </w:rPr>
  </w:style>
  <w:style w:type="paragraph" w:customStyle="1" w:styleId="TableText0">
    <w:name w:val="Table_Text"/>
    <w:basedOn w:val="Normal"/>
    <w:rsid w:val="00B230E8"/>
    <w:pPr>
      <w:keepNext/>
      <w:spacing w:before="100" w:after="100" w:line="190" w:lineRule="exact"/>
    </w:pPr>
    <w:rPr>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ickpub\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BR_Rec_2005.dot</Template>
  <TotalTime>1</TotalTime>
  <Pages>16</Pages>
  <Words>4390</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27891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RECOMENDACIÓN  UIT-R  SA.1157-1 - Criterios de protección para la investigación del espacio lejano</dc:title>
  <dc:subject/>
  <dc:creator>POOL</dc:creator>
  <cp:keywords/>
  <dc:description>Edition                              4.07.06      SP_x000d_
1ère épreuve                 18.07.06      SP_x000d_
2è épreuve                     28.07.06      SP</dc:description>
  <cp:lastModifiedBy>Gachet, Christelle</cp:lastModifiedBy>
  <cp:revision>3</cp:revision>
  <cp:lastPrinted>2005-02-10T15:54:00Z</cp:lastPrinted>
  <dcterms:created xsi:type="dcterms:W3CDTF">2023-11-02T10:11:00Z</dcterms:created>
  <dcterms:modified xsi:type="dcterms:W3CDTF">2023-11-02T10:12:00Z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ies>
</file>