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E9D7" w14:textId="77777777" w:rsidR="000A5071" w:rsidRPr="00CA05C8" w:rsidRDefault="00EE75B8" w:rsidP="006E5F1A">
      <w:pPr>
        <w:pStyle w:val="RecNo"/>
        <w:spacing w:before="0"/>
        <w:rPr>
          <w:lang w:val="ru-RU"/>
        </w:rPr>
      </w:pPr>
      <w:r w:rsidRPr="00CA05C8">
        <w:rPr>
          <w:lang w:val="ru-RU"/>
        </w:rPr>
        <w:t>РЕКОМЕНДАЦИЯ</w:t>
      </w:r>
      <w:r w:rsidR="000B59BB" w:rsidRPr="00CA05C8">
        <w:rPr>
          <w:lang w:val="ru-RU"/>
        </w:rPr>
        <w:t xml:space="preserve"> МСЭ-R SA.</w:t>
      </w:r>
      <w:proofErr w:type="gramStart"/>
      <w:r w:rsidR="000B59BB" w:rsidRPr="00CA05C8">
        <w:rPr>
          <w:lang w:val="ru-RU"/>
        </w:rPr>
        <w:t>1157-1</w:t>
      </w:r>
      <w:proofErr w:type="gramEnd"/>
    </w:p>
    <w:p w14:paraId="4C7DB61F" w14:textId="77777777" w:rsidR="000B59BB" w:rsidRPr="00CA05C8" w:rsidRDefault="000B59BB" w:rsidP="006E5F1A">
      <w:pPr>
        <w:pStyle w:val="Rectitle"/>
        <w:rPr>
          <w:lang w:val="ru-RU"/>
        </w:rPr>
      </w:pPr>
      <w:r w:rsidRPr="00CA05C8">
        <w:rPr>
          <w:lang w:val="ru-RU"/>
        </w:rPr>
        <w:t>Критерии защиты для исследования дальнего космоса</w:t>
      </w:r>
    </w:p>
    <w:p w14:paraId="0DC09503" w14:textId="77777777" w:rsidR="000B59BB" w:rsidRPr="00CA05C8" w:rsidRDefault="00B51F2F" w:rsidP="006E5F1A">
      <w:pPr>
        <w:pStyle w:val="Recdate"/>
        <w:rPr>
          <w:lang w:val="ru-RU"/>
        </w:rPr>
      </w:pPr>
      <w:r w:rsidRPr="00CA05C8">
        <w:rPr>
          <w:lang w:val="ru-RU"/>
        </w:rPr>
        <w:t>(</w:t>
      </w:r>
      <w:proofErr w:type="gramStart"/>
      <w:r w:rsidRPr="00CA05C8">
        <w:rPr>
          <w:lang w:val="ru-RU"/>
        </w:rPr>
        <w:t>1995-2006</w:t>
      </w:r>
      <w:proofErr w:type="gramEnd"/>
      <w:r w:rsidRPr="00CA05C8">
        <w:rPr>
          <w:lang w:val="ru-RU"/>
        </w:rPr>
        <w:t>)</w:t>
      </w:r>
    </w:p>
    <w:p w14:paraId="30214E16" w14:textId="77777777" w:rsidR="00B51F2F" w:rsidRPr="00CA05C8" w:rsidRDefault="00B51F2F" w:rsidP="006E5F1A">
      <w:pPr>
        <w:pStyle w:val="HeadingSum"/>
      </w:pPr>
      <w:r w:rsidRPr="00CA05C8">
        <w:t>Сфера применения</w:t>
      </w:r>
    </w:p>
    <w:p w14:paraId="08BD6C1A" w14:textId="77777777" w:rsidR="00B51F2F" w:rsidRPr="00CA05C8" w:rsidRDefault="00B51F2F" w:rsidP="006E5F1A">
      <w:pPr>
        <w:pStyle w:val="Summary"/>
      </w:pPr>
      <w:r w:rsidRPr="00CA05C8">
        <w:t>В настоящей Рекомендации устанавливаются критерии защиты, необходимые для успешного полного контролирования пилотируемых и непилотируемых исследовательских спутников в дальнем космосе, управления ими и их эксплуатации, т. е. спутников, предназначенных для работы в</w:t>
      </w:r>
      <w:r w:rsidR="00987EFC">
        <w:t> </w:t>
      </w:r>
      <w:r w:rsidRPr="00CA05C8">
        <w:t>пространстве, удаленном от Земли на расстояние более 2 млн. километров.</w:t>
      </w:r>
    </w:p>
    <w:p w14:paraId="65E8C735" w14:textId="77777777" w:rsidR="00B51F2F" w:rsidRPr="00CA05C8" w:rsidRDefault="00B51F2F" w:rsidP="006E5F1A">
      <w:pPr>
        <w:rPr>
          <w:lang w:val="ru-RU"/>
        </w:rPr>
      </w:pPr>
      <w:r w:rsidRPr="00CA05C8">
        <w:rPr>
          <w:lang w:val="ru-RU"/>
        </w:rPr>
        <w:t>Ассамблея радиосвязи МСЭ</w:t>
      </w:r>
      <w:r w:rsidR="000E5192" w:rsidRPr="00CA05C8">
        <w:rPr>
          <w:lang w:val="ru-RU"/>
        </w:rPr>
        <w:t>,</w:t>
      </w:r>
    </w:p>
    <w:p w14:paraId="2E2F2B13" w14:textId="77777777" w:rsidR="00B51F2F" w:rsidRPr="006E5F1A" w:rsidRDefault="00B51F2F" w:rsidP="006E5F1A">
      <w:pPr>
        <w:pStyle w:val="Call"/>
        <w:rPr>
          <w:i w:val="0"/>
          <w:iCs/>
          <w:lang w:val="ru-RU"/>
        </w:rPr>
      </w:pPr>
      <w:r w:rsidRPr="00CA05C8">
        <w:rPr>
          <w:lang w:val="ru-RU"/>
        </w:rPr>
        <w:t>учитывая</w:t>
      </w:r>
      <w:r w:rsidRPr="006E5F1A">
        <w:rPr>
          <w:i w:val="0"/>
          <w:iCs/>
          <w:lang w:val="ru-RU"/>
        </w:rPr>
        <w:t>,</w:t>
      </w:r>
    </w:p>
    <w:p w14:paraId="6294442D" w14:textId="77777777" w:rsidR="00B51F2F" w:rsidRPr="00CA05C8" w:rsidRDefault="00B51F2F" w:rsidP="006E5F1A">
      <w:pPr>
        <w:rPr>
          <w:lang w:val="ru-RU"/>
        </w:rPr>
      </w:pPr>
      <w:r w:rsidRPr="00CA05C8">
        <w:rPr>
          <w:lang w:val="ru-RU"/>
        </w:rPr>
        <w:t>а)</w:t>
      </w:r>
      <w:r w:rsidRPr="00CA05C8">
        <w:rPr>
          <w:lang w:val="ru-RU"/>
        </w:rPr>
        <w:tab/>
        <w:t>что исследование дальнего космоса с помощью пилотируемого летательного аппарата сопряжено с уникальными требованиями высокой надежности радиосвязи для гарантии безопасности жизни;</w:t>
      </w:r>
    </w:p>
    <w:p w14:paraId="6D086F1A" w14:textId="77777777" w:rsidR="00B51F2F" w:rsidRPr="00CA05C8" w:rsidRDefault="00B51F2F" w:rsidP="006E5F1A">
      <w:pPr>
        <w:rPr>
          <w:lang w:val="ru-RU"/>
        </w:rPr>
      </w:pPr>
      <w:r w:rsidRPr="00CA05C8">
        <w:rPr>
          <w:lang w:val="ru-RU"/>
        </w:rPr>
        <w:t>b)</w:t>
      </w:r>
      <w:r w:rsidRPr="00CA05C8">
        <w:rPr>
          <w:lang w:val="ru-RU"/>
        </w:rPr>
        <w:tab/>
      </w:r>
      <w:r w:rsidR="003B4E77" w:rsidRPr="00CA05C8">
        <w:rPr>
          <w:lang w:val="ru-RU"/>
        </w:rPr>
        <w:t xml:space="preserve">что исследование дальнего космоса с помощью пилотируемых и непилотируемых летательных аппаратов сопряжено с уникальными требованиями высокой надежности радиосвязи для гарантии успешного приема ценных научных данных, собранных </w:t>
      </w:r>
      <w:r w:rsidR="00CA05C8">
        <w:rPr>
          <w:lang w:val="ru-RU"/>
        </w:rPr>
        <w:t>в</w:t>
      </w:r>
      <w:r w:rsidR="003B4E77" w:rsidRPr="00CA05C8">
        <w:rPr>
          <w:lang w:val="ru-RU"/>
        </w:rPr>
        <w:t xml:space="preserve"> специфический критический интервал времени, и что повторная передача этих данных часто невозможна;</w:t>
      </w:r>
    </w:p>
    <w:p w14:paraId="779B22D7" w14:textId="77777777" w:rsidR="00B51F2F" w:rsidRPr="00CA05C8" w:rsidRDefault="00B51F2F" w:rsidP="006E5F1A">
      <w:pPr>
        <w:rPr>
          <w:lang w:val="ru-RU"/>
        </w:rPr>
      </w:pPr>
      <w:r w:rsidRPr="00CA05C8">
        <w:rPr>
          <w:lang w:val="ru-RU"/>
        </w:rPr>
        <w:t>c)</w:t>
      </w:r>
      <w:r w:rsidRPr="00CA05C8">
        <w:rPr>
          <w:lang w:val="ru-RU"/>
        </w:rPr>
        <w:tab/>
      </w:r>
      <w:r w:rsidR="003B4E77" w:rsidRPr="00CA05C8">
        <w:rPr>
          <w:lang w:val="ru-RU"/>
        </w:rPr>
        <w:t>что очень высокая чувствительность наземных станций дальней космической связи приводит к необычно низким уровням допустимости помехи;</w:t>
      </w:r>
    </w:p>
    <w:p w14:paraId="15948F9D" w14:textId="77777777" w:rsidR="00B51F2F" w:rsidRPr="00CA05C8" w:rsidRDefault="00B51F2F" w:rsidP="006E5F1A">
      <w:pPr>
        <w:rPr>
          <w:lang w:val="ru-RU"/>
        </w:rPr>
      </w:pPr>
      <w:r w:rsidRPr="00CA05C8">
        <w:rPr>
          <w:lang w:val="ru-RU"/>
        </w:rPr>
        <w:t>d)</w:t>
      </w:r>
      <w:r w:rsidRPr="00CA05C8">
        <w:rPr>
          <w:lang w:val="ru-RU"/>
        </w:rPr>
        <w:tab/>
      </w:r>
      <w:r w:rsidR="003B4E77" w:rsidRPr="00CA05C8">
        <w:rPr>
          <w:lang w:val="ru-RU"/>
        </w:rPr>
        <w:t>что, как показано в Приложении 1, критерии защиты были получены для земных станций исследования дальнего космоса и для станций в дальнем космосе;</w:t>
      </w:r>
    </w:p>
    <w:p w14:paraId="7F563719" w14:textId="77777777" w:rsidR="00B51F2F" w:rsidRPr="00CA05C8" w:rsidRDefault="00B51F2F" w:rsidP="006E5F1A">
      <w:pPr>
        <w:rPr>
          <w:lang w:val="ru-RU"/>
        </w:rPr>
      </w:pPr>
      <w:r w:rsidRPr="00CA05C8">
        <w:rPr>
          <w:lang w:val="ru-RU"/>
        </w:rPr>
        <w:t>e)</w:t>
      </w:r>
      <w:r w:rsidRPr="00CA05C8">
        <w:rPr>
          <w:lang w:val="ru-RU"/>
        </w:rPr>
        <w:tab/>
      </w:r>
      <w:r w:rsidR="003B4E77" w:rsidRPr="00CA05C8">
        <w:rPr>
          <w:lang w:val="ru-RU"/>
        </w:rPr>
        <w:t>что чувствительность к помехам определена в Приложении 2,</w:t>
      </w:r>
    </w:p>
    <w:p w14:paraId="298CBBB6" w14:textId="77777777" w:rsidR="003B4E77" w:rsidRPr="00CA05C8" w:rsidRDefault="003B4E77" w:rsidP="006E5F1A">
      <w:pPr>
        <w:pStyle w:val="Call"/>
        <w:rPr>
          <w:szCs w:val="22"/>
          <w:lang w:val="ru-RU"/>
        </w:rPr>
      </w:pPr>
      <w:r w:rsidRPr="006E5F1A">
        <w:rPr>
          <w:lang w:val="ru-RU"/>
        </w:rPr>
        <w:t>рекомендует</w:t>
      </w:r>
      <w:r w:rsidRPr="006E5F1A">
        <w:rPr>
          <w:i w:val="0"/>
          <w:iCs/>
          <w:szCs w:val="22"/>
          <w:lang w:val="ru-RU"/>
        </w:rPr>
        <w:t>,</w:t>
      </w:r>
    </w:p>
    <w:p w14:paraId="1709F1E3" w14:textId="77777777" w:rsidR="003B4E77" w:rsidRPr="00CA05C8" w:rsidRDefault="003B4E77" w:rsidP="006E5F1A">
      <w:pPr>
        <w:rPr>
          <w:lang w:val="ru-RU"/>
        </w:rPr>
      </w:pPr>
      <w:r w:rsidRPr="00CA05C8">
        <w:rPr>
          <w:b/>
          <w:lang w:val="ru-RU"/>
        </w:rPr>
        <w:t>1</w:t>
      </w:r>
      <w:r w:rsidRPr="00CA05C8">
        <w:rPr>
          <w:lang w:val="ru-RU"/>
        </w:rPr>
        <w:tab/>
        <w:t>что критерии защиты для земных станций исследования дальнего космоса должны быть установлены следующим образом:</w:t>
      </w:r>
    </w:p>
    <w:p w14:paraId="739150DA" w14:textId="77777777" w:rsidR="003B4E77" w:rsidRPr="00CA05C8" w:rsidRDefault="002555C9" w:rsidP="000E5192">
      <w:pPr>
        <w:rPr>
          <w:szCs w:val="22"/>
          <w:lang w:val="ru-RU"/>
        </w:rPr>
      </w:pPr>
      <w:r>
        <w:rPr>
          <w:szCs w:val="22"/>
          <w:lang w:val="ru-RU"/>
        </w:rPr>
        <w:t xml:space="preserve">–222 </w:t>
      </w:r>
      <w:proofErr w:type="gramStart"/>
      <w:r>
        <w:rPr>
          <w:szCs w:val="22"/>
          <w:lang w:val="ru-RU"/>
        </w:rPr>
        <w:t>дБ</w:t>
      </w:r>
      <w:r w:rsidR="003B4E77" w:rsidRPr="00CA05C8">
        <w:rPr>
          <w:szCs w:val="22"/>
          <w:lang w:val="ru-RU"/>
        </w:rPr>
        <w:t>(</w:t>
      </w:r>
      <w:proofErr w:type="gramEnd"/>
      <w:r w:rsidR="003B4E77" w:rsidRPr="00CA05C8">
        <w:rPr>
          <w:szCs w:val="22"/>
          <w:lang w:val="ru-RU"/>
        </w:rPr>
        <w:t>Вт/Гц) в диапазонах около 2 ГГц,</w:t>
      </w:r>
    </w:p>
    <w:p w14:paraId="28D7AEA9" w14:textId="77777777" w:rsidR="003B4E77" w:rsidRPr="00CA05C8" w:rsidRDefault="003B4E77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–221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Вт/Гц) в диапазонах около 8 ГГц,</w:t>
      </w:r>
    </w:p>
    <w:p w14:paraId="75545FC9" w14:textId="77777777" w:rsidR="003B4E77" w:rsidRPr="00CA05C8" w:rsidRDefault="003B4E77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–220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Вт/Гц) в диапазонах около 13 ГГц,</w:t>
      </w:r>
    </w:p>
    <w:p w14:paraId="40EB8C6B" w14:textId="77777777" w:rsidR="003B4E77" w:rsidRPr="00CA05C8" w:rsidRDefault="003B4E77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–217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Вт/Гц) в диапазонах около 32 ГГц</w:t>
      </w:r>
      <w:r w:rsidR="00E25A2C" w:rsidRPr="00CA05C8">
        <w:rPr>
          <w:szCs w:val="22"/>
          <w:lang w:val="ru-RU"/>
        </w:rPr>
        <w:t>;</w:t>
      </w:r>
    </w:p>
    <w:p w14:paraId="2776BC04" w14:textId="77777777" w:rsidR="00B51F2F" w:rsidRPr="00CA05C8" w:rsidRDefault="00E25A2C" w:rsidP="000E5192">
      <w:pPr>
        <w:rPr>
          <w:szCs w:val="22"/>
          <w:lang w:val="ru-RU"/>
        </w:rPr>
      </w:pPr>
      <w:r w:rsidRPr="00CA05C8">
        <w:rPr>
          <w:b/>
          <w:szCs w:val="22"/>
          <w:lang w:val="ru-RU"/>
        </w:rPr>
        <w:t>2</w:t>
      </w:r>
      <w:r w:rsidRPr="00CA05C8">
        <w:rPr>
          <w:szCs w:val="22"/>
          <w:lang w:val="ru-RU"/>
        </w:rPr>
        <w:tab/>
        <w:t>что критерии защиты для станций на космич</w:t>
      </w:r>
      <w:r w:rsidR="002555C9">
        <w:rPr>
          <w:szCs w:val="22"/>
          <w:lang w:val="ru-RU"/>
        </w:rPr>
        <w:t>еском корабле в дальнем космосе</w:t>
      </w:r>
      <w:r w:rsidRPr="00CA05C8">
        <w:rPr>
          <w:szCs w:val="22"/>
          <w:lang w:val="ru-RU"/>
        </w:rPr>
        <w:t xml:space="preserve"> должны быть установлены следующим образом:</w:t>
      </w:r>
    </w:p>
    <w:p w14:paraId="1117A273" w14:textId="77777777" w:rsidR="00E25A2C" w:rsidRPr="00CA05C8" w:rsidRDefault="00E25A2C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–193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</w:t>
      </w:r>
      <w:r w:rsidR="002555C9" w:rsidRPr="004B22A0">
        <w:rPr>
          <w:szCs w:val="22"/>
          <w:lang w:val="ru-RU"/>
        </w:rPr>
        <w:t xml:space="preserve">20 </w:t>
      </w:r>
      <w:r w:rsidRPr="00CA05C8">
        <w:rPr>
          <w:szCs w:val="22"/>
          <w:lang w:val="ru-RU"/>
        </w:rPr>
        <w:t>Гц) в диапазонах около 2 ГГц,</w:t>
      </w:r>
    </w:p>
    <w:p w14:paraId="52BFC3B5" w14:textId="77777777" w:rsidR="00E25A2C" w:rsidRPr="00CA05C8" w:rsidRDefault="00E25A2C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–190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</w:t>
      </w:r>
      <w:r w:rsidR="002555C9" w:rsidRPr="004B22A0">
        <w:rPr>
          <w:szCs w:val="22"/>
          <w:lang w:val="ru-RU"/>
        </w:rPr>
        <w:t xml:space="preserve">20 </w:t>
      </w:r>
      <w:r w:rsidRPr="00CA05C8">
        <w:rPr>
          <w:szCs w:val="22"/>
          <w:lang w:val="ru-RU"/>
        </w:rPr>
        <w:t>Гц) в диапазонах около 7 ГГц,</w:t>
      </w:r>
    </w:p>
    <w:p w14:paraId="21C3DDDB" w14:textId="77777777" w:rsidR="00E25A2C" w:rsidRPr="00CA05C8" w:rsidRDefault="00E25A2C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–186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</w:t>
      </w:r>
      <w:r w:rsidR="002555C9" w:rsidRPr="004B22A0">
        <w:rPr>
          <w:szCs w:val="22"/>
          <w:lang w:val="ru-RU"/>
        </w:rPr>
        <w:t xml:space="preserve">20 </w:t>
      </w:r>
      <w:r w:rsidRPr="00CA05C8">
        <w:rPr>
          <w:szCs w:val="22"/>
          <w:lang w:val="ru-RU"/>
        </w:rPr>
        <w:t>Гц) в диапазонах около 17 ГГц,</w:t>
      </w:r>
    </w:p>
    <w:p w14:paraId="7222F1FF" w14:textId="77777777" w:rsidR="00E25A2C" w:rsidRPr="00CA05C8" w:rsidRDefault="00E25A2C" w:rsidP="000E5192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–183 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>Вт/</w:t>
      </w:r>
      <w:r w:rsidR="002555C9" w:rsidRPr="004B22A0">
        <w:rPr>
          <w:szCs w:val="22"/>
          <w:lang w:val="ru-RU"/>
        </w:rPr>
        <w:t xml:space="preserve">20 </w:t>
      </w:r>
      <w:r w:rsidRPr="00CA05C8">
        <w:rPr>
          <w:szCs w:val="22"/>
          <w:lang w:val="ru-RU"/>
        </w:rPr>
        <w:t>Гц) в диапазонах около 34 ГГц,</w:t>
      </w:r>
    </w:p>
    <w:p w14:paraId="41AAC2DD" w14:textId="77777777" w:rsidR="00E25A2C" w:rsidRPr="00CA05C8" w:rsidRDefault="00E25A2C" w:rsidP="000E5192">
      <w:pPr>
        <w:rPr>
          <w:szCs w:val="22"/>
          <w:lang w:val="ru-RU"/>
        </w:rPr>
      </w:pPr>
      <w:r w:rsidRPr="00CA05C8">
        <w:rPr>
          <w:b/>
          <w:szCs w:val="22"/>
          <w:lang w:val="ru-RU"/>
        </w:rPr>
        <w:t>3</w:t>
      </w:r>
      <w:r w:rsidRPr="00CA05C8">
        <w:rPr>
          <w:szCs w:val="22"/>
          <w:lang w:val="ru-RU"/>
        </w:rPr>
        <w:tab/>
        <w:t>что вычисление помехи, которая может вызываться атмосферой и влиянием осадков, должно быть основано на погодной статистике, которая применима для 0,001% времени (см. п. 2.3 Приложения 1).</w:t>
      </w:r>
    </w:p>
    <w:p w14:paraId="2E596AD9" w14:textId="2263CFD2" w:rsidR="00E25A2C" w:rsidRPr="00CA05C8" w:rsidRDefault="00E25A2C" w:rsidP="006E5F1A">
      <w:pPr>
        <w:pStyle w:val="AnnexNoTitle"/>
        <w:rPr>
          <w:b w:val="0"/>
          <w:szCs w:val="26"/>
          <w:lang w:val="ru-RU"/>
        </w:rPr>
      </w:pPr>
      <w:r w:rsidRPr="004B22A0">
        <w:rPr>
          <w:lang w:val="ru-RU"/>
        </w:rPr>
        <w:lastRenderedPageBreak/>
        <w:t>П</w:t>
      </w:r>
      <w:r w:rsidR="004B22A0" w:rsidRPr="004B22A0">
        <w:rPr>
          <w:lang w:val="ru-RU"/>
        </w:rPr>
        <w:t>риложение</w:t>
      </w:r>
      <w:r w:rsidRPr="004B22A0">
        <w:rPr>
          <w:lang w:val="ru-RU"/>
        </w:rPr>
        <w:t xml:space="preserve"> 1</w:t>
      </w:r>
      <w:r w:rsidR="006E5F1A">
        <w:rPr>
          <w:lang w:val="ru-RU"/>
        </w:rPr>
        <w:br/>
      </w:r>
      <w:r w:rsidR="006E5F1A">
        <w:rPr>
          <w:lang w:val="ru-RU"/>
        </w:rPr>
        <w:br/>
      </w:r>
      <w:r w:rsidRPr="00CA05C8">
        <w:rPr>
          <w:szCs w:val="26"/>
          <w:lang w:val="ru-RU"/>
        </w:rPr>
        <w:t>Критерии защиты для исследования дальнего космоса</w:t>
      </w:r>
    </w:p>
    <w:p w14:paraId="3764C7F2" w14:textId="77777777" w:rsidR="00E25A2C" w:rsidRPr="00CA05C8" w:rsidRDefault="00E25A2C" w:rsidP="006E5F1A">
      <w:pPr>
        <w:pStyle w:val="Heading1"/>
        <w:rPr>
          <w:lang w:val="ru-RU"/>
        </w:rPr>
      </w:pPr>
      <w:r w:rsidRPr="00CA05C8">
        <w:rPr>
          <w:lang w:val="ru-RU"/>
        </w:rPr>
        <w:t>1</w:t>
      </w:r>
      <w:r w:rsidRPr="00CA05C8">
        <w:rPr>
          <w:lang w:val="ru-RU"/>
        </w:rPr>
        <w:tab/>
        <w:t>Введение</w:t>
      </w:r>
    </w:p>
    <w:p w14:paraId="305762D6" w14:textId="77777777" w:rsidR="00E25A2C" w:rsidRPr="00CA05C8" w:rsidRDefault="00E25A2C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В настоящем Приложении устанавливаются критерии защиты для исследования дальнего космоса. Эти критерии могут использоваться в вычислениях расстояния координации и для другого анализа. Критерии защиты также уместны при изучении разделения в пределах службы космического исследования. Рассматривается возможная помеха другим службам, и сделаны заключения относительно выполнимости совместного использования частот. Будущие спутники-ретрансляторы для использования в экспедициях дальнего космоса не рассматриваются в этом Приложении.</w:t>
      </w:r>
    </w:p>
    <w:p w14:paraId="23777001" w14:textId="77777777" w:rsidR="00E25A2C" w:rsidRPr="00CA05C8" w:rsidRDefault="001C7EE1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Критерии защиты основаны на чувствительности приемников, обычно используемых для исследования дальнего космоса, как это описано в Приложении 2.</w:t>
      </w:r>
    </w:p>
    <w:p w14:paraId="38109C0C" w14:textId="77777777" w:rsidR="001C7EE1" w:rsidRPr="00CA05C8" w:rsidRDefault="001C7EE1" w:rsidP="006E5F1A">
      <w:pPr>
        <w:pStyle w:val="Heading2"/>
        <w:rPr>
          <w:lang w:val="ru-RU"/>
        </w:rPr>
      </w:pPr>
      <w:r w:rsidRPr="00CA05C8">
        <w:rPr>
          <w:lang w:val="ru-RU"/>
        </w:rPr>
        <w:t>1.1</w:t>
      </w:r>
      <w:r w:rsidRPr="00CA05C8">
        <w:rPr>
          <w:lang w:val="ru-RU"/>
        </w:rPr>
        <w:tab/>
        <w:t>Воздействие помех и последствия этого воздействия</w:t>
      </w:r>
    </w:p>
    <w:p w14:paraId="703F4F59" w14:textId="77777777" w:rsidR="001C7EE1" w:rsidRPr="00CA05C8" w:rsidRDefault="001C7EE1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Последствие помехи, которая мешает надлежащему функционированию земной станции или приемника космической станции, может выражаться в уменьшении или прерывании способности управлять космическим кораблем и в способности получать научные и технические данные, посланные космическим кораблем.</w:t>
      </w:r>
    </w:p>
    <w:p w14:paraId="47D4051D" w14:textId="5AB4F0EC" w:rsidR="001C7EE1" w:rsidRPr="00CA05C8" w:rsidRDefault="001C7EE1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Приемник содержит несколько контуров синхронизации, каждая из которых захватывает и отслеживает отдельный компонент сигнала. При достаточно сильной помехе один или большее число этих контуров будет терять захват полезного сигнала. Мгновенная помех</w:t>
      </w:r>
      <w:r w:rsidR="00CA05C8">
        <w:rPr>
          <w:szCs w:val="22"/>
          <w:lang w:val="ru-RU"/>
        </w:rPr>
        <w:t>а</w:t>
      </w:r>
      <w:r w:rsidRPr="00CA05C8">
        <w:rPr>
          <w:szCs w:val="22"/>
          <w:lang w:val="ru-RU"/>
        </w:rPr>
        <w:t xml:space="preserve"> может также вызывать такую потерю, поэтому может потребоваться несколько минут в случае самых слабых сигналов, чтобы восстановить </w:t>
      </w:r>
      <w:r w:rsidR="00D24807" w:rsidRPr="00CA05C8">
        <w:rPr>
          <w:szCs w:val="22"/>
          <w:lang w:val="ru-RU"/>
        </w:rPr>
        <w:t>захват сигнала. В течение критических периодов, которые происходят в течение наиболее глубоко</w:t>
      </w:r>
      <w:r w:rsidR="002555C9" w:rsidRPr="004B22A0">
        <w:rPr>
          <w:szCs w:val="22"/>
          <w:lang w:val="ru-RU"/>
        </w:rPr>
        <w:t>-</w:t>
      </w:r>
      <w:r w:rsidR="00D24807" w:rsidRPr="00CA05C8">
        <w:rPr>
          <w:szCs w:val="22"/>
          <w:lang w:val="ru-RU"/>
        </w:rPr>
        <w:t>пространственных экспедиций, необходимо передать и принять научные данные без ошибки или прерывания. Выпадение из синхрониз</w:t>
      </w:r>
      <w:r w:rsidR="002555C9">
        <w:rPr>
          <w:szCs w:val="22"/>
          <w:lang w:val="ru-RU"/>
        </w:rPr>
        <w:t>ма</w:t>
      </w:r>
      <w:r w:rsidR="00D24807" w:rsidRPr="00CA05C8">
        <w:rPr>
          <w:szCs w:val="22"/>
          <w:lang w:val="ru-RU"/>
        </w:rPr>
        <w:t xml:space="preserve"> в течение этих периодов приводит к невосполнимой потере данных. Именно эта характеристика ведет к таким жестким требованиям защиты от помехи. Напротив, данные, сообщенные некоторыми другими радиослужбами, часто доступны для повторной передачи.</w:t>
      </w:r>
    </w:p>
    <w:p w14:paraId="2BD50613" w14:textId="0099571E" w:rsidR="00D24807" w:rsidRPr="00CA05C8" w:rsidRDefault="00D24807" w:rsidP="004B22A0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Для некоторых режимов работы ширина полосы контура необычно узка. Конкретный пример – </w:t>
      </w:r>
      <w:r w:rsidR="000F5D1A" w:rsidRPr="00CA05C8">
        <w:rPr>
          <w:szCs w:val="22"/>
          <w:lang w:val="ru-RU"/>
        </w:rPr>
        <w:t>контур слежения за несущей частотой в приемнике земной станции. Эта ширина полосы может быть порядка 1 Гц, а в специальных случаях –</w:t>
      </w:r>
      <w:r w:rsidR="00D601D8" w:rsidRPr="00CA05C8">
        <w:rPr>
          <w:szCs w:val="22"/>
          <w:lang w:val="ru-RU"/>
        </w:rPr>
        <w:t> </w:t>
      </w:r>
      <w:r w:rsidR="000F5D1A" w:rsidRPr="00CA05C8">
        <w:rPr>
          <w:szCs w:val="22"/>
          <w:lang w:val="ru-RU"/>
        </w:rPr>
        <w:t>еще меньше (300 </w:t>
      </w:r>
      <w:r w:rsidR="00780EBF">
        <w:rPr>
          <w:szCs w:val="22"/>
          <w:lang w:val="ru-RU"/>
        </w:rPr>
        <w:t>м</w:t>
      </w:r>
      <w:r w:rsidR="000F5D1A" w:rsidRPr="00CA05C8">
        <w:rPr>
          <w:szCs w:val="22"/>
          <w:lang w:val="ru-RU"/>
        </w:rPr>
        <w:t>Гц). Можно было бы сделать заключение, что будет маловероятно, чтобы мешающий сигнал лежал бы точно в пределах этой ширины полосы, но нужно помнить, что частота полезного сигнала подвергается смещению Допплера в результате вращения Земли. Например, сигн</w:t>
      </w:r>
      <w:r w:rsidR="00C901DE" w:rsidRPr="00CA05C8">
        <w:rPr>
          <w:szCs w:val="22"/>
          <w:lang w:val="ru-RU"/>
        </w:rPr>
        <w:t xml:space="preserve">ал 8,4 ГГц будет изменен на </w:t>
      </w:r>
      <w:r w:rsidR="00C901DE" w:rsidRPr="00CA05C8">
        <w:rPr>
          <w:szCs w:val="22"/>
          <w:lang w:val="ru-RU"/>
        </w:rPr>
        <w:sym w:font="Symbol" w:char="F0B1"/>
      </w:r>
      <w:r w:rsidR="004B22A0">
        <w:rPr>
          <w:szCs w:val="22"/>
          <w:lang w:val="ru-RU"/>
        </w:rPr>
        <w:t>1</w:t>
      </w:r>
      <w:r w:rsidR="00C901DE" w:rsidRPr="00CA05C8">
        <w:rPr>
          <w:szCs w:val="22"/>
          <w:lang w:val="ru-RU"/>
        </w:rPr>
        <w:t>1 кГц при приеме земной станцией, расположенной в широте 35</w:t>
      </w:r>
      <w:r w:rsidR="00C901DE" w:rsidRPr="00CA05C8">
        <w:rPr>
          <w:szCs w:val="22"/>
          <w:lang w:val="ru-RU"/>
        </w:rPr>
        <w:sym w:font="Symbol" w:char="F0B0"/>
      </w:r>
      <w:r w:rsidR="00C901DE" w:rsidRPr="00CA05C8">
        <w:rPr>
          <w:szCs w:val="22"/>
          <w:lang w:val="ru-RU"/>
        </w:rPr>
        <w:t>. Мешающий сигнал с фиксированной частотой, которая находится где-нибудь в пределах диапазона смещения До</w:t>
      </w:r>
      <w:r w:rsidR="002555C9">
        <w:rPr>
          <w:szCs w:val="22"/>
          <w:lang w:val="ru-RU"/>
        </w:rPr>
        <w:t>п</w:t>
      </w:r>
      <w:r w:rsidR="00C901DE" w:rsidRPr="00CA05C8">
        <w:rPr>
          <w:szCs w:val="22"/>
          <w:lang w:val="ru-RU"/>
        </w:rPr>
        <w:t xml:space="preserve">плера сигнала из дальнего космоса, проникнет в контур </w:t>
      </w:r>
      <w:r w:rsidR="002555C9">
        <w:rPr>
          <w:szCs w:val="22"/>
          <w:lang w:val="ru-RU"/>
        </w:rPr>
        <w:t>слежения за</w:t>
      </w:r>
      <w:r w:rsidR="00C901DE" w:rsidRPr="00CA05C8">
        <w:rPr>
          <w:szCs w:val="22"/>
          <w:lang w:val="ru-RU"/>
        </w:rPr>
        <w:t xml:space="preserve"> несущей</w:t>
      </w:r>
      <w:r w:rsidR="002555C9">
        <w:rPr>
          <w:szCs w:val="22"/>
          <w:lang w:val="ru-RU"/>
        </w:rPr>
        <w:t xml:space="preserve"> частотой</w:t>
      </w:r>
      <w:r w:rsidR="00C901DE" w:rsidRPr="00CA05C8">
        <w:rPr>
          <w:szCs w:val="22"/>
          <w:lang w:val="ru-RU"/>
        </w:rPr>
        <w:t xml:space="preserve"> и может прервать синхронизацию. Кроме того, помеха не должна быть точно в пределах ширины полосы контура, чтобы воздействовать на него. Если частота помехи расположена около ширины полосы контура и сигнал помехи имеет достаточную мощность, то возможно серьезное ухудшение. Помеха, которая находится далеко от ширины полосы электрического контура, также может вызывать ухудшение через другие механизмы, например через насыщение мазера.</w:t>
      </w:r>
    </w:p>
    <w:p w14:paraId="2656C6E5" w14:textId="77777777" w:rsidR="00C901DE" w:rsidRPr="00CA05C8" w:rsidRDefault="00C901DE" w:rsidP="006E5F1A">
      <w:pPr>
        <w:pStyle w:val="Heading2"/>
        <w:rPr>
          <w:lang w:val="ru-RU"/>
        </w:rPr>
      </w:pPr>
      <w:r w:rsidRPr="00CA05C8">
        <w:rPr>
          <w:lang w:val="ru-RU"/>
        </w:rPr>
        <w:t>1.2</w:t>
      </w:r>
      <w:r w:rsidRPr="00CA05C8">
        <w:rPr>
          <w:lang w:val="ru-RU"/>
        </w:rPr>
        <w:tab/>
        <w:t>Развитие критериев защиты</w:t>
      </w:r>
    </w:p>
    <w:p w14:paraId="6A18F74F" w14:textId="77777777" w:rsidR="00C901DE" w:rsidRPr="00CA05C8" w:rsidRDefault="00C901DE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Чтобы гарантировать </w:t>
      </w:r>
      <w:r w:rsidR="00462C99" w:rsidRPr="00CA05C8">
        <w:rPr>
          <w:szCs w:val="22"/>
          <w:lang w:val="ru-RU"/>
        </w:rPr>
        <w:t>надлежащую работу системы приема в целом, каждая и четырех подсистем должна быть защищена от помехи. Критерий защиты определяет уровень мощности помехи, который ведет к максимально приемлемому ухудшению эффективности.</w:t>
      </w:r>
      <w:r w:rsidR="00DE3072" w:rsidRPr="00CA05C8">
        <w:rPr>
          <w:szCs w:val="22"/>
          <w:lang w:val="ru-RU"/>
        </w:rPr>
        <w:t xml:space="preserve"> Максимально приемлемое ухудшение для каждой подсистемы дается в таблице 1. С использованием этих значений может быть определена соответствующая максимальная допустимая помеха.</w:t>
      </w:r>
    </w:p>
    <w:p w14:paraId="5AD493C6" w14:textId="58E1D477" w:rsidR="000E5192" w:rsidRPr="00CA05C8" w:rsidRDefault="00DE3072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lastRenderedPageBreak/>
        <w:t>В следующих разделах данного Приложения изложены критерии защиты. Для каждой из нескольких подсистем приемника имеется максимально приемлемое ухудшение рабочих характеристик, вызываемое помехой. Уровень помехи, который может вызывать такое ухудшение, показан в Приложении 2. Подсистема приемника, которая является наиболее чувствительной к помехе, определяет максимальную допустимую помеху. Этот урове</w:t>
      </w:r>
      <w:r w:rsidR="000E5192" w:rsidRPr="00CA05C8">
        <w:rPr>
          <w:szCs w:val="22"/>
          <w:lang w:val="ru-RU"/>
        </w:rPr>
        <w:t>нь – критерий защиты приемника.</w:t>
      </w:r>
      <w:r w:rsidR="002555C9">
        <w:rPr>
          <w:szCs w:val="22"/>
          <w:lang w:val="ru-RU"/>
        </w:rPr>
        <w:t xml:space="preserve"> Больший уровень помехи ведет к нарушению работы.</w:t>
      </w:r>
    </w:p>
    <w:p w14:paraId="2835F95C" w14:textId="77777777" w:rsidR="00DE3072" w:rsidRPr="00CA05C8" w:rsidRDefault="00BD4B0D" w:rsidP="006E5F1A">
      <w:pPr>
        <w:pStyle w:val="TableNo"/>
        <w:rPr>
          <w:lang w:val="ru-RU"/>
        </w:rPr>
      </w:pPr>
      <w:r w:rsidRPr="00CA05C8">
        <w:rPr>
          <w:lang w:val="ru-RU"/>
        </w:rPr>
        <w:t>ТАБЛИЦА 1</w:t>
      </w:r>
    </w:p>
    <w:p w14:paraId="39ABFD83" w14:textId="77777777" w:rsidR="00BD4B0D" w:rsidRPr="00CA05C8" w:rsidRDefault="00BD4B0D" w:rsidP="006E5F1A">
      <w:pPr>
        <w:pStyle w:val="Tabletitle"/>
        <w:rPr>
          <w:lang w:val="ru-RU"/>
        </w:rPr>
      </w:pPr>
      <w:r w:rsidRPr="00CA05C8">
        <w:rPr>
          <w:lang w:val="ru-RU"/>
        </w:rPr>
        <w:t>Максимальное приемлемое ухудшение приемных подсистем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760"/>
        <w:gridCol w:w="4887"/>
      </w:tblGrid>
      <w:tr w:rsidR="00BD4B0D" w:rsidRPr="00CA05C8" w14:paraId="734B3485" w14:textId="77777777">
        <w:trPr>
          <w:trHeight w:val="300"/>
          <w:jc w:val="center"/>
        </w:trPr>
        <w:tc>
          <w:tcPr>
            <w:tcW w:w="3760" w:type="dxa"/>
            <w:tcBorders>
              <w:bottom w:val="single" w:sz="4" w:space="0" w:color="auto"/>
            </w:tcBorders>
          </w:tcPr>
          <w:p w14:paraId="1629622F" w14:textId="77777777" w:rsidR="00BD4B0D" w:rsidRPr="00CA05C8" w:rsidRDefault="00BD4B0D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Приемная подсистема</w:t>
            </w:r>
          </w:p>
        </w:tc>
        <w:tc>
          <w:tcPr>
            <w:tcW w:w="4887" w:type="dxa"/>
            <w:tcBorders>
              <w:bottom w:val="single" w:sz="4" w:space="0" w:color="auto"/>
            </w:tcBorders>
          </w:tcPr>
          <w:p w14:paraId="4CA86583" w14:textId="77777777" w:rsidR="00BD4B0D" w:rsidRPr="00CA05C8" w:rsidRDefault="00BD4B0D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Максимальное приемлемое ухудшение</w:t>
            </w:r>
          </w:p>
        </w:tc>
      </w:tr>
      <w:tr w:rsidR="00BD4B0D" w:rsidRPr="00CA05C8" w14:paraId="7C3C9F63" w14:textId="77777777">
        <w:trPr>
          <w:trHeight w:val="300"/>
          <w:jc w:val="center"/>
        </w:trPr>
        <w:tc>
          <w:tcPr>
            <w:tcW w:w="3760" w:type="dxa"/>
            <w:tcBorders>
              <w:bottom w:val="nil"/>
              <w:right w:val="single" w:sz="4" w:space="0" w:color="auto"/>
            </w:tcBorders>
          </w:tcPr>
          <w:p w14:paraId="272ABBAB" w14:textId="77777777" w:rsidR="00BD4B0D" w:rsidRPr="00CA05C8" w:rsidRDefault="00BD4B0D" w:rsidP="006E5F1A">
            <w:pPr>
              <w:pStyle w:val="Tabletext"/>
              <w:rPr>
                <w:lang w:val="ru-RU"/>
              </w:rPr>
            </w:pPr>
            <w:proofErr w:type="spellStart"/>
            <w:r w:rsidRPr="00CA05C8">
              <w:rPr>
                <w:lang w:val="ru-RU"/>
              </w:rPr>
              <w:t>Мазерный</w:t>
            </w:r>
            <w:proofErr w:type="spellEnd"/>
            <w:r w:rsidRPr="00CA05C8">
              <w:rPr>
                <w:lang w:val="ru-RU"/>
              </w:rPr>
              <w:t xml:space="preserve"> предварительный усилитель</w:t>
            </w:r>
          </w:p>
        </w:tc>
        <w:tc>
          <w:tcPr>
            <w:tcW w:w="4887" w:type="dxa"/>
            <w:tcBorders>
              <w:left w:val="single" w:sz="4" w:space="0" w:color="auto"/>
              <w:bottom w:val="nil"/>
            </w:tcBorders>
          </w:tcPr>
          <w:p w14:paraId="2D6E5195" w14:textId="77777777" w:rsidR="00BD4B0D" w:rsidRPr="00CA05C8" w:rsidRDefault="00BD4B0D" w:rsidP="00923345">
            <w:pPr>
              <w:pStyle w:val="Tabletext"/>
              <w:jc w:val="left"/>
              <w:rPr>
                <w:lang w:val="ru-RU"/>
              </w:rPr>
            </w:pPr>
            <w:r w:rsidRPr="00CA05C8">
              <w:rPr>
                <w:lang w:val="ru-RU"/>
              </w:rPr>
              <w:t>Амплитудное искажение 1 дБ</w:t>
            </w:r>
          </w:p>
        </w:tc>
      </w:tr>
      <w:tr w:rsidR="00BD4B0D" w:rsidRPr="00CA05C8" w14:paraId="396F5E47" w14:textId="77777777">
        <w:trPr>
          <w:trHeight w:val="555"/>
          <w:jc w:val="center"/>
        </w:trPr>
        <w:tc>
          <w:tcPr>
            <w:tcW w:w="3760" w:type="dxa"/>
            <w:tcBorders>
              <w:top w:val="nil"/>
              <w:bottom w:val="nil"/>
              <w:right w:val="single" w:sz="4" w:space="0" w:color="auto"/>
            </w:tcBorders>
          </w:tcPr>
          <w:p w14:paraId="3CBB8623" w14:textId="77777777" w:rsidR="00BD4B0D" w:rsidRPr="00CA05C8" w:rsidRDefault="00BD4B0D" w:rsidP="006E5F1A">
            <w:pPr>
              <w:pStyle w:val="Tabletext"/>
              <w:rPr>
                <w:lang w:val="ru-RU"/>
              </w:rPr>
            </w:pPr>
            <w:r w:rsidRPr="00CA05C8">
              <w:rPr>
                <w:lang w:val="ru-RU"/>
              </w:rPr>
              <w:t>Слежение за несущей частотой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nil"/>
            </w:tcBorders>
          </w:tcPr>
          <w:p w14:paraId="0115B939" w14:textId="77777777" w:rsidR="00BD4B0D" w:rsidRPr="00CA05C8" w:rsidRDefault="00BD4B0D" w:rsidP="00923345">
            <w:pPr>
              <w:pStyle w:val="Tabletext"/>
              <w:jc w:val="left"/>
              <w:rPr>
                <w:lang w:val="ru-RU"/>
              </w:rPr>
            </w:pPr>
            <w:r w:rsidRPr="00CA05C8">
              <w:rPr>
                <w:lang w:val="ru-RU"/>
              </w:rPr>
              <w:t>Статическая погрешность фазы контура или амплитуда дрожания фазы 10</w:t>
            </w:r>
            <w:r w:rsidRPr="00CA05C8">
              <w:rPr>
                <w:lang w:val="ru-RU"/>
              </w:rPr>
              <w:sym w:font="Symbol" w:char="F0B0"/>
            </w:r>
          </w:p>
        </w:tc>
      </w:tr>
      <w:tr w:rsidR="00BD4B0D" w:rsidRPr="00CA05C8" w14:paraId="14A0972A" w14:textId="77777777">
        <w:trPr>
          <w:trHeight w:val="765"/>
          <w:jc w:val="center"/>
        </w:trPr>
        <w:tc>
          <w:tcPr>
            <w:tcW w:w="3760" w:type="dxa"/>
            <w:tcBorders>
              <w:top w:val="nil"/>
              <w:bottom w:val="nil"/>
              <w:right w:val="single" w:sz="4" w:space="0" w:color="auto"/>
            </w:tcBorders>
          </w:tcPr>
          <w:p w14:paraId="0080A7D5" w14:textId="77777777" w:rsidR="00BD4B0D" w:rsidRPr="00CA05C8" w:rsidRDefault="00BD4B0D" w:rsidP="006E5F1A">
            <w:pPr>
              <w:pStyle w:val="Tabletext"/>
              <w:rPr>
                <w:lang w:val="ru-RU"/>
              </w:rPr>
            </w:pPr>
            <w:r w:rsidRPr="00CA05C8">
              <w:rPr>
                <w:lang w:val="ru-RU"/>
              </w:rPr>
              <w:t>Телеметрия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nil"/>
            </w:tcBorders>
          </w:tcPr>
          <w:p w14:paraId="62B353BE" w14:textId="77777777" w:rsidR="00BD4B0D" w:rsidRPr="00CA05C8" w:rsidRDefault="00452909" w:rsidP="00923345">
            <w:pPr>
              <w:pStyle w:val="Tabletext"/>
              <w:jc w:val="left"/>
              <w:rPr>
                <w:lang w:val="ru-RU"/>
              </w:rPr>
            </w:pPr>
            <w:r w:rsidRPr="00CA05C8">
              <w:rPr>
                <w:lang w:val="ru-RU"/>
              </w:rPr>
              <w:t>Уменьшение (эквивалентно на 1 дБ) энергии сигнала к шуму в отношении спектральной плотности</w:t>
            </w:r>
            <w:r w:rsidR="00D601D8" w:rsidRPr="00CA05C8">
              <w:rPr>
                <w:lang w:val="ru-RU"/>
              </w:rPr>
              <w:br/>
            </w:r>
            <w:r w:rsidRPr="00CA05C8">
              <w:rPr>
                <w:lang w:val="ru-RU"/>
              </w:rPr>
              <w:t>(∆</w:t>
            </w:r>
            <w:r w:rsidRPr="00CA05C8">
              <w:rPr>
                <w:i/>
                <w:lang w:val="ru-RU"/>
              </w:rPr>
              <w:t>Е/N</w:t>
            </w:r>
            <w:r w:rsidRPr="00CA05C8">
              <w:rPr>
                <w:vertAlign w:val="subscript"/>
                <w:lang w:val="ru-RU"/>
              </w:rPr>
              <w:t>0</w:t>
            </w:r>
            <w:r w:rsidRPr="00CA05C8">
              <w:rPr>
                <w:lang w:val="ru-RU"/>
              </w:rPr>
              <w:t xml:space="preserve"> = –1 дБ)</w:t>
            </w:r>
          </w:p>
        </w:tc>
      </w:tr>
      <w:tr w:rsidR="00BD4B0D" w:rsidRPr="00CA05C8" w14:paraId="5B4F0D8B" w14:textId="77777777">
        <w:trPr>
          <w:trHeight w:val="780"/>
          <w:jc w:val="center"/>
        </w:trPr>
        <w:tc>
          <w:tcPr>
            <w:tcW w:w="3760" w:type="dxa"/>
            <w:tcBorders>
              <w:top w:val="nil"/>
              <w:right w:val="single" w:sz="4" w:space="0" w:color="auto"/>
            </w:tcBorders>
          </w:tcPr>
          <w:p w14:paraId="6FD3DDDA" w14:textId="77777777" w:rsidR="00BD4B0D" w:rsidRPr="00CA05C8" w:rsidRDefault="00BD4B0D" w:rsidP="006E5F1A">
            <w:pPr>
              <w:pStyle w:val="Tabletext"/>
              <w:rPr>
                <w:lang w:val="ru-RU"/>
              </w:rPr>
            </w:pPr>
            <w:r w:rsidRPr="00CA05C8">
              <w:rPr>
                <w:lang w:val="ru-RU"/>
              </w:rPr>
              <w:t>Измерение расстояния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</w:tcBorders>
          </w:tcPr>
          <w:p w14:paraId="2DF2EBDB" w14:textId="77777777" w:rsidR="00BD4B0D" w:rsidRPr="00CA05C8" w:rsidRDefault="00452909" w:rsidP="00923345">
            <w:pPr>
              <w:pStyle w:val="Tabletext"/>
              <w:jc w:val="left"/>
              <w:rPr>
                <w:lang w:val="ru-RU"/>
              </w:rPr>
            </w:pPr>
            <w:r w:rsidRPr="00CA05C8">
              <w:rPr>
                <w:lang w:val="ru-RU"/>
              </w:rPr>
              <w:t>Уменьшение (эквивалентно на 1 дБ) энергии сигнала к шуму в отношении спектральной плотности</w:t>
            </w:r>
            <w:r w:rsidR="00D601D8" w:rsidRPr="00CA05C8">
              <w:rPr>
                <w:lang w:val="ru-RU"/>
              </w:rPr>
              <w:br/>
            </w:r>
            <w:r w:rsidRPr="00CA05C8">
              <w:rPr>
                <w:lang w:val="ru-RU"/>
              </w:rPr>
              <w:t>(∆</w:t>
            </w:r>
            <w:r w:rsidRPr="00CA05C8">
              <w:rPr>
                <w:i/>
                <w:lang w:val="ru-RU"/>
              </w:rPr>
              <w:t>Е/N</w:t>
            </w:r>
            <w:r w:rsidRPr="00CA05C8">
              <w:rPr>
                <w:vertAlign w:val="subscript"/>
                <w:lang w:val="ru-RU"/>
              </w:rPr>
              <w:t>0</w:t>
            </w:r>
            <w:r w:rsidRPr="00CA05C8">
              <w:rPr>
                <w:lang w:val="ru-RU"/>
              </w:rPr>
              <w:t xml:space="preserve"> = –1 дБ)</w:t>
            </w:r>
          </w:p>
        </w:tc>
      </w:tr>
    </w:tbl>
    <w:p w14:paraId="02C7774D" w14:textId="77777777" w:rsidR="00BD4B0D" w:rsidRPr="00CA05C8" w:rsidRDefault="00452909" w:rsidP="006E5F1A">
      <w:pPr>
        <w:pStyle w:val="Heading1"/>
        <w:rPr>
          <w:lang w:val="ru-RU"/>
        </w:rPr>
      </w:pPr>
      <w:r w:rsidRPr="00CA05C8">
        <w:rPr>
          <w:lang w:val="ru-RU"/>
        </w:rPr>
        <w:t>2</w:t>
      </w:r>
      <w:r w:rsidRPr="00CA05C8">
        <w:rPr>
          <w:lang w:val="ru-RU"/>
        </w:rPr>
        <w:tab/>
        <w:t>Критерии защиты для наземных станций дальней космической связи</w:t>
      </w:r>
    </w:p>
    <w:p w14:paraId="3938645E" w14:textId="77777777" w:rsidR="00452909" w:rsidRPr="00CA05C8" w:rsidRDefault="00452909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Имеются четыре подсистемы приемника, которые являются чувствительными к помехе: мазерный предварительный усилитель, контур слежения за несущей частотой, телеметрическая подсистема и подсистема измерения расстояния.</w:t>
      </w:r>
    </w:p>
    <w:p w14:paraId="436F481C" w14:textId="77777777" w:rsidR="00452909" w:rsidRPr="00CA05C8" w:rsidRDefault="00452909" w:rsidP="006E5F1A">
      <w:pPr>
        <w:pStyle w:val="Heading2"/>
        <w:rPr>
          <w:lang w:val="ru-RU"/>
        </w:rPr>
      </w:pPr>
      <w:r w:rsidRPr="00CA05C8">
        <w:rPr>
          <w:lang w:val="ru-RU"/>
        </w:rPr>
        <w:t>2.1</w:t>
      </w:r>
      <w:r w:rsidRPr="00CA05C8">
        <w:rPr>
          <w:lang w:val="ru-RU"/>
        </w:rPr>
        <w:tab/>
        <w:t>Максимальное приемлемое ухудшение рабочих характеристик</w:t>
      </w:r>
    </w:p>
    <w:p w14:paraId="1F2E4279" w14:textId="77777777" w:rsidR="00452909" w:rsidRPr="00CA05C8" w:rsidRDefault="00452909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Усиление мазерного предварительного усилителя уменьшается как функция входной мощности для очень сильных сигналов или помехи. Эти амплитудные искажения приводят к нелинейному режиму работы. Сильная помеха может таким образом производить нелинейное воздействие на полезный сигнал, в том числе включая генерацию ложных сигналов. Полагается, что максимальные приемлемые амплитудные искажения равны 1 дБ. Использование амплитудных искажений в качестве меры нелинейных эффектов является общепринятой</w:t>
      </w:r>
      <w:r w:rsidR="00C500F9" w:rsidRPr="00CA05C8">
        <w:rPr>
          <w:szCs w:val="22"/>
          <w:lang w:val="ru-RU"/>
        </w:rPr>
        <w:t xml:space="preserve"> практикой.</w:t>
      </w:r>
    </w:p>
    <w:p w14:paraId="4CB8EFCD" w14:textId="77777777" w:rsidR="00C500F9" w:rsidRPr="00CA05C8" w:rsidRDefault="00C500F9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Реакция контура слежения за несущей частотой на помеху проявляется в увеличении фазовой ошибки и дрожании фазы. Достаточно сильная помеха может вызвать выпадение из синхронизма. Считается, что максимальное приемлемое ухудшение – увеличение статической погрешности фазы на 10</w:t>
      </w:r>
      <w:r w:rsidRPr="00CA05C8">
        <w:rPr>
          <w:szCs w:val="22"/>
          <w:lang w:val="ru-RU"/>
        </w:rPr>
        <w:sym w:font="Symbol" w:char="F0B0"/>
      </w:r>
      <w:r w:rsidRPr="00CA05C8">
        <w:rPr>
          <w:szCs w:val="22"/>
          <w:lang w:val="ru-RU"/>
        </w:rPr>
        <w:t xml:space="preserve"> или увеличение амплитуды дрожания фазы на 10</w:t>
      </w:r>
      <w:r w:rsidRPr="00CA05C8">
        <w:rPr>
          <w:szCs w:val="22"/>
          <w:lang w:val="ru-RU"/>
        </w:rPr>
        <w:sym w:font="Symbol" w:char="F0B0"/>
      </w:r>
      <w:r w:rsidRPr="00CA05C8">
        <w:rPr>
          <w:szCs w:val="22"/>
          <w:lang w:val="ru-RU"/>
        </w:rPr>
        <w:t>.</w:t>
      </w:r>
    </w:p>
    <w:p w14:paraId="6DD46F20" w14:textId="77777777" w:rsidR="00606E8E" w:rsidRPr="00CA05C8" w:rsidRDefault="00606E8E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Увеличение интенсивности потока битовых ошибок телеметрии и точности измерения расстояния в результате воздействия помехи может быть выражено в терминах соответствующего уменьшения отношения сигнал/шум. Максимально приемлемое ухудшение для телеметрии и подсистемы измерения расстояния соответствует уменьшению на 1 дБ отношения спектральной плотности мощности сигнала к шуму.</w:t>
      </w:r>
    </w:p>
    <w:p w14:paraId="09B80ECC" w14:textId="77777777" w:rsidR="00606E8E" w:rsidRPr="00CA05C8" w:rsidRDefault="005970FA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Максимальная допустимая помеха для каждой подсистемы приемника получена из соответствующего максимально приемлемого ухудшения. Критерием защиты для всего приемника является максимальная допустимая помеха для наиболее чувствительной подсистемы.</w:t>
      </w:r>
    </w:p>
    <w:p w14:paraId="751C586F" w14:textId="77777777" w:rsidR="005970FA" w:rsidRPr="00CA05C8" w:rsidRDefault="005970FA" w:rsidP="00D601D8">
      <w:pPr>
        <w:rPr>
          <w:szCs w:val="22"/>
          <w:lang w:val="ru-RU"/>
        </w:rPr>
      </w:pPr>
      <w:r w:rsidRPr="00CA05C8">
        <w:rPr>
          <w:szCs w:val="22"/>
          <w:lang w:val="ru-RU"/>
        </w:rPr>
        <w:t>В таблице 1 приведено максимально приемлемое ухудшение рабочих характеристик для каждой из четырех подсистем приемника.</w:t>
      </w:r>
    </w:p>
    <w:p w14:paraId="5B79A098" w14:textId="5CC43BE3" w:rsidR="005970FA" w:rsidRPr="00CA05C8" w:rsidRDefault="005970FA" w:rsidP="006E5F1A">
      <w:pPr>
        <w:pStyle w:val="Heading2"/>
        <w:rPr>
          <w:lang w:val="ru-RU"/>
        </w:rPr>
      </w:pPr>
      <w:r w:rsidRPr="00CA05C8">
        <w:rPr>
          <w:lang w:val="ru-RU"/>
        </w:rPr>
        <w:lastRenderedPageBreak/>
        <w:t>2.2</w:t>
      </w:r>
      <w:r w:rsidRPr="00CA05C8">
        <w:rPr>
          <w:lang w:val="ru-RU"/>
        </w:rPr>
        <w:tab/>
        <w:t>Уровни помех соответствующие максимально приемлемому ухудшению рабочих характеристик</w:t>
      </w:r>
    </w:p>
    <w:p w14:paraId="6412D43D" w14:textId="77777777" w:rsidR="005970FA" w:rsidRPr="00CA05C8" w:rsidRDefault="005970FA" w:rsidP="006E5F1A">
      <w:pPr>
        <w:pStyle w:val="Heading3"/>
        <w:rPr>
          <w:lang w:val="ru-RU"/>
        </w:rPr>
      </w:pPr>
      <w:r w:rsidRPr="00CA05C8">
        <w:rPr>
          <w:lang w:val="ru-RU"/>
        </w:rPr>
        <w:t>2.2.1</w:t>
      </w:r>
      <w:r w:rsidRPr="00CA05C8">
        <w:rPr>
          <w:lang w:val="ru-RU"/>
        </w:rPr>
        <w:tab/>
        <w:t>Мазерный предварительный усилитель</w:t>
      </w:r>
    </w:p>
    <w:p w14:paraId="41650D04" w14:textId="77777777" w:rsidR="005970FA" w:rsidRPr="00CA05C8" w:rsidRDefault="005970FA" w:rsidP="002555C9">
      <w:pPr>
        <w:spacing w:before="100"/>
        <w:rPr>
          <w:szCs w:val="22"/>
          <w:lang w:val="ru-RU"/>
        </w:rPr>
      </w:pPr>
      <w:r w:rsidRPr="00CA05C8">
        <w:rPr>
          <w:szCs w:val="22"/>
          <w:lang w:val="ru-RU"/>
        </w:rPr>
        <w:t>В таблице 2 дана мощность помехи, которая вызывает амплитудные искажения, равные 1 дБ, в</w:t>
      </w:r>
      <w:r w:rsidR="00D601D8" w:rsidRPr="00CA05C8">
        <w:rPr>
          <w:szCs w:val="22"/>
          <w:lang w:val="ru-RU"/>
        </w:rPr>
        <w:t> </w:t>
      </w:r>
      <w:r w:rsidRPr="00CA05C8">
        <w:rPr>
          <w:szCs w:val="22"/>
          <w:lang w:val="ru-RU"/>
        </w:rPr>
        <w:t>мазерном предварительном усилителе. Источник данных приведен в Приложении 2.</w:t>
      </w:r>
    </w:p>
    <w:p w14:paraId="5CB118A9" w14:textId="77777777" w:rsidR="005970FA" w:rsidRPr="00CA05C8" w:rsidRDefault="005970FA" w:rsidP="006E5F1A">
      <w:pPr>
        <w:pStyle w:val="TableNo"/>
        <w:rPr>
          <w:lang w:val="ru-RU"/>
        </w:rPr>
      </w:pPr>
      <w:r w:rsidRPr="00CA05C8">
        <w:rPr>
          <w:lang w:val="ru-RU"/>
        </w:rPr>
        <w:t>ТАБЛИЦА 2</w:t>
      </w:r>
    </w:p>
    <w:p w14:paraId="110BECCE" w14:textId="77777777" w:rsidR="005970FA" w:rsidRPr="00CA05C8" w:rsidRDefault="005970FA" w:rsidP="006E5F1A">
      <w:pPr>
        <w:pStyle w:val="Tabletitle"/>
        <w:rPr>
          <w:lang w:val="ru-RU"/>
        </w:rPr>
      </w:pPr>
      <w:r w:rsidRPr="00CA05C8">
        <w:rPr>
          <w:lang w:val="ru-RU"/>
        </w:rPr>
        <w:t>Максимальная допустимая мощность помехи для амплитудных искажений 1 дБ</w:t>
      </w:r>
      <w:r w:rsidR="00D601D8" w:rsidRPr="00CA05C8">
        <w:rPr>
          <w:lang w:val="ru-RU"/>
        </w:rPr>
        <w:br/>
      </w:r>
      <w:r w:rsidRPr="00CA05C8">
        <w:rPr>
          <w:lang w:val="ru-RU"/>
        </w:rPr>
        <w:t>в мазерном предварительном усилителе на частоте 8,4 ГГц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72"/>
        <w:gridCol w:w="2807"/>
        <w:gridCol w:w="2807"/>
      </w:tblGrid>
      <w:tr w:rsidR="005970FA" w:rsidRPr="00CA05C8" w14:paraId="573A90F3" w14:textId="77777777">
        <w:trPr>
          <w:trHeight w:val="464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1885369" w14:textId="77777777" w:rsidR="005970FA" w:rsidRPr="00CA05C8" w:rsidRDefault="005970FA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Тип помехи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35F49BF1" w14:textId="77777777" w:rsidR="005970FA" w:rsidRPr="00CA05C8" w:rsidRDefault="005970FA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Источник данных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040F3A41" w14:textId="77777777" w:rsidR="005970FA" w:rsidRPr="00CA05C8" w:rsidRDefault="005970FA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Помеха, вызывающая амплитудные</w:t>
            </w:r>
            <w:r w:rsidR="00D601D8" w:rsidRPr="00CA05C8">
              <w:rPr>
                <w:lang w:val="ru-RU"/>
              </w:rPr>
              <w:br/>
            </w:r>
            <w:r w:rsidRPr="00CA05C8">
              <w:rPr>
                <w:lang w:val="ru-RU"/>
              </w:rPr>
              <w:t>искажения 1 дБ</w:t>
            </w:r>
          </w:p>
        </w:tc>
      </w:tr>
      <w:tr w:rsidR="005970FA" w:rsidRPr="00CA05C8" w14:paraId="4278F88E" w14:textId="77777777">
        <w:trPr>
          <w:trHeight w:val="232"/>
          <w:jc w:val="center"/>
        </w:trPr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14:paraId="7CD7A319" w14:textId="77777777" w:rsidR="005970FA" w:rsidRPr="00CA05C8" w:rsidRDefault="005970FA" w:rsidP="006E5F1A">
            <w:pPr>
              <w:pStyle w:val="Tabletext"/>
              <w:rPr>
                <w:lang w:val="ru-RU"/>
              </w:rPr>
            </w:pPr>
            <w:r w:rsidRPr="00CA05C8">
              <w:rPr>
                <w:lang w:val="ru-RU"/>
              </w:rPr>
              <w:t>Непрерывное излучение</w:t>
            </w:r>
          </w:p>
        </w:tc>
        <w:tc>
          <w:tcPr>
            <w:tcW w:w="28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8FAB4" w14:textId="77777777" w:rsidR="005970FA" w:rsidRPr="00CA05C8" w:rsidRDefault="005970FA" w:rsidP="006E5F1A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Рис. 2</w:t>
            </w:r>
          </w:p>
        </w:tc>
        <w:tc>
          <w:tcPr>
            <w:tcW w:w="2807" w:type="dxa"/>
            <w:tcBorders>
              <w:left w:val="single" w:sz="4" w:space="0" w:color="auto"/>
              <w:bottom w:val="nil"/>
            </w:tcBorders>
          </w:tcPr>
          <w:p w14:paraId="42D6B8B6" w14:textId="77777777" w:rsidR="005970FA" w:rsidRPr="00CA05C8" w:rsidRDefault="005970FA" w:rsidP="006E5F1A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–114 дБВт</w:t>
            </w:r>
          </w:p>
        </w:tc>
      </w:tr>
      <w:tr w:rsidR="005970FA" w:rsidRPr="00CA05C8" w14:paraId="37010BAC" w14:textId="77777777">
        <w:trPr>
          <w:trHeight w:val="248"/>
          <w:jc w:val="center"/>
        </w:trPr>
        <w:tc>
          <w:tcPr>
            <w:tcW w:w="2972" w:type="dxa"/>
            <w:tcBorders>
              <w:top w:val="nil"/>
              <w:right w:val="single" w:sz="4" w:space="0" w:color="auto"/>
            </w:tcBorders>
          </w:tcPr>
          <w:p w14:paraId="35E442A4" w14:textId="77777777" w:rsidR="005970FA" w:rsidRPr="00CA05C8" w:rsidRDefault="005970FA" w:rsidP="006E5F1A">
            <w:pPr>
              <w:pStyle w:val="Tabletext"/>
              <w:rPr>
                <w:lang w:val="ru-RU"/>
              </w:rPr>
            </w:pPr>
            <w:r w:rsidRPr="00CA05C8">
              <w:rPr>
                <w:lang w:val="ru-RU"/>
              </w:rPr>
              <w:t>Шум (ширина полосы 40</w:t>
            </w:r>
            <w:r w:rsidR="00D601D8" w:rsidRPr="00CA05C8">
              <w:rPr>
                <w:lang w:val="ru-RU"/>
              </w:rPr>
              <w:t> </w:t>
            </w:r>
            <w:r w:rsidRPr="00CA05C8">
              <w:rPr>
                <w:lang w:val="ru-RU"/>
              </w:rPr>
              <w:t>МГц)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DD6C5E" w14:textId="77777777" w:rsidR="005970FA" w:rsidRPr="00CA05C8" w:rsidRDefault="005970FA" w:rsidP="006E5F1A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Рис. 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</w:tcBorders>
          </w:tcPr>
          <w:p w14:paraId="1992FD03" w14:textId="77777777" w:rsidR="005970FA" w:rsidRPr="00CA05C8" w:rsidRDefault="005970FA" w:rsidP="006E5F1A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 xml:space="preserve">–190 </w:t>
            </w:r>
            <w:proofErr w:type="gramStart"/>
            <w:r w:rsidRPr="00CA05C8">
              <w:rPr>
                <w:lang w:val="ru-RU"/>
              </w:rPr>
              <w:t>дБ(</w:t>
            </w:r>
            <w:proofErr w:type="gramEnd"/>
            <w:r w:rsidRPr="00CA05C8">
              <w:rPr>
                <w:lang w:val="ru-RU"/>
              </w:rPr>
              <w:t>Вт/Гц)</w:t>
            </w:r>
          </w:p>
        </w:tc>
      </w:tr>
    </w:tbl>
    <w:p w14:paraId="3E298613" w14:textId="77777777" w:rsidR="005970FA" w:rsidRPr="00CA05C8" w:rsidRDefault="00E80374" w:rsidP="006E5F1A">
      <w:pPr>
        <w:pStyle w:val="Heading3"/>
        <w:rPr>
          <w:lang w:val="ru-RU"/>
        </w:rPr>
      </w:pPr>
      <w:r w:rsidRPr="00CA05C8">
        <w:rPr>
          <w:lang w:val="ru-RU"/>
        </w:rPr>
        <w:t>2.2.2</w:t>
      </w:r>
      <w:r w:rsidRPr="00CA05C8">
        <w:rPr>
          <w:lang w:val="ru-RU"/>
        </w:rPr>
        <w:tab/>
        <w:t>Подсистемы подстройки несущей, телеметрии и измерения расстояния</w:t>
      </w:r>
    </w:p>
    <w:p w14:paraId="5A095068" w14:textId="77777777" w:rsidR="00E80374" w:rsidRPr="00CA05C8" w:rsidRDefault="00E80374" w:rsidP="006E5F1A">
      <w:pPr>
        <w:pStyle w:val="Heading4"/>
        <w:rPr>
          <w:lang w:val="ru-RU"/>
        </w:rPr>
      </w:pPr>
      <w:r w:rsidRPr="00CA05C8">
        <w:rPr>
          <w:lang w:val="ru-RU"/>
        </w:rPr>
        <w:t>2.2.2.1</w:t>
      </w:r>
      <w:r w:rsidRPr="00CA05C8">
        <w:rPr>
          <w:lang w:val="ru-RU"/>
        </w:rPr>
        <w:tab/>
        <w:t>Отношения сигнал/помеха для подстройки несущей, телеметрии и измерения расстояния</w:t>
      </w:r>
    </w:p>
    <w:p w14:paraId="325E86E4" w14:textId="77777777" w:rsidR="00E80374" w:rsidRPr="00CA05C8" w:rsidRDefault="00E80374" w:rsidP="004B22A0">
      <w:pPr>
        <w:spacing w:before="100"/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В таблице 3 показано отношение помехи к несущей </w:t>
      </w:r>
      <w:r w:rsidR="004B22A0">
        <w:rPr>
          <w:szCs w:val="22"/>
          <w:lang w:val="ru-RU"/>
        </w:rPr>
        <w:t>(</w:t>
      </w:r>
      <w:r w:rsidRPr="00CA05C8">
        <w:rPr>
          <w:i/>
          <w:szCs w:val="22"/>
          <w:lang w:val="ru-RU"/>
        </w:rPr>
        <w:t>I/</w:t>
      </w:r>
      <w:r w:rsidR="002555C9">
        <w:rPr>
          <w:i/>
          <w:szCs w:val="22"/>
        </w:rPr>
        <w:t>C</w:t>
      </w:r>
      <w:r w:rsidR="004B22A0" w:rsidRPr="004B22A0">
        <w:rPr>
          <w:iCs/>
          <w:szCs w:val="22"/>
          <w:lang w:val="ru-RU"/>
        </w:rPr>
        <w:t>)</w:t>
      </w:r>
      <w:r w:rsidRPr="00CA05C8">
        <w:rPr>
          <w:szCs w:val="22"/>
          <w:lang w:val="ru-RU"/>
        </w:rPr>
        <w:t xml:space="preserve">, отношение помехи к сигналу </w:t>
      </w:r>
      <w:r w:rsidR="004B22A0">
        <w:rPr>
          <w:szCs w:val="22"/>
          <w:lang w:val="ru-RU"/>
        </w:rPr>
        <w:t>(</w:t>
      </w:r>
      <w:r w:rsidRPr="00CA05C8">
        <w:rPr>
          <w:i/>
          <w:szCs w:val="22"/>
          <w:lang w:val="ru-RU"/>
        </w:rPr>
        <w:t>I/S</w:t>
      </w:r>
      <w:r w:rsidR="004B22A0" w:rsidRPr="004B22A0">
        <w:rPr>
          <w:iCs/>
          <w:szCs w:val="22"/>
          <w:lang w:val="ru-RU"/>
        </w:rPr>
        <w:t>)</w:t>
      </w:r>
      <w:r w:rsidRPr="00CA05C8">
        <w:rPr>
          <w:szCs w:val="22"/>
          <w:lang w:val="ru-RU"/>
        </w:rPr>
        <w:t xml:space="preserve"> и отношение помехи к шуму</w:t>
      </w:r>
      <w:r w:rsidR="002555C9">
        <w:rPr>
          <w:szCs w:val="22"/>
          <w:lang w:val="ru-RU"/>
        </w:rPr>
        <w:t xml:space="preserve"> </w:t>
      </w:r>
      <w:r w:rsidR="004B22A0">
        <w:rPr>
          <w:szCs w:val="22"/>
          <w:lang w:val="ru-RU"/>
        </w:rPr>
        <w:t>(</w:t>
      </w:r>
      <w:r w:rsidR="002555C9" w:rsidRPr="00CA05C8">
        <w:rPr>
          <w:i/>
          <w:szCs w:val="22"/>
          <w:lang w:val="ru-RU"/>
        </w:rPr>
        <w:t>I/N</w:t>
      </w:r>
      <w:r w:rsidR="004B22A0">
        <w:rPr>
          <w:szCs w:val="22"/>
          <w:lang w:val="ru-RU"/>
        </w:rPr>
        <w:t>),</w:t>
      </w:r>
      <w:r w:rsidRPr="00CA05C8">
        <w:rPr>
          <w:szCs w:val="22"/>
          <w:lang w:val="ru-RU"/>
        </w:rPr>
        <w:t xml:space="preserve"> которые соответствуют приемлемому ухудшению подсистем подстройки несущей, телеметрии и измерения расстояния. Эти отно</w:t>
      </w:r>
      <w:r w:rsidR="002555C9">
        <w:rPr>
          <w:szCs w:val="22"/>
          <w:lang w:val="ru-RU"/>
        </w:rPr>
        <w:t>шения найдены следующим образом:</w:t>
      </w:r>
    </w:p>
    <w:p w14:paraId="6F699BE3" w14:textId="77777777" w:rsidR="00E80374" w:rsidRPr="00CA05C8" w:rsidRDefault="002555C9" w:rsidP="002555C9">
      <w:pPr>
        <w:spacing w:before="100"/>
        <w:rPr>
          <w:szCs w:val="22"/>
          <w:lang w:val="ru-RU"/>
        </w:rPr>
      </w:pPr>
      <w:r>
        <w:rPr>
          <w:szCs w:val="22"/>
          <w:lang w:val="ru-RU"/>
        </w:rPr>
        <w:t>Для помехи непрерывного режима</w:t>
      </w:r>
      <w:r w:rsidR="00E80374" w:rsidRPr="00CA05C8">
        <w:rPr>
          <w:szCs w:val="22"/>
          <w:lang w:val="ru-RU"/>
        </w:rPr>
        <w:t xml:space="preserve"> допустимое отношение помехи для каждой подсистемы может быть найдено непосредственно из кривых, данных в Приложении 2.</w:t>
      </w:r>
    </w:p>
    <w:p w14:paraId="418E431C" w14:textId="77777777" w:rsidR="000F08BD" w:rsidRPr="00CA05C8" w:rsidRDefault="000F08BD" w:rsidP="002555C9">
      <w:pPr>
        <w:spacing w:before="100"/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Для шумоподобной помехи контуру слежения за несущей частотой на рис. 8 показано, что уменьшение </w:t>
      </w:r>
      <w:proofErr w:type="gramStart"/>
      <w:r w:rsidRPr="00CA05C8">
        <w:rPr>
          <w:szCs w:val="22"/>
          <w:lang w:val="ru-RU"/>
        </w:rPr>
        <w:t>границы</w:t>
      </w:r>
      <w:proofErr w:type="gramEnd"/>
      <w:r w:rsidRPr="00CA05C8">
        <w:rPr>
          <w:szCs w:val="22"/>
          <w:lang w:val="ru-RU"/>
        </w:rPr>
        <w:t xml:space="preserve"> несущей от 10 дБ (типичная минимальная рабочая точка) до 5,5 дБ приводит к</w:t>
      </w:r>
      <w:r w:rsidR="00D601D8" w:rsidRPr="00CA05C8">
        <w:rPr>
          <w:szCs w:val="22"/>
          <w:lang w:val="ru-RU"/>
        </w:rPr>
        <w:t> </w:t>
      </w:r>
      <w:r w:rsidRPr="00CA05C8">
        <w:rPr>
          <w:szCs w:val="22"/>
          <w:lang w:val="ru-RU"/>
        </w:rPr>
        <w:t>10</w:t>
      </w:r>
      <w:r w:rsidRPr="00CA05C8">
        <w:rPr>
          <w:szCs w:val="22"/>
          <w:lang w:val="ru-RU"/>
        </w:rPr>
        <w:sym w:font="Symbol" w:char="F0B0"/>
      </w:r>
      <w:r w:rsidRPr="00CA05C8">
        <w:rPr>
          <w:szCs w:val="22"/>
          <w:lang w:val="ru-RU"/>
        </w:rPr>
        <w:t xml:space="preserve"> дополнительному дрожанию фазы. Соответствующее отношение </w:t>
      </w:r>
      <w:r w:rsidR="002555C9" w:rsidRPr="00CA05C8">
        <w:rPr>
          <w:i/>
          <w:szCs w:val="22"/>
          <w:lang w:val="ru-RU"/>
        </w:rPr>
        <w:t>I/N</w:t>
      </w:r>
      <w:r w:rsidRPr="00CA05C8">
        <w:rPr>
          <w:szCs w:val="22"/>
          <w:lang w:val="ru-RU"/>
        </w:rPr>
        <w:t xml:space="preserve"> дается выражением:</w:t>
      </w:r>
    </w:p>
    <w:p w14:paraId="09B15587" w14:textId="6DFC40B5" w:rsidR="000F08BD" w:rsidRPr="00CA05C8" w:rsidRDefault="006E5F1A" w:rsidP="006E5F1A">
      <w:pPr>
        <w:pStyle w:val="Equation"/>
        <w:rPr>
          <w:lang w:val="ru-RU"/>
        </w:rPr>
      </w:pPr>
      <w:r>
        <w:rPr>
          <w:lang w:val="ru-RU"/>
        </w:rPr>
        <w:tab/>
      </w:r>
      <w:r w:rsidR="00D601D8" w:rsidRPr="00CA05C8">
        <w:rPr>
          <w:lang w:val="ru-RU"/>
        </w:rPr>
        <w:tab/>
      </w:r>
      <w:r w:rsidR="00D601D8" w:rsidRPr="00CA05C8">
        <w:rPr>
          <w:position w:val="-12"/>
          <w:lang w:val="ru-RU"/>
        </w:rPr>
        <w:object w:dxaOrig="3660" w:dyaOrig="380" w14:anchorId="26919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18.75pt" o:ole="">
            <v:imagedata r:id="rId6" o:title=""/>
          </v:shape>
          <o:OLEObject Type="Embed" ProgID="Equation.3" ShapeID="_x0000_i1025" DrawAspect="Content" ObjectID="_1760431553" r:id="rId7"/>
        </w:object>
      </w:r>
      <w:r w:rsidR="000F08BD" w:rsidRPr="00CA05C8">
        <w:rPr>
          <w:lang w:val="ru-RU"/>
        </w:rPr>
        <w:fldChar w:fldCharType="begin"/>
      </w:r>
      <w:r w:rsidR="000F08BD" w:rsidRPr="00CA05C8">
        <w:rPr>
          <w:lang w:val="ru-RU"/>
        </w:rPr>
        <w:instrText xml:space="preserve"> EQ </w:instrText>
      </w:r>
      <w:r w:rsidR="000F08BD" w:rsidRPr="00CA05C8">
        <w:rPr>
          <w:lang w:val="ru-RU"/>
        </w:rPr>
        <w:fldChar w:fldCharType="end"/>
      </w:r>
      <w:r w:rsidR="00D601D8" w:rsidRPr="00CA05C8">
        <w:rPr>
          <w:lang w:val="ru-RU"/>
        </w:rPr>
        <w:tab/>
      </w:r>
      <w:r w:rsidR="00516FB7" w:rsidRPr="00CA05C8">
        <w:rPr>
          <w:lang w:val="ru-RU"/>
        </w:rPr>
        <w:t>дБ</w:t>
      </w:r>
      <w:r w:rsidR="00BF7803" w:rsidRPr="00CA05C8">
        <w:rPr>
          <w:lang w:val="ru-RU"/>
        </w:rPr>
        <w:t>,</w:t>
      </w:r>
    </w:p>
    <w:p w14:paraId="732AD30A" w14:textId="77777777" w:rsidR="00516FB7" w:rsidRPr="00CA05C8" w:rsidRDefault="00516FB7" w:rsidP="002555C9">
      <w:pPr>
        <w:spacing w:before="100"/>
        <w:rPr>
          <w:szCs w:val="22"/>
          <w:lang w:val="ru-RU"/>
        </w:rPr>
      </w:pPr>
      <w:r w:rsidRPr="00CA05C8">
        <w:rPr>
          <w:szCs w:val="22"/>
          <w:lang w:val="ru-RU"/>
        </w:rPr>
        <w:t>где:</w:t>
      </w:r>
    </w:p>
    <w:p w14:paraId="4CEF0CE9" w14:textId="77777777" w:rsidR="00516FB7" w:rsidRPr="00CA05C8" w:rsidRDefault="003B3A37" w:rsidP="006E5F1A">
      <w:pPr>
        <w:pStyle w:val="Equationlegend"/>
      </w:pPr>
      <w:r w:rsidRPr="00CA05C8">
        <w:tab/>
      </w:r>
      <w:r w:rsidR="00516FB7" w:rsidRPr="00CA05C8">
        <w:rPr>
          <w:i/>
        </w:rPr>
        <w:t>I</w:t>
      </w:r>
      <w:r w:rsidR="00516FB7" w:rsidRPr="00CA05C8">
        <w:rPr>
          <w:vertAlign w:val="subscript"/>
        </w:rPr>
        <w:t>0</w:t>
      </w:r>
      <w:r w:rsidR="00516FB7" w:rsidRPr="00CA05C8">
        <w:t>/</w:t>
      </w:r>
      <w:r w:rsidR="00516FB7" w:rsidRPr="00CA05C8">
        <w:rPr>
          <w:i/>
        </w:rPr>
        <w:t>N</w:t>
      </w:r>
      <w:r w:rsidR="00516FB7" w:rsidRPr="00CA05C8">
        <w:rPr>
          <w:vertAlign w:val="subscript"/>
        </w:rPr>
        <w:t>0</w:t>
      </w:r>
      <w:r w:rsidR="00AD73CE" w:rsidRPr="00CA05C8">
        <w:t>:</w:t>
      </w:r>
      <w:r w:rsidR="00AD73CE" w:rsidRPr="00CA05C8">
        <w:tab/>
        <w:t>отношение спектральной плотности шума помехи к спектральной плотнос</w:t>
      </w:r>
      <w:r w:rsidR="00BF7803" w:rsidRPr="00CA05C8">
        <w:t>т</w:t>
      </w:r>
      <w:r w:rsidR="00AD73CE" w:rsidRPr="00CA05C8">
        <w:t>и шума приемника</w:t>
      </w:r>
    </w:p>
    <w:p w14:paraId="09CF1E3D" w14:textId="77777777" w:rsidR="00516FB7" w:rsidRPr="00CA05C8" w:rsidRDefault="003B3A37" w:rsidP="006E5F1A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516FB7" w:rsidRPr="00CA05C8">
        <w:rPr>
          <w:i/>
          <w:szCs w:val="22"/>
          <w:lang w:val="ru-RU"/>
        </w:rPr>
        <w:t>CM</w:t>
      </w:r>
      <w:r w:rsidR="00AD73CE" w:rsidRPr="00CA05C8">
        <w:rPr>
          <w:szCs w:val="22"/>
          <w:vertAlign w:val="subscript"/>
          <w:lang w:val="ru-RU"/>
        </w:rPr>
        <w:t>0</w:t>
      </w:r>
      <w:r w:rsidR="00AD73CE" w:rsidRPr="00CA05C8">
        <w:rPr>
          <w:szCs w:val="22"/>
          <w:lang w:val="ru-RU"/>
        </w:rPr>
        <w:t>:</w:t>
      </w:r>
      <w:r w:rsidR="00AD73CE" w:rsidRPr="00CA05C8">
        <w:rPr>
          <w:szCs w:val="22"/>
          <w:lang w:val="ru-RU"/>
        </w:rPr>
        <w:tab/>
        <w:t xml:space="preserve">порог </w:t>
      </w:r>
      <w:r w:rsidR="00AD73CE" w:rsidRPr="006E5F1A">
        <w:t>несущей</w:t>
      </w:r>
      <w:r w:rsidR="00AD73CE" w:rsidRPr="00CA05C8">
        <w:rPr>
          <w:szCs w:val="22"/>
          <w:lang w:val="ru-RU"/>
        </w:rPr>
        <w:t xml:space="preserve"> (дБ) без помехи</w:t>
      </w:r>
    </w:p>
    <w:p w14:paraId="69C7CA99" w14:textId="77777777" w:rsidR="00516FB7" w:rsidRDefault="003B3A37" w:rsidP="006E5F1A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516FB7" w:rsidRPr="00CA05C8">
        <w:rPr>
          <w:i/>
          <w:szCs w:val="22"/>
          <w:lang w:val="ru-RU"/>
        </w:rPr>
        <w:t>CM</w:t>
      </w:r>
      <w:r w:rsidR="00AD73CE" w:rsidRPr="00AC0CA1">
        <w:rPr>
          <w:i/>
          <w:szCs w:val="22"/>
          <w:vertAlign w:val="subscript"/>
          <w:lang w:val="ru-RU"/>
        </w:rPr>
        <w:t>i</w:t>
      </w:r>
      <w:r w:rsidR="00AD73CE" w:rsidRPr="00CA05C8">
        <w:rPr>
          <w:szCs w:val="22"/>
          <w:lang w:val="ru-RU"/>
        </w:rPr>
        <w:t>:</w:t>
      </w:r>
      <w:r w:rsidR="00AD73CE" w:rsidRPr="00CA05C8">
        <w:rPr>
          <w:szCs w:val="22"/>
          <w:lang w:val="ru-RU"/>
        </w:rPr>
        <w:tab/>
      </w:r>
      <w:r w:rsidR="00AD73CE" w:rsidRPr="006E5F1A">
        <w:t>порог</w:t>
      </w:r>
      <w:r w:rsidR="00AD73CE" w:rsidRPr="00CA05C8">
        <w:rPr>
          <w:szCs w:val="22"/>
          <w:lang w:val="ru-RU"/>
        </w:rPr>
        <w:t xml:space="preserve"> несущей (дБ) с помехой</w:t>
      </w:r>
      <w:r w:rsidR="004B22A0">
        <w:rPr>
          <w:szCs w:val="22"/>
          <w:lang w:val="ru-RU"/>
        </w:rPr>
        <w:t>,</w:t>
      </w:r>
    </w:p>
    <w:p w14:paraId="30B43184" w14:textId="77777777" w:rsidR="002555C9" w:rsidRPr="002555C9" w:rsidRDefault="002555C9" w:rsidP="002555C9">
      <w:pPr>
        <w:tabs>
          <w:tab w:val="right" w:pos="1701"/>
        </w:tabs>
        <w:spacing w:before="100"/>
        <w:rPr>
          <w:szCs w:val="22"/>
          <w:lang w:val="ru-RU"/>
        </w:rPr>
      </w:pPr>
      <w:r w:rsidRPr="002555C9">
        <w:rPr>
          <w:szCs w:val="22"/>
          <w:lang w:val="ru-RU"/>
        </w:rPr>
        <w:t>и порог н</w:t>
      </w:r>
      <w:r>
        <w:rPr>
          <w:szCs w:val="22"/>
          <w:lang w:val="ru-RU"/>
        </w:rPr>
        <w:t xml:space="preserve">есущей представляет собой отношение </w:t>
      </w:r>
      <w:proofErr w:type="gramStart"/>
      <w:r>
        <w:rPr>
          <w:szCs w:val="22"/>
          <w:lang w:val="ru-RU"/>
        </w:rPr>
        <w:t>мощности</w:t>
      </w:r>
      <w:proofErr w:type="gramEnd"/>
      <w:r>
        <w:rPr>
          <w:szCs w:val="22"/>
          <w:lang w:val="ru-RU"/>
        </w:rPr>
        <w:t xml:space="preserve"> несущей к мощности шума в контуре слежения за несущей частотой.</w:t>
      </w:r>
    </w:p>
    <w:p w14:paraId="0BDC57F1" w14:textId="77777777" w:rsidR="00AD73CE" w:rsidRPr="00CA05C8" w:rsidRDefault="00AD73CE" w:rsidP="002555C9">
      <w:pPr>
        <w:spacing w:before="100"/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Для шумоподобной помехи подсистемам телеметрии и </w:t>
      </w:r>
      <w:r w:rsidR="001552A0" w:rsidRPr="00CA05C8">
        <w:rPr>
          <w:szCs w:val="22"/>
          <w:lang w:val="ru-RU"/>
        </w:rPr>
        <w:t>измерения расстояния допустимое отношение помехи к шуму дается выражением:</w:t>
      </w:r>
    </w:p>
    <w:p w14:paraId="1F267ADD" w14:textId="591F178A" w:rsidR="001552A0" w:rsidRPr="00CA05C8" w:rsidRDefault="003B3A37" w:rsidP="006E5F1A">
      <w:pPr>
        <w:pStyle w:val="Equation"/>
        <w:rPr>
          <w:szCs w:val="22"/>
          <w:lang w:val="ru-RU"/>
        </w:rPr>
      </w:pPr>
      <w:r w:rsidRPr="00CA05C8">
        <w:rPr>
          <w:szCs w:val="22"/>
          <w:lang w:val="ru-RU"/>
        </w:rPr>
        <w:tab/>
      </w:r>
      <w:r w:rsidR="006E5F1A">
        <w:rPr>
          <w:szCs w:val="22"/>
          <w:lang w:val="ru-RU"/>
        </w:rPr>
        <w:tab/>
      </w:r>
      <w:r w:rsidRPr="00CA05C8">
        <w:rPr>
          <w:position w:val="-12"/>
          <w:szCs w:val="22"/>
          <w:lang w:val="ru-RU"/>
        </w:rPr>
        <w:object w:dxaOrig="2860" w:dyaOrig="380" w14:anchorId="3B948E10">
          <v:shape id="_x0000_i1026" type="#_x0000_t75" style="width:142.5pt;height:18.75pt" o:ole="">
            <v:imagedata r:id="rId8" o:title=""/>
          </v:shape>
          <o:OLEObject Type="Embed" ProgID="Equation.3" ShapeID="_x0000_i1026" DrawAspect="Content" ObjectID="_1760431554" r:id="rId9"/>
        </w:object>
      </w:r>
      <w:r w:rsidR="001552A0" w:rsidRPr="00CA05C8">
        <w:rPr>
          <w:szCs w:val="22"/>
          <w:lang w:val="ru-RU"/>
        </w:rPr>
        <w:fldChar w:fldCharType="begin"/>
      </w:r>
      <w:r w:rsidR="001552A0" w:rsidRPr="00CA05C8">
        <w:rPr>
          <w:szCs w:val="22"/>
          <w:lang w:val="ru-RU"/>
        </w:rPr>
        <w:instrText xml:space="preserve"> EQ </w:instrText>
      </w:r>
      <w:r w:rsidR="001552A0" w:rsidRPr="00CA05C8">
        <w:rPr>
          <w:szCs w:val="22"/>
          <w:lang w:val="ru-RU"/>
        </w:rPr>
        <w:fldChar w:fldCharType="end"/>
      </w:r>
      <w:r w:rsidRPr="00CA05C8">
        <w:rPr>
          <w:szCs w:val="22"/>
          <w:lang w:val="ru-RU"/>
        </w:rPr>
        <w:tab/>
      </w:r>
      <w:r w:rsidR="001552A0" w:rsidRPr="00CA05C8">
        <w:rPr>
          <w:szCs w:val="22"/>
          <w:lang w:val="ru-RU"/>
        </w:rPr>
        <w:t>дБ</w:t>
      </w:r>
      <w:r w:rsidR="00BF7803" w:rsidRPr="00CA05C8">
        <w:rPr>
          <w:szCs w:val="22"/>
          <w:lang w:val="ru-RU"/>
        </w:rPr>
        <w:t>,</w:t>
      </w:r>
    </w:p>
    <w:p w14:paraId="2244409C" w14:textId="77777777" w:rsidR="00BF7803" w:rsidRPr="00CA05C8" w:rsidRDefault="00BF7803" w:rsidP="002555C9">
      <w:pPr>
        <w:spacing w:before="100"/>
        <w:rPr>
          <w:szCs w:val="22"/>
          <w:lang w:val="ru-RU"/>
        </w:rPr>
      </w:pPr>
      <w:r w:rsidRPr="00CA05C8">
        <w:rPr>
          <w:szCs w:val="22"/>
          <w:lang w:val="ru-RU"/>
        </w:rPr>
        <w:t>где:</w:t>
      </w:r>
    </w:p>
    <w:p w14:paraId="2F6F6FB9" w14:textId="77777777" w:rsidR="00BF7803" w:rsidRPr="00CA05C8" w:rsidRDefault="003B3A37" w:rsidP="006E5F1A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BF7803" w:rsidRPr="00CA05C8">
        <w:rPr>
          <w:i/>
          <w:szCs w:val="22"/>
          <w:lang w:val="ru-RU"/>
        </w:rPr>
        <w:t>I</w:t>
      </w:r>
      <w:r w:rsidR="00BF7803" w:rsidRPr="00CA05C8">
        <w:rPr>
          <w:szCs w:val="22"/>
          <w:vertAlign w:val="subscript"/>
          <w:lang w:val="ru-RU"/>
        </w:rPr>
        <w:t>0</w:t>
      </w:r>
      <w:r w:rsidR="00BF7803" w:rsidRPr="00CA05C8">
        <w:rPr>
          <w:i/>
          <w:szCs w:val="22"/>
          <w:lang w:val="ru-RU"/>
        </w:rPr>
        <w:t>/N</w:t>
      </w:r>
      <w:r w:rsidR="00BF7803" w:rsidRPr="00CA05C8">
        <w:rPr>
          <w:szCs w:val="22"/>
          <w:vertAlign w:val="subscript"/>
          <w:lang w:val="ru-RU"/>
        </w:rPr>
        <w:t>0</w:t>
      </w:r>
      <w:r w:rsidR="00BF7803" w:rsidRPr="00CA05C8">
        <w:rPr>
          <w:szCs w:val="22"/>
          <w:lang w:val="ru-RU"/>
        </w:rPr>
        <w:t>:</w:t>
      </w:r>
      <w:r w:rsidR="00BF7803" w:rsidRPr="00CA05C8">
        <w:rPr>
          <w:szCs w:val="22"/>
          <w:lang w:val="ru-RU"/>
        </w:rPr>
        <w:tab/>
        <w:t>отношение спектральной плотности шума помехи к спектральной плотности шума приемника</w:t>
      </w:r>
    </w:p>
    <w:p w14:paraId="611DD7E2" w14:textId="77777777" w:rsidR="00516FB7" w:rsidRPr="00CA05C8" w:rsidRDefault="003B3A37" w:rsidP="006E5F1A">
      <w:pPr>
        <w:pStyle w:val="Equationlegend"/>
        <w:rPr>
          <w:szCs w:val="22"/>
          <w:lang w:val="ru-RU"/>
        </w:rPr>
      </w:pPr>
      <w:r w:rsidRPr="00CA05C8">
        <w:rPr>
          <w:szCs w:val="22"/>
          <w:lang w:val="ru-RU"/>
        </w:rPr>
        <w:tab/>
      </w:r>
      <w:r w:rsidR="00BF7803" w:rsidRPr="00CA05C8">
        <w:rPr>
          <w:szCs w:val="22"/>
          <w:lang w:val="ru-RU"/>
        </w:rPr>
        <w:t>∆</w:t>
      </w:r>
      <w:r w:rsidR="00516FB7" w:rsidRPr="00CA05C8">
        <w:rPr>
          <w:i/>
          <w:szCs w:val="22"/>
          <w:lang w:val="ru-RU"/>
        </w:rPr>
        <w:t>E</w:t>
      </w:r>
      <w:r w:rsidR="00BF7803" w:rsidRPr="00CA05C8">
        <w:rPr>
          <w:i/>
          <w:szCs w:val="22"/>
          <w:lang w:val="ru-RU"/>
        </w:rPr>
        <w:t>/N</w:t>
      </w:r>
      <w:r w:rsidR="00BF7803" w:rsidRPr="00CA05C8">
        <w:rPr>
          <w:szCs w:val="22"/>
          <w:vertAlign w:val="subscript"/>
          <w:lang w:val="ru-RU"/>
        </w:rPr>
        <w:t>0</w:t>
      </w:r>
      <w:r w:rsidR="00BF7803" w:rsidRPr="00CA05C8">
        <w:rPr>
          <w:szCs w:val="22"/>
          <w:lang w:val="ru-RU"/>
        </w:rPr>
        <w:t>:</w:t>
      </w:r>
      <w:r w:rsidR="00BF7803" w:rsidRPr="00CA05C8">
        <w:rPr>
          <w:szCs w:val="22"/>
          <w:lang w:val="ru-RU"/>
        </w:rPr>
        <w:tab/>
        <w:t>критерий, данный в таблице 1, и уменьшение эквивалентного отношения спектральной плотности символьной энергии к шуму или отношение сигнал/шум.</w:t>
      </w:r>
    </w:p>
    <w:p w14:paraId="50EFE479" w14:textId="402E46F1" w:rsidR="00BF7803" w:rsidRPr="00CA05C8" w:rsidRDefault="00BF7803" w:rsidP="006E5F1A">
      <w:pPr>
        <w:pStyle w:val="TableNo"/>
        <w:rPr>
          <w:lang w:val="ru-RU"/>
        </w:rPr>
      </w:pPr>
      <w:r w:rsidRPr="00CA05C8">
        <w:rPr>
          <w:lang w:val="ru-RU"/>
        </w:rPr>
        <w:lastRenderedPageBreak/>
        <w:t>ТАБЛИЦА 3</w:t>
      </w:r>
    </w:p>
    <w:p w14:paraId="1E1CDAF6" w14:textId="77777777" w:rsidR="00BF7803" w:rsidRPr="00CA05C8" w:rsidRDefault="00BF7803" w:rsidP="006E5F1A">
      <w:pPr>
        <w:pStyle w:val="Tabletitle"/>
        <w:rPr>
          <w:lang w:val="ru-RU"/>
        </w:rPr>
      </w:pPr>
      <w:r w:rsidRPr="00CA05C8">
        <w:rPr>
          <w:lang w:val="ru-RU"/>
        </w:rPr>
        <w:t xml:space="preserve">Максимум допустимых значений </w:t>
      </w:r>
      <w:r w:rsidR="00C87360" w:rsidRPr="00CA05C8">
        <w:rPr>
          <w:i/>
          <w:lang w:val="ru-RU"/>
        </w:rPr>
        <w:t>I/C</w:t>
      </w:r>
      <w:r w:rsidRPr="00CA05C8">
        <w:rPr>
          <w:lang w:val="ru-RU"/>
        </w:rPr>
        <w:t xml:space="preserve">, </w:t>
      </w:r>
      <w:r w:rsidR="002555C9">
        <w:rPr>
          <w:i/>
        </w:rPr>
        <w:t>I</w:t>
      </w:r>
      <w:r w:rsidR="002555C9" w:rsidRPr="004B22A0">
        <w:rPr>
          <w:i/>
          <w:lang w:val="ru-RU"/>
        </w:rPr>
        <w:t>/</w:t>
      </w:r>
      <w:r w:rsidR="002555C9">
        <w:rPr>
          <w:i/>
        </w:rPr>
        <w:t>S</w:t>
      </w:r>
      <w:r w:rsidRPr="00CA05C8">
        <w:rPr>
          <w:lang w:val="ru-RU"/>
        </w:rPr>
        <w:t xml:space="preserve"> или </w:t>
      </w:r>
      <w:r w:rsidR="00C87360" w:rsidRPr="00CA05C8">
        <w:rPr>
          <w:i/>
          <w:lang w:val="ru-RU"/>
        </w:rPr>
        <w:t>I/N</w:t>
      </w:r>
      <w:r w:rsidRPr="00CA05C8">
        <w:rPr>
          <w:lang w:val="ru-RU"/>
        </w:rPr>
        <w:br/>
        <w:t>для непрерывного излучения шумоподобной помехи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686"/>
        <w:gridCol w:w="2041"/>
        <w:gridCol w:w="2033"/>
        <w:gridCol w:w="2041"/>
      </w:tblGrid>
      <w:tr w:rsidR="0032571E" w:rsidRPr="00CA05C8" w14:paraId="12D1F5CC" w14:textId="77777777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408E383" w14:textId="77777777" w:rsidR="0032571E" w:rsidRPr="00CA05C8" w:rsidRDefault="00C87360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Подсистема (критерий)</w:t>
            </w:r>
          </w:p>
        </w:tc>
        <w:tc>
          <w:tcPr>
            <w:tcW w:w="2041" w:type="dxa"/>
            <w:vAlign w:val="center"/>
          </w:tcPr>
          <w:p w14:paraId="740CF1C0" w14:textId="77777777" w:rsidR="0032571E" w:rsidRPr="00CA05C8" w:rsidRDefault="00C87360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Тип помехи</w:t>
            </w:r>
          </w:p>
        </w:tc>
        <w:tc>
          <w:tcPr>
            <w:tcW w:w="2033" w:type="dxa"/>
            <w:vAlign w:val="center"/>
          </w:tcPr>
          <w:p w14:paraId="2FA358CC" w14:textId="77777777" w:rsidR="0032571E" w:rsidRPr="00CA05C8" w:rsidRDefault="00C87360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Источник данных</w:t>
            </w:r>
          </w:p>
        </w:tc>
        <w:tc>
          <w:tcPr>
            <w:tcW w:w="2041" w:type="dxa"/>
            <w:vAlign w:val="center"/>
          </w:tcPr>
          <w:p w14:paraId="2892624D" w14:textId="77777777" w:rsidR="0032571E" w:rsidRPr="00CA05C8" w:rsidRDefault="00C87360" w:rsidP="006E5F1A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Максимум отношения помехи</w:t>
            </w:r>
          </w:p>
        </w:tc>
      </w:tr>
      <w:tr w:rsidR="00C87360" w:rsidRPr="00CA05C8" w14:paraId="10CD9774" w14:textId="77777777">
        <w:trPr>
          <w:cantSplit/>
          <w:trHeight w:val="128"/>
        </w:trPr>
        <w:tc>
          <w:tcPr>
            <w:tcW w:w="3686" w:type="dxa"/>
            <w:tcBorders>
              <w:bottom w:val="nil"/>
            </w:tcBorders>
            <w:shd w:val="clear" w:color="auto" w:fill="auto"/>
          </w:tcPr>
          <w:p w14:paraId="1BCF5413" w14:textId="77777777" w:rsidR="00C87360" w:rsidRPr="002555C9" w:rsidRDefault="00C87360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2555C9">
              <w:rPr>
                <w:i/>
                <w:sz w:val="20"/>
                <w:lang w:val="ru-RU"/>
              </w:rPr>
              <w:t>Подстройка несущей</w:t>
            </w:r>
          </w:p>
        </w:tc>
        <w:tc>
          <w:tcPr>
            <w:tcW w:w="2041" w:type="dxa"/>
          </w:tcPr>
          <w:p w14:paraId="7BD922E2" w14:textId="77777777" w:rsidR="00C87360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 w:rsidR="00C87360" w:rsidRPr="00CA05C8">
              <w:rPr>
                <w:sz w:val="20"/>
                <w:lang w:val="ru-RU"/>
              </w:rPr>
              <w:t>епрерывный</w:t>
            </w:r>
          </w:p>
        </w:tc>
        <w:tc>
          <w:tcPr>
            <w:tcW w:w="2033" w:type="dxa"/>
          </w:tcPr>
          <w:p w14:paraId="541C2AF7" w14:textId="77777777" w:rsidR="00C87360" w:rsidRPr="00CA05C8" w:rsidRDefault="00C87360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Рис. 3</w:t>
            </w:r>
          </w:p>
        </w:tc>
        <w:tc>
          <w:tcPr>
            <w:tcW w:w="2041" w:type="dxa"/>
          </w:tcPr>
          <w:p w14:paraId="57A9311A" w14:textId="77777777" w:rsidR="00C87360" w:rsidRPr="00CA05C8" w:rsidRDefault="00C87360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i/>
                <w:sz w:val="20"/>
                <w:lang w:val="ru-RU"/>
              </w:rPr>
              <w:t>I/C</w:t>
            </w:r>
            <w:r w:rsidRPr="00CA05C8">
              <w:rPr>
                <w:sz w:val="20"/>
                <w:lang w:val="ru-RU"/>
              </w:rPr>
              <w:t xml:space="preserve"> = –15 дБ</w:t>
            </w:r>
          </w:p>
        </w:tc>
      </w:tr>
      <w:tr w:rsidR="00C87360" w:rsidRPr="00CA05C8" w14:paraId="64CF61A5" w14:textId="77777777">
        <w:trPr>
          <w:cantSplit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37EAEC" w14:textId="77777777" w:rsidR="00C87360" w:rsidRPr="00CA05C8" w:rsidRDefault="00B3484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(10</w:t>
            </w:r>
            <w:r w:rsidRPr="00CA05C8">
              <w:rPr>
                <w:sz w:val="20"/>
                <w:lang w:val="ru-RU"/>
              </w:rPr>
              <w:sym w:font="Symbol" w:char="F0B0"/>
            </w:r>
            <w:r w:rsidRPr="00CA05C8">
              <w:rPr>
                <w:sz w:val="20"/>
                <w:lang w:val="ru-RU"/>
              </w:rPr>
              <w:t xml:space="preserve"> увеличение амплитуды дрожания фазы)</w:t>
            </w:r>
          </w:p>
        </w:tc>
        <w:tc>
          <w:tcPr>
            <w:tcW w:w="2041" w:type="dxa"/>
          </w:tcPr>
          <w:p w14:paraId="0E3C38E7" w14:textId="77777777" w:rsidR="00C87360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</w:t>
            </w:r>
            <w:r w:rsidR="00C87360" w:rsidRPr="00CA05C8">
              <w:rPr>
                <w:sz w:val="20"/>
                <w:lang w:val="ru-RU"/>
              </w:rPr>
              <w:t>упомодобный</w:t>
            </w:r>
          </w:p>
        </w:tc>
        <w:tc>
          <w:tcPr>
            <w:tcW w:w="2033" w:type="dxa"/>
          </w:tcPr>
          <w:p w14:paraId="375FAF3D" w14:textId="77777777" w:rsidR="00C87360" w:rsidRPr="00CA05C8" w:rsidRDefault="00C87360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Рис. 8 и расчет</w:t>
            </w:r>
          </w:p>
        </w:tc>
        <w:tc>
          <w:tcPr>
            <w:tcW w:w="2041" w:type="dxa"/>
          </w:tcPr>
          <w:p w14:paraId="6CD28F46" w14:textId="77777777" w:rsidR="00C87360" w:rsidRPr="00CA05C8" w:rsidRDefault="00C87360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i/>
                <w:sz w:val="20"/>
                <w:lang w:val="ru-RU"/>
              </w:rPr>
              <w:t>I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i/>
                <w:sz w:val="20"/>
                <w:lang w:val="ru-RU"/>
              </w:rPr>
              <w:t>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sz w:val="20"/>
                <w:lang w:val="ru-RU"/>
              </w:rPr>
              <w:t xml:space="preserve"> </w:t>
            </w:r>
            <w:r w:rsidR="00736A55" w:rsidRPr="00CA05C8">
              <w:rPr>
                <w:sz w:val="20"/>
                <w:lang w:val="ru-RU"/>
              </w:rPr>
              <w:t>= +2,</w:t>
            </w:r>
            <w:r w:rsidR="002555C9">
              <w:rPr>
                <w:sz w:val="20"/>
              </w:rPr>
              <w:t>6</w:t>
            </w:r>
            <w:r w:rsidR="00736A55" w:rsidRPr="00CA05C8">
              <w:rPr>
                <w:sz w:val="20"/>
                <w:lang w:val="ru-RU"/>
              </w:rPr>
              <w:t xml:space="preserve"> дБ</w:t>
            </w:r>
          </w:p>
        </w:tc>
      </w:tr>
      <w:tr w:rsidR="002555C9" w:rsidRPr="00CA05C8" w14:paraId="32693D5C" w14:textId="77777777">
        <w:trPr>
          <w:cantSplit/>
        </w:trPr>
        <w:tc>
          <w:tcPr>
            <w:tcW w:w="3686" w:type="dxa"/>
            <w:tcBorders>
              <w:bottom w:val="nil"/>
            </w:tcBorders>
            <w:shd w:val="clear" w:color="auto" w:fill="auto"/>
          </w:tcPr>
          <w:p w14:paraId="02E1E278" w14:textId="77777777" w:rsidR="002555C9" w:rsidRPr="002555C9" w:rsidRDefault="002555C9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2555C9">
              <w:rPr>
                <w:i/>
                <w:sz w:val="20"/>
                <w:lang w:val="ru-RU"/>
              </w:rPr>
              <w:t>Телеметрия</w:t>
            </w:r>
          </w:p>
        </w:tc>
        <w:tc>
          <w:tcPr>
            <w:tcW w:w="2041" w:type="dxa"/>
            <w:vMerge w:val="restart"/>
          </w:tcPr>
          <w:p w14:paraId="2EB9BBCF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 w:rsidRPr="00CA05C8">
              <w:rPr>
                <w:sz w:val="20"/>
                <w:lang w:val="ru-RU"/>
              </w:rPr>
              <w:t>епрерывный</w:t>
            </w:r>
          </w:p>
        </w:tc>
        <w:tc>
          <w:tcPr>
            <w:tcW w:w="2033" w:type="dxa"/>
            <w:vMerge w:val="restart"/>
          </w:tcPr>
          <w:p w14:paraId="2666C01B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Рис. 5</w:t>
            </w:r>
          </w:p>
        </w:tc>
        <w:tc>
          <w:tcPr>
            <w:tcW w:w="2041" w:type="dxa"/>
            <w:vMerge w:val="restart"/>
          </w:tcPr>
          <w:p w14:paraId="4EE4965D" w14:textId="77777777" w:rsidR="002555C9" w:rsidRPr="00CA05C8" w:rsidRDefault="002555C9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CA05C8">
              <w:rPr>
                <w:i/>
                <w:sz w:val="20"/>
                <w:lang w:val="ru-RU"/>
              </w:rPr>
              <w:t>I/C</w:t>
            </w:r>
            <w:r w:rsidRPr="00CA05C8">
              <w:rPr>
                <w:sz w:val="20"/>
                <w:lang w:val="ru-RU"/>
              </w:rPr>
              <w:t xml:space="preserve"> = –1,5 дБ</w:t>
            </w:r>
          </w:p>
        </w:tc>
      </w:tr>
      <w:tr w:rsidR="002555C9" w:rsidRPr="00CA05C8" w14:paraId="6972F5F2" w14:textId="77777777">
        <w:trPr>
          <w:cantSplit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0A63C885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 xml:space="preserve">(Уменьшение на 1 дБ </w:t>
            </w:r>
            <w:r w:rsidRPr="00CA05C8">
              <w:rPr>
                <w:i/>
                <w:sz w:val="20"/>
                <w:lang w:val="ru-RU"/>
              </w:rPr>
              <w:t>E/N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sz w:val="20"/>
                <w:lang w:val="ru-RU"/>
              </w:rPr>
              <w:t xml:space="preserve"> вследствие помехи контуру слежения за несущей частотой)</w:t>
            </w:r>
          </w:p>
        </w:tc>
        <w:tc>
          <w:tcPr>
            <w:tcW w:w="2041" w:type="dxa"/>
            <w:vMerge/>
          </w:tcPr>
          <w:p w14:paraId="31103E7B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033" w:type="dxa"/>
            <w:vMerge/>
          </w:tcPr>
          <w:p w14:paraId="5739B5F2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041" w:type="dxa"/>
            <w:vMerge/>
          </w:tcPr>
          <w:p w14:paraId="5C05E6C5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32571E" w:rsidRPr="00CA05C8" w14:paraId="539A5383" w14:textId="77777777">
        <w:trPr>
          <w:cantSplit/>
        </w:trPr>
        <w:tc>
          <w:tcPr>
            <w:tcW w:w="3686" w:type="dxa"/>
            <w:tcBorders>
              <w:bottom w:val="nil"/>
            </w:tcBorders>
          </w:tcPr>
          <w:p w14:paraId="7A5231B5" w14:textId="77777777" w:rsidR="0032571E" w:rsidRPr="002555C9" w:rsidRDefault="00736A55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2555C9">
              <w:rPr>
                <w:i/>
                <w:sz w:val="20"/>
                <w:lang w:val="ru-RU"/>
              </w:rPr>
              <w:t>Телеметрия</w:t>
            </w:r>
          </w:p>
        </w:tc>
        <w:tc>
          <w:tcPr>
            <w:tcW w:w="2041" w:type="dxa"/>
          </w:tcPr>
          <w:p w14:paraId="3E49E311" w14:textId="77777777" w:rsidR="0032571E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 w:rsidR="00736A55" w:rsidRPr="00CA05C8">
              <w:rPr>
                <w:sz w:val="20"/>
                <w:lang w:val="ru-RU"/>
              </w:rPr>
              <w:t>епрерывный</w:t>
            </w:r>
          </w:p>
        </w:tc>
        <w:tc>
          <w:tcPr>
            <w:tcW w:w="2033" w:type="dxa"/>
          </w:tcPr>
          <w:p w14:paraId="3398D5D3" w14:textId="77777777" w:rsidR="0032571E" w:rsidRPr="00CA05C8" w:rsidRDefault="00736A5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Рис. 4</w:t>
            </w:r>
          </w:p>
        </w:tc>
        <w:tc>
          <w:tcPr>
            <w:tcW w:w="2041" w:type="dxa"/>
          </w:tcPr>
          <w:p w14:paraId="094FC08B" w14:textId="77777777" w:rsidR="0032571E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 w:rsidRPr="002555C9">
              <w:rPr>
                <w:i/>
                <w:szCs w:val="22"/>
              </w:rPr>
              <w:t>I/S</w:t>
            </w:r>
            <w:r w:rsidR="00736A55" w:rsidRPr="00CA05C8">
              <w:rPr>
                <w:sz w:val="20"/>
                <w:lang w:val="ru-RU"/>
              </w:rPr>
              <w:t xml:space="preserve"> = –11 дБ</w:t>
            </w:r>
          </w:p>
        </w:tc>
      </w:tr>
      <w:tr w:rsidR="0032571E" w:rsidRPr="00CA05C8" w14:paraId="41CDB231" w14:textId="77777777">
        <w:trPr>
          <w:cantSplit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2829936" w14:textId="77777777" w:rsidR="0032571E" w:rsidRPr="00CA05C8" w:rsidRDefault="00736A5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 xml:space="preserve">(Уменьшение на 1 дБ </w:t>
            </w:r>
            <w:r w:rsidRPr="00CA05C8">
              <w:rPr>
                <w:i/>
                <w:sz w:val="20"/>
                <w:lang w:val="ru-RU"/>
              </w:rPr>
              <w:t>E/N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sz w:val="20"/>
                <w:lang w:val="ru-RU"/>
              </w:rPr>
              <w:t xml:space="preserve"> вследствие помехи в полосе детектирования телеметрии)</w:t>
            </w:r>
          </w:p>
        </w:tc>
        <w:tc>
          <w:tcPr>
            <w:tcW w:w="2041" w:type="dxa"/>
          </w:tcPr>
          <w:p w14:paraId="473C978A" w14:textId="77777777" w:rsidR="0032571E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</w:t>
            </w:r>
            <w:r w:rsidR="00736A55" w:rsidRPr="00CA05C8">
              <w:rPr>
                <w:sz w:val="20"/>
                <w:lang w:val="ru-RU"/>
              </w:rPr>
              <w:t>умоподобный</w:t>
            </w:r>
          </w:p>
        </w:tc>
        <w:tc>
          <w:tcPr>
            <w:tcW w:w="2033" w:type="dxa"/>
          </w:tcPr>
          <w:p w14:paraId="7A8E6AB0" w14:textId="77777777" w:rsidR="0032571E" w:rsidRPr="00CA05C8" w:rsidRDefault="00736A5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Расчет</w:t>
            </w:r>
          </w:p>
        </w:tc>
        <w:tc>
          <w:tcPr>
            <w:tcW w:w="2041" w:type="dxa"/>
          </w:tcPr>
          <w:p w14:paraId="449FCECF" w14:textId="77777777" w:rsidR="0032571E" w:rsidRPr="00CA05C8" w:rsidRDefault="00C87360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i/>
                <w:sz w:val="20"/>
                <w:lang w:val="ru-RU"/>
              </w:rPr>
              <w:t>I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i/>
                <w:sz w:val="20"/>
                <w:lang w:val="ru-RU"/>
              </w:rPr>
              <w:t>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="00736A55" w:rsidRPr="00CA05C8">
              <w:rPr>
                <w:sz w:val="20"/>
                <w:lang w:val="ru-RU"/>
              </w:rPr>
              <w:t xml:space="preserve"> = –5,9 дБ</w:t>
            </w:r>
          </w:p>
        </w:tc>
      </w:tr>
      <w:tr w:rsidR="002555C9" w:rsidRPr="00CA05C8" w14:paraId="315DF8D2" w14:textId="77777777">
        <w:trPr>
          <w:cantSplit/>
        </w:trPr>
        <w:tc>
          <w:tcPr>
            <w:tcW w:w="3686" w:type="dxa"/>
            <w:tcBorders>
              <w:bottom w:val="nil"/>
            </w:tcBorders>
          </w:tcPr>
          <w:p w14:paraId="0B39D739" w14:textId="77777777" w:rsidR="002555C9" w:rsidRPr="002555C9" w:rsidRDefault="002555C9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2555C9">
              <w:rPr>
                <w:i/>
                <w:sz w:val="20"/>
                <w:lang w:val="ru-RU"/>
              </w:rPr>
              <w:t>Измерение расстояния</w:t>
            </w:r>
          </w:p>
        </w:tc>
        <w:tc>
          <w:tcPr>
            <w:tcW w:w="2041" w:type="dxa"/>
            <w:vMerge w:val="restart"/>
          </w:tcPr>
          <w:p w14:paraId="45025BE1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 w:rsidRPr="00CA05C8">
              <w:rPr>
                <w:sz w:val="20"/>
                <w:lang w:val="ru-RU"/>
              </w:rPr>
              <w:t>епрерывный</w:t>
            </w:r>
          </w:p>
        </w:tc>
        <w:tc>
          <w:tcPr>
            <w:tcW w:w="2033" w:type="dxa"/>
            <w:vMerge w:val="restart"/>
          </w:tcPr>
          <w:p w14:paraId="068BAD18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Рис. 6</w:t>
            </w:r>
          </w:p>
        </w:tc>
        <w:tc>
          <w:tcPr>
            <w:tcW w:w="2041" w:type="dxa"/>
            <w:vMerge w:val="restart"/>
          </w:tcPr>
          <w:p w14:paraId="377C29D7" w14:textId="77777777" w:rsidR="002555C9" w:rsidRPr="00CA05C8" w:rsidRDefault="002555C9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CA05C8">
              <w:rPr>
                <w:i/>
                <w:sz w:val="20"/>
                <w:lang w:val="ru-RU"/>
              </w:rPr>
              <w:t>I/C</w:t>
            </w:r>
            <w:r w:rsidRPr="00CA05C8">
              <w:rPr>
                <w:sz w:val="20"/>
                <w:lang w:val="ru-RU"/>
              </w:rPr>
              <w:t xml:space="preserve"> = –5 дБ</w:t>
            </w:r>
          </w:p>
        </w:tc>
      </w:tr>
      <w:tr w:rsidR="002555C9" w:rsidRPr="00CA05C8" w14:paraId="4BB8A77C" w14:textId="77777777">
        <w:trPr>
          <w:cantSplit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7D1F5059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 xml:space="preserve">(Уменьшение на 1 дБ </w:t>
            </w:r>
            <w:r w:rsidRPr="00CA05C8">
              <w:rPr>
                <w:i/>
                <w:sz w:val="20"/>
                <w:lang w:val="ru-RU"/>
              </w:rPr>
              <w:t>E/N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sz w:val="20"/>
                <w:lang w:val="ru-RU"/>
              </w:rPr>
              <w:t xml:space="preserve"> вследствие помехи контуру сл</w:t>
            </w:r>
            <w:r w:rsidR="00390193">
              <w:rPr>
                <w:sz w:val="20"/>
                <w:lang w:val="ru-RU"/>
              </w:rPr>
              <w:t>е</w:t>
            </w:r>
            <w:r w:rsidRPr="00CA05C8">
              <w:rPr>
                <w:sz w:val="20"/>
                <w:lang w:val="ru-RU"/>
              </w:rPr>
              <w:t>жения за несущей частотой)</w:t>
            </w:r>
          </w:p>
        </w:tc>
        <w:tc>
          <w:tcPr>
            <w:tcW w:w="2041" w:type="dxa"/>
            <w:vMerge/>
          </w:tcPr>
          <w:p w14:paraId="355A7226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033" w:type="dxa"/>
            <w:vMerge/>
          </w:tcPr>
          <w:p w14:paraId="69D9F38B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</w:p>
        </w:tc>
        <w:tc>
          <w:tcPr>
            <w:tcW w:w="2041" w:type="dxa"/>
            <w:vMerge/>
          </w:tcPr>
          <w:p w14:paraId="6961103B" w14:textId="77777777" w:rsidR="002555C9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</w:p>
        </w:tc>
      </w:tr>
      <w:tr w:rsidR="0032571E" w:rsidRPr="00CA05C8" w14:paraId="55686C19" w14:textId="77777777">
        <w:trPr>
          <w:cantSplit/>
        </w:trPr>
        <w:tc>
          <w:tcPr>
            <w:tcW w:w="3686" w:type="dxa"/>
            <w:tcBorders>
              <w:bottom w:val="nil"/>
            </w:tcBorders>
          </w:tcPr>
          <w:p w14:paraId="05FE2A26" w14:textId="77777777" w:rsidR="0032571E" w:rsidRPr="002555C9" w:rsidRDefault="00B34845" w:rsidP="00A87ADD">
            <w:pPr>
              <w:spacing w:before="40" w:after="40"/>
              <w:rPr>
                <w:i/>
                <w:sz w:val="20"/>
                <w:lang w:val="ru-RU"/>
              </w:rPr>
            </w:pPr>
            <w:r w:rsidRPr="002555C9">
              <w:rPr>
                <w:i/>
                <w:sz w:val="20"/>
                <w:lang w:val="ru-RU"/>
              </w:rPr>
              <w:t>Измерение расстояния</w:t>
            </w:r>
          </w:p>
        </w:tc>
        <w:tc>
          <w:tcPr>
            <w:tcW w:w="2041" w:type="dxa"/>
          </w:tcPr>
          <w:p w14:paraId="02A3AF14" w14:textId="77777777" w:rsidR="0032571E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 w:rsidR="00B34845" w:rsidRPr="00CA05C8">
              <w:rPr>
                <w:sz w:val="20"/>
                <w:lang w:val="ru-RU"/>
              </w:rPr>
              <w:t>епрерывный</w:t>
            </w:r>
          </w:p>
        </w:tc>
        <w:tc>
          <w:tcPr>
            <w:tcW w:w="2033" w:type="dxa"/>
          </w:tcPr>
          <w:p w14:paraId="5C803960" w14:textId="77777777" w:rsidR="0032571E" w:rsidRPr="00CA05C8" w:rsidRDefault="00B3484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Рис. 7</w:t>
            </w:r>
          </w:p>
        </w:tc>
        <w:tc>
          <w:tcPr>
            <w:tcW w:w="2041" w:type="dxa"/>
          </w:tcPr>
          <w:p w14:paraId="3E261109" w14:textId="77777777" w:rsidR="0032571E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 w:rsidRPr="002555C9">
              <w:rPr>
                <w:i/>
                <w:szCs w:val="22"/>
              </w:rPr>
              <w:t>I/S</w:t>
            </w:r>
            <w:r w:rsidR="00B34845" w:rsidRPr="00CA05C8">
              <w:rPr>
                <w:sz w:val="20"/>
                <w:lang w:val="ru-RU"/>
              </w:rPr>
              <w:t xml:space="preserve"> = –7,1 дБ</w:t>
            </w:r>
          </w:p>
        </w:tc>
      </w:tr>
      <w:tr w:rsidR="0032571E" w:rsidRPr="00CA05C8" w14:paraId="44834FF5" w14:textId="77777777">
        <w:trPr>
          <w:cantSplit/>
        </w:trPr>
        <w:tc>
          <w:tcPr>
            <w:tcW w:w="3686" w:type="dxa"/>
            <w:tcBorders>
              <w:top w:val="nil"/>
            </w:tcBorders>
          </w:tcPr>
          <w:p w14:paraId="2207CF27" w14:textId="77777777" w:rsidR="0032571E" w:rsidRPr="00CA05C8" w:rsidRDefault="00B3484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 xml:space="preserve">(Уменьшение на 1 дБ </w:t>
            </w:r>
            <w:r w:rsidRPr="00CA05C8">
              <w:rPr>
                <w:i/>
                <w:sz w:val="20"/>
                <w:lang w:val="ru-RU"/>
              </w:rPr>
              <w:t>E/N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sz w:val="20"/>
                <w:lang w:val="ru-RU"/>
              </w:rPr>
              <w:t xml:space="preserve"> вследствие помехи в полосе измерителя расстояния)</w:t>
            </w:r>
          </w:p>
        </w:tc>
        <w:tc>
          <w:tcPr>
            <w:tcW w:w="2041" w:type="dxa"/>
          </w:tcPr>
          <w:p w14:paraId="20A2DD5E" w14:textId="77777777" w:rsidR="0032571E" w:rsidRPr="00CA05C8" w:rsidRDefault="002555C9" w:rsidP="00A87ADD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</w:t>
            </w:r>
            <w:r w:rsidR="00B34845" w:rsidRPr="00CA05C8">
              <w:rPr>
                <w:sz w:val="20"/>
                <w:lang w:val="ru-RU"/>
              </w:rPr>
              <w:t>умоподобный</w:t>
            </w:r>
          </w:p>
        </w:tc>
        <w:tc>
          <w:tcPr>
            <w:tcW w:w="2033" w:type="dxa"/>
          </w:tcPr>
          <w:p w14:paraId="23131C97" w14:textId="77777777" w:rsidR="0032571E" w:rsidRPr="00CA05C8" w:rsidRDefault="00B3484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sz w:val="20"/>
                <w:lang w:val="ru-RU"/>
              </w:rPr>
              <w:t>Расчет</w:t>
            </w:r>
          </w:p>
        </w:tc>
        <w:tc>
          <w:tcPr>
            <w:tcW w:w="2041" w:type="dxa"/>
          </w:tcPr>
          <w:p w14:paraId="2F3CA499" w14:textId="77777777" w:rsidR="0032571E" w:rsidRPr="00CA05C8" w:rsidRDefault="00B34845" w:rsidP="00A87ADD">
            <w:pPr>
              <w:spacing w:before="40" w:after="40"/>
              <w:rPr>
                <w:sz w:val="20"/>
                <w:lang w:val="ru-RU"/>
              </w:rPr>
            </w:pPr>
            <w:r w:rsidRPr="00CA05C8">
              <w:rPr>
                <w:i/>
                <w:sz w:val="20"/>
                <w:lang w:val="ru-RU"/>
              </w:rPr>
              <w:t>I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i/>
                <w:sz w:val="20"/>
                <w:lang w:val="ru-RU"/>
              </w:rPr>
              <w:t>/N</w:t>
            </w:r>
            <w:r w:rsidRPr="00CA05C8">
              <w:rPr>
                <w:sz w:val="20"/>
                <w:vertAlign w:val="subscript"/>
                <w:lang w:val="ru-RU"/>
              </w:rPr>
              <w:t>0</w:t>
            </w:r>
            <w:r w:rsidRPr="00CA05C8">
              <w:rPr>
                <w:sz w:val="20"/>
                <w:lang w:val="ru-RU"/>
              </w:rPr>
              <w:t xml:space="preserve"> = –5,9 дБ</w:t>
            </w:r>
          </w:p>
        </w:tc>
      </w:tr>
    </w:tbl>
    <w:p w14:paraId="7C9F43B1" w14:textId="77777777" w:rsidR="00BF7803" w:rsidRPr="00CA05C8" w:rsidRDefault="000911FD" w:rsidP="006E5F1A">
      <w:pPr>
        <w:pStyle w:val="Heading4"/>
        <w:rPr>
          <w:lang w:val="ru-RU"/>
        </w:rPr>
      </w:pPr>
      <w:r w:rsidRPr="00CA05C8">
        <w:rPr>
          <w:lang w:val="ru-RU"/>
        </w:rPr>
        <w:t>2.2.2.2</w:t>
      </w:r>
      <w:r w:rsidRPr="00CA05C8">
        <w:rPr>
          <w:lang w:val="ru-RU"/>
        </w:rPr>
        <w:tab/>
        <w:t>Максимальная допустимая помеха для подстройки несущей, телеметрии и измерения расстояния</w:t>
      </w:r>
    </w:p>
    <w:p w14:paraId="04F4C767" w14:textId="77777777" w:rsidR="000911FD" w:rsidRPr="00CA05C8" w:rsidRDefault="000911FD" w:rsidP="00A874DE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Для непрерывной помехи максимальная допустимая помеха зависит от отношения </w:t>
      </w:r>
      <w:r w:rsidR="005355DD" w:rsidRPr="00CA05C8">
        <w:rPr>
          <w:i/>
          <w:szCs w:val="22"/>
          <w:lang w:val="ru-RU"/>
        </w:rPr>
        <w:t>I</w:t>
      </w:r>
      <w:r w:rsidR="002555C9" w:rsidRPr="002555C9">
        <w:rPr>
          <w:i/>
          <w:szCs w:val="22"/>
          <w:lang w:val="ru-RU"/>
        </w:rPr>
        <w:t>/</w:t>
      </w:r>
      <w:r w:rsidR="002555C9" w:rsidRPr="002555C9">
        <w:rPr>
          <w:i/>
          <w:szCs w:val="22"/>
        </w:rPr>
        <w:t>C</w:t>
      </w:r>
      <w:r w:rsidR="005355DD" w:rsidRPr="00CA05C8">
        <w:rPr>
          <w:szCs w:val="22"/>
          <w:lang w:val="ru-RU"/>
        </w:rPr>
        <w:t xml:space="preserve"> (</w:t>
      </w:r>
      <w:r w:rsidR="002555C9">
        <w:rPr>
          <w:i/>
          <w:szCs w:val="22"/>
        </w:rPr>
        <w:t>I</w:t>
      </w:r>
      <w:r w:rsidR="002555C9" w:rsidRPr="004B22A0">
        <w:rPr>
          <w:i/>
          <w:szCs w:val="22"/>
          <w:lang w:val="ru-RU"/>
        </w:rPr>
        <w:t>/</w:t>
      </w:r>
      <w:r w:rsidR="002555C9">
        <w:rPr>
          <w:i/>
          <w:szCs w:val="22"/>
        </w:rPr>
        <w:t>S</w:t>
      </w:r>
      <w:r w:rsidR="005355DD" w:rsidRPr="00CA05C8">
        <w:rPr>
          <w:szCs w:val="22"/>
          <w:lang w:val="ru-RU"/>
        </w:rPr>
        <w:t xml:space="preserve">) и минимального уровня (сигналов) несущей, определенного конструкцией приемника. Если считается, что мощности сигналов несущей, телеметрии и измерения расстояния имеют одинаковое значение, тогда из данных таблицы 3 следует, что максимальная допустимая непрерывная помеха определяется контуром </w:t>
      </w:r>
      <w:r w:rsidR="002555C9">
        <w:rPr>
          <w:szCs w:val="22"/>
          <w:lang w:val="ru-RU"/>
        </w:rPr>
        <w:t>слежения за</w:t>
      </w:r>
      <w:r w:rsidR="005355DD" w:rsidRPr="00CA05C8">
        <w:rPr>
          <w:szCs w:val="22"/>
          <w:lang w:val="ru-RU"/>
        </w:rPr>
        <w:t xml:space="preserve"> несущей</w:t>
      </w:r>
      <w:r w:rsidR="002555C9">
        <w:rPr>
          <w:szCs w:val="22"/>
          <w:lang w:val="ru-RU"/>
        </w:rPr>
        <w:t xml:space="preserve"> частотой</w:t>
      </w:r>
      <w:r w:rsidR="005355DD" w:rsidRPr="00CA05C8">
        <w:rPr>
          <w:szCs w:val="22"/>
          <w:lang w:val="ru-RU"/>
        </w:rPr>
        <w:t xml:space="preserve">, потому что это требует наименьшего значения </w:t>
      </w:r>
      <w:r w:rsidR="005355DD" w:rsidRPr="00CA05C8">
        <w:rPr>
          <w:i/>
          <w:szCs w:val="22"/>
          <w:lang w:val="ru-RU"/>
        </w:rPr>
        <w:t>I/C</w:t>
      </w:r>
      <w:r w:rsidR="005355DD" w:rsidRPr="00CA05C8">
        <w:rPr>
          <w:szCs w:val="22"/>
          <w:lang w:val="ru-RU"/>
        </w:rPr>
        <w:t>.</w:t>
      </w:r>
    </w:p>
    <w:p w14:paraId="3D9275B0" w14:textId="77777777" w:rsidR="005355DD" w:rsidRPr="00CA05C8" w:rsidRDefault="00583768" w:rsidP="00A874DE">
      <w:pPr>
        <w:rPr>
          <w:szCs w:val="22"/>
          <w:lang w:val="ru-RU"/>
        </w:rPr>
      </w:pPr>
      <w:proofErr w:type="gramStart"/>
      <w:r w:rsidRPr="00CA05C8">
        <w:rPr>
          <w:szCs w:val="22"/>
          <w:lang w:val="ru-RU"/>
        </w:rPr>
        <w:t>Для подстройки</w:t>
      </w:r>
      <w:proofErr w:type="gramEnd"/>
      <w:r w:rsidRPr="00CA05C8">
        <w:rPr>
          <w:szCs w:val="22"/>
          <w:lang w:val="ru-RU"/>
        </w:rPr>
        <w:t xml:space="preserve"> несущей минимальное отношение несущая/помеха равно 10 дБ. Соответствующая максимальная допустимая мощность помехи для шумоподобной помехи дается выражением:</w:t>
      </w:r>
    </w:p>
    <w:p w14:paraId="36B9AE6A" w14:textId="4048A38A" w:rsidR="00583768" w:rsidRPr="00CA05C8" w:rsidRDefault="006E5F1A" w:rsidP="006E5F1A">
      <w:pPr>
        <w:pStyle w:val="Equation"/>
        <w:rPr>
          <w:szCs w:val="22"/>
          <w:lang w:val="ru-RU"/>
        </w:rPr>
      </w:pPr>
      <w:r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ab/>
      </w:r>
      <w:r w:rsidR="00D80B27" w:rsidRPr="00CA05C8">
        <w:rPr>
          <w:i/>
          <w:szCs w:val="22"/>
          <w:lang w:val="ru-RU"/>
        </w:rPr>
        <w:t>P</w:t>
      </w:r>
      <w:r w:rsidR="00D80B27" w:rsidRPr="00CA05C8">
        <w:rPr>
          <w:i/>
          <w:position w:val="-4"/>
          <w:sz w:val="16"/>
          <w:szCs w:val="16"/>
          <w:lang w:val="ru-RU"/>
        </w:rPr>
        <w:t>i</w:t>
      </w:r>
      <w:r w:rsidR="00D80B27" w:rsidRPr="00CA05C8">
        <w:rPr>
          <w:szCs w:val="22"/>
          <w:lang w:val="ru-RU"/>
        </w:rPr>
        <w:t xml:space="preserve"> </w:t>
      </w:r>
      <w:r w:rsidR="00D80B27" w:rsidRPr="00CA05C8">
        <w:rPr>
          <w:rFonts w:ascii="Symbol" w:hAnsi="Symbol"/>
          <w:szCs w:val="22"/>
          <w:lang w:val="ru-RU"/>
        </w:rPr>
        <w:t></w:t>
      </w:r>
      <w:r w:rsidR="00D80B27" w:rsidRPr="00CA05C8">
        <w:rPr>
          <w:szCs w:val="22"/>
          <w:lang w:val="ru-RU"/>
        </w:rPr>
        <w:t xml:space="preserve"> </w:t>
      </w:r>
      <w:r w:rsidR="00D80B27" w:rsidRPr="00CA05C8">
        <w:rPr>
          <w:i/>
          <w:szCs w:val="22"/>
          <w:lang w:val="ru-RU"/>
        </w:rPr>
        <w:t>N</w:t>
      </w:r>
      <w:r w:rsidR="00D80B27" w:rsidRPr="00CA05C8">
        <w:rPr>
          <w:position w:val="-4"/>
          <w:sz w:val="16"/>
          <w:szCs w:val="16"/>
          <w:lang w:val="ru-RU"/>
        </w:rPr>
        <w:t>0</w:t>
      </w:r>
      <w:r w:rsidR="00D80B27" w:rsidRPr="00CA05C8">
        <w:rPr>
          <w:szCs w:val="22"/>
          <w:lang w:val="ru-RU"/>
        </w:rPr>
        <w:t xml:space="preserve"> </w:t>
      </w:r>
      <w:r w:rsidR="00D80B27" w:rsidRPr="00CA05C8">
        <w:rPr>
          <w:rFonts w:ascii="Symbol" w:hAnsi="Symbol"/>
          <w:szCs w:val="22"/>
          <w:lang w:val="ru-RU"/>
        </w:rPr>
        <w:t></w:t>
      </w:r>
      <w:r w:rsidR="00D80B27" w:rsidRPr="00CA05C8">
        <w:rPr>
          <w:szCs w:val="22"/>
          <w:lang w:val="ru-RU"/>
        </w:rPr>
        <w:t xml:space="preserve"> 10 log </w:t>
      </w:r>
      <w:r w:rsidR="00D80B27" w:rsidRPr="00CA05C8">
        <w:rPr>
          <w:i/>
          <w:szCs w:val="22"/>
          <w:lang w:val="ru-RU"/>
        </w:rPr>
        <w:t>B</w:t>
      </w:r>
      <w:r w:rsidR="00D80B27" w:rsidRPr="00CA05C8">
        <w:rPr>
          <w:szCs w:val="22"/>
          <w:lang w:val="ru-RU"/>
        </w:rPr>
        <w:t xml:space="preserve"> </w:t>
      </w:r>
      <w:r w:rsidR="00D80B27" w:rsidRPr="00CA05C8">
        <w:rPr>
          <w:rFonts w:ascii="Symbol" w:hAnsi="Symbol"/>
          <w:szCs w:val="22"/>
          <w:lang w:val="ru-RU"/>
        </w:rPr>
        <w:t></w:t>
      </w:r>
      <w:r w:rsidR="00D80B27" w:rsidRPr="00CA05C8">
        <w:rPr>
          <w:szCs w:val="22"/>
          <w:lang w:val="ru-RU"/>
        </w:rPr>
        <w:t xml:space="preserve"> 10 </w:t>
      </w:r>
      <w:r w:rsidR="00D80B27" w:rsidRPr="00CA05C8">
        <w:rPr>
          <w:rFonts w:ascii="Symbol" w:hAnsi="Symbol"/>
          <w:szCs w:val="22"/>
          <w:lang w:val="ru-RU"/>
        </w:rPr>
        <w:t></w:t>
      </w:r>
      <w:r w:rsidR="00D80B27" w:rsidRPr="00CA05C8">
        <w:rPr>
          <w:szCs w:val="22"/>
          <w:lang w:val="ru-RU"/>
        </w:rPr>
        <w:t xml:space="preserve"> </w:t>
      </w:r>
      <w:r w:rsidR="00D80B27" w:rsidRPr="00CA05C8">
        <w:rPr>
          <w:i/>
          <w:szCs w:val="22"/>
          <w:lang w:val="ru-RU"/>
        </w:rPr>
        <w:t>I</w:t>
      </w:r>
      <w:r w:rsidR="00D80B27" w:rsidRPr="00CA05C8">
        <w:rPr>
          <w:szCs w:val="22"/>
          <w:lang w:val="ru-RU"/>
        </w:rPr>
        <w:t>/</w:t>
      </w:r>
      <w:r w:rsidR="00D80B27" w:rsidRPr="00CA05C8">
        <w:rPr>
          <w:i/>
          <w:szCs w:val="22"/>
          <w:lang w:val="ru-RU"/>
        </w:rPr>
        <w:t>C</w:t>
      </w:r>
      <w:r w:rsidR="00D80B27" w:rsidRPr="00CA05C8">
        <w:rPr>
          <w:szCs w:val="22"/>
          <w:lang w:val="ru-RU"/>
        </w:rPr>
        <w:t>,</w:t>
      </w:r>
    </w:p>
    <w:p w14:paraId="0C64EB4F" w14:textId="77777777" w:rsidR="00D80B27" w:rsidRPr="00CA05C8" w:rsidRDefault="00D80B27" w:rsidP="00A874DE">
      <w:pPr>
        <w:rPr>
          <w:szCs w:val="22"/>
          <w:lang w:val="ru-RU"/>
        </w:rPr>
      </w:pPr>
      <w:r w:rsidRPr="00CA05C8">
        <w:rPr>
          <w:szCs w:val="22"/>
          <w:lang w:val="ru-RU"/>
        </w:rPr>
        <w:t>где:</w:t>
      </w:r>
    </w:p>
    <w:p w14:paraId="16A3DE2A" w14:textId="77777777" w:rsidR="00D80B27" w:rsidRPr="00CA05C8" w:rsidRDefault="00340951" w:rsidP="006E5F1A">
      <w:pPr>
        <w:pStyle w:val="Equationlegend"/>
        <w:rPr>
          <w:szCs w:val="22"/>
          <w:lang w:val="ru-RU"/>
        </w:rPr>
      </w:pPr>
      <w:r w:rsidRPr="00CA05C8">
        <w:rPr>
          <w:szCs w:val="22"/>
          <w:lang w:val="ru-RU"/>
        </w:rPr>
        <w:tab/>
      </w:r>
      <w:r w:rsidR="00D80B27" w:rsidRPr="00CA05C8">
        <w:rPr>
          <w:i/>
          <w:szCs w:val="22"/>
          <w:lang w:val="ru-RU"/>
        </w:rPr>
        <w:t>P</w:t>
      </w:r>
      <w:r w:rsidR="00D80B27" w:rsidRPr="00CA05C8">
        <w:rPr>
          <w:i/>
          <w:position w:val="-4"/>
          <w:sz w:val="16"/>
          <w:szCs w:val="16"/>
          <w:lang w:val="ru-RU"/>
        </w:rPr>
        <w:t>i</w:t>
      </w:r>
      <w:r w:rsidR="00D80B27" w:rsidRPr="00CA05C8">
        <w:rPr>
          <w:szCs w:val="22"/>
          <w:lang w:val="ru-RU"/>
        </w:rPr>
        <w:t>:</w:t>
      </w:r>
      <w:r w:rsidR="00D80B27" w:rsidRPr="00CA05C8">
        <w:rPr>
          <w:szCs w:val="22"/>
          <w:lang w:val="ru-RU"/>
        </w:rPr>
        <w:tab/>
        <w:t>максимальная допустимая мощность помехи при подстройке несущей (дБВт)</w:t>
      </w:r>
    </w:p>
    <w:p w14:paraId="278EA808" w14:textId="77777777" w:rsidR="00D80B27" w:rsidRPr="00CA05C8" w:rsidRDefault="00340951" w:rsidP="006E5F1A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D80B27" w:rsidRPr="00CA05C8">
        <w:rPr>
          <w:i/>
          <w:szCs w:val="22"/>
          <w:lang w:val="ru-RU"/>
        </w:rPr>
        <w:t>N</w:t>
      </w:r>
      <w:r w:rsidR="00D80B27" w:rsidRPr="00CA05C8">
        <w:rPr>
          <w:position w:val="-4"/>
          <w:sz w:val="16"/>
          <w:szCs w:val="16"/>
          <w:lang w:val="ru-RU"/>
        </w:rPr>
        <w:t>0</w:t>
      </w:r>
      <w:r w:rsidR="00D80B27" w:rsidRPr="00CA05C8">
        <w:rPr>
          <w:szCs w:val="22"/>
          <w:lang w:val="ru-RU"/>
        </w:rPr>
        <w:t>:</w:t>
      </w:r>
      <w:r w:rsidR="00D80B27" w:rsidRPr="00CA05C8">
        <w:rPr>
          <w:szCs w:val="22"/>
          <w:lang w:val="ru-RU"/>
        </w:rPr>
        <w:tab/>
        <w:t>спектральная плотность шума приемника, данная в таблице 4 (</w:t>
      </w:r>
      <w:proofErr w:type="gramStart"/>
      <w:r w:rsidR="00D80B27" w:rsidRPr="00CA05C8">
        <w:rPr>
          <w:szCs w:val="22"/>
          <w:lang w:val="ru-RU"/>
        </w:rPr>
        <w:t>дБ(</w:t>
      </w:r>
      <w:proofErr w:type="gramEnd"/>
      <w:r w:rsidR="00D80B27" w:rsidRPr="00CA05C8">
        <w:rPr>
          <w:szCs w:val="22"/>
          <w:lang w:val="ru-RU"/>
        </w:rPr>
        <w:t>Вт/Гц))</w:t>
      </w:r>
    </w:p>
    <w:p w14:paraId="26D10C48" w14:textId="77777777" w:rsidR="00D80B27" w:rsidRPr="00CA05C8" w:rsidRDefault="00340951" w:rsidP="006E5F1A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D80B27" w:rsidRPr="00CA05C8">
        <w:rPr>
          <w:i/>
          <w:szCs w:val="22"/>
          <w:lang w:val="ru-RU"/>
        </w:rPr>
        <w:t>B</w:t>
      </w:r>
      <w:r w:rsidR="00D80B27" w:rsidRPr="00CA05C8">
        <w:rPr>
          <w:szCs w:val="22"/>
          <w:lang w:val="ru-RU"/>
        </w:rPr>
        <w:t>:</w:t>
      </w:r>
      <w:r w:rsidR="00D80B27" w:rsidRPr="00CA05C8">
        <w:rPr>
          <w:szCs w:val="22"/>
          <w:lang w:val="ru-RU"/>
        </w:rPr>
        <w:tab/>
        <w:t xml:space="preserve">ширина полосы контура </w:t>
      </w:r>
      <w:r w:rsidR="002555C9">
        <w:rPr>
          <w:szCs w:val="22"/>
          <w:lang w:val="ru-RU"/>
        </w:rPr>
        <w:t>слежения за</w:t>
      </w:r>
      <w:r w:rsidR="00D80B27" w:rsidRPr="00CA05C8">
        <w:rPr>
          <w:szCs w:val="22"/>
          <w:lang w:val="ru-RU"/>
        </w:rPr>
        <w:t xml:space="preserve"> несущей</w:t>
      </w:r>
      <w:r w:rsidR="002555C9">
        <w:rPr>
          <w:szCs w:val="22"/>
          <w:lang w:val="ru-RU"/>
        </w:rPr>
        <w:t xml:space="preserve"> частотой</w:t>
      </w:r>
      <w:r w:rsidR="00D80B27" w:rsidRPr="00CA05C8">
        <w:rPr>
          <w:szCs w:val="22"/>
          <w:lang w:val="ru-RU"/>
        </w:rPr>
        <w:t>, принятая равной 1 Гц</w:t>
      </w:r>
    </w:p>
    <w:p w14:paraId="3CD0E3AC" w14:textId="77777777" w:rsidR="00D80B27" w:rsidRPr="00CA05C8" w:rsidRDefault="00340951" w:rsidP="006E5F1A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D80B27" w:rsidRPr="00CA05C8">
        <w:rPr>
          <w:i/>
          <w:szCs w:val="22"/>
          <w:lang w:val="ru-RU"/>
        </w:rPr>
        <w:t>I</w:t>
      </w:r>
      <w:r w:rsidR="00D80B27" w:rsidRPr="00CA05C8">
        <w:rPr>
          <w:szCs w:val="22"/>
          <w:lang w:val="ru-RU"/>
        </w:rPr>
        <w:t>/</w:t>
      </w:r>
      <w:r w:rsidR="00D80B27" w:rsidRPr="00CA05C8">
        <w:rPr>
          <w:i/>
          <w:szCs w:val="22"/>
          <w:lang w:val="ru-RU"/>
        </w:rPr>
        <w:t>C</w:t>
      </w:r>
      <w:r w:rsidR="00D80B27" w:rsidRPr="00CA05C8">
        <w:rPr>
          <w:szCs w:val="22"/>
          <w:lang w:val="ru-RU"/>
        </w:rPr>
        <w:t>:</w:t>
      </w:r>
      <w:r w:rsidR="00D80B27" w:rsidRPr="00CA05C8">
        <w:rPr>
          <w:szCs w:val="22"/>
          <w:lang w:val="ru-RU"/>
        </w:rPr>
        <w:tab/>
        <w:t>отношение помехи к несущей, определяемой в таблице 3 (дБ).</w:t>
      </w:r>
    </w:p>
    <w:p w14:paraId="34BB1C32" w14:textId="77777777" w:rsidR="00D80B27" w:rsidRPr="00CA05C8" w:rsidRDefault="00D80B27" w:rsidP="00A874DE">
      <w:pPr>
        <w:rPr>
          <w:szCs w:val="22"/>
          <w:lang w:val="ru-RU"/>
        </w:rPr>
      </w:pPr>
      <w:r w:rsidRPr="00CA05C8">
        <w:rPr>
          <w:szCs w:val="22"/>
          <w:lang w:val="ru-RU"/>
        </w:rPr>
        <w:t>Результаты этих вычислений даны в таблице 4.</w:t>
      </w:r>
    </w:p>
    <w:p w14:paraId="0935746C" w14:textId="147A5138" w:rsidR="00D80B27" w:rsidRPr="00CA05C8" w:rsidRDefault="00D80B27" w:rsidP="006E5F1A">
      <w:pPr>
        <w:pStyle w:val="TableNo"/>
        <w:rPr>
          <w:lang w:val="ru-RU"/>
        </w:rPr>
      </w:pPr>
      <w:r w:rsidRPr="00CA05C8">
        <w:rPr>
          <w:lang w:val="ru-RU"/>
        </w:rPr>
        <w:lastRenderedPageBreak/>
        <w:t>ТАБЛИЦА 4</w:t>
      </w:r>
    </w:p>
    <w:p w14:paraId="62C006EF" w14:textId="77777777" w:rsidR="00D80B27" w:rsidRPr="00CA05C8" w:rsidRDefault="00D80B27" w:rsidP="006E5F1A">
      <w:pPr>
        <w:pStyle w:val="Tabletitle"/>
        <w:rPr>
          <w:b w:val="0"/>
          <w:szCs w:val="22"/>
          <w:lang w:val="ru-RU"/>
        </w:rPr>
      </w:pPr>
      <w:r w:rsidRPr="00CA05C8">
        <w:rPr>
          <w:szCs w:val="22"/>
          <w:lang w:val="ru-RU"/>
        </w:rPr>
        <w:t>Максимальная допустимая мощность помехи для приемников земной станции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D80B27" w:rsidRPr="006E5F1A" w14:paraId="6CF97C16" w14:textId="77777777">
        <w:trPr>
          <w:cantSplit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E566" w14:textId="77777777" w:rsidR="00D80B27" w:rsidRPr="006E5F1A" w:rsidRDefault="00D80B27" w:rsidP="006E5F1A">
            <w:pPr>
              <w:pStyle w:val="Tablehead"/>
            </w:pPr>
            <w:proofErr w:type="spellStart"/>
            <w:r w:rsidRPr="006E5F1A">
              <w:t>Диапазон</w:t>
            </w:r>
            <w:proofErr w:type="spellEnd"/>
            <w:r w:rsidRPr="006E5F1A">
              <w:br/>
              <w:t>(</w:t>
            </w:r>
            <w:proofErr w:type="spellStart"/>
            <w:r w:rsidRPr="006E5F1A">
              <w:t>ГГц</w:t>
            </w:r>
            <w:proofErr w:type="spellEnd"/>
            <w:r w:rsidRPr="006E5F1A"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6D71" w14:textId="77777777" w:rsidR="00D80B27" w:rsidRPr="006E5F1A" w:rsidRDefault="00D80B27" w:rsidP="006E5F1A">
            <w:pPr>
              <w:pStyle w:val="Tablehead"/>
            </w:pPr>
            <w:proofErr w:type="spellStart"/>
            <w:r w:rsidRPr="006E5F1A">
              <w:t>Спектральная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плотность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шума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приемника</w:t>
            </w:r>
            <w:proofErr w:type="spellEnd"/>
            <w:r w:rsidRPr="006E5F1A">
              <w:br/>
              <w:t>(</w:t>
            </w:r>
            <w:proofErr w:type="spellStart"/>
            <w:proofErr w:type="gramStart"/>
            <w:r w:rsidRPr="006E5F1A">
              <w:t>дБ</w:t>
            </w:r>
            <w:proofErr w:type="spellEnd"/>
            <w:r w:rsidRPr="006E5F1A">
              <w:t>(</w:t>
            </w:r>
            <w:proofErr w:type="spellStart"/>
            <w:proofErr w:type="gramEnd"/>
            <w:r w:rsidRPr="006E5F1A">
              <w:t>Вт</w:t>
            </w:r>
            <w:proofErr w:type="spellEnd"/>
            <w:r w:rsidRPr="006E5F1A">
              <w:t>/</w:t>
            </w:r>
            <w:proofErr w:type="spellStart"/>
            <w:r w:rsidRPr="006E5F1A">
              <w:t>Гц</w:t>
            </w:r>
            <w:proofErr w:type="spellEnd"/>
            <w:r w:rsidRPr="006E5F1A">
              <w:t>))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7DC3" w14:textId="77777777" w:rsidR="00D80B27" w:rsidRPr="006E5F1A" w:rsidRDefault="00D80B27" w:rsidP="006E5F1A">
            <w:pPr>
              <w:pStyle w:val="Tablehead"/>
            </w:pPr>
            <w:proofErr w:type="spellStart"/>
            <w:r w:rsidRPr="006E5F1A">
              <w:t>Максимальная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мощность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непрерывной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помехи</w:t>
            </w:r>
            <w:proofErr w:type="spellEnd"/>
            <w:r w:rsidRPr="006E5F1A">
              <w:br/>
              <w:t>(</w:t>
            </w:r>
            <w:proofErr w:type="spellStart"/>
            <w:r w:rsidRPr="006E5F1A">
              <w:t>дБВт</w:t>
            </w:r>
            <w:proofErr w:type="spellEnd"/>
            <w:r w:rsidRPr="006E5F1A"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8977" w14:textId="77777777" w:rsidR="00D80B27" w:rsidRPr="006E5F1A" w:rsidRDefault="00D80B27" w:rsidP="006E5F1A">
            <w:pPr>
              <w:pStyle w:val="Tablehead"/>
            </w:pPr>
            <w:proofErr w:type="spellStart"/>
            <w:r w:rsidRPr="006E5F1A">
              <w:t>Максимальная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спектральная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плотность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мощности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шумоподобной</w:t>
            </w:r>
            <w:proofErr w:type="spellEnd"/>
            <w:r w:rsidRPr="006E5F1A">
              <w:t xml:space="preserve"> </w:t>
            </w:r>
            <w:proofErr w:type="spellStart"/>
            <w:r w:rsidRPr="006E5F1A">
              <w:t>помехи</w:t>
            </w:r>
            <w:proofErr w:type="spellEnd"/>
            <w:r w:rsidRPr="006E5F1A">
              <w:br/>
              <w:t>(</w:t>
            </w:r>
            <w:proofErr w:type="spellStart"/>
            <w:proofErr w:type="gramStart"/>
            <w:r w:rsidRPr="006E5F1A">
              <w:t>дБ</w:t>
            </w:r>
            <w:proofErr w:type="spellEnd"/>
            <w:r w:rsidRPr="006E5F1A">
              <w:t>(</w:t>
            </w:r>
            <w:proofErr w:type="spellStart"/>
            <w:proofErr w:type="gramEnd"/>
            <w:r w:rsidRPr="006E5F1A">
              <w:t>Вт</w:t>
            </w:r>
            <w:proofErr w:type="spellEnd"/>
            <w:r w:rsidRPr="006E5F1A">
              <w:t>/</w:t>
            </w:r>
            <w:proofErr w:type="spellStart"/>
            <w:r w:rsidRPr="006E5F1A">
              <w:t>Гц</w:t>
            </w:r>
            <w:proofErr w:type="spellEnd"/>
            <w:r w:rsidRPr="006E5F1A">
              <w:t>))</w:t>
            </w:r>
          </w:p>
        </w:tc>
      </w:tr>
      <w:tr w:rsidR="00D80B27" w:rsidRPr="00CA05C8" w14:paraId="2DCFE8DD" w14:textId="77777777">
        <w:trPr>
          <w:cantSplit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3A60" w14:textId="77777777" w:rsidR="00D80B27" w:rsidRPr="00CA05C8" w:rsidRDefault="002555C9" w:rsidP="00F81286">
            <w:pPr>
              <w:pStyle w:val="Tabletext"/>
              <w:jc w:val="center"/>
              <w:rPr>
                <w:lang w:val="ru-RU"/>
              </w:rPr>
            </w:pPr>
            <w:r>
              <w:rPr>
                <w:lang w:val="ru-RU"/>
              </w:rPr>
              <w:t>2,29–2,30</w:t>
            </w:r>
            <w:r>
              <w:rPr>
                <w:lang w:val="ru-RU"/>
              </w:rPr>
              <w:br/>
              <w:t>8,40–8,45</w:t>
            </w:r>
            <w:r w:rsidR="00D80B27" w:rsidRPr="00CA05C8">
              <w:rPr>
                <w:lang w:val="ru-RU"/>
              </w:rPr>
              <w:br/>
              <w:t>12,75–13,25</w:t>
            </w:r>
            <w:r w:rsidR="00D80B27" w:rsidRPr="00CA05C8">
              <w:rPr>
                <w:lang w:val="ru-RU"/>
              </w:rPr>
              <w:br/>
              <w:t>31,8–32,3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3B63" w14:textId="77777777" w:rsidR="00D80B27" w:rsidRPr="00CA05C8" w:rsidRDefault="00D80B27" w:rsidP="00F81286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–216,6</w:t>
            </w:r>
            <w:r w:rsidRPr="00CA05C8">
              <w:rPr>
                <w:lang w:val="ru-RU"/>
              </w:rPr>
              <w:br/>
              <w:t>–215,0</w:t>
            </w:r>
            <w:r w:rsidRPr="00CA05C8">
              <w:rPr>
                <w:lang w:val="ru-RU"/>
              </w:rPr>
              <w:br/>
              <w:t>–214,6</w:t>
            </w:r>
            <w:r w:rsidRPr="00CA05C8">
              <w:rPr>
                <w:lang w:val="ru-RU"/>
              </w:rPr>
              <w:br/>
              <w:t>–211,4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F585" w14:textId="77777777" w:rsidR="00D80B27" w:rsidRPr="00CA05C8" w:rsidRDefault="00D80B27" w:rsidP="00F81286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–221,6</w:t>
            </w:r>
            <w:r w:rsidRPr="00CA05C8">
              <w:rPr>
                <w:lang w:val="ru-RU"/>
              </w:rPr>
              <w:br/>
              <w:t>–220,0</w:t>
            </w:r>
            <w:r w:rsidRPr="00CA05C8">
              <w:rPr>
                <w:lang w:val="ru-RU"/>
              </w:rPr>
              <w:br/>
              <w:t>–219,6</w:t>
            </w:r>
            <w:r w:rsidRPr="00CA05C8">
              <w:rPr>
                <w:lang w:val="ru-RU"/>
              </w:rPr>
              <w:br/>
              <w:t>–216,4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BDC4" w14:textId="77777777" w:rsidR="00D80B27" w:rsidRPr="00CA05C8" w:rsidRDefault="00D80B27" w:rsidP="00F81286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–222,5</w:t>
            </w:r>
            <w:r w:rsidRPr="00CA05C8">
              <w:rPr>
                <w:lang w:val="ru-RU"/>
              </w:rPr>
              <w:br/>
              <w:t>–220,9</w:t>
            </w:r>
            <w:r w:rsidRPr="00CA05C8">
              <w:rPr>
                <w:lang w:val="ru-RU"/>
              </w:rPr>
              <w:br/>
              <w:t>–220,5</w:t>
            </w:r>
            <w:r w:rsidRPr="00CA05C8">
              <w:rPr>
                <w:lang w:val="ru-RU"/>
              </w:rPr>
              <w:br/>
              <w:t>–217,3</w:t>
            </w:r>
          </w:p>
        </w:tc>
      </w:tr>
    </w:tbl>
    <w:p w14:paraId="1C2525E7" w14:textId="77777777" w:rsidR="00D80B27" w:rsidRPr="00CA05C8" w:rsidRDefault="00D80B27" w:rsidP="006E5F1A">
      <w:pPr>
        <w:pStyle w:val="Heading2"/>
        <w:rPr>
          <w:lang w:val="ru-RU"/>
        </w:rPr>
      </w:pPr>
      <w:r w:rsidRPr="00CA05C8">
        <w:rPr>
          <w:lang w:val="ru-RU"/>
        </w:rPr>
        <w:t>2.3</w:t>
      </w:r>
      <w:r w:rsidRPr="00CA05C8">
        <w:rPr>
          <w:lang w:val="ru-RU"/>
        </w:rPr>
        <w:tab/>
        <w:t>Критерии защиты для приемников дальней космической связи наземных станций</w:t>
      </w:r>
    </w:p>
    <w:p w14:paraId="582BCA8F" w14:textId="77777777" w:rsidR="00D80B27" w:rsidRPr="00CA05C8" w:rsidRDefault="00D80B27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В таблице 5 дается максимальная допустимая помеха, которая не будет вызывать ухудшение работы приемника земной станции свыше приемлемого. Эти значения – критерии защиты на входе приемников дальней космической связи земной станции: большая помеха ведет к неприемлемому ухудшению. Также показан соответствующий спектральный поток плотности мощности в апертуре антенны рефлектора диаметром 70 м. Антенна имеет приблизительно 70% эффективность площади для более низких диапазонов и 40% при 32 ГГц.</w:t>
      </w:r>
    </w:p>
    <w:p w14:paraId="2306C045" w14:textId="77777777" w:rsidR="00D028A7" w:rsidRPr="00CA05C8" w:rsidRDefault="005A2A9F" w:rsidP="006E5F1A">
      <w:pPr>
        <w:pStyle w:val="TableNo"/>
        <w:rPr>
          <w:szCs w:val="22"/>
          <w:lang w:val="ru-RU"/>
        </w:rPr>
      </w:pPr>
      <w:r w:rsidRPr="006E5F1A">
        <w:rPr>
          <w:lang w:val="ru-RU"/>
        </w:rPr>
        <w:t>ТАБЛИЦА</w:t>
      </w:r>
      <w:r w:rsidRPr="00CA05C8">
        <w:rPr>
          <w:szCs w:val="22"/>
          <w:lang w:val="ru-RU"/>
        </w:rPr>
        <w:t xml:space="preserve"> 5</w:t>
      </w:r>
    </w:p>
    <w:p w14:paraId="550AD542" w14:textId="77777777" w:rsidR="005A2A9F" w:rsidRPr="00CA05C8" w:rsidRDefault="005A2A9F" w:rsidP="006E5F1A">
      <w:pPr>
        <w:pStyle w:val="Tabletitle"/>
        <w:rPr>
          <w:b w:val="0"/>
          <w:szCs w:val="22"/>
          <w:lang w:val="ru-RU"/>
        </w:rPr>
      </w:pPr>
      <w:r w:rsidRPr="00CA05C8">
        <w:rPr>
          <w:szCs w:val="22"/>
          <w:lang w:val="ru-RU"/>
        </w:rPr>
        <w:t>Защиты от помехи для наземных станций дальней космической связи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3686"/>
      </w:tblGrid>
      <w:tr w:rsidR="005A2A9F" w:rsidRPr="00CA05C8" w14:paraId="3859E4F2" w14:textId="77777777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15AD" w14:textId="77777777" w:rsidR="005A2A9F" w:rsidRPr="00CA05C8" w:rsidRDefault="009F1CF9" w:rsidP="00F46B21">
            <w:pPr>
              <w:pStyle w:val="Tablehead"/>
              <w:spacing w:before="40" w:after="40"/>
              <w:rPr>
                <w:lang w:val="ru-RU"/>
              </w:rPr>
            </w:pPr>
            <w:r w:rsidRPr="00CA05C8">
              <w:rPr>
                <w:lang w:val="ru-RU"/>
              </w:rPr>
              <w:t>Диапазон</w:t>
            </w:r>
            <w:r w:rsidRPr="00CA05C8">
              <w:rPr>
                <w:lang w:val="ru-RU"/>
              </w:rPr>
              <w:br/>
              <w:t>(ГГц)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5961" w14:textId="77777777" w:rsidR="005A2A9F" w:rsidRPr="00CA05C8" w:rsidRDefault="009F1CF9" w:rsidP="00F46B21">
            <w:pPr>
              <w:pStyle w:val="Tablehead"/>
              <w:spacing w:before="40" w:after="40"/>
              <w:rPr>
                <w:lang w:val="ru-RU"/>
              </w:rPr>
            </w:pPr>
            <w:r w:rsidRPr="00CA05C8">
              <w:rPr>
                <w:lang w:val="ru-RU"/>
              </w:rPr>
              <w:t>Максимальная приемлемая спектральная плотность мощности</w:t>
            </w:r>
            <w:r w:rsidRPr="00CA05C8">
              <w:rPr>
                <w:lang w:val="ru-RU"/>
              </w:rPr>
              <w:br/>
              <w:t>(</w:t>
            </w:r>
            <w:proofErr w:type="gramStart"/>
            <w:r w:rsidRPr="00CA05C8">
              <w:rPr>
                <w:lang w:val="ru-RU"/>
              </w:rPr>
              <w:t>дБ(</w:t>
            </w:r>
            <w:proofErr w:type="gramEnd"/>
            <w:r w:rsidRPr="00CA05C8">
              <w:rPr>
                <w:lang w:val="ru-RU"/>
              </w:rPr>
              <w:t>Вт/Гц))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9550" w14:textId="77777777" w:rsidR="005A2A9F" w:rsidRPr="00CA05C8" w:rsidRDefault="009F1CF9" w:rsidP="00F46B21">
            <w:pPr>
              <w:pStyle w:val="Tablehead"/>
              <w:spacing w:before="40" w:after="40"/>
              <w:rPr>
                <w:lang w:val="ru-RU"/>
              </w:rPr>
            </w:pPr>
            <w:r w:rsidRPr="00CA05C8">
              <w:rPr>
                <w:lang w:val="ru-RU"/>
              </w:rPr>
              <w:t>Максимальная приемлемая спектральная плотность потока мощности помехи</w:t>
            </w:r>
            <w:r w:rsidRPr="00CA05C8">
              <w:rPr>
                <w:lang w:val="ru-RU"/>
              </w:rPr>
              <w:br/>
              <w:t>(</w:t>
            </w:r>
            <w:proofErr w:type="gramStart"/>
            <w:r w:rsidRPr="00CA05C8">
              <w:rPr>
                <w:lang w:val="ru-RU"/>
              </w:rPr>
              <w:t>дБ(</w:t>
            </w:r>
            <w:proofErr w:type="gramEnd"/>
            <w:r w:rsidRPr="00CA05C8">
              <w:rPr>
                <w:lang w:val="ru-RU"/>
              </w:rPr>
              <w:t>Вт/м</w:t>
            </w:r>
            <w:r w:rsidRPr="00CA05C8">
              <w:rPr>
                <w:rFonts w:ascii="Times New Roman Bold" w:hAnsi="Times New Roman Bold"/>
                <w:vertAlign w:val="superscript"/>
                <w:lang w:val="ru-RU"/>
              </w:rPr>
              <w:t>2</w:t>
            </w:r>
            <w:r w:rsidRPr="00CA05C8">
              <w:rPr>
                <w:lang w:val="ru-RU"/>
              </w:rPr>
              <w:t xml:space="preserve"> </w:t>
            </w:r>
            <w:r w:rsidR="002555C9">
              <w:rPr>
                <w:lang w:val="ru-RU"/>
              </w:rPr>
              <w:t>·</w:t>
            </w:r>
            <w:r w:rsidRPr="00CA05C8">
              <w:rPr>
                <w:lang w:val="ru-RU"/>
              </w:rPr>
              <w:t xml:space="preserve"> Гц))</w:t>
            </w:r>
          </w:p>
        </w:tc>
      </w:tr>
      <w:tr w:rsidR="005A2A9F" w:rsidRPr="00CA05C8" w14:paraId="588F99E6" w14:textId="77777777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F6C5" w14:textId="77777777" w:rsidR="005A2A9F" w:rsidRPr="00CA05C8" w:rsidRDefault="005A2A9F" w:rsidP="00F46B21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2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29</w:t>
            </w:r>
            <w:r w:rsidR="009F1CF9" w:rsidRPr="00CA05C8">
              <w:rPr>
                <w:lang w:val="ru-RU"/>
              </w:rPr>
              <w:t>–</w:t>
            </w:r>
            <w:r w:rsidRPr="00CA05C8">
              <w:rPr>
                <w:lang w:val="ru-RU"/>
              </w:rPr>
              <w:t>2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30</w:t>
            </w:r>
            <w:r w:rsidRPr="00CA05C8">
              <w:rPr>
                <w:lang w:val="ru-RU"/>
              </w:rPr>
              <w:br/>
              <w:t>8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40</w:t>
            </w:r>
            <w:r w:rsidR="009F1CF9" w:rsidRPr="00CA05C8">
              <w:rPr>
                <w:lang w:val="ru-RU"/>
              </w:rPr>
              <w:t>–</w:t>
            </w:r>
            <w:r w:rsidRPr="00CA05C8">
              <w:rPr>
                <w:lang w:val="ru-RU"/>
              </w:rPr>
              <w:t>8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45</w:t>
            </w:r>
            <w:r w:rsidRPr="00CA05C8">
              <w:rPr>
                <w:lang w:val="ru-RU"/>
              </w:rPr>
              <w:br/>
              <w:t>12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75</w:t>
            </w:r>
            <w:r w:rsidR="009F1CF9" w:rsidRPr="00CA05C8">
              <w:rPr>
                <w:lang w:val="ru-RU"/>
              </w:rPr>
              <w:t>–</w:t>
            </w:r>
            <w:r w:rsidRPr="00CA05C8">
              <w:rPr>
                <w:lang w:val="ru-RU"/>
              </w:rPr>
              <w:t>13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25</w:t>
            </w:r>
            <w:r w:rsidRPr="00CA05C8">
              <w:rPr>
                <w:lang w:val="ru-RU"/>
              </w:rPr>
              <w:br/>
              <w:t>31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8</w:t>
            </w:r>
            <w:r w:rsidR="009F1CF9" w:rsidRPr="00CA05C8">
              <w:rPr>
                <w:lang w:val="ru-RU"/>
              </w:rPr>
              <w:t>–</w:t>
            </w:r>
            <w:r w:rsidRPr="00CA05C8">
              <w:rPr>
                <w:lang w:val="ru-RU"/>
              </w:rPr>
              <w:t>32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3</w:t>
            </w:r>
            <w:r w:rsidRPr="00CA05C8">
              <w:rPr>
                <w:color w:val="FFFFFF"/>
                <w:lang w:val="ru-RU"/>
              </w:rPr>
              <w:t>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E21E" w14:textId="77777777" w:rsidR="005A2A9F" w:rsidRPr="00CA05C8" w:rsidRDefault="005A2A9F" w:rsidP="00F46B21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–222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5</w:t>
            </w:r>
            <w:r w:rsidRPr="00CA05C8">
              <w:rPr>
                <w:lang w:val="ru-RU"/>
              </w:rPr>
              <w:br/>
              <w:t>–220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9</w:t>
            </w:r>
            <w:r w:rsidRPr="00CA05C8">
              <w:rPr>
                <w:lang w:val="ru-RU"/>
              </w:rPr>
              <w:br/>
              <w:t>–220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5</w:t>
            </w:r>
            <w:r w:rsidRPr="00CA05C8">
              <w:rPr>
                <w:lang w:val="ru-RU"/>
              </w:rPr>
              <w:br/>
              <w:t>–217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912A" w14:textId="77777777" w:rsidR="005A2A9F" w:rsidRPr="00CA05C8" w:rsidRDefault="005A2A9F" w:rsidP="00F46B21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–257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0</w:t>
            </w:r>
            <w:r w:rsidRPr="00CA05C8">
              <w:rPr>
                <w:lang w:val="ru-RU"/>
              </w:rPr>
              <w:br/>
              <w:t>–255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1</w:t>
            </w:r>
            <w:r w:rsidRPr="00CA05C8">
              <w:rPr>
                <w:lang w:val="ru-RU"/>
              </w:rPr>
              <w:br/>
              <w:t>–254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3</w:t>
            </w:r>
            <w:r w:rsidRPr="00CA05C8">
              <w:rPr>
                <w:lang w:val="ru-RU"/>
              </w:rPr>
              <w:br/>
              <w:t>–249</w:t>
            </w:r>
            <w:r w:rsidR="009F1CF9" w:rsidRPr="00CA05C8">
              <w:rPr>
                <w:lang w:val="ru-RU"/>
              </w:rPr>
              <w:t>,</w:t>
            </w:r>
            <w:r w:rsidRPr="00CA05C8">
              <w:rPr>
                <w:lang w:val="ru-RU"/>
              </w:rPr>
              <w:t>3</w:t>
            </w:r>
          </w:p>
        </w:tc>
      </w:tr>
    </w:tbl>
    <w:p w14:paraId="180FFBC0" w14:textId="77777777" w:rsidR="005A2A9F" w:rsidRPr="00CA05C8" w:rsidRDefault="009F1CF9" w:rsidP="006E5F1A">
      <w:pPr>
        <w:rPr>
          <w:lang w:val="ru-RU"/>
        </w:rPr>
      </w:pPr>
      <w:r w:rsidRPr="00CA05C8">
        <w:rPr>
          <w:lang w:val="ru-RU"/>
        </w:rPr>
        <w:t>Для з</w:t>
      </w:r>
      <w:r w:rsidR="004B22A0">
        <w:rPr>
          <w:lang w:val="ru-RU"/>
        </w:rPr>
        <w:t>ащиты приемников земных станций</w:t>
      </w:r>
      <w:r w:rsidRPr="00CA05C8">
        <w:rPr>
          <w:lang w:val="ru-RU"/>
        </w:rPr>
        <w:t xml:space="preserve"> спектральная плотность мощности шумоподобной помехи или полной мощности непрерывной помехи не должна быть больше, чем значение, показанное в таблице 5.</w:t>
      </w:r>
    </w:p>
    <w:p w14:paraId="3839BD82" w14:textId="77777777" w:rsidR="009F1CF9" w:rsidRPr="00CA05C8" w:rsidRDefault="009F1CF9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Для определения района координации вокруг земной станции необходимо рассмотреть распространение радиоволн, обусловленное изменяющимися метеорологическими условиями. Чтобы ограничить прекращение связи из-за расширенного загоризонтного распространения меньше, чем 5 минутами в течение любого дня года, необходимо учесть распространение в течение самого плохого погодного часа в году и самые плохие 5 минут в пределах того часа. Это условие </w:t>
      </w:r>
      <w:proofErr w:type="gramStart"/>
      <w:r w:rsidRPr="00CA05C8">
        <w:rPr>
          <w:szCs w:val="22"/>
          <w:lang w:val="ru-RU"/>
        </w:rPr>
        <w:t>принято</w:t>
      </w:r>
      <w:proofErr w:type="gramEnd"/>
      <w:r w:rsidRPr="00CA05C8">
        <w:rPr>
          <w:szCs w:val="22"/>
          <w:lang w:val="ru-RU"/>
        </w:rPr>
        <w:t xml:space="preserve"> как 0,001% времени.</w:t>
      </w:r>
    </w:p>
    <w:p w14:paraId="1A27E604" w14:textId="77777777" w:rsidR="009F1CF9" w:rsidRPr="00CA05C8" w:rsidRDefault="009F1CF9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В Приложении 7 к Регламенту радиосвязи МСЭ показывается, что применение 0,001% условия погоды ведет к немного увеличенному расстоянию координации, по сравнению с таким, которое необходимо для службы, способной допустить большее прекращение связи.</w:t>
      </w:r>
    </w:p>
    <w:p w14:paraId="07AFED5D" w14:textId="77777777" w:rsidR="009F1CF9" w:rsidRPr="00CA05C8" w:rsidRDefault="009F1CF9" w:rsidP="006E5F1A">
      <w:pPr>
        <w:pStyle w:val="Heading1"/>
        <w:rPr>
          <w:lang w:val="ru-RU"/>
        </w:rPr>
      </w:pPr>
      <w:r w:rsidRPr="00CA05C8">
        <w:rPr>
          <w:lang w:val="ru-RU"/>
        </w:rPr>
        <w:t>3</w:t>
      </w:r>
      <w:r w:rsidRPr="00CA05C8">
        <w:rPr>
          <w:lang w:val="ru-RU"/>
        </w:rPr>
        <w:tab/>
        <w:t>Критерии защиты космических станций в дальнем космосе</w:t>
      </w:r>
    </w:p>
    <w:p w14:paraId="0331CE53" w14:textId="77777777" w:rsidR="009F1CF9" w:rsidRPr="00CA05C8" w:rsidRDefault="009F1CF9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Космическая станция и приемники дальней космической связи земной станции работают подобным способом, за исключением того, что на космической станции отсутствует мазер. Космические станции восприимчивы к помехе подобно тому, как это описано ранее для земных станций.</w:t>
      </w:r>
    </w:p>
    <w:p w14:paraId="28C4E8D9" w14:textId="77777777" w:rsidR="009F1CF9" w:rsidRPr="00CA05C8" w:rsidRDefault="009F1CF9" w:rsidP="004B22A0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Критерий защиты для приемников космической станции в дальнем космосе состоит в том, что мощность помехи должна быть не </w:t>
      </w:r>
      <w:proofErr w:type="gramStart"/>
      <w:r w:rsidRPr="00CA05C8">
        <w:rPr>
          <w:szCs w:val="22"/>
          <w:lang w:val="ru-RU"/>
        </w:rPr>
        <w:t>больше</w:t>
      </w:r>
      <w:proofErr w:type="gramEnd"/>
      <w:r w:rsidRPr="00CA05C8">
        <w:rPr>
          <w:szCs w:val="22"/>
          <w:lang w:val="ru-RU"/>
        </w:rPr>
        <w:t xml:space="preserve"> чем мощность шума приемника. По сравнению с критериями наземной станции дальней космической связи это условие менее неблагоприятно и является </w:t>
      </w:r>
      <w:r w:rsidRPr="00CA05C8">
        <w:rPr>
          <w:szCs w:val="22"/>
          <w:lang w:val="ru-RU"/>
        </w:rPr>
        <w:lastRenderedPageBreak/>
        <w:t xml:space="preserve">следствием обычно больших запасов по характеристикам канала связи Земля-космос. Для защиты станций на космическом корабле в дальнем космосе спектральная плотность мощности широкополосной помехи или полная мощность непрерывной помехи </w:t>
      </w:r>
      <w:proofErr w:type="gramStart"/>
      <w:r w:rsidRPr="00CA05C8">
        <w:rPr>
          <w:szCs w:val="22"/>
          <w:lang w:val="ru-RU"/>
        </w:rPr>
        <w:t>в любой</w:t>
      </w:r>
      <w:proofErr w:type="gramEnd"/>
      <w:r w:rsidRPr="00CA05C8">
        <w:rPr>
          <w:szCs w:val="22"/>
          <w:lang w:val="ru-RU"/>
        </w:rPr>
        <w:t xml:space="preserve"> 20 Гц полосе на входе приемника должна быть не больше чем значение, показанное в таблице 6, – большая помеха ведет к ухудшению качества связи. Технические требования ширины полосы 20 Гц</w:t>
      </w:r>
      <w:r w:rsidR="00794063" w:rsidRPr="00CA05C8">
        <w:rPr>
          <w:szCs w:val="22"/>
          <w:lang w:val="ru-RU"/>
        </w:rPr>
        <w:t xml:space="preserve"> определяются шириной полосы контура </w:t>
      </w:r>
      <w:r w:rsidR="008B1AAD">
        <w:rPr>
          <w:szCs w:val="22"/>
          <w:lang w:val="ru-RU"/>
        </w:rPr>
        <w:t>слежения за</w:t>
      </w:r>
      <w:r w:rsidR="00794063"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="00794063" w:rsidRPr="00CA05C8">
        <w:rPr>
          <w:szCs w:val="22"/>
          <w:lang w:val="ru-RU"/>
        </w:rPr>
        <w:t xml:space="preserve"> приемоответчика космического корабля, работающего с пороговой мощностью сигнала. Значения шумовой температуры, показанные в таблице 6, являются оценками, используемых в настоящее время практических систем, которые могли бы использоваться в дальнем космосе.</w:t>
      </w:r>
    </w:p>
    <w:p w14:paraId="25258422" w14:textId="77777777" w:rsidR="00794063" w:rsidRPr="00CA05C8" w:rsidRDefault="00794063" w:rsidP="006E5F1A">
      <w:pPr>
        <w:pStyle w:val="TableNo"/>
        <w:rPr>
          <w:szCs w:val="22"/>
          <w:lang w:val="ru-RU"/>
        </w:rPr>
      </w:pPr>
      <w:r w:rsidRPr="006E5F1A">
        <w:rPr>
          <w:lang w:val="ru-RU"/>
        </w:rPr>
        <w:t>ТАБЛИЦА</w:t>
      </w:r>
      <w:r w:rsidRPr="00CA05C8">
        <w:rPr>
          <w:szCs w:val="22"/>
          <w:lang w:val="ru-RU"/>
        </w:rPr>
        <w:t xml:space="preserve"> 6</w:t>
      </w:r>
    </w:p>
    <w:p w14:paraId="2B4AD8C8" w14:textId="77777777" w:rsidR="00794063" w:rsidRPr="00CA05C8" w:rsidRDefault="00794063" w:rsidP="006E5F1A">
      <w:pPr>
        <w:pStyle w:val="Tabletitle"/>
        <w:rPr>
          <w:b w:val="0"/>
          <w:szCs w:val="22"/>
          <w:lang w:val="ru-RU"/>
        </w:rPr>
      </w:pPr>
      <w:r w:rsidRPr="00CA05C8">
        <w:rPr>
          <w:szCs w:val="22"/>
          <w:lang w:val="ru-RU"/>
        </w:rPr>
        <w:t>Защита от помех для приемников космического корабля в дальнем космосе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3686"/>
      </w:tblGrid>
      <w:tr w:rsidR="00794063" w:rsidRPr="00CA05C8" w14:paraId="6F471C64" w14:textId="77777777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2E9F" w14:textId="77777777" w:rsidR="00794063" w:rsidRPr="00CA05C8" w:rsidRDefault="00794063" w:rsidP="00794063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Диапазон</w:t>
            </w:r>
            <w:r w:rsidRPr="00CA05C8">
              <w:rPr>
                <w:lang w:val="ru-RU"/>
              </w:rPr>
              <w:br/>
              <w:t>(ГГц)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6BEB" w14:textId="77777777" w:rsidR="00794063" w:rsidRPr="00CA05C8" w:rsidRDefault="00794063" w:rsidP="00794063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Шумовая температура</w:t>
            </w:r>
            <w:r w:rsidRPr="00CA05C8">
              <w:rPr>
                <w:lang w:val="ru-RU"/>
              </w:rPr>
              <w:br/>
              <w:t>приемника</w:t>
            </w:r>
            <w:r w:rsidRPr="00CA05C8">
              <w:rPr>
                <w:lang w:val="ru-RU"/>
              </w:rPr>
              <w:br/>
              <w:t>(K)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EE69" w14:textId="77777777" w:rsidR="00794063" w:rsidRPr="00CA05C8" w:rsidRDefault="00794063" w:rsidP="00794063">
            <w:pPr>
              <w:pStyle w:val="Tablehead"/>
              <w:rPr>
                <w:lang w:val="ru-RU"/>
              </w:rPr>
            </w:pPr>
            <w:r w:rsidRPr="00CA05C8">
              <w:rPr>
                <w:lang w:val="ru-RU"/>
              </w:rPr>
              <w:t>Максимальная приемлемая спектральная плотность мощности помехи</w:t>
            </w:r>
            <w:r w:rsidRPr="00CA05C8">
              <w:rPr>
                <w:lang w:val="ru-RU"/>
              </w:rPr>
              <w:br/>
              <w:t>(</w:t>
            </w:r>
            <w:proofErr w:type="gramStart"/>
            <w:r w:rsidRPr="00CA05C8">
              <w:rPr>
                <w:lang w:val="ru-RU"/>
              </w:rPr>
              <w:t>дБ(</w:t>
            </w:r>
            <w:proofErr w:type="gramEnd"/>
            <w:r w:rsidRPr="00CA05C8">
              <w:rPr>
                <w:lang w:val="ru-RU"/>
              </w:rPr>
              <w:t>Вт/20 Гц))</w:t>
            </w:r>
          </w:p>
        </w:tc>
      </w:tr>
      <w:tr w:rsidR="00794063" w:rsidRPr="00CA05C8" w14:paraId="46862322" w14:textId="77777777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17E6" w14:textId="77777777" w:rsidR="00794063" w:rsidRPr="00CA05C8" w:rsidRDefault="00794063" w:rsidP="00794063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2,11–2,12</w:t>
            </w:r>
            <w:r w:rsidRPr="00CA05C8">
              <w:rPr>
                <w:lang w:val="ru-RU"/>
              </w:rPr>
              <w:br/>
              <w:t>7,145–7,190</w:t>
            </w:r>
            <w:r w:rsidRPr="00CA05C8">
              <w:rPr>
                <w:lang w:val="ru-RU"/>
              </w:rPr>
              <w:br/>
              <w:t>16,6–17,1</w:t>
            </w:r>
            <w:r w:rsidRPr="00CA05C8">
              <w:rPr>
                <w:lang w:val="ru-RU"/>
              </w:rPr>
              <w:br/>
              <w:t>34,2–34,7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7DD" w14:textId="77777777" w:rsidR="00794063" w:rsidRPr="00CA05C8" w:rsidRDefault="00794063" w:rsidP="00794063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200</w:t>
            </w:r>
            <w:r w:rsidRPr="00CA05C8">
              <w:rPr>
                <w:lang w:val="ru-RU"/>
              </w:rPr>
              <w:br/>
              <w:t>330</w:t>
            </w:r>
            <w:r w:rsidRPr="00CA05C8">
              <w:rPr>
                <w:lang w:val="ru-RU"/>
              </w:rPr>
              <w:br/>
              <w:t>910</w:t>
            </w:r>
            <w:r w:rsidRPr="00CA05C8">
              <w:rPr>
                <w:lang w:val="ru-RU"/>
              </w:rPr>
              <w:br/>
              <w:t>2 000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D3CD" w14:textId="77777777" w:rsidR="00794063" w:rsidRPr="00CA05C8" w:rsidRDefault="00794063" w:rsidP="00794063">
            <w:pPr>
              <w:pStyle w:val="Tabletext"/>
              <w:jc w:val="center"/>
              <w:rPr>
                <w:lang w:val="ru-RU"/>
              </w:rPr>
            </w:pPr>
            <w:r w:rsidRPr="00CA05C8">
              <w:rPr>
                <w:lang w:val="ru-RU"/>
              </w:rPr>
              <w:t>–192,6</w:t>
            </w:r>
            <w:r w:rsidRPr="00CA05C8">
              <w:rPr>
                <w:lang w:val="ru-RU"/>
              </w:rPr>
              <w:br/>
              <w:t>–190,4</w:t>
            </w:r>
            <w:r w:rsidRPr="00CA05C8">
              <w:rPr>
                <w:lang w:val="ru-RU"/>
              </w:rPr>
              <w:br/>
              <w:t>–186,0</w:t>
            </w:r>
            <w:r w:rsidRPr="00CA05C8">
              <w:rPr>
                <w:lang w:val="ru-RU"/>
              </w:rPr>
              <w:br/>
              <w:t>–182,6</w:t>
            </w:r>
          </w:p>
        </w:tc>
      </w:tr>
    </w:tbl>
    <w:p w14:paraId="2605A725" w14:textId="77777777" w:rsidR="006E5F1A" w:rsidRDefault="006E5F1A" w:rsidP="006E5F1A">
      <w:pPr>
        <w:rPr>
          <w:lang w:val="ru-RU"/>
        </w:rPr>
      </w:pPr>
    </w:p>
    <w:p w14:paraId="48774EBF" w14:textId="77777777" w:rsidR="006E5F1A" w:rsidRDefault="006E5F1A" w:rsidP="006E5F1A">
      <w:pPr>
        <w:rPr>
          <w:lang w:val="ru-RU"/>
        </w:rPr>
      </w:pPr>
    </w:p>
    <w:p w14:paraId="43272BFC" w14:textId="77777777" w:rsidR="006E5F1A" w:rsidRDefault="006E5F1A" w:rsidP="006E5F1A">
      <w:pPr>
        <w:rPr>
          <w:lang w:val="ru-RU"/>
        </w:rPr>
      </w:pPr>
    </w:p>
    <w:p w14:paraId="1ECD2D0D" w14:textId="41E9FC0D" w:rsidR="00794063" w:rsidRPr="00CA05C8" w:rsidRDefault="00794063" w:rsidP="006E5F1A">
      <w:pPr>
        <w:pStyle w:val="AnnexNoTitle"/>
        <w:rPr>
          <w:b w:val="0"/>
          <w:szCs w:val="26"/>
          <w:lang w:val="ru-RU"/>
        </w:rPr>
      </w:pPr>
      <w:r w:rsidRPr="004B22A0">
        <w:rPr>
          <w:lang w:val="ru-RU"/>
        </w:rPr>
        <w:t>П</w:t>
      </w:r>
      <w:r w:rsidR="004B22A0" w:rsidRPr="004B22A0">
        <w:rPr>
          <w:lang w:val="ru-RU"/>
        </w:rPr>
        <w:t>риложение</w:t>
      </w:r>
      <w:r w:rsidRPr="004B22A0">
        <w:rPr>
          <w:lang w:val="ru-RU"/>
        </w:rPr>
        <w:t xml:space="preserve"> 2</w:t>
      </w:r>
      <w:r w:rsidR="006E5F1A">
        <w:rPr>
          <w:lang w:val="ru-RU"/>
        </w:rPr>
        <w:br/>
      </w:r>
      <w:r w:rsidR="006E5F1A">
        <w:rPr>
          <w:lang w:val="ru-RU"/>
        </w:rPr>
        <w:br/>
      </w:r>
      <w:r w:rsidRPr="00CA05C8">
        <w:rPr>
          <w:szCs w:val="26"/>
          <w:lang w:val="ru-RU"/>
        </w:rPr>
        <w:t>Чувствительность к помехам приемных систем</w:t>
      </w:r>
      <w:r w:rsidR="006C2AC6" w:rsidRPr="00CA05C8">
        <w:rPr>
          <w:szCs w:val="26"/>
          <w:lang w:val="ru-RU"/>
        </w:rPr>
        <w:br/>
      </w:r>
      <w:r w:rsidRPr="00CA05C8">
        <w:rPr>
          <w:szCs w:val="26"/>
          <w:lang w:val="ru-RU"/>
        </w:rPr>
        <w:t>исследования дальнего космоса</w:t>
      </w:r>
    </w:p>
    <w:p w14:paraId="40461E25" w14:textId="77777777" w:rsidR="00794063" w:rsidRPr="00CA05C8" w:rsidRDefault="00794063" w:rsidP="006E5F1A">
      <w:pPr>
        <w:pStyle w:val="Heading1"/>
        <w:rPr>
          <w:lang w:val="ru-RU"/>
        </w:rPr>
      </w:pPr>
      <w:r w:rsidRPr="00CA05C8">
        <w:rPr>
          <w:lang w:val="ru-RU"/>
        </w:rPr>
        <w:t>1</w:t>
      </w:r>
      <w:r w:rsidRPr="00CA05C8">
        <w:rPr>
          <w:lang w:val="ru-RU"/>
        </w:rPr>
        <w:tab/>
        <w:t>Введение</w:t>
      </w:r>
    </w:p>
    <w:p w14:paraId="5CFF43C9" w14:textId="77777777" w:rsidR="00794063" w:rsidRPr="00CA05C8" w:rsidRDefault="00794063" w:rsidP="004B22A0">
      <w:pPr>
        <w:rPr>
          <w:szCs w:val="22"/>
          <w:lang w:val="ru-RU"/>
        </w:rPr>
      </w:pPr>
      <w:r w:rsidRPr="00CA05C8">
        <w:rPr>
          <w:szCs w:val="22"/>
          <w:lang w:val="ru-RU"/>
        </w:rPr>
        <w:t>В данном Приложении дается информация относительно чувствительности к помехам приемных систем, используемых для радиосвязи в связи с исследованием дальнего космоса. Рассматриваются два класса помехи: непрерывная и шумоподобная помеха. Были проанализир</w:t>
      </w:r>
      <w:r w:rsidR="004B22A0">
        <w:rPr>
          <w:szCs w:val="22"/>
          <w:lang w:val="ru-RU"/>
        </w:rPr>
        <w:t>ованы принимающие системы Сети г</w:t>
      </w:r>
      <w:r w:rsidRPr="00CA05C8">
        <w:rPr>
          <w:szCs w:val="22"/>
          <w:lang w:val="ru-RU"/>
        </w:rPr>
        <w:t xml:space="preserve">лубокого </w:t>
      </w:r>
      <w:r w:rsidR="004B22A0">
        <w:rPr>
          <w:szCs w:val="22"/>
          <w:lang w:val="ru-RU"/>
        </w:rPr>
        <w:t>к</w:t>
      </w:r>
      <w:r w:rsidRPr="00CA05C8">
        <w:rPr>
          <w:szCs w:val="22"/>
          <w:lang w:val="ru-RU"/>
        </w:rPr>
        <w:t>осмоса (СГК), используемой Соединенными Штатами Америки.</w:t>
      </w:r>
    </w:p>
    <w:p w14:paraId="47D867C3" w14:textId="77777777" w:rsidR="00940189" w:rsidRPr="00CA05C8" w:rsidRDefault="00660482" w:rsidP="006E5F1A">
      <w:pPr>
        <w:pStyle w:val="Heading1"/>
        <w:rPr>
          <w:lang w:val="ru-RU"/>
        </w:rPr>
      </w:pPr>
      <w:r w:rsidRPr="00CA05C8">
        <w:rPr>
          <w:lang w:val="ru-RU"/>
        </w:rPr>
        <w:t>2</w:t>
      </w:r>
      <w:r w:rsidRPr="00CA05C8">
        <w:rPr>
          <w:lang w:val="ru-RU"/>
        </w:rPr>
        <w:tab/>
        <w:t>Приемная система</w:t>
      </w:r>
    </w:p>
    <w:p w14:paraId="54117356" w14:textId="77777777" w:rsidR="00660482" w:rsidRPr="00CA05C8" w:rsidRDefault="00660482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Приемная система включает четыре главных элемента, каждый из которых должен быть защищен от помехи: мазерный предварительный усилитель, контур </w:t>
      </w:r>
      <w:r w:rsidR="008B1AAD">
        <w:rPr>
          <w:szCs w:val="22"/>
          <w:lang w:val="ru-RU"/>
        </w:rPr>
        <w:t>слежения за</w:t>
      </w:r>
      <w:r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>, подсистема телеметрии и система измерения расстояния. Чувствительность к помехам каждого из них будет обсуждена ниже в</w:t>
      </w:r>
      <w:r w:rsidR="006C2AC6" w:rsidRPr="00CA05C8">
        <w:rPr>
          <w:szCs w:val="22"/>
          <w:lang w:val="ru-RU"/>
        </w:rPr>
        <w:t> </w:t>
      </w:r>
      <w:r w:rsidRPr="00CA05C8">
        <w:rPr>
          <w:szCs w:val="22"/>
          <w:lang w:val="ru-RU"/>
        </w:rPr>
        <w:t>п. 4. Упрощенная блок-схема приемной системы показана на рисунке 1.</w:t>
      </w:r>
    </w:p>
    <w:p w14:paraId="3C829FBB" w14:textId="6AA0D77F" w:rsidR="009C2EA7" w:rsidRPr="00CA05C8" w:rsidRDefault="00923345" w:rsidP="006E5F1A">
      <w:pPr>
        <w:pStyle w:val="Figure"/>
        <w:rPr>
          <w:lang w:val="ru-RU"/>
        </w:rPr>
      </w:pPr>
      <w:r w:rsidRPr="00CA05C8">
        <w:rPr>
          <w:lang w:val="ru-RU"/>
        </w:rPr>
        <w:object w:dxaOrig="9122" w:dyaOrig="6715" w14:anchorId="4D1ADA4C">
          <v:shape id="_x0000_i1027" type="#_x0000_t75" style="width:429pt;height:315pt" o:ole="">
            <v:imagedata r:id="rId10" o:title=""/>
          </v:shape>
          <o:OLEObject Type="Embed" ProgID="CorelDRAW.Graphic.12" ShapeID="_x0000_i1027" DrawAspect="Content" ObjectID="_1760431555" r:id="rId11"/>
        </w:object>
      </w:r>
    </w:p>
    <w:p w14:paraId="7A369B94" w14:textId="77777777" w:rsidR="000162A7" w:rsidRPr="00CA05C8" w:rsidRDefault="00FC5E57" w:rsidP="006E5F1A">
      <w:pPr>
        <w:pStyle w:val="Heading1"/>
        <w:rPr>
          <w:lang w:val="ru-RU"/>
        </w:rPr>
      </w:pPr>
      <w:r w:rsidRPr="00CA05C8">
        <w:rPr>
          <w:lang w:val="ru-RU"/>
        </w:rPr>
        <w:t>3</w:t>
      </w:r>
      <w:r w:rsidRPr="00CA05C8">
        <w:rPr>
          <w:lang w:val="ru-RU"/>
        </w:rPr>
        <w:tab/>
        <w:t>Результаты воздействия помехи</w:t>
      </w:r>
    </w:p>
    <w:p w14:paraId="1BFB6405" w14:textId="77777777" w:rsidR="00FC5E57" w:rsidRPr="00CA05C8" w:rsidRDefault="00FC5E57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Помеха может приводить к ухудшению рабочих характеристик, нелинейным искажениям или потере данных. Воздействие помехи зависит от ее силы и разноса по частоте от полезного сигнала.</w:t>
      </w:r>
    </w:p>
    <w:p w14:paraId="1638D2FC" w14:textId="77777777" w:rsidR="00FC5E57" w:rsidRPr="00CA05C8" w:rsidRDefault="00FC5E57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П</w:t>
      </w:r>
      <w:r w:rsidR="00490359" w:rsidRPr="00CA05C8">
        <w:rPr>
          <w:szCs w:val="22"/>
          <w:lang w:val="ru-RU"/>
        </w:rPr>
        <w:t xml:space="preserve">ри уровне мощности от слабого до умеренного помеха в том же канале может увеличивать статическую погрешность фазы, дрожание фазы контура </w:t>
      </w:r>
      <w:r w:rsidR="008B1AAD">
        <w:rPr>
          <w:szCs w:val="22"/>
          <w:lang w:val="ru-RU"/>
        </w:rPr>
        <w:t>слежения за</w:t>
      </w:r>
      <w:r w:rsidR="00490359"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="00490359" w:rsidRPr="00CA05C8">
        <w:rPr>
          <w:szCs w:val="22"/>
          <w:lang w:val="ru-RU"/>
        </w:rPr>
        <w:t>, коэффициент ошибок телеметрии по символам или уменьшать точность оценки дальности. Это ухудшение рабочих характеристик обычно может выражаться как эквивалентное уменьшение отношения сигнал/шум и, в</w:t>
      </w:r>
      <w:r w:rsidR="006C2AC6" w:rsidRPr="00CA05C8">
        <w:rPr>
          <w:szCs w:val="22"/>
          <w:lang w:val="ru-RU"/>
        </w:rPr>
        <w:t> </w:t>
      </w:r>
      <w:r w:rsidR="00490359" w:rsidRPr="00CA05C8">
        <w:rPr>
          <w:szCs w:val="22"/>
          <w:lang w:val="ru-RU"/>
        </w:rPr>
        <w:t>теории, может быть компенсировано увеличением уровня мощности полезного сигнала. На практике мощность полезного сигнала обычно не корректируема.</w:t>
      </w:r>
    </w:p>
    <w:p w14:paraId="1D02C5BF" w14:textId="77777777" w:rsidR="00490359" w:rsidRPr="00CA05C8" w:rsidRDefault="00490359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Сильная помеха, имеющая большое разделение по частоте от полезного сигнала</w:t>
      </w:r>
      <w:r w:rsidR="008B1AAD">
        <w:rPr>
          <w:szCs w:val="22"/>
          <w:lang w:val="ru-RU"/>
        </w:rPr>
        <w:t>,</w:t>
      </w:r>
      <w:r w:rsidRPr="00CA05C8">
        <w:rPr>
          <w:szCs w:val="22"/>
          <w:lang w:val="ru-RU"/>
        </w:rPr>
        <w:t xml:space="preserve"> может приводить к ухудшению рабочих характеристик и одновременно смещать один или большее число компонент приемника в нелинейную область, приводя к амплитудным искажениям, генерации гармоник, ложных сигналов, а также интермодуляционных помех. Эти нелинейные эффекты все вместе называются эффектами насыщения. В отличие от ухудшения рабочих характеристик, эффекты насыщения вообще нельзя компенсировать, даже если увеличить уровень мощности полезного сигнала.</w:t>
      </w:r>
    </w:p>
    <w:p w14:paraId="0E68ECB5" w14:textId="77777777" w:rsidR="00490359" w:rsidRPr="00CA05C8" w:rsidRDefault="00490359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Сильная помеха, имеющая небольшое разделение по частоте от полезного сигнала, может вызвать у приемной системы потерю захвата или синхронизации сигнала, что приведет к полной потере данных.</w:t>
      </w:r>
    </w:p>
    <w:p w14:paraId="6A4D97B2" w14:textId="77777777" w:rsidR="00490359" w:rsidRPr="00CA05C8" w:rsidRDefault="00567CAB" w:rsidP="006E5F1A">
      <w:pPr>
        <w:pStyle w:val="Heading1"/>
        <w:rPr>
          <w:lang w:val="ru-RU"/>
        </w:rPr>
      </w:pPr>
      <w:r w:rsidRPr="00CA05C8">
        <w:rPr>
          <w:lang w:val="ru-RU"/>
        </w:rPr>
        <w:t>4</w:t>
      </w:r>
      <w:r w:rsidRPr="00CA05C8">
        <w:rPr>
          <w:lang w:val="ru-RU"/>
        </w:rPr>
        <w:tab/>
        <w:t>Воздействие непрерывной помехи</w:t>
      </w:r>
    </w:p>
    <w:p w14:paraId="3DC16D7E" w14:textId="77777777" w:rsidR="00567CAB" w:rsidRPr="00CA05C8" w:rsidRDefault="00567CAB" w:rsidP="006C2AC6">
      <w:pPr>
        <w:rPr>
          <w:szCs w:val="22"/>
          <w:lang w:val="ru-RU"/>
        </w:rPr>
      </w:pPr>
      <w:r w:rsidRPr="00CA05C8">
        <w:rPr>
          <w:szCs w:val="22"/>
          <w:lang w:val="ru-RU"/>
        </w:rPr>
        <w:t>Конкретные влияния помех будут обсуждены в следующих подразделах для каждой из четырех приемных подсистем. Хотя приемная система наиболее чувствительна к помехе от передатчика в том же канале, радиопомеха от соседнего канала и даже внеполосная помеха может иногда вызывать вредные эффекты. Конкретные влияния помех будут обсуждены в следующих подразделах для каждой из четырех приемных подсистем. Хотя приемная система наиболее чувствительна к помехе от передатчика в том же канале</w:t>
      </w:r>
      <w:r w:rsidR="008B1AAD">
        <w:rPr>
          <w:szCs w:val="22"/>
          <w:lang w:val="ru-RU"/>
        </w:rPr>
        <w:t>,</w:t>
      </w:r>
      <w:r w:rsidRPr="00CA05C8">
        <w:rPr>
          <w:szCs w:val="22"/>
          <w:lang w:val="ru-RU"/>
        </w:rPr>
        <w:t xml:space="preserve"> радиопомеха от соседнего канала и даже внеполосная помеха может иногда вызывать вредные эффекты.</w:t>
      </w:r>
    </w:p>
    <w:p w14:paraId="40924ED8" w14:textId="77777777" w:rsidR="00567CAB" w:rsidRPr="00CA05C8" w:rsidRDefault="00567CAB" w:rsidP="006E5F1A">
      <w:pPr>
        <w:pStyle w:val="Heading2"/>
        <w:rPr>
          <w:lang w:val="ru-RU"/>
        </w:rPr>
      </w:pPr>
      <w:r w:rsidRPr="00CA05C8">
        <w:rPr>
          <w:lang w:val="ru-RU"/>
        </w:rPr>
        <w:lastRenderedPageBreak/>
        <w:t>4.1</w:t>
      </w:r>
      <w:r w:rsidRPr="00CA05C8">
        <w:rPr>
          <w:lang w:val="ru-RU"/>
        </w:rPr>
        <w:tab/>
      </w:r>
      <w:r w:rsidR="00A83300" w:rsidRPr="00CA05C8">
        <w:rPr>
          <w:lang w:val="ru-RU"/>
        </w:rPr>
        <w:t>Чувствительность к помехам мазерного предварительного усилителя</w:t>
      </w:r>
    </w:p>
    <w:p w14:paraId="47E786AA" w14:textId="77777777" w:rsidR="00A83300" w:rsidRPr="00CA05C8" w:rsidRDefault="00A83300" w:rsidP="00574030">
      <w:pPr>
        <w:spacing w:after="480"/>
        <w:rPr>
          <w:szCs w:val="22"/>
          <w:lang w:val="ru-RU"/>
        </w:rPr>
      </w:pPr>
      <w:r w:rsidRPr="00CA05C8">
        <w:rPr>
          <w:szCs w:val="22"/>
          <w:lang w:val="ru-RU"/>
        </w:rPr>
        <w:t>Основная чувствительность мазера к помехам – насыщение (амплитудные искажения), вызываемое сильными сигналами. Мазер наиболее чувствителен к помехе, которая имеет частоту в полосе или около полосы пропускания</w:t>
      </w:r>
      <w:r w:rsidR="008B1AAD">
        <w:rPr>
          <w:szCs w:val="22"/>
          <w:lang w:val="ru-RU"/>
        </w:rPr>
        <w:t xml:space="preserve"> мазера</w:t>
      </w:r>
      <w:r w:rsidRPr="00CA05C8">
        <w:rPr>
          <w:szCs w:val="22"/>
          <w:lang w:val="ru-RU"/>
        </w:rPr>
        <w:t>, или в области незанятых частот мазера. Мощность помехи, которая вызывает амплитудные искажения мазера, равные 1 дБ, показывается на рисунке 2 для типичного мазера, работающего в диапазоне 8,4 ГГц.</w:t>
      </w:r>
    </w:p>
    <w:p w14:paraId="18260B91" w14:textId="77777777" w:rsidR="00A83300" w:rsidRPr="00CA05C8" w:rsidRDefault="00E851B0" w:rsidP="006E5F1A">
      <w:pPr>
        <w:pStyle w:val="Figure"/>
        <w:rPr>
          <w:lang w:val="ru-RU"/>
        </w:rPr>
      </w:pPr>
      <w:r w:rsidRPr="00CA05C8">
        <w:rPr>
          <w:lang w:val="ru-RU"/>
        </w:rPr>
        <w:object w:dxaOrig="8843" w:dyaOrig="5807" w14:anchorId="1A357153">
          <v:shape id="_x0000_i1028" type="#_x0000_t75" style="width:442.5pt;height:290.25pt" o:ole="">
            <v:imagedata r:id="rId12" o:title=""/>
          </v:shape>
          <o:OLEObject Type="Embed" ProgID="CorelDRAW.Graphic.12" ShapeID="_x0000_i1028" DrawAspect="Content" ObjectID="_1760431556" r:id="rId13"/>
        </w:object>
      </w:r>
    </w:p>
    <w:p w14:paraId="06966B0F" w14:textId="77777777" w:rsidR="00434717" w:rsidRPr="00CA05C8" w:rsidRDefault="00434717" w:rsidP="006E5F1A">
      <w:pPr>
        <w:pStyle w:val="Heading2"/>
        <w:rPr>
          <w:lang w:val="ru-RU"/>
        </w:rPr>
      </w:pPr>
      <w:r w:rsidRPr="00CA05C8">
        <w:rPr>
          <w:lang w:val="ru-RU"/>
        </w:rPr>
        <w:t>4.2</w:t>
      </w:r>
      <w:r w:rsidRPr="00CA05C8">
        <w:rPr>
          <w:lang w:val="ru-RU"/>
        </w:rPr>
        <w:tab/>
        <w:t xml:space="preserve">Чувствительность контура </w:t>
      </w:r>
      <w:r w:rsidR="008B1AAD">
        <w:rPr>
          <w:lang w:val="ru-RU"/>
        </w:rPr>
        <w:t>слежения за</w:t>
      </w:r>
      <w:r w:rsidRPr="00CA05C8">
        <w:rPr>
          <w:lang w:val="ru-RU"/>
        </w:rPr>
        <w:t xml:space="preserve"> несущей</w:t>
      </w:r>
      <w:r w:rsidR="008B1AAD">
        <w:rPr>
          <w:lang w:val="ru-RU"/>
        </w:rPr>
        <w:t xml:space="preserve"> частотой</w:t>
      </w:r>
      <w:r w:rsidRPr="00CA05C8">
        <w:rPr>
          <w:lang w:val="ru-RU"/>
        </w:rPr>
        <w:t xml:space="preserve"> к непрерывной помехе</w:t>
      </w:r>
    </w:p>
    <w:p w14:paraId="5395C676" w14:textId="77777777" w:rsidR="00434717" w:rsidRPr="00CA05C8" w:rsidRDefault="00434717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Контур </w:t>
      </w:r>
      <w:r w:rsidR="008B1AAD">
        <w:rPr>
          <w:szCs w:val="22"/>
          <w:lang w:val="ru-RU"/>
        </w:rPr>
        <w:t>слежения за</w:t>
      </w:r>
      <w:r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> – двойной гетеродинный контур подстройки, который содержит синхронный детектор АРУ (автоматическая регулировка усиления) и цепь фазовой синхронизации второго порядка, которой предшествует полосовой фильтр.</w:t>
      </w:r>
    </w:p>
    <w:p w14:paraId="33EB768F" w14:textId="77777777" w:rsidR="00434717" w:rsidRPr="00CA05C8" w:rsidRDefault="008F68DD" w:rsidP="004B22A0">
      <w:pPr>
        <w:rPr>
          <w:szCs w:val="22"/>
          <w:lang w:val="ru-RU"/>
        </w:rPr>
      </w:pPr>
      <w:r w:rsidRPr="00CA05C8">
        <w:rPr>
          <w:szCs w:val="22"/>
          <w:lang w:val="ru-RU"/>
        </w:rPr>
        <w:t>Сильная помеха может вызвать потерю контуром захвата полезного сигнала, и контур может захватить помеху. Непрерывная помеха как на фиксированной частоте, так и в широкой полосе (изменение частоты) может приводить к этому эффекту. Если помеха изменяется по частоте, контур может сначала терять захват полезного сигнала и затем захватить помеху вследствие перемещения частоты помехи к частоте полезного сигнала. По мере изменения частоты помехи от частоты контура контур разблокируется от помехи и может</w:t>
      </w:r>
      <w:r w:rsidR="008B1AAD">
        <w:rPr>
          <w:szCs w:val="22"/>
          <w:lang w:val="ru-RU"/>
        </w:rPr>
        <w:t xml:space="preserve"> позже</w:t>
      </w:r>
      <w:r w:rsidRPr="00CA05C8">
        <w:rPr>
          <w:szCs w:val="22"/>
          <w:lang w:val="ru-RU"/>
        </w:rPr>
        <w:t xml:space="preserve"> заново захватить полезный сигнал. Время, которое требуется для контура, чтобы заново захватить полезный сигнал, зависит от мощности сигнала, величины помехи и скорости сканирования. Это время может варьироваться от секунд до минут. Если помеха – на фиксированной частоте, то захват полезного сигнала может быть невозможен.</w:t>
      </w:r>
    </w:p>
    <w:p w14:paraId="6B300FAF" w14:textId="77777777" w:rsidR="008F68DD" w:rsidRPr="00CA05C8" w:rsidRDefault="008F68DD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>При менее сильном уровне помеха может увеличивать статическую погрешность фазы и дрожание фазы в контуре. Это справедливо как для помехи на фиксированной частоте, так и для широкополосной помехи.</w:t>
      </w:r>
    </w:p>
    <w:p w14:paraId="2DD68E35" w14:textId="77777777" w:rsidR="008F68DD" w:rsidRPr="00CA05C8" w:rsidRDefault="00A934BB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>На рисунке 3 показано колебание амплитуды как функции отношения непрерывной помехи к несущей.</w:t>
      </w:r>
    </w:p>
    <w:p w14:paraId="1B1A54CF" w14:textId="77777777" w:rsidR="00A934BB" w:rsidRPr="006E5F1A" w:rsidRDefault="00E851B0" w:rsidP="006E5F1A">
      <w:pPr>
        <w:pStyle w:val="Figure"/>
        <w:rPr>
          <w:lang w:val="ru-RU"/>
        </w:rPr>
      </w:pPr>
      <w:r w:rsidRPr="006E5F1A">
        <w:rPr>
          <w:lang w:val="ru-RU"/>
        </w:rPr>
        <w:object w:dxaOrig="4264" w:dyaOrig="8218" w14:anchorId="0F493D38">
          <v:shape id="_x0000_i1029" type="#_x0000_t75" style="width:213pt;height:411pt" o:ole="">
            <v:imagedata r:id="rId14" o:title=""/>
          </v:shape>
          <o:OLEObject Type="Embed" ProgID="CorelDRAW.Graphic.12" ShapeID="_x0000_i1029" DrawAspect="Content" ObjectID="_1760431557" r:id="rId15"/>
        </w:object>
      </w:r>
    </w:p>
    <w:p w14:paraId="5C343C99" w14:textId="77777777" w:rsidR="00A934BB" w:rsidRPr="00CA05C8" w:rsidRDefault="00A934BB" w:rsidP="006E5F1A">
      <w:pPr>
        <w:pStyle w:val="Heading2"/>
        <w:rPr>
          <w:lang w:val="ru-RU"/>
        </w:rPr>
      </w:pPr>
      <w:r w:rsidRPr="00CA05C8">
        <w:rPr>
          <w:lang w:val="ru-RU"/>
        </w:rPr>
        <w:t>4.3</w:t>
      </w:r>
      <w:r w:rsidRPr="00CA05C8">
        <w:rPr>
          <w:lang w:val="ru-RU"/>
        </w:rPr>
        <w:tab/>
        <w:t>Чувствительность подсистемы телеметрии к непрерывной радиопомехе</w:t>
      </w:r>
    </w:p>
    <w:p w14:paraId="5B05AAA6" w14:textId="77777777" w:rsidR="00A934BB" w:rsidRPr="00CA05C8" w:rsidRDefault="00A934BB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>Ухудшение телеметрии может быть выражено как эквивалентное уменьшение отношения спектральной плотности символьной энергии к шуму ∆</w:t>
      </w:r>
      <w:r w:rsidRPr="00CA05C8">
        <w:rPr>
          <w:i/>
          <w:szCs w:val="22"/>
          <w:lang w:val="ru-RU"/>
        </w:rPr>
        <w:t>E/N</w:t>
      </w:r>
      <w:r w:rsidRPr="00CA05C8">
        <w:rPr>
          <w:szCs w:val="22"/>
          <w:vertAlign w:val="subscript"/>
          <w:lang w:val="ru-RU"/>
        </w:rPr>
        <w:t>0</w:t>
      </w:r>
      <w:r w:rsidRPr="00CA05C8">
        <w:rPr>
          <w:szCs w:val="22"/>
          <w:lang w:val="ru-RU"/>
        </w:rPr>
        <w:t>, который определен как значение, на которое отношение спектральной плотности символьной энергии уменьшилось бы при отсутствии помехи, чтобы получить коэффициент символьных ошибок, равный коэффициенту в присутствии помехи.</w:t>
      </w:r>
    </w:p>
    <w:p w14:paraId="03707FD2" w14:textId="77777777" w:rsidR="00A934BB" w:rsidRPr="00CA05C8" w:rsidRDefault="00E851B0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>Отношение ∆</w:t>
      </w:r>
      <w:r w:rsidRPr="00CA05C8">
        <w:rPr>
          <w:i/>
          <w:szCs w:val="22"/>
          <w:lang w:val="ru-RU"/>
        </w:rPr>
        <w:t>E/N</w:t>
      </w:r>
      <w:r w:rsidRPr="00CA05C8">
        <w:rPr>
          <w:szCs w:val="22"/>
          <w:vertAlign w:val="subscript"/>
          <w:lang w:val="ru-RU"/>
        </w:rPr>
        <w:t>0</w:t>
      </w:r>
      <w:r w:rsidRPr="00CA05C8">
        <w:rPr>
          <w:szCs w:val="22"/>
          <w:lang w:val="ru-RU"/>
        </w:rPr>
        <w:t>, обусловленное непрерывной помехой, которая находится в пределах ширины полосы детектирования телеметрии, дается на рисунке 4.</w:t>
      </w:r>
    </w:p>
    <w:p w14:paraId="0DE442C8" w14:textId="77777777" w:rsidR="00E851B0" w:rsidRPr="00CA05C8" w:rsidRDefault="00E851B0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Работа телеметрии может также ухудшаться непрерывной помехой, которая попадает в пределы полосы контура </w:t>
      </w:r>
      <w:r w:rsidR="008B1AAD">
        <w:rPr>
          <w:szCs w:val="22"/>
          <w:lang w:val="ru-RU"/>
        </w:rPr>
        <w:t>слежения за</w:t>
      </w:r>
      <w:r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>. На рисунке 5 показано отношение ∆</w:t>
      </w:r>
      <w:r w:rsidRPr="00CA05C8">
        <w:rPr>
          <w:i/>
          <w:szCs w:val="22"/>
          <w:lang w:val="ru-RU"/>
        </w:rPr>
        <w:t>E/N</w:t>
      </w:r>
      <w:r w:rsidRPr="00CA05C8">
        <w:rPr>
          <w:szCs w:val="22"/>
          <w:vertAlign w:val="subscript"/>
          <w:lang w:val="ru-RU"/>
        </w:rPr>
        <w:t>0</w:t>
      </w:r>
      <w:r w:rsidRPr="00CA05C8">
        <w:rPr>
          <w:szCs w:val="22"/>
          <w:lang w:val="ru-RU"/>
        </w:rPr>
        <w:t xml:space="preserve">, обусловленное дрожанием фазы </w:t>
      </w:r>
      <w:r w:rsidR="008B1AAD" w:rsidRPr="00CA05C8">
        <w:rPr>
          <w:szCs w:val="22"/>
          <w:lang w:val="ru-RU"/>
        </w:rPr>
        <w:t xml:space="preserve">контура </w:t>
      </w:r>
      <w:r w:rsidR="008B1AAD">
        <w:rPr>
          <w:szCs w:val="22"/>
          <w:lang w:val="ru-RU"/>
        </w:rPr>
        <w:t>слежения за</w:t>
      </w:r>
      <w:r w:rsidR="008B1AAD"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 xml:space="preserve"> в зависимости от отношения помехи к несущей, для смещения частоты</w:t>
      </w:r>
      <w:r w:rsidR="00574030" w:rsidRPr="00CA05C8">
        <w:rPr>
          <w:szCs w:val="22"/>
          <w:lang w:val="ru-RU"/>
        </w:rPr>
        <w:t> </w:t>
      </w:r>
      <w:r w:rsidRPr="00CA05C8">
        <w:rPr>
          <w:szCs w:val="22"/>
          <w:lang w:val="ru-RU"/>
        </w:rPr>
        <w:t>–10 Гц и для типичного режима приема в диапазоне 8,4 ГГц.</w:t>
      </w:r>
    </w:p>
    <w:p w14:paraId="0505C4FD" w14:textId="268BADA2" w:rsidR="00574030" w:rsidRPr="00923345" w:rsidRDefault="008B1AAD" w:rsidP="00923345">
      <w:pPr>
        <w:pStyle w:val="Figure"/>
        <w:rPr>
          <w:lang w:val="ru-RU"/>
        </w:rPr>
      </w:pPr>
      <w:r w:rsidRPr="006E5F1A">
        <w:rPr>
          <w:lang w:val="ru-RU"/>
        </w:rPr>
        <w:object w:dxaOrig="7066" w:dyaOrig="7274" w14:anchorId="07BE4C70">
          <v:shape id="_x0000_i1030" type="#_x0000_t75" style="width:354pt;height:363.75pt" o:ole="">
            <v:imagedata r:id="rId16" o:title=""/>
          </v:shape>
          <o:OLEObject Type="Embed" ProgID="CorelDRAW.Graphic.12" ShapeID="_x0000_i1030" DrawAspect="Content" ObjectID="_1760431558" r:id="rId17"/>
        </w:object>
      </w:r>
    </w:p>
    <w:p w14:paraId="4962DDAD" w14:textId="77777777" w:rsidR="00FE48A1" w:rsidRPr="00CA05C8" w:rsidRDefault="008B1AAD" w:rsidP="00923345">
      <w:pPr>
        <w:pStyle w:val="Figure"/>
        <w:rPr>
          <w:lang w:val="ru-RU"/>
        </w:rPr>
      </w:pPr>
      <w:r w:rsidRPr="00CA05C8">
        <w:rPr>
          <w:lang w:val="ru-RU"/>
        </w:rPr>
        <w:object w:dxaOrig="5774" w:dyaOrig="6677" w14:anchorId="2A8715EB">
          <v:shape id="_x0000_i1031" type="#_x0000_t75" style="width:288.75pt;height:333.75pt" o:ole="">
            <v:imagedata r:id="rId18" o:title=""/>
          </v:shape>
          <o:OLEObject Type="Embed" ProgID="CorelDRAW.Graphic.12" ShapeID="_x0000_i1031" DrawAspect="Content" ObjectID="_1760431559" r:id="rId19"/>
        </w:object>
      </w:r>
    </w:p>
    <w:p w14:paraId="70DEFF6D" w14:textId="77777777" w:rsidR="00FE48A1" w:rsidRPr="00CA05C8" w:rsidRDefault="00FE48A1" w:rsidP="006E5F1A">
      <w:pPr>
        <w:pStyle w:val="Heading2"/>
        <w:rPr>
          <w:lang w:val="ru-RU"/>
        </w:rPr>
      </w:pPr>
      <w:r w:rsidRPr="00CA05C8">
        <w:rPr>
          <w:lang w:val="ru-RU"/>
        </w:rPr>
        <w:lastRenderedPageBreak/>
        <w:t>4.4</w:t>
      </w:r>
      <w:r w:rsidRPr="00CA05C8">
        <w:rPr>
          <w:lang w:val="ru-RU"/>
        </w:rPr>
        <w:tab/>
        <w:t>Чувствительность системы измерения расстояния к непрерывной радиопомехе</w:t>
      </w:r>
    </w:p>
    <w:p w14:paraId="35F9E0AD" w14:textId="77777777" w:rsidR="00FE48A1" w:rsidRPr="00CA05C8" w:rsidRDefault="00FE48A1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>Помеха может ухудшать работу системы измерения расстояния, увеличивая дисперсию оценок дальности. Ухудшение может быть выражено в терминах эквивалентного уменьшения отношения эффективного сигнала измерения расстояния к шуму.</w:t>
      </w:r>
    </w:p>
    <w:p w14:paraId="4E2D0BDD" w14:textId="77777777" w:rsidR="008238E1" w:rsidRPr="00CA05C8" w:rsidRDefault="008238E1" w:rsidP="00574030">
      <w:pPr>
        <w:spacing w:after="480"/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Непрерывная помеха в ширине полосы </w:t>
      </w:r>
      <w:r w:rsidR="008B1AAD" w:rsidRPr="00CA05C8">
        <w:rPr>
          <w:szCs w:val="22"/>
          <w:lang w:val="ru-RU"/>
        </w:rPr>
        <w:t xml:space="preserve">контура </w:t>
      </w:r>
      <w:r w:rsidR="008B1AAD">
        <w:rPr>
          <w:szCs w:val="22"/>
          <w:lang w:val="ru-RU"/>
        </w:rPr>
        <w:t>слежения за</w:t>
      </w:r>
      <w:r w:rsidR="008B1AAD"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 xml:space="preserve"> воздействует на работу системы измерения расстояния</w:t>
      </w:r>
      <w:r w:rsidR="008B1AAD">
        <w:rPr>
          <w:szCs w:val="22"/>
          <w:lang w:val="ru-RU"/>
        </w:rPr>
        <w:t>,</w:t>
      </w:r>
      <w:r w:rsidRPr="00CA05C8">
        <w:rPr>
          <w:szCs w:val="22"/>
          <w:lang w:val="ru-RU"/>
        </w:rPr>
        <w:t xml:space="preserve"> как показано на рисунке 6. Влияние непрерывной помехи в ширине полосы сигнала показано на рисунке 7. Отношение</w:t>
      </w:r>
      <w:r w:rsidR="001517B5" w:rsidRPr="00CA05C8">
        <w:rPr>
          <w:szCs w:val="22"/>
          <w:lang w:val="ru-RU"/>
        </w:rPr>
        <w:t xml:space="preserve"> </w:t>
      </w:r>
      <w:r w:rsidR="008B1AAD">
        <w:rPr>
          <w:i/>
          <w:szCs w:val="22"/>
        </w:rPr>
        <w:t>I</w:t>
      </w:r>
      <w:r w:rsidR="008B1AAD" w:rsidRPr="004B22A0">
        <w:rPr>
          <w:i/>
          <w:szCs w:val="22"/>
          <w:lang w:val="ru-RU"/>
        </w:rPr>
        <w:t>/</w:t>
      </w:r>
      <w:r w:rsidR="008B1AAD">
        <w:rPr>
          <w:i/>
          <w:szCs w:val="22"/>
        </w:rPr>
        <w:t>S</w:t>
      </w:r>
      <w:r w:rsidR="001517B5" w:rsidRPr="00CA05C8">
        <w:rPr>
          <w:szCs w:val="22"/>
          <w:lang w:val="ru-RU"/>
        </w:rPr>
        <w:t> – это отношение мощности помехи к мощности сигнала измерения расстояния.</w:t>
      </w:r>
    </w:p>
    <w:p w14:paraId="312CEDE9" w14:textId="77777777" w:rsidR="001517B5" w:rsidRPr="00CA05C8" w:rsidRDefault="008B1AAD" w:rsidP="00923345">
      <w:pPr>
        <w:pStyle w:val="Figure"/>
        <w:rPr>
          <w:lang w:val="ru-RU"/>
        </w:rPr>
      </w:pPr>
      <w:r w:rsidRPr="00CA05C8">
        <w:rPr>
          <w:lang w:val="ru-RU"/>
        </w:rPr>
        <w:object w:dxaOrig="6598" w:dyaOrig="9821" w14:anchorId="1B6098D0">
          <v:shape id="_x0000_i1032" type="#_x0000_t75" style="width:330pt;height:491.25pt" o:ole="">
            <v:imagedata r:id="rId20" o:title=""/>
          </v:shape>
          <o:OLEObject Type="Embed" ProgID="CorelDRAW.Graphic.12" ShapeID="_x0000_i1032" DrawAspect="Content" ObjectID="_1760431560" r:id="rId21"/>
        </w:object>
      </w:r>
    </w:p>
    <w:p w14:paraId="23AFC835" w14:textId="77777777" w:rsidR="001517B5" w:rsidRPr="00CA05C8" w:rsidRDefault="001517B5" w:rsidP="001517B5">
      <w:pPr>
        <w:jc w:val="center"/>
        <w:rPr>
          <w:szCs w:val="22"/>
          <w:lang w:val="ru-RU"/>
        </w:rPr>
      </w:pPr>
    </w:p>
    <w:p w14:paraId="29A05473" w14:textId="77777777" w:rsidR="001517B5" w:rsidRPr="00CA05C8" w:rsidRDefault="008B1AAD" w:rsidP="00923345">
      <w:pPr>
        <w:pStyle w:val="Figure"/>
        <w:rPr>
          <w:lang w:val="ru-RU"/>
        </w:rPr>
      </w:pPr>
      <w:r w:rsidRPr="00CA05C8">
        <w:rPr>
          <w:lang w:val="ru-RU"/>
        </w:rPr>
        <w:object w:dxaOrig="6025" w:dyaOrig="10683" w14:anchorId="63D31F21">
          <v:shape id="_x0000_i1033" type="#_x0000_t75" style="width:301.5pt;height:534pt" o:ole="">
            <v:imagedata r:id="rId22" o:title=""/>
          </v:shape>
          <o:OLEObject Type="Embed" ProgID="CorelDRAW.Graphic.12" ShapeID="_x0000_i1033" DrawAspect="Content" ObjectID="_1760431561" r:id="rId23"/>
        </w:object>
      </w:r>
    </w:p>
    <w:p w14:paraId="06D4864A" w14:textId="77777777" w:rsidR="00A82A4B" w:rsidRPr="00CA05C8" w:rsidRDefault="00A82A4B" w:rsidP="00923345">
      <w:pPr>
        <w:pStyle w:val="Heading1"/>
        <w:rPr>
          <w:lang w:val="ru-RU"/>
        </w:rPr>
      </w:pPr>
      <w:r w:rsidRPr="00CA05C8">
        <w:rPr>
          <w:lang w:val="ru-RU"/>
        </w:rPr>
        <w:t>5</w:t>
      </w:r>
      <w:r w:rsidRPr="00CA05C8">
        <w:rPr>
          <w:lang w:val="ru-RU"/>
        </w:rPr>
        <w:tab/>
        <w:t>Влияние шумоподобной помехи</w:t>
      </w:r>
    </w:p>
    <w:p w14:paraId="22307570" w14:textId="77777777" w:rsidR="00A82A4B" w:rsidRPr="00CA05C8" w:rsidRDefault="00A82A4B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Шумоподобная помеха может насыщать мазерный предварительный усилитель и может ухудшать работу </w:t>
      </w:r>
      <w:r w:rsidR="008B1AAD" w:rsidRPr="00CA05C8">
        <w:rPr>
          <w:szCs w:val="22"/>
          <w:lang w:val="ru-RU"/>
        </w:rPr>
        <w:t xml:space="preserve">контура </w:t>
      </w:r>
      <w:r w:rsidR="008B1AAD">
        <w:rPr>
          <w:szCs w:val="22"/>
          <w:lang w:val="ru-RU"/>
        </w:rPr>
        <w:t>слежения за</w:t>
      </w:r>
      <w:r w:rsidR="008B1AAD"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 xml:space="preserve">, подсистемы телеметрии и системы измерения расстояния. Чтобы вызывать амплитудные искажения мазера величиной 1 дБ, спектральная плотность мощности шумоподобной помехи, </w:t>
      </w:r>
      <w:r w:rsidRPr="00CA05C8">
        <w:rPr>
          <w:i/>
          <w:szCs w:val="22"/>
          <w:lang w:val="ru-RU"/>
        </w:rPr>
        <w:t>I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>, должна быть равна –190 </w:t>
      </w:r>
      <w:proofErr w:type="gramStart"/>
      <w:r w:rsidRPr="00CA05C8">
        <w:rPr>
          <w:szCs w:val="22"/>
          <w:lang w:val="ru-RU"/>
        </w:rPr>
        <w:t>дБ(</w:t>
      </w:r>
      <w:proofErr w:type="gramEnd"/>
      <w:r w:rsidRPr="00CA05C8">
        <w:rPr>
          <w:szCs w:val="22"/>
          <w:lang w:val="ru-RU"/>
        </w:rPr>
        <w:t xml:space="preserve">Вт/Гц), при </w:t>
      </w:r>
      <w:r w:rsidR="00574030" w:rsidRPr="00CA05C8">
        <w:rPr>
          <w:szCs w:val="22"/>
          <w:lang w:val="ru-RU"/>
        </w:rPr>
        <w:t>ширине полосы мазера, равной 40 </w:t>
      </w:r>
      <w:r w:rsidRPr="00CA05C8">
        <w:rPr>
          <w:szCs w:val="22"/>
          <w:lang w:val="ru-RU"/>
        </w:rPr>
        <w:t>МГц.</w:t>
      </w:r>
    </w:p>
    <w:p w14:paraId="38161823" w14:textId="77777777" w:rsidR="00A82A4B" w:rsidRPr="00CA05C8" w:rsidRDefault="00513B08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Для </w:t>
      </w:r>
      <w:r w:rsidR="008B1AAD" w:rsidRPr="00CA05C8">
        <w:rPr>
          <w:szCs w:val="22"/>
          <w:lang w:val="ru-RU"/>
        </w:rPr>
        <w:t xml:space="preserve">контура </w:t>
      </w:r>
      <w:r w:rsidR="008B1AAD">
        <w:rPr>
          <w:szCs w:val="22"/>
          <w:lang w:val="ru-RU"/>
        </w:rPr>
        <w:t>слежения за</w:t>
      </w:r>
      <w:r w:rsidR="008B1AAD" w:rsidRPr="00CA05C8">
        <w:rPr>
          <w:szCs w:val="22"/>
          <w:lang w:val="ru-RU"/>
        </w:rPr>
        <w:t xml:space="preserve"> несущей</w:t>
      </w:r>
      <w:r w:rsidR="008B1AAD">
        <w:rPr>
          <w:szCs w:val="22"/>
          <w:lang w:val="ru-RU"/>
        </w:rPr>
        <w:t xml:space="preserve"> частотой</w:t>
      </w:r>
      <w:r w:rsidRPr="00CA05C8">
        <w:rPr>
          <w:szCs w:val="22"/>
          <w:lang w:val="ru-RU"/>
        </w:rPr>
        <w:t xml:space="preserve"> амплитуда дрожания фазы зависит от порога несущей, как показано на рисунке 8. Шумоподобная помеха уменьшает порог несущей и, следовательно, увеличивает дрожание фазы. Порог несущей связан с </w:t>
      </w:r>
      <w:r w:rsidRPr="00CA05C8">
        <w:rPr>
          <w:i/>
          <w:szCs w:val="22"/>
          <w:lang w:val="ru-RU"/>
        </w:rPr>
        <w:t>I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>/</w:t>
      </w:r>
      <w:r w:rsidRPr="00CA05C8">
        <w:rPr>
          <w:i/>
          <w:szCs w:val="22"/>
          <w:lang w:val="ru-RU"/>
        </w:rPr>
        <w:t>N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 xml:space="preserve"> выражением:</w:t>
      </w:r>
    </w:p>
    <w:p w14:paraId="42A8D75F" w14:textId="2FF2CA0E" w:rsidR="00513B08" w:rsidRPr="00CA05C8" w:rsidRDefault="00923345" w:rsidP="00923345">
      <w:pPr>
        <w:pStyle w:val="Equation"/>
        <w:rPr>
          <w:lang w:val="ru-RU"/>
        </w:rPr>
      </w:pPr>
      <w:r>
        <w:rPr>
          <w:i/>
          <w:lang w:val="ru-RU"/>
        </w:rPr>
        <w:tab/>
      </w:r>
      <w:r>
        <w:rPr>
          <w:i/>
          <w:lang w:val="ru-RU"/>
        </w:rPr>
        <w:tab/>
      </w:r>
      <w:r w:rsidR="00513B08" w:rsidRPr="00CA05C8">
        <w:rPr>
          <w:i/>
          <w:lang w:val="ru-RU"/>
        </w:rPr>
        <w:t>CM</w:t>
      </w:r>
      <w:r w:rsidR="00513B08" w:rsidRPr="00CA05C8">
        <w:rPr>
          <w:i/>
          <w:position w:val="-4"/>
          <w:sz w:val="16"/>
          <w:szCs w:val="16"/>
          <w:lang w:val="ru-RU"/>
        </w:rPr>
        <w:t>i</w:t>
      </w:r>
      <w:r w:rsidR="00513B08" w:rsidRPr="00CA05C8">
        <w:rPr>
          <w:lang w:val="ru-RU"/>
        </w:rPr>
        <w:t xml:space="preserve"> = </w:t>
      </w:r>
      <w:r w:rsidR="00513B08" w:rsidRPr="00CA05C8">
        <w:rPr>
          <w:i/>
          <w:lang w:val="ru-RU"/>
        </w:rPr>
        <w:t>CM</w:t>
      </w:r>
      <w:r w:rsidR="00513B08" w:rsidRPr="00CA05C8">
        <w:rPr>
          <w:position w:val="-4"/>
          <w:sz w:val="16"/>
          <w:szCs w:val="16"/>
          <w:lang w:val="ru-RU"/>
        </w:rPr>
        <w:t>0</w:t>
      </w:r>
      <w:r w:rsidR="00513B08" w:rsidRPr="00CA05C8">
        <w:rPr>
          <w:lang w:val="ru-RU"/>
        </w:rPr>
        <w:t xml:space="preserve"> </w:t>
      </w:r>
      <w:r w:rsidR="00513B08" w:rsidRPr="00CA05C8">
        <w:rPr>
          <w:rFonts w:ascii="Symbol" w:hAnsi="Symbol"/>
          <w:lang w:val="ru-RU"/>
        </w:rPr>
        <w:t></w:t>
      </w:r>
      <w:r w:rsidR="00513B08" w:rsidRPr="00CA05C8">
        <w:rPr>
          <w:lang w:val="ru-RU"/>
        </w:rPr>
        <w:t xml:space="preserve"> 10 log (1 </w:t>
      </w:r>
      <w:r w:rsidR="00513B08" w:rsidRPr="00CA05C8">
        <w:rPr>
          <w:rFonts w:ascii="Symbol" w:hAnsi="Symbol"/>
          <w:lang w:val="ru-RU"/>
        </w:rPr>
        <w:t></w:t>
      </w:r>
      <w:r w:rsidR="00513B08" w:rsidRPr="00CA05C8">
        <w:rPr>
          <w:lang w:val="ru-RU"/>
        </w:rPr>
        <w:t xml:space="preserve"> </w:t>
      </w:r>
      <w:r w:rsidR="00513B08" w:rsidRPr="00CA05C8">
        <w:rPr>
          <w:i/>
          <w:lang w:val="ru-RU"/>
        </w:rPr>
        <w:t>I</w:t>
      </w:r>
      <w:r w:rsidR="00513B08" w:rsidRPr="00CA05C8">
        <w:rPr>
          <w:position w:val="-4"/>
          <w:sz w:val="16"/>
          <w:szCs w:val="16"/>
          <w:lang w:val="ru-RU"/>
        </w:rPr>
        <w:t>0</w:t>
      </w:r>
      <w:r w:rsidR="00513B08" w:rsidRPr="00CA05C8">
        <w:rPr>
          <w:lang w:val="ru-RU"/>
        </w:rPr>
        <w:t xml:space="preserve"> /</w:t>
      </w:r>
      <w:r w:rsidR="00513B08" w:rsidRPr="00CA05C8">
        <w:rPr>
          <w:i/>
          <w:lang w:val="ru-RU"/>
        </w:rPr>
        <w:t>N</w:t>
      </w:r>
      <w:r w:rsidR="00513B08" w:rsidRPr="00CA05C8">
        <w:rPr>
          <w:position w:val="-4"/>
          <w:sz w:val="16"/>
          <w:szCs w:val="16"/>
          <w:lang w:val="ru-RU"/>
        </w:rPr>
        <w:t>0</w:t>
      </w:r>
      <w:r w:rsidR="00513B08" w:rsidRPr="00CA05C8">
        <w:rPr>
          <w:lang w:val="ru-RU"/>
        </w:rPr>
        <w:t>)</w:t>
      </w:r>
      <w:r w:rsidR="00513B08" w:rsidRPr="00CA05C8">
        <w:rPr>
          <w:vertAlign w:val="superscript"/>
          <w:lang w:val="ru-RU"/>
        </w:rPr>
        <w:t>–1</w:t>
      </w:r>
      <w:r w:rsidR="00513B08" w:rsidRPr="00CA05C8">
        <w:rPr>
          <w:lang w:val="ru-RU"/>
        </w:rPr>
        <w:t>,</w:t>
      </w:r>
    </w:p>
    <w:p w14:paraId="625B3D7D" w14:textId="765DCBE7" w:rsidR="00513B08" w:rsidRPr="00CA05C8" w:rsidRDefault="00513B08" w:rsidP="00574030">
      <w:pPr>
        <w:rPr>
          <w:szCs w:val="22"/>
          <w:lang w:val="ru-RU"/>
        </w:rPr>
      </w:pPr>
      <w:r w:rsidRPr="00CA05C8">
        <w:rPr>
          <w:szCs w:val="22"/>
          <w:lang w:val="ru-RU"/>
        </w:rPr>
        <w:lastRenderedPageBreak/>
        <w:t>где:</w:t>
      </w:r>
    </w:p>
    <w:p w14:paraId="6152C66A" w14:textId="77777777" w:rsidR="00513B08" w:rsidRPr="00CA05C8" w:rsidRDefault="00574030" w:rsidP="00923345">
      <w:pPr>
        <w:pStyle w:val="Equationlegend"/>
      </w:pPr>
      <w:r w:rsidRPr="00CA05C8">
        <w:tab/>
      </w:r>
      <w:r w:rsidR="00513B08" w:rsidRPr="00CA05C8">
        <w:rPr>
          <w:i/>
        </w:rPr>
        <w:t>CM</w:t>
      </w:r>
      <w:r w:rsidR="00513B08" w:rsidRPr="00CA05C8">
        <w:rPr>
          <w:i/>
          <w:position w:val="-4"/>
          <w:sz w:val="16"/>
          <w:szCs w:val="16"/>
        </w:rPr>
        <w:t>i</w:t>
      </w:r>
      <w:r w:rsidR="00513B08" w:rsidRPr="00CA05C8">
        <w:t>:</w:t>
      </w:r>
      <w:r w:rsidR="00513B08" w:rsidRPr="00CA05C8">
        <w:tab/>
        <w:t>порог несущей (дБ) в присутствии помехи</w:t>
      </w:r>
    </w:p>
    <w:p w14:paraId="3F92C0D3" w14:textId="77777777" w:rsidR="00513B08" w:rsidRPr="00CA05C8" w:rsidRDefault="00574030" w:rsidP="00923345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513B08" w:rsidRPr="00CA05C8">
        <w:rPr>
          <w:i/>
          <w:szCs w:val="22"/>
          <w:lang w:val="ru-RU"/>
        </w:rPr>
        <w:t>CM</w:t>
      </w:r>
      <w:r w:rsidR="00513B08" w:rsidRPr="00CA05C8">
        <w:rPr>
          <w:position w:val="-4"/>
          <w:sz w:val="16"/>
          <w:szCs w:val="16"/>
          <w:lang w:val="ru-RU"/>
        </w:rPr>
        <w:t>0</w:t>
      </w:r>
      <w:r w:rsidR="00513B08" w:rsidRPr="00CA05C8">
        <w:rPr>
          <w:szCs w:val="22"/>
          <w:lang w:val="ru-RU"/>
        </w:rPr>
        <w:t>:</w:t>
      </w:r>
      <w:r w:rsidR="00513B08" w:rsidRPr="00CA05C8">
        <w:rPr>
          <w:szCs w:val="22"/>
          <w:lang w:val="ru-RU"/>
        </w:rPr>
        <w:tab/>
      </w:r>
      <w:r w:rsidR="00513B08" w:rsidRPr="00923345">
        <w:t>порог</w:t>
      </w:r>
      <w:r w:rsidR="00513B08" w:rsidRPr="00CA05C8">
        <w:rPr>
          <w:szCs w:val="22"/>
          <w:lang w:val="ru-RU"/>
        </w:rPr>
        <w:t xml:space="preserve"> несущей (дБ) без помехи</w:t>
      </w:r>
    </w:p>
    <w:p w14:paraId="7BFC4334" w14:textId="77777777" w:rsidR="00513B08" w:rsidRPr="00CA05C8" w:rsidRDefault="00574030" w:rsidP="00923345">
      <w:pPr>
        <w:pStyle w:val="Equationlegend"/>
        <w:rPr>
          <w:szCs w:val="22"/>
          <w:lang w:val="ru-RU"/>
        </w:rPr>
      </w:pPr>
      <w:r w:rsidRPr="00CA05C8">
        <w:rPr>
          <w:i/>
          <w:szCs w:val="22"/>
          <w:lang w:val="ru-RU"/>
        </w:rPr>
        <w:tab/>
      </w:r>
      <w:r w:rsidR="00513B08" w:rsidRPr="00CA05C8">
        <w:rPr>
          <w:i/>
          <w:szCs w:val="22"/>
          <w:lang w:val="ru-RU"/>
        </w:rPr>
        <w:t>I</w:t>
      </w:r>
      <w:r w:rsidR="00513B08" w:rsidRPr="00CA05C8">
        <w:rPr>
          <w:position w:val="-4"/>
          <w:sz w:val="16"/>
          <w:szCs w:val="16"/>
          <w:lang w:val="ru-RU"/>
        </w:rPr>
        <w:t>0</w:t>
      </w:r>
      <w:r w:rsidR="00513B08" w:rsidRPr="00CA05C8">
        <w:rPr>
          <w:szCs w:val="22"/>
          <w:lang w:val="ru-RU"/>
        </w:rPr>
        <w:t>/</w:t>
      </w:r>
      <w:r w:rsidR="00513B08" w:rsidRPr="00CA05C8">
        <w:rPr>
          <w:i/>
          <w:szCs w:val="22"/>
          <w:lang w:val="ru-RU"/>
        </w:rPr>
        <w:t>N</w:t>
      </w:r>
      <w:r w:rsidR="00513B08" w:rsidRPr="00CA05C8">
        <w:rPr>
          <w:position w:val="-4"/>
          <w:sz w:val="16"/>
          <w:szCs w:val="16"/>
          <w:lang w:val="ru-RU"/>
        </w:rPr>
        <w:t>0</w:t>
      </w:r>
      <w:r w:rsidR="00513B08" w:rsidRPr="00CA05C8">
        <w:rPr>
          <w:szCs w:val="22"/>
          <w:lang w:val="ru-RU"/>
        </w:rPr>
        <w:t>:</w:t>
      </w:r>
      <w:r w:rsidR="00513B08" w:rsidRPr="00CA05C8">
        <w:rPr>
          <w:szCs w:val="22"/>
          <w:lang w:val="ru-RU"/>
        </w:rPr>
        <w:tab/>
      </w:r>
      <w:r w:rsidR="00513B08" w:rsidRPr="00923345">
        <w:t>отношение</w:t>
      </w:r>
      <w:r w:rsidR="00513B08" w:rsidRPr="00CA05C8">
        <w:rPr>
          <w:szCs w:val="22"/>
          <w:lang w:val="ru-RU"/>
        </w:rPr>
        <w:t xml:space="preserve"> спектральной плотности шума помехи к спектральной плотности шума приемника.</w:t>
      </w:r>
    </w:p>
    <w:p w14:paraId="17AB18F4" w14:textId="77777777" w:rsidR="00513B08" w:rsidRPr="00CA05C8" w:rsidRDefault="00513B08" w:rsidP="004B22A0">
      <w:pPr>
        <w:spacing w:after="120"/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С помощью рисунка 8 и предшествующего выражения можно рассчитать </w:t>
      </w:r>
      <w:r w:rsidRPr="00CA05C8">
        <w:rPr>
          <w:i/>
          <w:szCs w:val="22"/>
          <w:lang w:val="ru-RU"/>
        </w:rPr>
        <w:t>I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>/</w:t>
      </w:r>
      <w:r w:rsidRPr="00CA05C8">
        <w:rPr>
          <w:i/>
          <w:szCs w:val="22"/>
          <w:lang w:val="ru-RU"/>
        </w:rPr>
        <w:t>N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 xml:space="preserve"> при учете конкретного порога несущей без помехи и приемлемого увеличения дрожания фазы. Например, для типичного порога 10 дБ увеличение на 10</w:t>
      </w:r>
      <w:r w:rsidRPr="00CA05C8">
        <w:rPr>
          <w:szCs w:val="22"/>
          <w:lang w:val="ru-RU"/>
        </w:rPr>
        <w:sym w:font="Symbol" w:char="F0B0"/>
      </w:r>
      <w:r w:rsidRPr="00CA05C8">
        <w:rPr>
          <w:szCs w:val="22"/>
          <w:lang w:val="ru-RU"/>
        </w:rPr>
        <w:t xml:space="preserve"> амплитуды дрожания фазы будет вызвано помехой, которая уменьшает порог до 5,5 дБ. Отношение </w:t>
      </w:r>
      <w:r w:rsidRPr="00CA05C8">
        <w:rPr>
          <w:i/>
          <w:szCs w:val="22"/>
          <w:lang w:val="ru-RU"/>
        </w:rPr>
        <w:t>I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>/</w:t>
      </w:r>
      <w:r w:rsidRPr="00CA05C8">
        <w:rPr>
          <w:i/>
          <w:szCs w:val="22"/>
          <w:lang w:val="ru-RU"/>
        </w:rPr>
        <w:t>N</w:t>
      </w:r>
      <w:r w:rsidRPr="00CA05C8">
        <w:rPr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 xml:space="preserve"> для этого случая равно 2,</w:t>
      </w:r>
      <w:r w:rsidR="008B1AAD">
        <w:rPr>
          <w:szCs w:val="22"/>
          <w:lang w:val="ru-RU"/>
        </w:rPr>
        <w:t>6</w:t>
      </w:r>
      <w:r w:rsidRPr="00CA05C8">
        <w:rPr>
          <w:szCs w:val="22"/>
          <w:lang w:val="ru-RU"/>
        </w:rPr>
        <w:t> дБ.</w:t>
      </w:r>
    </w:p>
    <w:p w14:paraId="19E9143F" w14:textId="763E5702" w:rsidR="00513B08" w:rsidRPr="00CA05C8" w:rsidRDefault="00923345" w:rsidP="00923345">
      <w:pPr>
        <w:pStyle w:val="Figure"/>
        <w:rPr>
          <w:lang w:val="ru-RU"/>
        </w:rPr>
      </w:pPr>
      <w:r w:rsidRPr="00CA05C8">
        <w:rPr>
          <w:lang w:val="ru-RU"/>
        </w:rPr>
        <w:object w:dxaOrig="5372" w:dyaOrig="7804" w14:anchorId="355E1E57">
          <v:shape id="_x0000_i1034" type="#_x0000_t75" style="width:258.75pt;height:376.5pt" o:ole="">
            <v:imagedata r:id="rId24" o:title=""/>
          </v:shape>
          <o:OLEObject Type="Embed" ProgID="CorelDRAW.Graphic.12" ShapeID="_x0000_i1034" DrawAspect="Content" ObjectID="_1760431562" r:id="rId25"/>
        </w:object>
      </w:r>
    </w:p>
    <w:p w14:paraId="1DBA72EE" w14:textId="77777777" w:rsidR="00513B08" w:rsidRPr="00CA05C8" w:rsidRDefault="00513B08" w:rsidP="00923345">
      <w:pPr>
        <w:pStyle w:val="Normalaftertitle"/>
        <w:rPr>
          <w:lang w:val="ru-RU"/>
        </w:rPr>
      </w:pPr>
      <w:r w:rsidRPr="00CA05C8">
        <w:rPr>
          <w:lang w:val="ru-RU"/>
        </w:rPr>
        <w:t>Влияние шумоподобной помехи на телеметрию и систему измерения расстояния должно уменьшить отношение эффективной символьной энергии к спектральной плотности шума и поэтому увеличить коэффициент ошибок телеметрии и дисперсию оценки дальности.</w:t>
      </w:r>
    </w:p>
    <w:p w14:paraId="14D7D73A" w14:textId="77777777" w:rsidR="00513B08" w:rsidRPr="00CA05C8" w:rsidRDefault="00513B08" w:rsidP="004B22A0">
      <w:pPr>
        <w:spacing w:after="120"/>
        <w:rPr>
          <w:szCs w:val="22"/>
          <w:lang w:val="ru-RU"/>
        </w:rPr>
      </w:pPr>
      <w:r w:rsidRPr="00CA05C8">
        <w:rPr>
          <w:szCs w:val="22"/>
          <w:lang w:val="ru-RU"/>
        </w:rPr>
        <w:t>Уменьшение эквивалентного</w:t>
      </w:r>
      <w:r w:rsidR="004236C9" w:rsidRPr="00CA05C8">
        <w:rPr>
          <w:szCs w:val="22"/>
          <w:lang w:val="ru-RU"/>
        </w:rPr>
        <w:t xml:space="preserve"> символьной энергии к спектральной плотности шума, ∆</w:t>
      </w:r>
      <w:r w:rsidR="004236C9" w:rsidRPr="00CA05C8">
        <w:rPr>
          <w:i/>
          <w:szCs w:val="22"/>
          <w:lang w:val="ru-RU"/>
        </w:rPr>
        <w:t>E/N</w:t>
      </w:r>
      <w:r w:rsidR="004236C9" w:rsidRPr="00CA05C8">
        <w:rPr>
          <w:szCs w:val="22"/>
          <w:vertAlign w:val="subscript"/>
          <w:lang w:val="ru-RU"/>
        </w:rPr>
        <w:t>0</w:t>
      </w:r>
      <w:r w:rsidR="004236C9" w:rsidRPr="00CA05C8">
        <w:rPr>
          <w:szCs w:val="22"/>
          <w:lang w:val="ru-RU"/>
        </w:rPr>
        <w:t>, может быть выражено следующим образом:</w:t>
      </w:r>
    </w:p>
    <w:p w14:paraId="3768797A" w14:textId="0AB0363E" w:rsidR="004236C9" w:rsidRPr="00CA05C8" w:rsidRDefault="00923345" w:rsidP="00923345">
      <w:pPr>
        <w:pStyle w:val="Equation"/>
        <w:rPr>
          <w:lang w:val="ru-RU"/>
        </w:rPr>
      </w:pPr>
      <w:r>
        <w:rPr>
          <w:lang w:val="ru-RU"/>
        </w:rPr>
        <w:tab/>
      </w:r>
      <w:r w:rsidR="00574030" w:rsidRPr="00CA05C8">
        <w:rPr>
          <w:lang w:val="ru-RU"/>
        </w:rPr>
        <w:tab/>
      </w:r>
      <w:r w:rsidR="008B1AAD" w:rsidRPr="00CA05C8">
        <w:rPr>
          <w:lang w:val="ru-RU"/>
        </w:rPr>
        <w:t>∆</w:t>
      </w:r>
      <w:r w:rsidR="004236C9" w:rsidRPr="00CA05C8">
        <w:rPr>
          <w:i/>
          <w:lang w:val="ru-RU"/>
        </w:rPr>
        <w:t>E</w:t>
      </w:r>
      <w:r w:rsidR="004236C9" w:rsidRPr="00CA05C8">
        <w:rPr>
          <w:lang w:val="ru-RU"/>
        </w:rPr>
        <w:t>/</w:t>
      </w:r>
      <w:r w:rsidR="004236C9" w:rsidRPr="00CA05C8">
        <w:rPr>
          <w:i/>
          <w:lang w:val="ru-RU"/>
        </w:rPr>
        <w:t>N</w:t>
      </w:r>
      <w:r w:rsidR="004236C9" w:rsidRPr="00CA05C8">
        <w:rPr>
          <w:position w:val="-4"/>
          <w:sz w:val="16"/>
          <w:szCs w:val="16"/>
          <w:lang w:val="ru-RU"/>
        </w:rPr>
        <w:t>0</w:t>
      </w:r>
      <w:r w:rsidR="004236C9" w:rsidRPr="00CA05C8">
        <w:rPr>
          <w:lang w:val="ru-RU"/>
        </w:rPr>
        <w:t xml:space="preserve"> </w:t>
      </w:r>
      <w:r w:rsidR="004236C9" w:rsidRPr="00CA05C8">
        <w:rPr>
          <w:rFonts w:ascii="Symbol" w:hAnsi="Symbol"/>
          <w:lang w:val="ru-RU"/>
        </w:rPr>
        <w:t></w:t>
      </w:r>
      <w:r w:rsidR="004236C9" w:rsidRPr="00CA05C8">
        <w:rPr>
          <w:lang w:val="ru-RU"/>
        </w:rPr>
        <w:t xml:space="preserve"> 10 log (1 </w:t>
      </w:r>
      <w:r w:rsidR="004236C9" w:rsidRPr="00CA05C8">
        <w:rPr>
          <w:rFonts w:ascii="Symbol" w:hAnsi="Symbol"/>
          <w:lang w:val="ru-RU"/>
        </w:rPr>
        <w:t></w:t>
      </w:r>
      <w:r w:rsidR="004236C9" w:rsidRPr="00CA05C8">
        <w:rPr>
          <w:lang w:val="ru-RU"/>
        </w:rPr>
        <w:t xml:space="preserve"> </w:t>
      </w:r>
      <w:r w:rsidR="004236C9" w:rsidRPr="00CA05C8">
        <w:rPr>
          <w:i/>
          <w:lang w:val="ru-RU"/>
        </w:rPr>
        <w:t>I</w:t>
      </w:r>
      <w:r w:rsidR="004236C9" w:rsidRPr="00CA05C8">
        <w:rPr>
          <w:position w:val="-4"/>
          <w:sz w:val="16"/>
          <w:szCs w:val="16"/>
          <w:lang w:val="ru-RU"/>
        </w:rPr>
        <w:t>0</w:t>
      </w:r>
      <w:r w:rsidR="004236C9" w:rsidRPr="00CA05C8">
        <w:rPr>
          <w:lang w:val="ru-RU"/>
        </w:rPr>
        <w:t>/</w:t>
      </w:r>
      <w:r w:rsidR="004236C9" w:rsidRPr="00CA05C8">
        <w:rPr>
          <w:i/>
          <w:lang w:val="ru-RU"/>
        </w:rPr>
        <w:t>N</w:t>
      </w:r>
      <w:r w:rsidR="004236C9" w:rsidRPr="00CA05C8">
        <w:rPr>
          <w:position w:val="-4"/>
          <w:sz w:val="16"/>
          <w:szCs w:val="16"/>
          <w:lang w:val="ru-RU"/>
        </w:rPr>
        <w:t>0</w:t>
      </w:r>
      <w:r w:rsidR="004236C9" w:rsidRPr="00CA05C8">
        <w:rPr>
          <w:lang w:val="ru-RU"/>
        </w:rPr>
        <w:t>)</w:t>
      </w:r>
      <w:r w:rsidR="006D7E41" w:rsidRPr="00CA05C8">
        <w:rPr>
          <w:lang w:val="ru-RU"/>
        </w:rPr>
        <w:tab/>
        <w:t>дБ,</w:t>
      </w:r>
    </w:p>
    <w:p w14:paraId="3E091A02" w14:textId="77777777" w:rsidR="006D7E41" w:rsidRDefault="006D7E41" w:rsidP="004B22A0">
      <w:pPr>
        <w:spacing w:after="120"/>
        <w:rPr>
          <w:szCs w:val="22"/>
          <w:lang w:val="ru-RU"/>
        </w:rPr>
      </w:pPr>
      <w:r w:rsidRPr="00CA05C8">
        <w:rPr>
          <w:szCs w:val="22"/>
          <w:lang w:val="ru-RU"/>
        </w:rPr>
        <w:t xml:space="preserve">где </w:t>
      </w:r>
      <w:r w:rsidRPr="00CA05C8">
        <w:rPr>
          <w:rFonts w:ascii="Tms Rmn" w:hAnsi="Tms Rmn"/>
          <w:i/>
          <w:szCs w:val="22"/>
          <w:lang w:val="ru-RU"/>
        </w:rPr>
        <w:t>I</w:t>
      </w:r>
      <w:r w:rsidRPr="00CA05C8">
        <w:rPr>
          <w:rFonts w:ascii="Tms Rmn" w:hAnsi="Tms Rmn"/>
          <w:position w:val="-4"/>
          <w:sz w:val="16"/>
          <w:szCs w:val="16"/>
          <w:lang w:val="ru-RU"/>
        </w:rPr>
        <w:t>0</w:t>
      </w:r>
      <w:r w:rsidRPr="00CA05C8">
        <w:rPr>
          <w:rFonts w:ascii="Tms Rmn" w:hAnsi="Tms Rmn"/>
          <w:szCs w:val="22"/>
          <w:lang w:val="ru-RU"/>
        </w:rPr>
        <w:t>/</w:t>
      </w:r>
      <w:r w:rsidRPr="00CA05C8">
        <w:rPr>
          <w:rFonts w:ascii="Tms Rmn" w:hAnsi="Tms Rmn"/>
          <w:i/>
          <w:szCs w:val="22"/>
          <w:lang w:val="ru-RU"/>
        </w:rPr>
        <w:t>N</w:t>
      </w:r>
      <w:r w:rsidRPr="00CA05C8">
        <w:rPr>
          <w:rFonts w:ascii="Tms Rmn" w:hAnsi="Tms Rmn"/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 xml:space="preserve"> – отношение спектральной плотности шума помехи к спектральной плотности шума приемника. Зная приемлемое сокращение отношения </w:t>
      </w:r>
      <w:r w:rsidRPr="00CA05C8">
        <w:rPr>
          <w:i/>
          <w:szCs w:val="22"/>
          <w:lang w:val="ru-RU"/>
        </w:rPr>
        <w:t>E</w:t>
      </w:r>
      <w:r w:rsidRPr="00CA05C8">
        <w:rPr>
          <w:rFonts w:ascii="Tms Rmn" w:hAnsi="Tms Rmn"/>
          <w:szCs w:val="22"/>
          <w:lang w:val="ru-RU"/>
        </w:rPr>
        <w:t>/</w:t>
      </w:r>
      <w:r w:rsidRPr="00CA05C8">
        <w:rPr>
          <w:rFonts w:ascii="Tms Rmn" w:hAnsi="Tms Rmn"/>
          <w:i/>
          <w:szCs w:val="22"/>
          <w:lang w:val="ru-RU"/>
        </w:rPr>
        <w:t>N</w:t>
      </w:r>
      <w:r w:rsidRPr="00CA05C8">
        <w:rPr>
          <w:rFonts w:ascii="Tms Rmn" w:hAnsi="Tms Rmn"/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 xml:space="preserve">, можно рассчитать соответствующее значение </w:t>
      </w:r>
      <w:r w:rsidRPr="00CA05C8">
        <w:rPr>
          <w:rFonts w:ascii="Tms Rmn" w:hAnsi="Tms Rmn"/>
          <w:i/>
          <w:szCs w:val="22"/>
          <w:lang w:val="ru-RU"/>
        </w:rPr>
        <w:t>I</w:t>
      </w:r>
      <w:r w:rsidRPr="00CA05C8">
        <w:rPr>
          <w:rFonts w:ascii="Tms Rmn" w:hAnsi="Tms Rmn"/>
          <w:position w:val="-4"/>
          <w:sz w:val="16"/>
          <w:szCs w:val="16"/>
          <w:lang w:val="ru-RU"/>
        </w:rPr>
        <w:t>0</w:t>
      </w:r>
      <w:r w:rsidRPr="00CA05C8">
        <w:rPr>
          <w:rFonts w:ascii="Tms Rmn" w:hAnsi="Tms Rmn"/>
          <w:szCs w:val="22"/>
          <w:lang w:val="ru-RU"/>
        </w:rPr>
        <w:t>/</w:t>
      </w:r>
      <w:r w:rsidRPr="00CA05C8">
        <w:rPr>
          <w:rFonts w:ascii="Tms Rmn" w:hAnsi="Tms Rmn"/>
          <w:i/>
          <w:szCs w:val="22"/>
          <w:lang w:val="ru-RU"/>
        </w:rPr>
        <w:t>N</w:t>
      </w:r>
      <w:r w:rsidRPr="00CA05C8">
        <w:rPr>
          <w:rFonts w:ascii="Tms Rmn" w:hAnsi="Tms Rmn"/>
          <w:position w:val="-4"/>
          <w:sz w:val="16"/>
          <w:szCs w:val="16"/>
          <w:lang w:val="ru-RU"/>
        </w:rPr>
        <w:t>0</w:t>
      </w:r>
      <w:r w:rsidRPr="00CA05C8">
        <w:rPr>
          <w:szCs w:val="22"/>
          <w:lang w:val="ru-RU"/>
        </w:rPr>
        <w:t>.</w:t>
      </w:r>
    </w:p>
    <w:p w14:paraId="341BB8E9" w14:textId="77777777" w:rsidR="004B22A0" w:rsidRPr="00CA05C8" w:rsidRDefault="004B22A0" w:rsidP="00923345">
      <w:pPr>
        <w:spacing w:before="0"/>
        <w:jc w:val="center"/>
        <w:rPr>
          <w:szCs w:val="22"/>
          <w:lang w:val="ru-RU"/>
        </w:rPr>
      </w:pPr>
      <w:r>
        <w:rPr>
          <w:szCs w:val="22"/>
          <w:lang w:val="ru-RU"/>
        </w:rPr>
        <w:t>_________________</w:t>
      </w:r>
    </w:p>
    <w:sectPr w:rsidR="004B22A0" w:rsidRPr="00CA05C8" w:rsidSect="00987EFC">
      <w:headerReference w:type="even" r:id="rId26"/>
      <w:headerReference w:type="default" r:id="rId27"/>
      <w:pgSz w:w="11901" w:h="16840" w:code="9"/>
      <w:pgMar w:top="1077" w:right="1134" w:bottom="107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78E7" w14:textId="77777777" w:rsidR="00574030" w:rsidRDefault="00574030">
      <w:r>
        <w:separator/>
      </w:r>
    </w:p>
  </w:endnote>
  <w:endnote w:type="continuationSeparator" w:id="0">
    <w:p w14:paraId="50E7A3E1" w14:textId="77777777" w:rsidR="00574030" w:rsidRDefault="0057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B1EA" w14:textId="77777777" w:rsidR="00574030" w:rsidRDefault="00574030">
      <w:r>
        <w:separator/>
      </w:r>
    </w:p>
  </w:footnote>
  <w:footnote w:type="continuationSeparator" w:id="0">
    <w:p w14:paraId="3009FFB7" w14:textId="77777777" w:rsidR="00574030" w:rsidRDefault="0057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A87A" w14:textId="0C6E2FE7" w:rsidR="00987EFC" w:rsidRPr="00987EFC" w:rsidRDefault="00987EFC" w:rsidP="006E5F1A">
    <w:pPr>
      <w:pStyle w:val="Header"/>
      <w:tabs>
        <w:tab w:val="right" w:pos="9639"/>
      </w:tabs>
      <w:spacing w:after="480"/>
      <w:jc w:val="left"/>
      <w:rPr>
        <w:b/>
        <w:szCs w:val="22"/>
        <w:lang w:val="ru-RU"/>
      </w:rPr>
    </w:pPr>
    <w:r w:rsidRPr="00987EFC">
      <w:rPr>
        <w:rStyle w:val="PageNumber"/>
        <w:b/>
        <w:szCs w:val="22"/>
      </w:rPr>
      <w:fldChar w:fldCharType="begin"/>
    </w:r>
    <w:r w:rsidRPr="00987EFC">
      <w:rPr>
        <w:rStyle w:val="PageNumber"/>
        <w:b/>
        <w:szCs w:val="22"/>
      </w:rPr>
      <w:instrText xml:space="preserve"> PAGE </w:instrText>
    </w:r>
    <w:r w:rsidRPr="00987EFC">
      <w:rPr>
        <w:rStyle w:val="PageNumber"/>
        <w:b/>
        <w:szCs w:val="22"/>
      </w:rPr>
      <w:fldChar w:fldCharType="separate"/>
    </w:r>
    <w:r w:rsidR="004B22A0">
      <w:rPr>
        <w:rStyle w:val="PageNumber"/>
        <w:b/>
        <w:noProof/>
        <w:szCs w:val="22"/>
      </w:rPr>
      <w:t>14</w:t>
    </w:r>
    <w:r w:rsidRPr="00987EFC">
      <w:rPr>
        <w:rStyle w:val="PageNumber"/>
        <w:b/>
        <w:szCs w:val="22"/>
      </w:rPr>
      <w:fldChar w:fldCharType="end"/>
    </w:r>
    <w:r>
      <w:rPr>
        <w:b/>
        <w:bCs/>
        <w:szCs w:val="22"/>
        <w:lang w:val="ru-RU"/>
      </w:rPr>
      <w:tab/>
    </w:r>
    <w:r w:rsidRPr="00EC478A">
      <w:rPr>
        <w:b/>
        <w:bCs/>
        <w:szCs w:val="22"/>
        <w:lang w:val="ru-RU"/>
      </w:rPr>
      <w:t xml:space="preserve">Рек. </w:t>
    </w:r>
    <w:r w:rsidR="006E5F1A">
      <w:rPr>
        <w:b/>
        <w:bCs/>
        <w:szCs w:val="22"/>
        <w:lang w:val="ru-RU"/>
      </w:rPr>
      <w:t xml:space="preserve"> </w:t>
    </w:r>
    <w:r w:rsidRPr="00EC478A">
      <w:rPr>
        <w:b/>
        <w:bCs/>
        <w:szCs w:val="22"/>
        <w:lang w:val="ru-RU" w:eastAsia="ja-JP"/>
      </w:rPr>
      <w:t>МСЭ-</w:t>
    </w:r>
    <w:proofErr w:type="gramStart"/>
    <w:r w:rsidRPr="00EC478A">
      <w:rPr>
        <w:b/>
        <w:bCs/>
        <w:szCs w:val="22"/>
        <w:lang w:val="ru-RU" w:eastAsia="ja-JP"/>
      </w:rPr>
      <w:t xml:space="preserve">R </w:t>
    </w:r>
    <w:r w:rsidR="006E5F1A">
      <w:rPr>
        <w:b/>
        <w:bCs/>
        <w:szCs w:val="22"/>
        <w:lang w:val="ru-RU" w:eastAsia="ja-JP"/>
      </w:rPr>
      <w:t xml:space="preserve"> </w:t>
    </w:r>
    <w:r w:rsidR="004B22A0">
      <w:rPr>
        <w:b/>
        <w:bCs/>
        <w:szCs w:val="22"/>
        <w:lang w:val="en-GB" w:eastAsia="ja-JP"/>
      </w:rPr>
      <w:t>SA</w:t>
    </w:r>
    <w:proofErr w:type="gramEnd"/>
    <w:r w:rsidRPr="00EC478A">
      <w:rPr>
        <w:b/>
        <w:bCs/>
        <w:szCs w:val="22"/>
        <w:lang w:val="ru-RU" w:eastAsia="ja-JP"/>
      </w:rPr>
      <w:t>.1</w:t>
    </w:r>
    <w:r>
      <w:rPr>
        <w:b/>
        <w:bCs/>
        <w:szCs w:val="22"/>
        <w:lang w:val="ru-RU" w:eastAsia="ja-JP"/>
      </w:rPr>
      <w:t>157-1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44DF" w14:textId="62AD633C" w:rsidR="00C248C3" w:rsidRPr="00987EFC" w:rsidRDefault="00C248C3" w:rsidP="004B22A0">
    <w:pPr>
      <w:pStyle w:val="Header"/>
      <w:tabs>
        <w:tab w:val="right" w:pos="9639"/>
      </w:tabs>
      <w:spacing w:after="480"/>
      <w:rPr>
        <w:b/>
        <w:szCs w:val="22"/>
      </w:rPr>
    </w:pPr>
    <w:r>
      <w:rPr>
        <w:b/>
        <w:bCs/>
        <w:szCs w:val="22"/>
        <w:lang w:val="ru-RU"/>
      </w:rPr>
      <w:tab/>
    </w:r>
    <w:r w:rsidRPr="00EC478A">
      <w:rPr>
        <w:b/>
        <w:bCs/>
        <w:szCs w:val="22"/>
        <w:lang w:val="ru-RU"/>
      </w:rPr>
      <w:t xml:space="preserve">Рек. </w:t>
    </w:r>
    <w:r w:rsidR="006E5F1A">
      <w:rPr>
        <w:b/>
        <w:bCs/>
        <w:szCs w:val="22"/>
        <w:lang w:val="ru-RU"/>
      </w:rPr>
      <w:t xml:space="preserve"> </w:t>
    </w:r>
    <w:r w:rsidRPr="00EC478A">
      <w:rPr>
        <w:b/>
        <w:bCs/>
        <w:szCs w:val="22"/>
        <w:lang w:val="ru-RU" w:eastAsia="ja-JP"/>
      </w:rPr>
      <w:t>МСЭ-</w:t>
    </w:r>
    <w:proofErr w:type="gramStart"/>
    <w:r w:rsidRPr="00EC478A">
      <w:rPr>
        <w:b/>
        <w:bCs/>
        <w:szCs w:val="22"/>
        <w:lang w:val="ru-RU" w:eastAsia="ja-JP"/>
      </w:rPr>
      <w:t>R</w:t>
    </w:r>
    <w:r w:rsidR="006E5F1A">
      <w:rPr>
        <w:b/>
        <w:bCs/>
        <w:szCs w:val="22"/>
        <w:lang w:val="ru-RU" w:eastAsia="ja-JP"/>
      </w:rPr>
      <w:t xml:space="preserve"> </w:t>
    </w:r>
    <w:r w:rsidRPr="00EC478A">
      <w:rPr>
        <w:b/>
        <w:bCs/>
        <w:szCs w:val="22"/>
        <w:lang w:val="ru-RU" w:eastAsia="ja-JP"/>
      </w:rPr>
      <w:t xml:space="preserve"> </w:t>
    </w:r>
    <w:r w:rsidR="004B22A0">
      <w:rPr>
        <w:b/>
        <w:bCs/>
        <w:szCs w:val="22"/>
        <w:lang w:val="en-GB" w:eastAsia="ja-JP"/>
      </w:rPr>
      <w:t>SA</w:t>
    </w:r>
    <w:proofErr w:type="gramEnd"/>
    <w:r w:rsidRPr="00EC478A">
      <w:rPr>
        <w:b/>
        <w:bCs/>
        <w:szCs w:val="22"/>
        <w:lang w:val="ru-RU" w:eastAsia="ja-JP"/>
      </w:rPr>
      <w:t>.1</w:t>
    </w:r>
    <w:r w:rsidR="0056037C">
      <w:rPr>
        <w:b/>
        <w:bCs/>
        <w:szCs w:val="22"/>
        <w:lang w:val="ru-RU" w:eastAsia="ja-JP"/>
      </w:rPr>
      <w:t>157-1</w:t>
    </w:r>
    <w:r w:rsidR="00987EFC">
      <w:rPr>
        <w:b/>
        <w:bCs/>
        <w:szCs w:val="22"/>
        <w:lang w:val="ru-RU" w:eastAsia="ja-JP"/>
      </w:rPr>
      <w:tab/>
    </w:r>
    <w:r w:rsidR="00987EFC" w:rsidRPr="00987EFC">
      <w:rPr>
        <w:rStyle w:val="PageNumber"/>
        <w:b/>
        <w:szCs w:val="22"/>
      </w:rPr>
      <w:fldChar w:fldCharType="begin"/>
    </w:r>
    <w:r w:rsidR="00987EFC" w:rsidRPr="00987EFC">
      <w:rPr>
        <w:rStyle w:val="PageNumber"/>
        <w:b/>
        <w:szCs w:val="22"/>
      </w:rPr>
      <w:instrText xml:space="preserve"> PAGE </w:instrText>
    </w:r>
    <w:r w:rsidR="00987EFC" w:rsidRPr="00987EFC">
      <w:rPr>
        <w:rStyle w:val="PageNumber"/>
        <w:b/>
        <w:szCs w:val="22"/>
      </w:rPr>
      <w:fldChar w:fldCharType="separate"/>
    </w:r>
    <w:r w:rsidR="004B22A0">
      <w:rPr>
        <w:rStyle w:val="PageNumber"/>
        <w:b/>
        <w:noProof/>
        <w:szCs w:val="22"/>
      </w:rPr>
      <w:t>13</w:t>
    </w:r>
    <w:r w:rsidR="00987EFC" w:rsidRPr="00987EFC">
      <w:rPr>
        <w:rStyle w:val="PageNumber"/>
        <w:b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BB"/>
    <w:rsid w:val="000162A7"/>
    <w:rsid w:val="00045B8C"/>
    <w:rsid w:val="000911FD"/>
    <w:rsid w:val="000929B2"/>
    <w:rsid w:val="000A0EC8"/>
    <w:rsid w:val="000A29D5"/>
    <w:rsid w:val="000A5071"/>
    <w:rsid w:val="000B50F9"/>
    <w:rsid w:val="000B59BB"/>
    <w:rsid w:val="000E5192"/>
    <w:rsid w:val="000F08BD"/>
    <w:rsid w:val="000F292E"/>
    <w:rsid w:val="000F5D1A"/>
    <w:rsid w:val="001022C3"/>
    <w:rsid w:val="00137E01"/>
    <w:rsid w:val="001517B5"/>
    <w:rsid w:val="001552A0"/>
    <w:rsid w:val="001843BF"/>
    <w:rsid w:val="001919AD"/>
    <w:rsid w:val="001B2EE8"/>
    <w:rsid w:val="001C3373"/>
    <w:rsid w:val="001C7EE1"/>
    <w:rsid w:val="001D4831"/>
    <w:rsid w:val="00207123"/>
    <w:rsid w:val="00211490"/>
    <w:rsid w:val="0022256E"/>
    <w:rsid w:val="002555C9"/>
    <w:rsid w:val="0032571E"/>
    <w:rsid w:val="00327584"/>
    <w:rsid w:val="00330269"/>
    <w:rsid w:val="00340951"/>
    <w:rsid w:val="00390193"/>
    <w:rsid w:val="003B3A37"/>
    <w:rsid w:val="003B4E77"/>
    <w:rsid w:val="003C2D40"/>
    <w:rsid w:val="003D1E98"/>
    <w:rsid w:val="00416E85"/>
    <w:rsid w:val="004236C9"/>
    <w:rsid w:val="00434717"/>
    <w:rsid w:val="004376EE"/>
    <w:rsid w:val="00452909"/>
    <w:rsid w:val="00462C99"/>
    <w:rsid w:val="004834AA"/>
    <w:rsid w:val="00490359"/>
    <w:rsid w:val="004B22A0"/>
    <w:rsid w:val="004F76E4"/>
    <w:rsid w:val="00504322"/>
    <w:rsid w:val="00513B08"/>
    <w:rsid w:val="00516FB7"/>
    <w:rsid w:val="005355DD"/>
    <w:rsid w:val="00546D7E"/>
    <w:rsid w:val="0056037C"/>
    <w:rsid w:val="00567CAB"/>
    <w:rsid w:val="00574030"/>
    <w:rsid w:val="0057653D"/>
    <w:rsid w:val="005805C0"/>
    <w:rsid w:val="00581341"/>
    <w:rsid w:val="00583768"/>
    <w:rsid w:val="005846C5"/>
    <w:rsid w:val="005970FA"/>
    <w:rsid w:val="005A05DE"/>
    <w:rsid w:val="005A2A9F"/>
    <w:rsid w:val="005B69B4"/>
    <w:rsid w:val="005C473C"/>
    <w:rsid w:val="005D2CF5"/>
    <w:rsid w:val="00606E8E"/>
    <w:rsid w:val="00614845"/>
    <w:rsid w:val="00622046"/>
    <w:rsid w:val="00630321"/>
    <w:rsid w:val="00636EFB"/>
    <w:rsid w:val="00660482"/>
    <w:rsid w:val="00674C88"/>
    <w:rsid w:val="006A2F0C"/>
    <w:rsid w:val="006C2AC6"/>
    <w:rsid w:val="006D650F"/>
    <w:rsid w:val="006D7E41"/>
    <w:rsid w:val="006E5F1A"/>
    <w:rsid w:val="00736A55"/>
    <w:rsid w:val="0074609E"/>
    <w:rsid w:val="00751902"/>
    <w:rsid w:val="00757C9C"/>
    <w:rsid w:val="00764AC5"/>
    <w:rsid w:val="00767AB7"/>
    <w:rsid w:val="00775A12"/>
    <w:rsid w:val="00780EBF"/>
    <w:rsid w:val="00794063"/>
    <w:rsid w:val="007C255D"/>
    <w:rsid w:val="007E33CE"/>
    <w:rsid w:val="008238E1"/>
    <w:rsid w:val="00842AC6"/>
    <w:rsid w:val="00856C0F"/>
    <w:rsid w:val="00864AAE"/>
    <w:rsid w:val="00876DB8"/>
    <w:rsid w:val="008B1AAD"/>
    <w:rsid w:val="008F68DD"/>
    <w:rsid w:val="00923345"/>
    <w:rsid w:val="00932586"/>
    <w:rsid w:val="00940189"/>
    <w:rsid w:val="00943F1A"/>
    <w:rsid w:val="0096100B"/>
    <w:rsid w:val="00970816"/>
    <w:rsid w:val="00987EFC"/>
    <w:rsid w:val="00997E6F"/>
    <w:rsid w:val="009A4A3C"/>
    <w:rsid w:val="009B4144"/>
    <w:rsid w:val="009C2EA7"/>
    <w:rsid w:val="009D15E2"/>
    <w:rsid w:val="009F1CF9"/>
    <w:rsid w:val="009F6474"/>
    <w:rsid w:val="00A37145"/>
    <w:rsid w:val="00A65A8C"/>
    <w:rsid w:val="00A70CB6"/>
    <w:rsid w:val="00A822D2"/>
    <w:rsid w:val="00A82A4B"/>
    <w:rsid w:val="00A83300"/>
    <w:rsid w:val="00A874DE"/>
    <w:rsid w:val="00A87ADD"/>
    <w:rsid w:val="00A934BB"/>
    <w:rsid w:val="00AC0CA1"/>
    <w:rsid w:val="00AD73CE"/>
    <w:rsid w:val="00AE1836"/>
    <w:rsid w:val="00B32EF3"/>
    <w:rsid w:val="00B34845"/>
    <w:rsid w:val="00B51F2F"/>
    <w:rsid w:val="00B56D7C"/>
    <w:rsid w:val="00B63C2F"/>
    <w:rsid w:val="00B80D47"/>
    <w:rsid w:val="00BD4B0D"/>
    <w:rsid w:val="00BF7803"/>
    <w:rsid w:val="00C14C7E"/>
    <w:rsid w:val="00C248C3"/>
    <w:rsid w:val="00C34C8E"/>
    <w:rsid w:val="00C500F9"/>
    <w:rsid w:val="00C55C7B"/>
    <w:rsid w:val="00C670DE"/>
    <w:rsid w:val="00C87360"/>
    <w:rsid w:val="00C901DE"/>
    <w:rsid w:val="00C9428E"/>
    <w:rsid w:val="00CA05C8"/>
    <w:rsid w:val="00CB5614"/>
    <w:rsid w:val="00CE4217"/>
    <w:rsid w:val="00D028A7"/>
    <w:rsid w:val="00D04FF1"/>
    <w:rsid w:val="00D155F0"/>
    <w:rsid w:val="00D24807"/>
    <w:rsid w:val="00D52C77"/>
    <w:rsid w:val="00D601D8"/>
    <w:rsid w:val="00D668FE"/>
    <w:rsid w:val="00D67FAE"/>
    <w:rsid w:val="00D80B27"/>
    <w:rsid w:val="00DE08C3"/>
    <w:rsid w:val="00DE225C"/>
    <w:rsid w:val="00DE3072"/>
    <w:rsid w:val="00DF1015"/>
    <w:rsid w:val="00E023F8"/>
    <w:rsid w:val="00E1199F"/>
    <w:rsid w:val="00E25A2C"/>
    <w:rsid w:val="00E26662"/>
    <w:rsid w:val="00E44C6B"/>
    <w:rsid w:val="00E7577F"/>
    <w:rsid w:val="00E80374"/>
    <w:rsid w:val="00E8244C"/>
    <w:rsid w:val="00E851B0"/>
    <w:rsid w:val="00EE33E8"/>
    <w:rsid w:val="00EE75B8"/>
    <w:rsid w:val="00EF0311"/>
    <w:rsid w:val="00F46B21"/>
    <w:rsid w:val="00F47ADB"/>
    <w:rsid w:val="00F65E2D"/>
    <w:rsid w:val="00F81286"/>
    <w:rsid w:val="00F91073"/>
    <w:rsid w:val="00F91615"/>
    <w:rsid w:val="00FB1DCE"/>
    <w:rsid w:val="00FC5E57"/>
    <w:rsid w:val="00FE48A1"/>
    <w:rsid w:val="00FE6EC8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17B50B2"/>
  <w15:chartTrackingRefBased/>
  <w15:docId w15:val="{63D877BF-167F-4B8F-AB2D-BA27CAC3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F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6E5F1A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6E5F1A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6E5F1A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6E5F1A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E5F1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E5F1A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E5F1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E5F1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E5F1A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5F1A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rsid w:val="006E5F1A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table" w:styleId="TableGrid">
    <w:name w:val="Table Grid"/>
    <w:basedOn w:val="TableNormal"/>
    <w:rsid w:val="00BD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_head"/>
    <w:basedOn w:val="Normal"/>
    <w:next w:val="Normal"/>
    <w:rsid w:val="006E5F1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6E5F1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styleId="PageNumber">
    <w:name w:val="page number"/>
    <w:basedOn w:val="DefaultParagraphFont"/>
    <w:rsid w:val="006E5F1A"/>
  </w:style>
  <w:style w:type="character" w:customStyle="1" w:styleId="Heading1Char">
    <w:name w:val="Heading 1 Char"/>
    <w:basedOn w:val="DefaultParagraphFont"/>
    <w:link w:val="Heading1"/>
    <w:rsid w:val="006E5F1A"/>
    <w:rPr>
      <w:b/>
      <w:sz w:val="22"/>
      <w:lang w:val="fr-FR" w:eastAsia="en-US"/>
    </w:rPr>
  </w:style>
  <w:style w:type="paragraph" w:customStyle="1" w:styleId="AnnexNoTitle">
    <w:name w:val="Annex_NoTitle"/>
    <w:basedOn w:val="Heading1"/>
    <w:next w:val="Normal"/>
    <w:rsid w:val="006E5F1A"/>
    <w:pPr>
      <w:spacing w:after="80"/>
      <w:ind w:left="0" w:firstLine="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6E5F1A"/>
    <w:pPr>
      <w:keepNext/>
      <w:keepLines/>
      <w:spacing w:after="280"/>
      <w:jc w:val="center"/>
    </w:pPr>
  </w:style>
  <w:style w:type="paragraph" w:customStyle="1" w:styleId="AppendixNoTitle">
    <w:name w:val="Appendix_NoTitle"/>
    <w:basedOn w:val="AnnexNoTitle"/>
    <w:next w:val="Normal"/>
    <w:rsid w:val="006E5F1A"/>
  </w:style>
  <w:style w:type="paragraph" w:customStyle="1" w:styleId="Appendixref">
    <w:name w:val="Appendix_ref"/>
    <w:basedOn w:val="Annexref"/>
    <w:next w:val="Normal"/>
    <w:rsid w:val="006E5F1A"/>
  </w:style>
  <w:style w:type="paragraph" w:customStyle="1" w:styleId="ArtNo">
    <w:name w:val="Art_No"/>
    <w:basedOn w:val="Normal"/>
    <w:next w:val="Normal"/>
    <w:rsid w:val="006E5F1A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"/>
    <w:rsid w:val="006E5F1A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next w:val="Normal"/>
    <w:rsid w:val="006E5F1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Blanc">
    <w:name w:val="Blanc"/>
    <w:basedOn w:val="Normal"/>
    <w:next w:val="Tabletext"/>
    <w:rsid w:val="006E5F1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Call">
    <w:name w:val="Call"/>
    <w:basedOn w:val="Normal"/>
    <w:next w:val="Normal"/>
    <w:rsid w:val="006E5F1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E5F1A"/>
    <w:rPr>
      <w:b/>
    </w:rPr>
  </w:style>
  <w:style w:type="paragraph" w:customStyle="1" w:styleId="Chaptitle">
    <w:name w:val="Chap_title"/>
    <w:basedOn w:val="Arttitle"/>
    <w:next w:val="Normal"/>
    <w:rsid w:val="006E5F1A"/>
  </w:style>
  <w:style w:type="paragraph" w:customStyle="1" w:styleId="enumlev1">
    <w:name w:val="enumlev1"/>
    <w:basedOn w:val="Normal"/>
    <w:rsid w:val="006E5F1A"/>
    <w:pPr>
      <w:spacing w:before="80"/>
      <w:ind w:left="794" w:hanging="794"/>
    </w:pPr>
  </w:style>
  <w:style w:type="paragraph" w:customStyle="1" w:styleId="enumlev2">
    <w:name w:val="enumlev2"/>
    <w:basedOn w:val="enumlev1"/>
    <w:rsid w:val="006E5F1A"/>
    <w:pPr>
      <w:ind w:left="1191" w:hanging="397"/>
    </w:pPr>
  </w:style>
  <w:style w:type="paragraph" w:customStyle="1" w:styleId="enumlev3">
    <w:name w:val="enumlev3"/>
    <w:basedOn w:val="enumlev2"/>
    <w:rsid w:val="006E5F1A"/>
    <w:pPr>
      <w:ind w:left="1588"/>
    </w:pPr>
  </w:style>
  <w:style w:type="paragraph" w:customStyle="1" w:styleId="Equation">
    <w:name w:val="Equation"/>
    <w:basedOn w:val="Normal"/>
    <w:rsid w:val="006E5F1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6E5F1A"/>
    <w:pPr>
      <w:ind w:left="794"/>
    </w:pPr>
  </w:style>
  <w:style w:type="paragraph" w:customStyle="1" w:styleId="Equationlegend">
    <w:name w:val="Equation_legend"/>
    <w:basedOn w:val="NormalIndent"/>
    <w:rsid w:val="006E5F1A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customStyle="1" w:styleId="FigureNo">
    <w:name w:val="Figure_No"/>
    <w:basedOn w:val="Normal"/>
    <w:next w:val="Normal"/>
    <w:rsid w:val="006E5F1A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">
    <w:name w:val="Figure"/>
    <w:basedOn w:val="FigureNo"/>
    <w:next w:val="Normal"/>
    <w:rsid w:val="006E5F1A"/>
    <w:pPr>
      <w:keepNext w:val="0"/>
      <w:spacing w:before="0" w:after="240"/>
    </w:pPr>
  </w:style>
  <w:style w:type="paragraph" w:customStyle="1" w:styleId="Figurelegend">
    <w:name w:val="Figure_legend"/>
    <w:basedOn w:val="Normal"/>
    <w:rsid w:val="006E5F1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title">
    <w:name w:val="Figure_title"/>
    <w:basedOn w:val="Normal"/>
    <w:next w:val="Figure"/>
    <w:rsid w:val="006E5F1A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character" w:styleId="FootnoteReference">
    <w:name w:val="footnote reference"/>
    <w:basedOn w:val="DefaultParagraphFont"/>
    <w:rsid w:val="006E5F1A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6E5F1A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5F1A"/>
    <w:rPr>
      <w:lang w:val="fr-FR" w:eastAsia="en-US"/>
    </w:rPr>
  </w:style>
  <w:style w:type="character" w:customStyle="1" w:styleId="HeaderChar">
    <w:name w:val="Header Char"/>
    <w:basedOn w:val="DefaultParagraphFont"/>
    <w:link w:val="Header"/>
    <w:rsid w:val="006E5F1A"/>
    <w:rPr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6E5F1A"/>
    <w:rPr>
      <w:b/>
      <w:sz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6E5F1A"/>
    <w:rPr>
      <w:b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6E5F1A"/>
    <w:rPr>
      <w:b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6E5F1A"/>
    <w:rPr>
      <w:b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6E5F1A"/>
    <w:rPr>
      <w:b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6E5F1A"/>
    <w:rPr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6E5F1A"/>
    <w:rPr>
      <w:b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6E5F1A"/>
    <w:rPr>
      <w:b/>
      <w:sz w:val="22"/>
      <w:lang w:val="fr-FR" w:eastAsia="en-US"/>
    </w:rPr>
  </w:style>
  <w:style w:type="paragraph" w:customStyle="1" w:styleId="Headingb">
    <w:name w:val="Heading_b"/>
    <w:basedOn w:val="Heading3"/>
    <w:next w:val="Normal"/>
    <w:rsid w:val="006E5F1A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6E5F1A"/>
    <w:pPr>
      <w:spacing w:before="160"/>
      <w:ind w:left="0" w:firstLine="0"/>
    </w:pPr>
    <w:rPr>
      <w:b w:val="0"/>
      <w:i/>
    </w:rPr>
  </w:style>
  <w:style w:type="paragraph" w:customStyle="1" w:styleId="HeadingSum">
    <w:name w:val="Heading_Sum"/>
    <w:basedOn w:val="Headingb"/>
    <w:next w:val="Normal"/>
    <w:rsid w:val="006E5F1A"/>
    <w:pPr>
      <w:spacing w:before="240"/>
    </w:pPr>
    <w:rPr>
      <w:lang w:val="es-ES_tradnl"/>
    </w:rPr>
  </w:style>
  <w:style w:type="character" w:customStyle="1" w:styleId="href">
    <w:name w:val="href"/>
    <w:basedOn w:val="DefaultParagraphFont"/>
    <w:rsid w:val="006E5F1A"/>
  </w:style>
  <w:style w:type="character" w:styleId="Hyperlink">
    <w:name w:val="Hyperlink"/>
    <w:basedOn w:val="DefaultParagraphFont"/>
    <w:rsid w:val="006E5F1A"/>
    <w:rPr>
      <w:color w:val="0000FF"/>
      <w:u w:val="single"/>
    </w:rPr>
  </w:style>
  <w:style w:type="paragraph" w:styleId="Index1">
    <w:name w:val="index 1"/>
    <w:basedOn w:val="Normal"/>
    <w:next w:val="Normal"/>
    <w:rsid w:val="006E5F1A"/>
  </w:style>
  <w:style w:type="paragraph" w:styleId="Index2">
    <w:name w:val="index 2"/>
    <w:basedOn w:val="Normal"/>
    <w:next w:val="Normal"/>
    <w:rsid w:val="006E5F1A"/>
    <w:pPr>
      <w:ind w:left="283"/>
    </w:pPr>
  </w:style>
  <w:style w:type="paragraph" w:styleId="Index3">
    <w:name w:val="index 3"/>
    <w:basedOn w:val="Normal"/>
    <w:next w:val="Normal"/>
    <w:rsid w:val="006E5F1A"/>
    <w:pPr>
      <w:ind w:left="566"/>
    </w:pPr>
  </w:style>
  <w:style w:type="paragraph" w:styleId="IndexHeading">
    <w:name w:val="index heading"/>
    <w:basedOn w:val="Normal"/>
    <w:next w:val="Index1"/>
    <w:rsid w:val="006E5F1A"/>
  </w:style>
  <w:style w:type="paragraph" w:customStyle="1" w:styleId="Line">
    <w:name w:val="Line"/>
    <w:basedOn w:val="Normal"/>
    <w:next w:val="Normal"/>
    <w:rsid w:val="006E5F1A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Normalaftertitle">
    <w:name w:val="Normal_after_title"/>
    <w:basedOn w:val="Normal"/>
    <w:next w:val="Normal"/>
    <w:rsid w:val="006E5F1A"/>
    <w:pPr>
      <w:spacing w:before="320"/>
    </w:pPr>
  </w:style>
  <w:style w:type="paragraph" w:customStyle="1" w:styleId="Note">
    <w:name w:val="Note"/>
    <w:basedOn w:val="Normal"/>
    <w:rsid w:val="006E5F1A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PartNo">
    <w:name w:val="Part_No"/>
    <w:basedOn w:val="Normal"/>
    <w:next w:val="Normal"/>
    <w:rsid w:val="006E5F1A"/>
  </w:style>
  <w:style w:type="paragraph" w:customStyle="1" w:styleId="Partref">
    <w:name w:val="Part_ref"/>
    <w:basedOn w:val="Normal"/>
    <w:next w:val="Normal"/>
    <w:rsid w:val="006E5F1A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6E5F1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Recref">
    <w:name w:val="Rec_ref"/>
    <w:basedOn w:val="Normal"/>
    <w:next w:val="Normal"/>
    <w:rsid w:val="006E5F1A"/>
    <w:pPr>
      <w:jc w:val="center"/>
    </w:pPr>
  </w:style>
  <w:style w:type="paragraph" w:customStyle="1" w:styleId="Recdate">
    <w:name w:val="Rec_date"/>
    <w:basedOn w:val="Recref"/>
    <w:next w:val="Normalaftertitle"/>
    <w:rsid w:val="006E5F1A"/>
    <w:pPr>
      <w:jc w:val="right"/>
    </w:pPr>
  </w:style>
  <w:style w:type="paragraph" w:customStyle="1" w:styleId="Questiondate">
    <w:name w:val="Question_date"/>
    <w:basedOn w:val="Recdate"/>
    <w:next w:val="Normalaftertitle"/>
    <w:rsid w:val="006E5F1A"/>
  </w:style>
  <w:style w:type="paragraph" w:customStyle="1" w:styleId="RecNo">
    <w:name w:val="Rec_No"/>
    <w:basedOn w:val="Normal"/>
    <w:next w:val="Normal"/>
    <w:rsid w:val="006E5F1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QuestionNo">
    <w:name w:val="Question_No"/>
    <w:basedOn w:val="RecNo"/>
    <w:next w:val="Normal"/>
    <w:rsid w:val="006E5F1A"/>
  </w:style>
  <w:style w:type="paragraph" w:customStyle="1" w:styleId="Questionref">
    <w:name w:val="Question_ref"/>
    <w:basedOn w:val="Recref"/>
    <w:next w:val="Questiondate"/>
    <w:rsid w:val="006E5F1A"/>
  </w:style>
  <w:style w:type="paragraph" w:customStyle="1" w:styleId="Questiontitle">
    <w:name w:val="Question_title"/>
    <w:basedOn w:val="Normal"/>
    <w:next w:val="Questionref"/>
    <w:rsid w:val="006E5F1A"/>
  </w:style>
  <w:style w:type="paragraph" w:customStyle="1" w:styleId="Rectitle">
    <w:name w:val="Rec_title"/>
    <w:basedOn w:val="Normal"/>
    <w:next w:val="Recref"/>
    <w:uiPriority w:val="99"/>
    <w:rsid w:val="006E5F1A"/>
    <w:pPr>
      <w:keepNext/>
      <w:keepLines/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6E5F1A"/>
    <w:pPr>
      <w:ind w:left="794" w:hanging="794"/>
    </w:pPr>
  </w:style>
  <w:style w:type="paragraph" w:customStyle="1" w:styleId="Reftitle">
    <w:name w:val="Ref_title"/>
    <w:basedOn w:val="Normal"/>
    <w:next w:val="Reftext"/>
    <w:rsid w:val="006E5F1A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6E5F1A"/>
  </w:style>
  <w:style w:type="paragraph" w:customStyle="1" w:styleId="RepNo">
    <w:name w:val="Rep_No"/>
    <w:basedOn w:val="RecNo"/>
    <w:next w:val="Normal"/>
    <w:rsid w:val="006E5F1A"/>
  </w:style>
  <w:style w:type="paragraph" w:customStyle="1" w:styleId="Repref">
    <w:name w:val="Rep_ref"/>
    <w:basedOn w:val="Recref"/>
    <w:next w:val="Repdate"/>
    <w:rsid w:val="006E5F1A"/>
  </w:style>
  <w:style w:type="paragraph" w:customStyle="1" w:styleId="Reptitle">
    <w:name w:val="Rep_title"/>
    <w:basedOn w:val="Rectitle"/>
    <w:next w:val="Repref"/>
    <w:rsid w:val="006E5F1A"/>
  </w:style>
  <w:style w:type="paragraph" w:customStyle="1" w:styleId="Resdate">
    <w:name w:val="Res_date"/>
    <w:basedOn w:val="Recdate"/>
    <w:next w:val="Normalaftertitle"/>
    <w:rsid w:val="006E5F1A"/>
  </w:style>
  <w:style w:type="paragraph" w:customStyle="1" w:styleId="ResNo">
    <w:name w:val="Res_No"/>
    <w:basedOn w:val="RecNo"/>
    <w:next w:val="Normal"/>
    <w:rsid w:val="006E5F1A"/>
  </w:style>
  <w:style w:type="paragraph" w:customStyle="1" w:styleId="Resref">
    <w:name w:val="Res_ref"/>
    <w:basedOn w:val="Recref"/>
    <w:next w:val="Resdate"/>
    <w:rsid w:val="006E5F1A"/>
  </w:style>
  <w:style w:type="paragraph" w:customStyle="1" w:styleId="Restitle">
    <w:name w:val="Res_title"/>
    <w:basedOn w:val="Normal"/>
    <w:next w:val="Resref"/>
    <w:rsid w:val="006E5F1A"/>
    <w:pPr>
      <w:spacing w:before="240"/>
      <w:jc w:val="center"/>
    </w:pPr>
    <w:rPr>
      <w:b/>
      <w:sz w:val="26"/>
    </w:rPr>
  </w:style>
  <w:style w:type="paragraph" w:customStyle="1" w:styleId="SectionNo">
    <w:name w:val="Section_No"/>
    <w:basedOn w:val="Normal"/>
    <w:next w:val="Normal"/>
    <w:rsid w:val="006E5F1A"/>
  </w:style>
  <w:style w:type="paragraph" w:customStyle="1" w:styleId="Sectiontitle">
    <w:name w:val="Section_title"/>
    <w:basedOn w:val="Normal"/>
    <w:next w:val="Normalaftertitle"/>
    <w:rsid w:val="006E5F1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Summary">
    <w:name w:val="Summary"/>
    <w:basedOn w:val="Normal"/>
    <w:next w:val="Normalaftertitle"/>
    <w:rsid w:val="006E5F1A"/>
    <w:pPr>
      <w:spacing w:after="480"/>
    </w:pPr>
    <w:rPr>
      <w:lang w:val="es-ES_tradnl"/>
    </w:rPr>
  </w:style>
  <w:style w:type="paragraph" w:customStyle="1" w:styleId="Tablefin">
    <w:name w:val="Table_fin"/>
    <w:basedOn w:val="Normal"/>
    <w:next w:val="Normal"/>
    <w:rsid w:val="006E5F1A"/>
    <w:pPr>
      <w:spacing w:before="0"/>
    </w:pPr>
    <w:rPr>
      <w:sz w:val="20"/>
      <w:lang w:val="en-GB"/>
    </w:rPr>
  </w:style>
  <w:style w:type="paragraph" w:customStyle="1" w:styleId="Tablelegend">
    <w:name w:val="Table_legend"/>
    <w:basedOn w:val="Normal"/>
    <w:rsid w:val="006E5F1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LegendNote">
    <w:name w:val="Table_Legend_Note"/>
    <w:basedOn w:val="Tablelegend"/>
    <w:next w:val="Tablelegend"/>
    <w:rsid w:val="006E5F1A"/>
    <w:pPr>
      <w:ind w:left="-85" w:firstLine="0"/>
    </w:pPr>
    <w:rPr>
      <w:lang w:val="en-US"/>
    </w:rPr>
  </w:style>
  <w:style w:type="paragraph" w:customStyle="1" w:styleId="TableNo">
    <w:name w:val="Table_No"/>
    <w:basedOn w:val="Normal"/>
    <w:next w:val="Normal"/>
    <w:rsid w:val="006E5F1A"/>
    <w:pPr>
      <w:keepNext/>
      <w:spacing w:before="360" w:after="120"/>
      <w:jc w:val="center"/>
    </w:pPr>
  </w:style>
  <w:style w:type="paragraph" w:customStyle="1" w:styleId="Tabletitle">
    <w:name w:val="Table_title"/>
    <w:basedOn w:val="Normal"/>
    <w:next w:val="Tablehead"/>
    <w:rsid w:val="006E5F1A"/>
    <w:pPr>
      <w:keepNext/>
      <w:spacing w:before="0" w:after="120"/>
      <w:jc w:val="center"/>
    </w:pPr>
    <w:rPr>
      <w:b/>
    </w:rPr>
  </w:style>
  <w:style w:type="paragraph" w:customStyle="1" w:styleId="toc0">
    <w:name w:val="toc 0"/>
    <w:basedOn w:val="Normal"/>
    <w:next w:val="TOC1"/>
    <w:rsid w:val="006E5F1A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6E5F1A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6E5F1A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rsid w:val="006E5F1A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rsid w:val="006E5F1A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rsid w:val="006E5F1A"/>
  </w:style>
  <w:style w:type="paragraph" w:styleId="TOC6">
    <w:name w:val="toc 6"/>
    <w:basedOn w:val="TOC4"/>
    <w:rsid w:val="006E5F1A"/>
  </w:style>
  <w:style w:type="paragraph" w:styleId="TOC7">
    <w:name w:val="toc 7"/>
    <w:basedOn w:val="TOC4"/>
    <w:rsid w:val="006E5F1A"/>
  </w:style>
  <w:style w:type="paragraph" w:styleId="TOC8">
    <w:name w:val="toc 8"/>
    <w:basedOn w:val="TOC4"/>
    <w:rsid w:val="006E5F1A"/>
  </w:style>
  <w:style w:type="paragraph" w:customStyle="1" w:styleId="tocpart">
    <w:name w:val="tocpart"/>
    <w:basedOn w:val="Normal"/>
    <w:rsid w:val="006E5F1A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toctemp">
    <w:name w:val="toctemp"/>
    <w:basedOn w:val="Normal"/>
    <w:rsid w:val="006E5F1A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QuickPub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21</TotalTime>
  <Pages>14</Pages>
  <Words>3232</Words>
  <Characters>21879</Characters>
  <Application>Microsoft Office Word</Application>
  <DocSecurity>0</DocSecurity>
  <Lines>182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Rec. ITU-R SA.1157-1</vt:lpstr>
    </vt:vector>
  </TitlesOfParts>
  <Company>ITU</Company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Рек. ITU-R SA.1157-1  Критерии защиты для исследования дальнего космоса</dc:title>
  <dc:subject/>
  <dc:creator>Egorov</dc:creator>
  <cp:keywords/>
  <dc:description/>
  <cp:lastModifiedBy>Berdyeva, Elena</cp:lastModifiedBy>
  <cp:revision>4</cp:revision>
  <cp:lastPrinted>2006-07-07T09:46:00Z</cp:lastPrinted>
  <dcterms:created xsi:type="dcterms:W3CDTF">2023-11-02T10:32:00Z</dcterms:created>
  <dcterms:modified xsi:type="dcterms:W3CDTF">2023-11-02T10:58:00Z</dcterms:modified>
</cp:coreProperties>
</file>