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88747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lang w:val="en-GB" w:eastAsia="zh-CN"/>
        </w:rPr>
        <mc:AlternateContent>
          <mc:Choice Requires="wps">
            <w:drawing>
              <wp:anchor distT="0" distB="0" distL="114300" distR="114300" simplePos="0" relativeHeight="251656704" behindDoc="0" locked="0" layoutInCell="1" allowOverlap="1" wp14:anchorId="5D9C5A55" wp14:editId="524257DA">
                <wp:simplePos x="0" y="0"/>
                <wp:positionH relativeFrom="column">
                  <wp:posOffset>372745</wp:posOffset>
                </wp:positionH>
                <wp:positionV relativeFrom="paragraph">
                  <wp:posOffset>4329430</wp:posOffset>
                </wp:positionV>
                <wp:extent cx="589153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5B9" w:rsidRPr="005F01A2" w:rsidRDefault="000935B9" w:rsidP="0088747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معايير الحماية المتعلقة بتشغيل الأنظمة</w:t>
                            </w:r>
                            <w:r w:rsidR="0088747E">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الساتلية لترحيل البيانات</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C5A55" id="_x0000_t202" coordsize="21600,21600" o:spt="202" path="m,l,21600r21600,l21600,xe">
                <v:stroke joinstyle="miter"/>
                <v:path gradientshapeok="t" o:connecttype="rect"/>
              </v:shapetype>
              <v:shape id="Text Box 2859" o:spid="_x0000_s1026" type="#_x0000_t202" style="position:absolute;left:0;text-align:left;margin-left:29.35pt;margin-top:340.9pt;width:463.9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fRuQIAAL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" filled="f" stroked="f">
                <v:textbox>
                  <w:txbxContent>
                    <w:p w:rsidR="000935B9" w:rsidRPr="005F01A2" w:rsidRDefault="000935B9" w:rsidP="0088747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معايير الحماية المتعلقة بتشغيل الأنظمة</w:t>
                      </w:r>
                      <w:r w:rsidR="0088747E">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الساتلية لترحيل البيانات</w:t>
                      </w:r>
                      <w:r w:rsidRPr="005F01A2">
                        <w:rPr>
                          <w:rFonts w:ascii="Tahoma" w:hAnsi="Tahoma" w:hint="cs"/>
                          <w:b/>
                          <w:bCs/>
                          <w:color w:val="000068"/>
                          <w:sz w:val="40"/>
                          <w:szCs w:val="72"/>
                          <w:rtl/>
                          <w:lang w:bidi="ar-EG"/>
                        </w:rPr>
                        <w:t xml:space="preserve"> </w:t>
                      </w:r>
                    </w:p>
                  </w:txbxContent>
                </v:textbox>
              </v:shape>
            </w:pict>
          </mc:Fallback>
        </mc:AlternateContent>
      </w:r>
      <w:bookmarkStart w:id="0" w:name="_GoBack"/>
      <w:bookmarkEnd w:id="0"/>
      <w:r w:rsidR="00796E2D">
        <w:rPr>
          <w:noProof/>
          <w:rtl/>
          <w:lang w:val="en-GB" w:eastAsia="zh-CN"/>
        </w:rPr>
        <mc:AlternateContent>
          <mc:Choice Requires="wps">
            <w:drawing>
              <wp:anchor distT="0" distB="0" distL="114300" distR="114300" simplePos="0" relativeHeight="251658752" behindDoc="0" locked="0" layoutInCell="1" allowOverlap="1" wp14:anchorId="61A8F5A0" wp14:editId="29E3E66D">
                <wp:simplePos x="0" y="0"/>
                <wp:positionH relativeFrom="column">
                  <wp:posOffset>373379</wp:posOffset>
                </wp:positionH>
                <wp:positionV relativeFrom="paragraph">
                  <wp:posOffset>6841490</wp:posOffset>
                </wp:positionV>
                <wp:extent cx="3533775"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5B9" w:rsidRPr="005F01A2" w:rsidRDefault="000935B9" w:rsidP="00796E2D">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0935B9" w:rsidRPr="005F01A2" w:rsidRDefault="000935B9" w:rsidP="00796E2D">
                            <w:pPr>
                              <w:spacing w:line="168" w:lineRule="auto"/>
                              <w:ind w:right="-126"/>
                              <w:jc w:val="right"/>
                              <w:rPr>
                                <w:rFonts w:ascii="Tahoma" w:hAnsi="Tahoma"/>
                                <w:b/>
                                <w:bCs/>
                                <w:color w:val="000068"/>
                                <w:sz w:val="36"/>
                                <w:szCs w:val="56"/>
                                <w:rtl/>
                              </w:rPr>
                            </w:pPr>
                            <w:r w:rsidRPr="00796E2D">
                              <w:rPr>
                                <w:rFonts w:ascii="Tahoma" w:hAnsi="Tahoma" w:hint="cs"/>
                                <w:b/>
                                <w:bCs/>
                                <w:color w:val="000068"/>
                                <w:sz w:val="36"/>
                                <w:szCs w:val="56"/>
                                <w:rtl/>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8F5A0" id="_x0000_t202" coordsize="21600,21600" o:spt="202" path="m,l,21600r21600,l21600,xe">
                <v:stroke joinstyle="miter"/>
                <v:path gradientshapeok="t" o:connecttype="rect"/>
              </v:shapetype>
              <v:shape id="Text Box 2862" o:spid="_x0000_s1027" type="#_x0000_t202" style="position:absolute;left:0;text-align:left;margin-left:29.4pt;margin-top:538.7pt;width:278.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UivQIAAMQ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" filled="f" stroked="f">
                <v:textbox>
                  <w:txbxContent>
                    <w:p w:rsidR="000935B9" w:rsidRPr="005F01A2" w:rsidRDefault="000935B9" w:rsidP="00796E2D">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0935B9" w:rsidRPr="005F01A2" w:rsidRDefault="000935B9" w:rsidP="00796E2D">
                      <w:pPr>
                        <w:spacing w:line="168" w:lineRule="auto"/>
                        <w:ind w:right="-126"/>
                        <w:jc w:val="right"/>
                        <w:rPr>
                          <w:rFonts w:ascii="Tahoma" w:hAnsi="Tahoma"/>
                          <w:b/>
                          <w:bCs/>
                          <w:color w:val="000068"/>
                          <w:sz w:val="36"/>
                          <w:szCs w:val="56"/>
                          <w:rtl/>
                        </w:rPr>
                      </w:pPr>
                      <w:r w:rsidRPr="00796E2D">
                        <w:rPr>
                          <w:rFonts w:ascii="Tahoma" w:hAnsi="Tahoma" w:hint="cs"/>
                          <w:b/>
                          <w:bCs/>
                          <w:color w:val="000068"/>
                          <w:sz w:val="36"/>
                          <w:szCs w:val="56"/>
                          <w:rtl/>
                        </w:rPr>
                        <w:t>التطبيقات الفضائية والأرصاد الجوية</w:t>
                      </w:r>
                    </w:p>
                  </w:txbxContent>
                </v:textbox>
              </v:shape>
            </w:pict>
          </mc:Fallback>
        </mc:AlternateContent>
      </w:r>
      <w:r w:rsidR="00A25521">
        <w:rPr>
          <w:noProof/>
          <w:rtl/>
          <w:lang w:val="en-GB" w:eastAsia="zh-CN"/>
        </w:rPr>
        <mc:AlternateContent>
          <mc:Choice Requires="wps">
            <w:drawing>
              <wp:anchor distT="0" distB="0" distL="114300" distR="114300" simplePos="0" relativeHeight="251657728" behindDoc="0" locked="0" layoutInCell="1" allowOverlap="1" wp14:anchorId="270B9B45" wp14:editId="03507E56">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5B9" w:rsidRPr="009C6655" w:rsidRDefault="00A30D97" w:rsidP="00684B1D">
                            <w:pPr>
                              <w:spacing w:before="0"/>
                              <w:ind w:right="-125"/>
                              <w:jc w:val="right"/>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000935B9" w:rsidRPr="005F01A2">
                              <w:rPr>
                                <w:rFonts w:ascii="Tahoma" w:hAnsi="Tahoma" w:hint="cs"/>
                                <w:b/>
                                <w:bCs/>
                                <w:color w:val="000068"/>
                                <w:sz w:val="36"/>
                                <w:szCs w:val="56"/>
                                <w:rtl/>
                                <w:lang w:bidi="ar-EG"/>
                              </w:rPr>
                              <w:t xml:space="preserve">  </w:t>
                            </w:r>
                            <w:r w:rsidR="000935B9" w:rsidRPr="005F01A2">
                              <w:rPr>
                                <w:rFonts w:ascii="Tahoma" w:hAnsi="Tahoma"/>
                                <w:b/>
                                <w:bCs/>
                                <w:color w:val="000068"/>
                                <w:sz w:val="36"/>
                                <w:szCs w:val="56"/>
                                <w:lang w:bidi="ar-EG"/>
                              </w:rPr>
                              <w:t>ITU</w:t>
                            </w:r>
                            <w:proofErr w:type="gramEnd"/>
                            <w:r w:rsidR="000935B9" w:rsidRPr="005F01A2">
                              <w:rPr>
                                <w:rFonts w:ascii="Tahoma" w:hAnsi="Tahoma"/>
                                <w:b/>
                                <w:bCs/>
                                <w:color w:val="000068"/>
                                <w:sz w:val="36"/>
                                <w:szCs w:val="56"/>
                                <w:lang w:bidi="ar-EG"/>
                              </w:rPr>
                              <w:t>-R  </w:t>
                            </w:r>
                            <w:r w:rsidR="000935B9">
                              <w:rPr>
                                <w:rFonts w:ascii="Tahoma" w:hAnsi="Tahoma"/>
                                <w:b/>
                                <w:bCs/>
                                <w:color w:val="000068"/>
                                <w:sz w:val="36"/>
                                <w:szCs w:val="56"/>
                                <w:lang w:bidi="ar-EG"/>
                              </w:rPr>
                              <w:t>SA</w:t>
                            </w:r>
                            <w:r w:rsidR="000935B9" w:rsidRPr="005F01A2">
                              <w:rPr>
                                <w:rFonts w:ascii="Tahoma" w:hAnsi="Tahoma"/>
                                <w:b/>
                                <w:bCs/>
                                <w:color w:val="000068"/>
                                <w:sz w:val="36"/>
                                <w:szCs w:val="56"/>
                                <w:lang w:bidi="ar-EG"/>
                              </w:rPr>
                              <w:t>.</w:t>
                            </w:r>
                            <w:r w:rsidR="000935B9">
                              <w:rPr>
                                <w:rFonts w:ascii="Tahoma" w:hAnsi="Tahoma"/>
                                <w:b/>
                                <w:bCs/>
                                <w:color w:val="000068"/>
                                <w:sz w:val="36"/>
                                <w:szCs w:val="56"/>
                                <w:lang w:bidi="ar-EG"/>
                              </w:rPr>
                              <w:t>1155-</w:t>
                            </w:r>
                            <w:r w:rsidR="00684B1D">
                              <w:rPr>
                                <w:rFonts w:ascii="Tahoma" w:hAnsi="Tahoma"/>
                                <w:b/>
                                <w:bCs/>
                                <w:color w:val="000068"/>
                                <w:sz w:val="36"/>
                                <w:szCs w:val="56"/>
                                <w:lang w:bidi="ar-EG"/>
                              </w:rPr>
                              <w:t>2</w:t>
                            </w:r>
                            <w:r w:rsidR="000935B9" w:rsidRPr="005F3E06">
                              <w:rPr>
                                <w:rFonts w:ascii="Times New Roman Bold" w:hAnsi="Times New Roman Bold"/>
                                <w:b/>
                                <w:bCs/>
                                <w:color w:val="000068"/>
                                <w:sz w:val="32"/>
                                <w:szCs w:val="46"/>
                                <w:rtl/>
                                <w:lang w:bidi="ar-EG"/>
                              </w:rPr>
                              <w:br/>
                            </w:r>
                            <w:r w:rsidR="000935B9" w:rsidRPr="005F01A2">
                              <w:rPr>
                                <w:rFonts w:ascii="Tahoma" w:hAnsi="Tahoma" w:cs="Tahoma"/>
                                <w:b/>
                                <w:bCs/>
                                <w:color w:val="000068"/>
                                <w:sz w:val="24"/>
                                <w:szCs w:val="24"/>
                                <w:lang w:bidi="ar-EG"/>
                              </w:rPr>
                              <w:t>(</w:t>
                            </w:r>
                            <w:r w:rsidR="000935B9">
                              <w:rPr>
                                <w:rFonts w:ascii="Tahoma" w:hAnsi="Tahoma" w:cs="Tahoma"/>
                                <w:b/>
                                <w:bCs/>
                                <w:color w:val="000068"/>
                                <w:sz w:val="24"/>
                                <w:szCs w:val="24"/>
                                <w:lang w:bidi="ar-EG"/>
                              </w:rPr>
                              <w:t>201</w:t>
                            </w:r>
                            <w:r w:rsidR="00684B1D">
                              <w:rPr>
                                <w:rFonts w:ascii="Tahoma" w:hAnsi="Tahoma" w:cs="Tahoma"/>
                                <w:b/>
                                <w:bCs/>
                                <w:color w:val="000068"/>
                                <w:sz w:val="24"/>
                                <w:szCs w:val="24"/>
                                <w:lang w:bidi="ar-EG"/>
                              </w:rPr>
                              <w:t>7</w:t>
                            </w:r>
                            <w:r w:rsidR="000935B9">
                              <w:rPr>
                                <w:rFonts w:ascii="Tahoma" w:hAnsi="Tahoma" w:cs="Tahoma"/>
                                <w:b/>
                                <w:bCs/>
                                <w:color w:val="000068"/>
                                <w:sz w:val="24"/>
                                <w:szCs w:val="24"/>
                                <w:lang w:bidi="ar-EG"/>
                              </w:rPr>
                              <w:t>/</w:t>
                            </w:r>
                            <w:r w:rsidR="00684B1D">
                              <w:rPr>
                                <w:rFonts w:ascii="Tahoma" w:hAnsi="Tahoma" w:cs="Tahoma"/>
                                <w:b/>
                                <w:bCs/>
                                <w:color w:val="000068"/>
                                <w:sz w:val="24"/>
                                <w:szCs w:val="24"/>
                                <w:lang w:bidi="ar-EG"/>
                              </w:rPr>
                              <w:t>07</w:t>
                            </w:r>
                            <w:r w:rsidR="000935B9"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9B45"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935B9" w:rsidRPr="009C6655" w:rsidRDefault="00A30D97" w:rsidP="00684B1D">
                      <w:pPr>
                        <w:spacing w:before="0"/>
                        <w:ind w:right="-125"/>
                        <w:jc w:val="right"/>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000935B9" w:rsidRPr="005F01A2">
                        <w:rPr>
                          <w:rFonts w:ascii="Tahoma" w:hAnsi="Tahoma" w:hint="cs"/>
                          <w:b/>
                          <w:bCs/>
                          <w:color w:val="000068"/>
                          <w:sz w:val="36"/>
                          <w:szCs w:val="56"/>
                          <w:rtl/>
                          <w:lang w:bidi="ar-EG"/>
                        </w:rPr>
                        <w:t xml:space="preserve">  </w:t>
                      </w:r>
                      <w:r w:rsidR="000935B9" w:rsidRPr="005F01A2">
                        <w:rPr>
                          <w:rFonts w:ascii="Tahoma" w:hAnsi="Tahoma"/>
                          <w:b/>
                          <w:bCs/>
                          <w:color w:val="000068"/>
                          <w:sz w:val="36"/>
                          <w:szCs w:val="56"/>
                          <w:lang w:bidi="ar-EG"/>
                        </w:rPr>
                        <w:t>ITU</w:t>
                      </w:r>
                      <w:proofErr w:type="gramEnd"/>
                      <w:r w:rsidR="000935B9" w:rsidRPr="005F01A2">
                        <w:rPr>
                          <w:rFonts w:ascii="Tahoma" w:hAnsi="Tahoma"/>
                          <w:b/>
                          <w:bCs/>
                          <w:color w:val="000068"/>
                          <w:sz w:val="36"/>
                          <w:szCs w:val="56"/>
                          <w:lang w:bidi="ar-EG"/>
                        </w:rPr>
                        <w:t>-R  </w:t>
                      </w:r>
                      <w:r w:rsidR="000935B9">
                        <w:rPr>
                          <w:rFonts w:ascii="Tahoma" w:hAnsi="Tahoma"/>
                          <w:b/>
                          <w:bCs/>
                          <w:color w:val="000068"/>
                          <w:sz w:val="36"/>
                          <w:szCs w:val="56"/>
                          <w:lang w:bidi="ar-EG"/>
                        </w:rPr>
                        <w:t>SA</w:t>
                      </w:r>
                      <w:r w:rsidR="000935B9" w:rsidRPr="005F01A2">
                        <w:rPr>
                          <w:rFonts w:ascii="Tahoma" w:hAnsi="Tahoma"/>
                          <w:b/>
                          <w:bCs/>
                          <w:color w:val="000068"/>
                          <w:sz w:val="36"/>
                          <w:szCs w:val="56"/>
                          <w:lang w:bidi="ar-EG"/>
                        </w:rPr>
                        <w:t>.</w:t>
                      </w:r>
                      <w:r w:rsidR="000935B9">
                        <w:rPr>
                          <w:rFonts w:ascii="Tahoma" w:hAnsi="Tahoma"/>
                          <w:b/>
                          <w:bCs/>
                          <w:color w:val="000068"/>
                          <w:sz w:val="36"/>
                          <w:szCs w:val="56"/>
                          <w:lang w:bidi="ar-EG"/>
                        </w:rPr>
                        <w:t>1155-</w:t>
                      </w:r>
                      <w:r w:rsidR="00684B1D">
                        <w:rPr>
                          <w:rFonts w:ascii="Tahoma" w:hAnsi="Tahoma"/>
                          <w:b/>
                          <w:bCs/>
                          <w:color w:val="000068"/>
                          <w:sz w:val="36"/>
                          <w:szCs w:val="56"/>
                          <w:lang w:bidi="ar-EG"/>
                        </w:rPr>
                        <w:t>2</w:t>
                      </w:r>
                      <w:r w:rsidR="000935B9" w:rsidRPr="005F3E06">
                        <w:rPr>
                          <w:rFonts w:ascii="Times New Roman Bold" w:hAnsi="Times New Roman Bold"/>
                          <w:b/>
                          <w:bCs/>
                          <w:color w:val="000068"/>
                          <w:sz w:val="32"/>
                          <w:szCs w:val="46"/>
                          <w:rtl/>
                          <w:lang w:bidi="ar-EG"/>
                        </w:rPr>
                        <w:br/>
                      </w:r>
                      <w:r w:rsidR="000935B9" w:rsidRPr="005F01A2">
                        <w:rPr>
                          <w:rFonts w:ascii="Tahoma" w:hAnsi="Tahoma" w:cs="Tahoma"/>
                          <w:b/>
                          <w:bCs/>
                          <w:color w:val="000068"/>
                          <w:sz w:val="24"/>
                          <w:szCs w:val="24"/>
                          <w:lang w:bidi="ar-EG"/>
                        </w:rPr>
                        <w:t>(</w:t>
                      </w:r>
                      <w:r w:rsidR="000935B9">
                        <w:rPr>
                          <w:rFonts w:ascii="Tahoma" w:hAnsi="Tahoma" w:cs="Tahoma"/>
                          <w:b/>
                          <w:bCs/>
                          <w:color w:val="000068"/>
                          <w:sz w:val="24"/>
                          <w:szCs w:val="24"/>
                          <w:lang w:bidi="ar-EG"/>
                        </w:rPr>
                        <w:t>201</w:t>
                      </w:r>
                      <w:r w:rsidR="00684B1D">
                        <w:rPr>
                          <w:rFonts w:ascii="Tahoma" w:hAnsi="Tahoma" w:cs="Tahoma"/>
                          <w:b/>
                          <w:bCs/>
                          <w:color w:val="000068"/>
                          <w:sz w:val="24"/>
                          <w:szCs w:val="24"/>
                          <w:lang w:bidi="ar-EG"/>
                        </w:rPr>
                        <w:t>7</w:t>
                      </w:r>
                      <w:r w:rsidR="000935B9">
                        <w:rPr>
                          <w:rFonts w:ascii="Tahoma" w:hAnsi="Tahoma" w:cs="Tahoma"/>
                          <w:b/>
                          <w:bCs/>
                          <w:color w:val="000068"/>
                          <w:sz w:val="24"/>
                          <w:szCs w:val="24"/>
                          <w:lang w:bidi="ar-EG"/>
                        </w:rPr>
                        <w:t>/</w:t>
                      </w:r>
                      <w:r w:rsidR="00684B1D">
                        <w:rPr>
                          <w:rFonts w:ascii="Tahoma" w:hAnsi="Tahoma" w:cs="Tahoma"/>
                          <w:b/>
                          <w:bCs/>
                          <w:color w:val="000068"/>
                          <w:sz w:val="24"/>
                          <w:szCs w:val="24"/>
                          <w:lang w:bidi="ar-EG"/>
                        </w:rPr>
                        <w:t>07</w:t>
                      </w:r>
                      <w:r w:rsidR="000935B9"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636AA2" w:rsidRDefault="005E066B" w:rsidP="008A4F64">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636AA2">
        <w:rPr>
          <w:rFonts w:hint="cs"/>
          <w:sz w:val="20"/>
          <w:szCs w:val="26"/>
          <w:rtl/>
          <w:lang w:val="ru-RU"/>
        </w:rPr>
        <w:t>وقطاع الاتصالات الراديوية والمنظمة الدولية للتوحيد القياسي واللجنة الكهرتقنية الدولية</w:t>
      </w:r>
      <w:r w:rsidRPr="00636AA2">
        <w:rPr>
          <w:rFonts w:hint="cs"/>
          <w:sz w:val="20"/>
          <w:szCs w:val="26"/>
          <w:rtl/>
        </w:rPr>
        <w:t xml:space="preserve"> </w:t>
      </w:r>
      <w:r w:rsidRPr="00636AA2">
        <w:rPr>
          <w:sz w:val="20"/>
          <w:szCs w:val="26"/>
          <w:lang w:bidi="ar-EG"/>
        </w:rPr>
        <w:t>(ITU</w:t>
      </w:r>
      <w:r w:rsidRPr="00636AA2">
        <w:rPr>
          <w:sz w:val="20"/>
          <w:szCs w:val="26"/>
          <w:lang w:bidi="ar-EG"/>
        </w:rPr>
        <w:noBreakHyphen/>
        <w:t>T/ITU</w:t>
      </w:r>
      <w:r w:rsidRPr="00636AA2">
        <w:rPr>
          <w:sz w:val="20"/>
          <w:szCs w:val="26"/>
          <w:lang w:bidi="ar-EG"/>
        </w:rPr>
        <w:noBreakHyphen/>
        <w:t>R/ISO/IEC)</w:t>
      </w:r>
      <w:r w:rsidRPr="00636AA2">
        <w:rPr>
          <w:rFonts w:hint="cs"/>
          <w:sz w:val="20"/>
          <w:szCs w:val="26"/>
          <w:rtl/>
          <w:lang w:bidi="ar-EG"/>
        </w:rPr>
        <w:t xml:space="preserve"> والمشار إليها في الملحق</w:t>
      </w:r>
      <w:r w:rsidR="008A4F64">
        <w:rPr>
          <w:rFonts w:hint="eastAsia"/>
          <w:sz w:val="20"/>
          <w:szCs w:val="26"/>
          <w:rtl/>
          <w:lang w:bidi="ar-EG"/>
        </w:rPr>
        <w:t> </w:t>
      </w:r>
      <w:r w:rsidRPr="00636AA2">
        <w:rPr>
          <w:sz w:val="20"/>
          <w:szCs w:val="26"/>
          <w:lang w:bidi="ar-EG"/>
        </w:rPr>
        <w:t>1</w:t>
      </w:r>
      <w:r w:rsidRPr="00636AA2">
        <w:rPr>
          <w:rFonts w:hint="cs"/>
          <w:sz w:val="20"/>
          <w:szCs w:val="26"/>
          <w:rtl/>
          <w:lang w:bidi="ar-EG"/>
        </w:rPr>
        <w:t xml:space="preserve"> </w:t>
      </w:r>
      <w:r w:rsidRPr="00636AA2">
        <w:rPr>
          <w:rFonts w:hint="cs"/>
          <w:spacing w:val="6"/>
          <w:sz w:val="20"/>
          <w:szCs w:val="26"/>
          <w:rtl/>
          <w:lang w:bidi="ar-EG"/>
        </w:rPr>
        <w:t>بالقرار</w:t>
      </w:r>
      <w:r w:rsidR="00636AA2" w:rsidRPr="00636AA2">
        <w:rPr>
          <w:rFonts w:hint="eastAsia"/>
          <w:spacing w:val="6"/>
          <w:sz w:val="20"/>
          <w:szCs w:val="26"/>
          <w:rtl/>
          <w:lang w:bidi="ar-EG"/>
        </w:rPr>
        <w:t> </w:t>
      </w:r>
      <w:r w:rsidRPr="00636AA2">
        <w:rPr>
          <w:spacing w:val="6"/>
          <w:sz w:val="20"/>
          <w:szCs w:val="26"/>
          <w:lang w:bidi="ar-EG"/>
        </w:rPr>
        <w:t>ITU</w:t>
      </w:r>
      <w:r w:rsidR="00796E2D" w:rsidRPr="00636AA2">
        <w:rPr>
          <w:spacing w:val="6"/>
          <w:sz w:val="20"/>
          <w:szCs w:val="26"/>
          <w:lang w:bidi="ar-EG"/>
        </w:rPr>
        <w:noBreakHyphen/>
      </w:r>
      <w:r w:rsidRPr="00636AA2">
        <w:rPr>
          <w:spacing w:val="6"/>
          <w:sz w:val="20"/>
          <w:szCs w:val="26"/>
          <w:lang w:bidi="ar-EG"/>
        </w:rPr>
        <w:t>R 1</w:t>
      </w:r>
      <w:r w:rsidRPr="00636AA2">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8A4F64">
        <w:rPr>
          <w:rFonts w:hint="eastAsia"/>
          <w:spacing w:val="6"/>
          <w:sz w:val="20"/>
          <w:szCs w:val="26"/>
          <w:rtl/>
          <w:lang w:bidi="ar-EG"/>
        </w:rPr>
        <w:t> </w:t>
      </w:r>
      <w:r w:rsidRPr="00636AA2">
        <w:rPr>
          <w:rFonts w:hint="cs"/>
          <w:spacing w:val="6"/>
          <w:sz w:val="20"/>
          <w:szCs w:val="26"/>
          <w:rtl/>
          <w:lang w:bidi="ar-EG"/>
        </w:rPr>
        <w:t xml:space="preserve">الموقع </w:t>
      </w:r>
      <w:r w:rsidRPr="00636AA2">
        <w:rPr>
          <w:rFonts w:hint="cs"/>
          <w:spacing w:val="4"/>
          <w:sz w:val="20"/>
          <w:szCs w:val="26"/>
          <w:rtl/>
          <w:lang w:bidi="ar-EG"/>
        </w:rPr>
        <w:t xml:space="preserve">الإلكتروني </w:t>
      </w:r>
      <w:hyperlink r:id="rId10" w:history="1">
        <w:r w:rsidRPr="00636AA2">
          <w:rPr>
            <w:rStyle w:val="Hyperlink"/>
            <w:spacing w:val="4"/>
            <w:sz w:val="20"/>
            <w:szCs w:val="26"/>
          </w:rPr>
          <w:t>http://www.itu.int/ITU-R/go/patents/en</w:t>
        </w:r>
      </w:hyperlink>
      <w:r w:rsidRPr="00636AA2">
        <w:rPr>
          <w:rFonts w:hint="cs"/>
          <w:spacing w:val="4"/>
          <w:sz w:val="20"/>
          <w:szCs w:val="26"/>
          <w:rtl/>
          <w:lang w:bidi="ar-EG"/>
        </w:rPr>
        <w:t xml:space="preserve"> حيث يمكن أيضاً الاطلاع على المبادئ التوجيهية الخاصة بتطبيق سياسة البراءات</w:t>
      </w:r>
      <w:r w:rsidRPr="00636AA2">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88747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88747E" w:rsidRPr="0088747E">
                <w:rPr>
                  <w:rStyle w:val="Hyperlink"/>
                  <w:sz w:val="18"/>
                  <w:szCs w:val="24"/>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1F512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0935B9">
              <w:rPr>
                <w:b/>
                <w:bCs/>
                <w:sz w:val="20"/>
                <w:szCs w:val="26"/>
              </w:rPr>
              <w:t>BS</w:t>
            </w:r>
            <w:r w:rsidRPr="002E6ECC">
              <w:rPr>
                <w:rFonts w:hint="cs"/>
                <w:b/>
                <w:bCs/>
                <w:color w:val="000080"/>
                <w:sz w:val="20"/>
                <w:szCs w:val="26"/>
                <w:rtl/>
              </w:rPr>
              <w:tab/>
            </w:r>
            <w:r w:rsidRPr="000935B9">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36AA2">
              <w:rPr>
                <w:rFonts w:hint="cs"/>
                <w:sz w:val="20"/>
                <w:szCs w:val="26"/>
                <w:rtl/>
                <w:lang w:val="ru-RU"/>
              </w:rPr>
              <w:t>ُ</w:t>
            </w:r>
            <w:r w:rsidRPr="008113E9">
              <w:rPr>
                <w:rFonts w:hint="cs"/>
                <w:sz w:val="20"/>
                <w:szCs w:val="26"/>
                <w:rtl/>
                <w:lang w:val="ru-RU"/>
              </w:rPr>
              <w:t>عد</w:t>
            </w:r>
          </w:p>
        </w:tc>
      </w:tr>
      <w:tr w:rsidR="00E964C9" w:rsidRPr="00440F51" w:rsidTr="00E60DB1">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30D97">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8113E9" w:rsidRDefault="00E964C9" w:rsidP="00E964C9">
            <w:pPr>
              <w:tabs>
                <w:tab w:val="left" w:pos="1471"/>
              </w:tabs>
              <w:spacing w:before="20" w:after="40" w:line="240" w:lineRule="exact"/>
              <w:rPr>
                <w:sz w:val="20"/>
                <w:szCs w:val="26"/>
                <w:lang w:val="ru-RU"/>
              </w:rPr>
            </w:pPr>
            <w:r w:rsidRPr="00796E2D">
              <w:rPr>
                <w:b/>
                <w:bCs/>
                <w:color w:val="000080"/>
                <w:sz w:val="20"/>
                <w:szCs w:val="26"/>
              </w:rPr>
              <w:t>SA</w:t>
            </w:r>
            <w:r>
              <w:rPr>
                <w:rFonts w:hint="cs"/>
                <w:b/>
                <w:bCs/>
                <w:sz w:val="20"/>
                <w:szCs w:val="26"/>
                <w:rtl/>
              </w:rPr>
              <w:tab/>
            </w:r>
            <w:r w:rsidRPr="00796E2D">
              <w:rPr>
                <w:rFonts w:hint="cs"/>
                <w:b/>
                <w:bCs/>
                <w:color w:val="000080"/>
                <w:sz w:val="20"/>
                <w:szCs w:val="26"/>
                <w:rtl/>
              </w:rPr>
              <w:t>التطبيقات الفضائية والأرصاد الجوية</w:t>
            </w:r>
          </w:p>
        </w:tc>
      </w:tr>
      <w:tr w:rsidR="00E964C9" w:rsidRPr="00440F51" w:rsidTr="00E60DB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60DB1">
            <w:pPr>
              <w:ind w:left="284" w:right="284"/>
              <w:rPr>
                <w:b/>
                <w:bCs/>
                <w:i/>
                <w:iCs/>
                <w:sz w:val="21"/>
                <w:szCs w:val="26"/>
                <w:rtl/>
                <w:lang w:val="ru-RU"/>
              </w:rPr>
            </w:pPr>
            <w:r w:rsidRPr="00E60DB1">
              <w:rPr>
                <w:rFonts w:hint="cs"/>
                <w:b/>
                <w:bCs/>
                <w:i/>
                <w:iCs/>
                <w:spacing w:val="4"/>
                <w:sz w:val="21"/>
                <w:szCs w:val="26"/>
                <w:rtl/>
                <w:lang w:val="ru-RU"/>
              </w:rPr>
              <w:t>ملاحظة</w:t>
            </w:r>
            <w:r w:rsidRPr="00E60DB1">
              <w:rPr>
                <w:rFonts w:hint="cs"/>
                <w:i/>
                <w:iCs/>
                <w:spacing w:val="4"/>
                <w:sz w:val="21"/>
                <w:szCs w:val="26"/>
                <w:rtl/>
                <w:lang w:val="ru-RU"/>
              </w:rPr>
              <w:t xml:space="preserve">: </w:t>
            </w:r>
            <w:r w:rsidR="00D2107D" w:rsidRPr="00E60DB1">
              <w:rPr>
                <w:rFonts w:hint="cs"/>
                <w:i/>
                <w:iCs/>
                <w:spacing w:val="4"/>
                <w:sz w:val="21"/>
                <w:szCs w:val="26"/>
                <w:rtl/>
                <w:lang w:val="ru-RU"/>
              </w:rPr>
              <w:t xml:space="preserve">تمت الموافقة </w:t>
            </w:r>
            <w:r w:rsidRPr="00E60DB1">
              <w:rPr>
                <w:rFonts w:hint="cs"/>
                <w:i/>
                <w:iCs/>
                <w:spacing w:val="4"/>
                <w:sz w:val="21"/>
                <w:szCs w:val="26"/>
                <w:rtl/>
                <w:lang w:val="ru-RU"/>
              </w:rPr>
              <w:t xml:space="preserve">على النسخة الإنكليزية </w:t>
            </w:r>
            <w:r w:rsidR="00D2107D" w:rsidRPr="00E60DB1">
              <w:rPr>
                <w:rFonts w:hint="cs"/>
                <w:i/>
                <w:iCs/>
                <w:spacing w:val="4"/>
                <w:sz w:val="21"/>
                <w:szCs w:val="26"/>
                <w:rtl/>
                <w:lang w:val="ru-RU"/>
              </w:rPr>
              <w:t>لهذه التوصية</w:t>
            </w:r>
            <w:r w:rsidRPr="00E60DB1">
              <w:rPr>
                <w:rFonts w:hint="cs"/>
                <w:i/>
                <w:iCs/>
                <w:spacing w:val="4"/>
                <w:sz w:val="21"/>
                <w:szCs w:val="26"/>
                <w:rtl/>
                <w:lang w:val="ru-RU"/>
              </w:rPr>
              <w:t xml:space="preserve"> الصادر</w:t>
            </w:r>
            <w:r w:rsidR="00D2107D" w:rsidRPr="00E60DB1">
              <w:rPr>
                <w:rFonts w:hint="cs"/>
                <w:i/>
                <w:iCs/>
                <w:spacing w:val="4"/>
                <w:sz w:val="21"/>
                <w:szCs w:val="26"/>
                <w:rtl/>
                <w:lang w:val="ru-RU"/>
              </w:rPr>
              <w:t>ة</w:t>
            </w:r>
            <w:r w:rsidRPr="00E60DB1">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796E2D">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84B1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84B1D">
        <w:rPr>
          <w:sz w:val="20"/>
          <w:szCs w:val="26"/>
        </w:rPr>
        <w:t>8</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84B1D">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84B1D">
        <w:rPr>
          <w:sz w:val="21"/>
          <w:szCs w:val="20"/>
        </w:rPr>
        <w:t>8</w:t>
      </w:r>
      <w:proofErr w:type="gramEnd"/>
    </w:p>
    <w:p w:rsidR="005E066B" w:rsidRPr="00796E2D" w:rsidRDefault="00E60DB1" w:rsidP="00E60DB1">
      <w:pPr>
        <w:rPr>
          <w:spacing w:val="-6"/>
          <w:sz w:val="20"/>
          <w:szCs w:val="26"/>
          <w:rtl/>
          <w:lang w:bidi="ar-EG"/>
        </w:rPr>
      </w:pPr>
      <w:r w:rsidRPr="00F84E7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F84E7C">
        <w:rPr>
          <w:spacing w:val="10"/>
          <w:sz w:val="20"/>
          <w:szCs w:val="26"/>
          <w:rtl/>
          <w:lang w:val="ru-RU"/>
        </w:rPr>
        <w:br/>
      </w:r>
      <w:r w:rsidRPr="00F84E7C">
        <w:rPr>
          <w:rFonts w:hint="cs"/>
          <w:sz w:val="20"/>
          <w:szCs w:val="26"/>
          <w:rtl/>
          <w:lang w:val="ru-RU"/>
        </w:rPr>
        <w:t xml:space="preserve">الاتحاد الدولي للاتصالات </w:t>
      </w:r>
      <w:r w:rsidRPr="00F84E7C">
        <w:rPr>
          <w:sz w:val="20"/>
          <w:szCs w:val="26"/>
        </w:rPr>
        <w:t>(ITU)</w:t>
      </w:r>
      <w:r w:rsidRPr="00F84E7C">
        <w:rPr>
          <w:rFonts w:hint="cs"/>
          <w:sz w:val="20"/>
          <w:szCs w:val="26"/>
          <w:rtl/>
          <w:lang w:bidi="ar-EG"/>
        </w:rPr>
        <w:t>.</w:t>
      </w:r>
    </w:p>
    <w:p w:rsidR="005E066B" w:rsidRDefault="005E066B" w:rsidP="002144CB">
      <w:pPr>
        <w:rPr>
          <w:sz w:val="21"/>
          <w:szCs w:val="28"/>
          <w:rtl/>
          <w:lang w:bidi="ar-EG"/>
        </w:rPr>
        <w:sectPr w:rsidR="005E066B"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rsidR="00E60DB1" w:rsidRPr="00F84E7C" w:rsidRDefault="00A30D97" w:rsidP="00684B1D">
      <w:pPr>
        <w:pStyle w:val="RecNo"/>
        <w:rPr>
          <w:rtl/>
        </w:rPr>
      </w:pPr>
      <w:bookmarkStart w:id="1" w:name="_Toc227480971"/>
      <w:proofErr w:type="gramStart"/>
      <w:r>
        <w:rPr>
          <w:rFonts w:hint="cs"/>
          <w:rtl/>
        </w:rPr>
        <w:lastRenderedPageBreak/>
        <w:t>التوصية</w:t>
      </w:r>
      <w:r w:rsidR="00E60DB1" w:rsidRPr="00F84E7C">
        <w:rPr>
          <w:rFonts w:hint="cs"/>
          <w:rtl/>
        </w:rPr>
        <w:t xml:space="preserve">  </w:t>
      </w:r>
      <w:bookmarkEnd w:id="1"/>
      <w:r w:rsidR="00E60DB1" w:rsidRPr="00F84E7C">
        <w:rPr>
          <w:rStyle w:val="href"/>
        </w:rPr>
        <w:t>ITU</w:t>
      </w:r>
      <w:proofErr w:type="gramEnd"/>
      <w:r w:rsidR="00E60DB1" w:rsidRPr="00F84E7C">
        <w:rPr>
          <w:rStyle w:val="href"/>
        </w:rPr>
        <w:t xml:space="preserve">-R  </w:t>
      </w:r>
      <w:r w:rsidR="00E60DB1" w:rsidRPr="00E60DB1">
        <w:rPr>
          <w:rStyle w:val="href"/>
        </w:rPr>
        <w:t>SA.1155-</w:t>
      </w:r>
      <w:r w:rsidR="00684B1D">
        <w:rPr>
          <w:rStyle w:val="href"/>
        </w:rPr>
        <w:t>2</w:t>
      </w:r>
      <w:r w:rsidR="00E60DB1" w:rsidRPr="00781F66">
        <w:rPr>
          <w:rStyle w:val="FootnoteReference"/>
          <w:rtl/>
        </w:rPr>
        <w:footnoteReference w:customMarkFollows="1" w:id="1"/>
        <w:t>*</w:t>
      </w:r>
    </w:p>
    <w:p w:rsidR="001A736A" w:rsidRPr="001A736A" w:rsidRDefault="001A736A" w:rsidP="001A736A">
      <w:pPr>
        <w:pStyle w:val="Rectitle"/>
        <w:rPr>
          <w:rtl/>
        </w:rPr>
      </w:pPr>
      <w:r w:rsidRPr="001A736A">
        <w:rPr>
          <w:rFonts w:hint="cs"/>
          <w:rtl/>
        </w:rPr>
        <w:t>معايير الحماية المتعلقة بتشغيل ا</w:t>
      </w:r>
      <w:r w:rsidR="00E60DB1">
        <w:rPr>
          <w:rFonts w:hint="cs"/>
          <w:rtl/>
        </w:rPr>
        <w:t>لأنظمة الساتلية لترحيل البيانات</w:t>
      </w:r>
    </w:p>
    <w:p w:rsidR="002E6ECC" w:rsidRPr="006E3D0D" w:rsidRDefault="00E60DB1" w:rsidP="00B564FC">
      <w:pPr>
        <w:pStyle w:val="Recdate"/>
        <w:spacing w:before="240"/>
        <w:rPr>
          <w:rtl/>
        </w:rPr>
      </w:pPr>
      <w:r>
        <w:rPr>
          <w:rFonts w:hint="cs"/>
          <w:rtl/>
        </w:rPr>
        <w:t> </w:t>
      </w:r>
      <w:r w:rsidR="002E6ECC" w:rsidRPr="006E3D0D">
        <w:t>(</w:t>
      </w:r>
      <w:r w:rsidR="00684B1D">
        <w:t>2017-</w:t>
      </w:r>
      <w:r w:rsidR="002E6ECC">
        <w:t>201</w:t>
      </w:r>
      <w:r w:rsidR="00B564FC">
        <w:t>3</w:t>
      </w:r>
      <w:r w:rsidR="002E6ECC">
        <w:t>-</w:t>
      </w:r>
      <w:r w:rsidR="002E6ECC" w:rsidRPr="006E3D0D">
        <w:t>19</w:t>
      </w:r>
      <w:r w:rsidR="00B564FC">
        <w:t>95</w:t>
      </w:r>
      <w:r w:rsidR="002E6ECC" w:rsidRPr="006E3D0D">
        <w:t>)</w:t>
      </w:r>
    </w:p>
    <w:p w:rsidR="00E60DB1" w:rsidRPr="00F84E7C" w:rsidRDefault="00E60DB1" w:rsidP="00E60DB1">
      <w:pPr>
        <w:pStyle w:val="HeadingSum"/>
        <w:spacing w:line="190" w:lineRule="auto"/>
        <w:rPr>
          <w:rtl/>
        </w:rPr>
      </w:pPr>
      <w:r w:rsidRPr="00F84E7C">
        <w:rPr>
          <w:rtl/>
        </w:rPr>
        <w:t>مجال التطبيق</w:t>
      </w:r>
    </w:p>
    <w:p w:rsidR="00E60DB1" w:rsidRPr="008B3D48" w:rsidRDefault="00E60DB1" w:rsidP="008B3D48">
      <w:pPr>
        <w:pStyle w:val="Summary"/>
        <w:spacing w:line="190" w:lineRule="auto"/>
        <w:rPr>
          <w:spacing w:val="0"/>
          <w:lang w:bidi="ar-SA"/>
        </w:rPr>
      </w:pPr>
      <w:r w:rsidRPr="008B3D48">
        <w:rPr>
          <w:rFonts w:hint="cs"/>
          <w:spacing w:val="0"/>
          <w:rtl/>
          <w:lang w:bidi="ar-SA"/>
        </w:rPr>
        <w:t>تحدد هذه التوصية معايير الحماية للأنظمة الساتلية لتوصيل البيانات وتعرضها في شكل قيم للنسبة إشارة إلى ضوضاء</w:t>
      </w:r>
      <w:r w:rsidR="008B3D48">
        <w:rPr>
          <w:rFonts w:hint="eastAsia"/>
          <w:spacing w:val="0"/>
          <w:rtl/>
          <w:lang w:bidi="ar-SA"/>
        </w:rPr>
        <w:t> </w:t>
      </w:r>
      <w:r w:rsidRPr="008B3D48">
        <w:rPr>
          <w:spacing w:val="0"/>
        </w:rPr>
        <w:t>(</w:t>
      </w:r>
      <w:r w:rsidR="00684B1D" w:rsidRPr="008B3D48">
        <w:rPr>
          <w:i/>
          <w:iCs/>
          <w:spacing w:val="0"/>
          <w:lang w:val="en-GB"/>
        </w:rPr>
        <w:t>I</w:t>
      </w:r>
      <w:r w:rsidR="00684B1D" w:rsidRPr="008B3D48">
        <w:rPr>
          <w:i/>
          <w:iCs/>
          <w:spacing w:val="0"/>
          <w:vertAlign w:val="subscript"/>
          <w:lang w:val="en-GB"/>
        </w:rPr>
        <w:t>0</w:t>
      </w:r>
      <w:r w:rsidR="00684B1D" w:rsidRPr="008B3D48">
        <w:rPr>
          <w:i/>
          <w:iCs/>
          <w:spacing w:val="0"/>
          <w:lang w:val="en-GB"/>
        </w:rPr>
        <w:t>/N</w:t>
      </w:r>
      <w:r w:rsidR="00684B1D" w:rsidRPr="008B3D48">
        <w:rPr>
          <w:i/>
          <w:iCs/>
          <w:spacing w:val="0"/>
          <w:vertAlign w:val="subscript"/>
          <w:lang w:val="en-GB"/>
        </w:rPr>
        <w:t>0</w:t>
      </w:r>
      <w:r w:rsidRPr="008B3D48">
        <w:rPr>
          <w:spacing w:val="0"/>
        </w:rPr>
        <w:t>)</w:t>
      </w:r>
      <w:r w:rsidRPr="008B3D48">
        <w:rPr>
          <w:rFonts w:hint="cs"/>
          <w:spacing w:val="0"/>
          <w:rtl/>
          <w:lang w:bidi="ar-SA"/>
        </w:rPr>
        <w:t xml:space="preserve"> وتقدم تحليلاً داعماً ونصاً يتفق مع معايير الحماية ويرتبط بها.</w:t>
      </w:r>
    </w:p>
    <w:p w:rsidR="00684B1D" w:rsidRPr="00684B1D" w:rsidRDefault="00684B1D" w:rsidP="00684B1D">
      <w:pPr>
        <w:pStyle w:val="Headingb"/>
        <w:rPr>
          <w:rFonts w:eastAsia="SimSun"/>
          <w:rtl/>
          <w:lang w:eastAsia="zh-CN" w:bidi="ar-EG"/>
        </w:rPr>
      </w:pPr>
      <w:r w:rsidRPr="00684B1D">
        <w:rPr>
          <w:rFonts w:eastAsia="SimSun" w:hint="cs"/>
          <w:rtl/>
          <w:lang w:eastAsia="zh-CN" w:bidi="ar-EG"/>
        </w:rPr>
        <w:t>مصطلحات أساسية</w:t>
      </w:r>
    </w:p>
    <w:p w:rsidR="0011413D" w:rsidRDefault="0011413D" w:rsidP="0011413D">
      <w:pPr>
        <w:pStyle w:val="Summary"/>
        <w:spacing w:line="190" w:lineRule="auto"/>
        <w:rPr>
          <w:rtl/>
          <w:lang w:eastAsia="en-US"/>
        </w:rPr>
      </w:pPr>
      <w:r w:rsidRPr="00895316">
        <w:rPr>
          <w:lang w:bidi="ar-SY"/>
        </w:rPr>
        <w:t>DRS</w:t>
      </w:r>
      <w:r>
        <w:rPr>
          <w:rFonts w:hint="cs"/>
          <w:rtl/>
          <w:lang w:bidi="ar-SY"/>
        </w:rPr>
        <w:t xml:space="preserve">، فضاء-أرض، أرض-فضاء، فضاء-فضاء، </w:t>
      </w:r>
      <w:r>
        <w:rPr>
          <w:rFonts w:hint="cs"/>
          <w:rtl/>
          <w:lang w:eastAsia="en-US"/>
        </w:rPr>
        <w:t>وصلة تغذية أمامية،</w:t>
      </w:r>
      <w:r w:rsidRPr="00895316">
        <w:rPr>
          <w:rFonts w:hint="cs"/>
          <w:rtl/>
          <w:lang w:eastAsia="en-US"/>
        </w:rPr>
        <w:t xml:space="preserve"> </w:t>
      </w:r>
      <w:r>
        <w:rPr>
          <w:rFonts w:hint="cs"/>
          <w:rtl/>
          <w:lang w:eastAsia="en-US"/>
        </w:rPr>
        <w:t>وصلة تغذية للعودة</w:t>
      </w:r>
    </w:p>
    <w:p w:rsidR="00684B1D" w:rsidRPr="00684B1D" w:rsidRDefault="00684B1D" w:rsidP="00684B1D">
      <w:pPr>
        <w:pStyle w:val="Headingb"/>
        <w:rPr>
          <w:rFonts w:eastAsia="SimSun"/>
          <w:rtl/>
          <w:lang w:eastAsia="zh-CN" w:bidi="ar-EG"/>
        </w:rPr>
      </w:pPr>
      <w:r w:rsidRPr="0011413D">
        <w:rPr>
          <w:rFonts w:eastAsia="SimSun"/>
          <w:rtl/>
          <w:lang w:eastAsia="zh-CN"/>
        </w:rPr>
        <w:t>توصيات قطاع الاتصالات الراديوية ذات الصلة</w:t>
      </w:r>
    </w:p>
    <w:p w:rsidR="0011413D" w:rsidRPr="00F84E7C" w:rsidRDefault="0011413D" w:rsidP="00B979B0">
      <w:pPr>
        <w:pStyle w:val="Summary"/>
        <w:spacing w:line="190" w:lineRule="auto"/>
        <w:rPr>
          <w:rtl/>
          <w:lang w:bidi="ar-SY"/>
        </w:rPr>
      </w:pPr>
      <w:r>
        <w:rPr>
          <w:rFonts w:hint="cs"/>
          <w:rtl/>
          <w:lang w:eastAsia="en-US"/>
        </w:rPr>
        <w:t xml:space="preserve">التوصيات </w:t>
      </w:r>
      <w:r w:rsidRPr="00895316">
        <w:rPr>
          <w:lang w:eastAsia="en-US"/>
        </w:rPr>
        <w:t>ITU-R SA.510</w:t>
      </w:r>
      <w:r>
        <w:rPr>
          <w:rFonts w:hint="cs"/>
          <w:rtl/>
          <w:lang w:eastAsia="en-US"/>
        </w:rPr>
        <w:t xml:space="preserve"> و</w:t>
      </w:r>
      <w:r w:rsidRPr="00895316">
        <w:rPr>
          <w:lang w:eastAsia="en-US"/>
        </w:rPr>
        <w:t>ITU-R SA.1018</w:t>
      </w:r>
      <w:r>
        <w:rPr>
          <w:rFonts w:hint="cs"/>
          <w:rtl/>
          <w:lang w:eastAsia="en-US"/>
        </w:rPr>
        <w:t xml:space="preserve"> و</w:t>
      </w:r>
      <w:r w:rsidRPr="00895316">
        <w:rPr>
          <w:lang w:eastAsia="en-US"/>
        </w:rPr>
        <w:t>ITU-R SA.1019</w:t>
      </w:r>
      <w:r>
        <w:rPr>
          <w:rFonts w:hint="cs"/>
          <w:rtl/>
          <w:lang w:eastAsia="en-US"/>
        </w:rPr>
        <w:t xml:space="preserve"> و</w:t>
      </w:r>
      <w:r w:rsidRPr="00895316">
        <w:rPr>
          <w:lang w:eastAsia="en-US"/>
        </w:rPr>
        <w:t>ITU-R SA.1274</w:t>
      </w:r>
      <w:r>
        <w:rPr>
          <w:rFonts w:hint="cs"/>
          <w:rtl/>
          <w:lang w:eastAsia="en-US"/>
        </w:rPr>
        <w:t xml:space="preserve"> و</w:t>
      </w:r>
      <w:r w:rsidRPr="00895316">
        <w:rPr>
          <w:lang w:eastAsia="en-US"/>
        </w:rPr>
        <w:t>ITU R SA.1275</w:t>
      </w:r>
      <w:r>
        <w:rPr>
          <w:rFonts w:hint="cs"/>
          <w:rtl/>
          <w:lang w:eastAsia="en-US"/>
        </w:rPr>
        <w:t xml:space="preserve"> و</w:t>
      </w:r>
      <w:r w:rsidRPr="00895316">
        <w:rPr>
          <w:lang w:eastAsia="en-US"/>
        </w:rPr>
        <w:t>ITU-R SA.1276</w:t>
      </w:r>
      <w:r>
        <w:rPr>
          <w:rFonts w:hint="cs"/>
          <w:rtl/>
          <w:lang w:eastAsia="en-US"/>
        </w:rPr>
        <w:t xml:space="preserve"> و</w:t>
      </w:r>
      <w:r w:rsidRPr="00895316">
        <w:rPr>
          <w:lang w:eastAsia="en-US"/>
        </w:rPr>
        <w:t>ITU-R SA.1414</w:t>
      </w:r>
      <w:r>
        <w:rPr>
          <w:rFonts w:hint="cs"/>
          <w:rtl/>
          <w:lang w:eastAsia="en-US"/>
        </w:rPr>
        <w:t>.</w:t>
      </w:r>
    </w:p>
    <w:p w:rsidR="00C83E7D" w:rsidRDefault="00C83E7D" w:rsidP="00C83E7D">
      <w:pPr>
        <w:pStyle w:val="Normalaftertitle"/>
        <w:rPr>
          <w:rtl/>
        </w:rPr>
      </w:pPr>
      <w:r>
        <w:rPr>
          <w:rFonts w:hint="cs"/>
          <w:rtl/>
        </w:rPr>
        <w:t>إن جمعية الاتصالات الراديوية للاتحاد الدولي للاتصالات،</w:t>
      </w:r>
    </w:p>
    <w:p w:rsidR="002E6ECC" w:rsidRPr="0088747E" w:rsidRDefault="00C83E7D" w:rsidP="00C83E7D">
      <w:pPr>
        <w:pStyle w:val="Call"/>
        <w:rPr>
          <w:rtl/>
        </w:rPr>
      </w:pPr>
      <w:r w:rsidRPr="0088747E">
        <w:rPr>
          <w:rFonts w:hint="cs"/>
          <w:rtl/>
        </w:rPr>
        <w:t>إذ تضع في اعتبارها</w:t>
      </w:r>
    </w:p>
    <w:p w:rsidR="00C83E7D" w:rsidRDefault="00C83E7D" w:rsidP="00C83E7D">
      <w:pPr>
        <w:rPr>
          <w:rtl/>
          <w:lang w:eastAsia="en-US" w:bidi="ar-EG"/>
        </w:rPr>
      </w:pPr>
      <w:r w:rsidRPr="00C83E7D">
        <w:rPr>
          <w:rFonts w:hint="cs"/>
          <w:i/>
          <w:iCs/>
          <w:rtl/>
          <w:lang w:eastAsia="en-US" w:bidi="ar-EG"/>
        </w:rPr>
        <w:t xml:space="preserve"> أ )</w:t>
      </w:r>
      <w:r>
        <w:rPr>
          <w:rFonts w:hint="cs"/>
          <w:rtl/>
          <w:lang w:eastAsia="en-US" w:bidi="ar-EG"/>
        </w:rPr>
        <w:tab/>
        <w:t>أن الأنظمة الساتلية لترحيل البيانات تعمل حالياً أو مخطط لها أن تعمل طبقاً لنظام مرجعي افتراضي موصوف في</w:t>
      </w:r>
      <w:r>
        <w:rPr>
          <w:rFonts w:hint="eastAsia"/>
          <w:rtl/>
          <w:lang w:eastAsia="en-US" w:bidi="ar-EG"/>
        </w:rPr>
        <w:t> </w:t>
      </w:r>
      <w:r>
        <w:rPr>
          <w:rFonts w:hint="cs"/>
          <w:rtl/>
          <w:lang w:eastAsia="en-US" w:bidi="ar-EG"/>
        </w:rPr>
        <w:t>التوصية</w:t>
      </w:r>
      <w:r>
        <w:rPr>
          <w:rFonts w:hint="eastAsia"/>
          <w:rtl/>
          <w:lang w:eastAsia="en-US" w:bidi="ar-EG"/>
        </w:rPr>
        <w:t> </w:t>
      </w:r>
      <w:r>
        <w:rPr>
          <w:lang w:eastAsia="en-US" w:bidi="ar-EG"/>
        </w:rPr>
        <w:t>ITU</w:t>
      </w:r>
      <w:r>
        <w:rPr>
          <w:lang w:eastAsia="en-US" w:bidi="ar-EG"/>
        </w:rPr>
        <w:noBreakHyphen/>
        <w:t>R SA.1018</w:t>
      </w:r>
      <w:r>
        <w:rPr>
          <w:rFonts w:hint="cs"/>
          <w:rtl/>
          <w:lang w:eastAsia="en-US" w:bidi="ar-EG"/>
        </w:rPr>
        <w:t>؛</w:t>
      </w:r>
    </w:p>
    <w:p w:rsidR="00C83E7D" w:rsidRPr="005826BF" w:rsidRDefault="00C83E7D" w:rsidP="005826BF">
      <w:pPr>
        <w:rPr>
          <w:rtl/>
          <w:lang w:eastAsia="en-US" w:bidi="ar-EG"/>
        </w:rPr>
      </w:pPr>
      <w:r w:rsidRPr="009F302A">
        <w:rPr>
          <w:rFonts w:hint="cs"/>
          <w:i/>
          <w:iCs/>
          <w:rtl/>
          <w:lang w:eastAsia="en-US" w:bidi="ar-EG"/>
        </w:rPr>
        <w:t>ب)</w:t>
      </w:r>
      <w:r w:rsidRPr="009F302A">
        <w:rPr>
          <w:i/>
          <w:iCs/>
          <w:rtl/>
          <w:lang w:eastAsia="en-US" w:bidi="ar-EG"/>
        </w:rPr>
        <w:tab/>
      </w:r>
      <w:r w:rsidRPr="009F302A">
        <w:rPr>
          <w:rFonts w:hint="cs"/>
          <w:rtl/>
          <w:lang w:eastAsia="en-US" w:bidi="ar-EG"/>
        </w:rPr>
        <w:t>أن الأنظمة الساتلية لترحيل البيانات هذه تدعم وصلات ذات خصائص مختلفة اختلافاً كبيراً كما هو موضح في</w:t>
      </w:r>
      <w:r w:rsidRPr="009F302A">
        <w:rPr>
          <w:rFonts w:hint="eastAsia"/>
          <w:rtl/>
          <w:lang w:eastAsia="en-US" w:bidi="ar-EG"/>
        </w:rPr>
        <w:t> </w:t>
      </w:r>
      <w:r w:rsidR="005826BF" w:rsidRPr="009F302A">
        <w:rPr>
          <w:rFonts w:hint="cs"/>
          <w:rtl/>
          <w:lang w:eastAsia="en-US" w:bidi="ar-EG"/>
        </w:rPr>
        <w:t>التوصية </w:t>
      </w:r>
      <w:r w:rsidR="005826BF" w:rsidRPr="009F302A">
        <w:rPr>
          <w:lang w:val="en-GB" w:eastAsia="en-US" w:bidi="ar-EG"/>
        </w:rPr>
        <w:t>ITU-R SA.1414</w:t>
      </w:r>
      <w:r w:rsidRPr="009F302A">
        <w:rPr>
          <w:rFonts w:hint="cs"/>
          <w:rtl/>
          <w:lang w:eastAsia="en-US" w:bidi="ar-EG"/>
        </w:rPr>
        <w:t>؛</w:t>
      </w:r>
    </w:p>
    <w:p w:rsidR="00C83E7D" w:rsidRDefault="00C83E7D" w:rsidP="00687FB1">
      <w:pPr>
        <w:rPr>
          <w:rtl/>
          <w:lang w:eastAsia="en-US" w:bidi="ar-EG"/>
        </w:rPr>
      </w:pPr>
      <w:r w:rsidRPr="00C83E7D">
        <w:rPr>
          <w:rFonts w:hint="cs"/>
          <w:i/>
          <w:iCs/>
          <w:rtl/>
          <w:lang w:eastAsia="en-US" w:bidi="ar-EG"/>
        </w:rPr>
        <w:t>ج)</w:t>
      </w:r>
      <w:r w:rsidRPr="00C83E7D">
        <w:rPr>
          <w:rFonts w:hint="cs"/>
          <w:i/>
          <w:iCs/>
          <w:rtl/>
          <w:lang w:eastAsia="en-US" w:bidi="ar-EG"/>
        </w:rPr>
        <w:tab/>
      </w:r>
      <w:r w:rsidR="00011AFD">
        <w:rPr>
          <w:rFonts w:hint="cs"/>
          <w:rtl/>
          <w:lang w:eastAsia="en-US" w:bidi="ar-EG"/>
        </w:rPr>
        <w:t>أن نطاقات التردد</w:t>
      </w:r>
      <w:r>
        <w:rPr>
          <w:rFonts w:hint="cs"/>
          <w:rtl/>
          <w:lang w:eastAsia="en-US" w:bidi="ar-EG"/>
        </w:rPr>
        <w:t xml:space="preserve"> المفضلة للأنظمة الساتلية لترحيل البيانات تم تحديدها في التوصية</w:t>
      </w:r>
      <w:r w:rsidR="00687FB1">
        <w:rPr>
          <w:rFonts w:hint="eastAsia"/>
          <w:rtl/>
          <w:lang w:eastAsia="en-US" w:bidi="ar-EG"/>
        </w:rPr>
        <w:t> </w:t>
      </w:r>
      <w:r w:rsidRPr="00C83E7D">
        <w:rPr>
          <w:lang w:eastAsia="en-US" w:bidi="ar-EG"/>
        </w:rPr>
        <w:t>ITU</w:t>
      </w:r>
      <w:r w:rsidRPr="00C83E7D">
        <w:rPr>
          <w:lang w:eastAsia="en-US" w:bidi="ar-EG"/>
        </w:rPr>
        <w:noBreakHyphen/>
        <w:t>R SA.1019</w:t>
      </w:r>
      <w:r>
        <w:rPr>
          <w:rFonts w:hint="cs"/>
          <w:rtl/>
          <w:lang w:eastAsia="en-US" w:bidi="ar-EG"/>
        </w:rPr>
        <w:t>؛</w:t>
      </w:r>
    </w:p>
    <w:p w:rsidR="00C83E7D" w:rsidRDefault="00C83E7D" w:rsidP="00C83E7D">
      <w:pPr>
        <w:rPr>
          <w:rtl/>
          <w:lang w:bidi="ar-EG"/>
        </w:rPr>
      </w:pPr>
      <w:r>
        <w:rPr>
          <w:rFonts w:hint="cs"/>
          <w:i/>
          <w:iCs/>
          <w:rtl/>
          <w:lang w:eastAsia="en-US" w:bidi="ar-EG"/>
        </w:rPr>
        <w:t>د )</w:t>
      </w:r>
      <w:r>
        <w:rPr>
          <w:rtl/>
          <w:lang w:eastAsia="en-US" w:bidi="ar-EG"/>
        </w:rPr>
        <w:tab/>
      </w:r>
      <w:r>
        <w:rPr>
          <w:rFonts w:hint="cs"/>
          <w:rtl/>
          <w:lang w:eastAsia="en-US" w:bidi="ar-EG"/>
        </w:rPr>
        <w:t>أن التقاسم بين الأنظمة الساتلية لترحيل البيانات والأنظمة الراديوية الفضائية والأرضية الأخرى ضروري في جميع نطاقات التردد المفضلة المحددة في</w:t>
      </w:r>
      <w:r>
        <w:rPr>
          <w:rFonts w:hint="eastAsia"/>
          <w:rtl/>
          <w:lang w:eastAsia="en-US" w:bidi="ar-EG"/>
        </w:rPr>
        <w:t> </w:t>
      </w:r>
      <w:r>
        <w:rPr>
          <w:rFonts w:hint="cs"/>
          <w:rtl/>
          <w:lang w:eastAsia="en-US" w:bidi="ar-EG"/>
        </w:rPr>
        <w:t>التوصية </w:t>
      </w:r>
      <w:r w:rsidRPr="00AF7212">
        <w:t>ITU</w:t>
      </w:r>
      <w:r w:rsidRPr="00AF7212">
        <w:noBreakHyphen/>
        <w:t>R SA.1019</w:t>
      </w:r>
      <w:r>
        <w:rPr>
          <w:rFonts w:hint="cs"/>
          <w:rtl/>
          <w:lang w:bidi="ar-EG"/>
        </w:rPr>
        <w:t>؛</w:t>
      </w:r>
    </w:p>
    <w:p w:rsidR="003114F9" w:rsidRDefault="00A30D97" w:rsidP="00CD20F8">
      <w:pPr>
        <w:rPr>
          <w:rtl/>
          <w:lang w:bidi="ar-EG"/>
        </w:rPr>
      </w:pPr>
      <w:proofErr w:type="gramStart"/>
      <w:r>
        <w:rPr>
          <w:rFonts w:ascii="Traditional Arabic" w:hAnsi="Traditional Arabic" w:hint="cs"/>
          <w:i/>
          <w:iCs/>
          <w:rtl/>
          <w:lang w:bidi="ar-EG"/>
        </w:rPr>
        <w:t>ﻫ</w:t>
      </w:r>
      <w:r w:rsidR="00CD20F8" w:rsidRPr="0011413D">
        <w:rPr>
          <w:rFonts w:hint="cs"/>
          <w:i/>
          <w:iCs/>
          <w:rtl/>
          <w:lang w:bidi="ar-EG"/>
        </w:rPr>
        <w:t xml:space="preserve"> </w:t>
      </w:r>
      <w:r w:rsidR="003114F9" w:rsidRPr="0011413D">
        <w:rPr>
          <w:rFonts w:hint="cs"/>
          <w:i/>
          <w:iCs/>
          <w:rtl/>
          <w:lang w:bidi="ar-EG"/>
        </w:rPr>
        <w:t>)</w:t>
      </w:r>
      <w:proofErr w:type="gramEnd"/>
      <w:r w:rsidR="003114F9" w:rsidRPr="0011413D">
        <w:rPr>
          <w:rFonts w:hint="cs"/>
          <w:i/>
          <w:iCs/>
          <w:rtl/>
          <w:lang w:bidi="ar-EG"/>
        </w:rPr>
        <w:tab/>
      </w:r>
      <w:r w:rsidR="003114F9" w:rsidRPr="0011413D">
        <w:rPr>
          <w:rFonts w:hint="cs"/>
          <w:rtl/>
          <w:lang w:bidi="ar-EG"/>
        </w:rPr>
        <w:t>أن أعداد الأنظمة الراديوية الفضائية والأرضية التي تستعمل نطاقات متقاسمة مع الأنظمة السابقة لترحيل البيانات ستزيد في</w:t>
      </w:r>
      <w:r w:rsidR="003114F9" w:rsidRPr="0011413D">
        <w:rPr>
          <w:rFonts w:hint="eastAsia"/>
          <w:rtl/>
          <w:lang w:bidi="ar-EG"/>
        </w:rPr>
        <w:t> </w:t>
      </w:r>
      <w:r w:rsidR="003114F9" w:rsidRPr="0011413D">
        <w:rPr>
          <w:rFonts w:hint="cs"/>
          <w:rtl/>
          <w:lang w:bidi="ar-EG"/>
        </w:rPr>
        <w:t>المستقبل مما يزيد من</w:t>
      </w:r>
      <w:r w:rsidR="00C11C3A" w:rsidRPr="0011413D">
        <w:rPr>
          <w:rFonts w:hint="eastAsia"/>
          <w:rtl/>
          <w:lang w:bidi="ar-EG"/>
        </w:rPr>
        <w:t> </w:t>
      </w:r>
      <w:r w:rsidR="003114F9" w:rsidRPr="0011413D">
        <w:rPr>
          <w:rFonts w:hint="eastAsia"/>
          <w:rtl/>
          <w:lang w:bidi="ar-EG"/>
        </w:rPr>
        <w:t>إمكانية حدوث حالات تداخل؛</w:t>
      </w:r>
    </w:p>
    <w:p w:rsidR="003114F9" w:rsidRDefault="003114F9" w:rsidP="008E1B7C">
      <w:pPr>
        <w:rPr>
          <w:rtl/>
          <w:lang w:bidi="ar-EG"/>
        </w:rPr>
      </w:pPr>
      <w:r w:rsidRPr="003114F9">
        <w:rPr>
          <w:rFonts w:hint="cs"/>
          <w:i/>
          <w:iCs/>
          <w:rtl/>
          <w:lang w:bidi="ar-EG"/>
        </w:rPr>
        <w:t>و )</w:t>
      </w:r>
      <w:r>
        <w:rPr>
          <w:rtl/>
          <w:lang w:bidi="ar-EG"/>
        </w:rPr>
        <w:tab/>
      </w:r>
      <w:r>
        <w:rPr>
          <w:rFonts w:hint="cs"/>
          <w:rtl/>
          <w:lang w:bidi="ar-EG"/>
        </w:rPr>
        <w:t>أن هوامش الوصلات للوصلات الساتلية لترحيل البيانات في الاتجاه الأساسي وفي اتجاه العودة تساوي نمطياً من</w:t>
      </w:r>
      <w:r w:rsidR="00D12B5D">
        <w:rPr>
          <w:rFonts w:hint="eastAsia"/>
          <w:rtl/>
        </w:rPr>
        <w:t> </w:t>
      </w:r>
      <w:r>
        <w:rPr>
          <w:lang w:bidi="ar-EG"/>
        </w:rPr>
        <w:t>2</w:t>
      </w:r>
      <w:r w:rsidR="00D12B5D">
        <w:rPr>
          <w:rFonts w:hint="eastAsia"/>
          <w:rtl/>
          <w:lang w:bidi="ar-EG"/>
        </w:rPr>
        <w:t> </w:t>
      </w:r>
      <w:r>
        <w:rPr>
          <w:rFonts w:hint="cs"/>
          <w:rtl/>
          <w:lang w:bidi="ar-EG"/>
        </w:rPr>
        <w:t>إلى</w:t>
      </w:r>
      <w:r>
        <w:rPr>
          <w:rFonts w:hint="eastAsia"/>
          <w:rtl/>
          <w:lang w:bidi="ar-EG"/>
        </w:rPr>
        <w:t> </w:t>
      </w:r>
      <w:r>
        <w:rPr>
          <w:lang w:bidi="ar-EG"/>
        </w:rPr>
        <w:t>dB 4</w:t>
      </w:r>
      <w:r>
        <w:rPr>
          <w:rFonts w:hint="cs"/>
          <w:rtl/>
          <w:lang w:bidi="ar-EG"/>
        </w:rPr>
        <w:t xml:space="preserve">، غير أنه قد تكون في حدود </w:t>
      </w:r>
      <w:r>
        <w:rPr>
          <w:lang w:bidi="ar-EG"/>
        </w:rPr>
        <w:t>dB 1</w:t>
      </w:r>
      <w:r>
        <w:rPr>
          <w:rFonts w:hint="cs"/>
          <w:rtl/>
          <w:lang w:bidi="ar-EG"/>
        </w:rPr>
        <w:t xml:space="preserve"> في بعض الحالات؛</w:t>
      </w:r>
    </w:p>
    <w:p w:rsidR="003114F9" w:rsidRDefault="003114F9" w:rsidP="003114F9">
      <w:pPr>
        <w:rPr>
          <w:rtl/>
          <w:lang w:bidi="ar-EG"/>
        </w:rPr>
      </w:pPr>
      <w:r w:rsidRPr="003114F9">
        <w:rPr>
          <w:rFonts w:hint="cs"/>
          <w:i/>
          <w:iCs/>
          <w:rtl/>
          <w:lang w:bidi="ar-EG"/>
        </w:rPr>
        <w:t>ز )</w:t>
      </w:r>
      <w:r>
        <w:rPr>
          <w:i/>
          <w:iCs/>
          <w:rtl/>
          <w:lang w:bidi="ar-EG"/>
        </w:rPr>
        <w:tab/>
      </w:r>
      <w:r>
        <w:rPr>
          <w:rFonts w:hint="cs"/>
          <w:rtl/>
          <w:lang w:bidi="ar-EG"/>
        </w:rPr>
        <w:t>أن هامش تعميم الوصلة للوصلة في الاتجاه فضاء-فضاء يمثل في الغالب العامل المحدد؛</w:t>
      </w:r>
    </w:p>
    <w:p w:rsidR="003114F9" w:rsidRDefault="003114F9" w:rsidP="008A4F64">
      <w:pPr>
        <w:rPr>
          <w:rtl/>
          <w:lang w:bidi="ar-EG"/>
        </w:rPr>
      </w:pPr>
      <w:r w:rsidRPr="00A30D97">
        <w:rPr>
          <w:rFonts w:hint="cs"/>
          <w:i/>
          <w:iCs/>
          <w:rtl/>
          <w:lang w:bidi="ar-EG"/>
        </w:rPr>
        <w:t>ح)</w:t>
      </w:r>
      <w:r w:rsidRPr="00A30D97">
        <w:rPr>
          <w:rtl/>
          <w:lang w:bidi="ar-EG"/>
        </w:rPr>
        <w:tab/>
      </w:r>
      <w:r w:rsidRPr="00A30D97">
        <w:rPr>
          <w:rFonts w:hint="cs"/>
          <w:rtl/>
          <w:lang w:bidi="ar-EG"/>
        </w:rPr>
        <w:t xml:space="preserve">أن الأنظمة الساتلية لترحيل البيانات ستقوم بإرسال واستقبال إشارات في خدمات العمليات الفضائية والأبحاث الفضائية </w:t>
      </w:r>
      <w:r w:rsidR="009F302A" w:rsidRPr="00A30D97">
        <w:rPr>
          <w:rFonts w:hint="cs"/>
          <w:rtl/>
          <w:lang w:bidi="ar-EG"/>
        </w:rPr>
        <w:t xml:space="preserve">واستكشاف الأرض الساتلية والثابتة الساتلية </w:t>
      </w:r>
      <w:r w:rsidR="009F302A" w:rsidRPr="00A30D97">
        <w:rPr>
          <w:rtl/>
        </w:rPr>
        <w:t>والخدمة فيما بين السواتل</w:t>
      </w:r>
      <w:r w:rsidR="008A4F64" w:rsidRPr="00A30D97">
        <w:rPr>
          <w:rFonts w:hint="cs"/>
          <w:rtl/>
          <w:lang w:bidi="ar-EG"/>
        </w:rPr>
        <w:t>؛</w:t>
      </w:r>
    </w:p>
    <w:p w:rsidR="003114F9" w:rsidRDefault="003114F9" w:rsidP="005826BF">
      <w:pPr>
        <w:rPr>
          <w:rtl/>
          <w:lang w:bidi="ar-EG"/>
        </w:rPr>
      </w:pPr>
      <w:r>
        <w:rPr>
          <w:rFonts w:hint="cs"/>
          <w:i/>
          <w:iCs/>
          <w:rtl/>
          <w:lang w:bidi="ar-EG"/>
        </w:rPr>
        <w:t>ط)</w:t>
      </w:r>
      <w:r>
        <w:rPr>
          <w:i/>
          <w:iCs/>
          <w:lang w:bidi="ar-EG"/>
        </w:rPr>
        <w:tab/>
      </w:r>
      <w:r>
        <w:rPr>
          <w:rFonts w:hint="cs"/>
          <w:rtl/>
          <w:lang w:bidi="ar-EG"/>
        </w:rPr>
        <w:t>أن المعلومات التقنية التفصيلية المتعلقة بمعايير الحماية ترد في الملحق،</w:t>
      </w:r>
    </w:p>
    <w:p w:rsidR="003114F9" w:rsidRPr="0088747E" w:rsidRDefault="003114F9" w:rsidP="003114F9">
      <w:pPr>
        <w:pStyle w:val="Call"/>
        <w:rPr>
          <w:rtl/>
        </w:rPr>
      </w:pPr>
      <w:r w:rsidRPr="0088747E">
        <w:rPr>
          <w:rFonts w:hint="cs"/>
          <w:rtl/>
        </w:rPr>
        <w:lastRenderedPageBreak/>
        <w:t>توص</w:t>
      </w:r>
      <w:r w:rsidR="0088747E" w:rsidRPr="0088747E">
        <w:rPr>
          <w:rFonts w:hint="cs"/>
          <w:rtl/>
        </w:rPr>
        <w:t>ـ</w:t>
      </w:r>
      <w:r w:rsidRPr="0088747E">
        <w:rPr>
          <w:rFonts w:hint="cs"/>
          <w:rtl/>
        </w:rPr>
        <w:t>ي</w:t>
      </w:r>
    </w:p>
    <w:p w:rsidR="003114F9" w:rsidRDefault="003114F9" w:rsidP="00687FB1">
      <w:pPr>
        <w:rPr>
          <w:rtl/>
          <w:lang w:eastAsia="en-US" w:bidi="ar-EG"/>
        </w:rPr>
      </w:pPr>
      <w:r w:rsidRPr="00DA5F50">
        <w:rPr>
          <w:b/>
          <w:bCs/>
          <w:lang w:eastAsia="en-US" w:bidi="ar-EG"/>
        </w:rPr>
        <w:t>1</w:t>
      </w:r>
      <w:r>
        <w:rPr>
          <w:lang w:eastAsia="en-US" w:bidi="ar-EG"/>
        </w:rPr>
        <w:tab/>
      </w:r>
      <w:r>
        <w:rPr>
          <w:rFonts w:hint="cs"/>
          <w:rtl/>
          <w:lang w:eastAsia="en-US" w:bidi="ar-EG"/>
        </w:rPr>
        <w:t>بأن تكون معايير الحماية، المو</w:t>
      </w:r>
      <w:r w:rsidR="004A588D">
        <w:rPr>
          <w:rFonts w:hint="cs"/>
          <w:rtl/>
          <w:lang w:eastAsia="en-US" w:bidi="ar-EG"/>
        </w:rPr>
        <w:t>صف</w:t>
      </w:r>
      <w:r>
        <w:rPr>
          <w:rFonts w:hint="cs"/>
          <w:rtl/>
          <w:lang w:eastAsia="en-US" w:bidi="ar-EG"/>
        </w:rPr>
        <w:t xml:space="preserve">ة بالقيمة القصوى الإجمالية </w:t>
      </w:r>
      <w:r w:rsidR="004A588D">
        <w:rPr>
          <w:rFonts w:hint="cs"/>
          <w:rtl/>
          <w:lang w:eastAsia="en-US" w:bidi="ar-EG"/>
        </w:rPr>
        <w:t xml:space="preserve">للنسبة بين الكثافة الطيفية لقدرة التداخل إلى كثافة قدرة ضوضاء النظام، من جميع </w:t>
      </w:r>
      <w:r w:rsidR="004A588D" w:rsidRPr="0011413D">
        <w:rPr>
          <w:rFonts w:hint="cs"/>
          <w:rtl/>
          <w:lang w:eastAsia="en-US" w:bidi="ar-EG"/>
        </w:rPr>
        <w:t xml:space="preserve">المصادر، </w:t>
      </w:r>
      <w:r w:rsidR="0011413D" w:rsidRPr="0011413D">
        <w:rPr>
          <w:rFonts w:hint="cs"/>
          <w:rtl/>
          <w:lang w:eastAsia="en-US" w:bidi="ar-EG"/>
        </w:rPr>
        <w:t>التي</w:t>
      </w:r>
      <w:r w:rsidR="0011413D">
        <w:rPr>
          <w:rFonts w:hint="cs"/>
          <w:rtl/>
          <w:lang w:eastAsia="en-US" w:bidi="ar-EG"/>
        </w:rPr>
        <w:t xml:space="preserve"> لا ينبغي تجاوزها لأكثر من </w:t>
      </w:r>
      <w:r w:rsidR="0011413D">
        <w:rPr>
          <w:lang w:eastAsia="en-US" w:bidi="ar-EG"/>
        </w:rPr>
        <w:t>%0</w:t>
      </w:r>
      <w:proofErr w:type="gramStart"/>
      <w:r w:rsidR="00687FB1">
        <w:rPr>
          <w:lang w:eastAsia="en-US" w:bidi="ar-EG"/>
        </w:rPr>
        <w:t>,</w:t>
      </w:r>
      <w:r w:rsidR="0011413D">
        <w:rPr>
          <w:lang w:eastAsia="en-US" w:bidi="ar-EG"/>
        </w:rPr>
        <w:t>1</w:t>
      </w:r>
      <w:proofErr w:type="gramEnd"/>
      <w:r w:rsidR="0011413D">
        <w:rPr>
          <w:rFonts w:hint="cs"/>
          <w:rtl/>
          <w:lang w:eastAsia="en-US" w:bidi="ar-EG"/>
        </w:rPr>
        <w:t xml:space="preserve"> من </w:t>
      </w:r>
      <w:r w:rsidR="004A588D">
        <w:rPr>
          <w:rFonts w:hint="cs"/>
          <w:rtl/>
          <w:lang w:eastAsia="en-US" w:bidi="ar-EG"/>
        </w:rPr>
        <w:t xml:space="preserve">الوقت بالنسبة للوصلات المختلفة للأنظمة الساتلية لترحيل البيانات، كما هي مبينة في الجدول </w:t>
      </w:r>
      <w:r w:rsidR="004A588D">
        <w:rPr>
          <w:lang w:eastAsia="en-US" w:bidi="ar-EG"/>
        </w:rPr>
        <w:t>1</w:t>
      </w:r>
      <w:r w:rsidR="004A588D">
        <w:rPr>
          <w:rFonts w:hint="cs"/>
          <w:rtl/>
          <w:lang w:eastAsia="en-US" w:bidi="ar-EG"/>
        </w:rPr>
        <w:t>؛</w:t>
      </w:r>
    </w:p>
    <w:p w:rsidR="004A588D" w:rsidRDefault="004A588D" w:rsidP="004A588D">
      <w:pPr>
        <w:rPr>
          <w:lang w:eastAsia="en-US" w:bidi="ar-EG"/>
        </w:rPr>
      </w:pPr>
      <w:r w:rsidRPr="00DA5F50">
        <w:rPr>
          <w:b/>
          <w:bCs/>
          <w:lang w:eastAsia="en-US" w:bidi="ar-EG"/>
        </w:rPr>
        <w:t>2</w:t>
      </w:r>
      <w:r>
        <w:rPr>
          <w:lang w:eastAsia="en-US" w:bidi="ar-EG"/>
        </w:rPr>
        <w:tab/>
      </w:r>
      <w:r>
        <w:rPr>
          <w:rFonts w:hint="cs"/>
          <w:rtl/>
          <w:lang w:eastAsia="en-US" w:bidi="ar-EG"/>
        </w:rPr>
        <w:t xml:space="preserve">بأن تستعمل معايير الحماية الواردة في الجدول </w:t>
      </w:r>
      <w:r>
        <w:rPr>
          <w:lang w:eastAsia="en-US" w:bidi="ar-EG"/>
        </w:rPr>
        <w:t>1</w:t>
      </w:r>
      <w:r>
        <w:rPr>
          <w:rFonts w:hint="cs"/>
          <w:rtl/>
          <w:lang w:eastAsia="en-US" w:bidi="ar-EG"/>
        </w:rPr>
        <w:t xml:space="preserve"> كأساس لوضع معايير التقاسم في الدراسات الخاصة بذلك مع الأنظمة الأرضية والفضائية الأخرى.</w:t>
      </w:r>
    </w:p>
    <w:p w:rsidR="00162FBC" w:rsidRDefault="00162FBC" w:rsidP="00162FBC">
      <w:pPr>
        <w:pStyle w:val="TableNo"/>
        <w:rPr>
          <w:lang w:eastAsia="en-US"/>
        </w:rPr>
      </w:pPr>
      <w:r>
        <w:rPr>
          <w:rFonts w:hint="cs"/>
          <w:rtl/>
          <w:lang w:eastAsia="en-US"/>
        </w:rPr>
        <w:t>الج</w:t>
      </w:r>
      <w:r w:rsidR="00672B2D">
        <w:rPr>
          <w:rFonts w:hint="cs"/>
          <w:rtl/>
          <w:lang w:eastAsia="en-US"/>
        </w:rPr>
        <w:t>ـ</w:t>
      </w:r>
      <w:r>
        <w:rPr>
          <w:rFonts w:hint="cs"/>
          <w:rtl/>
          <w:lang w:eastAsia="en-US"/>
        </w:rPr>
        <w:t xml:space="preserve">دول </w:t>
      </w:r>
      <w:r>
        <w:rPr>
          <w:lang w:eastAsia="en-US"/>
        </w:rPr>
        <w:t>1</w:t>
      </w:r>
    </w:p>
    <w:p w:rsidR="00162FBC" w:rsidRDefault="00162FBC" w:rsidP="00162FBC">
      <w:pPr>
        <w:pStyle w:val="Tabletitle"/>
        <w:rPr>
          <w:rtl/>
          <w:lang w:eastAsia="en-US"/>
        </w:rPr>
      </w:pPr>
      <w:r>
        <w:rPr>
          <w:rFonts w:hint="cs"/>
          <w:rtl/>
          <w:lang w:eastAsia="en-US"/>
        </w:rPr>
        <w:t>معايير الحماية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0"/>
        <w:gridCol w:w="3187"/>
        <w:gridCol w:w="3052"/>
      </w:tblGrid>
      <w:tr w:rsidR="00162FBC" w:rsidRPr="00162FBC" w:rsidTr="00A30D97">
        <w:trPr>
          <w:cantSplit/>
          <w:jc w:val="center"/>
        </w:trPr>
        <w:tc>
          <w:tcPr>
            <w:tcW w:w="2994" w:type="dxa"/>
            <w:tcBorders>
              <w:bottom w:val="single" w:sz="4" w:space="0" w:color="auto"/>
            </w:tcBorders>
            <w:vAlign w:val="center"/>
          </w:tcPr>
          <w:p w:rsidR="00162FBC" w:rsidRPr="00162FBC" w:rsidRDefault="00162FBC" w:rsidP="00162FBC">
            <w:pPr>
              <w:pStyle w:val="Tablehead"/>
              <w:rPr>
                <w:lang w:val="fr-FR"/>
              </w:rPr>
            </w:pPr>
            <w:r>
              <w:rPr>
                <w:rFonts w:hint="cs"/>
                <w:rtl/>
                <w:lang w:val="fr-FR"/>
              </w:rPr>
              <w:t>وصلة ساتلية لترحيل البيانات</w:t>
            </w:r>
          </w:p>
        </w:tc>
        <w:tc>
          <w:tcPr>
            <w:tcW w:w="2815" w:type="dxa"/>
            <w:tcBorders>
              <w:bottom w:val="single" w:sz="4" w:space="0" w:color="auto"/>
            </w:tcBorders>
            <w:vAlign w:val="center"/>
          </w:tcPr>
          <w:p w:rsidR="00162FBC" w:rsidRPr="00162FBC" w:rsidRDefault="00162FBC" w:rsidP="00162FBC">
            <w:pPr>
              <w:pStyle w:val="Tablehead"/>
              <w:rPr>
                <w:lang w:val="fr-FR"/>
              </w:rPr>
            </w:pPr>
            <w:r>
              <w:rPr>
                <w:rFonts w:hint="cs"/>
                <w:rtl/>
                <w:lang w:val="fr-FR"/>
              </w:rPr>
              <w:t>موقع المستقب</w:t>
            </w:r>
            <w:r w:rsidR="0002475B">
              <w:rPr>
                <w:rFonts w:hint="cs"/>
                <w:rtl/>
                <w:lang w:val="fr-FR"/>
              </w:rPr>
              <w:t>ِ</w:t>
            </w:r>
            <w:r>
              <w:rPr>
                <w:rFonts w:hint="cs"/>
                <w:rtl/>
                <w:lang w:val="fr-FR"/>
              </w:rPr>
              <w:t>ل</w:t>
            </w:r>
          </w:p>
        </w:tc>
        <w:tc>
          <w:tcPr>
            <w:tcW w:w="2696" w:type="dxa"/>
            <w:tcBorders>
              <w:bottom w:val="single" w:sz="4" w:space="0" w:color="auto"/>
            </w:tcBorders>
            <w:vAlign w:val="center"/>
          </w:tcPr>
          <w:p w:rsidR="00162FBC" w:rsidRPr="00162FBC" w:rsidRDefault="00162FBC" w:rsidP="00162FBC">
            <w:pPr>
              <w:pStyle w:val="Tablehead"/>
              <w:rPr>
                <w:lang w:val="fr-FR"/>
              </w:rPr>
            </w:pPr>
            <w:r>
              <w:rPr>
                <w:rFonts w:hint="cs"/>
                <w:rtl/>
                <w:lang w:val="fr-FR"/>
              </w:rPr>
              <w:t xml:space="preserve">النسبة </w:t>
            </w:r>
            <w:r w:rsidR="0088747E" w:rsidRPr="00261D25">
              <w:rPr>
                <w:i/>
                <w:iCs/>
              </w:rPr>
              <w:t>I</w:t>
            </w:r>
            <w:r w:rsidR="0088747E" w:rsidRPr="00261D25">
              <w:rPr>
                <w:rFonts w:cs="Times New Roman Bold"/>
                <w:vertAlign w:val="subscript"/>
              </w:rPr>
              <w:t>0</w:t>
            </w:r>
            <w:r w:rsidR="0088747E" w:rsidRPr="001E199F">
              <w:t>/</w:t>
            </w:r>
            <w:r w:rsidR="0088747E" w:rsidRPr="00261D25">
              <w:rPr>
                <w:i/>
                <w:iCs/>
              </w:rPr>
              <w:t>N</w:t>
            </w:r>
            <w:r w:rsidR="0088747E" w:rsidRPr="00261D25">
              <w:rPr>
                <w:rFonts w:cs="Times New Roman Bold"/>
                <w:vertAlign w:val="subscript"/>
              </w:rPr>
              <w:t>0</w:t>
            </w:r>
            <w:r w:rsidRPr="00162FBC">
              <w:rPr>
                <w:lang w:val="fr-FR"/>
              </w:rPr>
              <w:br/>
              <w:t>(dB)</w:t>
            </w:r>
          </w:p>
        </w:tc>
      </w:tr>
      <w:tr w:rsidR="00162FBC" w:rsidRPr="00162FBC" w:rsidTr="00A30D97">
        <w:trPr>
          <w:cantSplit/>
          <w:jc w:val="center"/>
        </w:trPr>
        <w:tc>
          <w:tcPr>
            <w:tcW w:w="2994" w:type="dxa"/>
            <w:tcBorders>
              <w:bottom w:val="single" w:sz="4" w:space="0" w:color="auto"/>
            </w:tcBorders>
          </w:tcPr>
          <w:p w:rsidR="00162FBC" w:rsidRPr="00162FBC" w:rsidRDefault="009D1266" w:rsidP="0059667A">
            <w:pPr>
              <w:pStyle w:val="Tabletext"/>
              <w:rPr>
                <w:lang w:val="fr-FR" w:eastAsia="en-US"/>
              </w:rPr>
            </w:pPr>
            <w:r>
              <w:rPr>
                <w:rFonts w:hint="cs"/>
                <w:rtl/>
                <w:lang w:val="fr-FR" w:eastAsia="en-US"/>
              </w:rPr>
              <w:t>وصلة أمامية بين المدارات</w:t>
            </w:r>
          </w:p>
        </w:tc>
        <w:tc>
          <w:tcPr>
            <w:tcW w:w="2815" w:type="dxa"/>
            <w:tcBorders>
              <w:bottom w:val="single" w:sz="4" w:space="0" w:color="auto"/>
            </w:tcBorders>
            <w:vAlign w:val="center"/>
          </w:tcPr>
          <w:p w:rsidR="00162FBC" w:rsidRPr="00162FBC" w:rsidRDefault="009D1266" w:rsidP="00687FB1">
            <w:pPr>
              <w:pStyle w:val="Tabletext"/>
              <w:jc w:val="center"/>
              <w:rPr>
                <w:lang w:val="fr-FR" w:eastAsia="en-US"/>
              </w:rPr>
            </w:pPr>
            <w:r>
              <w:rPr>
                <w:rFonts w:hint="cs"/>
                <w:rtl/>
                <w:lang w:val="fr-FR" w:eastAsia="en-US"/>
              </w:rPr>
              <w:t>مركبة فضائية للمستعمل</w:t>
            </w:r>
          </w:p>
        </w:tc>
        <w:tc>
          <w:tcPr>
            <w:tcW w:w="2696" w:type="dxa"/>
            <w:tcBorders>
              <w:bottom w:val="single" w:sz="4" w:space="0" w:color="auto"/>
            </w:tcBorders>
            <w:vAlign w:val="center"/>
          </w:tcPr>
          <w:p w:rsidR="00162FBC" w:rsidRPr="00162FBC" w:rsidRDefault="00162FBC" w:rsidP="00687FB1">
            <w:pPr>
              <w:pStyle w:val="Tabletext"/>
              <w:jc w:val="center"/>
              <w:rPr>
                <w:lang w:val="fr-FR" w:eastAsia="en-US"/>
              </w:rPr>
            </w:pPr>
          </w:p>
        </w:tc>
      </w:tr>
      <w:tr w:rsidR="00162FBC" w:rsidRPr="009D1266" w:rsidTr="00A30D97">
        <w:trPr>
          <w:cantSplit/>
          <w:jc w:val="center"/>
        </w:trPr>
        <w:tc>
          <w:tcPr>
            <w:tcW w:w="2994" w:type="dxa"/>
            <w:tcBorders>
              <w:top w:val="single" w:sz="4" w:space="0" w:color="auto"/>
              <w:bottom w:val="single" w:sz="4" w:space="0" w:color="auto"/>
            </w:tcBorders>
          </w:tcPr>
          <w:p w:rsidR="00162FBC" w:rsidRPr="009D1266" w:rsidRDefault="009D1266" w:rsidP="0059667A">
            <w:pPr>
              <w:pStyle w:val="Tabletext"/>
              <w:rPr>
                <w:lang w:eastAsia="en-US"/>
              </w:rPr>
            </w:pPr>
            <w:r w:rsidRPr="009D1266">
              <w:rPr>
                <w:lang w:eastAsia="en-US"/>
              </w:rPr>
              <w:t>MHZ 2 110-2 025</w:t>
            </w:r>
            <w:r w:rsidRPr="009D1266">
              <w:rPr>
                <w:lang w:eastAsia="en-US"/>
              </w:rPr>
              <w:br/>
              <w:t>GHz 14,3-13,4</w:t>
            </w:r>
            <w:r>
              <w:rPr>
                <w:lang w:eastAsia="en-US"/>
              </w:rPr>
              <w:br/>
            </w:r>
            <w:r w:rsidRPr="009D1266">
              <w:rPr>
                <w:lang w:eastAsia="en-US"/>
              </w:rPr>
              <w:t>GHz 23,55</w:t>
            </w:r>
            <w:r w:rsidRPr="009D1266">
              <w:rPr>
                <w:lang w:eastAsia="en-US"/>
              </w:rPr>
              <w:noBreakHyphen/>
              <w:t>22,55</w:t>
            </w:r>
          </w:p>
        </w:tc>
        <w:tc>
          <w:tcPr>
            <w:tcW w:w="2815" w:type="dxa"/>
            <w:tcBorders>
              <w:top w:val="single" w:sz="4" w:space="0" w:color="auto"/>
              <w:bottom w:val="single" w:sz="4" w:space="0" w:color="auto"/>
            </w:tcBorders>
            <w:vAlign w:val="center"/>
          </w:tcPr>
          <w:p w:rsidR="00162FBC" w:rsidRPr="009D1266" w:rsidRDefault="00162FBC" w:rsidP="00687FB1">
            <w:pPr>
              <w:pStyle w:val="Tabletext"/>
              <w:jc w:val="center"/>
              <w:rPr>
                <w:lang w:eastAsia="en-US"/>
              </w:rPr>
            </w:pPr>
          </w:p>
        </w:tc>
        <w:tc>
          <w:tcPr>
            <w:tcW w:w="2696" w:type="dxa"/>
            <w:tcBorders>
              <w:top w:val="single" w:sz="4" w:space="0" w:color="auto"/>
              <w:bottom w:val="single" w:sz="4" w:space="0" w:color="auto"/>
            </w:tcBorders>
          </w:tcPr>
          <w:p w:rsidR="00162FBC" w:rsidRPr="009D1266" w:rsidRDefault="00162FBC" w:rsidP="00687FB1">
            <w:pPr>
              <w:pStyle w:val="Tabletext"/>
              <w:jc w:val="center"/>
              <w:rPr>
                <w:lang w:eastAsia="en-US"/>
              </w:rPr>
            </w:pPr>
            <w:r w:rsidRPr="009D1266">
              <w:rPr>
                <w:lang w:eastAsia="en-US"/>
              </w:rPr>
              <w:t>10</w:t>
            </w:r>
            <w:r w:rsidR="009D1266" w:rsidRPr="009D1266">
              <w:rPr>
                <w:lang w:eastAsia="en-US"/>
              </w:rPr>
              <w:t>–</w:t>
            </w:r>
          </w:p>
        </w:tc>
      </w:tr>
      <w:tr w:rsidR="00162FBC" w:rsidRPr="009D1266" w:rsidTr="00A30D97">
        <w:trPr>
          <w:cantSplit/>
          <w:jc w:val="center"/>
        </w:trPr>
        <w:tc>
          <w:tcPr>
            <w:tcW w:w="2994" w:type="dxa"/>
            <w:tcBorders>
              <w:bottom w:val="single" w:sz="4" w:space="0" w:color="auto"/>
            </w:tcBorders>
          </w:tcPr>
          <w:p w:rsidR="00162FBC" w:rsidRPr="009D1266" w:rsidRDefault="00CA4C11" w:rsidP="0059667A">
            <w:pPr>
              <w:pStyle w:val="Tabletext"/>
              <w:rPr>
                <w:rtl/>
                <w:lang w:eastAsia="en-US" w:bidi="ar-EG"/>
              </w:rPr>
            </w:pPr>
            <w:r>
              <w:rPr>
                <w:rFonts w:hint="cs"/>
                <w:rtl/>
                <w:lang w:eastAsia="en-US" w:bidi="ar-EG"/>
              </w:rPr>
              <w:t>وصلة عودة بين المدارات</w:t>
            </w:r>
          </w:p>
        </w:tc>
        <w:tc>
          <w:tcPr>
            <w:tcW w:w="2815" w:type="dxa"/>
            <w:tcBorders>
              <w:bottom w:val="single" w:sz="4" w:space="0" w:color="auto"/>
            </w:tcBorders>
            <w:vAlign w:val="center"/>
          </w:tcPr>
          <w:p w:rsidR="00162FBC" w:rsidRPr="009D1266" w:rsidRDefault="0059667A" w:rsidP="00687FB1">
            <w:pPr>
              <w:pStyle w:val="Tabletext"/>
              <w:jc w:val="center"/>
              <w:rPr>
                <w:lang w:eastAsia="en-US"/>
              </w:rPr>
            </w:pPr>
            <w:r>
              <w:rPr>
                <w:rFonts w:hint="cs"/>
                <w:rtl/>
                <w:lang w:eastAsia="en-US"/>
              </w:rPr>
              <w:t>ساتل لترحيل البيانات</w:t>
            </w:r>
          </w:p>
        </w:tc>
        <w:tc>
          <w:tcPr>
            <w:tcW w:w="2696" w:type="dxa"/>
            <w:tcBorders>
              <w:bottom w:val="single" w:sz="4" w:space="0" w:color="auto"/>
            </w:tcBorders>
          </w:tcPr>
          <w:p w:rsidR="00162FBC" w:rsidRPr="009D1266" w:rsidRDefault="00162FBC" w:rsidP="00687FB1">
            <w:pPr>
              <w:pStyle w:val="Tabletext"/>
              <w:jc w:val="center"/>
              <w:rPr>
                <w:lang w:eastAsia="en-US"/>
              </w:rPr>
            </w:pPr>
          </w:p>
        </w:tc>
      </w:tr>
      <w:tr w:rsidR="00162FBC" w:rsidRPr="009D1266" w:rsidTr="00A30D97">
        <w:trPr>
          <w:cantSplit/>
          <w:jc w:val="center"/>
        </w:trPr>
        <w:tc>
          <w:tcPr>
            <w:tcW w:w="2994" w:type="dxa"/>
            <w:tcBorders>
              <w:top w:val="single" w:sz="4" w:space="0" w:color="auto"/>
              <w:bottom w:val="single" w:sz="4" w:space="0" w:color="auto"/>
            </w:tcBorders>
          </w:tcPr>
          <w:p w:rsidR="00162FBC" w:rsidRPr="009D1266" w:rsidRDefault="00CA4C11" w:rsidP="00CA4C11">
            <w:pPr>
              <w:pStyle w:val="Tabletext"/>
              <w:rPr>
                <w:lang w:eastAsia="en-US"/>
              </w:rPr>
            </w:pPr>
            <w:r w:rsidRPr="009D1266">
              <w:rPr>
                <w:lang w:eastAsia="en-US"/>
              </w:rPr>
              <w:t>MHZ 2 </w:t>
            </w:r>
            <w:r>
              <w:rPr>
                <w:lang w:eastAsia="en-US"/>
              </w:rPr>
              <w:t>290</w:t>
            </w:r>
            <w:r w:rsidRPr="009D1266">
              <w:rPr>
                <w:lang w:eastAsia="en-US"/>
              </w:rPr>
              <w:t>-2 </w:t>
            </w:r>
            <w:r>
              <w:rPr>
                <w:lang w:eastAsia="en-US"/>
              </w:rPr>
              <w:t>200</w:t>
            </w:r>
            <w:r>
              <w:rPr>
                <w:lang w:eastAsia="en-US"/>
              </w:rPr>
              <w:br/>
            </w:r>
            <w:r w:rsidRPr="009D1266">
              <w:rPr>
                <w:lang w:eastAsia="en-US"/>
              </w:rPr>
              <w:t>GHz 1</w:t>
            </w:r>
            <w:r>
              <w:rPr>
                <w:lang w:eastAsia="en-US"/>
              </w:rPr>
              <w:t>5</w:t>
            </w:r>
            <w:r w:rsidRPr="009D1266">
              <w:rPr>
                <w:lang w:eastAsia="en-US"/>
              </w:rPr>
              <w:t>,3</w:t>
            </w:r>
            <w:r>
              <w:rPr>
                <w:lang w:eastAsia="en-US"/>
              </w:rPr>
              <w:t>5</w:t>
            </w:r>
            <w:r w:rsidRPr="009D1266">
              <w:rPr>
                <w:lang w:eastAsia="en-US"/>
              </w:rPr>
              <w:t>-</w:t>
            </w:r>
            <w:r>
              <w:rPr>
                <w:lang w:eastAsia="en-US"/>
              </w:rPr>
              <w:t>14,5</w:t>
            </w:r>
            <w:r>
              <w:rPr>
                <w:lang w:eastAsia="en-US"/>
              </w:rPr>
              <w:br/>
            </w:r>
            <w:r w:rsidRPr="009D1266">
              <w:rPr>
                <w:lang w:eastAsia="en-US"/>
              </w:rPr>
              <w:t>GHz </w:t>
            </w:r>
            <w:r>
              <w:rPr>
                <w:lang w:eastAsia="en-US"/>
              </w:rPr>
              <w:t>27,5</w:t>
            </w:r>
            <w:r w:rsidRPr="009D1266">
              <w:rPr>
                <w:lang w:eastAsia="en-US"/>
              </w:rPr>
              <w:t>-</w:t>
            </w:r>
            <w:r>
              <w:rPr>
                <w:lang w:eastAsia="en-US"/>
              </w:rPr>
              <w:t>25,25</w:t>
            </w:r>
          </w:p>
        </w:tc>
        <w:tc>
          <w:tcPr>
            <w:tcW w:w="2815" w:type="dxa"/>
            <w:tcBorders>
              <w:top w:val="single" w:sz="4" w:space="0" w:color="auto"/>
              <w:bottom w:val="single" w:sz="4" w:space="0" w:color="auto"/>
            </w:tcBorders>
            <w:vAlign w:val="center"/>
          </w:tcPr>
          <w:p w:rsidR="00162FBC" w:rsidRPr="009D1266" w:rsidRDefault="00162FBC" w:rsidP="00687FB1">
            <w:pPr>
              <w:pStyle w:val="Tabletext"/>
              <w:jc w:val="center"/>
              <w:rPr>
                <w:lang w:eastAsia="en-US"/>
              </w:rPr>
            </w:pPr>
          </w:p>
        </w:tc>
        <w:tc>
          <w:tcPr>
            <w:tcW w:w="2696" w:type="dxa"/>
            <w:tcBorders>
              <w:top w:val="single" w:sz="4" w:space="0" w:color="auto"/>
              <w:bottom w:val="single" w:sz="4" w:space="0" w:color="auto"/>
            </w:tcBorders>
          </w:tcPr>
          <w:p w:rsidR="00162FBC" w:rsidRPr="009D1266" w:rsidRDefault="00162FBC" w:rsidP="00687FB1">
            <w:pPr>
              <w:pStyle w:val="Tabletext"/>
              <w:jc w:val="center"/>
              <w:rPr>
                <w:lang w:eastAsia="en-US"/>
              </w:rPr>
            </w:pPr>
            <w:r w:rsidRPr="009D1266">
              <w:rPr>
                <w:lang w:eastAsia="en-US"/>
              </w:rPr>
              <w:t>10</w:t>
            </w:r>
            <w:r w:rsidR="0059667A" w:rsidRPr="009D1266">
              <w:rPr>
                <w:lang w:eastAsia="en-US"/>
              </w:rPr>
              <w:t>–</w:t>
            </w:r>
          </w:p>
        </w:tc>
      </w:tr>
      <w:tr w:rsidR="0059667A" w:rsidRPr="00162FBC" w:rsidTr="00A30D97">
        <w:trPr>
          <w:cantSplit/>
          <w:jc w:val="center"/>
        </w:trPr>
        <w:tc>
          <w:tcPr>
            <w:tcW w:w="2994" w:type="dxa"/>
            <w:tcBorders>
              <w:bottom w:val="single" w:sz="4" w:space="0" w:color="auto"/>
            </w:tcBorders>
          </w:tcPr>
          <w:p w:rsidR="0059667A" w:rsidRPr="009D1266" w:rsidRDefault="00CA4C11" w:rsidP="0059667A">
            <w:pPr>
              <w:pStyle w:val="Tabletext"/>
              <w:rPr>
                <w:rtl/>
                <w:lang w:eastAsia="en-US" w:bidi="ar-EG"/>
              </w:rPr>
            </w:pPr>
            <w:r>
              <w:rPr>
                <w:rFonts w:hint="cs"/>
                <w:rtl/>
                <w:lang w:eastAsia="en-US" w:bidi="ar-EG"/>
              </w:rPr>
              <w:t>وصلة تغذية أمامية</w:t>
            </w:r>
          </w:p>
        </w:tc>
        <w:tc>
          <w:tcPr>
            <w:tcW w:w="2815" w:type="dxa"/>
            <w:tcBorders>
              <w:bottom w:val="single" w:sz="4" w:space="0" w:color="auto"/>
            </w:tcBorders>
            <w:vAlign w:val="center"/>
          </w:tcPr>
          <w:p w:rsidR="0059667A" w:rsidRPr="009D1266" w:rsidRDefault="0059667A" w:rsidP="00687FB1">
            <w:pPr>
              <w:pStyle w:val="Tabletext"/>
              <w:jc w:val="center"/>
              <w:rPr>
                <w:lang w:eastAsia="en-US"/>
              </w:rPr>
            </w:pPr>
            <w:r>
              <w:rPr>
                <w:rFonts w:hint="cs"/>
                <w:rtl/>
                <w:lang w:eastAsia="en-US"/>
              </w:rPr>
              <w:t>ساتل لترحيل البيانات</w:t>
            </w:r>
          </w:p>
        </w:tc>
        <w:tc>
          <w:tcPr>
            <w:tcW w:w="2696" w:type="dxa"/>
            <w:tcBorders>
              <w:bottom w:val="single" w:sz="4" w:space="0" w:color="auto"/>
            </w:tcBorders>
          </w:tcPr>
          <w:p w:rsidR="0059667A" w:rsidRPr="00162FBC" w:rsidRDefault="0059667A" w:rsidP="00687FB1">
            <w:pPr>
              <w:pStyle w:val="Tabletext"/>
              <w:jc w:val="center"/>
              <w:rPr>
                <w:lang w:val="fr-FR" w:eastAsia="en-US"/>
              </w:rPr>
            </w:pPr>
          </w:p>
        </w:tc>
      </w:tr>
      <w:tr w:rsidR="00162FBC" w:rsidRPr="00162FBC" w:rsidTr="00A30D97">
        <w:trPr>
          <w:cantSplit/>
          <w:jc w:val="center"/>
        </w:trPr>
        <w:tc>
          <w:tcPr>
            <w:tcW w:w="2994" w:type="dxa"/>
            <w:tcBorders>
              <w:top w:val="single" w:sz="4" w:space="0" w:color="auto"/>
              <w:bottom w:val="single" w:sz="4" w:space="0" w:color="auto"/>
            </w:tcBorders>
          </w:tcPr>
          <w:p w:rsidR="00162FBC" w:rsidRPr="00162FBC" w:rsidRDefault="00CA4C11" w:rsidP="00CA4C11">
            <w:pPr>
              <w:pStyle w:val="Tabletext"/>
              <w:rPr>
                <w:lang w:val="fr-FR" w:eastAsia="en-US"/>
              </w:rPr>
            </w:pPr>
            <w:r w:rsidRPr="009D1266">
              <w:rPr>
                <w:lang w:eastAsia="en-US"/>
              </w:rPr>
              <w:t>GHz 1</w:t>
            </w:r>
            <w:r>
              <w:rPr>
                <w:lang w:eastAsia="en-US"/>
              </w:rPr>
              <w:t>5</w:t>
            </w:r>
            <w:r w:rsidRPr="009D1266">
              <w:rPr>
                <w:lang w:eastAsia="en-US"/>
              </w:rPr>
              <w:t>,3</w:t>
            </w:r>
            <w:r>
              <w:rPr>
                <w:lang w:eastAsia="en-US"/>
              </w:rPr>
              <w:t>5</w:t>
            </w:r>
            <w:r w:rsidRPr="009D1266">
              <w:rPr>
                <w:lang w:eastAsia="en-US"/>
              </w:rPr>
              <w:t>-</w:t>
            </w:r>
            <w:r>
              <w:rPr>
                <w:lang w:eastAsia="en-US"/>
              </w:rPr>
              <w:t>14,5</w:t>
            </w:r>
            <w:r w:rsidR="00162FBC" w:rsidRPr="00162FBC">
              <w:rPr>
                <w:lang w:val="fr-FR" w:eastAsia="en-US"/>
              </w:rPr>
              <w:br/>
            </w:r>
            <w:r w:rsidRPr="009D1266">
              <w:rPr>
                <w:lang w:eastAsia="en-US"/>
              </w:rPr>
              <w:t>GHz </w:t>
            </w:r>
            <w:r>
              <w:rPr>
                <w:lang w:eastAsia="en-US"/>
              </w:rPr>
              <w:t>31,0</w:t>
            </w:r>
            <w:r w:rsidRPr="009D1266">
              <w:rPr>
                <w:lang w:eastAsia="en-US"/>
              </w:rPr>
              <w:t>-</w:t>
            </w:r>
            <w:r>
              <w:rPr>
                <w:lang w:eastAsia="en-US"/>
              </w:rPr>
              <w:t>27,5</w:t>
            </w:r>
          </w:p>
        </w:tc>
        <w:tc>
          <w:tcPr>
            <w:tcW w:w="2815" w:type="dxa"/>
            <w:tcBorders>
              <w:top w:val="single" w:sz="4" w:space="0" w:color="auto"/>
              <w:bottom w:val="single" w:sz="4" w:space="0" w:color="auto"/>
            </w:tcBorders>
            <w:vAlign w:val="center"/>
          </w:tcPr>
          <w:p w:rsidR="00162FBC" w:rsidRPr="00162FBC" w:rsidRDefault="00162FBC" w:rsidP="00687FB1">
            <w:pPr>
              <w:pStyle w:val="Tabletext"/>
              <w:jc w:val="center"/>
              <w:rPr>
                <w:lang w:val="fr-FR" w:eastAsia="en-US"/>
              </w:rPr>
            </w:pPr>
          </w:p>
        </w:tc>
        <w:tc>
          <w:tcPr>
            <w:tcW w:w="2696" w:type="dxa"/>
            <w:tcBorders>
              <w:top w:val="single" w:sz="4" w:space="0" w:color="auto"/>
              <w:bottom w:val="single" w:sz="4" w:space="0" w:color="auto"/>
            </w:tcBorders>
          </w:tcPr>
          <w:p w:rsidR="00162FBC" w:rsidRPr="00162FBC" w:rsidRDefault="00162FBC" w:rsidP="00687FB1">
            <w:pPr>
              <w:pStyle w:val="Tabletext"/>
              <w:jc w:val="center"/>
              <w:rPr>
                <w:lang w:val="fr-FR" w:eastAsia="en-US"/>
              </w:rPr>
            </w:pPr>
            <w:r w:rsidRPr="00162FBC">
              <w:rPr>
                <w:lang w:val="fr-FR" w:eastAsia="en-US"/>
              </w:rPr>
              <w:t>6</w:t>
            </w:r>
            <w:r w:rsidR="0059667A" w:rsidRPr="00162FBC">
              <w:rPr>
                <w:lang w:val="fr-FR" w:eastAsia="en-US"/>
              </w:rPr>
              <w:t>–</w:t>
            </w:r>
          </w:p>
        </w:tc>
      </w:tr>
      <w:tr w:rsidR="00162FBC" w:rsidRPr="00162FBC" w:rsidTr="00A30D97">
        <w:trPr>
          <w:cantSplit/>
          <w:jc w:val="center"/>
        </w:trPr>
        <w:tc>
          <w:tcPr>
            <w:tcW w:w="2994" w:type="dxa"/>
            <w:tcBorders>
              <w:bottom w:val="single" w:sz="4" w:space="0" w:color="auto"/>
            </w:tcBorders>
          </w:tcPr>
          <w:p w:rsidR="00162FBC" w:rsidRPr="00162FBC" w:rsidRDefault="00E73740" w:rsidP="0059667A">
            <w:pPr>
              <w:pStyle w:val="Tabletext"/>
              <w:rPr>
                <w:rtl/>
                <w:lang w:val="fr-FR" w:eastAsia="en-US" w:bidi="ar-EG"/>
              </w:rPr>
            </w:pPr>
            <w:r>
              <w:rPr>
                <w:rFonts w:hint="cs"/>
                <w:rtl/>
                <w:lang w:val="fr-FR" w:eastAsia="en-US"/>
              </w:rPr>
              <w:t>وصلة تغذية للعودة</w:t>
            </w:r>
          </w:p>
        </w:tc>
        <w:tc>
          <w:tcPr>
            <w:tcW w:w="2815" w:type="dxa"/>
            <w:tcBorders>
              <w:bottom w:val="single" w:sz="4" w:space="0" w:color="auto"/>
            </w:tcBorders>
            <w:vAlign w:val="center"/>
          </w:tcPr>
          <w:p w:rsidR="00162FBC" w:rsidRPr="00162FBC" w:rsidRDefault="0059667A" w:rsidP="00687FB1">
            <w:pPr>
              <w:pStyle w:val="Tabletext"/>
              <w:jc w:val="center"/>
              <w:rPr>
                <w:lang w:val="fr-FR" w:eastAsia="en-US"/>
              </w:rPr>
            </w:pPr>
            <w:r>
              <w:rPr>
                <w:rFonts w:hint="cs"/>
                <w:rtl/>
                <w:lang w:val="fr-FR" w:eastAsia="en-US"/>
              </w:rPr>
              <w:t>محطة أرضية</w:t>
            </w:r>
          </w:p>
        </w:tc>
        <w:tc>
          <w:tcPr>
            <w:tcW w:w="2696" w:type="dxa"/>
            <w:tcBorders>
              <w:bottom w:val="single" w:sz="4" w:space="0" w:color="auto"/>
            </w:tcBorders>
          </w:tcPr>
          <w:p w:rsidR="00162FBC" w:rsidRPr="00162FBC" w:rsidRDefault="00162FBC" w:rsidP="00687FB1">
            <w:pPr>
              <w:pStyle w:val="Tabletext"/>
              <w:jc w:val="center"/>
              <w:rPr>
                <w:lang w:val="fr-FR" w:eastAsia="en-US"/>
              </w:rPr>
            </w:pPr>
          </w:p>
        </w:tc>
      </w:tr>
      <w:tr w:rsidR="00162FBC" w:rsidRPr="00162FBC" w:rsidTr="00A30D97">
        <w:trPr>
          <w:cantSplit/>
          <w:jc w:val="center"/>
        </w:trPr>
        <w:tc>
          <w:tcPr>
            <w:tcW w:w="2994" w:type="dxa"/>
            <w:tcBorders>
              <w:top w:val="single" w:sz="4" w:space="0" w:color="auto"/>
              <w:bottom w:val="single" w:sz="4" w:space="0" w:color="auto"/>
            </w:tcBorders>
          </w:tcPr>
          <w:p w:rsidR="00162FBC" w:rsidRPr="00162FBC" w:rsidRDefault="00E73740" w:rsidP="009F302A">
            <w:pPr>
              <w:pStyle w:val="Tabletext"/>
              <w:rPr>
                <w:rtl/>
                <w:lang w:val="fr-FR" w:eastAsia="en-US" w:bidi="ar-EG"/>
              </w:rPr>
            </w:pPr>
            <w:r w:rsidRPr="009D1266">
              <w:rPr>
                <w:lang w:eastAsia="en-US"/>
              </w:rPr>
              <w:t>GHz 14,</w:t>
            </w:r>
            <w:r>
              <w:rPr>
                <w:lang w:eastAsia="en-US"/>
              </w:rPr>
              <w:t>05</w:t>
            </w:r>
            <w:r w:rsidRPr="009D1266">
              <w:rPr>
                <w:lang w:eastAsia="en-US"/>
              </w:rPr>
              <w:t>-13,4</w:t>
            </w:r>
            <w:r>
              <w:rPr>
                <w:rtl/>
                <w:lang w:val="fr-FR" w:eastAsia="en-US"/>
              </w:rPr>
              <w:br/>
            </w:r>
            <w:r w:rsidRPr="009D1266">
              <w:rPr>
                <w:lang w:eastAsia="en-US"/>
              </w:rPr>
              <w:t>GHz 1</w:t>
            </w:r>
            <w:r>
              <w:rPr>
                <w:lang w:eastAsia="en-US"/>
              </w:rPr>
              <w:t>0</w:t>
            </w:r>
            <w:r w:rsidRPr="009D1266">
              <w:rPr>
                <w:lang w:eastAsia="en-US"/>
              </w:rPr>
              <w:t>,</w:t>
            </w:r>
            <w:r>
              <w:rPr>
                <w:lang w:eastAsia="en-US"/>
              </w:rPr>
              <w:t>95</w:t>
            </w:r>
            <w:r w:rsidRPr="009D1266">
              <w:rPr>
                <w:lang w:eastAsia="en-US"/>
              </w:rPr>
              <w:t>-1</w:t>
            </w:r>
            <w:r>
              <w:rPr>
                <w:lang w:eastAsia="en-US"/>
              </w:rPr>
              <w:t>0</w:t>
            </w:r>
            <w:r w:rsidRPr="009D1266">
              <w:rPr>
                <w:lang w:eastAsia="en-US"/>
              </w:rPr>
              <w:t>,</w:t>
            </w:r>
            <w:r>
              <w:rPr>
                <w:lang w:eastAsia="en-US"/>
              </w:rPr>
              <w:t>7</w:t>
            </w:r>
            <w:r w:rsidR="00162FBC" w:rsidRPr="00162FBC">
              <w:rPr>
                <w:lang w:val="fr-FR" w:eastAsia="en-US"/>
              </w:rPr>
              <w:br/>
            </w:r>
            <w:r w:rsidRPr="009D1266">
              <w:rPr>
                <w:lang w:eastAsia="en-US"/>
              </w:rPr>
              <w:t>GHz </w:t>
            </w:r>
            <w:r>
              <w:rPr>
                <w:lang w:eastAsia="en-US"/>
              </w:rPr>
              <w:t>21,2</w:t>
            </w:r>
            <w:r w:rsidRPr="009D1266">
              <w:rPr>
                <w:lang w:eastAsia="en-US"/>
              </w:rPr>
              <w:t>-</w:t>
            </w:r>
            <w:r>
              <w:rPr>
                <w:lang w:eastAsia="en-US"/>
              </w:rPr>
              <w:t>17,7</w:t>
            </w:r>
            <w:r w:rsidR="009F302A">
              <w:rPr>
                <w:rtl/>
                <w:lang w:eastAsia="en-US"/>
              </w:rPr>
              <w:br/>
            </w:r>
            <w:r w:rsidR="009F302A" w:rsidRPr="009D1266">
              <w:rPr>
                <w:lang w:eastAsia="en-US"/>
              </w:rPr>
              <w:t>GHz </w:t>
            </w:r>
            <w:r w:rsidR="009F302A">
              <w:rPr>
                <w:lang w:eastAsia="en-US"/>
              </w:rPr>
              <w:t>27</w:t>
            </w:r>
            <w:r w:rsidR="009F302A" w:rsidRPr="009D1266">
              <w:rPr>
                <w:lang w:eastAsia="en-US"/>
              </w:rPr>
              <w:t>-</w:t>
            </w:r>
            <w:r w:rsidR="009F302A">
              <w:rPr>
                <w:lang w:eastAsia="en-US"/>
              </w:rPr>
              <w:t>25,5</w:t>
            </w:r>
            <w:r w:rsidR="00687FB1">
              <w:rPr>
                <w:rFonts w:hint="cs"/>
                <w:rtl/>
                <w:lang w:eastAsia="en-US" w:bidi="ar-EG"/>
              </w:rPr>
              <w:t xml:space="preserve"> (</w:t>
            </w:r>
            <w:r w:rsidR="00687FB1" w:rsidRPr="008A4F64">
              <w:rPr>
                <w:rFonts w:hint="cs"/>
                <w:rtl/>
                <w:lang w:eastAsia="en-US" w:bidi="ar-EG"/>
              </w:rPr>
              <w:t>أنظر الملاحظة</w:t>
            </w:r>
            <w:r w:rsidR="00687FB1">
              <w:rPr>
                <w:rFonts w:hint="cs"/>
                <w:rtl/>
                <w:lang w:eastAsia="en-US" w:bidi="ar-EG"/>
              </w:rPr>
              <w:t>)</w:t>
            </w:r>
          </w:p>
        </w:tc>
        <w:tc>
          <w:tcPr>
            <w:tcW w:w="2815" w:type="dxa"/>
            <w:tcBorders>
              <w:top w:val="single" w:sz="4" w:space="0" w:color="auto"/>
              <w:bottom w:val="single" w:sz="4" w:space="0" w:color="auto"/>
            </w:tcBorders>
            <w:vAlign w:val="center"/>
          </w:tcPr>
          <w:p w:rsidR="00162FBC" w:rsidRPr="00162FBC" w:rsidRDefault="00162FBC" w:rsidP="00687FB1">
            <w:pPr>
              <w:pStyle w:val="Tabletext"/>
              <w:jc w:val="center"/>
              <w:rPr>
                <w:lang w:val="fr-FR" w:eastAsia="en-US"/>
              </w:rPr>
            </w:pPr>
          </w:p>
        </w:tc>
        <w:tc>
          <w:tcPr>
            <w:tcW w:w="2696" w:type="dxa"/>
            <w:tcBorders>
              <w:top w:val="single" w:sz="4" w:space="0" w:color="auto"/>
              <w:bottom w:val="single" w:sz="4" w:space="0" w:color="auto"/>
            </w:tcBorders>
          </w:tcPr>
          <w:p w:rsidR="00162FBC" w:rsidRPr="00162FBC" w:rsidRDefault="00162FBC" w:rsidP="00687FB1">
            <w:pPr>
              <w:pStyle w:val="Tabletext"/>
              <w:jc w:val="center"/>
              <w:rPr>
                <w:lang w:val="fr-FR" w:eastAsia="en-US"/>
              </w:rPr>
            </w:pPr>
            <w:r w:rsidRPr="00162FBC">
              <w:rPr>
                <w:lang w:val="fr-FR" w:eastAsia="en-US"/>
              </w:rPr>
              <w:t>6</w:t>
            </w:r>
            <w:r w:rsidR="0059667A" w:rsidRPr="00162FBC">
              <w:rPr>
                <w:lang w:val="fr-FR" w:eastAsia="en-US"/>
              </w:rPr>
              <w:t>–</w:t>
            </w:r>
          </w:p>
        </w:tc>
      </w:tr>
      <w:tr w:rsidR="005826BF" w:rsidRPr="00162FBC" w:rsidTr="00A30D97">
        <w:trPr>
          <w:cantSplit/>
          <w:jc w:val="center"/>
        </w:trPr>
        <w:tc>
          <w:tcPr>
            <w:tcW w:w="8505" w:type="dxa"/>
            <w:gridSpan w:val="3"/>
            <w:tcBorders>
              <w:top w:val="single" w:sz="4" w:space="0" w:color="auto"/>
              <w:left w:val="nil"/>
              <w:bottom w:val="nil"/>
              <w:right w:val="nil"/>
            </w:tcBorders>
          </w:tcPr>
          <w:p w:rsidR="005826BF" w:rsidRPr="0011413D" w:rsidRDefault="002E47D1" w:rsidP="00A30D97">
            <w:pPr>
              <w:pStyle w:val="Tabletext"/>
              <w:spacing w:before="120"/>
              <w:rPr>
                <w:lang w:val="fr-FR" w:eastAsia="en-US"/>
              </w:rPr>
            </w:pPr>
            <w:r w:rsidRPr="00A30D97">
              <w:rPr>
                <w:rFonts w:hint="cs"/>
                <w:rtl/>
                <w:lang w:val="fr-FR" w:eastAsia="en-US"/>
              </w:rPr>
              <w:t>ملاحظة</w:t>
            </w:r>
            <w:r w:rsidRPr="0011413D">
              <w:rPr>
                <w:rFonts w:hint="cs"/>
                <w:rtl/>
                <w:lang w:val="fr-FR" w:eastAsia="en-US"/>
              </w:rPr>
              <w:t xml:space="preserve"> </w:t>
            </w:r>
            <w:proofErr w:type="gramStart"/>
            <w:r w:rsidRPr="0011413D">
              <w:rPr>
                <w:rFonts w:hint="cs"/>
                <w:rtl/>
                <w:lang w:val="fr-FR" w:eastAsia="en-US"/>
              </w:rPr>
              <w:t xml:space="preserve">- </w:t>
            </w:r>
            <w:r w:rsidR="0011413D" w:rsidRPr="0011413D">
              <w:rPr>
                <w:rtl/>
                <w:lang w:eastAsia="en-US"/>
              </w:rPr>
              <w:t>في</w:t>
            </w:r>
            <w:proofErr w:type="gramEnd"/>
            <w:r w:rsidR="0011413D" w:rsidRPr="0011413D">
              <w:rPr>
                <w:rtl/>
                <w:lang w:eastAsia="en-US"/>
              </w:rPr>
              <w:t xml:space="preserve"> </w:t>
            </w:r>
            <w:r w:rsidR="0011413D" w:rsidRPr="0011413D">
              <w:rPr>
                <w:rFonts w:hint="cs"/>
                <w:rtl/>
                <w:lang w:eastAsia="en-US"/>
              </w:rPr>
              <w:t>ال</w:t>
            </w:r>
            <w:r w:rsidR="0011413D" w:rsidRPr="0011413D">
              <w:rPr>
                <w:rtl/>
                <w:lang w:eastAsia="en-US"/>
              </w:rPr>
              <w:t>نطاق التردد</w:t>
            </w:r>
            <w:r w:rsidR="0011413D" w:rsidRPr="0011413D">
              <w:rPr>
                <w:rFonts w:hint="cs"/>
                <w:rtl/>
                <w:lang w:eastAsia="en-US"/>
              </w:rPr>
              <w:t>ي</w:t>
            </w:r>
            <w:r w:rsidR="0011413D" w:rsidRPr="0011413D">
              <w:rPr>
                <w:rtl/>
                <w:lang w:eastAsia="en-US"/>
              </w:rPr>
              <w:t xml:space="preserve"> </w:t>
            </w:r>
            <w:r w:rsidR="0011413D" w:rsidRPr="0011413D">
              <w:rPr>
                <w:lang w:eastAsia="en-US"/>
              </w:rPr>
              <w:t>GHz 27-25</w:t>
            </w:r>
            <w:r w:rsidR="009F302A">
              <w:rPr>
                <w:rFonts w:cs="Times New Roman"/>
                <w:szCs w:val="22"/>
                <w:lang w:eastAsia="en-US"/>
              </w:rPr>
              <w:t>,</w:t>
            </w:r>
            <w:r w:rsidR="0011413D" w:rsidRPr="0011413D">
              <w:rPr>
                <w:lang w:eastAsia="en-US"/>
              </w:rPr>
              <w:t>5</w:t>
            </w:r>
            <w:r w:rsidR="0011413D" w:rsidRPr="0011413D">
              <w:rPr>
                <w:rtl/>
                <w:lang w:eastAsia="en-US"/>
              </w:rPr>
              <w:t xml:space="preserve">، </w:t>
            </w:r>
            <w:r w:rsidR="0011413D" w:rsidRPr="0011413D">
              <w:rPr>
                <w:rFonts w:hint="cs"/>
                <w:rtl/>
                <w:lang w:eastAsia="en-US"/>
              </w:rPr>
              <w:t>ت</w:t>
            </w:r>
            <w:r w:rsidR="0011413D" w:rsidRPr="0011413D">
              <w:rPr>
                <w:rtl/>
                <w:lang w:eastAsia="en-US"/>
              </w:rPr>
              <w:t xml:space="preserve">حمل وصلة التغذية </w:t>
            </w:r>
            <w:r w:rsidR="0011413D" w:rsidRPr="0011413D">
              <w:rPr>
                <w:rFonts w:hint="cs"/>
                <w:rtl/>
                <w:lang w:eastAsia="en-US"/>
              </w:rPr>
              <w:t>للعودة</w:t>
            </w:r>
            <w:r w:rsidR="0011413D" w:rsidRPr="0011413D">
              <w:rPr>
                <w:rtl/>
                <w:lang w:eastAsia="en-US"/>
              </w:rPr>
              <w:t xml:space="preserve"> إشارات في خدمت</w:t>
            </w:r>
            <w:r w:rsidR="0011413D" w:rsidRPr="0011413D">
              <w:rPr>
                <w:rFonts w:hint="cs"/>
                <w:rtl/>
                <w:lang w:eastAsia="en-US"/>
              </w:rPr>
              <w:t>ي</w:t>
            </w:r>
            <w:r w:rsidR="0011413D" w:rsidRPr="0011413D">
              <w:rPr>
                <w:rtl/>
                <w:lang w:eastAsia="en-US"/>
              </w:rPr>
              <w:t xml:space="preserve"> الأبحاث الفضائية واستكشاف الأرض الساتلية.</w:t>
            </w:r>
          </w:p>
        </w:tc>
      </w:tr>
    </w:tbl>
    <w:p w:rsidR="00162FBC" w:rsidRDefault="00162FBC" w:rsidP="00767C1A">
      <w:pPr>
        <w:rPr>
          <w:lang w:eastAsia="en-US"/>
        </w:rPr>
      </w:pPr>
    </w:p>
    <w:p w:rsidR="00767C1A" w:rsidRDefault="00767C1A" w:rsidP="00767C1A">
      <w:pPr>
        <w:rPr>
          <w:lang w:eastAsia="en-US"/>
        </w:rPr>
      </w:pPr>
    </w:p>
    <w:p w:rsidR="00767C1A" w:rsidRDefault="00767C1A" w:rsidP="002E47D1">
      <w:pPr>
        <w:pStyle w:val="AnnexNotitle"/>
        <w:rPr>
          <w:lang w:eastAsia="en-US" w:bidi="ar-EG"/>
        </w:rPr>
      </w:pPr>
      <w:r>
        <w:rPr>
          <w:rFonts w:hint="cs"/>
          <w:rtl/>
          <w:lang w:eastAsia="en-US" w:bidi="ar-EG"/>
        </w:rPr>
        <w:t>الملح</w:t>
      </w:r>
      <w:r w:rsidR="0088747E">
        <w:rPr>
          <w:rFonts w:hint="cs"/>
          <w:rtl/>
          <w:lang w:eastAsia="en-US" w:bidi="ar-EG"/>
        </w:rPr>
        <w:t>ـ</w:t>
      </w:r>
      <w:r>
        <w:rPr>
          <w:rFonts w:hint="cs"/>
          <w:rtl/>
          <w:lang w:eastAsia="en-US" w:bidi="ar-EG"/>
        </w:rPr>
        <w:t>ق</w:t>
      </w:r>
      <w:r w:rsidR="0088747E">
        <w:rPr>
          <w:rtl/>
          <w:lang w:eastAsia="en-US" w:bidi="ar-EG"/>
        </w:rPr>
        <w:br/>
      </w:r>
      <w:r>
        <w:rPr>
          <w:rtl/>
          <w:lang w:eastAsia="en-US" w:bidi="ar-EG"/>
        </w:rPr>
        <w:br/>
      </w:r>
      <w:r>
        <w:rPr>
          <w:rFonts w:hint="cs"/>
          <w:rtl/>
          <w:lang w:eastAsia="en-US" w:bidi="ar-EG"/>
        </w:rPr>
        <w:t>تحليل إمكانية تسبب الوصلات الساتلية لترحيل البيانات في تداخلات</w:t>
      </w:r>
    </w:p>
    <w:p w:rsidR="0075535F" w:rsidRPr="00B33398" w:rsidRDefault="0075535F" w:rsidP="0075535F">
      <w:pPr>
        <w:pStyle w:val="Heading1"/>
        <w:rPr>
          <w:rtl/>
        </w:rPr>
      </w:pPr>
      <w:r w:rsidRPr="00B33398">
        <w:rPr>
          <w:rFonts w:hint="cs"/>
        </w:rPr>
        <w:t>1</w:t>
      </w:r>
      <w:r w:rsidRPr="00B33398">
        <w:rPr>
          <w:rFonts w:hint="cs"/>
        </w:rPr>
        <w:tab/>
      </w:r>
      <w:r w:rsidRPr="00B33398">
        <w:rPr>
          <w:rFonts w:hint="cs"/>
          <w:rtl/>
        </w:rPr>
        <w:t>مقدمة</w:t>
      </w:r>
    </w:p>
    <w:p w:rsidR="0075535F" w:rsidRDefault="0075535F" w:rsidP="003D2C4D">
      <w:pPr>
        <w:rPr>
          <w:rtl/>
          <w:lang w:eastAsia="en-US" w:bidi="ar-EG"/>
        </w:rPr>
      </w:pPr>
      <w:r>
        <w:rPr>
          <w:rFonts w:hint="cs"/>
          <w:rtl/>
          <w:lang w:eastAsia="en-US" w:bidi="ar-EG"/>
        </w:rPr>
        <w:t xml:space="preserve">الكثير من الطيف المناسب للأبحاث الفضائية موزع أيضاً لخدمة أو أكثر من الخدمات الأخرى، ومن ثم، هناك ضرورة لتقاسم الترددات بين الخدمات. </w:t>
      </w:r>
      <w:r w:rsidR="00A5719C">
        <w:rPr>
          <w:rFonts w:hint="cs"/>
          <w:rtl/>
          <w:lang w:eastAsia="en-US" w:bidi="ar-EG"/>
        </w:rPr>
        <w:t xml:space="preserve">وتناقش هذه التوصية العوامل </w:t>
      </w:r>
      <w:r w:rsidR="003D2C4D">
        <w:rPr>
          <w:rFonts w:hint="cs"/>
          <w:rtl/>
          <w:lang w:eastAsia="en-US" w:bidi="ar-EG"/>
        </w:rPr>
        <w:t>التي تؤثر</w:t>
      </w:r>
      <w:r w:rsidR="00A5719C">
        <w:rPr>
          <w:rFonts w:hint="cs"/>
          <w:rtl/>
          <w:lang w:eastAsia="en-US" w:bidi="ar-EG"/>
        </w:rPr>
        <w:t xml:space="preserve"> في إمكانية تسبب هذه الوصلات في تداخلات على المحطات الفضائية المستقرة بالنسبة إلى</w:t>
      </w:r>
      <w:r w:rsidR="00A5719C">
        <w:rPr>
          <w:rFonts w:hint="eastAsia"/>
          <w:rtl/>
          <w:lang w:eastAsia="en-US" w:bidi="ar-EG"/>
        </w:rPr>
        <w:t> </w:t>
      </w:r>
      <w:r w:rsidR="00A5719C">
        <w:rPr>
          <w:rFonts w:hint="cs"/>
          <w:rtl/>
          <w:lang w:eastAsia="en-US" w:bidi="ar-EG"/>
        </w:rPr>
        <w:t>الأرض العاملة كسواتل لترحيل البيانات من المركبات الفضائية التي تعمل على مدارات منخفضة في</w:t>
      </w:r>
      <w:r w:rsidR="00A5719C">
        <w:rPr>
          <w:rFonts w:hint="eastAsia"/>
          <w:rtl/>
          <w:lang w:eastAsia="en-US" w:bidi="ar-EG"/>
        </w:rPr>
        <w:t> </w:t>
      </w:r>
      <w:r w:rsidR="00A5719C">
        <w:rPr>
          <w:rFonts w:hint="cs"/>
          <w:rtl/>
          <w:lang w:eastAsia="en-US" w:bidi="ar-EG"/>
        </w:rPr>
        <w:t xml:space="preserve">خدمات الأبحاث الفضائية والعمليات الفضائية واستكشاف الأرض الساتلية ومن المحطات الأرضية العاملة في نفس هذه </w:t>
      </w:r>
      <w:r w:rsidR="00A5719C">
        <w:rPr>
          <w:rFonts w:hint="cs"/>
          <w:rtl/>
          <w:lang w:eastAsia="en-US" w:bidi="ar-EG"/>
        </w:rPr>
        <w:lastRenderedPageBreak/>
        <w:t>الخدمات أو في</w:t>
      </w:r>
      <w:r w:rsidR="00A5719C">
        <w:rPr>
          <w:rFonts w:hint="eastAsia"/>
          <w:rtl/>
          <w:lang w:eastAsia="en-US" w:bidi="ar-EG"/>
        </w:rPr>
        <w:t> </w:t>
      </w:r>
      <w:r w:rsidR="00A5719C">
        <w:rPr>
          <w:rFonts w:hint="cs"/>
          <w:rtl/>
          <w:lang w:eastAsia="en-US" w:bidi="ar-EG"/>
        </w:rPr>
        <w:t xml:space="preserve">الخدمة الثابتة الساتلية. وهي تحدد معايير الحماية المناسبة لهذه الخدمات في نطاقات التردد من </w:t>
      </w:r>
      <w:r w:rsidR="00A5719C">
        <w:rPr>
          <w:lang w:eastAsia="en-US" w:bidi="ar-EG"/>
        </w:rPr>
        <w:t>2</w:t>
      </w:r>
      <w:r w:rsidR="00A5719C">
        <w:rPr>
          <w:rFonts w:hint="cs"/>
          <w:rtl/>
          <w:lang w:eastAsia="en-US" w:bidi="ar-EG"/>
        </w:rPr>
        <w:t xml:space="preserve"> حتى </w:t>
      </w:r>
      <w:r w:rsidR="00A5719C">
        <w:rPr>
          <w:lang w:eastAsia="en-US" w:bidi="ar-EG"/>
        </w:rPr>
        <w:t>GHz 30</w:t>
      </w:r>
      <w:r w:rsidR="00A5719C">
        <w:rPr>
          <w:rFonts w:hint="cs"/>
          <w:rtl/>
          <w:lang w:eastAsia="en-US" w:bidi="ar-EG"/>
        </w:rPr>
        <w:t>. ومعايير الحماية معدة للاستعمال في تنسيق وتحليل التداخل عندما لا تتوفر بيانات لنظام فعلي.</w:t>
      </w:r>
    </w:p>
    <w:p w:rsidR="004A2E8F" w:rsidRPr="00B33398" w:rsidRDefault="004A2E8F" w:rsidP="004A2E8F">
      <w:pPr>
        <w:pStyle w:val="Heading1"/>
        <w:rPr>
          <w:rtl/>
        </w:rPr>
      </w:pPr>
      <w:r w:rsidRPr="00B33398">
        <w:t>2</w:t>
      </w:r>
      <w:r w:rsidRPr="00B33398">
        <w:rPr>
          <w:rtl/>
        </w:rPr>
        <w:tab/>
      </w:r>
      <w:r w:rsidRPr="00B33398">
        <w:rPr>
          <w:rFonts w:hint="cs"/>
          <w:rtl/>
        </w:rPr>
        <w:t>اعتبارات عامة</w:t>
      </w:r>
    </w:p>
    <w:p w:rsidR="004A2E8F" w:rsidRDefault="004A2E8F" w:rsidP="004D64A1">
      <w:pPr>
        <w:rPr>
          <w:rtl/>
          <w:lang w:bidi="ar-EG"/>
        </w:rPr>
      </w:pPr>
      <w:r>
        <w:rPr>
          <w:rFonts w:hint="cs"/>
          <w:rtl/>
          <w:lang w:eastAsia="en-US" w:bidi="ar-EG"/>
        </w:rPr>
        <w:t>كانت أنظمة الأبحاث الفضائية والعمليات الفضائية واستكشاف الأرض العاملة في المنطقة القريبة من الأرض تعتمد دائماً على</w:t>
      </w:r>
      <w:r w:rsidR="004D64A1">
        <w:rPr>
          <w:rFonts w:hint="eastAsia"/>
          <w:rtl/>
          <w:lang w:eastAsia="en-US" w:bidi="ar-EG"/>
        </w:rPr>
        <w:t> </w:t>
      </w:r>
      <w:r>
        <w:rPr>
          <w:rFonts w:hint="cs"/>
          <w:rtl/>
          <w:lang w:eastAsia="en-US" w:bidi="ar-EG"/>
        </w:rPr>
        <w:t>اتصالات منتظمة خالية من التداخلات ثنائية الاتجاه بين المركبة الفضائية ومراكز التحكم وغيرها من المنشآت على الأرض. وأصبح تطور هذه الأنشطة وتوسعها يعتمد على سواتل ترحيل البيانات، كما هو موضح في التوصية</w:t>
      </w:r>
      <w:r>
        <w:rPr>
          <w:rFonts w:hint="eastAsia"/>
          <w:rtl/>
          <w:lang w:eastAsia="en-US" w:bidi="ar-EG"/>
        </w:rPr>
        <w:t> </w:t>
      </w:r>
      <w:r w:rsidRPr="00DB07FF">
        <w:t>ITU-R SA.</w:t>
      </w:r>
      <w:r w:rsidRPr="000B3CEE">
        <w:t>1414</w:t>
      </w:r>
      <w:r>
        <w:rPr>
          <w:rFonts w:hint="cs"/>
          <w:rtl/>
          <w:lang w:bidi="ar-EG"/>
        </w:rPr>
        <w:t>.</w:t>
      </w:r>
    </w:p>
    <w:p w:rsidR="00352329" w:rsidRDefault="00352329" w:rsidP="00096D42">
      <w:pPr>
        <w:rPr>
          <w:rtl/>
          <w:lang w:bidi="ar-EG"/>
        </w:rPr>
      </w:pPr>
      <w:r>
        <w:rPr>
          <w:rFonts w:hint="cs"/>
          <w:rtl/>
          <w:lang w:bidi="ar-EG"/>
        </w:rPr>
        <w:t xml:space="preserve">وتعتمد هذه العمليات على وصلات في الاتجاه فضاء-فضاء تتسم بصعوبة أكبر في التصميم والتنفيذ </w:t>
      </w:r>
      <w:r w:rsidR="00096D42">
        <w:rPr>
          <w:rFonts w:hint="cs"/>
          <w:rtl/>
          <w:lang w:bidi="ar-EG"/>
        </w:rPr>
        <w:t>مقارنة بالوصلات في</w:t>
      </w:r>
      <w:r w:rsidR="00096D42">
        <w:rPr>
          <w:rFonts w:hint="eastAsia"/>
          <w:rtl/>
        </w:rPr>
        <w:t> </w:t>
      </w:r>
      <w:r w:rsidR="00096D42">
        <w:rPr>
          <w:rFonts w:hint="cs"/>
          <w:rtl/>
          <w:lang w:bidi="ar-EG"/>
        </w:rPr>
        <w:t>الاتجاه فضاء-أرض نظراً إلى أن نظامي الإرسال والاستقبال يخضعان لقيود تتعلق بالكتلة والقدرة ويخضعان كذلك في معظم الحالات لقيود التحكم عن بُعد وعدم الصيانة المتعلقة بالأنظمة المحمولة في الفضاء.</w:t>
      </w:r>
    </w:p>
    <w:p w:rsidR="00096D42" w:rsidRDefault="00096D42" w:rsidP="008A4F64">
      <w:pPr>
        <w:rPr>
          <w:rtl/>
          <w:lang w:bidi="ar-EG"/>
        </w:rPr>
      </w:pPr>
      <w:r>
        <w:rPr>
          <w:rFonts w:hint="cs"/>
          <w:rtl/>
          <w:lang w:bidi="ar-EG"/>
        </w:rPr>
        <w:t>والاتجاه بالنسبة لهذه الأنواع من الأنظمة هو أن تستعمل مخططات تشكيل تتسم بالكفاءة فيما يتعلق بعرض النطاق مثل</w:t>
      </w:r>
      <w:r w:rsidR="008A4F64">
        <w:rPr>
          <w:rFonts w:hint="eastAsia"/>
          <w:rtl/>
          <w:lang w:bidi="ar-EG"/>
        </w:rPr>
        <w:t> </w:t>
      </w:r>
      <w:r w:rsidR="00394D6D">
        <w:t>2</w:t>
      </w:r>
      <w:r w:rsidR="00394D6D">
        <w:noBreakHyphen/>
        <w:t>PSK</w:t>
      </w:r>
      <w:r>
        <w:rPr>
          <w:rFonts w:hint="cs"/>
          <w:rtl/>
          <w:lang w:bidi="ar-EG"/>
        </w:rPr>
        <w:t xml:space="preserve"> و</w:t>
      </w:r>
      <w:r w:rsidR="00394D6D">
        <w:t>4</w:t>
      </w:r>
      <w:r w:rsidR="008A4F64">
        <w:noBreakHyphen/>
      </w:r>
      <w:r w:rsidR="00394D6D">
        <w:t>PSK</w:t>
      </w:r>
      <w:r>
        <w:rPr>
          <w:rFonts w:hint="cs"/>
          <w:rtl/>
          <w:lang w:bidi="ar-EG"/>
        </w:rPr>
        <w:t xml:space="preserve"> إلى جانب تقنيات التشفير بالتصحيح الأمامي للأخطاء مثل التشفير التلافيفي وتشفير مجموعات الترددات وذلك من</w:t>
      </w:r>
      <w:r w:rsidR="00394D6D">
        <w:rPr>
          <w:rFonts w:hint="cs"/>
          <w:rtl/>
          <w:lang w:bidi="ar-EG"/>
        </w:rPr>
        <w:t> </w:t>
      </w:r>
      <w:r>
        <w:rPr>
          <w:rFonts w:hint="cs"/>
          <w:rtl/>
          <w:lang w:bidi="ar-EG"/>
        </w:rPr>
        <w:t>أجل زيادة جودة الإشارة وخفض القدرة المطلوبة للإشارة في نفس الوقت. وفي بعض الأنظمة، تستعمل تقنيات تشكيل الإشارة أو</w:t>
      </w:r>
      <w:r>
        <w:rPr>
          <w:rFonts w:hint="eastAsia"/>
          <w:rtl/>
          <w:lang w:bidi="ar-EG"/>
        </w:rPr>
        <w:t> </w:t>
      </w:r>
      <w:r>
        <w:rPr>
          <w:rFonts w:hint="cs"/>
          <w:rtl/>
          <w:lang w:bidi="ar-EG"/>
        </w:rPr>
        <w:t xml:space="preserve">التتابع شبه العشوائي (مماثلة أو مطابقة لتقنيات التشكيل بتمديد الطيف) وذلك من أجل قياسات المدى لتحديد موقع المركبة الفضائية. كما </w:t>
      </w:r>
      <w:r w:rsidR="00A30D97">
        <w:rPr>
          <w:rFonts w:hint="cs"/>
          <w:rtl/>
          <w:lang w:bidi="ar-EG"/>
        </w:rPr>
        <w:t xml:space="preserve">أن </w:t>
      </w:r>
      <w:r>
        <w:rPr>
          <w:rFonts w:hint="cs"/>
          <w:rtl/>
          <w:lang w:bidi="ar-EG"/>
        </w:rPr>
        <w:t>دارات العروة محكمة الطور أثناء تتابعات البحث والالتقاط والتتبع.</w:t>
      </w:r>
    </w:p>
    <w:p w:rsidR="00096D42" w:rsidRPr="00B33398" w:rsidRDefault="00096D42" w:rsidP="00096D42">
      <w:pPr>
        <w:pStyle w:val="Heading1"/>
        <w:rPr>
          <w:rtl/>
        </w:rPr>
      </w:pPr>
      <w:r w:rsidRPr="00B33398">
        <w:t>3</w:t>
      </w:r>
      <w:r w:rsidRPr="00B33398">
        <w:tab/>
      </w:r>
      <w:r w:rsidRPr="00B33398">
        <w:rPr>
          <w:rFonts w:hint="cs"/>
          <w:rtl/>
        </w:rPr>
        <w:t>معايير الحماية</w:t>
      </w:r>
    </w:p>
    <w:p w:rsidR="00096D42" w:rsidRDefault="00096D42" w:rsidP="003716A5">
      <w:pPr>
        <w:rPr>
          <w:rtl/>
          <w:lang w:bidi="ar-EG"/>
        </w:rPr>
      </w:pPr>
      <w:r>
        <w:rPr>
          <w:rFonts w:hint="cs"/>
          <w:rtl/>
          <w:lang w:bidi="ar-EG"/>
        </w:rPr>
        <w:t xml:space="preserve">يوجد في الوصلات فضاء-أرض </w:t>
      </w:r>
      <w:r w:rsidR="004D64A1">
        <w:rPr>
          <w:rFonts w:hint="cs"/>
          <w:rtl/>
          <w:lang w:bidi="ar-EG"/>
        </w:rPr>
        <w:t xml:space="preserve">وأرض-فضاء </w:t>
      </w:r>
      <w:r w:rsidR="00E97244">
        <w:rPr>
          <w:rFonts w:hint="cs"/>
          <w:rtl/>
          <w:lang w:bidi="ar-EG"/>
        </w:rPr>
        <w:t>حافز لتدنية هوامش الوصلات من أجل توفير الكتلة والقدرة والحد من التداخل ولصالح الاقتصاد. ويتضاعف هذا الحافز في الوصلات فضاء-فضاء نظراً إلى أن طرفي الوصلة محمولان في الفضاء. والهوام</w:t>
      </w:r>
      <w:r w:rsidR="0013209C">
        <w:rPr>
          <w:rFonts w:hint="cs"/>
          <w:rtl/>
          <w:lang w:bidi="ar-EG"/>
        </w:rPr>
        <w:t>ش</w:t>
      </w:r>
      <w:r w:rsidR="00E97244">
        <w:rPr>
          <w:rFonts w:hint="cs"/>
          <w:rtl/>
          <w:lang w:bidi="ar-EG"/>
        </w:rPr>
        <w:t xml:space="preserve"> </w:t>
      </w:r>
      <w:r w:rsidR="00E97244" w:rsidRPr="00DA5F50">
        <w:rPr>
          <w:rFonts w:hint="cs"/>
          <w:spacing w:val="6"/>
          <w:rtl/>
          <w:lang w:bidi="ar-EG"/>
        </w:rPr>
        <w:t xml:space="preserve">العامة النمطية </w:t>
      </w:r>
      <w:r w:rsidR="0013209C" w:rsidRPr="00DA5F50">
        <w:rPr>
          <w:rFonts w:hint="cs"/>
          <w:spacing w:val="6"/>
          <w:rtl/>
          <w:lang w:bidi="ar-EG"/>
        </w:rPr>
        <w:t>لتصميم الوصلات التي تعتبر في حالة سواتل ترحيل البيانات الوصلات فضاء-فضاء المرادفة للوصلات فضاء</w:t>
      </w:r>
      <w:r w:rsidR="003716A5">
        <w:rPr>
          <w:spacing w:val="6"/>
          <w:rtl/>
          <w:lang w:bidi="ar-EG"/>
        </w:rPr>
        <w:noBreakHyphen/>
      </w:r>
      <w:r w:rsidR="0013209C" w:rsidRPr="00DA5F50">
        <w:rPr>
          <w:rFonts w:hint="cs"/>
          <w:spacing w:val="6"/>
          <w:rtl/>
          <w:lang w:bidi="ar-EG"/>
        </w:rPr>
        <w:t>أرض أو</w:t>
      </w:r>
      <w:r w:rsidR="0013209C" w:rsidRPr="00DA5F50">
        <w:rPr>
          <w:rFonts w:hint="eastAsia"/>
          <w:spacing w:val="6"/>
          <w:rtl/>
          <w:lang w:bidi="ar-EG"/>
        </w:rPr>
        <w:t> </w:t>
      </w:r>
      <w:r w:rsidR="0013209C" w:rsidRPr="00DA5F50">
        <w:rPr>
          <w:rFonts w:hint="cs"/>
          <w:spacing w:val="6"/>
          <w:rtl/>
          <w:lang w:bidi="ar-EG"/>
        </w:rPr>
        <w:t xml:space="preserve">أرض-فضاء (يشار إليها في بعض الأحيان بوصلات التغذية)، تبلغ عادة نحو </w:t>
      </w:r>
      <w:r w:rsidR="0013209C" w:rsidRPr="00DA5F50">
        <w:rPr>
          <w:spacing w:val="6"/>
          <w:lang w:bidi="ar-EG"/>
        </w:rPr>
        <w:t>dB 4-2</w:t>
      </w:r>
      <w:r w:rsidR="0013209C" w:rsidRPr="00DA5F50">
        <w:rPr>
          <w:rFonts w:hint="cs"/>
          <w:spacing w:val="6"/>
          <w:rtl/>
          <w:lang w:bidi="ar-EG"/>
        </w:rPr>
        <w:t>، غير أنها قد تكون في</w:t>
      </w:r>
      <w:r w:rsidR="00DA5F50">
        <w:rPr>
          <w:rFonts w:hint="eastAsia"/>
          <w:spacing w:val="6"/>
          <w:rtl/>
          <w:lang w:bidi="ar-EG"/>
        </w:rPr>
        <w:t> </w:t>
      </w:r>
      <w:r w:rsidR="0013209C" w:rsidRPr="00DA5F50">
        <w:rPr>
          <w:rFonts w:hint="cs"/>
          <w:spacing w:val="6"/>
          <w:rtl/>
          <w:lang w:bidi="ar-EG"/>
        </w:rPr>
        <w:t>حدود</w:t>
      </w:r>
      <w:r w:rsidR="00DA5F50">
        <w:rPr>
          <w:rFonts w:hint="eastAsia"/>
          <w:spacing w:val="-2"/>
          <w:rtl/>
          <w:lang w:bidi="ar-EG"/>
        </w:rPr>
        <w:t> </w:t>
      </w:r>
      <w:r w:rsidR="0013209C" w:rsidRPr="00DA5F50">
        <w:rPr>
          <w:spacing w:val="-2"/>
          <w:lang w:bidi="ar-EG"/>
        </w:rPr>
        <w:t>dB 1</w:t>
      </w:r>
      <w:r w:rsidR="0013209C">
        <w:rPr>
          <w:rFonts w:hint="cs"/>
          <w:rtl/>
          <w:lang w:bidi="ar-EG"/>
        </w:rPr>
        <w:t xml:space="preserve"> في</w:t>
      </w:r>
      <w:r w:rsidR="0013209C">
        <w:rPr>
          <w:rFonts w:hint="eastAsia"/>
          <w:rtl/>
          <w:lang w:bidi="ar-EG"/>
        </w:rPr>
        <w:t> </w:t>
      </w:r>
      <w:r w:rsidR="0013209C">
        <w:rPr>
          <w:rFonts w:hint="cs"/>
          <w:rtl/>
          <w:lang w:bidi="ar-EG"/>
        </w:rPr>
        <w:t xml:space="preserve">بعض الحالات، </w:t>
      </w:r>
      <w:r w:rsidR="00081898">
        <w:rPr>
          <w:rFonts w:hint="cs"/>
          <w:rtl/>
          <w:lang w:bidi="ar-EG"/>
        </w:rPr>
        <w:t>وذلك بعد السماح لأي هوامش ضرورية من أجل تعويض أثر الطقس على وصلات التغذية. وهامش تصميم الوصلة للوصلات فضاء -فضاء يمثل في الغالب العامل المقيد نتيجة للقيود الشديدة المتعلقة بإطلاق نظامي الإرسال والاستقبال في</w:t>
      </w:r>
      <w:r w:rsidR="00081898">
        <w:rPr>
          <w:rFonts w:hint="eastAsia"/>
          <w:rtl/>
          <w:lang w:bidi="ar-EG"/>
        </w:rPr>
        <w:t> </w:t>
      </w:r>
      <w:r w:rsidR="00081898">
        <w:rPr>
          <w:rFonts w:hint="cs"/>
          <w:rtl/>
          <w:lang w:bidi="ar-EG"/>
        </w:rPr>
        <w:t>الفضاء على النقيض من إمكانية زيادة أبعاد هوائي محطة الاستقبال الأرضية.</w:t>
      </w:r>
    </w:p>
    <w:p w:rsidR="00081898" w:rsidRDefault="00081898" w:rsidP="000B2952">
      <w:pPr>
        <w:rPr>
          <w:rtl/>
          <w:lang w:bidi="ar-EG"/>
        </w:rPr>
      </w:pPr>
      <w:r>
        <w:rPr>
          <w:rFonts w:hint="cs"/>
          <w:rtl/>
          <w:lang w:bidi="ar-EG"/>
        </w:rPr>
        <w:t>وبالنظر إلى هوامش التصميم المتدنية هذه، فإن مستويات التداخل التي تتسبب في خفض هامش الوصلة بمقدار بسيط لا</w:t>
      </w:r>
      <w:r w:rsidR="00911EB0">
        <w:rPr>
          <w:rFonts w:hint="eastAsia"/>
          <w:rtl/>
          <w:lang w:bidi="ar-EG"/>
        </w:rPr>
        <w:t> </w:t>
      </w:r>
      <w:r>
        <w:rPr>
          <w:rFonts w:hint="cs"/>
          <w:rtl/>
          <w:lang w:bidi="ar-EG"/>
        </w:rPr>
        <w:t>يتعدى</w:t>
      </w:r>
      <w:r w:rsidR="00911EB0">
        <w:rPr>
          <w:rFonts w:hint="eastAsia"/>
          <w:rtl/>
          <w:lang w:bidi="ar-EG"/>
        </w:rPr>
        <w:t> </w:t>
      </w:r>
      <w:r>
        <w:rPr>
          <w:lang w:bidi="ar-EG"/>
        </w:rPr>
        <w:t>dB 0,2</w:t>
      </w:r>
      <w:r>
        <w:rPr>
          <w:rFonts w:hint="cs"/>
          <w:rtl/>
          <w:lang w:bidi="ar-EG"/>
        </w:rPr>
        <w:t xml:space="preserve"> يمكن أن تكون ضارة بالنسبة للوصلات فضاء-فضاء.</w:t>
      </w:r>
    </w:p>
    <w:p w:rsidR="00081898" w:rsidRDefault="00081898" w:rsidP="0027678B">
      <w:pPr>
        <w:rPr>
          <w:rtl/>
          <w:lang w:bidi="ar-EG"/>
        </w:rPr>
      </w:pPr>
      <w:r>
        <w:rPr>
          <w:rFonts w:hint="cs"/>
          <w:rtl/>
          <w:lang w:bidi="ar-EG"/>
        </w:rPr>
        <w:t>ومع ذلك، ففي معظم الحالات، خاصة في الترددات الأعلى، لن تتأثر هذه الوصلات دائماً بمصدر تداخل وحيد من الأرض نظراً إلى</w:t>
      </w:r>
      <w:r>
        <w:rPr>
          <w:rFonts w:hint="eastAsia"/>
          <w:rtl/>
          <w:lang w:bidi="ar-EG"/>
        </w:rPr>
        <w:t> </w:t>
      </w:r>
      <w:r>
        <w:rPr>
          <w:rFonts w:hint="cs"/>
          <w:rtl/>
          <w:lang w:bidi="ar-EG"/>
        </w:rPr>
        <w:t>أن</w:t>
      </w:r>
      <w:r>
        <w:rPr>
          <w:rFonts w:hint="eastAsia"/>
          <w:rtl/>
          <w:lang w:bidi="ar-EG"/>
        </w:rPr>
        <w:t> </w:t>
      </w:r>
      <w:r>
        <w:rPr>
          <w:rFonts w:hint="cs"/>
          <w:rtl/>
          <w:lang w:bidi="ar-EG"/>
        </w:rPr>
        <w:t>هندسة الوصلة تتغير باستمرار نتيجة لتحرك المركبة الفضائية منخفضة المدار.</w:t>
      </w:r>
      <w:r w:rsidR="0027678B">
        <w:rPr>
          <w:rFonts w:hint="cs"/>
          <w:rtl/>
          <w:lang w:bidi="ar-EG"/>
        </w:rPr>
        <w:t xml:space="preserve"> </w:t>
      </w:r>
      <w:r>
        <w:rPr>
          <w:rFonts w:hint="cs"/>
          <w:rtl/>
          <w:lang w:bidi="ar-EG"/>
        </w:rPr>
        <w:t>ومن جهة أخرى، فإن نماذج التداخلات التي</w:t>
      </w:r>
      <w:r w:rsidR="0027678B">
        <w:rPr>
          <w:rFonts w:hint="eastAsia"/>
          <w:rtl/>
          <w:lang w:bidi="ar-EG"/>
        </w:rPr>
        <w:t> </w:t>
      </w:r>
      <w:r>
        <w:rPr>
          <w:rFonts w:hint="cs"/>
          <w:rtl/>
          <w:lang w:bidi="ar-EG"/>
        </w:rPr>
        <w:t xml:space="preserve">تقع عندما تحدث هندسة محددة للوصلة ستتسبب في مشكلات نظامية </w:t>
      </w:r>
      <w:r w:rsidR="0027678B">
        <w:rPr>
          <w:rFonts w:hint="cs"/>
          <w:rtl/>
          <w:lang w:bidi="ar-EG"/>
        </w:rPr>
        <w:t>للرصدات في الوقت الفعلي لسطح الأرض تحت المركبة الفضائية منخفضة المدار.</w:t>
      </w:r>
    </w:p>
    <w:p w:rsidR="0027678B" w:rsidRDefault="0027678B" w:rsidP="003716A5">
      <w:pPr>
        <w:rPr>
          <w:rtl/>
          <w:lang w:bidi="ar-EG"/>
        </w:rPr>
      </w:pPr>
      <w:r>
        <w:rPr>
          <w:rFonts w:hint="cs"/>
          <w:rtl/>
          <w:lang w:bidi="ar-EG"/>
        </w:rPr>
        <w:t>وتعتمد المستويات المسببة لتداخلات ضارة على الوصلات أرض-فضاء على نسبة الهوامش المحددة للوصلات أرض</w:t>
      </w:r>
      <w:r w:rsidR="003716A5">
        <w:rPr>
          <w:rtl/>
          <w:lang w:bidi="ar-EG"/>
        </w:rPr>
        <w:noBreakHyphen/>
      </w:r>
      <w:r>
        <w:rPr>
          <w:rFonts w:hint="cs"/>
          <w:rtl/>
          <w:lang w:bidi="ar-EG"/>
        </w:rPr>
        <w:t>فضاء وفضاء</w:t>
      </w:r>
      <w:r w:rsidR="003716A5">
        <w:rPr>
          <w:rtl/>
          <w:lang w:bidi="ar-EG"/>
        </w:rPr>
        <w:noBreakHyphen/>
      </w:r>
      <w:r>
        <w:rPr>
          <w:rFonts w:hint="cs"/>
          <w:rtl/>
          <w:lang w:bidi="ar-EG"/>
        </w:rPr>
        <w:t>فضاء المرادفة. وهندسة الوصلات أرض-فضاء إزاء سواتل ترحيل البيانات لا تتغير مع الوقت.</w:t>
      </w:r>
    </w:p>
    <w:p w:rsidR="0027678B" w:rsidRDefault="0027678B" w:rsidP="00DA5F50">
      <w:pPr>
        <w:rPr>
          <w:rtl/>
          <w:lang w:bidi="ar-EG"/>
        </w:rPr>
      </w:pPr>
      <w:r>
        <w:rPr>
          <w:rFonts w:hint="cs"/>
          <w:rtl/>
          <w:lang w:bidi="ar-EG"/>
        </w:rPr>
        <w:t xml:space="preserve">وفي التحليل أدناه، تم افتراض قيمة مرجعية لخفض هامش الوصلة بمقدار </w:t>
      </w:r>
      <w:r>
        <w:rPr>
          <w:lang w:bidi="ar-EG"/>
        </w:rPr>
        <w:t>dB 0,4</w:t>
      </w:r>
      <w:r>
        <w:rPr>
          <w:rFonts w:hint="cs"/>
          <w:rtl/>
          <w:lang w:bidi="ar-EG"/>
        </w:rPr>
        <w:t xml:space="preserve"> نتيجةً لتداخل من مصدر وحيد، وهو ما</w:t>
      </w:r>
      <w:r>
        <w:rPr>
          <w:rFonts w:hint="eastAsia"/>
          <w:rtl/>
        </w:rPr>
        <w:t> </w:t>
      </w:r>
      <w:r>
        <w:rPr>
          <w:rFonts w:hint="cs"/>
          <w:rtl/>
          <w:lang w:bidi="ar-EG"/>
        </w:rPr>
        <w:t xml:space="preserve">تم استعماله في حالات أخرى مشابهة. ويقابل ذلك قيمة مطلوبة لنسبة قدرة التداخل إلى قدرة ضوضاء النظام </w:t>
      </w:r>
      <w:r w:rsidR="00DA5F50">
        <w:t>(</w:t>
      </w:r>
      <w:r w:rsidR="00DA5F50" w:rsidRPr="001A46B8">
        <w:rPr>
          <w:i/>
          <w:iCs/>
        </w:rPr>
        <w:t>I</w:t>
      </w:r>
      <w:r w:rsidR="00DA5F50">
        <w:t>/</w:t>
      </w:r>
      <w:proofErr w:type="gramStart"/>
      <w:r w:rsidR="00DA5F50" w:rsidRPr="001A46B8">
        <w:rPr>
          <w:i/>
          <w:iCs/>
        </w:rPr>
        <w:t>N</w:t>
      </w:r>
      <w:r w:rsidR="00A30D97" w:rsidRPr="00A30D97">
        <w:rPr>
          <w:i/>
          <w:iCs/>
          <w:sz w:val="16"/>
          <w:szCs w:val="24"/>
        </w:rPr>
        <w:t> </w:t>
      </w:r>
      <w:r w:rsidR="00DA5F50">
        <w:t>)</w:t>
      </w:r>
      <w:proofErr w:type="gramEnd"/>
      <w:r>
        <w:rPr>
          <w:rFonts w:hint="cs"/>
          <w:rtl/>
          <w:lang w:bidi="ar-EG"/>
        </w:rPr>
        <w:t xml:space="preserve"> داخل عرض النطاق المرجعي تبلغ </w:t>
      </w:r>
      <w:r>
        <w:rPr>
          <w:lang w:bidi="ar-EG"/>
        </w:rPr>
        <w:t>dB 10</w:t>
      </w:r>
      <w:r w:rsidR="00DA5F50" w:rsidRPr="001A46B8">
        <w:t>–</w:t>
      </w:r>
      <w:r>
        <w:rPr>
          <w:rFonts w:hint="cs"/>
          <w:rtl/>
          <w:lang w:bidi="ar-EG"/>
        </w:rPr>
        <w:t xml:space="preserve"> على الأكثر.</w:t>
      </w:r>
    </w:p>
    <w:p w:rsidR="0027678B" w:rsidRPr="00B33398" w:rsidRDefault="0027678B" w:rsidP="00B33398">
      <w:pPr>
        <w:pStyle w:val="Heading2"/>
        <w:rPr>
          <w:rtl/>
        </w:rPr>
      </w:pPr>
      <w:r w:rsidRPr="00B33398">
        <w:lastRenderedPageBreak/>
        <w:t>1.3</w:t>
      </w:r>
      <w:r w:rsidRPr="00B33398">
        <w:rPr>
          <w:rtl/>
        </w:rPr>
        <w:tab/>
      </w:r>
      <w:r w:rsidRPr="00B33398">
        <w:rPr>
          <w:rFonts w:hint="cs"/>
          <w:rtl/>
        </w:rPr>
        <w:t>عرض النطاق المرجعي</w:t>
      </w:r>
    </w:p>
    <w:p w:rsidR="0027678B" w:rsidRPr="00056EF5" w:rsidRDefault="0027678B" w:rsidP="00B33398">
      <w:pPr>
        <w:keepNext/>
        <w:keepLines/>
        <w:rPr>
          <w:spacing w:val="-4"/>
          <w:rtl/>
          <w:lang w:bidi="ar-EG"/>
        </w:rPr>
      </w:pPr>
      <w:r w:rsidRPr="00056EF5">
        <w:rPr>
          <w:rFonts w:hint="cs"/>
          <w:spacing w:val="-4"/>
          <w:rtl/>
          <w:lang w:bidi="ar-EG"/>
        </w:rPr>
        <w:t>تستعمل الأنظمة مخططات تشكيل مباشر، لذا،</w:t>
      </w:r>
      <w:r w:rsidR="00DC52A3" w:rsidRPr="00056EF5">
        <w:rPr>
          <w:rFonts w:hint="cs"/>
          <w:spacing w:val="-4"/>
          <w:rtl/>
          <w:lang w:bidi="ar-EG"/>
        </w:rPr>
        <w:t xml:space="preserve"> فإن عرض النطاق المرجعي الذي يتعين أن يحدد فيه نسبة حماية يعتمد على</w:t>
      </w:r>
      <w:r w:rsidR="00DC52A3" w:rsidRPr="00056EF5">
        <w:rPr>
          <w:rFonts w:hint="eastAsia"/>
          <w:spacing w:val="-4"/>
          <w:rtl/>
          <w:lang w:bidi="ar-EG"/>
        </w:rPr>
        <w:t> </w:t>
      </w:r>
      <w:r w:rsidR="00DC52A3" w:rsidRPr="00056EF5">
        <w:rPr>
          <w:rFonts w:hint="cs"/>
          <w:spacing w:val="-4"/>
          <w:rtl/>
          <w:lang w:bidi="ar-EG"/>
        </w:rPr>
        <w:t>معدل البيانات الأدنى وعلى عرض نطاق المستقب</w:t>
      </w:r>
      <w:r w:rsidR="0002475B">
        <w:rPr>
          <w:rFonts w:hint="cs"/>
          <w:spacing w:val="-4"/>
          <w:rtl/>
          <w:lang w:bidi="ar-EG"/>
        </w:rPr>
        <w:t>ِ</w:t>
      </w:r>
      <w:r w:rsidR="00DC52A3" w:rsidRPr="00056EF5">
        <w:rPr>
          <w:rFonts w:hint="cs"/>
          <w:spacing w:val="-4"/>
          <w:rtl/>
          <w:lang w:bidi="ar-EG"/>
        </w:rPr>
        <w:t>ل المرجح استخدامه. وبالنسبة للوصلات فضاء-فضاء التي تعمل على</w:t>
      </w:r>
      <w:r w:rsidR="00056EF5">
        <w:rPr>
          <w:rFonts w:hint="eastAsia"/>
          <w:spacing w:val="-4"/>
          <w:rtl/>
          <w:lang w:bidi="ar-EG"/>
        </w:rPr>
        <w:t> </w:t>
      </w:r>
      <w:r w:rsidR="00DC52A3" w:rsidRPr="00056EF5">
        <w:rPr>
          <w:rFonts w:hint="cs"/>
          <w:spacing w:val="-4"/>
          <w:rtl/>
          <w:lang w:bidi="ar-EG"/>
        </w:rPr>
        <w:t>ترددات في</w:t>
      </w:r>
      <w:r w:rsidR="00DC52A3" w:rsidRPr="00056EF5">
        <w:rPr>
          <w:rFonts w:hint="eastAsia"/>
          <w:spacing w:val="-4"/>
          <w:rtl/>
          <w:lang w:bidi="ar-EG"/>
        </w:rPr>
        <w:t> </w:t>
      </w:r>
      <w:r w:rsidR="00DC52A3" w:rsidRPr="00056EF5">
        <w:rPr>
          <w:rFonts w:hint="cs"/>
          <w:spacing w:val="-4"/>
          <w:rtl/>
          <w:lang w:bidi="ar-EG"/>
        </w:rPr>
        <w:t>النطاق</w:t>
      </w:r>
      <w:r w:rsidR="009F3735" w:rsidRPr="00056EF5">
        <w:rPr>
          <w:rFonts w:hint="eastAsia"/>
          <w:spacing w:val="-4"/>
          <w:rtl/>
          <w:lang w:bidi="ar-EG"/>
        </w:rPr>
        <w:t> </w:t>
      </w:r>
      <w:r w:rsidR="00DC52A3" w:rsidRPr="00056EF5">
        <w:rPr>
          <w:spacing w:val="-4"/>
          <w:lang w:bidi="ar-EG"/>
        </w:rPr>
        <w:t>GHz 2</w:t>
      </w:r>
      <w:r w:rsidR="00DC52A3" w:rsidRPr="00056EF5">
        <w:rPr>
          <w:rFonts w:hint="cs"/>
          <w:spacing w:val="-4"/>
          <w:rtl/>
          <w:lang w:bidi="ar-EG"/>
        </w:rPr>
        <w:t xml:space="preserve">، فإن معدل البيانات الأدنى يرجح أن يكون في حدود </w:t>
      </w:r>
      <w:r w:rsidR="00DC52A3" w:rsidRPr="00056EF5">
        <w:rPr>
          <w:spacing w:val="-4"/>
          <w:lang w:bidi="ar-EG"/>
        </w:rPr>
        <w:t>kbit/s 1</w:t>
      </w:r>
      <w:r w:rsidR="00DC52A3" w:rsidRPr="00056EF5">
        <w:rPr>
          <w:rFonts w:hint="cs"/>
          <w:spacing w:val="-4"/>
          <w:rtl/>
          <w:lang w:bidi="ar-EG"/>
        </w:rPr>
        <w:t xml:space="preserve">، في حين يبلغ </w:t>
      </w:r>
      <w:r w:rsidR="00DC52A3" w:rsidRPr="00056EF5">
        <w:rPr>
          <w:spacing w:val="-4"/>
          <w:lang w:bidi="ar-EG"/>
        </w:rPr>
        <w:t>Mbit/s 1</w:t>
      </w:r>
      <w:r w:rsidR="00DC52A3" w:rsidRPr="00056EF5">
        <w:rPr>
          <w:rFonts w:hint="cs"/>
          <w:spacing w:val="-4"/>
          <w:rtl/>
          <w:lang w:bidi="ar-EG"/>
        </w:rPr>
        <w:t xml:space="preserve"> على الأقل بالنسبة لنطاقات الترددات الأعلى. لذا، فإن القيمة الموصى بها لعرض النطاق في النطاق </w:t>
      </w:r>
      <w:r w:rsidR="00DC52A3" w:rsidRPr="00056EF5">
        <w:rPr>
          <w:spacing w:val="-4"/>
          <w:lang w:bidi="ar-EG"/>
        </w:rPr>
        <w:t>GHz 2</w:t>
      </w:r>
      <w:r w:rsidR="00DC52A3" w:rsidRPr="00056EF5">
        <w:rPr>
          <w:rFonts w:hint="cs"/>
          <w:spacing w:val="-4"/>
          <w:rtl/>
          <w:lang w:bidi="ar-EG"/>
        </w:rPr>
        <w:t xml:space="preserve"> تبلغ </w:t>
      </w:r>
      <w:r w:rsidR="00DC52A3" w:rsidRPr="00056EF5">
        <w:rPr>
          <w:spacing w:val="-4"/>
          <w:lang w:bidi="ar-EG"/>
        </w:rPr>
        <w:t>kHz 1</w:t>
      </w:r>
      <w:r w:rsidR="00DC52A3" w:rsidRPr="00056EF5">
        <w:rPr>
          <w:rFonts w:hint="cs"/>
          <w:spacing w:val="-4"/>
          <w:rtl/>
          <w:lang w:bidi="ar-EG"/>
        </w:rPr>
        <w:t xml:space="preserve"> وتبلغ في النطاقات الأعلى </w:t>
      </w:r>
      <w:r w:rsidR="00DC52A3" w:rsidRPr="00056EF5">
        <w:rPr>
          <w:spacing w:val="-4"/>
          <w:lang w:bidi="ar-EG"/>
        </w:rPr>
        <w:t>MHz 1</w:t>
      </w:r>
      <w:r w:rsidR="00DC52A3" w:rsidRPr="00056EF5">
        <w:rPr>
          <w:rFonts w:hint="cs"/>
          <w:spacing w:val="-4"/>
          <w:rtl/>
          <w:lang w:bidi="ar-EG"/>
        </w:rPr>
        <w:t>.</w:t>
      </w:r>
    </w:p>
    <w:p w:rsidR="00DC52A3" w:rsidRPr="00B33398" w:rsidRDefault="00DC52A3" w:rsidP="00DC52A3">
      <w:pPr>
        <w:pStyle w:val="Heading2"/>
        <w:rPr>
          <w:rtl/>
        </w:rPr>
      </w:pPr>
      <w:r w:rsidRPr="00B33398">
        <w:t>2.3</w:t>
      </w:r>
      <w:r w:rsidRPr="00B33398">
        <w:rPr>
          <w:rtl/>
        </w:rPr>
        <w:tab/>
      </w:r>
      <w:r w:rsidRPr="00B33398">
        <w:rPr>
          <w:rFonts w:hint="cs"/>
          <w:rtl/>
        </w:rPr>
        <w:t>النسبة المئوية المرجعية من الوقت</w:t>
      </w:r>
    </w:p>
    <w:p w:rsidR="00DC52A3" w:rsidRDefault="00DC52A3" w:rsidP="00011AFD">
      <w:pPr>
        <w:rPr>
          <w:rtl/>
          <w:lang w:bidi="ar-EG"/>
        </w:rPr>
      </w:pPr>
      <w:r>
        <w:rPr>
          <w:rFonts w:hint="cs"/>
          <w:rtl/>
          <w:lang w:bidi="ar-EG"/>
        </w:rPr>
        <w:t xml:space="preserve">بالنسبة للرحلات الفضائية المأهولة، فإن فقدان الاتصالات لأكثر من </w:t>
      </w:r>
      <w:r>
        <w:rPr>
          <w:lang w:bidi="ar-EG"/>
        </w:rPr>
        <w:t>5</w:t>
      </w:r>
      <w:r>
        <w:rPr>
          <w:rFonts w:hint="cs"/>
          <w:rtl/>
          <w:lang w:bidi="ar-EG"/>
        </w:rPr>
        <w:t xml:space="preserve"> دقائق أثناء المراحل الحرجة </w:t>
      </w:r>
      <w:r w:rsidR="00011AFD">
        <w:rPr>
          <w:rFonts w:hint="cs"/>
          <w:rtl/>
          <w:lang w:bidi="ar-EG"/>
        </w:rPr>
        <w:t>مثل</w:t>
      </w:r>
      <w:r>
        <w:rPr>
          <w:rFonts w:hint="cs"/>
          <w:rtl/>
          <w:lang w:bidi="ar-EG"/>
        </w:rPr>
        <w:t xml:space="preserve"> عمليات الالتقاء والالتحام</w:t>
      </w:r>
      <w:r w:rsidR="004C1093">
        <w:rPr>
          <w:rFonts w:hint="cs"/>
          <w:rtl/>
          <w:lang w:bidi="ar-EG"/>
        </w:rPr>
        <w:t xml:space="preserve"> أو</w:t>
      </w:r>
      <w:r w:rsidR="004C1093">
        <w:rPr>
          <w:rFonts w:hint="eastAsia"/>
          <w:rtl/>
          <w:lang w:bidi="ar-EG"/>
        </w:rPr>
        <w:t> </w:t>
      </w:r>
      <w:r w:rsidR="004C1093">
        <w:rPr>
          <w:rFonts w:hint="cs"/>
          <w:rtl/>
          <w:lang w:bidi="ar-EG"/>
        </w:rPr>
        <w:t>الأنشطة خارج المركبات الفضائية، قد يؤثر في الرحلة تأثيراً خطيراً.</w:t>
      </w:r>
    </w:p>
    <w:p w:rsidR="004C1093" w:rsidRDefault="004C1093" w:rsidP="00B95831">
      <w:pPr>
        <w:rPr>
          <w:rtl/>
          <w:lang w:bidi="ar-EG"/>
        </w:rPr>
      </w:pPr>
      <w:r w:rsidRPr="00206C6B">
        <w:rPr>
          <w:rFonts w:hint="cs"/>
          <w:spacing w:val="6"/>
          <w:rtl/>
          <w:lang w:bidi="ar-EG"/>
        </w:rPr>
        <w:t xml:space="preserve">وبالنسبة للرحلات الفضائية المأهولة وغير المأهولة، فإن القيمة المرجعية تساوي </w:t>
      </w:r>
      <w:r w:rsidRPr="00206C6B">
        <w:rPr>
          <w:spacing w:val="6"/>
          <w:lang w:bidi="ar-EG"/>
        </w:rPr>
        <w:t>%0,1</w:t>
      </w:r>
      <w:r w:rsidRPr="00206C6B">
        <w:rPr>
          <w:rFonts w:hint="cs"/>
          <w:spacing w:val="6"/>
          <w:rtl/>
          <w:lang w:bidi="ar-EG"/>
        </w:rPr>
        <w:t xml:space="preserve"> من الوقت. وبالنسبة للوصلات </w:t>
      </w:r>
      <w:r w:rsidRPr="00F1563E">
        <w:rPr>
          <w:rFonts w:hint="cs"/>
          <w:spacing w:val="6"/>
          <w:rtl/>
          <w:lang w:bidi="ar-EG"/>
        </w:rPr>
        <w:t>فضاء</w:t>
      </w:r>
      <w:r w:rsidR="00DA5F50" w:rsidRPr="00F1563E">
        <w:rPr>
          <w:rFonts w:hint="cs"/>
          <w:spacing w:val="6"/>
          <w:rtl/>
          <w:lang w:bidi="ar-EG"/>
        </w:rPr>
        <w:t>-</w:t>
      </w:r>
      <w:r w:rsidRPr="00F1563E">
        <w:rPr>
          <w:rFonts w:hint="cs"/>
          <w:spacing w:val="6"/>
          <w:rtl/>
          <w:lang w:bidi="ar-EG"/>
        </w:rPr>
        <w:t xml:space="preserve">فضاء، ينبغي للنسبة المئوية من الوقت أن يكون مرجعها الفترة التي يكون فيها ساتل المستعمل في مجال رؤية ساتل </w:t>
      </w:r>
      <w:r w:rsidRPr="00F1563E">
        <w:rPr>
          <w:rFonts w:hint="cs"/>
          <w:rtl/>
          <w:lang w:bidi="ar-EG"/>
        </w:rPr>
        <w:t>ترحيل البيانات</w:t>
      </w:r>
      <w:r w:rsidR="00B95831">
        <w:rPr>
          <w:rFonts w:hint="eastAsia"/>
          <w:rtl/>
          <w:lang w:bidi="ar-EG"/>
        </w:rPr>
        <w:t> </w:t>
      </w:r>
      <w:r w:rsidR="00672B2D" w:rsidRPr="00F1563E">
        <w:t>(DRS)</w:t>
      </w:r>
      <w:r w:rsidRPr="00F1563E">
        <w:rPr>
          <w:rFonts w:hint="cs"/>
          <w:rtl/>
          <w:lang w:bidi="ar-EG"/>
        </w:rPr>
        <w:t xml:space="preserve"> المقابل، حيث </w:t>
      </w:r>
      <w:r w:rsidR="00C65243" w:rsidRPr="00F1563E">
        <w:rPr>
          <w:rFonts w:hint="cs"/>
          <w:rtl/>
          <w:lang w:bidi="ar-EG"/>
        </w:rPr>
        <w:t>إ</w:t>
      </w:r>
      <w:r w:rsidRPr="00F1563E">
        <w:rPr>
          <w:rFonts w:hint="cs"/>
          <w:rtl/>
          <w:lang w:bidi="ar-EG"/>
        </w:rPr>
        <w:t>ن</w:t>
      </w:r>
      <w:r w:rsidR="00AF0D4E" w:rsidRPr="00F1563E">
        <w:rPr>
          <w:rFonts w:hint="eastAsia"/>
          <w:rtl/>
          <w:lang w:bidi="ar-EG"/>
        </w:rPr>
        <w:t> </w:t>
      </w:r>
      <w:r w:rsidRPr="00F1563E">
        <w:rPr>
          <w:rFonts w:hint="cs"/>
          <w:rtl/>
          <w:lang w:bidi="ar-EG"/>
        </w:rPr>
        <w:t>هذا</w:t>
      </w:r>
      <w:r w:rsidR="00AF0D4E" w:rsidRPr="00F1563E">
        <w:rPr>
          <w:rFonts w:hint="eastAsia"/>
          <w:rtl/>
          <w:lang w:bidi="ar-EG"/>
        </w:rPr>
        <w:t> </w:t>
      </w:r>
      <w:r w:rsidRPr="00F1563E">
        <w:rPr>
          <w:rFonts w:hint="cs"/>
          <w:rtl/>
          <w:lang w:bidi="ar-EG"/>
        </w:rPr>
        <w:t>الأخير الذي يقابل وقت حدوث الاتصالات ويستقبل تداخلات عندما لا تكون هناك اتصالات</w:t>
      </w:r>
      <w:r w:rsidR="00562C12" w:rsidRPr="00F1563E">
        <w:rPr>
          <w:rFonts w:hint="cs"/>
          <w:rtl/>
          <w:lang w:bidi="ar-EG"/>
        </w:rPr>
        <w:t>،</w:t>
      </w:r>
      <w:r w:rsidRPr="00F1563E">
        <w:rPr>
          <w:rFonts w:hint="cs"/>
          <w:rtl/>
          <w:lang w:bidi="ar-EG"/>
        </w:rPr>
        <w:t xml:space="preserve"> لا يعنينا.</w:t>
      </w:r>
    </w:p>
    <w:p w:rsidR="00202CD6" w:rsidRPr="00B33398" w:rsidRDefault="00202CD6" w:rsidP="00202CD6">
      <w:pPr>
        <w:pStyle w:val="Heading2"/>
        <w:rPr>
          <w:rtl/>
        </w:rPr>
      </w:pPr>
      <w:r w:rsidRPr="00B33398">
        <w:t>3.3</w:t>
      </w:r>
      <w:r w:rsidRPr="00B33398">
        <w:rPr>
          <w:rtl/>
        </w:rPr>
        <w:tab/>
      </w:r>
      <w:r w:rsidRPr="00B33398">
        <w:rPr>
          <w:rFonts w:hint="cs"/>
          <w:rtl/>
        </w:rPr>
        <w:t>مستويات الحماية المطلوبة</w:t>
      </w:r>
    </w:p>
    <w:p w:rsidR="00394D6D" w:rsidRDefault="00202CD6" w:rsidP="00394D6D">
      <w:pPr>
        <w:rPr>
          <w:rtl/>
          <w:lang w:bidi="ar-EG"/>
        </w:rPr>
      </w:pPr>
      <w:r>
        <w:rPr>
          <w:rFonts w:hint="cs"/>
          <w:rtl/>
          <w:lang w:bidi="ar-EG"/>
        </w:rPr>
        <w:t>تتضمن الاتصالات عبر ساتل لترحيل البيانات وصلتين على التوالي، إما "أمامية" تكون وصلة "تغذية" أرض</w:t>
      </w:r>
      <w:r w:rsidR="00672B2D">
        <w:rPr>
          <w:rFonts w:hint="cs"/>
          <w:rtl/>
          <w:lang w:bidi="ar-EG"/>
        </w:rPr>
        <w:t>-</w:t>
      </w:r>
      <w:r>
        <w:rPr>
          <w:rFonts w:hint="cs"/>
          <w:rtl/>
          <w:lang w:bidi="ar-EG"/>
        </w:rPr>
        <w:t>فضاء مرادفة لوصلة "بين المدارات" فضاء-فضاء أو "عودة" تكون وصلة "تغذية" فضاء-أرض.</w:t>
      </w:r>
    </w:p>
    <w:p w:rsidR="00202CD6" w:rsidRDefault="00202CD6" w:rsidP="00394D6D">
      <w:pPr>
        <w:rPr>
          <w:rtl/>
          <w:lang w:bidi="ar-EG"/>
        </w:rPr>
      </w:pPr>
      <w:r>
        <w:rPr>
          <w:rFonts w:hint="cs"/>
          <w:rtl/>
          <w:lang w:bidi="ar-EG"/>
        </w:rPr>
        <w:t>ويتطلب تحديد مستويات الحماية مراعاة كل من</w:t>
      </w:r>
      <w:r w:rsidR="0071366D">
        <w:rPr>
          <w:rFonts w:hint="eastAsia"/>
          <w:rtl/>
          <w:lang w:bidi="ar-EG"/>
        </w:rPr>
        <w:t> </w:t>
      </w:r>
      <w:r>
        <w:rPr>
          <w:rFonts w:hint="cs"/>
          <w:rtl/>
          <w:lang w:bidi="ar-EG"/>
        </w:rPr>
        <w:t>وصلتي التغذية وبين المدارات.</w:t>
      </w:r>
    </w:p>
    <w:p w:rsidR="00202CD6" w:rsidRPr="00B33398" w:rsidRDefault="00202CD6" w:rsidP="00202CD6">
      <w:pPr>
        <w:pStyle w:val="Heading3"/>
        <w:rPr>
          <w:rtl/>
        </w:rPr>
      </w:pPr>
      <w:r w:rsidRPr="00B33398">
        <w:t>1.3.3</w:t>
      </w:r>
      <w:r w:rsidRPr="00B33398">
        <w:rPr>
          <w:rtl/>
        </w:rPr>
        <w:tab/>
      </w:r>
      <w:r w:rsidRPr="00B33398">
        <w:rPr>
          <w:rFonts w:hint="cs"/>
          <w:rtl/>
        </w:rPr>
        <w:t>الوصلات فضاء-فضاء</w:t>
      </w:r>
    </w:p>
    <w:p w:rsidR="007D4745" w:rsidRDefault="00202CD6" w:rsidP="00672B2D">
      <w:pPr>
        <w:rPr>
          <w:rtl/>
          <w:lang w:bidi="ar-EG"/>
        </w:rPr>
      </w:pPr>
      <w:r>
        <w:rPr>
          <w:rFonts w:hint="cs"/>
          <w:rtl/>
          <w:lang w:bidi="ar-EG"/>
        </w:rPr>
        <w:t>يبلغ إجمال درجات حرارة الضوضاء لمستقب</w:t>
      </w:r>
      <w:r w:rsidR="0002475B">
        <w:rPr>
          <w:rFonts w:hint="cs"/>
          <w:rtl/>
          <w:lang w:bidi="ar-EG"/>
        </w:rPr>
        <w:t>ِ</w:t>
      </w:r>
      <w:r>
        <w:rPr>
          <w:rFonts w:hint="cs"/>
          <w:rtl/>
          <w:lang w:bidi="ar-EG"/>
        </w:rPr>
        <w:t xml:space="preserve">ل نمطي لمحطة فضائية عادة </w:t>
      </w:r>
      <w:r>
        <w:rPr>
          <w:lang w:bidi="ar-EG"/>
        </w:rPr>
        <w:t>K 600</w:t>
      </w:r>
      <w:r>
        <w:rPr>
          <w:rFonts w:hint="cs"/>
          <w:rtl/>
          <w:lang w:bidi="ar-EG"/>
        </w:rPr>
        <w:t xml:space="preserve"> في النطاق </w:t>
      </w:r>
      <w:r>
        <w:rPr>
          <w:lang w:bidi="ar-EG"/>
        </w:rPr>
        <w:t>GHz 2</w:t>
      </w:r>
      <w:r>
        <w:rPr>
          <w:rFonts w:hint="cs"/>
          <w:rtl/>
          <w:lang w:bidi="ar-EG"/>
        </w:rPr>
        <w:t xml:space="preserve"> تزيد إلى </w:t>
      </w:r>
      <w:r>
        <w:rPr>
          <w:lang w:bidi="ar-EG"/>
        </w:rPr>
        <w:t>K 1</w:t>
      </w:r>
      <w:r w:rsidR="00672B2D">
        <w:rPr>
          <w:lang w:bidi="ar-EG"/>
        </w:rPr>
        <w:t> </w:t>
      </w:r>
      <w:r>
        <w:rPr>
          <w:lang w:bidi="ar-EG"/>
        </w:rPr>
        <w:t>200</w:t>
      </w:r>
      <w:r>
        <w:rPr>
          <w:rFonts w:hint="cs"/>
          <w:rtl/>
          <w:lang w:bidi="ar-EG"/>
        </w:rPr>
        <w:t xml:space="preserve"> في النطاق </w:t>
      </w:r>
      <w:r w:rsidR="007D4745">
        <w:rPr>
          <w:lang w:bidi="ar-EG"/>
        </w:rPr>
        <w:t>GHz 20</w:t>
      </w:r>
      <w:r w:rsidR="007D4745">
        <w:rPr>
          <w:rFonts w:hint="cs"/>
          <w:rtl/>
          <w:lang w:bidi="ar-EG"/>
        </w:rPr>
        <w:t xml:space="preserve"> عندما يسدد هوائي المركبة الفضائية نحو الأرض </w:t>
      </w:r>
      <w:r w:rsidR="007D4745">
        <w:rPr>
          <w:lang w:bidi="ar-EG"/>
        </w:rPr>
        <w:t>(K 2</w:t>
      </w:r>
      <w:r w:rsidR="00672B2D">
        <w:rPr>
          <w:lang w:bidi="ar-EG"/>
        </w:rPr>
        <w:t>9</w:t>
      </w:r>
      <w:r w:rsidR="007D4745">
        <w:rPr>
          <w:lang w:bidi="ar-EG"/>
        </w:rPr>
        <w:t>0)</w:t>
      </w:r>
      <w:r w:rsidR="007D4745">
        <w:rPr>
          <w:rFonts w:hint="cs"/>
          <w:rtl/>
          <w:lang w:bidi="ar-EG"/>
        </w:rPr>
        <w:t>. وينبغي استخدام قيم الضوضاء هذه عندما لا</w:t>
      </w:r>
      <w:r w:rsidR="00A03D52">
        <w:rPr>
          <w:rFonts w:hint="eastAsia"/>
          <w:rtl/>
          <w:lang w:bidi="ar-EG"/>
        </w:rPr>
        <w:t> </w:t>
      </w:r>
      <w:r w:rsidR="007D4745">
        <w:rPr>
          <w:rFonts w:hint="cs"/>
          <w:rtl/>
          <w:lang w:bidi="ar-EG"/>
        </w:rPr>
        <w:t xml:space="preserve">تتوفر القيم الفعلية وذلك لتحديد ما إذا كان المتطلب الذي ينص على أن تكون النسبة </w:t>
      </w:r>
      <w:r w:rsidR="007D4745" w:rsidRPr="00DB5FCC">
        <w:rPr>
          <w:i/>
          <w:iCs/>
          <w:lang w:bidi="ar-EG"/>
        </w:rPr>
        <w:t>I/N</w:t>
      </w:r>
      <w:r w:rsidR="007D4745">
        <w:rPr>
          <w:rFonts w:hint="cs"/>
          <w:rtl/>
          <w:lang w:bidi="ar-EG"/>
        </w:rPr>
        <w:t xml:space="preserve"> تساوي </w:t>
      </w:r>
      <w:r w:rsidR="007D4745">
        <w:rPr>
          <w:lang w:bidi="ar-EG"/>
        </w:rPr>
        <w:t>dB 10</w:t>
      </w:r>
      <w:r w:rsidR="007D4745">
        <w:rPr>
          <w:lang w:bidi="ar-EG"/>
        </w:rPr>
        <w:sym w:font="Symbol" w:char="F02D"/>
      </w:r>
      <w:r w:rsidR="00B67309">
        <w:rPr>
          <w:rFonts w:hint="cs"/>
          <w:rtl/>
          <w:lang w:bidi="ar-EG"/>
        </w:rPr>
        <w:t xml:space="preserve"> مستوف</w:t>
      </w:r>
      <w:r w:rsidR="00A41DA1">
        <w:rPr>
          <w:rFonts w:hint="cs"/>
          <w:rtl/>
          <w:lang w:bidi="ar-EG"/>
        </w:rPr>
        <w:t>ٍ</w:t>
      </w:r>
      <w:r w:rsidR="007D4745">
        <w:rPr>
          <w:rFonts w:hint="cs"/>
          <w:rtl/>
          <w:lang w:bidi="ar-EG"/>
        </w:rPr>
        <w:t>.</w:t>
      </w:r>
    </w:p>
    <w:p w:rsidR="00202CD6" w:rsidRDefault="007D4745" w:rsidP="00394D6D">
      <w:pPr>
        <w:rPr>
          <w:rtl/>
          <w:lang w:bidi="ar-EG"/>
        </w:rPr>
      </w:pPr>
      <w:r>
        <w:rPr>
          <w:rFonts w:hint="cs"/>
          <w:rtl/>
          <w:lang w:bidi="ar-EG"/>
        </w:rPr>
        <w:t>ومساهمة الضوضاء في وصلة التغذية الأمامية صغيرة نتيجة لكسب الإرسال السالب لسواتل ترحيل البيانات ومن</w:t>
      </w:r>
      <w:r w:rsidR="00394D6D">
        <w:rPr>
          <w:rFonts w:hint="eastAsia"/>
          <w:rtl/>
          <w:lang w:bidi="ar-EG"/>
        </w:rPr>
        <w:t> </w:t>
      </w:r>
      <w:r>
        <w:rPr>
          <w:rFonts w:hint="cs"/>
          <w:rtl/>
          <w:lang w:bidi="ar-EG"/>
        </w:rPr>
        <w:t>ثم</w:t>
      </w:r>
      <w:r w:rsidR="00394D6D">
        <w:rPr>
          <w:rFonts w:hint="eastAsia"/>
          <w:rtl/>
          <w:lang w:bidi="ar-EG"/>
        </w:rPr>
        <w:t> </w:t>
      </w:r>
      <w:r>
        <w:rPr>
          <w:rFonts w:hint="cs"/>
          <w:rtl/>
          <w:lang w:bidi="ar-EG"/>
        </w:rPr>
        <w:t>لا</w:t>
      </w:r>
      <w:r w:rsidR="00394D6D">
        <w:rPr>
          <w:rFonts w:hint="eastAsia"/>
          <w:rtl/>
          <w:lang w:bidi="ar-EG"/>
        </w:rPr>
        <w:t> </w:t>
      </w:r>
      <w:r>
        <w:rPr>
          <w:rFonts w:hint="cs"/>
          <w:rtl/>
          <w:lang w:bidi="ar-EG"/>
        </w:rPr>
        <w:t>تؤخذ في</w:t>
      </w:r>
      <w:r>
        <w:rPr>
          <w:rFonts w:hint="eastAsia"/>
          <w:rtl/>
        </w:rPr>
        <w:t> </w:t>
      </w:r>
      <w:r>
        <w:rPr>
          <w:rFonts w:hint="cs"/>
          <w:rtl/>
          <w:lang w:bidi="ar-EG"/>
        </w:rPr>
        <w:t>الاعتبار.</w:t>
      </w:r>
    </w:p>
    <w:p w:rsidR="007D4745" w:rsidRPr="00B33398" w:rsidRDefault="007D4745" w:rsidP="007D4745">
      <w:pPr>
        <w:pStyle w:val="Heading3"/>
        <w:rPr>
          <w:rtl/>
        </w:rPr>
      </w:pPr>
      <w:r w:rsidRPr="00B33398">
        <w:t>2.3.3</w:t>
      </w:r>
      <w:r w:rsidRPr="00B33398">
        <w:rPr>
          <w:rtl/>
        </w:rPr>
        <w:tab/>
      </w:r>
      <w:r w:rsidRPr="00B33398">
        <w:rPr>
          <w:rFonts w:hint="cs"/>
          <w:rtl/>
        </w:rPr>
        <w:t>الوصلات من ساتل ترحيل بيانات إلى الأرض ومن الأرض إلى ساتل ترحيل بيانات</w:t>
      </w:r>
    </w:p>
    <w:p w:rsidR="007D4745" w:rsidRPr="003716A5" w:rsidRDefault="0011413D" w:rsidP="003716A5">
      <w:pPr>
        <w:rPr>
          <w:rtl/>
          <w:lang w:bidi="ar-EG"/>
        </w:rPr>
      </w:pPr>
      <w:r w:rsidRPr="003716A5">
        <w:rPr>
          <w:rFonts w:hint="cs"/>
          <w:rtl/>
          <w:lang w:bidi="ar-EG"/>
        </w:rPr>
        <w:t xml:space="preserve">يعرض الجدول </w:t>
      </w:r>
      <w:r w:rsidRPr="003716A5">
        <w:rPr>
          <w:lang w:bidi="ar-EG"/>
        </w:rPr>
        <w:t>2</w:t>
      </w:r>
      <w:r w:rsidRPr="003716A5">
        <w:rPr>
          <w:rFonts w:hint="cs"/>
          <w:rtl/>
          <w:lang w:bidi="ar-EG"/>
        </w:rPr>
        <w:t xml:space="preserve"> بعض أمثلة التفاعل بين جزئين من الوصلة العامة من طرف إلى طرف، سواء بالنسبة لوصلات العودة أو الوصلات الأمامية للعديد من</w:t>
      </w:r>
      <w:r w:rsidRPr="003716A5">
        <w:rPr>
          <w:rFonts w:hint="eastAsia"/>
          <w:rtl/>
          <w:lang w:bidi="ar-EG"/>
        </w:rPr>
        <w:t> </w:t>
      </w:r>
      <w:r w:rsidRPr="003716A5">
        <w:rPr>
          <w:rFonts w:hint="cs"/>
          <w:rtl/>
          <w:lang w:bidi="ar-EG"/>
        </w:rPr>
        <w:t>نطاقات التردد المختلفة وهوامش الوصلات هي القيم النمطية لوصلات أنظمة ذات صفة تمثيلية. وحيث</w:t>
      </w:r>
      <w:r w:rsidR="003716A5" w:rsidRPr="003716A5">
        <w:rPr>
          <w:rFonts w:hint="cs"/>
          <w:rtl/>
          <w:lang w:bidi="ar-EG"/>
        </w:rPr>
        <w:t xml:space="preserve"> </w:t>
      </w:r>
      <w:r w:rsidRPr="003716A5">
        <w:rPr>
          <w:rFonts w:hint="cs"/>
          <w:rtl/>
          <w:lang w:bidi="ar-EG"/>
        </w:rPr>
        <w:t>إن</w:t>
      </w:r>
      <w:r w:rsidR="003716A5" w:rsidRPr="003716A5">
        <w:rPr>
          <w:rFonts w:hint="cs"/>
          <w:rtl/>
        </w:rPr>
        <w:t xml:space="preserve"> </w:t>
      </w:r>
      <w:r w:rsidRPr="003716A5">
        <w:rPr>
          <w:rFonts w:hint="cs"/>
          <w:rtl/>
          <w:lang w:bidi="ar-EG"/>
        </w:rPr>
        <w:t>الوصلات تكون من نمط "الأنبوب المعقوف" عادة: أي لا توجد معالجة على المتن في ساتل ترحيل البيانات، وأن</w:t>
      </w:r>
      <w:r w:rsidRPr="003716A5">
        <w:rPr>
          <w:rFonts w:hint="eastAsia"/>
          <w:rtl/>
          <w:lang w:bidi="ar-EG"/>
        </w:rPr>
        <w:t> </w:t>
      </w:r>
      <w:r w:rsidRPr="003716A5">
        <w:rPr>
          <w:rFonts w:hint="cs"/>
          <w:rtl/>
          <w:lang w:bidi="ar-EG"/>
        </w:rPr>
        <w:t>الضوضاء تضاف، لذا يتحدد الهامش الإجمالي للوصلة بتجميع متسلسل للهوامش الفردية للوصلة. وفي بعض الحالات، يكون للوصلتين هامشان (مثلاً</w:t>
      </w:r>
      <w:r w:rsidR="003716A5" w:rsidRPr="003716A5">
        <w:rPr>
          <w:rFonts w:hint="eastAsia"/>
          <w:rtl/>
          <w:lang w:bidi="ar-EG"/>
        </w:rPr>
        <w:t> </w:t>
      </w:r>
      <w:r w:rsidRPr="003716A5">
        <w:rPr>
          <w:rFonts w:hint="cs"/>
          <w:rtl/>
          <w:lang w:bidi="ar-EG"/>
        </w:rPr>
        <w:t xml:space="preserve">العودة </w:t>
      </w:r>
      <w:r w:rsidRPr="003716A5">
        <w:rPr>
          <w:lang w:bidi="ar-EG"/>
        </w:rPr>
        <w:t>GHz 13/GHz 15</w:t>
      </w:r>
      <w:r w:rsidRPr="003716A5">
        <w:rPr>
          <w:rFonts w:hint="cs"/>
          <w:rtl/>
          <w:lang w:bidi="ar-EG"/>
        </w:rPr>
        <w:t>) ومن ثم تتساوى الوصلتان تقريباً في الحساسية إزاء الضوضاء. وفي</w:t>
      </w:r>
      <w:r w:rsidRPr="003716A5">
        <w:rPr>
          <w:rFonts w:hint="eastAsia"/>
          <w:rtl/>
          <w:lang w:bidi="ar-EG"/>
        </w:rPr>
        <w:t> </w:t>
      </w:r>
      <w:r w:rsidRPr="003716A5">
        <w:rPr>
          <w:rFonts w:hint="cs"/>
          <w:rtl/>
          <w:lang w:bidi="ar-EG"/>
        </w:rPr>
        <w:t xml:space="preserve">حالات أخرى، يكون للوصلة فضاء-فضاء هامش أقل كثيراً من وصلة التغذية (مثلاً العودة </w:t>
      </w:r>
      <w:r w:rsidRPr="003716A5">
        <w:rPr>
          <w:lang w:bidi="ar-EG"/>
        </w:rPr>
        <w:t>GHz 13/GHz 2</w:t>
      </w:r>
      <w:r w:rsidRPr="003716A5">
        <w:rPr>
          <w:rFonts w:hint="cs"/>
          <w:rtl/>
          <w:lang w:bidi="ar-EG"/>
        </w:rPr>
        <w:t xml:space="preserve"> والأمامية</w:t>
      </w:r>
      <w:r w:rsidRPr="003716A5">
        <w:rPr>
          <w:rFonts w:hint="eastAsia"/>
          <w:rtl/>
          <w:lang w:bidi="ar-EG"/>
        </w:rPr>
        <w:t> </w:t>
      </w:r>
      <w:r w:rsidRPr="003716A5">
        <w:rPr>
          <w:lang w:bidi="ar-EG"/>
        </w:rPr>
        <w:t>GHz 13/GHz 15</w:t>
      </w:r>
      <w:r w:rsidRPr="003716A5">
        <w:rPr>
          <w:rFonts w:hint="cs"/>
          <w:rtl/>
          <w:lang w:bidi="ar-EG"/>
        </w:rPr>
        <w:t>)، لذا،</w:t>
      </w:r>
      <w:r w:rsidRPr="003716A5">
        <w:rPr>
          <w:rFonts w:hint="eastAsia"/>
          <w:rtl/>
          <w:lang w:bidi="ar-EG"/>
        </w:rPr>
        <w:t> </w:t>
      </w:r>
      <w:r w:rsidRPr="003716A5">
        <w:rPr>
          <w:rFonts w:hint="cs"/>
          <w:rtl/>
          <w:lang w:bidi="ar-EG"/>
        </w:rPr>
        <w:t>فإن</w:t>
      </w:r>
      <w:r w:rsidRPr="003716A5">
        <w:rPr>
          <w:rFonts w:hint="eastAsia"/>
          <w:rtl/>
          <w:lang w:bidi="ar-EG"/>
        </w:rPr>
        <w:t> </w:t>
      </w:r>
      <w:r w:rsidRPr="003716A5">
        <w:rPr>
          <w:rFonts w:hint="cs"/>
          <w:rtl/>
          <w:lang w:bidi="ar-EG"/>
        </w:rPr>
        <w:t>الأولى تعد أكثر حساسية إلى حد كبير للضوضاء. ويعني ذلك أنه يمكن السماح بتداخلات أكبر في وصلات التغذية، لذا</w:t>
      </w:r>
      <w:r w:rsidR="003716A5" w:rsidRPr="003716A5">
        <w:rPr>
          <w:rFonts w:hint="eastAsia"/>
          <w:rtl/>
          <w:lang w:bidi="ar-EG"/>
        </w:rPr>
        <w:t> </w:t>
      </w:r>
      <w:r w:rsidRPr="003716A5">
        <w:rPr>
          <w:rFonts w:hint="cs"/>
          <w:rtl/>
          <w:lang w:bidi="ar-EG"/>
        </w:rPr>
        <w:t>تتم زيادة المعيار</w:t>
      </w:r>
      <w:r w:rsidR="003716A5">
        <w:rPr>
          <w:rFonts w:hint="eastAsia"/>
          <w:rtl/>
          <w:lang w:bidi="ar-EG"/>
        </w:rPr>
        <w:t> </w:t>
      </w:r>
      <w:r w:rsidRPr="003716A5">
        <w:rPr>
          <w:i/>
          <w:iCs/>
        </w:rPr>
        <w:t>I</w:t>
      </w:r>
      <w:r w:rsidRPr="003716A5">
        <w:t>/</w:t>
      </w:r>
      <w:r w:rsidRPr="003716A5">
        <w:rPr>
          <w:i/>
          <w:iCs/>
        </w:rPr>
        <w:t>N</w:t>
      </w:r>
      <w:r w:rsidRPr="003716A5">
        <w:rPr>
          <w:rFonts w:hint="cs"/>
          <w:rtl/>
          <w:lang w:bidi="ar-EG"/>
        </w:rPr>
        <w:t xml:space="preserve"> إلى القيمة </w:t>
      </w:r>
      <w:r w:rsidRPr="003716A5">
        <w:rPr>
          <w:lang w:bidi="ar-EG"/>
        </w:rPr>
        <w:t>dB 6</w:t>
      </w:r>
      <w:r w:rsidRPr="003716A5">
        <w:rPr>
          <w:lang w:bidi="ar-EG"/>
        </w:rPr>
        <w:sym w:font="Symbol" w:char="F02D"/>
      </w:r>
      <w:r w:rsidRPr="003716A5">
        <w:rPr>
          <w:rFonts w:hint="cs"/>
          <w:rtl/>
          <w:lang w:bidi="ar-EG"/>
        </w:rPr>
        <w:t xml:space="preserve"> لهذه الوصلات.</w:t>
      </w:r>
    </w:p>
    <w:p w:rsidR="00867FF2" w:rsidRDefault="00867FF2" w:rsidP="00867FF2">
      <w:pPr>
        <w:pStyle w:val="TableNo"/>
        <w:keepNext/>
      </w:pPr>
      <w:r>
        <w:rPr>
          <w:rFonts w:hint="cs"/>
          <w:rtl/>
        </w:rPr>
        <w:lastRenderedPageBreak/>
        <w:t>الج</w:t>
      </w:r>
      <w:r w:rsidR="00672B2D">
        <w:rPr>
          <w:rFonts w:hint="cs"/>
          <w:rtl/>
        </w:rPr>
        <w:t>ـ</w:t>
      </w:r>
      <w:r>
        <w:rPr>
          <w:rFonts w:hint="cs"/>
          <w:rtl/>
        </w:rPr>
        <w:t xml:space="preserve">دول </w:t>
      </w:r>
      <w:r>
        <w:t>2</w:t>
      </w:r>
    </w:p>
    <w:p w:rsidR="00867FF2" w:rsidRDefault="00867FF2" w:rsidP="00867FF2">
      <w:pPr>
        <w:pStyle w:val="Tabletitle"/>
        <w:keepNext/>
      </w:pPr>
      <w:r>
        <w:rPr>
          <w:rFonts w:hint="cs"/>
          <w:rtl/>
        </w:rPr>
        <w:t xml:space="preserve">التداخل على ساتل </w:t>
      </w:r>
      <w:r w:rsidR="00C70CDD">
        <w:rPr>
          <w:rFonts w:hint="cs"/>
          <w:rtl/>
        </w:rPr>
        <w:t>ل</w:t>
      </w:r>
      <w:r>
        <w:rPr>
          <w:rFonts w:hint="cs"/>
          <w:rtl/>
        </w:rPr>
        <w:t xml:space="preserve">ترحيل البيانات </w:t>
      </w:r>
      <w:r>
        <w:t>(DRS)</w:t>
      </w:r>
    </w:p>
    <w:tbl>
      <w:tblPr>
        <w:bidiVisual/>
        <w:tblW w:w="9639" w:type="dxa"/>
        <w:jc w:val="center"/>
        <w:tblLayout w:type="fixed"/>
        <w:tblLook w:val="0000" w:firstRow="0" w:lastRow="0" w:firstColumn="0" w:lastColumn="0" w:noHBand="0" w:noVBand="0"/>
      </w:tblPr>
      <w:tblGrid>
        <w:gridCol w:w="1985"/>
        <w:gridCol w:w="3259"/>
        <w:gridCol w:w="1098"/>
        <w:gridCol w:w="1099"/>
        <w:gridCol w:w="1099"/>
        <w:gridCol w:w="1099"/>
      </w:tblGrid>
      <w:tr w:rsidR="00672B2D" w:rsidRPr="001E199F" w:rsidTr="00986B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head"/>
              <w:rPr>
                <w:rtl/>
                <w:lang w:bidi="ar-EG"/>
              </w:rPr>
            </w:pPr>
            <w:r>
              <w:rPr>
                <w:rFonts w:hint="cs"/>
                <w:rtl/>
                <w:lang w:bidi="ar-EG"/>
              </w:rPr>
              <w:t>وصلة عودة</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867FF2" w:rsidRDefault="00672B2D" w:rsidP="00672B2D">
            <w:pPr>
              <w:pStyle w:val="Tablehead"/>
              <w:rPr>
                <w:rFonts w:ascii="Traditional Arabic" w:hAnsi="Traditional Arabic"/>
                <w:rtl/>
                <w:lang w:bidi="ar-EG"/>
              </w:rPr>
            </w:pPr>
            <w:r>
              <w:rPr>
                <w:rFonts w:hint="cs"/>
                <w:rtl/>
              </w:rPr>
              <w:t>النطاق</w:t>
            </w:r>
            <w:r>
              <w:rPr>
                <w:rFonts w:hint="cs"/>
                <w:rtl/>
                <w:lang w:bidi="ar-EG"/>
              </w:rPr>
              <w:t xml:space="preserve"> </w:t>
            </w:r>
            <w:r>
              <w:rPr>
                <w:rFonts w:cs="Times New Roman Bold"/>
              </w:rPr>
              <w:t>←</w:t>
            </w:r>
          </w:p>
        </w:tc>
        <w:tc>
          <w:tcPr>
            <w:tcW w:w="2197" w:type="dxa"/>
            <w:gridSpan w:val="2"/>
            <w:tcBorders>
              <w:top w:val="single" w:sz="6" w:space="0" w:color="auto"/>
              <w:left w:val="single" w:sz="6" w:space="0" w:color="auto"/>
              <w:bottom w:val="single" w:sz="6" w:space="0" w:color="auto"/>
              <w:right w:val="single" w:sz="6" w:space="0" w:color="auto"/>
            </w:tcBorders>
            <w:vAlign w:val="center"/>
          </w:tcPr>
          <w:p w:rsidR="00672B2D" w:rsidRPr="001E199F" w:rsidRDefault="003E418B" w:rsidP="003E418B">
            <w:pPr>
              <w:pStyle w:val="Tablehead"/>
            </w:pPr>
            <w:r>
              <w:t>13</w:t>
            </w:r>
            <w:r w:rsidR="00672B2D">
              <w:t>/</w:t>
            </w:r>
            <w:r>
              <w:t>2</w:t>
            </w:r>
          </w:p>
        </w:tc>
        <w:tc>
          <w:tcPr>
            <w:tcW w:w="2198" w:type="dxa"/>
            <w:gridSpan w:val="2"/>
            <w:tcBorders>
              <w:top w:val="single" w:sz="6" w:space="0" w:color="auto"/>
              <w:left w:val="single" w:sz="6" w:space="0" w:color="auto"/>
              <w:bottom w:val="single" w:sz="6" w:space="0" w:color="auto"/>
              <w:right w:val="single" w:sz="6" w:space="0" w:color="auto"/>
            </w:tcBorders>
          </w:tcPr>
          <w:p w:rsidR="00672B2D" w:rsidRPr="001E199F" w:rsidRDefault="00672B2D" w:rsidP="003E418B">
            <w:pPr>
              <w:pStyle w:val="Tablehead"/>
            </w:pPr>
            <w:r>
              <w:t>1</w:t>
            </w:r>
            <w:r w:rsidR="003E418B">
              <w:t>3</w:t>
            </w:r>
            <w:r>
              <w:t>/1</w:t>
            </w:r>
            <w:r w:rsidR="003E418B">
              <w:t>5</w:t>
            </w:r>
          </w:p>
        </w:tc>
      </w:tr>
      <w:tr w:rsidR="00672B2D" w:rsidRPr="001E199F" w:rsidTr="00986B16">
        <w:trPr>
          <w:cantSplit/>
          <w:jc w:val="center"/>
        </w:trPr>
        <w:tc>
          <w:tcPr>
            <w:tcW w:w="1985" w:type="dxa"/>
            <w:vMerge w:val="restart"/>
            <w:tcBorders>
              <w:top w:val="single" w:sz="6" w:space="0" w:color="auto"/>
              <w:left w:val="single" w:sz="6" w:space="0" w:color="auto"/>
              <w:right w:val="single" w:sz="6" w:space="0" w:color="auto"/>
            </w:tcBorders>
          </w:tcPr>
          <w:p w:rsidR="00672B2D" w:rsidRPr="001E199F" w:rsidRDefault="00672B2D" w:rsidP="00672B2D">
            <w:pPr>
              <w:pStyle w:val="Tabletext"/>
              <w:keepNext/>
              <w:keepLines/>
            </w:pPr>
            <w:r>
              <w:rPr>
                <w:rFonts w:hint="cs"/>
                <w:rtl/>
              </w:rPr>
              <w:t>وصلة من المستعمل إلى</w:t>
            </w:r>
            <w:r>
              <w:rPr>
                <w:rFonts w:hint="eastAsia"/>
                <w:rtl/>
              </w:rPr>
              <w:t> </w:t>
            </w:r>
            <w:r>
              <w:rPr>
                <w:rFonts w:hint="cs"/>
                <w:rtl/>
              </w:rPr>
              <w:t xml:space="preserve">ساتل </w:t>
            </w:r>
            <w:r>
              <w:t>DRS</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 xml:space="preserve">الهامش عند ساتل </w:t>
            </w:r>
            <w:r>
              <w:t>DRS</w:t>
            </w:r>
            <w:r>
              <w:rPr>
                <w:rFonts w:hint="cs"/>
                <w:rtl/>
                <w:lang w:bidi="ar-EG"/>
              </w:rPr>
              <w:t xml:space="preserve"> نمطي</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4,0</w:t>
            </w:r>
            <w:r>
              <w:t>1</w:t>
            </w:r>
          </w:p>
        </w:tc>
        <w:tc>
          <w:tcPr>
            <w:tcW w:w="1099"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4,0</w:t>
            </w:r>
            <w:r>
              <w:t>1</w:t>
            </w:r>
          </w:p>
        </w:tc>
        <w:tc>
          <w:tcPr>
            <w:tcW w:w="1099"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3,3</w:t>
            </w:r>
            <w:r>
              <w:t>1</w:t>
            </w:r>
          </w:p>
        </w:tc>
        <w:tc>
          <w:tcPr>
            <w:tcW w:w="1099"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3,3</w:t>
            </w:r>
            <w:r>
              <w:t>1</w:t>
            </w:r>
          </w:p>
        </w:tc>
      </w:tr>
      <w:tr w:rsidR="00672B2D" w:rsidRPr="001E199F" w:rsidTr="00986B16">
        <w:trPr>
          <w:cantSplit/>
          <w:jc w:val="center"/>
        </w:trPr>
        <w:tc>
          <w:tcPr>
            <w:tcW w:w="1985" w:type="dxa"/>
            <w:vMerge/>
            <w:tcBorders>
              <w:left w:val="single" w:sz="6" w:space="0" w:color="auto"/>
              <w:right w:val="single" w:sz="6" w:space="0" w:color="auto"/>
            </w:tcBorders>
          </w:tcPr>
          <w:p w:rsidR="00672B2D" w:rsidRPr="001E199F" w:rsidRDefault="00672B2D" w:rsidP="00672B2D">
            <w:pPr>
              <w:pStyle w:val="Tabletext"/>
              <w:keepNext/>
              <w:keepLines/>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0,4</w:t>
            </w:r>
            <w:r>
              <w:t>0</w:t>
            </w:r>
          </w:p>
        </w:tc>
        <w:tc>
          <w:tcPr>
            <w:tcW w:w="1099"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0,0</w:t>
            </w:r>
            <w:r>
              <w:t>0</w:t>
            </w:r>
          </w:p>
        </w:tc>
        <w:tc>
          <w:tcPr>
            <w:tcW w:w="1099"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0,4</w:t>
            </w:r>
            <w:r>
              <w:t>0</w:t>
            </w:r>
          </w:p>
        </w:tc>
        <w:tc>
          <w:tcPr>
            <w:tcW w:w="1099" w:type="dxa"/>
            <w:tcBorders>
              <w:top w:val="single" w:sz="6" w:space="0" w:color="auto"/>
              <w:left w:val="single" w:sz="6" w:space="0" w:color="auto"/>
              <w:bottom w:val="single" w:sz="6" w:space="0" w:color="auto"/>
              <w:right w:val="single" w:sz="6" w:space="0" w:color="auto"/>
            </w:tcBorders>
          </w:tcPr>
          <w:p w:rsidR="00672B2D" w:rsidRPr="001E199F" w:rsidRDefault="00672B2D" w:rsidP="003716A5">
            <w:pPr>
              <w:pStyle w:val="Tabletext"/>
              <w:keepNext/>
              <w:keepLines/>
              <w:jc w:val="center"/>
            </w:pPr>
            <w:r w:rsidRPr="00867FF2">
              <w:t>0,0</w:t>
            </w:r>
            <w:r>
              <w:t>0</w:t>
            </w:r>
          </w:p>
        </w:tc>
      </w:tr>
      <w:tr w:rsidR="00672B2D" w:rsidRPr="0042636D" w:rsidTr="00986B16">
        <w:trPr>
          <w:cantSplit/>
          <w:jc w:val="center"/>
        </w:trPr>
        <w:tc>
          <w:tcPr>
            <w:tcW w:w="1985" w:type="dxa"/>
            <w:vMerge/>
            <w:tcBorders>
              <w:left w:val="single" w:sz="6" w:space="0" w:color="auto"/>
              <w:bottom w:val="single" w:sz="6" w:space="0" w:color="auto"/>
              <w:right w:val="single" w:sz="6" w:space="0" w:color="auto"/>
            </w:tcBorders>
          </w:tcPr>
          <w:p w:rsidR="00672B2D" w:rsidRPr="001E199F" w:rsidRDefault="00672B2D" w:rsidP="00672B2D">
            <w:pPr>
              <w:pStyle w:val="Tabletext"/>
              <w:keepNext/>
              <w:keepLines/>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3A22E5">
            <w:pPr>
              <w:pStyle w:val="Tabletext"/>
              <w:rPr>
                <w:lang w:bidi="ar-EG"/>
              </w:rPr>
            </w:pPr>
            <w:r>
              <w:rPr>
                <w:rFonts w:hint="cs"/>
                <w:rtl/>
              </w:rPr>
              <w:t xml:space="preserve">الهامش عند ساتل </w:t>
            </w:r>
            <w:r>
              <w:t>DRS</w:t>
            </w:r>
            <w:r>
              <w:rPr>
                <w:rFonts w:hint="cs"/>
                <w:rtl/>
                <w:lang w:bidi="ar-EG"/>
              </w:rPr>
              <w:t xml:space="preserve"> نمطي</w:t>
            </w:r>
            <w:r w:rsidR="009D441F">
              <w:rPr>
                <w:rFonts w:hint="cs"/>
                <w:rtl/>
                <w:lang w:bidi="ar-EG"/>
              </w:rPr>
              <w:t xml:space="preserve"> </w:t>
            </w:r>
            <w:r>
              <w:rPr>
                <w:rFonts w:hint="cs"/>
                <w:rtl/>
                <w:lang w:bidi="ar-EG"/>
              </w:rPr>
              <w:t>بعد</w:t>
            </w:r>
            <w:r>
              <w:rPr>
                <w:rFonts w:hint="eastAsia"/>
                <w:lang w:bidi="ar-EG"/>
              </w:rPr>
              <w:t> </w:t>
            </w:r>
            <w:r>
              <w:rPr>
                <w:rFonts w:hint="cs"/>
                <w:rtl/>
                <w:lang w:bidi="ar-EG"/>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3,6</w:t>
            </w:r>
            <w:r>
              <w:t>1</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4,0</w:t>
            </w:r>
            <w:r>
              <w:t>1</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2,9</w:t>
            </w:r>
            <w:r>
              <w:t>1</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3,3</w:t>
            </w:r>
            <w:r>
              <w:t>1</w:t>
            </w:r>
          </w:p>
        </w:tc>
      </w:tr>
      <w:tr w:rsidR="00672B2D" w:rsidRPr="0042636D" w:rsidTr="00986B16">
        <w:trPr>
          <w:cantSplit/>
          <w:jc w:val="center"/>
        </w:trPr>
        <w:tc>
          <w:tcPr>
            <w:tcW w:w="1985" w:type="dxa"/>
            <w:vMerge w:val="restart"/>
            <w:tcBorders>
              <w:top w:val="single" w:sz="6" w:space="0" w:color="auto"/>
              <w:left w:val="single" w:sz="6" w:space="0" w:color="auto"/>
              <w:right w:val="single" w:sz="6" w:space="0" w:color="auto"/>
            </w:tcBorders>
          </w:tcPr>
          <w:p w:rsidR="00672B2D" w:rsidRPr="001E199F" w:rsidRDefault="00672B2D" w:rsidP="00672B2D">
            <w:pPr>
              <w:pStyle w:val="Tabletext"/>
              <w:keepNext/>
              <w:keepLines/>
              <w:rPr>
                <w:rtl/>
                <w:lang w:bidi="ar-EG"/>
              </w:rPr>
            </w:pPr>
            <w:r>
              <w:rPr>
                <w:rFonts w:hint="cs"/>
                <w:rtl/>
              </w:rPr>
              <w:t xml:space="preserve">وصلة من ساتل </w:t>
            </w:r>
            <w:r>
              <w:t>DRS</w:t>
            </w:r>
            <w:r>
              <w:rPr>
                <w:rFonts w:hint="cs"/>
                <w:rtl/>
                <w:lang w:bidi="ar-EG"/>
              </w:rPr>
              <w:t xml:space="preserve"> </w:t>
            </w:r>
            <w:r>
              <w:rPr>
                <w:rFonts w:hint="cs"/>
                <w:rtl/>
              </w:rPr>
              <w:t>إلى</w:t>
            </w:r>
            <w:r>
              <w:rPr>
                <w:rFonts w:hint="eastAsia"/>
                <w:rtl/>
              </w:rPr>
              <w:t> </w:t>
            </w:r>
            <w:r>
              <w:rPr>
                <w:rFonts w:hint="cs"/>
                <w:rtl/>
              </w:rPr>
              <w:t>الأرض</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الهامش عند الأرض</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t>5</w:t>
            </w:r>
            <w:r w:rsidRPr="00867FF2">
              <w:t>0,3</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t>5</w:t>
            </w:r>
            <w:r w:rsidRPr="00867FF2">
              <w:t>0,3</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4,4</w:t>
            </w:r>
            <w:r>
              <w:t>5</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4,4</w:t>
            </w:r>
            <w:r>
              <w:t>5</w:t>
            </w:r>
          </w:p>
        </w:tc>
      </w:tr>
      <w:tr w:rsidR="00672B2D" w:rsidRPr="0042636D" w:rsidTr="00986B16">
        <w:trPr>
          <w:cantSplit/>
          <w:jc w:val="center"/>
        </w:trPr>
        <w:tc>
          <w:tcPr>
            <w:tcW w:w="1985" w:type="dxa"/>
            <w:vMerge/>
            <w:tcBorders>
              <w:left w:val="single" w:sz="6" w:space="0" w:color="auto"/>
              <w:right w:val="single" w:sz="6" w:space="0" w:color="auto"/>
            </w:tcBorders>
          </w:tcPr>
          <w:p w:rsidR="00672B2D" w:rsidRPr="0042636D" w:rsidRDefault="00672B2D" w:rsidP="00672B2D">
            <w:pPr>
              <w:pStyle w:val="Tabletext"/>
              <w:keepNext/>
              <w:keepLines/>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0,0</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1,0</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0,0</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keepNext/>
              <w:keepLines/>
              <w:jc w:val="center"/>
            </w:pPr>
            <w:r w:rsidRPr="00867FF2">
              <w:t>1,0</w:t>
            </w:r>
            <w:r>
              <w:t>0</w:t>
            </w:r>
          </w:p>
        </w:tc>
      </w:tr>
      <w:tr w:rsidR="00672B2D" w:rsidRPr="0042636D" w:rsidTr="00986B16">
        <w:trPr>
          <w:cantSplit/>
          <w:jc w:val="center"/>
        </w:trPr>
        <w:tc>
          <w:tcPr>
            <w:tcW w:w="1985" w:type="dxa"/>
            <w:vMerge/>
            <w:tcBorders>
              <w:left w:val="single" w:sz="6" w:space="0" w:color="auto"/>
              <w:bottom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3A22E5">
            <w:pPr>
              <w:pStyle w:val="Tabletext"/>
              <w:rPr>
                <w:lang w:bidi="ar-EG"/>
              </w:rPr>
            </w:pPr>
            <w:r>
              <w:rPr>
                <w:rFonts w:hint="cs"/>
                <w:rtl/>
              </w:rPr>
              <w:t>الهامش عند الأرض</w:t>
            </w:r>
            <w:r w:rsidR="00CF2A88">
              <w:rPr>
                <w:rFonts w:hint="cs"/>
                <w:rtl/>
              </w:rPr>
              <w:t xml:space="preserve"> </w:t>
            </w:r>
            <w:r>
              <w:rPr>
                <w:rFonts w:hint="cs"/>
                <w:rtl/>
                <w:lang w:bidi="ar-EG"/>
              </w:rPr>
              <w:t>بعد</w:t>
            </w:r>
            <w:r>
              <w:rPr>
                <w:rFonts w:hint="eastAsia"/>
                <w:rtl/>
                <w:lang w:bidi="ar-EG"/>
              </w:rPr>
              <w:t> </w:t>
            </w:r>
            <w:r>
              <w:rPr>
                <w:rFonts w:hint="cs"/>
                <w:rtl/>
                <w:lang w:bidi="ar-EG"/>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t>5</w:t>
            </w:r>
            <w:r w:rsidRPr="00867FF2">
              <w:t>0,3</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t>4</w:t>
            </w:r>
            <w:r w:rsidRPr="00867FF2">
              <w:t>9,3</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4,4</w:t>
            </w:r>
            <w:r>
              <w:t>5</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3,4</w:t>
            </w:r>
            <w:r>
              <w:t>5</w:t>
            </w:r>
          </w:p>
        </w:tc>
      </w:tr>
      <w:tr w:rsidR="00672B2D" w:rsidRPr="0042636D" w:rsidTr="00986B16">
        <w:trPr>
          <w:cantSplit/>
          <w:jc w:val="center"/>
        </w:trPr>
        <w:tc>
          <w:tcPr>
            <w:tcW w:w="1985" w:type="dxa"/>
            <w:vMerge w:val="restart"/>
            <w:tcBorders>
              <w:top w:val="single" w:sz="6" w:space="0" w:color="auto"/>
              <w:left w:val="single" w:sz="6" w:space="0" w:color="auto"/>
              <w:right w:val="single" w:sz="6" w:space="0" w:color="auto"/>
            </w:tcBorders>
          </w:tcPr>
          <w:p w:rsidR="00672B2D" w:rsidRPr="0042636D" w:rsidRDefault="00672B2D" w:rsidP="00672B2D">
            <w:pPr>
              <w:pStyle w:val="Tabletext"/>
            </w:pPr>
            <w:r>
              <w:rPr>
                <w:rFonts w:hint="cs"/>
                <w:rtl/>
              </w:rPr>
              <w:t>وصلة من طرف إلى طرف</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42636D" w:rsidRDefault="00672B2D" w:rsidP="00E11FF7">
            <w:pPr>
              <w:pStyle w:val="Tabletext"/>
            </w:pPr>
            <w:r>
              <w:rPr>
                <w:rFonts w:hint="cs"/>
                <w:rtl/>
              </w:rPr>
              <w:t>الهامش</w:t>
            </w:r>
            <w:r w:rsidR="009D441F">
              <w:rPr>
                <w:rFonts w:hint="cs"/>
                <w:rtl/>
              </w:rPr>
              <w:t xml:space="preserve"> </w:t>
            </w:r>
            <w:r>
              <w:rPr>
                <w:rFonts w:hint="cs"/>
                <w:rtl/>
              </w:rPr>
              <w:t>الإجمالي</w:t>
            </w:r>
            <w:r>
              <w:rPr>
                <w:rFonts w:hint="cs"/>
                <w:rtl/>
                <w:lang w:bidi="ar-EG"/>
              </w:rPr>
              <w:t xml:space="preserve"> </w:t>
            </w:r>
            <w:r>
              <w:t>(dB)</w:t>
            </w:r>
          </w:p>
        </w:tc>
        <w:tc>
          <w:tcPr>
            <w:tcW w:w="1098"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4,0</w:t>
            </w:r>
            <w:r>
              <w:t>1</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4,0</w:t>
            </w:r>
            <w:r>
              <w:t>1</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0,8</w:t>
            </w:r>
            <w:r>
              <w:t>3</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0,8</w:t>
            </w:r>
            <w:r>
              <w:t>3</w:t>
            </w:r>
          </w:p>
        </w:tc>
      </w:tr>
      <w:tr w:rsidR="00672B2D" w:rsidRPr="0042636D" w:rsidTr="00986B16">
        <w:trPr>
          <w:cantSplit/>
          <w:jc w:val="center"/>
        </w:trPr>
        <w:tc>
          <w:tcPr>
            <w:tcW w:w="1985" w:type="dxa"/>
            <w:vMerge/>
            <w:tcBorders>
              <w:left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0,4</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0,0</w:t>
            </w:r>
            <w:r>
              <w:t>0</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0,2</w:t>
            </w:r>
            <w:r>
              <w:t>3</w:t>
            </w:r>
          </w:p>
        </w:tc>
        <w:tc>
          <w:tcPr>
            <w:tcW w:w="1099" w:type="dxa"/>
            <w:tcBorders>
              <w:top w:val="single" w:sz="6" w:space="0" w:color="auto"/>
              <w:left w:val="single" w:sz="6" w:space="0" w:color="auto"/>
              <w:bottom w:val="single" w:sz="6" w:space="0" w:color="auto"/>
              <w:right w:val="single" w:sz="6" w:space="0" w:color="auto"/>
            </w:tcBorders>
          </w:tcPr>
          <w:p w:rsidR="00672B2D" w:rsidRPr="0042636D" w:rsidRDefault="00672B2D" w:rsidP="003716A5">
            <w:pPr>
              <w:pStyle w:val="Tabletext"/>
              <w:jc w:val="center"/>
            </w:pPr>
            <w:r w:rsidRPr="00867FF2">
              <w:t>0,4</w:t>
            </w:r>
            <w:r>
              <w:t>6</w:t>
            </w:r>
          </w:p>
        </w:tc>
      </w:tr>
      <w:tr w:rsidR="00672B2D" w:rsidRPr="0042636D" w:rsidTr="00986B16">
        <w:trPr>
          <w:cantSplit/>
          <w:jc w:val="center"/>
        </w:trPr>
        <w:tc>
          <w:tcPr>
            <w:tcW w:w="1985" w:type="dxa"/>
            <w:vMerge/>
            <w:tcBorders>
              <w:left w:val="single" w:sz="6" w:space="0" w:color="auto"/>
              <w:bottom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3A22E5">
            <w:pPr>
              <w:pStyle w:val="Tabletext"/>
              <w:rPr>
                <w:lang w:bidi="ar-EG"/>
              </w:rPr>
            </w:pPr>
            <w:r>
              <w:rPr>
                <w:rFonts w:hint="cs"/>
                <w:rtl/>
              </w:rPr>
              <w:t>الهامش الإجمالي</w:t>
            </w:r>
            <w:r>
              <w:rPr>
                <w:rFonts w:hint="cs"/>
                <w:rtl/>
                <w:lang w:bidi="ar-EG"/>
              </w:rPr>
              <w:t xml:space="preserve"> بعد</w:t>
            </w:r>
            <w:r>
              <w:rPr>
                <w:rFonts w:hint="eastAsia"/>
                <w:rtl/>
                <w:lang w:bidi="ar-EG"/>
              </w:rPr>
              <w:t> </w:t>
            </w:r>
            <w:r>
              <w:rPr>
                <w:rFonts w:hint="cs"/>
                <w:rtl/>
                <w:lang w:bidi="ar-EG"/>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867FF2">
              <w:t>3,6</w:t>
            </w:r>
            <w:r>
              <w:t>1</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867FF2">
              <w:t>4,0</w:t>
            </w:r>
            <w:r>
              <w:t>1</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867FF2">
              <w:t>0,6</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867FF2">
              <w:t>0,3</w:t>
            </w:r>
            <w:r>
              <w:t>7</w:t>
            </w:r>
          </w:p>
        </w:tc>
      </w:tr>
      <w:tr w:rsidR="00672B2D" w:rsidRPr="001E199F" w:rsidTr="00986B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head"/>
              <w:rPr>
                <w:rtl/>
                <w:lang w:bidi="ar-EG"/>
              </w:rPr>
            </w:pPr>
            <w:r>
              <w:rPr>
                <w:rFonts w:hint="cs"/>
                <w:rtl/>
                <w:lang w:bidi="ar-EG"/>
              </w:rPr>
              <w:t>وصلة أمامية</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867FF2" w:rsidRDefault="00672B2D" w:rsidP="00672B2D">
            <w:pPr>
              <w:pStyle w:val="Tablehead"/>
              <w:rPr>
                <w:rFonts w:ascii="Traditional Arabic" w:hAnsi="Traditional Arabic"/>
                <w:rtl/>
                <w:lang w:bidi="ar-EG"/>
              </w:rPr>
            </w:pPr>
            <w:r>
              <w:rPr>
                <w:rFonts w:hint="cs"/>
                <w:rtl/>
              </w:rPr>
              <w:t>النطاق</w:t>
            </w:r>
            <w:r>
              <w:rPr>
                <w:rFonts w:hint="cs"/>
                <w:rtl/>
                <w:lang w:bidi="ar-EG"/>
              </w:rPr>
              <w:t xml:space="preserve"> </w:t>
            </w:r>
            <w:r>
              <w:rPr>
                <w:rFonts w:cs="Times New Roman Bold"/>
              </w:rPr>
              <w:t>←</w:t>
            </w:r>
          </w:p>
        </w:tc>
        <w:tc>
          <w:tcPr>
            <w:tcW w:w="2197" w:type="dxa"/>
            <w:gridSpan w:val="2"/>
            <w:tcBorders>
              <w:top w:val="single" w:sz="6" w:space="0" w:color="auto"/>
              <w:left w:val="single" w:sz="6" w:space="0" w:color="auto"/>
              <w:bottom w:val="single" w:sz="6" w:space="0" w:color="auto"/>
              <w:right w:val="single" w:sz="6" w:space="0" w:color="auto"/>
            </w:tcBorders>
            <w:vAlign w:val="center"/>
          </w:tcPr>
          <w:p w:rsidR="00672B2D" w:rsidRPr="001E199F" w:rsidRDefault="003E418B" w:rsidP="003E418B">
            <w:pPr>
              <w:pStyle w:val="Tablehead"/>
            </w:pPr>
            <w:r>
              <w:t>2</w:t>
            </w:r>
            <w:r w:rsidR="00672B2D">
              <w:t>/</w:t>
            </w:r>
            <w:r>
              <w:t>15</w:t>
            </w:r>
          </w:p>
        </w:tc>
        <w:tc>
          <w:tcPr>
            <w:tcW w:w="2198" w:type="dxa"/>
            <w:gridSpan w:val="2"/>
            <w:tcBorders>
              <w:top w:val="single" w:sz="6" w:space="0" w:color="auto"/>
              <w:left w:val="single" w:sz="6" w:space="0" w:color="auto"/>
              <w:bottom w:val="single" w:sz="6" w:space="0" w:color="auto"/>
              <w:right w:val="single" w:sz="6" w:space="0" w:color="auto"/>
            </w:tcBorders>
          </w:tcPr>
          <w:p w:rsidR="00672B2D" w:rsidRPr="001E199F" w:rsidRDefault="00672B2D" w:rsidP="003E418B">
            <w:pPr>
              <w:pStyle w:val="Tablehead"/>
            </w:pPr>
            <w:r>
              <w:t>1</w:t>
            </w:r>
            <w:r w:rsidR="003E418B">
              <w:t>3</w:t>
            </w:r>
            <w:r>
              <w:t>/1</w:t>
            </w:r>
            <w:r w:rsidR="003E418B">
              <w:t>5</w:t>
            </w:r>
          </w:p>
        </w:tc>
      </w:tr>
      <w:tr w:rsidR="00672B2D" w:rsidRPr="0042636D" w:rsidTr="00986B16">
        <w:trPr>
          <w:cantSplit/>
          <w:jc w:val="center"/>
        </w:trPr>
        <w:tc>
          <w:tcPr>
            <w:tcW w:w="1985" w:type="dxa"/>
            <w:vMerge w:val="restart"/>
            <w:tcBorders>
              <w:top w:val="single" w:sz="6" w:space="0" w:color="auto"/>
              <w:left w:val="single" w:sz="6" w:space="0" w:color="auto"/>
              <w:right w:val="single" w:sz="6" w:space="0" w:color="auto"/>
            </w:tcBorders>
          </w:tcPr>
          <w:p w:rsidR="00672B2D" w:rsidRPr="001E199F" w:rsidRDefault="00672B2D" w:rsidP="00A0046C">
            <w:pPr>
              <w:pStyle w:val="Tabletext"/>
              <w:keepNext/>
              <w:keepLines/>
              <w:rPr>
                <w:rtl/>
                <w:lang w:bidi="ar-EG"/>
              </w:rPr>
            </w:pPr>
            <w:r>
              <w:rPr>
                <w:rFonts w:hint="cs"/>
                <w:rtl/>
              </w:rPr>
              <w:t>وصلة من الأرض إلى</w:t>
            </w:r>
            <w:r>
              <w:rPr>
                <w:rFonts w:hint="eastAsia"/>
                <w:rtl/>
              </w:rPr>
              <w:t> </w:t>
            </w:r>
            <w:r>
              <w:rPr>
                <w:rFonts w:hint="cs"/>
                <w:rtl/>
              </w:rPr>
              <w:t>ساتل</w:t>
            </w:r>
            <w:r>
              <w:rPr>
                <w:rFonts w:hint="eastAsia"/>
                <w:rtl/>
              </w:rPr>
              <w:t> </w:t>
            </w:r>
            <w:r>
              <w:t>DRS</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 xml:space="preserve">الهامش عند ساتل </w:t>
            </w:r>
            <w:r>
              <w:t>DRS</w:t>
            </w:r>
            <w:r w:rsidRPr="00EB7BBD">
              <w:rPr>
                <w:rFonts w:hint="cs"/>
                <w:rtl/>
              </w:rPr>
              <w:t xml:space="preserve"> </w:t>
            </w:r>
            <w:r>
              <w:rPr>
                <w:rFonts w:hint="cs"/>
                <w:rtl/>
                <w:lang w:bidi="ar-EG"/>
              </w:rPr>
              <w:t>نمطي</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3</w:t>
            </w:r>
            <w:r w:rsidRPr="000A1566">
              <w:t>5,0</w:t>
            </w:r>
            <w:r>
              <w:t>4</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3</w:t>
            </w:r>
            <w:r w:rsidRPr="000A1566">
              <w:t>5,0</w:t>
            </w:r>
            <w:r>
              <w:t>4</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2</w:t>
            </w:r>
            <w:r w:rsidRPr="000A1566">
              <w:t>3,6</w:t>
            </w:r>
            <w:r>
              <w:t>3</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2</w:t>
            </w:r>
            <w:r w:rsidRPr="000A1566">
              <w:t>3,6</w:t>
            </w:r>
            <w:r>
              <w:t>3</w:t>
            </w:r>
          </w:p>
        </w:tc>
      </w:tr>
      <w:tr w:rsidR="00672B2D" w:rsidRPr="0042636D" w:rsidTr="00986B16">
        <w:trPr>
          <w:cantSplit/>
          <w:jc w:val="center"/>
        </w:trPr>
        <w:tc>
          <w:tcPr>
            <w:tcW w:w="1985" w:type="dxa"/>
            <w:vMerge/>
            <w:tcBorders>
              <w:left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0,0</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1,0</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0,0</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1,0</w:t>
            </w:r>
            <w:r>
              <w:t>0</w:t>
            </w:r>
          </w:p>
        </w:tc>
      </w:tr>
      <w:tr w:rsidR="00672B2D" w:rsidRPr="0042636D" w:rsidTr="00986B16">
        <w:trPr>
          <w:cantSplit/>
          <w:jc w:val="center"/>
        </w:trPr>
        <w:tc>
          <w:tcPr>
            <w:tcW w:w="1985" w:type="dxa"/>
            <w:vMerge/>
            <w:tcBorders>
              <w:left w:val="single" w:sz="6" w:space="0" w:color="auto"/>
              <w:bottom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3A22E5">
            <w:pPr>
              <w:pStyle w:val="Tabletext"/>
              <w:rPr>
                <w:lang w:bidi="ar-EG"/>
              </w:rPr>
            </w:pPr>
            <w:r>
              <w:rPr>
                <w:rFonts w:hint="cs"/>
                <w:rtl/>
              </w:rPr>
              <w:t xml:space="preserve">الهامش عند ساتل </w:t>
            </w:r>
            <w:r>
              <w:t>DRS</w:t>
            </w:r>
            <w:r>
              <w:rPr>
                <w:rFonts w:hint="cs"/>
                <w:rtl/>
                <w:lang w:bidi="ar-EG"/>
              </w:rPr>
              <w:t xml:space="preserve"> نمطي</w:t>
            </w:r>
            <w:r w:rsidR="00CF2A88">
              <w:rPr>
                <w:rFonts w:hint="cs"/>
                <w:rtl/>
                <w:lang w:bidi="ar-EG"/>
              </w:rPr>
              <w:t xml:space="preserve"> </w:t>
            </w:r>
            <w:r>
              <w:rPr>
                <w:rFonts w:hint="cs"/>
                <w:rtl/>
                <w:lang w:bidi="ar-EG"/>
              </w:rPr>
              <w:t>بعد</w:t>
            </w:r>
            <w:r w:rsidR="00CF2A88">
              <w:rPr>
                <w:rFonts w:hint="eastAsia"/>
                <w:rtl/>
                <w:lang w:bidi="ar-EG"/>
              </w:rPr>
              <w:t> </w:t>
            </w:r>
            <w:r>
              <w:rPr>
                <w:rFonts w:hint="cs"/>
                <w:rtl/>
                <w:lang w:bidi="ar-EG"/>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3</w:t>
            </w:r>
            <w:r w:rsidRPr="000A1566">
              <w:t>5,0</w:t>
            </w:r>
            <w:r>
              <w:t>4</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3</w:t>
            </w:r>
            <w:r w:rsidRPr="000A1566">
              <w:t>4,0</w:t>
            </w:r>
            <w:r>
              <w:t>4</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2</w:t>
            </w:r>
            <w:r w:rsidRPr="000A1566">
              <w:t>3,6</w:t>
            </w:r>
            <w:r>
              <w:t>3</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t>2</w:t>
            </w:r>
            <w:r w:rsidRPr="000A1566">
              <w:t>2,6</w:t>
            </w:r>
            <w:r>
              <w:t>3</w:t>
            </w:r>
          </w:p>
        </w:tc>
      </w:tr>
      <w:tr w:rsidR="00672B2D" w:rsidRPr="0042636D" w:rsidTr="00986B16">
        <w:trPr>
          <w:cantSplit/>
          <w:jc w:val="center"/>
        </w:trPr>
        <w:tc>
          <w:tcPr>
            <w:tcW w:w="1985" w:type="dxa"/>
            <w:vMerge w:val="restart"/>
            <w:tcBorders>
              <w:top w:val="single" w:sz="6" w:space="0" w:color="auto"/>
              <w:left w:val="single" w:sz="6" w:space="0" w:color="auto"/>
              <w:right w:val="single" w:sz="6" w:space="0" w:color="auto"/>
            </w:tcBorders>
          </w:tcPr>
          <w:p w:rsidR="00672B2D" w:rsidRPr="001E199F" w:rsidRDefault="00672B2D" w:rsidP="00672B2D">
            <w:pPr>
              <w:pStyle w:val="Tabletext"/>
              <w:keepNext/>
              <w:keepLines/>
            </w:pPr>
            <w:r>
              <w:rPr>
                <w:rFonts w:hint="cs"/>
                <w:rtl/>
              </w:rPr>
              <w:t xml:space="preserve">وصلة من ساتل </w:t>
            </w:r>
            <w:r>
              <w:t>DRS</w:t>
            </w:r>
            <w:r>
              <w:rPr>
                <w:rFonts w:hint="cs"/>
                <w:rtl/>
              </w:rPr>
              <w:t xml:space="preserve"> إلى</w:t>
            </w:r>
            <w:r>
              <w:rPr>
                <w:rFonts w:hint="eastAsia"/>
                <w:rtl/>
              </w:rPr>
              <w:t> </w:t>
            </w:r>
            <w:r>
              <w:rPr>
                <w:rFonts w:hint="cs"/>
                <w:rtl/>
              </w:rPr>
              <w:t xml:space="preserve">المستعمل </w:t>
            </w: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 xml:space="preserve">الهامش عند </w:t>
            </w:r>
            <w:r w:rsidRPr="007D589F">
              <w:rPr>
                <w:rFonts w:hint="cs"/>
                <w:rtl/>
              </w:rPr>
              <w:t>المستعمل</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3,9</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3,9</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3,5</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3,5</w:t>
            </w:r>
            <w:r>
              <w:t>0</w:t>
            </w:r>
          </w:p>
        </w:tc>
      </w:tr>
      <w:tr w:rsidR="00672B2D" w:rsidRPr="0042636D" w:rsidTr="00986B16">
        <w:trPr>
          <w:cantSplit/>
          <w:jc w:val="center"/>
        </w:trPr>
        <w:tc>
          <w:tcPr>
            <w:tcW w:w="1985" w:type="dxa"/>
            <w:vMerge/>
            <w:tcBorders>
              <w:left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672B2D">
            <w:pPr>
              <w:pStyle w:val="Tabletext"/>
              <w:rPr>
                <w:lang w:bidi="ar-EG"/>
              </w:rPr>
            </w:pPr>
            <w:r>
              <w:rPr>
                <w:rFonts w:hint="cs"/>
                <w:rtl/>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0,4</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0,0</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0,4</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0,0</w:t>
            </w:r>
            <w:r>
              <w:t>0</w:t>
            </w:r>
          </w:p>
        </w:tc>
      </w:tr>
      <w:tr w:rsidR="00672B2D" w:rsidRPr="0042636D" w:rsidTr="00986B16">
        <w:trPr>
          <w:cantSplit/>
          <w:jc w:val="center"/>
        </w:trPr>
        <w:tc>
          <w:tcPr>
            <w:tcW w:w="1985" w:type="dxa"/>
            <w:vMerge/>
            <w:tcBorders>
              <w:left w:val="single" w:sz="6" w:space="0" w:color="auto"/>
              <w:bottom w:val="single" w:sz="6" w:space="0" w:color="auto"/>
              <w:right w:val="single" w:sz="6" w:space="0" w:color="auto"/>
            </w:tcBorders>
          </w:tcPr>
          <w:p w:rsidR="00672B2D" w:rsidRPr="0042636D" w:rsidRDefault="00672B2D"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672B2D" w:rsidRPr="001E199F" w:rsidRDefault="00672B2D" w:rsidP="003A22E5">
            <w:pPr>
              <w:pStyle w:val="Tabletext"/>
              <w:rPr>
                <w:lang w:bidi="ar-EG"/>
              </w:rPr>
            </w:pPr>
            <w:r>
              <w:rPr>
                <w:rFonts w:hint="cs"/>
                <w:rtl/>
              </w:rPr>
              <w:t xml:space="preserve">الهامش عند </w:t>
            </w:r>
            <w:r w:rsidRPr="007D589F">
              <w:rPr>
                <w:rFonts w:hint="cs"/>
                <w:rtl/>
              </w:rPr>
              <w:t>المستعمل</w:t>
            </w:r>
            <w:r>
              <w:rPr>
                <w:rFonts w:hint="cs"/>
                <w:rtl/>
                <w:lang w:bidi="ar-EG"/>
              </w:rPr>
              <w:t xml:space="preserve"> بعد</w:t>
            </w:r>
            <w:r>
              <w:rPr>
                <w:rFonts w:hint="eastAsia"/>
                <w:rtl/>
                <w:lang w:bidi="ar-EG"/>
              </w:rPr>
              <w:t> </w:t>
            </w:r>
            <w:r>
              <w:rPr>
                <w:rFonts w:hint="cs"/>
                <w:rtl/>
                <w:lang w:bidi="ar-EG"/>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3,5</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3,9</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3,1</w:t>
            </w:r>
            <w:r>
              <w:t>0</w:t>
            </w:r>
          </w:p>
        </w:tc>
        <w:tc>
          <w:tcPr>
            <w:tcW w:w="1099" w:type="dxa"/>
            <w:tcBorders>
              <w:top w:val="single" w:sz="6" w:space="0" w:color="auto"/>
              <w:left w:val="single" w:sz="6" w:space="0" w:color="auto"/>
              <w:bottom w:val="single" w:sz="6" w:space="0" w:color="auto"/>
              <w:right w:val="single" w:sz="6" w:space="0" w:color="auto"/>
            </w:tcBorders>
          </w:tcPr>
          <w:p w:rsidR="00672B2D" w:rsidRDefault="00672B2D" w:rsidP="003716A5">
            <w:pPr>
              <w:pStyle w:val="Tabletext"/>
              <w:jc w:val="center"/>
            </w:pPr>
            <w:r w:rsidRPr="000A1566">
              <w:t>3,5</w:t>
            </w:r>
            <w:r>
              <w:t>0</w:t>
            </w:r>
          </w:p>
        </w:tc>
      </w:tr>
      <w:tr w:rsidR="00A0046C" w:rsidRPr="0042636D" w:rsidTr="00986B16">
        <w:trPr>
          <w:cantSplit/>
          <w:jc w:val="center"/>
        </w:trPr>
        <w:tc>
          <w:tcPr>
            <w:tcW w:w="1985" w:type="dxa"/>
            <w:vMerge w:val="restart"/>
            <w:tcBorders>
              <w:top w:val="single" w:sz="6" w:space="0" w:color="auto"/>
              <w:left w:val="single" w:sz="6" w:space="0" w:color="auto"/>
              <w:right w:val="single" w:sz="6" w:space="0" w:color="auto"/>
            </w:tcBorders>
          </w:tcPr>
          <w:p w:rsidR="00A0046C" w:rsidRPr="0042636D" w:rsidRDefault="00A0046C" w:rsidP="00672B2D">
            <w:pPr>
              <w:pStyle w:val="Tabletext"/>
            </w:pPr>
            <w:r>
              <w:rPr>
                <w:rFonts w:hint="cs"/>
                <w:rtl/>
              </w:rPr>
              <w:t>وصلة من طرف إلى طرف</w:t>
            </w:r>
          </w:p>
        </w:tc>
        <w:tc>
          <w:tcPr>
            <w:tcW w:w="3259" w:type="dxa"/>
            <w:tcBorders>
              <w:top w:val="single" w:sz="6" w:space="0" w:color="auto"/>
              <w:left w:val="single" w:sz="6" w:space="0" w:color="auto"/>
              <w:bottom w:val="single" w:sz="6" w:space="0" w:color="auto"/>
              <w:right w:val="single" w:sz="6" w:space="0" w:color="auto"/>
            </w:tcBorders>
            <w:vAlign w:val="center"/>
          </w:tcPr>
          <w:p w:rsidR="00A0046C" w:rsidRPr="0042636D" w:rsidRDefault="00A0046C" w:rsidP="00672B2D">
            <w:pPr>
              <w:pStyle w:val="Tabletext"/>
            </w:pPr>
            <w:r>
              <w:rPr>
                <w:rFonts w:hint="cs"/>
                <w:rtl/>
              </w:rPr>
              <w:t>الهامش الإجمالي</w:t>
            </w:r>
            <w:r>
              <w:rPr>
                <w:rFonts w:hint="cs"/>
                <w:rtl/>
                <w:lang w:bidi="ar-EG"/>
              </w:rPr>
              <w:t xml:space="preserve"> </w:t>
            </w:r>
            <w:r>
              <w:t>(dB)</w:t>
            </w:r>
          </w:p>
        </w:tc>
        <w:tc>
          <w:tcPr>
            <w:tcW w:w="1098"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3,9</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3,9</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3,4</w:t>
            </w:r>
            <w:r>
              <w:t>6</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3,4</w:t>
            </w:r>
            <w:r>
              <w:t>6</w:t>
            </w:r>
          </w:p>
        </w:tc>
      </w:tr>
      <w:tr w:rsidR="00A0046C" w:rsidRPr="0042636D" w:rsidTr="00986B16">
        <w:trPr>
          <w:cantSplit/>
          <w:jc w:val="center"/>
        </w:trPr>
        <w:tc>
          <w:tcPr>
            <w:tcW w:w="1985" w:type="dxa"/>
            <w:vMerge/>
            <w:tcBorders>
              <w:left w:val="single" w:sz="6" w:space="0" w:color="auto"/>
              <w:right w:val="single" w:sz="6" w:space="0" w:color="auto"/>
            </w:tcBorders>
          </w:tcPr>
          <w:p w:rsidR="00A0046C" w:rsidRPr="0042636D" w:rsidRDefault="00A0046C"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A0046C" w:rsidRPr="001E199F" w:rsidRDefault="00A0046C" w:rsidP="00672B2D">
            <w:pPr>
              <w:pStyle w:val="Tabletext"/>
              <w:rPr>
                <w:lang w:bidi="ar-EG"/>
              </w:rPr>
            </w:pPr>
            <w:r>
              <w:rPr>
                <w:rFonts w:hint="cs"/>
                <w:rtl/>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0,4</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0,0</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0,4</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0,0</w:t>
            </w:r>
            <w:r>
              <w:t>1</w:t>
            </w:r>
          </w:p>
        </w:tc>
      </w:tr>
      <w:tr w:rsidR="00A0046C" w:rsidRPr="0042636D" w:rsidTr="00986B16">
        <w:trPr>
          <w:cantSplit/>
          <w:jc w:val="center"/>
        </w:trPr>
        <w:tc>
          <w:tcPr>
            <w:tcW w:w="1985" w:type="dxa"/>
            <w:vMerge/>
            <w:tcBorders>
              <w:left w:val="single" w:sz="6" w:space="0" w:color="auto"/>
              <w:bottom w:val="single" w:sz="6" w:space="0" w:color="auto"/>
              <w:right w:val="single" w:sz="6" w:space="0" w:color="auto"/>
            </w:tcBorders>
          </w:tcPr>
          <w:p w:rsidR="00A0046C" w:rsidRPr="0042636D" w:rsidRDefault="00A0046C" w:rsidP="00672B2D">
            <w:pPr>
              <w:pStyle w:val="Tabletext"/>
            </w:pPr>
          </w:p>
        </w:tc>
        <w:tc>
          <w:tcPr>
            <w:tcW w:w="3259" w:type="dxa"/>
            <w:tcBorders>
              <w:top w:val="single" w:sz="6" w:space="0" w:color="auto"/>
              <w:left w:val="single" w:sz="6" w:space="0" w:color="auto"/>
              <w:bottom w:val="single" w:sz="6" w:space="0" w:color="auto"/>
              <w:right w:val="single" w:sz="6" w:space="0" w:color="auto"/>
            </w:tcBorders>
            <w:vAlign w:val="center"/>
          </w:tcPr>
          <w:p w:rsidR="00A0046C" w:rsidRPr="001E199F" w:rsidRDefault="00A0046C" w:rsidP="003A22E5">
            <w:pPr>
              <w:pStyle w:val="Tabletext"/>
              <w:rPr>
                <w:lang w:bidi="ar-EG"/>
              </w:rPr>
            </w:pPr>
            <w:r>
              <w:rPr>
                <w:rFonts w:hint="cs"/>
                <w:rtl/>
              </w:rPr>
              <w:t>الهامش الإجمالي</w:t>
            </w:r>
            <w:r>
              <w:rPr>
                <w:rFonts w:hint="cs"/>
                <w:rtl/>
                <w:lang w:bidi="ar-EG"/>
              </w:rPr>
              <w:t xml:space="preserve"> بعد</w:t>
            </w:r>
            <w:r>
              <w:rPr>
                <w:rFonts w:hint="eastAsia"/>
                <w:rtl/>
                <w:lang w:bidi="ar-EG"/>
              </w:rPr>
              <w:t> </w:t>
            </w:r>
            <w:r>
              <w:rPr>
                <w:rFonts w:hint="cs"/>
                <w:rtl/>
                <w:lang w:bidi="ar-EG"/>
              </w:rPr>
              <w:t>الانحطاط</w:t>
            </w:r>
            <w:r>
              <w:rPr>
                <w:rFonts w:hint="eastAsia"/>
                <w:rtl/>
                <w:lang w:bidi="ar-EG"/>
              </w:rPr>
              <w:t> </w:t>
            </w:r>
            <w:r>
              <w:rPr>
                <w:lang w:bidi="ar-EG"/>
              </w:rPr>
              <w:t>(dB)</w:t>
            </w:r>
          </w:p>
        </w:tc>
        <w:tc>
          <w:tcPr>
            <w:tcW w:w="1098"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3,5</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3,9</w:t>
            </w:r>
            <w:r>
              <w:t>0</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3,0</w:t>
            </w:r>
            <w:r>
              <w:t>6</w:t>
            </w:r>
          </w:p>
        </w:tc>
        <w:tc>
          <w:tcPr>
            <w:tcW w:w="1099" w:type="dxa"/>
            <w:tcBorders>
              <w:top w:val="single" w:sz="6" w:space="0" w:color="auto"/>
              <w:left w:val="single" w:sz="6" w:space="0" w:color="auto"/>
              <w:bottom w:val="single" w:sz="6" w:space="0" w:color="auto"/>
              <w:right w:val="single" w:sz="6" w:space="0" w:color="auto"/>
            </w:tcBorders>
          </w:tcPr>
          <w:p w:rsidR="00A0046C" w:rsidRDefault="00A0046C" w:rsidP="003716A5">
            <w:pPr>
              <w:pStyle w:val="Tabletext"/>
              <w:jc w:val="center"/>
            </w:pPr>
            <w:r w:rsidRPr="000A1566">
              <w:t>3,4</w:t>
            </w:r>
            <w:r>
              <w:t>5</w:t>
            </w:r>
          </w:p>
        </w:tc>
      </w:tr>
    </w:tbl>
    <w:p w:rsidR="009F302A" w:rsidRPr="009F302A" w:rsidRDefault="009F302A" w:rsidP="009F302A">
      <w:pPr>
        <w:spacing w:before="600"/>
        <w:jc w:val="center"/>
        <w:rPr>
          <w:rtl/>
          <w:lang w:eastAsia="en-US" w:bidi="ar-EG"/>
        </w:rPr>
      </w:pPr>
      <w:r>
        <w:rPr>
          <w:rFonts w:hint="cs"/>
          <w:rtl/>
          <w:lang w:eastAsia="en-US" w:bidi="ar-EG"/>
        </w:rPr>
        <w:t>___________</w:t>
      </w:r>
    </w:p>
    <w:sectPr w:rsidR="009F302A" w:rsidRPr="009F302A" w:rsidSect="00CA3A0D">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5FB" w:rsidRDefault="007C25FB">
      <w:r>
        <w:separator/>
      </w:r>
    </w:p>
  </w:endnote>
  <w:endnote w:type="continuationSeparator" w:id="0">
    <w:p w:rsidR="007C25FB" w:rsidRDefault="007C2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Default="000935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Pr="005E066B" w:rsidRDefault="000935B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Pr="002E6ECC" w:rsidRDefault="000935B9">
    <w:pPr>
      <w:pStyle w:val="Footer"/>
      <w:rPr>
        <w:lang w:val="fr-FR"/>
      </w:rPr>
    </w:pPr>
    <w:r>
      <w:fldChar w:fldCharType="begin"/>
    </w:r>
    <w:r w:rsidRPr="002E6ECC">
      <w:rPr>
        <w:lang w:val="fr-FR"/>
      </w:rPr>
      <w:instrText xml:space="preserve"> FILENAME \p \* MERGEFORMAT </w:instrText>
    </w:r>
    <w:r>
      <w:fldChar w:fldCharType="separate"/>
    </w:r>
    <w:r w:rsidR="007E7447">
      <w:rPr>
        <w:lang w:val="fr-FR"/>
      </w:rPr>
      <w:t>P:\QPUB\BR\REC\SA\1155-2\SA1155-2-A.docx</w:t>
    </w:r>
    <w:r>
      <w:fldChar w:fldCharType="end"/>
    </w:r>
    <w:r w:rsidRPr="002E6ECC">
      <w:rPr>
        <w:lang w:val="fr-FR"/>
      </w:rPr>
      <w:tab/>
    </w:r>
    <w:r>
      <w:fldChar w:fldCharType="begin"/>
    </w:r>
    <w:r>
      <w:instrText xml:space="preserve"> savedate \@ dd.MM.yy </w:instrText>
    </w:r>
    <w:r>
      <w:fldChar w:fldCharType="separate"/>
    </w:r>
    <w:r w:rsidR="007E7447">
      <w:t>27.08.18</w:t>
    </w:r>
    <w:r>
      <w:fldChar w:fldCharType="end"/>
    </w:r>
    <w:r w:rsidRPr="002E6ECC">
      <w:rPr>
        <w:lang w:val="fr-FR"/>
      </w:rPr>
      <w:tab/>
    </w:r>
    <w:r>
      <w:fldChar w:fldCharType="begin"/>
    </w:r>
    <w:r>
      <w:instrText xml:space="preserve"> printdate \@ dd.MM.yy </w:instrText>
    </w:r>
    <w:r>
      <w:fldChar w:fldCharType="separate"/>
    </w:r>
    <w:r w:rsidR="007E7447">
      <w:t>27.08.18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5FB" w:rsidRDefault="007C25FB" w:rsidP="00E1601B">
      <w:pPr>
        <w:spacing w:line="240" w:lineRule="auto"/>
      </w:pPr>
      <w:r>
        <w:t>____________________</w:t>
      </w:r>
    </w:p>
  </w:footnote>
  <w:footnote w:type="continuationSeparator" w:id="0">
    <w:p w:rsidR="007C25FB" w:rsidRDefault="007C25FB">
      <w:r>
        <w:continuationSeparator/>
      </w:r>
    </w:p>
  </w:footnote>
  <w:footnote w:id="1">
    <w:p w:rsidR="0088747E" w:rsidRPr="00C65243" w:rsidRDefault="00E60DB1" w:rsidP="00C65243">
      <w:pPr>
        <w:pStyle w:val="FootnoteText"/>
        <w:tabs>
          <w:tab w:val="clear" w:pos="425"/>
        </w:tabs>
        <w:spacing w:before="120" w:line="192" w:lineRule="auto"/>
        <w:ind w:left="454" w:hanging="454"/>
        <w:rPr>
          <w:rFonts w:ascii="Times New Roman." w:eastAsia="SimSun" w:hAnsi="Times New Roman." w:hint="eastAsia"/>
          <w:rtl/>
        </w:rPr>
      </w:pPr>
      <w:r w:rsidRPr="00C65243">
        <w:rPr>
          <w:rStyle w:val="FootnoteReference"/>
          <w:rtl/>
        </w:rPr>
        <w:t>*</w:t>
      </w:r>
      <w:r w:rsidRPr="00C65243">
        <w:rPr>
          <w:rFonts w:ascii="Times New Roman." w:eastAsia="SimSun" w:hAnsi="Times New Roman."/>
          <w:rtl/>
        </w:rPr>
        <w:tab/>
      </w:r>
      <w:r w:rsidR="00C65243" w:rsidRPr="00C65243">
        <w:rPr>
          <w:rFonts w:ascii="Times New Roman." w:eastAsia="SimSun" w:hAnsi="Times New Roman."/>
          <w:rtl/>
        </w:rPr>
        <w:t xml:space="preserve">ينبغي رفع هذه التوصية إلى عناية لجنتي الدراسات </w:t>
      </w:r>
      <w:r w:rsidR="00C65243" w:rsidRPr="00C65243">
        <w:rPr>
          <w:rFonts w:ascii="Times New Roman." w:eastAsia="SimSun" w:hAnsi="Times New Roman."/>
        </w:rPr>
        <w:t>4</w:t>
      </w:r>
      <w:r w:rsidR="00C65243" w:rsidRPr="00C65243">
        <w:rPr>
          <w:rFonts w:ascii="Times New Roman." w:eastAsia="SimSun" w:hAnsi="Times New Roman."/>
          <w:rtl/>
        </w:rPr>
        <w:t xml:space="preserve"> و</w:t>
      </w:r>
      <w:r w:rsidR="00C65243" w:rsidRPr="00C65243">
        <w:rPr>
          <w:rFonts w:ascii="Times New Roman." w:eastAsia="SimSun" w:hAnsi="Times New Roman."/>
        </w:rPr>
        <w:t>5</w:t>
      </w:r>
      <w:r w:rsidR="00C65243" w:rsidRPr="00C65243">
        <w:rPr>
          <w:rFonts w:ascii="Times New Roman." w:eastAsia="SimSun" w:hAnsi="Times New Roman."/>
          <w:rtl/>
        </w:rPr>
        <w:t xml:space="preserve"> للاتصالات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Pr="003D017C" w:rsidRDefault="000935B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Default="000935B9">
    <w:pPr>
      <w:pStyle w:val="Header"/>
    </w:pPr>
    <w:r>
      <w:rPr>
        <w:noProof/>
        <w:lang w:val="en-GB"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Pr="003D017C" w:rsidRDefault="000935B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60DB1">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Pr="003D017C" w:rsidRDefault="000935B9" w:rsidP="00E16062">
    <w:pPr>
      <w:pStyle w:val="Header"/>
      <w:tabs>
        <w:tab w:val="center" w:pos="4819"/>
      </w:tabs>
      <w:jc w:val="both"/>
      <w:rPr>
        <w:b w:val="0"/>
        <w:bCs w:val="0"/>
        <w:lang w:bidi="ar-EG"/>
      </w:rPr>
    </w:pPr>
    <w:r>
      <w:fldChar w:fldCharType="begin"/>
    </w:r>
    <w:r>
      <w:instrText xml:space="preserve"> PAGE   \* MERGEFORMAT </w:instrText>
    </w:r>
    <w:r>
      <w:fldChar w:fldCharType="separate"/>
    </w:r>
    <w:r w:rsidR="00E60DB1">
      <w:rPr>
        <w:noProof/>
      </w:rPr>
      <w:t>iii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B1" w:rsidRPr="00AE3E36" w:rsidRDefault="00E60DB1" w:rsidP="00684B1D">
    <w:pPr>
      <w:tabs>
        <w:tab w:val="center" w:pos="4819"/>
        <w:tab w:val="right" w:pos="9639"/>
      </w:tabs>
      <w:spacing w:before="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E7447">
      <w:rPr>
        <w:rFonts w:cs="Times New Roman"/>
        <w:b/>
        <w:bCs/>
        <w:noProof/>
        <w:szCs w:val="22"/>
      </w:rPr>
      <w:t>ii</w:t>
    </w:r>
    <w:r w:rsidRPr="00831BA4">
      <w:rPr>
        <w:rFonts w:cs="Times New Roman"/>
        <w:b/>
        <w:bCs/>
        <w:noProof/>
        <w:szCs w:val="22"/>
      </w:rPr>
      <w:fldChar w:fldCharType="end"/>
    </w:r>
    <w:r w:rsidRPr="00AE3E36">
      <w:rPr>
        <w:rFonts w:ascii="Times New Roman Bold" w:hAnsi="Times New Roman Bold"/>
        <w:b/>
        <w:bCs/>
        <w:rtl/>
        <w:lang w:bidi="ar-EG"/>
      </w:rPr>
      <w:tab/>
    </w:r>
    <w:proofErr w:type="gramStart"/>
    <w:r w:rsidRPr="00831BA4">
      <w:rPr>
        <w:rFonts w:ascii="Times New Roman Bold" w:hAnsi="Times New Roman Bold"/>
        <w:b/>
        <w:bCs/>
        <w:rtl/>
      </w:rPr>
      <w:t>التوصية</w:t>
    </w:r>
    <w:r w:rsidRPr="00831BA4">
      <w:rPr>
        <w:rFonts w:ascii="Times New Roman Bold" w:hAnsi="Times New Roman Bold" w:hint="cs"/>
        <w:b/>
        <w:bCs/>
        <w:rtl/>
      </w:rPr>
      <w:t xml:space="preserve"> </w:t>
    </w:r>
    <w:r w:rsidRPr="00831BA4">
      <w:rPr>
        <w:rFonts w:ascii="Times New Roman Bold" w:hAnsi="Times New Roman Bold"/>
        <w:b/>
        <w:bCs/>
        <w:rtl/>
      </w:rPr>
      <w:t xml:space="preserve"> </w:t>
    </w:r>
    <w:r w:rsidRPr="00E60DB1">
      <w:rPr>
        <w:rFonts w:ascii="Times New Roman Bold" w:hAnsi="Times New Roman Bold"/>
        <w:b/>
        <w:bCs/>
      </w:rPr>
      <w:t>ITU</w:t>
    </w:r>
    <w:proofErr w:type="gramEnd"/>
    <w:r w:rsidRPr="00E60DB1">
      <w:rPr>
        <w:rFonts w:ascii="Times New Roman Bold" w:hAnsi="Times New Roman Bold"/>
        <w:b/>
        <w:bCs/>
      </w:rPr>
      <w:t>-R  SA.1155-</w:t>
    </w:r>
    <w:r w:rsidR="00684B1D">
      <w:rPr>
        <w:rFonts w:ascii="Times New Roman Bold" w:hAnsi="Times New Roman Bold"/>
        <w:b/>
        <w:bCs/>
      </w:rPr>
      <w:t>2</w:t>
    </w:r>
    <w:r w:rsidRPr="00831BA4">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B1" w:rsidRPr="00AE3E36" w:rsidRDefault="00E60DB1" w:rsidP="00684B1D">
    <w:pPr>
      <w:tabs>
        <w:tab w:val="center" w:pos="4819"/>
        <w:tab w:val="right" w:pos="9639"/>
      </w:tabs>
      <w:spacing w:before="0" w:line="300" w:lineRule="exact"/>
      <w:jc w:val="left"/>
      <w:rPr>
        <w:rFonts w:ascii="Times New Roman Bold" w:hAnsi="Times New Roman Bold"/>
        <w:b/>
        <w:bCs/>
        <w:rtl/>
        <w:lang w:bidi="ar-EG"/>
      </w:rPr>
    </w:pPr>
    <w:r w:rsidRPr="00E60DB1">
      <w:rPr>
        <w:rFonts w:cs="Times New Roman"/>
        <w:b/>
        <w:bCs/>
        <w:szCs w:val="22"/>
      </w:rPr>
      <w:fldChar w:fldCharType="begin"/>
    </w:r>
    <w:r w:rsidRPr="00E60DB1">
      <w:rPr>
        <w:rFonts w:cs="Times New Roman"/>
        <w:b/>
        <w:bCs/>
        <w:szCs w:val="22"/>
      </w:rPr>
      <w:instrText xml:space="preserve"> PAGE   \* MERGEFORMAT </w:instrText>
    </w:r>
    <w:r w:rsidRPr="00E60DB1">
      <w:rPr>
        <w:rFonts w:cs="Times New Roman"/>
        <w:b/>
        <w:bCs/>
        <w:szCs w:val="22"/>
      </w:rPr>
      <w:fldChar w:fldCharType="separate"/>
    </w:r>
    <w:r w:rsidR="007E7447">
      <w:rPr>
        <w:rFonts w:cs="Times New Roman"/>
        <w:b/>
        <w:bCs/>
        <w:noProof/>
        <w:szCs w:val="22"/>
        <w:rtl/>
      </w:rPr>
      <w:t>4</w:t>
    </w:r>
    <w:r w:rsidRPr="00E60DB1">
      <w:rPr>
        <w:rFonts w:cs="Times New Roman"/>
        <w:b/>
        <w:bCs/>
        <w:noProof/>
        <w:szCs w:val="22"/>
      </w:rPr>
      <w:fldChar w:fldCharType="end"/>
    </w:r>
    <w:r w:rsidRPr="00E60DB1">
      <w:rPr>
        <w:rFonts w:ascii="Times New Roman Bold" w:hAnsi="Times New Roman Bold"/>
        <w:b/>
        <w:bCs/>
        <w:rtl/>
        <w:lang w:bidi="ar-EG"/>
      </w:rPr>
      <w:tab/>
    </w:r>
    <w:r w:rsidRPr="00E60DB1">
      <w:rPr>
        <w:rFonts w:ascii="Times New Roman Bold" w:hAnsi="Times New Roman Bold"/>
        <w:b/>
        <w:bCs/>
        <w:rtl/>
      </w:rPr>
      <w:t>التوصية</w:t>
    </w:r>
    <w:r w:rsidRPr="00E60DB1">
      <w:rPr>
        <w:rFonts w:ascii="Times New Roman Bold" w:hAnsi="Times New Roman Bold" w:hint="cs"/>
        <w:b/>
        <w:bCs/>
        <w:rtl/>
      </w:rPr>
      <w:t xml:space="preserve"> </w:t>
    </w:r>
    <w:r w:rsidRPr="00E60DB1">
      <w:rPr>
        <w:rFonts w:ascii="Times New Roman Bold" w:hAnsi="Times New Roman Bold"/>
        <w:b/>
        <w:bCs/>
        <w:rtl/>
      </w:rPr>
      <w:t xml:space="preserve"> </w:t>
    </w:r>
    <w:r w:rsidRPr="00E60DB1">
      <w:rPr>
        <w:rFonts w:ascii="Times New Roman Bold" w:hAnsi="Times New Roman Bold"/>
        <w:b/>
        <w:bCs/>
      </w:rPr>
      <w:t>ITU-R  SA.1155-</w:t>
    </w:r>
    <w:r w:rsidR="00684B1D">
      <w:rPr>
        <w:rFonts w:ascii="Times New Roman Bold" w:hAnsi="Times New Roman Bold"/>
        <w:b/>
        <w:bCs/>
      </w:rPr>
      <w:t>2</w:t>
    </w:r>
    <w:r w:rsidRPr="00831BA4">
      <w:rPr>
        <w:rFonts w:ascii="Times New Roman Bold" w:hAnsi="Times New Roman Bold"/>
        <w:b/>
        <w:bCs/>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B1" w:rsidRPr="00AE3E36" w:rsidRDefault="00E60DB1" w:rsidP="00684B1D">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60DB1">
      <w:rPr>
        <w:rFonts w:ascii="Times New Roman Bold" w:hAnsi="Times New Roman Bold"/>
        <w:b/>
        <w:bCs/>
        <w:rtl/>
      </w:rPr>
      <w:t>التوصية</w:t>
    </w:r>
    <w:r w:rsidRPr="00E60DB1">
      <w:rPr>
        <w:rFonts w:ascii="Times New Roman Bold" w:hAnsi="Times New Roman Bold" w:hint="cs"/>
        <w:b/>
        <w:bCs/>
        <w:rtl/>
      </w:rPr>
      <w:t xml:space="preserve"> </w:t>
    </w:r>
    <w:r w:rsidRPr="00E60DB1">
      <w:rPr>
        <w:rFonts w:ascii="Times New Roman Bold" w:hAnsi="Times New Roman Bold"/>
        <w:b/>
        <w:bCs/>
        <w:rtl/>
      </w:rPr>
      <w:t xml:space="preserve"> </w:t>
    </w:r>
    <w:r w:rsidRPr="00E60DB1">
      <w:rPr>
        <w:rFonts w:ascii="Times New Roman Bold" w:hAnsi="Times New Roman Bold"/>
        <w:b/>
        <w:bCs/>
      </w:rPr>
      <w:t>ITU-R  SA.1155-</w:t>
    </w:r>
    <w:r w:rsidR="00684B1D">
      <w:rPr>
        <w:rFonts w:ascii="Times New Roman Bold" w:hAnsi="Times New Roman Bold"/>
        <w:b/>
        <w:bCs/>
      </w:rPr>
      <w:t>2</w:t>
    </w:r>
    <w:r w:rsidRPr="00E60DB1">
      <w:rPr>
        <w:rFonts w:ascii="Times New Roman Bold" w:hAnsi="Times New Roman Bold"/>
        <w:b/>
        <w:bCs/>
        <w:rtl/>
        <w:lang w:bidi="ar-EG"/>
      </w:rPr>
      <w:tab/>
    </w:r>
    <w:r w:rsidRPr="00E60DB1">
      <w:rPr>
        <w:rFonts w:cs="Times New Roman"/>
        <w:b/>
        <w:bCs/>
        <w:szCs w:val="22"/>
      </w:rPr>
      <w:fldChar w:fldCharType="begin"/>
    </w:r>
    <w:r w:rsidRPr="00E60DB1">
      <w:rPr>
        <w:rFonts w:cs="Times New Roman"/>
        <w:b/>
        <w:bCs/>
        <w:szCs w:val="22"/>
      </w:rPr>
      <w:instrText xml:space="preserve"> PAGE   \* MERGEFORMAT </w:instrText>
    </w:r>
    <w:r w:rsidRPr="00E60DB1">
      <w:rPr>
        <w:rFonts w:cs="Times New Roman"/>
        <w:b/>
        <w:bCs/>
        <w:szCs w:val="22"/>
      </w:rPr>
      <w:fldChar w:fldCharType="separate"/>
    </w:r>
    <w:r w:rsidR="007E7447">
      <w:rPr>
        <w:rFonts w:cs="Times New Roman"/>
        <w:b/>
        <w:bCs/>
        <w:noProof/>
        <w:szCs w:val="22"/>
        <w:rtl/>
      </w:rPr>
      <w:t>1</w:t>
    </w:r>
    <w:r w:rsidRPr="00E60DB1">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5B9" w:rsidRDefault="000935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521"/>
    <w:rsid w:val="00002849"/>
    <w:rsid w:val="00004474"/>
    <w:rsid w:val="00005C62"/>
    <w:rsid w:val="00011AFD"/>
    <w:rsid w:val="0002475B"/>
    <w:rsid w:val="00027907"/>
    <w:rsid w:val="000473FF"/>
    <w:rsid w:val="000522D1"/>
    <w:rsid w:val="00056EF5"/>
    <w:rsid w:val="00067954"/>
    <w:rsid w:val="00081122"/>
    <w:rsid w:val="00081898"/>
    <w:rsid w:val="000935B9"/>
    <w:rsid w:val="00096D42"/>
    <w:rsid w:val="00096F01"/>
    <w:rsid w:val="000A079C"/>
    <w:rsid w:val="000A1566"/>
    <w:rsid w:val="000B2952"/>
    <w:rsid w:val="000B30D7"/>
    <w:rsid w:val="000B4F10"/>
    <w:rsid w:val="000B5F9F"/>
    <w:rsid w:val="000C2D37"/>
    <w:rsid w:val="000E3630"/>
    <w:rsid w:val="000F312E"/>
    <w:rsid w:val="000F6D38"/>
    <w:rsid w:val="00100796"/>
    <w:rsid w:val="001048FC"/>
    <w:rsid w:val="0010789B"/>
    <w:rsid w:val="00113EE4"/>
    <w:rsid w:val="0011413D"/>
    <w:rsid w:val="001231D6"/>
    <w:rsid w:val="0013209C"/>
    <w:rsid w:val="00132731"/>
    <w:rsid w:val="00136F58"/>
    <w:rsid w:val="00140B98"/>
    <w:rsid w:val="001568ED"/>
    <w:rsid w:val="00162FBC"/>
    <w:rsid w:val="00164307"/>
    <w:rsid w:val="0017413D"/>
    <w:rsid w:val="00174247"/>
    <w:rsid w:val="00182385"/>
    <w:rsid w:val="00183CAB"/>
    <w:rsid w:val="001873DF"/>
    <w:rsid w:val="0019586F"/>
    <w:rsid w:val="00196389"/>
    <w:rsid w:val="00197749"/>
    <w:rsid w:val="001A736A"/>
    <w:rsid w:val="001B03B8"/>
    <w:rsid w:val="001B1C4A"/>
    <w:rsid w:val="001B54CA"/>
    <w:rsid w:val="001B6D8D"/>
    <w:rsid w:val="001D2146"/>
    <w:rsid w:val="001E0B6B"/>
    <w:rsid w:val="001F1A5A"/>
    <w:rsid w:val="001F23C7"/>
    <w:rsid w:val="001F5121"/>
    <w:rsid w:val="00201143"/>
    <w:rsid w:val="00202CD6"/>
    <w:rsid w:val="00206C6B"/>
    <w:rsid w:val="002137FD"/>
    <w:rsid w:val="002144CB"/>
    <w:rsid w:val="00230502"/>
    <w:rsid w:val="002434E6"/>
    <w:rsid w:val="00271843"/>
    <w:rsid w:val="0027678B"/>
    <w:rsid w:val="002971E7"/>
    <w:rsid w:val="002B261D"/>
    <w:rsid w:val="002C0F17"/>
    <w:rsid w:val="002C1FE8"/>
    <w:rsid w:val="002D16C3"/>
    <w:rsid w:val="002D3483"/>
    <w:rsid w:val="002E47D1"/>
    <w:rsid w:val="002E6ECC"/>
    <w:rsid w:val="002E7058"/>
    <w:rsid w:val="003003B7"/>
    <w:rsid w:val="00303491"/>
    <w:rsid w:val="00304728"/>
    <w:rsid w:val="0030719D"/>
    <w:rsid w:val="003114F9"/>
    <w:rsid w:val="00314E5F"/>
    <w:rsid w:val="00340205"/>
    <w:rsid w:val="00352329"/>
    <w:rsid w:val="003716A5"/>
    <w:rsid w:val="00380511"/>
    <w:rsid w:val="00393745"/>
    <w:rsid w:val="00394D6D"/>
    <w:rsid w:val="00395729"/>
    <w:rsid w:val="003A22E5"/>
    <w:rsid w:val="003D017C"/>
    <w:rsid w:val="003D2C4D"/>
    <w:rsid w:val="003D307E"/>
    <w:rsid w:val="003D40E1"/>
    <w:rsid w:val="003E418B"/>
    <w:rsid w:val="003E4C4C"/>
    <w:rsid w:val="003F15D8"/>
    <w:rsid w:val="00402F6B"/>
    <w:rsid w:val="00422D17"/>
    <w:rsid w:val="0042647B"/>
    <w:rsid w:val="0044201D"/>
    <w:rsid w:val="004459C2"/>
    <w:rsid w:val="004535D3"/>
    <w:rsid w:val="00456321"/>
    <w:rsid w:val="0048331E"/>
    <w:rsid w:val="004910A2"/>
    <w:rsid w:val="004A2E8F"/>
    <w:rsid w:val="004A588D"/>
    <w:rsid w:val="004B094A"/>
    <w:rsid w:val="004B2115"/>
    <w:rsid w:val="004C1093"/>
    <w:rsid w:val="004C4D14"/>
    <w:rsid w:val="004D64A1"/>
    <w:rsid w:val="004D79B4"/>
    <w:rsid w:val="004E1620"/>
    <w:rsid w:val="004E7D1E"/>
    <w:rsid w:val="00506547"/>
    <w:rsid w:val="00511801"/>
    <w:rsid w:val="00527EAF"/>
    <w:rsid w:val="005514CA"/>
    <w:rsid w:val="005570BF"/>
    <w:rsid w:val="0056060A"/>
    <w:rsid w:val="00562C12"/>
    <w:rsid w:val="00577803"/>
    <w:rsid w:val="005826BF"/>
    <w:rsid w:val="00584B8F"/>
    <w:rsid w:val="0059020C"/>
    <w:rsid w:val="00591053"/>
    <w:rsid w:val="005960C8"/>
    <w:rsid w:val="0059667A"/>
    <w:rsid w:val="005A018F"/>
    <w:rsid w:val="005B530B"/>
    <w:rsid w:val="005C397A"/>
    <w:rsid w:val="005C43CD"/>
    <w:rsid w:val="005D6161"/>
    <w:rsid w:val="005D6A35"/>
    <w:rsid w:val="005E066B"/>
    <w:rsid w:val="005F01A2"/>
    <w:rsid w:val="005F24EB"/>
    <w:rsid w:val="005F3E06"/>
    <w:rsid w:val="005F3FD2"/>
    <w:rsid w:val="006047E9"/>
    <w:rsid w:val="00607FA9"/>
    <w:rsid w:val="00636AA2"/>
    <w:rsid w:val="006376D9"/>
    <w:rsid w:val="006455B5"/>
    <w:rsid w:val="00667C08"/>
    <w:rsid w:val="00672B2D"/>
    <w:rsid w:val="00680CA6"/>
    <w:rsid w:val="00684B1D"/>
    <w:rsid w:val="00686ACA"/>
    <w:rsid w:val="00687FB1"/>
    <w:rsid w:val="006D2EF1"/>
    <w:rsid w:val="006F0DD4"/>
    <w:rsid w:val="00703828"/>
    <w:rsid w:val="0071366D"/>
    <w:rsid w:val="0073242F"/>
    <w:rsid w:val="007362CE"/>
    <w:rsid w:val="0075535F"/>
    <w:rsid w:val="00767C1A"/>
    <w:rsid w:val="00781F66"/>
    <w:rsid w:val="00794E1C"/>
    <w:rsid w:val="00796E2D"/>
    <w:rsid w:val="00796F0C"/>
    <w:rsid w:val="007B1739"/>
    <w:rsid w:val="007C25FB"/>
    <w:rsid w:val="007C58FE"/>
    <w:rsid w:val="007C6C44"/>
    <w:rsid w:val="007D4745"/>
    <w:rsid w:val="007D589F"/>
    <w:rsid w:val="007D7E68"/>
    <w:rsid w:val="007E7447"/>
    <w:rsid w:val="00802471"/>
    <w:rsid w:val="00802B34"/>
    <w:rsid w:val="00811188"/>
    <w:rsid w:val="008113E9"/>
    <w:rsid w:val="00815E12"/>
    <w:rsid w:val="0082328F"/>
    <w:rsid w:val="008248A4"/>
    <w:rsid w:val="0083115C"/>
    <w:rsid w:val="008374E7"/>
    <w:rsid w:val="00846C0D"/>
    <w:rsid w:val="008656C3"/>
    <w:rsid w:val="00867FF2"/>
    <w:rsid w:val="0087705A"/>
    <w:rsid w:val="0088394A"/>
    <w:rsid w:val="0088747E"/>
    <w:rsid w:val="00892201"/>
    <w:rsid w:val="00894394"/>
    <w:rsid w:val="008A4F64"/>
    <w:rsid w:val="008B3D48"/>
    <w:rsid w:val="008B76A0"/>
    <w:rsid w:val="008C4584"/>
    <w:rsid w:val="008C5CCB"/>
    <w:rsid w:val="008C6A66"/>
    <w:rsid w:val="008C733D"/>
    <w:rsid w:val="008E1B7C"/>
    <w:rsid w:val="00904910"/>
    <w:rsid w:val="00911EB0"/>
    <w:rsid w:val="00912A86"/>
    <w:rsid w:val="00925FAA"/>
    <w:rsid w:val="00930F9D"/>
    <w:rsid w:val="009352F6"/>
    <w:rsid w:val="00936CB4"/>
    <w:rsid w:val="009533AE"/>
    <w:rsid w:val="0096112A"/>
    <w:rsid w:val="009643BD"/>
    <w:rsid w:val="00964A11"/>
    <w:rsid w:val="00972570"/>
    <w:rsid w:val="0097672F"/>
    <w:rsid w:val="00977F1F"/>
    <w:rsid w:val="009845C0"/>
    <w:rsid w:val="00986B16"/>
    <w:rsid w:val="009C53BB"/>
    <w:rsid w:val="009C6655"/>
    <w:rsid w:val="009D1266"/>
    <w:rsid w:val="009D441F"/>
    <w:rsid w:val="009D6C4D"/>
    <w:rsid w:val="009F302A"/>
    <w:rsid w:val="009F3735"/>
    <w:rsid w:val="00A0046C"/>
    <w:rsid w:val="00A03D52"/>
    <w:rsid w:val="00A0453F"/>
    <w:rsid w:val="00A163C1"/>
    <w:rsid w:val="00A177D7"/>
    <w:rsid w:val="00A21FFA"/>
    <w:rsid w:val="00A2420C"/>
    <w:rsid w:val="00A25521"/>
    <w:rsid w:val="00A27317"/>
    <w:rsid w:val="00A30D97"/>
    <w:rsid w:val="00A41DA1"/>
    <w:rsid w:val="00A56CCF"/>
    <w:rsid w:val="00A5719C"/>
    <w:rsid w:val="00A70D90"/>
    <w:rsid w:val="00A71C33"/>
    <w:rsid w:val="00A757D4"/>
    <w:rsid w:val="00A96D62"/>
    <w:rsid w:val="00AB2BD9"/>
    <w:rsid w:val="00AC0DFF"/>
    <w:rsid w:val="00AE09F4"/>
    <w:rsid w:val="00AE2234"/>
    <w:rsid w:val="00AE46C8"/>
    <w:rsid w:val="00AE7C5A"/>
    <w:rsid w:val="00AF0D4E"/>
    <w:rsid w:val="00AF5F81"/>
    <w:rsid w:val="00AF6ABB"/>
    <w:rsid w:val="00B16E8C"/>
    <w:rsid w:val="00B22D33"/>
    <w:rsid w:val="00B244FA"/>
    <w:rsid w:val="00B33398"/>
    <w:rsid w:val="00B452E5"/>
    <w:rsid w:val="00B564FC"/>
    <w:rsid w:val="00B60FFE"/>
    <w:rsid w:val="00B67309"/>
    <w:rsid w:val="00B95831"/>
    <w:rsid w:val="00B978E1"/>
    <w:rsid w:val="00B979B0"/>
    <w:rsid w:val="00B97F45"/>
    <w:rsid w:val="00BC6887"/>
    <w:rsid w:val="00BE0D0E"/>
    <w:rsid w:val="00BE326D"/>
    <w:rsid w:val="00BE5AAE"/>
    <w:rsid w:val="00BE76DB"/>
    <w:rsid w:val="00BF3DD6"/>
    <w:rsid w:val="00BF5EA9"/>
    <w:rsid w:val="00C04244"/>
    <w:rsid w:val="00C1100F"/>
    <w:rsid w:val="00C11C3A"/>
    <w:rsid w:val="00C123AC"/>
    <w:rsid w:val="00C32D10"/>
    <w:rsid w:val="00C32E4A"/>
    <w:rsid w:val="00C46925"/>
    <w:rsid w:val="00C50B28"/>
    <w:rsid w:val="00C53F27"/>
    <w:rsid w:val="00C65243"/>
    <w:rsid w:val="00C70CDD"/>
    <w:rsid w:val="00C71576"/>
    <w:rsid w:val="00C7777A"/>
    <w:rsid w:val="00C8001F"/>
    <w:rsid w:val="00C83E7D"/>
    <w:rsid w:val="00C93F89"/>
    <w:rsid w:val="00C94B6E"/>
    <w:rsid w:val="00CA3A0D"/>
    <w:rsid w:val="00CA4C11"/>
    <w:rsid w:val="00CB4BE8"/>
    <w:rsid w:val="00CC48AA"/>
    <w:rsid w:val="00CC6EA6"/>
    <w:rsid w:val="00CD20F8"/>
    <w:rsid w:val="00CD71D4"/>
    <w:rsid w:val="00CF2A88"/>
    <w:rsid w:val="00CF545E"/>
    <w:rsid w:val="00CF73A8"/>
    <w:rsid w:val="00D12B5D"/>
    <w:rsid w:val="00D17E0F"/>
    <w:rsid w:val="00D2107D"/>
    <w:rsid w:val="00D23D39"/>
    <w:rsid w:val="00D30FE6"/>
    <w:rsid w:val="00D34703"/>
    <w:rsid w:val="00D85FA6"/>
    <w:rsid w:val="00D903C6"/>
    <w:rsid w:val="00DA348F"/>
    <w:rsid w:val="00DA5F50"/>
    <w:rsid w:val="00DB3D2A"/>
    <w:rsid w:val="00DB5FCC"/>
    <w:rsid w:val="00DC07DB"/>
    <w:rsid w:val="00DC52A3"/>
    <w:rsid w:val="00DC7E91"/>
    <w:rsid w:val="00DD1BAB"/>
    <w:rsid w:val="00DD4029"/>
    <w:rsid w:val="00DD670F"/>
    <w:rsid w:val="00DF4E37"/>
    <w:rsid w:val="00E103BB"/>
    <w:rsid w:val="00E105E8"/>
    <w:rsid w:val="00E11FF7"/>
    <w:rsid w:val="00E12EB0"/>
    <w:rsid w:val="00E1601B"/>
    <w:rsid w:val="00E16062"/>
    <w:rsid w:val="00E3032C"/>
    <w:rsid w:val="00E3396F"/>
    <w:rsid w:val="00E45AFF"/>
    <w:rsid w:val="00E577A6"/>
    <w:rsid w:val="00E60DB1"/>
    <w:rsid w:val="00E6418C"/>
    <w:rsid w:val="00E650A3"/>
    <w:rsid w:val="00E726E9"/>
    <w:rsid w:val="00E736B4"/>
    <w:rsid w:val="00E73740"/>
    <w:rsid w:val="00E9048A"/>
    <w:rsid w:val="00E964C9"/>
    <w:rsid w:val="00E97244"/>
    <w:rsid w:val="00EB7BBD"/>
    <w:rsid w:val="00EC210A"/>
    <w:rsid w:val="00EC2BCA"/>
    <w:rsid w:val="00EF0744"/>
    <w:rsid w:val="00EF1A24"/>
    <w:rsid w:val="00EF327F"/>
    <w:rsid w:val="00EF7CB5"/>
    <w:rsid w:val="00F042D5"/>
    <w:rsid w:val="00F1320B"/>
    <w:rsid w:val="00F1563E"/>
    <w:rsid w:val="00F22C87"/>
    <w:rsid w:val="00F3359B"/>
    <w:rsid w:val="00F40BC5"/>
    <w:rsid w:val="00F4292A"/>
    <w:rsid w:val="00F615CE"/>
    <w:rsid w:val="00F82FD6"/>
    <w:rsid w:val="00F939BC"/>
    <w:rsid w:val="00F95755"/>
    <w:rsid w:val="00FA34F7"/>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D787E44-9E6C-4686-AF7A-0452EB01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781F66"/>
    <w:rPr>
      <w:rFonts w:eastAsia="SimSun" w:cs="Times New Roman"/>
      <w:position w:val="6"/>
      <w:sz w:val="18"/>
      <w:szCs w:val="18"/>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href">
    <w:name w:val="href"/>
    <w:basedOn w:val="DefaultParagraphFont"/>
    <w:rsid w:val="00E60DB1"/>
  </w:style>
  <w:style w:type="character" w:customStyle="1" w:styleId="RecNoChar">
    <w:name w:val="Rec_No Char"/>
    <w:link w:val="RecNo"/>
    <w:locked/>
    <w:rsid w:val="00E60DB1"/>
    <w:rPr>
      <w:rFonts w:ascii="Times New Roman" w:eastAsia="NSimSun" w:hAnsi="Times New Roman" w:cs="Traditional Arabic"/>
      <w:sz w:val="28"/>
      <w:szCs w:val="40"/>
      <w:lang w:eastAsia="fr-FR" w:bidi="ar-EG"/>
    </w:rPr>
  </w:style>
  <w:style w:type="paragraph" w:customStyle="1" w:styleId="HeadingSum">
    <w:name w:val="Heading_Sum"/>
    <w:basedOn w:val="Normal"/>
    <w:qFormat/>
    <w:rsid w:val="00E60DB1"/>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E60DB1"/>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29C6-5EFA-471E-81F8-619E37D1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9</TotalTime>
  <Pages>7</Pages>
  <Words>1991</Words>
  <Characters>10564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12530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Al-Yammouni, Hala</cp:lastModifiedBy>
  <cp:revision>7</cp:revision>
  <cp:lastPrinted>2018-08-27T12:19:00Z</cp:lastPrinted>
  <dcterms:created xsi:type="dcterms:W3CDTF">2018-08-27T12:11:00Z</dcterms:created>
  <dcterms:modified xsi:type="dcterms:W3CDTF">2018-08-27T12:20:00Z</dcterms:modified>
</cp:coreProperties>
</file>