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E15B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376675</wp:posOffset>
                </wp:positionH>
                <wp:positionV relativeFrom="paragraph">
                  <wp:posOffset>6842552</wp:posOffset>
                </wp:positionV>
                <wp:extent cx="4051962"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6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5B8" w:rsidRDefault="00EE15B8" w:rsidP="00EE15B8">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SA</w:t>
                            </w:r>
                          </w:p>
                          <w:p w:rsidR="00EE15B8" w:rsidRDefault="00EE15B8" w:rsidP="00EE15B8">
                            <w:pPr>
                              <w:spacing w:line="168" w:lineRule="auto"/>
                              <w:ind w:right="-126"/>
                              <w:jc w:val="right"/>
                              <w:rPr>
                                <w:rFonts w:ascii="Tahoma" w:hAnsi="Tahoma"/>
                                <w:b/>
                                <w:bCs/>
                                <w:color w:val="000068"/>
                                <w:sz w:val="36"/>
                                <w:szCs w:val="56"/>
                                <w:rtl/>
                              </w:rPr>
                            </w:pPr>
                            <w:r>
                              <w:rPr>
                                <w:rFonts w:ascii="Tahoma" w:hAnsi="Tahoma"/>
                                <w:b/>
                                <w:bCs/>
                                <w:color w:val="000068"/>
                                <w:sz w:val="36"/>
                                <w:szCs w:val="56"/>
                                <w:rtl/>
                              </w:rPr>
                              <w:t>التطبيقات الفضائية 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65pt;margin-top:538.8pt;width:319.0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BnuA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" filled="f" stroked="f">
                <v:textbox>
                  <w:txbxContent>
                    <w:p w:rsidR="00EE15B8" w:rsidRDefault="00EE15B8" w:rsidP="00EE15B8">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SA</w:t>
                      </w:r>
                    </w:p>
                    <w:p w:rsidR="00EE15B8" w:rsidRDefault="00EE15B8" w:rsidP="00EE15B8">
                      <w:pPr>
                        <w:spacing w:line="168" w:lineRule="auto"/>
                        <w:ind w:right="-126"/>
                        <w:jc w:val="right"/>
                        <w:rPr>
                          <w:rFonts w:ascii="Tahoma" w:hAnsi="Tahoma"/>
                          <w:b/>
                          <w:bCs/>
                          <w:color w:val="000068"/>
                          <w:sz w:val="36"/>
                          <w:szCs w:val="56"/>
                          <w:rtl/>
                        </w:rPr>
                      </w:pPr>
                      <w:r>
                        <w:rPr>
                          <w:rFonts w:ascii="Tahoma" w:hAnsi="Tahoma"/>
                          <w:b/>
                          <w:bCs/>
                          <w:color w:val="000068"/>
                          <w:sz w:val="36"/>
                          <w:szCs w:val="56"/>
                          <w:rtl/>
                        </w:rPr>
                        <w:t>التطبيقات الفضائية 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376675</wp:posOffset>
                </wp:positionH>
                <wp:positionV relativeFrom="paragraph">
                  <wp:posOffset>4329036</wp:posOffset>
                </wp:positionV>
                <wp:extent cx="6288125" cy="2166824"/>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125" cy="2166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EE15B8" w:rsidP="00C50C56">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معايير التقاسم لأنظمة إرسال البيانات فضاء-أرض في خدمة استكشاف الأرض الساتلية </w:t>
                            </w:r>
                            <w:r w:rsidR="00C50C56">
                              <w:rPr>
                                <w:rFonts w:ascii="Tahoma" w:hAnsi="Tahoma"/>
                                <w:b/>
                                <w:bCs/>
                                <w:color w:val="000068"/>
                                <w:sz w:val="40"/>
                                <w:szCs w:val="72"/>
                              </w:rPr>
                              <w:br/>
                            </w:r>
                            <w:r>
                              <w:rPr>
                                <w:rFonts w:ascii="Tahoma" w:hAnsi="Tahoma"/>
                                <w:b/>
                                <w:bCs/>
                                <w:color w:val="000068"/>
                                <w:sz w:val="40"/>
                                <w:szCs w:val="72"/>
                                <w:rtl/>
                              </w:rPr>
                              <w:t>وخدمة الأرصاد الجوية الساتلية باستعمال</w:t>
                            </w:r>
                            <w:r>
                              <w:rPr>
                                <w:rFonts w:ascii="Tahoma" w:hAnsi="Tahoma" w:hint="cs"/>
                                <w:b/>
                                <w:bCs/>
                                <w:color w:val="000068"/>
                                <w:sz w:val="40"/>
                                <w:szCs w:val="72"/>
                                <w:rtl/>
                              </w:rPr>
                              <w:t xml:space="preserve"> </w:t>
                            </w:r>
                            <w:r>
                              <w:rPr>
                                <w:rFonts w:ascii="Tahoma" w:hAnsi="Tahoma"/>
                                <w:b/>
                                <w:bCs/>
                                <w:color w:val="000068"/>
                                <w:sz w:val="40"/>
                                <w:szCs w:val="72"/>
                                <w:rtl/>
                              </w:rPr>
                              <w:t>سواتل</w:t>
                            </w:r>
                            <w:r>
                              <w:rPr>
                                <w:rFonts w:ascii="Tahoma" w:hAnsi="Tahoma" w:hint="cs"/>
                                <w:b/>
                                <w:bCs/>
                                <w:color w:val="000068"/>
                                <w:sz w:val="40"/>
                                <w:szCs w:val="72"/>
                                <w:rtl/>
                                <w:lang w:bidi="ar-EG"/>
                              </w:rPr>
                              <w:t xml:space="preserve"> </w:t>
                            </w:r>
                            <w:r>
                              <w:rPr>
                                <w:rFonts w:ascii="Tahoma" w:hAnsi="Tahoma"/>
                                <w:b/>
                                <w:bCs/>
                                <w:color w:val="000068"/>
                                <w:sz w:val="40"/>
                                <w:szCs w:val="72"/>
                                <w:rtl/>
                              </w:rPr>
                              <w:t>في المدارات الأرضية المنخفضة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65pt;margin-top:340.85pt;width:495.15pt;height:17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G8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" filled="f" stroked="f">
                <v:textbox>
                  <w:txbxContent>
                    <w:p w:rsidR="000B4F10" w:rsidRPr="005F01A2" w:rsidRDefault="00EE15B8" w:rsidP="00C50C56">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معايير التقاسم لأنظمة إرسال البيانات فضاء-أرض في خدمة استكشاف الأرض الساتلية </w:t>
                      </w:r>
                      <w:r w:rsidR="00C50C56">
                        <w:rPr>
                          <w:rFonts w:ascii="Tahoma" w:hAnsi="Tahoma"/>
                          <w:b/>
                          <w:bCs/>
                          <w:color w:val="000068"/>
                          <w:sz w:val="40"/>
                          <w:szCs w:val="72"/>
                        </w:rPr>
                        <w:br/>
                      </w:r>
                      <w:r>
                        <w:rPr>
                          <w:rFonts w:ascii="Tahoma" w:hAnsi="Tahoma"/>
                          <w:b/>
                          <w:bCs/>
                          <w:color w:val="000068"/>
                          <w:sz w:val="40"/>
                          <w:szCs w:val="72"/>
                          <w:rtl/>
                        </w:rPr>
                        <w:t>وخدمة الأرصاد الجوية الساتلية باستعمال</w:t>
                      </w:r>
                      <w:r>
                        <w:rPr>
                          <w:rFonts w:ascii="Tahoma" w:hAnsi="Tahoma" w:hint="cs"/>
                          <w:b/>
                          <w:bCs/>
                          <w:color w:val="000068"/>
                          <w:sz w:val="40"/>
                          <w:szCs w:val="72"/>
                          <w:rtl/>
                        </w:rPr>
                        <w:t xml:space="preserve"> </w:t>
                      </w:r>
                      <w:r>
                        <w:rPr>
                          <w:rFonts w:ascii="Tahoma" w:hAnsi="Tahoma"/>
                          <w:b/>
                          <w:bCs/>
                          <w:color w:val="000068"/>
                          <w:sz w:val="40"/>
                          <w:szCs w:val="72"/>
                          <w:rtl/>
                        </w:rPr>
                        <w:t>سواتل</w:t>
                      </w:r>
                      <w:r>
                        <w:rPr>
                          <w:rFonts w:ascii="Tahoma" w:hAnsi="Tahoma" w:hint="cs"/>
                          <w:b/>
                          <w:bCs/>
                          <w:color w:val="000068"/>
                          <w:sz w:val="40"/>
                          <w:szCs w:val="72"/>
                          <w:rtl/>
                          <w:lang w:bidi="ar-EG"/>
                        </w:rPr>
                        <w:t xml:space="preserve"> </w:t>
                      </w:r>
                      <w:r>
                        <w:rPr>
                          <w:rFonts w:ascii="Tahoma" w:hAnsi="Tahoma"/>
                          <w:b/>
                          <w:bCs/>
                          <w:color w:val="000068"/>
                          <w:sz w:val="40"/>
                          <w:szCs w:val="72"/>
                          <w:rtl/>
                        </w:rPr>
                        <w:t>في المدارات الأرضية المنخفضة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EE15B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EE15B8">
                              <w:rPr>
                                <w:rFonts w:ascii="Tahoma" w:hAnsi="Tahoma"/>
                                <w:b/>
                                <w:bCs/>
                                <w:color w:val="000068"/>
                                <w:sz w:val="36"/>
                                <w:szCs w:val="56"/>
                                <w:lang w:bidi="ar-EG"/>
                              </w:rPr>
                              <w:t>SA.1027-5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EE15B8">
                              <w:rPr>
                                <w:rFonts w:ascii="Tahoma" w:hAnsi="Tahoma" w:cs="Tahoma"/>
                                <w:b/>
                                <w:bCs/>
                                <w:color w:val="000068"/>
                                <w:sz w:val="24"/>
                                <w:szCs w:val="24"/>
                                <w:lang w:bidi="ar-EG"/>
                              </w:rPr>
                              <w:t>2017</w:t>
                            </w:r>
                            <w:r>
                              <w:rPr>
                                <w:rFonts w:ascii="Tahoma" w:hAnsi="Tahoma" w:cs="Tahoma"/>
                                <w:b/>
                                <w:bCs/>
                                <w:color w:val="000068"/>
                                <w:sz w:val="24"/>
                                <w:szCs w:val="24"/>
                                <w:lang w:bidi="ar-EG"/>
                              </w:rPr>
                              <w:t>/</w:t>
                            </w:r>
                            <w:r w:rsidR="00EE15B8">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EE15B8">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E15B8">
                        <w:rPr>
                          <w:rFonts w:ascii="Tahoma" w:hAnsi="Tahoma"/>
                          <w:b/>
                          <w:bCs/>
                          <w:color w:val="000068"/>
                          <w:sz w:val="36"/>
                          <w:szCs w:val="56"/>
                          <w:lang w:bidi="ar-EG"/>
                        </w:rPr>
                        <w:t>SA.1027-5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EE15B8">
                        <w:rPr>
                          <w:rFonts w:ascii="Tahoma" w:hAnsi="Tahoma" w:cs="Tahoma"/>
                          <w:b/>
                          <w:bCs/>
                          <w:color w:val="000068"/>
                          <w:sz w:val="24"/>
                          <w:szCs w:val="24"/>
                          <w:lang w:bidi="ar-EG"/>
                        </w:rPr>
                        <w:t>2017</w:t>
                      </w:r>
                      <w:r>
                        <w:rPr>
                          <w:rFonts w:ascii="Tahoma" w:hAnsi="Tahoma" w:cs="Tahoma"/>
                          <w:b/>
                          <w:bCs/>
                          <w:color w:val="000068"/>
                          <w:sz w:val="24"/>
                          <w:szCs w:val="24"/>
                          <w:lang w:bidi="ar-EG"/>
                        </w:rPr>
                        <w:t>/</w:t>
                      </w:r>
                      <w:r w:rsidR="00EE15B8">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EE15B8">
        <w:trPr>
          <w:jc w:val="center"/>
        </w:trPr>
        <w:tc>
          <w:tcPr>
            <w:tcW w:w="9394" w:type="dxa"/>
            <w:gridSpan w:val="2"/>
            <w:tcBorders>
              <w:left w:val="single" w:sz="12" w:space="0" w:color="000080"/>
              <w:right w:val="single" w:sz="12" w:space="0" w:color="000080"/>
            </w:tcBorders>
            <w:shd w:val="clear" w:color="auto" w:fill="F3F3F3"/>
          </w:tcPr>
          <w:p w:rsidR="00AC1496" w:rsidRPr="00EE15B8" w:rsidRDefault="00AC1496" w:rsidP="008D49E8">
            <w:pPr>
              <w:tabs>
                <w:tab w:val="left" w:pos="1471"/>
              </w:tabs>
              <w:spacing w:before="20" w:after="40" w:line="240" w:lineRule="exact"/>
              <w:rPr>
                <w:b/>
                <w:bCs/>
                <w:color w:val="000068"/>
                <w:sz w:val="20"/>
                <w:szCs w:val="26"/>
                <w:lang w:val="ru-RU"/>
              </w:rPr>
            </w:pPr>
            <w:r w:rsidRPr="00EE15B8">
              <w:rPr>
                <w:b/>
                <w:bCs/>
                <w:color w:val="000068"/>
                <w:sz w:val="20"/>
                <w:szCs w:val="26"/>
              </w:rPr>
              <w:t>SA</w:t>
            </w:r>
            <w:r w:rsidRPr="00EE15B8">
              <w:rPr>
                <w:rFonts w:hint="cs"/>
                <w:b/>
                <w:bCs/>
                <w:color w:val="000068"/>
                <w:sz w:val="20"/>
                <w:szCs w:val="26"/>
                <w:rtl/>
              </w:rPr>
              <w:tab/>
            </w:r>
            <w:r w:rsidRPr="00EE15B8">
              <w:rPr>
                <w:rFonts w:hint="cs"/>
                <w:b/>
                <w:bCs/>
                <w:color w:val="000068"/>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EE15B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E15B8">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EE15B8">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EE15B8">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E15B8" w:rsidRDefault="00AC1496" w:rsidP="00EE15B8">
      <w:pPr>
        <w:pStyle w:val="RecNo"/>
        <w:rPr>
          <w:rtl/>
        </w:rPr>
      </w:pPr>
      <w:proofErr w:type="gramStart"/>
      <w:r w:rsidRPr="00EE15B8">
        <w:rPr>
          <w:rtl/>
        </w:rPr>
        <w:lastRenderedPageBreak/>
        <w:t>التوصيـة</w:t>
      </w:r>
      <w:r w:rsidRPr="00EE15B8">
        <w:rPr>
          <w:rFonts w:hint="cs"/>
          <w:rtl/>
        </w:rPr>
        <w:t xml:space="preserve"> </w:t>
      </w:r>
      <w:r w:rsidRPr="00EE15B8">
        <w:rPr>
          <w:rtl/>
        </w:rPr>
        <w:t xml:space="preserve"> </w:t>
      </w:r>
      <w:r w:rsidRPr="00EE15B8">
        <w:rPr>
          <w:rStyle w:val="href"/>
        </w:rPr>
        <w:t>ITU</w:t>
      </w:r>
      <w:proofErr w:type="gramEnd"/>
      <w:r w:rsidRPr="00EE15B8">
        <w:rPr>
          <w:rStyle w:val="href"/>
        </w:rPr>
        <w:t>-R</w:t>
      </w:r>
      <w:r w:rsidR="008B203E" w:rsidRPr="00EE15B8">
        <w:rPr>
          <w:rStyle w:val="href"/>
        </w:rPr>
        <w:t xml:space="preserve"> </w:t>
      </w:r>
      <w:r w:rsidRPr="00EE15B8">
        <w:rPr>
          <w:rStyle w:val="href"/>
        </w:rPr>
        <w:t xml:space="preserve"> </w:t>
      </w:r>
      <w:r w:rsidR="00EE15B8" w:rsidRPr="00EE15B8">
        <w:rPr>
          <w:rStyle w:val="href"/>
        </w:rPr>
        <w:t>SA.1027-5</w:t>
      </w:r>
    </w:p>
    <w:p w:rsidR="00843DD0" w:rsidRPr="00EE15B8" w:rsidRDefault="00EE15B8" w:rsidP="00EE15B8">
      <w:pPr>
        <w:pStyle w:val="Rectitle"/>
        <w:rPr>
          <w:rFonts w:eastAsia="SimSun"/>
          <w:lang w:val="fr-FR" w:eastAsia="zh-CN"/>
        </w:rPr>
      </w:pPr>
      <w:r w:rsidRPr="00EE15B8">
        <w:rPr>
          <w:rFonts w:eastAsia="SimSun"/>
          <w:rtl/>
          <w:lang w:eastAsia="zh-CN" w:bidi="ar-SA"/>
        </w:rPr>
        <w:t>معايير التقاسم لأنظمة إرسال البيانات فضاء-أرض في خدمة استكشاف</w:t>
      </w:r>
      <w:r w:rsidRPr="00EE15B8">
        <w:rPr>
          <w:rFonts w:eastAsia="SimSun"/>
          <w:rtl/>
          <w:lang w:eastAsia="zh-CN" w:bidi="ar-SA"/>
        </w:rPr>
        <w:br/>
        <w:t>الأرض الساتلية وخدمة الأرصاد الجوية الساتلية باستعمال سواتل</w:t>
      </w:r>
      <w:r w:rsidRPr="00EE15B8">
        <w:rPr>
          <w:rFonts w:eastAsia="SimSun"/>
          <w:rtl/>
          <w:lang w:eastAsia="zh-CN" w:bidi="ar-SA"/>
        </w:rPr>
        <w:br/>
        <w:t>في المدارات الأرضية المنخفضة</w:t>
      </w:r>
    </w:p>
    <w:p w:rsidR="00AC1496" w:rsidRPr="00EE15B8" w:rsidRDefault="00CE6EB7" w:rsidP="00EE15B8">
      <w:pPr>
        <w:pStyle w:val="Date"/>
        <w:rPr>
          <w:rtl/>
          <w:lang w:bidi="ar-EG"/>
        </w:rPr>
      </w:pPr>
      <w:r w:rsidRPr="00EE15B8">
        <w:rPr>
          <w:rFonts w:eastAsia="SimSun" w:hint="cs"/>
          <w:rtl/>
        </w:rPr>
        <w:t> </w:t>
      </w:r>
      <w:r w:rsidR="00AC1496" w:rsidRPr="00EE15B8">
        <w:rPr>
          <w:rFonts w:eastAsia="SimSun"/>
        </w:rPr>
        <w:t>(</w:t>
      </w:r>
      <w:r w:rsidR="00EE15B8" w:rsidRPr="00EE15B8">
        <w:rPr>
          <w:rFonts w:eastAsia="SimSun"/>
          <w:iCs/>
        </w:rPr>
        <w:t>2017-2009-1999-1997-1995-1994</w:t>
      </w:r>
      <w:r w:rsidR="00AC1496" w:rsidRPr="00EE15B8">
        <w:rPr>
          <w:rFonts w:eastAsia="SimSun"/>
        </w:rPr>
        <w:t>)</w:t>
      </w:r>
    </w:p>
    <w:p w:rsidR="00843DD0" w:rsidRPr="00EE15B8" w:rsidRDefault="00843DD0" w:rsidP="00843DD0">
      <w:pPr>
        <w:pStyle w:val="Headingsum"/>
        <w:rPr>
          <w:rtl/>
        </w:rPr>
      </w:pPr>
      <w:bookmarkStart w:id="1" w:name="_Toc476039172"/>
      <w:r w:rsidRPr="00EE15B8">
        <w:rPr>
          <w:rFonts w:hint="cs"/>
          <w:rtl/>
        </w:rPr>
        <w:t>مجال التطبيق</w:t>
      </w:r>
      <w:bookmarkEnd w:id="1"/>
    </w:p>
    <w:p w:rsidR="00EE15B8" w:rsidRPr="00EE15B8" w:rsidRDefault="00EE15B8" w:rsidP="00C50C56">
      <w:pPr>
        <w:pStyle w:val="Summary"/>
        <w:rPr>
          <w:noProof/>
        </w:rPr>
      </w:pPr>
      <w:r w:rsidRPr="00EE15B8">
        <w:rPr>
          <w:noProof/>
          <w:rtl/>
        </w:rPr>
        <w:t xml:space="preserve">تقدم هذه التوصية معايير التقاسم للإرسالات فضاء-أرض من </w:t>
      </w:r>
      <w:bookmarkStart w:id="2" w:name="_GoBack"/>
      <w:bookmarkEnd w:id="2"/>
      <w:r w:rsidRPr="00EE15B8">
        <w:rPr>
          <w:noProof/>
          <w:rtl/>
        </w:rPr>
        <w:t>سواتل بمدارات أرضية منخفضة المنطبقة على كل من خدمة استكشاف الأرض الساتلية وخدمة الأرصاد الجوية الساتلية.</w:t>
      </w:r>
    </w:p>
    <w:p w:rsidR="00AC1496" w:rsidRPr="00EE15B8" w:rsidRDefault="009230F4" w:rsidP="00EE15B8">
      <w:pPr>
        <w:pStyle w:val="Headingsum"/>
        <w:rPr>
          <w:rtl/>
        </w:rPr>
      </w:pPr>
      <w:r w:rsidRPr="00EE15B8">
        <w:rPr>
          <w:rFonts w:hint="cs"/>
          <w:rtl/>
        </w:rPr>
        <w:t>مصطلحات أساسية</w:t>
      </w:r>
    </w:p>
    <w:p w:rsidR="00EE15B8" w:rsidRPr="00EE15B8" w:rsidRDefault="00EE15B8" w:rsidP="00EE15B8">
      <w:pPr>
        <w:rPr>
          <w:lang w:bidi="ar-EG"/>
        </w:rPr>
      </w:pPr>
      <w:r w:rsidRPr="00EE15B8">
        <w:rPr>
          <w:rtl/>
          <w:lang w:bidi="ar-EG"/>
        </w:rPr>
        <w:t xml:space="preserve">خدمة استكشاف الأرض الساتلية </w:t>
      </w:r>
      <w:r w:rsidRPr="00EE15B8">
        <w:rPr>
          <w:lang w:bidi="ar-EG"/>
        </w:rPr>
        <w:t>(EESS</w:t>
      </w:r>
      <w:r w:rsidRPr="00EE15B8">
        <w:rPr>
          <w:lang w:val="fr-CH" w:bidi="ar-EG"/>
        </w:rPr>
        <w:t>)</w:t>
      </w:r>
      <w:r w:rsidRPr="00EE15B8">
        <w:rPr>
          <w:rtl/>
          <w:lang w:bidi="ar-EG"/>
        </w:rPr>
        <w:t xml:space="preserve">، خدمة الأرصاد الجوية الساتلية </w:t>
      </w:r>
      <w:r w:rsidRPr="00EE15B8">
        <w:rPr>
          <w:lang w:val="fr-CH" w:bidi="ar-EG"/>
        </w:rPr>
        <w:t>(METSAT)</w:t>
      </w:r>
      <w:r w:rsidRPr="00EE15B8">
        <w:rPr>
          <w:rtl/>
          <w:lang w:bidi="ar-EG"/>
        </w:rPr>
        <w:t>، السواتل غير المستقرة بالنسبة للأرض</w:t>
      </w:r>
      <w:r>
        <w:rPr>
          <w:rFonts w:hint="cs"/>
          <w:rtl/>
          <w:lang w:bidi="ar-EG"/>
        </w:rPr>
        <w:t> </w:t>
      </w:r>
      <w:r w:rsidRPr="00EE15B8">
        <w:rPr>
          <w:lang w:val="fr-CH" w:bidi="ar-EG"/>
        </w:rPr>
        <w:t>(</w:t>
      </w:r>
      <w:r w:rsidRPr="00EE15B8">
        <w:rPr>
          <w:lang w:bidi="ar-EG"/>
        </w:rPr>
        <w:t>non-GSO)</w:t>
      </w:r>
      <w:r w:rsidRPr="00EE15B8">
        <w:rPr>
          <w:rtl/>
          <w:lang w:bidi="ar-EG"/>
        </w:rPr>
        <w:t>، معايير التقاسم الخاصة بمصدر وحيد.</w:t>
      </w:r>
    </w:p>
    <w:p w:rsidR="00EE15B8" w:rsidRPr="00EE15B8" w:rsidRDefault="00EE15B8" w:rsidP="00EE15B8">
      <w:pPr>
        <w:pStyle w:val="Headingsum"/>
        <w:rPr>
          <w:sz w:val="22"/>
          <w:szCs w:val="30"/>
          <w:lang w:eastAsia="fr-FR"/>
        </w:rPr>
      </w:pPr>
      <w:r w:rsidRPr="00EE15B8">
        <w:rPr>
          <w:rtl/>
        </w:rPr>
        <w:t>توصيات وتقارير ذات صلة</w:t>
      </w:r>
    </w:p>
    <w:p w:rsidR="00EE15B8" w:rsidRPr="00EE15B8" w:rsidRDefault="00EE15B8" w:rsidP="00EE15B8">
      <w:pPr>
        <w:rPr>
          <w:spacing w:val="-4"/>
          <w:rtl/>
          <w:lang w:val="fr-CH" w:bidi="ar-EG"/>
        </w:rPr>
      </w:pPr>
      <w:r w:rsidRPr="00EE15B8">
        <w:rPr>
          <w:spacing w:val="-4"/>
          <w:rtl/>
          <w:lang w:bidi="ar-EG"/>
        </w:rPr>
        <w:t xml:space="preserve">التوصيات </w:t>
      </w:r>
      <w:r w:rsidRPr="00EE15B8">
        <w:rPr>
          <w:spacing w:val="-4"/>
          <w:lang w:eastAsia="zh-CN"/>
        </w:rPr>
        <w:t>ITU-R SA.514</w:t>
      </w:r>
      <w:r w:rsidRPr="00EE15B8">
        <w:rPr>
          <w:spacing w:val="-4"/>
          <w:rtl/>
          <w:lang w:val="fr-CH" w:eastAsia="zh-CN"/>
        </w:rPr>
        <w:t xml:space="preserve"> و</w:t>
      </w:r>
      <w:r w:rsidRPr="00EE15B8">
        <w:rPr>
          <w:spacing w:val="-4"/>
          <w:lang w:eastAsia="zh-CN"/>
        </w:rPr>
        <w:t>ITU-R SA.1020</w:t>
      </w:r>
      <w:r w:rsidRPr="00EE15B8">
        <w:rPr>
          <w:rFonts w:hint="cs"/>
          <w:spacing w:val="-4"/>
          <w:rtl/>
          <w:lang w:eastAsia="zh-CN"/>
        </w:rPr>
        <w:t xml:space="preserve"> </w:t>
      </w:r>
      <w:r w:rsidRPr="00EE15B8">
        <w:rPr>
          <w:spacing w:val="-4"/>
          <w:rtl/>
          <w:lang w:val="fr-CH" w:eastAsia="zh-CN"/>
        </w:rPr>
        <w:t>و</w:t>
      </w:r>
      <w:r w:rsidRPr="00EE15B8">
        <w:rPr>
          <w:spacing w:val="-4"/>
          <w:lang w:eastAsia="zh-CN"/>
        </w:rPr>
        <w:t>ITU-R SA.1021</w:t>
      </w:r>
      <w:r w:rsidRPr="00EE15B8">
        <w:rPr>
          <w:rFonts w:hint="cs"/>
          <w:spacing w:val="-4"/>
          <w:rtl/>
          <w:lang w:eastAsia="zh-CN"/>
        </w:rPr>
        <w:t xml:space="preserve"> </w:t>
      </w:r>
      <w:r w:rsidRPr="00EE15B8">
        <w:rPr>
          <w:spacing w:val="-4"/>
          <w:rtl/>
          <w:lang w:val="fr-CH" w:eastAsia="zh-CN"/>
        </w:rPr>
        <w:t>و</w:t>
      </w:r>
      <w:r w:rsidRPr="00EE15B8">
        <w:rPr>
          <w:spacing w:val="-4"/>
          <w:lang w:eastAsia="zh-CN"/>
        </w:rPr>
        <w:t>ITU-R SA.1022</w:t>
      </w:r>
      <w:r w:rsidRPr="00EE15B8">
        <w:rPr>
          <w:rFonts w:hint="cs"/>
          <w:spacing w:val="-4"/>
          <w:rtl/>
          <w:lang w:eastAsia="zh-CN"/>
        </w:rPr>
        <w:t xml:space="preserve"> </w:t>
      </w:r>
      <w:r w:rsidRPr="00EE15B8">
        <w:rPr>
          <w:spacing w:val="-4"/>
          <w:rtl/>
          <w:lang w:val="fr-CH" w:eastAsia="zh-CN"/>
        </w:rPr>
        <w:t>و</w:t>
      </w:r>
      <w:r w:rsidRPr="00EE15B8">
        <w:rPr>
          <w:spacing w:val="-4"/>
          <w:lang w:eastAsia="zh-CN"/>
        </w:rPr>
        <w:t>ITU</w:t>
      </w:r>
      <w:r w:rsidRPr="00EE15B8">
        <w:rPr>
          <w:spacing w:val="-4"/>
          <w:lang w:eastAsia="zh-CN"/>
        </w:rPr>
        <w:noBreakHyphen/>
        <w:t>R SA.1023</w:t>
      </w:r>
      <w:r w:rsidRPr="00EE15B8">
        <w:rPr>
          <w:rFonts w:hint="cs"/>
          <w:spacing w:val="-4"/>
          <w:rtl/>
          <w:lang w:eastAsia="zh-CN"/>
        </w:rPr>
        <w:t xml:space="preserve"> </w:t>
      </w:r>
      <w:r w:rsidRPr="00EE15B8">
        <w:rPr>
          <w:spacing w:val="-4"/>
          <w:rtl/>
          <w:lang w:val="fr-CH" w:eastAsia="zh-CN"/>
        </w:rPr>
        <w:t>و</w:t>
      </w:r>
      <w:r w:rsidRPr="00EE15B8">
        <w:rPr>
          <w:spacing w:val="-4"/>
          <w:lang w:eastAsia="zh-CN"/>
        </w:rPr>
        <w:t>ITU</w:t>
      </w:r>
      <w:r w:rsidRPr="00EE15B8">
        <w:rPr>
          <w:spacing w:val="-4"/>
          <w:lang w:eastAsia="zh-CN"/>
        </w:rPr>
        <w:noBreakHyphen/>
        <w:t>R SA.1026</w:t>
      </w:r>
      <w:r w:rsidRPr="00EE15B8">
        <w:rPr>
          <w:spacing w:val="-4"/>
          <w:rtl/>
          <w:lang w:val="fr-CH" w:eastAsia="zh-CN"/>
        </w:rPr>
        <w:t xml:space="preserve"> و</w:t>
      </w:r>
      <w:r w:rsidRPr="00EE15B8">
        <w:rPr>
          <w:spacing w:val="-4"/>
          <w:lang w:eastAsia="zh-CN"/>
        </w:rPr>
        <w:t>ITU-R SA.1159</w:t>
      </w:r>
      <w:r w:rsidRPr="00EE15B8">
        <w:rPr>
          <w:spacing w:val="-4"/>
          <w:rtl/>
          <w:lang w:val="fr-CH" w:eastAsia="zh-CN"/>
        </w:rPr>
        <w:t>.</w:t>
      </w:r>
    </w:p>
    <w:p w:rsidR="00EE15B8" w:rsidRDefault="00EE15B8" w:rsidP="00EE15B8">
      <w:pPr>
        <w:pStyle w:val="Normalaftertitle"/>
        <w:rPr>
          <w:noProof/>
        </w:rPr>
      </w:pPr>
      <w:r>
        <w:rPr>
          <w:noProof/>
          <w:rtl/>
        </w:rPr>
        <w:t>إن جمعية الاتصالات الراديوية للاتحاد الدولي للاتصالات،</w:t>
      </w:r>
    </w:p>
    <w:p w:rsidR="00EE15B8" w:rsidRDefault="00EE15B8" w:rsidP="00EE15B8">
      <w:pPr>
        <w:pStyle w:val="call0"/>
        <w:ind w:left="794"/>
        <w:rPr>
          <w:noProof/>
          <w:rtl/>
        </w:rPr>
      </w:pPr>
      <w:r>
        <w:rPr>
          <w:noProof/>
          <w:rtl/>
        </w:rPr>
        <w:t>إذ تضع في اعتبارها</w:t>
      </w:r>
    </w:p>
    <w:p w:rsidR="00EE15B8" w:rsidRDefault="00EE15B8" w:rsidP="00EE15B8">
      <w:pPr>
        <w:rPr>
          <w:noProof/>
          <w:rtl/>
        </w:rPr>
      </w:pPr>
      <w:r w:rsidRPr="00EE15B8">
        <w:rPr>
          <w:i/>
          <w:iCs/>
          <w:noProof/>
          <w:rtl/>
        </w:rPr>
        <w:t xml:space="preserve"> أ )</w:t>
      </w:r>
      <w:r>
        <w:rPr>
          <w:noProof/>
          <w:rtl/>
        </w:rPr>
        <w:tab/>
        <w:t>أن نطاقات التردد الموزعة لخدمة استكشاف الأرض الساتلية وخدمة الأرصاد الجوية الساتلية يمكن أن تتقاسمها عدة أنظمة، بما في ذلك الأنظمة العاملة في خدمات أخرى؛</w:t>
      </w:r>
    </w:p>
    <w:p w:rsidR="00EE15B8" w:rsidRDefault="00EE15B8" w:rsidP="00EE15B8">
      <w:pPr>
        <w:rPr>
          <w:noProof/>
          <w:rtl/>
        </w:rPr>
      </w:pPr>
      <w:r w:rsidRPr="00EE15B8">
        <w:rPr>
          <w:i/>
          <w:iCs/>
          <w:noProof/>
          <w:rtl/>
        </w:rPr>
        <w:t>ب)</w:t>
      </w:r>
      <w:r>
        <w:rPr>
          <w:noProof/>
          <w:rtl/>
        </w:rPr>
        <w:tab/>
        <w:t xml:space="preserve">أن التوصية </w:t>
      </w:r>
      <w:r>
        <w:rPr>
          <w:noProof/>
        </w:rPr>
        <w:t>ITU-R SA.1026</w:t>
      </w:r>
      <w:r>
        <w:rPr>
          <w:noProof/>
          <w:rtl/>
        </w:rPr>
        <w:t xml:space="preserve"> تحدد معايير التداخل </w:t>
      </w:r>
      <w:r>
        <w:rPr>
          <w:noProof/>
          <w:rtl/>
          <w:lang w:bidi="ar-EG"/>
        </w:rPr>
        <w:t xml:space="preserve">الكلي </w:t>
      </w:r>
      <w:r>
        <w:rPr>
          <w:noProof/>
          <w:rtl/>
        </w:rPr>
        <w:t>لبعض نطاقات التردد في شكل مستويات التداخل الإجمالي المسموح بها على المحطات الأرضية العاملة بسواتل المدارات الأرضية المنخفضة، في حالة الخدمتين المذكورتين أعلاه؛</w:t>
      </w:r>
    </w:p>
    <w:p w:rsidR="00EE15B8" w:rsidRDefault="00EE15B8" w:rsidP="00EE15B8">
      <w:pPr>
        <w:rPr>
          <w:noProof/>
          <w:rtl/>
        </w:rPr>
      </w:pPr>
      <w:r w:rsidRPr="00EE15B8">
        <w:rPr>
          <w:i/>
          <w:iCs/>
          <w:noProof/>
          <w:rtl/>
        </w:rPr>
        <w:t>ج)</w:t>
      </w:r>
      <w:r>
        <w:rPr>
          <w:noProof/>
          <w:rtl/>
        </w:rPr>
        <w:tab/>
        <w:t xml:space="preserve">أن التوصية </w:t>
      </w:r>
      <w:r>
        <w:rPr>
          <w:noProof/>
        </w:rPr>
        <w:t>ITU-R SA.1023</w:t>
      </w:r>
      <w:r>
        <w:rPr>
          <w:noProof/>
          <w:rtl/>
        </w:rPr>
        <w:t xml:space="preserve"> </w:t>
      </w:r>
      <w:r>
        <w:rPr>
          <w:rFonts w:hint="cs"/>
          <w:noProof/>
          <w:rtl/>
        </w:rPr>
        <w:t>تقدم منهجية لاشتقاق معايير التقاسم على أساس معايير التداخل والانتشار المكاني المتوقع للمحطات المسببة للتداخل والخصائص الزمنية المرتبطة بالإشارات المسببة للتداخل؛</w:t>
      </w:r>
    </w:p>
    <w:p w:rsidR="00EE15B8" w:rsidRDefault="00EE15B8" w:rsidP="00EE15B8">
      <w:pPr>
        <w:rPr>
          <w:noProof/>
          <w:rtl/>
        </w:rPr>
      </w:pPr>
      <w:r w:rsidRPr="00EE15B8">
        <w:rPr>
          <w:i/>
          <w:iCs/>
          <w:noProof/>
          <w:rtl/>
        </w:rPr>
        <w:t>د )</w:t>
      </w:r>
      <w:r>
        <w:rPr>
          <w:noProof/>
          <w:rtl/>
        </w:rPr>
        <w:tab/>
        <w:t>أن النشر النمطي للمحطات المسببة للتداخل قد يتغير في فترة تشمل عدة سنوات نتيجة زيادة عدد الأنظمة وعمليات مراجعة توزيعات نطاقات التردد المعتمدة في مؤتمرات الاتصالات الراديوية العالمية؛</w:t>
      </w:r>
    </w:p>
    <w:p w:rsidR="00EE15B8" w:rsidRDefault="00EE15B8" w:rsidP="00EE15B8">
      <w:pPr>
        <w:rPr>
          <w:noProof/>
          <w:rtl/>
        </w:rPr>
      </w:pPr>
      <w:r w:rsidRPr="00EE15B8">
        <w:rPr>
          <w:i/>
          <w:iCs/>
          <w:noProof/>
          <w:rtl/>
        </w:rPr>
        <w:t>ﻫ )</w:t>
      </w:r>
      <w:r>
        <w:rPr>
          <w:noProof/>
          <w:rtl/>
        </w:rPr>
        <w:tab/>
        <w:t>أن بيئة التداخل التي تصادفها المحطات الأرضية المحمولة على متن السفن في خدمة الأرصاد الجوية الساتلية ليست بالتأكيد أسوأ من تلك التي تصادفها المحطات الأرضية العاملة على البر؛</w:t>
      </w:r>
    </w:p>
    <w:p w:rsidR="00EE15B8" w:rsidRDefault="00EE15B8" w:rsidP="00EE15B8">
      <w:pPr>
        <w:rPr>
          <w:noProof/>
          <w:rtl/>
        </w:rPr>
      </w:pPr>
      <w:r w:rsidRPr="00EE15B8">
        <w:rPr>
          <w:i/>
          <w:iCs/>
          <w:noProof/>
          <w:rtl/>
        </w:rPr>
        <w:t>و )</w:t>
      </w:r>
      <w:r>
        <w:rPr>
          <w:noProof/>
          <w:rtl/>
        </w:rPr>
        <w:tab/>
        <w:t>أن التداخل المحتمل الذي تتعرض له المحطات الأرضية في خدمة استكشاف الأرض الساتلية وخدمة الأرصاد الجوية الساتلية هو التأثير الكلي الناتج عن عدة مصادر، بما في ذلك أنظمة تعمل في خدمات أخرى موزعة في هذه النطاقات، وأنظمة غير موزعة في نطاق التردد ذاته،</w:t>
      </w:r>
    </w:p>
    <w:p w:rsidR="00EE15B8" w:rsidRDefault="00EE15B8" w:rsidP="00EE15B8">
      <w:pPr>
        <w:pStyle w:val="call0"/>
        <w:ind w:left="794"/>
        <w:rPr>
          <w:noProof/>
          <w:rtl/>
        </w:rPr>
      </w:pPr>
      <w:r>
        <w:rPr>
          <w:noProof/>
          <w:rtl/>
        </w:rPr>
        <w:lastRenderedPageBreak/>
        <w:t>توصـي</w:t>
      </w:r>
    </w:p>
    <w:p w:rsidR="00EE15B8" w:rsidRDefault="00EE15B8" w:rsidP="00EE15B8">
      <w:pPr>
        <w:rPr>
          <w:noProof/>
          <w:rtl/>
        </w:rPr>
      </w:pPr>
      <w:r>
        <w:rPr>
          <w:b/>
          <w:bCs/>
          <w:noProof/>
        </w:rPr>
        <w:t>1</w:t>
      </w:r>
      <w:r>
        <w:rPr>
          <w:noProof/>
          <w:rtl/>
        </w:rPr>
        <w:tab/>
        <w:t xml:space="preserve">بأن تستعمل مستويات التداخل لكل مصدر المقدمة في الجدول </w:t>
      </w:r>
      <w:r>
        <w:rPr>
          <w:noProof/>
        </w:rPr>
        <w:t>1</w:t>
      </w:r>
      <w:r>
        <w:rPr>
          <w:noProof/>
          <w:rtl/>
        </w:rPr>
        <w:t xml:space="preserve"> كمعايير تقاسم من أجل حماية المحطات الأرضية العاملة </w:t>
      </w:r>
      <w:r>
        <w:rPr>
          <w:noProof/>
          <w:spacing w:val="-4"/>
          <w:rtl/>
        </w:rPr>
        <w:t xml:space="preserve">في </w:t>
      </w:r>
      <w:r>
        <w:rPr>
          <w:noProof/>
          <w:rtl/>
        </w:rPr>
        <w:t>خدمة استكشاف الأرض الساتلية وخدمة الأرصاد الجوية الساتلية؛</w:t>
      </w:r>
    </w:p>
    <w:p w:rsidR="00EE15B8" w:rsidRDefault="00EE15B8" w:rsidP="00EE15B8">
      <w:pPr>
        <w:rPr>
          <w:noProof/>
          <w:rtl/>
        </w:rPr>
      </w:pPr>
      <w:r>
        <w:rPr>
          <w:b/>
          <w:bCs/>
          <w:noProof/>
        </w:rPr>
        <w:t>2</w:t>
      </w:r>
      <w:r>
        <w:rPr>
          <w:noProof/>
          <w:rtl/>
        </w:rPr>
        <w:tab/>
        <w:t xml:space="preserve">بأن يكون نشر المحطات المسببة للتداخل المحددة في الملحق </w:t>
      </w:r>
      <w:r>
        <w:rPr>
          <w:noProof/>
        </w:rPr>
        <w:t>1</w:t>
      </w:r>
      <w:r>
        <w:rPr>
          <w:noProof/>
          <w:rtl/>
        </w:rPr>
        <w:t xml:space="preserve"> هو أساس الجدول </w:t>
      </w:r>
      <w:r>
        <w:rPr>
          <w:noProof/>
        </w:rPr>
        <w:t>1</w:t>
      </w:r>
      <w:r>
        <w:rPr>
          <w:noProof/>
          <w:rtl/>
        </w:rPr>
        <w:t xml:space="preserve"> الذي ينبغي مراجعته بشكل دوري من أجل تحديد ما إذا كان ينبغي مراجعة بيئة التداخل النمطية ومعايير التقاسم الخاصة بها؛</w:t>
      </w:r>
    </w:p>
    <w:p w:rsidR="00EE15B8" w:rsidRDefault="00EE15B8" w:rsidP="00EE15B8">
      <w:pPr>
        <w:rPr>
          <w:noProof/>
          <w:rtl/>
        </w:rPr>
      </w:pPr>
      <w:r>
        <w:rPr>
          <w:b/>
          <w:noProof/>
        </w:rPr>
        <w:t>3</w:t>
      </w:r>
      <w:r>
        <w:rPr>
          <w:noProof/>
          <w:rtl/>
        </w:rPr>
        <w:tab/>
        <w:t xml:space="preserve">بألا يتجاوز انحطاط أداء النظام بسبب الإرسالات الصادرة عن محطات تعمل في خدمات يكون توزيعها في درجة أدنى من خدمة استكشاف الأرض الساتلية أو خدمة الأرصاد الجوية الساتلية </w:t>
      </w:r>
      <w:r>
        <w:rPr>
          <w:noProof/>
        </w:rPr>
        <w:t>%1</w:t>
      </w:r>
      <w:r>
        <w:rPr>
          <w:noProof/>
          <w:rtl/>
        </w:rPr>
        <w:t xml:space="preserve"> من معايير التداخل المطبقة.</w:t>
      </w:r>
    </w:p>
    <w:p w:rsidR="00EE15B8" w:rsidRDefault="00EE15B8" w:rsidP="00EE15B8">
      <w:pPr>
        <w:pStyle w:val="TableNo"/>
        <w:rPr>
          <w:noProof/>
          <w:rtl/>
        </w:rPr>
      </w:pPr>
      <w:r>
        <w:rPr>
          <w:noProof/>
          <w:rtl/>
        </w:rPr>
        <w:t xml:space="preserve">الجـدول </w:t>
      </w:r>
      <w:r>
        <w:rPr>
          <w:noProof/>
        </w:rPr>
        <w:t>1</w:t>
      </w:r>
    </w:p>
    <w:p w:rsidR="00EE15B8" w:rsidRDefault="00EE15B8" w:rsidP="00BC75D1">
      <w:pPr>
        <w:pStyle w:val="TableTitle0"/>
        <w:rPr>
          <w:sz w:val="22"/>
          <w:szCs w:val="30"/>
          <w:rtl/>
          <w:lang w:bidi="ar-EG"/>
        </w:rPr>
      </w:pPr>
      <w:r>
        <w:rPr>
          <w:sz w:val="22"/>
          <w:szCs w:val="30"/>
          <w:rtl/>
        </w:rPr>
        <w:t>معايير التقاسم لمحطات أرضية في خدمة استكشاف الأرض الساتلية وخدمة الأرصاد الجوية الساتلية</w:t>
      </w:r>
      <w:r>
        <w:rPr>
          <w:sz w:val="22"/>
          <w:szCs w:val="30"/>
          <w:rtl/>
        </w:rPr>
        <w:br/>
        <w:t xml:space="preserve">تستعمل مركبات فضائية تدور بمدارات أرضية منخفضة (انظر الملاحظات </w:t>
      </w:r>
      <w:r>
        <w:rPr>
          <w:sz w:val="22"/>
          <w:szCs w:val="30"/>
        </w:rPr>
        <w:t>1</w:t>
      </w:r>
      <w:r>
        <w:rPr>
          <w:sz w:val="22"/>
          <w:szCs w:val="30"/>
          <w:rtl/>
        </w:rPr>
        <w:t xml:space="preserve"> و</w:t>
      </w:r>
      <w:r>
        <w:rPr>
          <w:sz w:val="22"/>
          <w:szCs w:val="30"/>
        </w:rPr>
        <w:t>2</w:t>
      </w:r>
      <w:r>
        <w:rPr>
          <w:sz w:val="22"/>
          <w:szCs w:val="30"/>
          <w:rtl/>
        </w:rPr>
        <w:t xml:space="preserve"> و</w:t>
      </w:r>
      <w:r>
        <w:rPr>
          <w:sz w:val="22"/>
          <w:szCs w:val="30"/>
        </w:rPr>
        <w:t>3</w:t>
      </w:r>
      <w:r>
        <w:rPr>
          <w:sz w:val="22"/>
          <w:szCs w:val="30"/>
          <w:rtl/>
        </w:rPr>
        <w:t xml:space="preserve"> و</w:t>
      </w:r>
      <w:r>
        <w:rPr>
          <w:sz w:val="22"/>
          <w:szCs w:val="30"/>
        </w:rPr>
        <w:t>4</w:t>
      </w:r>
      <w:r>
        <w:rPr>
          <w:sz w:val="22"/>
          <w:szCs w:val="30"/>
          <w:rtl/>
        </w:rPr>
        <w:t>)</w:t>
      </w:r>
    </w:p>
    <w:tbl>
      <w:tblPr>
        <w:bidiVisual/>
        <w:tblW w:w="5002" w:type="pct"/>
        <w:jc w:val="center"/>
        <w:tblLayout w:type="fixed"/>
        <w:tblLook w:val="04A0" w:firstRow="1" w:lastRow="0" w:firstColumn="1" w:lastColumn="0" w:noHBand="0" w:noVBand="1"/>
      </w:tblPr>
      <w:tblGrid>
        <w:gridCol w:w="1668"/>
        <w:gridCol w:w="1956"/>
        <w:gridCol w:w="1955"/>
        <w:gridCol w:w="1956"/>
        <w:gridCol w:w="2095"/>
      </w:tblGrid>
      <w:tr w:rsidR="00EE15B8" w:rsidRPr="00BC75D1" w:rsidTr="006172AD">
        <w:trPr>
          <w:jc w:val="center"/>
        </w:trPr>
        <w:tc>
          <w:tcPr>
            <w:tcW w:w="1668" w:type="dxa"/>
            <w:vMerge w:val="restart"/>
            <w:tcBorders>
              <w:top w:val="single" w:sz="6" w:space="0" w:color="auto"/>
              <w:left w:val="single" w:sz="6" w:space="0" w:color="auto"/>
              <w:bottom w:val="nil"/>
              <w:right w:val="single" w:sz="6" w:space="0" w:color="auto"/>
            </w:tcBorders>
            <w:vAlign w:val="center"/>
            <w:hideMark/>
          </w:tcPr>
          <w:p w:rsidR="00EE15B8" w:rsidRPr="00BC75D1" w:rsidRDefault="00EE15B8" w:rsidP="00BC75D1">
            <w:pPr>
              <w:pStyle w:val="Tablehead"/>
              <w:spacing w:after="40"/>
              <w:rPr>
                <w:noProof/>
                <w:position w:val="2"/>
                <w:rtl/>
              </w:rPr>
            </w:pPr>
            <w:r w:rsidRPr="00BC75D1">
              <w:rPr>
                <w:noProof/>
                <w:position w:val="2"/>
                <w:rtl/>
              </w:rPr>
              <w:t>نطاقات التردد</w:t>
            </w:r>
            <w:r w:rsidRPr="00BC75D1">
              <w:rPr>
                <w:noProof/>
                <w:position w:val="2"/>
              </w:rPr>
              <w:br/>
              <w:t>(MHz)</w:t>
            </w:r>
          </w:p>
        </w:tc>
        <w:tc>
          <w:tcPr>
            <w:tcW w:w="3909" w:type="dxa"/>
            <w:gridSpan w:val="2"/>
            <w:tcBorders>
              <w:top w:val="single" w:sz="6" w:space="0" w:color="auto"/>
              <w:left w:val="nil"/>
              <w:bottom w:val="single" w:sz="6" w:space="0" w:color="auto"/>
              <w:right w:val="single" w:sz="6" w:space="0" w:color="auto"/>
            </w:tcBorders>
            <w:hideMark/>
          </w:tcPr>
          <w:p w:rsidR="00EE15B8" w:rsidRPr="00BC75D1" w:rsidRDefault="00EE15B8" w:rsidP="00BC75D1">
            <w:pPr>
              <w:pStyle w:val="Tablehead"/>
              <w:spacing w:after="40"/>
              <w:rPr>
                <w:noProof/>
                <w:position w:val="2"/>
              </w:rPr>
            </w:pPr>
            <w:r w:rsidRPr="00BC75D1">
              <w:rPr>
                <w:noProof/>
                <w:position w:val="2"/>
                <w:rtl/>
              </w:rPr>
              <w:t xml:space="preserve">قدرة إشارة التداخل </w:t>
            </w:r>
            <w:r w:rsidRPr="00BC75D1">
              <w:rPr>
                <w:noProof/>
                <w:position w:val="2"/>
              </w:rPr>
              <w:t>(dBW)</w:t>
            </w:r>
            <w:r w:rsidRPr="00BC75D1">
              <w:rPr>
                <w:noProof/>
                <w:position w:val="2"/>
                <w:rtl/>
              </w:rPr>
              <w:t xml:space="preserve"> في عرض النطاق المرجعي التي ينبغي عدم تجاوزها لأكثر من </w:t>
            </w:r>
            <w:r w:rsidRPr="00BC75D1">
              <w:rPr>
                <w:noProof/>
                <w:position w:val="2"/>
              </w:rPr>
              <w:t>%20</w:t>
            </w:r>
            <w:r w:rsidRPr="00BC75D1">
              <w:rPr>
                <w:noProof/>
                <w:position w:val="2"/>
                <w:rtl/>
              </w:rPr>
              <w:t xml:space="preserve"> من الوقت</w:t>
            </w:r>
          </w:p>
        </w:tc>
        <w:tc>
          <w:tcPr>
            <w:tcW w:w="4049" w:type="dxa"/>
            <w:gridSpan w:val="2"/>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head"/>
              <w:spacing w:after="40"/>
              <w:rPr>
                <w:noProof/>
                <w:position w:val="2"/>
              </w:rPr>
            </w:pPr>
            <w:r w:rsidRPr="00BC75D1">
              <w:rPr>
                <w:noProof/>
                <w:position w:val="2"/>
                <w:rtl/>
              </w:rPr>
              <w:t xml:space="preserve">قدرة إشارة التداخل </w:t>
            </w:r>
            <w:r w:rsidRPr="00BC75D1">
              <w:rPr>
                <w:noProof/>
                <w:position w:val="2"/>
              </w:rPr>
              <w:t>(dBW)</w:t>
            </w:r>
            <w:r w:rsidRPr="00BC75D1">
              <w:rPr>
                <w:noProof/>
                <w:position w:val="2"/>
                <w:rtl/>
              </w:rPr>
              <w:t xml:space="preserve"> في عرض النطاق المرجعي التي ينبغي عدم تجاوزها لأكثر من </w:t>
            </w:r>
            <w:r w:rsidRPr="00BC75D1">
              <w:rPr>
                <w:noProof/>
                <w:position w:val="2"/>
              </w:rPr>
              <w:t>%p</w:t>
            </w:r>
            <w:r w:rsidRPr="00BC75D1">
              <w:rPr>
                <w:noProof/>
                <w:position w:val="2"/>
                <w:rtl/>
              </w:rPr>
              <w:t xml:space="preserve"> من الوقت</w:t>
            </w:r>
          </w:p>
        </w:tc>
      </w:tr>
      <w:tr w:rsidR="00EE15B8" w:rsidRPr="00BC75D1" w:rsidTr="006172AD">
        <w:trPr>
          <w:jc w:val="center"/>
        </w:trPr>
        <w:tc>
          <w:tcPr>
            <w:tcW w:w="1668" w:type="dxa"/>
            <w:vMerge/>
            <w:tcBorders>
              <w:top w:val="single" w:sz="6" w:space="0" w:color="auto"/>
              <w:left w:val="single" w:sz="6" w:space="0" w:color="auto"/>
              <w:bottom w:val="nil"/>
              <w:right w:val="single" w:sz="6" w:space="0" w:color="auto"/>
            </w:tcBorders>
            <w:vAlign w:val="center"/>
            <w:hideMark/>
          </w:tcPr>
          <w:p w:rsidR="00EE15B8" w:rsidRPr="00BC75D1" w:rsidRDefault="00EE15B8" w:rsidP="00BC75D1">
            <w:pPr>
              <w:overflowPunct/>
              <w:autoSpaceDE/>
              <w:autoSpaceDN/>
              <w:adjustRightInd/>
              <w:spacing w:before="40" w:after="40" w:line="260" w:lineRule="exact"/>
              <w:jc w:val="left"/>
              <w:rPr>
                <w:rFonts w:ascii="Times New Roman Bold" w:hAnsi="Times New Roman Bold"/>
                <w:b/>
                <w:bCs/>
                <w:noProof/>
                <w:position w:val="2"/>
                <w:sz w:val="20"/>
                <w:szCs w:val="26"/>
                <w:lang w:eastAsia="en-US"/>
              </w:rPr>
            </w:pPr>
          </w:p>
        </w:tc>
        <w:tc>
          <w:tcPr>
            <w:tcW w:w="3909" w:type="dxa"/>
            <w:gridSpan w:val="2"/>
            <w:tcBorders>
              <w:top w:val="single" w:sz="6" w:space="0" w:color="auto"/>
              <w:left w:val="nil"/>
              <w:bottom w:val="single" w:sz="6" w:space="0" w:color="auto"/>
              <w:right w:val="single" w:sz="6" w:space="0" w:color="auto"/>
            </w:tcBorders>
            <w:hideMark/>
          </w:tcPr>
          <w:p w:rsidR="00EE15B8" w:rsidRPr="00BC75D1" w:rsidRDefault="00EE15B8" w:rsidP="00BC75D1">
            <w:pPr>
              <w:pStyle w:val="Tablehead"/>
              <w:spacing w:after="40"/>
              <w:rPr>
                <w:position w:val="2"/>
              </w:rPr>
            </w:pPr>
            <w:r w:rsidRPr="00BC75D1">
              <w:rPr>
                <w:noProof/>
                <w:position w:val="2"/>
                <w:rtl/>
              </w:rPr>
              <w:t>مسير الإشارة المسببة للتداخل</w:t>
            </w:r>
          </w:p>
        </w:tc>
        <w:tc>
          <w:tcPr>
            <w:tcW w:w="4049" w:type="dxa"/>
            <w:gridSpan w:val="2"/>
            <w:tcBorders>
              <w:top w:val="single" w:sz="6" w:space="0" w:color="auto"/>
              <w:left w:val="nil"/>
              <w:bottom w:val="single" w:sz="6" w:space="0" w:color="auto"/>
              <w:right w:val="single" w:sz="4" w:space="0" w:color="auto"/>
            </w:tcBorders>
            <w:hideMark/>
          </w:tcPr>
          <w:p w:rsidR="00EE15B8" w:rsidRPr="00BC75D1" w:rsidRDefault="00EE15B8" w:rsidP="00BC75D1">
            <w:pPr>
              <w:pStyle w:val="Tablehead"/>
              <w:spacing w:after="40"/>
              <w:rPr>
                <w:position w:val="2"/>
              </w:rPr>
            </w:pPr>
            <w:r w:rsidRPr="00BC75D1">
              <w:rPr>
                <w:noProof/>
                <w:position w:val="2"/>
                <w:rtl/>
              </w:rPr>
              <w:t>مسير الإشارة المسببة للتداخل</w:t>
            </w:r>
          </w:p>
        </w:tc>
      </w:tr>
      <w:tr w:rsidR="00EE15B8" w:rsidRPr="00BC75D1" w:rsidTr="006172AD">
        <w:trPr>
          <w:jc w:val="center"/>
        </w:trPr>
        <w:tc>
          <w:tcPr>
            <w:tcW w:w="1668" w:type="dxa"/>
            <w:tcBorders>
              <w:top w:val="nil"/>
              <w:left w:val="single" w:sz="6" w:space="0" w:color="auto"/>
              <w:bottom w:val="nil"/>
              <w:right w:val="single" w:sz="6" w:space="0" w:color="auto"/>
            </w:tcBorders>
          </w:tcPr>
          <w:p w:rsidR="00EE15B8" w:rsidRPr="00BC75D1" w:rsidRDefault="00EE15B8" w:rsidP="00BC75D1">
            <w:pPr>
              <w:spacing w:before="40" w:after="40" w:line="260" w:lineRule="exact"/>
              <w:jc w:val="center"/>
              <w:rPr>
                <w:b/>
                <w:bCs/>
                <w:noProof/>
                <w:position w:val="2"/>
                <w:sz w:val="20"/>
                <w:szCs w:val="26"/>
              </w:rPr>
            </w:pPr>
          </w:p>
        </w:tc>
        <w:tc>
          <w:tcPr>
            <w:tcW w:w="1955" w:type="dxa"/>
            <w:tcBorders>
              <w:top w:val="single" w:sz="6" w:space="0" w:color="auto"/>
              <w:left w:val="nil"/>
              <w:bottom w:val="single" w:sz="6" w:space="0" w:color="auto"/>
              <w:right w:val="single" w:sz="6" w:space="0" w:color="auto"/>
            </w:tcBorders>
            <w:hideMark/>
          </w:tcPr>
          <w:p w:rsidR="00EE15B8" w:rsidRPr="00BC75D1" w:rsidRDefault="00EE15B8" w:rsidP="00BC75D1">
            <w:pPr>
              <w:pStyle w:val="Tablehead"/>
              <w:spacing w:after="40"/>
              <w:rPr>
                <w:noProof/>
                <w:position w:val="2"/>
              </w:rPr>
            </w:pPr>
            <w:r w:rsidRPr="00BC75D1">
              <w:rPr>
                <w:noProof/>
                <w:position w:val="2"/>
                <w:rtl/>
              </w:rPr>
              <w:t>فضاء-أرض</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head"/>
              <w:spacing w:after="40"/>
              <w:rPr>
                <w:noProof/>
                <w:position w:val="2"/>
              </w:rPr>
            </w:pPr>
            <w:r w:rsidRPr="00BC75D1">
              <w:rPr>
                <w:noProof/>
                <w:position w:val="2"/>
                <w:rtl/>
              </w:rPr>
              <w:t>للأرض</w:t>
            </w:r>
          </w:p>
        </w:tc>
        <w:tc>
          <w:tcPr>
            <w:tcW w:w="1955" w:type="dxa"/>
            <w:tcBorders>
              <w:top w:val="single" w:sz="6" w:space="0" w:color="auto"/>
              <w:left w:val="nil"/>
              <w:bottom w:val="single" w:sz="6" w:space="0" w:color="auto"/>
              <w:right w:val="single" w:sz="6" w:space="0" w:color="auto"/>
            </w:tcBorders>
            <w:hideMark/>
          </w:tcPr>
          <w:p w:rsidR="00EE15B8" w:rsidRPr="00BC75D1" w:rsidRDefault="00EE15B8" w:rsidP="00BC75D1">
            <w:pPr>
              <w:spacing w:before="40" w:after="40" w:line="260" w:lineRule="exact"/>
              <w:jc w:val="center"/>
              <w:rPr>
                <w:b/>
                <w:bCs/>
                <w:noProof/>
                <w:position w:val="2"/>
                <w:sz w:val="20"/>
                <w:szCs w:val="26"/>
              </w:rPr>
            </w:pPr>
            <w:r w:rsidRPr="00BC75D1">
              <w:rPr>
                <w:b/>
                <w:bCs/>
                <w:noProof/>
                <w:position w:val="2"/>
                <w:sz w:val="20"/>
                <w:szCs w:val="26"/>
                <w:rtl/>
              </w:rPr>
              <w:t>فضاء-أرض</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head"/>
              <w:spacing w:after="40"/>
              <w:rPr>
                <w:noProof/>
                <w:position w:val="2"/>
              </w:rPr>
            </w:pPr>
            <w:r w:rsidRPr="00BC75D1">
              <w:rPr>
                <w:noProof/>
                <w:position w:val="2"/>
                <w:rtl/>
              </w:rPr>
              <w:t>للأرض</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138-137</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147–</w:t>
            </w:r>
            <w:r w:rsidR="00965D52" w:rsidRPr="00BC75D1">
              <w:rPr>
                <w:rFonts w:hint="cs"/>
                <w:position w:val="2"/>
                <w:rtl/>
              </w:rPr>
              <w:t xml:space="preserve"> </w:t>
            </w:r>
            <w:r w:rsidRPr="00BC75D1">
              <w:rPr>
                <w:position w:val="2"/>
                <w:rtl/>
              </w:rPr>
              <w:t>لكل</w:t>
            </w:r>
            <w:r w:rsidRPr="00BC75D1">
              <w:rPr>
                <w:position w:val="2"/>
              </w:rPr>
              <w:br/>
            </w:r>
            <w:r w:rsidRPr="00BC75D1">
              <w:rPr>
                <w:rStyle w:val="FootnoteReference"/>
                <w:position w:val="2"/>
                <w:sz w:val="20"/>
                <w:szCs w:val="26"/>
                <w:vertAlign w:val="superscript"/>
              </w:rPr>
              <w:t>(1)</w:t>
            </w:r>
            <w:r w:rsidRPr="00BC75D1">
              <w:rPr>
                <w:position w:val="2"/>
              </w:rPr>
              <w:t>kHz 150</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146–</w:t>
            </w:r>
            <w:r w:rsidR="00965D52" w:rsidRPr="00BC75D1">
              <w:rPr>
                <w:rFonts w:hint="cs"/>
                <w:position w:val="2"/>
                <w:rtl/>
              </w:rPr>
              <w:t xml:space="preserve"> </w:t>
            </w:r>
            <w:r w:rsidRPr="00BC75D1">
              <w:rPr>
                <w:position w:val="2"/>
                <w:rtl/>
              </w:rPr>
              <w:t>لكل</w:t>
            </w:r>
            <w:r w:rsidRPr="00BC75D1">
              <w:rPr>
                <w:position w:val="2"/>
              </w:rPr>
              <w:br/>
            </w:r>
            <w:r w:rsidR="00965D52" w:rsidRPr="00BC75D1">
              <w:rPr>
                <w:rStyle w:val="FootnoteReference"/>
                <w:position w:val="2"/>
                <w:sz w:val="20"/>
                <w:szCs w:val="26"/>
                <w:vertAlign w:val="superscript"/>
              </w:rPr>
              <w:t>(1)</w:t>
            </w:r>
            <w:r w:rsidR="00965D52" w:rsidRPr="00BC75D1">
              <w:rPr>
                <w:position w:val="2"/>
              </w:rPr>
              <w:t>kHz 150</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136–</w:t>
            </w:r>
            <w:r w:rsidR="00965D52" w:rsidRPr="00BC75D1">
              <w:rPr>
                <w:rFonts w:hint="cs"/>
                <w:position w:val="2"/>
                <w:rtl/>
              </w:rPr>
              <w:t xml:space="preserve"> </w:t>
            </w:r>
            <w:r w:rsidRPr="00BC75D1">
              <w:rPr>
                <w:position w:val="2"/>
                <w:rtl/>
              </w:rPr>
              <w:t>لكل</w:t>
            </w:r>
            <w:r w:rsidRPr="00BC75D1">
              <w:rPr>
                <w:position w:val="2"/>
              </w:rPr>
              <w:br/>
            </w:r>
            <w:r w:rsidR="00965D52" w:rsidRPr="00BC75D1">
              <w:rPr>
                <w:rStyle w:val="FootnoteReference"/>
                <w:position w:val="2"/>
                <w:sz w:val="20"/>
                <w:szCs w:val="26"/>
                <w:vertAlign w:val="superscript"/>
              </w:rPr>
              <w:t>(1)</w:t>
            </w:r>
            <w:r w:rsidR="00965D52" w:rsidRPr="00BC75D1">
              <w:rPr>
                <w:position w:val="2"/>
              </w:rPr>
              <w:t>kHz 150</w:t>
            </w:r>
            <w:r w:rsidRPr="00BC75D1">
              <w:rPr>
                <w:position w:val="2"/>
              </w:rPr>
              <w:br/>
            </w:r>
            <w:r w:rsidRPr="00BC75D1">
              <w:rPr>
                <w:i/>
                <w:iCs/>
                <w:position w:val="2"/>
              </w:rPr>
              <w:t>p</w:t>
            </w:r>
            <w:r w:rsidRPr="00BC75D1">
              <w:rPr>
                <w:position w:val="2"/>
              </w:rPr>
              <w:t> </w:t>
            </w:r>
            <w:r w:rsidRPr="00BC75D1">
              <w:rPr>
                <w:rFonts w:ascii="Symbol" w:hAnsi="Symbol"/>
                <w:position w:val="2"/>
              </w:rPr>
              <w:t></w:t>
            </w:r>
            <w:r w:rsidRPr="00BC75D1">
              <w:rPr>
                <w:position w:val="2"/>
              </w:rPr>
              <w:t> 0,0031</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137–</w:t>
            </w:r>
            <w:r w:rsidR="00965D52" w:rsidRPr="00BC75D1">
              <w:rPr>
                <w:rFonts w:hint="cs"/>
                <w:position w:val="2"/>
                <w:rtl/>
              </w:rPr>
              <w:t xml:space="preserve"> </w:t>
            </w:r>
            <w:r w:rsidRPr="00BC75D1">
              <w:rPr>
                <w:position w:val="2"/>
                <w:rtl/>
              </w:rPr>
              <w:t>لكل</w:t>
            </w:r>
            <w:r w:rsidRPr="00BC75D1">
              <w:rPr>
                <w:position w:val="2"/>
              </w:rPr>
              <w:br/>
            </w:r>
            <w:r w:rsidR="00965D52" w:rsidRPr="00BC75D1">
              <w:rPr>
                <w:rStyle w:val="FootnoteReference"/>
                <w:position w:val="2"/>
                <w:sz w:val="20"/>
                <w:szCs w:val="26"/>
                <w:vertAlign w:val="superscript"/>
              </w:rPr>
              <w:t>(1)</w:t>
            </w:r>
            <w:r w:rsidR="00965D52" w:rsidRPr="00BC75D1">
              <w:rPr>
                <w:position w:val="2"/>
              </w:rPr>
              <w:t>kHz 150</w:t>
            </w:r>
            <w:r w:rsidRPr="00BC75D1">
              <w:rPr>
                <w:position w:val="2"/>
              </w:rPr>
              <w:br/>
            </w:r>
            <w:r w:rsidRPr="00BC75D1">
              <w:rPr>
                <w:i/>
                <w:iCs/>
                <w:position w:val="2"/>
              </w:rPr>
              <w:t>p</w:t>
            </w:r>
            <w:r w:rsidRPr="00BC75D1">
              <w:rPr>
                <w:position w:val="2"/>
              </w:rPr>
              <w:t> </w:t>
            </w:r>
            <w:r w:rsidRPr="00BC75D1">
              <w:rPr>
                <w:rFonts w:ascii="Symbol" w:hAnsi="Symbol"/>
                <w:position w:val="2"/>
              </w:rPr>
              <w:t></w:t>
            </w:r>
            <w:r w:rsidRPr="00BC75D1">
              <w:rPr>
                <w:position w:val="2"/>
              </w:rPr>
              <w:t> 0,0063</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401,00-400,15</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161–</w:t>
            </w:r>
            <w:r w:rsidR="00965D52" w:rsidRPr="00BC75D1">
              <w:rPr>
                <w:rFonts w:hint="cs"/>
                <w:position w:val="2"/>
                <w:rtl/>
              </w:rPr>
              <w:t xml:space="preserve"> </w:t>
            </w:r>
            <w:r w:rsidRPr="00BC75D1">
              <w:rPr>
                <w:position w:val="2"/>
                <w:rtl/>
              </w:rPr>
              <w:t>لكل</w:t>
            </w:r>
            <w:r w:rsidRPr="00BC75D1">
              <w:rPr>
                <w:position w:val="2"/>
              </w:rPr>
              <w:br/>
              <w:t>kHz 177,5</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163–</w:t>
            </w:r>
            <w:r w:rsidR="00965D52" w:rsidRPr="00BC75D1">
              <w:rPr>
                <w:rFonts w:hint="cs"/>
                <w:position w:val="2"/>
                <w:rtl/>
              </w:rPr>
              <w:t xml:space="preserve"> </w:t>
            </w:r>
            <w:r w:rsidRPr="00BC75D1">
              <w:rPr>
                <w:position w:val="2"/>
                <w:rtl/>
              </w:rPr>
              <w:t>لكل</w:t>
            </w:r>
            <w:r w:rsidRPr="00BC75D1">
              <w:rPr>
                <w:position w:val="2"/>
              </w:rPr>
              <w:br/>
              <w:t>kHz 177,5</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147–</w:t>
            </w:r>
            <w:r w:rsidR="00965D52" w:rsidRPr="00BC75D1">
              <w:rPr>
                <w:rFonts w:hint="cs"/>
                <w:position w:val="2"/>
                <w:rtl/>
              </w:rPr>
              <w:t xml:space="preserve"> </w:t>
            </w:r>
            <w:r w:rsidRPr="00BC75D1">
              <w:rPr>
                <w:position w:val="2"/>
                <w:rtl/>
              </w:rPr>
              <w:t>لكل</w:t>
            </w:r>
            <w:r w:rsidRPr="00BC75D1">
              <w:rPr>
                <w:position w:val="2"/>
              </w:rPr>
              <w:br/>
              <w:t>kHz 177,5</w:t>
            </w:r>
            <w:r w:rsidRPr="00BC75D1">
              <w:rPr>
                <w:position w:val="2"/>
              </w:rPr>
              <w:br/>
            </w:r>
            <w:r w:rsidRPr="00BC75D1">
              <w:rPr>
                <w:i/>
                <w:iCs/>
                <w:position w:val="2"/>
              </w:rPr>
              <w:t>p</w:t>
            </w:r>
            <w:r w:rsidRPr="00BC75D1">
              <w:rPr>
                <w:position w:val="2"/>
              </w:rPr>
              <w:t> </w:t>
            </w:r>
            <w:r w:rsidRPr="00BC75D1">
              <w:rPr>
                <w:rFonts w:ascii="Symbol" w:hAnsi="Symbol"/>
                <w:position w:val="2"/>
              </w:rPr>
              <w:t></w:t>
            </w:r>
            <w:r w:rsidRPr="00BC75D1">
              <w:rPr>
                <w:position w:val="2"/>
              </w:rPr>
              <w:t> 0,0031</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147–</w:t>
            </w:r>
            <w:r w:rsidR="00965D52" w:rsidRPr="00BC75D1">
              <w:rPr>
                <w:rFonts w:hint="cs"/>
                <w:position w:val="2"/>
                <w:rtl/>
              </w:rPr>
              <w:t xml:space="preserve"> </w:t>
            </w:r>
            <w:r w:rsidRPr="00BC75D1">
              <w:rPr>
                <w:position w:val="2"/>
                <w:rtl/>
              </w:rPr>
              <w:t>لكل</w:t>
            </w:r>
            <w:r w:rsidRPr="00BC75D1">
              <w:rPr>
                <w:position w:val="2"/>
              </w:rPr>
              <w:br/>
              <w:t>kHz 177,5</w:t>
            </w:r>
            <w:r w:rsidRPr="00BC75D1">
              <w:rPr>
                <w:position w:val="2"/>
              </w:rPr>
              <w:br/>
            </w:r>
            <w:r w:rsidRPr="00BC75D1">
              <w:rPr>
                <w:i/>
                <w:iCs/>
                <w:position w:val="2"/>
              </w:rPr>
              <w:t>p</w:t>
            </w:r>
            <w:r w:rsidRPr="00BC75D1">
              <w:rPr>
                <w:position w:val="2"/>
              </w:rPr>
              <w:t> </w:t>
            </w:r>
            <w:r w:rsidRPr="00BC75D1">
              <w:rPr>
                <w:rFonts w:ascii="Symbol" w:hAnsi="Symbol"/>
                <w:position w:val="2"/>
              </w:rPr>
              <w:t></w:t>
            </w:r>
            <w:r w:rsidRPr="00BC75D1">
              <w:rPr>
                <w:position w:val="2"/>
              </w:rPr>
              <w:t> 0,0063</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1</w:t>
            </w:r>
            <w:r w:rsidRPr="00BC75D1">
              <w:rPr>
                <w:rFonts w:ascii="Tms Rmn" w:hAnsi="Tms Rmn"/>
                <w:b/>
                <w:position w:val="2"/>
              </w:rPr>
              <w:t> </w:t>
            </w:r>
            <w:r w:rsidRPr="00BC75D1">
              <w:rPr>
                <w:position w:val="2"/>
              </w:rPr>
              <w:t>700-1</w:t>
            </w:r>
            <w:r w:rsidRPr="00BC75D1">
              <w:rPr>
                <w:rFonts w:ascii="Tms Rmn" w:hAnsi="Tms Rmn"/>
                <w:b/>
                <w:position w:val="2"/>
              </w:rPr>
              <w:t> </w:t>
            </w:r>
            <w:r w:rsidRPr="00BC75D1">
              <w:rPr>
                <w:position w:val="2"/>
              </w:rPr>
              <w:t>698</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w:t>
            </w:r>
            <w:r w:rsidR="00965D52" w:rsidRPr="00BC75D1">
              <w:rPr>
                <w:position w:val="2"/>
              </w:rPr>
              <w:t>BW 149–</w:t>
            </w:r>
            <w:r w:rsidR="00965D52" w:rsidRPr="00BC75D1">
              <w:rPr>
                <w:rFonts w:hint="cs"/>
                <w:position w:val="2"/>
                <w:rtl/>
              </w:rPr>
              <w:t xml:space="preserve"> </w:t>
            </w:r>
            <w:r w:rsidRPr="00BC75D1">
              <w:rPr>
                <w:position w:val="2"/>
                <w:rtl/>
              </w:rPr>
              <w:t>لكل</w:t>
            </w:r>
            <w:r w:rsidRPr="00BC75D1">
              <w:rPr>
                <w:position w:val="2"/>
              </w:rPr>
              <w:br/>
              <w:t>kHz 2</w:t>
            </w:r>
            <w:r w:rsidRPr="00BC75D1">
              <w:rPr>
                <w:rFonts w:ascii="Tms Rmn" w:hAnsi="Tms Rmn"/>
                <w:b/>
                <w:position w:val="2"/>
              </w:rPr>
              <w:t> </w:t>
            </w:r>
            <w:r w:rsidRPr="00BC75D1">
              <w:rPr>
                <w:position w:val="2"/>
              </w:rPr>
              <w:t>668</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149–</w:t>
            </w:r>
            <w:r w:rsidR="00965D52" w:rsidRPr="00BC75D1">
              <w:rPr>
                <w:rFonts w:hint="cs"/>
                <w:position w:val="2"/>
                <w:rtl/>
              </w:rPr>
              <w:t xml:space="preserve"> </w:t>
            </w:r>
            <w:r w:rsidRPr="00BC75D1">
              <w:rPr>
                <w:position w:val="2"/>
                <w:rtl/>
              </w:rPr>
              <w:t>لكل</w:t>
            </w:r>
            <w:r w:rsidRPr="00BC75D1">
              <w:rPr>
                <w:position w:val="2"/>
              </w:rPr>
              <w:br/>
              <w:t>kHz 2</w:t>
            </w:r>
            <w:r w:rsidRPr="00BC75D1">
              <w:rPr>
                <w:rFonts w:ascii="Tms Rmn" w:hAnsi="Tms Rmn"/>
                <w:b/>
                <w:position w:val="2"/>
              </w:rPr>
              <w:t> </w:t>
            </w:r>
            <w:r w:rsidRPr="00BC75D1">
              <w:rPr>
                <w:position w:val="2"/>
              </w:rPr>
              <w:t>668</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138–</w:t>
            </w:r>
            <w:r w:rsidR="00965D52" w:rsidRPr="00BC75D1">
              <w:rPr>
                <w:rFonts w:hint="cs"/>
                <w:position w:val="2"/>
                <w:rtl/>
              </w:rPr>
              <w:t xml:space="preserve"> </w:t>
            </w:r>
            <w:r w:rsidRPr="00BC75D1">
              <w:rPr>
                <w:position w:val="2"/>
                <w:rtl/>
              </w:rPr>
              <w:t>لكل</w:t>
            </w:r>
            <w:r w:rsidRPr="00BC75D1">
              <w:rPr>
                <w:position w:val="2"/>
              </w:rPr>
              <w:br/>
              <w:t>kHz 2</w:t>
            </w:r>
            <w:r w:rsidRPr="00BC75D1">
              <w:rPr>
                <w:rFonts w:ascii="Tms Rmn" w:hAnsi="Tms Rmn"/>
                <w:b/>
                <w:position w:val="2"/>
              </w:rPr>
              <w:t> </w:t>
            </w:r>
            <w:r w:rsidRPr="00BC75D1">
              <w:rPr>
                <w:position w:val="2"/>
              </w:rPr>
              <w:t xml:space="preserve">668 </w:t>
            </w:r>
            <w:r w:rsidRPr="00BC75D1">
              <w:rPr>
                <w:i/>
                <w:position w:val="2"/>
              </w:rPr>
              <w:t>p</w:t>
            </w:r>
            <w:r w:rsidRPr="00BC75D1">
              <w:rPr>
                <w:position w:val="2"/>
              </w:rPr>
              <w:t> </w:t>
            </w:r>
            <w:r w:rsidRPr="00BC75D1">
              <w:rPr>
                <w:rFonts w:ascii="Symbol" w:hAnsi="Symbol"/>
                <w:position w:val="2"/>
              </w:rPr>
              <w:t></w:t>
            </w:r>
            <w:r w:rsidRPr="00BC75D1">
              <w:rPr>
                <w:position w:val="2"/>
              </w:rPr>
              <w:t> 0,0050</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138–</w:t>
            </w:r>
            <w:r w:rsidR="00965D52" w:rsidRPr="00BC75D1">
              <w:rPr>
                <w:rFonts w:hint="cs"/>
                <w:position w:val="2"/>
                <w:rtl/>
              </w:rPr>
              <w:t xml:space="preserve"> </w:t>
            </w:r>
            <w:r w:rsidRPr="00BC75D1">
              <w:rPr>
                <w:position w:val="2"/>
                <w:rtl/>
              </w:rPr>
              <w:t>لكل</w:t>
            </w:r>
            <w:r w:rsidRPr="00BC75D1">
              <w:rPr>
                <w:position w:val="2"/>
              </w:rPr>
              <w:br/>
              <w:t>kHz 2</w:t>
            </w:r>
            <w:r w:rsidRPr="00BC75D1">
              <w:rPr>
                <w:rFonts w:ascii="Tms Rmn" w:hAnsi="Tms Rmn"/>
                <w:b/>
                <w:position w:val="2"/>
              </w:rPr>
              <w:t> </w:t>
            </w:r>
            <w:r w:rsidRPr="00BC75D1">
              <w:rPr>
                <w:position w:val="2"/>
              </w:rPr>
              <w:t>668</w:t>
            </w:r>
            <w:r w:rsidR="003D093E">
              <w:rPr>
                <w:position w:val="2"/>
                <w:rtl/>
              </w:rPr>
              <w:br/>
            </w:r>
            <w:r w:rsidRPr="00BC75D1">
              <w:rPr>
                <w:position w:val="2"/>
              </w:rPr>
              <w:t xml:space="preserve"> </w:t>
            </w:r>
            <w:r w:rsidRPr="00BC75D1">
              <w:rPr>
                <w:i/>
                <w:position w:val="2"/>
              </w:rPr>
              <w:t>p</w:t>
            </w:r>
            <w:r w:rsidRPr="00BC75D1">
              <w:rPr>
                <w:position w:val="2"/>
              </w:rPr>
              <w:t> </w:t>
            </w:r>
            <w:r w:rsidRPr="00BC75D1">
              <w:rPr>
                <w:rFonts w:ascii="Symbol" w:hAnsi="Symbol"/>
                <w:position w:val="2"/>
              </w:rPr>
              <w:t></w:t>
            </w:r>
            <w:r w:rsidRPr="00BC75D1">
              <w:rPr>
                <w:position w:val="2"/>
              </w:rPr>
              <w:t> 0,0025</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1</w:t>
            </w:r>
            <w:r w:rsidRPr="00BC75D1">
              <w:rPr>
                <w:rFonts w:ascii="Tms Rmn" w:hAnsi="Tms Rmn"/>
                <w:b/>
                <w:position w:val="2"/>
              </w:rPr>
              <w:t> </w:t>
            </w:r>
            <w:r w:rsidRPr="00BC75D1">
              <w:rPr>
                <w:position w:val="2"/>
              </w:rPr>
              <w:t>710-1</w:t>
            </w:r>
            <w:r w:rsidRPr="00BC75D1">
              <w:rPr>
                <w:rFonts w:ascii="Tms Rmn" w:hAnsi="Tms Rmn"/>
                <w:b/>
                <w:position w:val="2"/>
              </w:rPr>
              <w:t> </w:t>
            </w:r>
            <w:r w:rsidRPr="00BC75D1">
              <w:rPr>
                <w:position w:val="2"/>
              </w:rPr>
              <w:t>700</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156–</w:t>
            </w:r>
            <w:r w:rsidR="00965D52" w:rsidRPr="00BC75D1">
              <w:rPr>
                <w:rFonts w:hint="cs"/>
                <w:position w:val="2"/>
                <w:rtl/>
              </w:rPr>
              <w:t xml:space="preserve"> </w:t>
            </w:r>
            <w:r w:rsidR="003D093E">
              <w:rPr>
                <w:position w:val="2"/>
                <w:rtl/>
              </w:rPr>
              <w:br/>
            </w:r>
            <w:r w:rsidRPr="00BC75D1">
              <w:rPr>
                <w:position w:val="2"/>
                <w:rtl/>
              </w:rPr>
              <w:t>لكل</w:t>
            </w:r>
            <w:r w:rsidRPr="00BC75D1">
              <w:rPr>
                <w:position w:val="2"/>
              </w:rPr>
              <w:br/>
              <w:t>kHz 2</w:t>
            </w:r>
            <w:r w:rsidRPr="00BC75D1">
              <w:rPr>
                <w:rFonts w:ascii="Tms Rmn" w:hAnsi="Tms Rmn"/>
                <w:b/>
                <w:position w:val="2"/>
              </w:rPr>
              <w:t> </w:t>
            </w:r>
            <w:r w:rsidRPr="00BC75D1">
              <w:rPr>
                <w:position w:val="2"/>
              </w:rPr>
              <w:t>668</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150–</w:t>
            </w:r>
          </w:p>
          <w:p w:rsidR="00EE15B8" w:rsidRPr="00BC75D1" w:rsidRDefault="00EE15B8" w:rsidP="00BC75D1">
            <w:pPr>
              <w:pStyle w:val="Tabletext"/>
              <w:spacing w:before="40" w:after="40"/>
              <w:jc w:val="center"/>
              <w:rPr>
                <w:position w:val="2"/>
              </w:rPr>
            </w:pPr>
            <w:r w:rsidRPr="00BC75D1">
              <w:rPr>
                <w:position w:val="2"/>
                <w:rtl/>
              </w:rPr>
              <w:t>لكل</w:t>
            </w:r>
            <w:r w:rsidRPr="00BC75D1">
              <w:rPr>
                <w:position w:val="2"/>
              </w:rPr>
              <w:br/>
              <w:t>2</w:t>
            </w:r>
            <w:r w:rsidRPr="00BC75D1">
              <w:rPr>
                <w:rFonts w:ascii="Tms Rmn" w:hAnsi="Tms Rmn"/>
                <w:b/>
                <w:position w:val="2"/>
              </w:rPr>
              <w:t> </w:t>
            </w:r>
            <w:r w:rsidRPr="00BC75D1">
              <w:rPr>
                <w:position w:val="2"/>
              </w:rPr>
              <w:t>668 kHz</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139–</w:t>
            </w:r>
            <w:r w:rsidRPr="00BC75D1">
              <w:rPr>
                <w:position w:val="2"/>
              </w:rPr>
              <w:br/>
            </w:r>
            <w:r w:rsidRPr="00BC75D1">
              <w:rPr>
                <w:position w:val="2"/>
                <w:rtl/>
              </w:rPr>
              <w:t>لكل</w:t>
            </w:r>
            <w:r w:rsidRPr="00BC75D1">
              <w:rPr>
                <w:position w:val="2"/>
              </w:rPr>
              <w:br/>
              <w:t xml:space="preserve"> kHz 2</w:t>
            </w:r>
            <w:r w:rsidRPr="00BC75D1">
              <w:rPr>
                <w:rFonts w:ascii="Tms Rmn" w:hAnsi="Tms Rmn"/>
                <w:b/>
                <w:position w:val="2"/>
              </w:rPr>
              <w:t> </w:t>
            </w:r>
            <w:r w:rsidRPr="00BC75D1">
              <w:rPr>
                <w:position w:val="2"/>
              </w:rPr>
              <w:t>668</w:t>
            </w:r>
            <w:r w:rsidRPr="00BC75D1">
              <w:rPr>
                <w:position w:val="2"/>
              </w:rPr>
              <w:br/>
            </w:r>
            <w:r w:rsidRPr="00BC75D1">
              <w:rPr>
                <w:i/>
                <w:position w:val="2"/>
              </w:rPr>
              <w:t>p</w:t>
            </w:r>
            <w:r w:rsidRPr="00BC75D1">
              <w:rPr>
                <w:position w:val="2"/>
              </w:rPr>
              <w:t> </w:t>
            </w:r>
            <w:r w:rsidRPr="00BC75D1">
              <w:rPr>
                <w:rFonts w:ascii="Symbol" w:hAnsi="Symbol"/>
                <w:position w:val="2"/>
              </w:rPr>
              <w:t></w:t>
            </w:r>
            <w:r w:rsidRPr="00BC75D1">
              <w:rPr>
                <w:position w:val="2"/>
              </w:rPr>
              <w:t> 0,0016</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138–</w:t>
            </w:r>
            <w:r w:rsidRPr="00BC75D1">
              <w:rPr>
                <w:position w:val="2"/>
              </w:rPr>
              <w:br/>
            </w:r>
            <w:r w:rsidRPr="00BC75D1">
              <w:rPr>
                <w:position w:val="2"/>
                <w:rtl/>
              </w:rPr>
              <w:t>لكل</w:t>
            </w:r>
            <w:r w:rsidRPr="00BC75D1">
              <w:rPr>
                <w:position w:val="2"/>
              </w:rPr>
              <w:br/>
              <w:t>kHz 2</w:t>
            </w:r>
            <w:r w:rsidRPr="00BC75D1">
              <w:rPr>
                <w:rFonts w:ascii="Tms Rmn" w:hAnsi="Tms Rmn"/>
                <w:b/>
                <w:position w:val="2"/>
              </w:rPr>
              <w:t> </w:t>
            </w:r>
            <w:r w:rsidRPr="00BC75D1">
              <w:rPr>
                <w:position w:val="2"/>
              </w:rPr>
              <w:t>668</w:t>
            </w:r>
            <w:r w:rsidRPr="00BC75D1">
              <w:rPr>
                <w:position w:val="2"/>
              </w:rPr>
              <w:br/>
            </w:r>
            <w:r w:rsidRPr="00BC75D1">
              <w:rPr>
                <w:i/>
                <w:position w:val="2"/>
              </w:rPr>
              <w:t>p</w:t>
            </w:r>
            <w:r w:rsidRPr="00BC75D1">
              <w:rPr>
                <w:position w:val="2"/>
              </w:rPr>
              <w:t> </w:t>
            </w:r>
            <w:r w:rsidRPr="00BC75D1">
              <w:rPr>
                <w:rFonts w:ascii="Symbol" w:hAnsi="Symbol"/>
                <w:position w:val="2"/>
              </w:rPr>
              <w:t></w:t>
            </w:r>
            <w:r w:rsidRPr="00BC75D1">
              <w:rPr>
                <w:position w:val="2"/>
              </w:rPr>
              <w:t> 0,0094</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7 900-7</w:t>
            </w:r>
            <w:r w:rsidRPr="00BC75D1">
              <w:rPr>
                <w:rFonts w:ascii="Tms Rmn" w:hAnsi="Tms Rmn"/>
                <w:b/>
                <w:position w:val="2"/>
              </w:rPr>
              <w:t> </w:t>
            </w:r>
            <w:r w:rsidRPr="00BC75D1">
              <w:rPr>
                <w:position w:val="2"/>
              </w:rPr>
              <w:t>750</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151–</w:t>
            </w:r>
            <w:r w:rsidR="00965D52" w:rsidRPr="00BC75D1">
              <w:rPr>
                <w:rFonts w:hint="cs"/>
                <w:position w:val="2"/>
                <w:rtl/>
                <w:lang w:bidi="ar-EG"/>
              </w:rPr>
              <w:t xml:space="preserve"> </w:t>
            </w:r>
            <w:r w:rsidRPr="00BC75D1">
              <w:rPr>
                <w:position w:val="2"/>
                <w:rtl/>
              </w:rPr>
              <w:t>لكل</w:t>
            </w:r>
            <w:r w:rsidRPr="00BC75D1">
              <w:rPr>
                <w:position w:val="2"/>
              </w:rPr>
              <w:br/>
              <w:t>MHz 10</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C50C56" w:rsidP="00C50C56">
            <w:pPr>
              <w:pStyle w:val="Tabletext"/>
              <w:spacing w:before="40" w:after="40"/>
              <w:jc w:val="center"/>
              <w:rPr>
                <w:position w:val="2"/>
              </w:rPr>
            </w:pPr>
            <w:r>
              <w:rPr>
                <w:position w:val="2"/>
              </w:rPr>
              <w:t>dBW 148</w:t>
            </w:r>
            <w:r w:rsidR="00EE15B8" w:rsidRPr="00BC75D1">
              <w:rPr>
                <w:position w:val="2"/>
              </w:rPr>
              <w:t>–</w:t>
            </w:r>
            <w:r>
              <w:rPr>
                <w:rFonts w:hint="cs"/>
                <w:position w:val="2"/>
                <w:rtl/>
                <w:lang w:bidi="ar-EG"/>
              </w:rPr>
              <w:t xml:space="preserve"> </w:t>
            </w:r>
            <w:r w:rsidR="00EE15B8" w:rsidRPr="00BC75D1">
              <w:rPr>
                <w:position w:val="2"/>
                <w:rtl/>
              </w:rPr>
              <w:t>لكل</w:t>
            </w:r>
            <w:r w:rsidR="00EE15B8" w:rsidRPr="00BC75D1">
              <w:rPr>
                <w:position w:val="2"/>
              </w:rPr>
              <w:br/>
              <w:t>MHz 10</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3D093E">
            <w:pPr>
              <w:pStyle w:val="Tabletext"/>
              <w:spacing w:before="40" w:after="40"/>
              <w:jc w:val="center"/>
              <w:rPr>
                <w:position w:val="2"/>
              </w:rPr>
            </w:pPr>
            <w:r w:rsidRPr="00BC75D1">
              <w:rPr>
                <w:position w:val="2"/>
              </w:rPr>
              <w:t>dBW 127–</w:t>
            </w:r>
            <w:r w:rsidR="003D093E">
              <w:rPr>
                <w:rFonts w:hint="cs"/>
                <w:position w:val="2"/>
                <w:rtl/>
                <w:lang w:bidi="ar-EG"/>
              </w:rPr>
              <w:t xml:space="preserve"> </w:t>
            </w:r>
            <w:r w:rsidRPr="00BC75D1">
              <w:rPr>
                <w:position w:val="2"/>
                <w:rtl/>
              </w:rPr>
              <w:t>لكل</w:t>
            </w:r>
            <w:r w:rsidRPr="00BC75D1">
              <w:rPr>
                <w:position w:val="2"/>
              </w:rPr>
              <w:br/>
            </w:r>
            <w:r w:rsidR="00C50C56">
              <w:rPr>
                <w:position w:val="2"/>
              </w:rPr>
              <w:t>MHz </w:t>
            </w:r>
            <w:r w:rsidRPr="00BC75D1">
              <w:rPr>
                <w:position w:val="2"/>
              </w:rPr>
              <w:t>10</w:t>
            </w:r>
            <w:r w:rsidRPr="00BC75D1">
              <w:rPr>
                <w:position w:val="2"/>
              </w:rPr>
              <w:br/>
            </w:r>
            <w:r w:rsidRPr="00BC75D1">
              <w:rPr>
                <w:i/>
                <w:position w:val="2"/>
              </w:rPr>
              <w:t>p </w:t>
            </w:r>
            <w:r w:rsidRPr="00BC75D1">
              <w:rPr>
                <w:rFonts w:ascii="Symbol" w:hAnsi="Symbol"/>
                <w:position w:val="2"/>
              </w:rPr>
              <w:t></w:t>
            </w:r>
            <w:r w:rsidRPr="00BC75D1">
              <w:rPr>
                <w:position w:val="2"/>
              </w:rPr>
              <w:t> 0,0047</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3D093E">
            <w:pPr>
              <w:pStyle w:val="Tabletext"/>
              <w:spacing w:before="40" w:after="40"/>
              <w:jc w:val="center"/>
              <w:rPr>
                <w:position w:val="2"/>
              </w:rPr>
            </w:pPr>
            <w:r w:rsidRPr="00BC75D1">
              <w:rPr>
                <w:position w:val="2"/>
              </w:rPr>
              <w:t>dBW 127–</w:t>
            </w:r>
            <w:r w:rsidR="003D093E">
              <w:rPr>
                <w:rFonts w:hint="cs"/>
                <w:position w:val="2"/>
                <w:rtl/>
              </w:rPr>
              <w:t xml:space="preserve"> </w:t>
            </w:r>
            <w:r w:rsidRPr="00BC75D1">
              <w:rPr>
                <w:position w:val="2"/>
                <w:rtl/>
              </w:rPr>
              <w:t>لكل</w:t>
            </w:r>
            <w:r w:rsidRPr="00BC75D1">
              <w:rPr>
                <w:position w:val="2"/>
              </w:rPr>
              <w:br/>
              <w:t xml:space="preserve"> MHz 10</w:t>
            </w:r>
            <w:r w:rsidRPr="00BC75D1">
              <w:rPr>
                <w:position w:val="2"/>
              </w:rPr>
              <w:br/>
            </w:r>
            <w:r w:rsidRPr="00BC75D1">
              <w:rPr>
                <w:i/>
                <w:position w:val="2"/>
              </w:rPr>
              <w:t>p </w:t>
            </w:r>
            <w:r w:rsidRPr="00BC75D1">
              <w:rPr>
                <w:rFonts w:ascii="Symbol" w:hAnsi="Symbol"/>
                <w:position w:val="2"/>
              </w:rPr>
              <w:t></w:t>
            </w:r>
            <w:r w:rsidRPr="00BC75D1">
              <w:rPr>
                <w:position w:val="2"/>
              </w:rPr>
              <w:t> 0,0016</w:t>
            </w:r>
          </w:p>
        </w:tc>
      </w:tr>
      <w:tr w:rsidR="00EE15B8" w:rsidRPr="00BC75D1" w:rsidTr="006172AD">
        <w:trPr>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8</w:t>
            </w:r>
            <w:r w:rsidRPr="00BC75D1">
              <w:rPr>
                <w:rFonts w:ascii="Tms Rmn" w:hAnsi="Tms Rmn"/>
                <w:b/>
                <w:position w:val="2"/>
              </w:rPr>
              <w:t> </w:t>
            </w:r>
            <w:r w:rsidRPr="00BC75D1">
              <w:rPr>
                <w:position w:val="2"/>
              </w:rPr>
              <w:t>400-8</w:t>
            </w:r>
            <w:r w:rsidRPr="00BC75D1">
              <w:rPr>
                <w:rFonts w:ascii="Tms Rmn" w:hAnsi="Tms Rmn"/>
                <w:b/>
                <w:position w:val="2"/>
              </w:rPr>
              <w:t> </w:t>
            </w:r>
            <w:r w:rsidRPr="00BC75D1">
              <w:rPr>
                <w:position w:val="2"/>
              </w:rPr>
              <w:t>025</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167–</w:t>
            </w:r>
            <w:r w:rsidR="00965D52" w:rsidRPr="00BC75D1">
              <w:rPr>
                <w:rFonts w:hint="cs"/>
                <w:position w:val="2"/>
                <w:rtl/>
              </w:rPr>
              <w:t xml:space="preserve"> </w:t>
            </w:r>
            <w:r w:rsidRPr="00BC75D1">
              <w:rPr>
                <w:position w:val="2"/>
                <w:rtl/>
              </w:rPr>
              <w:t>لكل</w:t>
            </w:r>
            <w:r w:rsidRPr="00BC75D1">
              <w:rPr>
                <w:position w:val="2"/>
              </w:rPr>
              <w:br/>
              <w:t>MHz 10</w:t>
            </w:r>
          </w:p>
        </w:tc>
        <w:tc>
          <w:tcPr>
            <w:tcW w:w="1954"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150–</w:t>
            </w:r>
            <w:r w:rsidR="00965D52" w:rsidRPr="00BC75D1">
              <w:rPr>
                <w:rFonts w:hint="cs"/>
                <w:position w:val="2"/>
                <w:rtl/>
              </w:rPr>
              <w:t xml:space="preserve"> </w:t>
            </w:r>
            <w:r w:rsidRPr="00BC75D1">
              <w:rPr>
                <w:position w:val="2"/>
                <w:rtl/>
              </w:rPr>
              <w:t>لكل</w:t>
            </w:r>
            <w:r w:rsidRPr="00BC75D1">
              <w:rPr>
                <w:position w:val="2"/>
              </w:rPr>
              <w:br/>
              <w:t>MHz 10</w:t>
            </w:r>
          </w:p>
        </w:tc>
        <w:tc>
          <w:tcPr>
            <w:tcW w:w="1955" w:type="dxa"/>
            <w:tcBorders>
              <w:top w:val="single" w:sz="6" w:space="0" w:color="auto"/>
              <w:left w:val="single" w:sz="6" w:space="0" w:color="auto"/>
              <w:bottom w:val="single" w:sz="6"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133–</w:t>
            </w:r>
            <w:r w:rsidR="00965D52" w:rsidRPr="00BC75D1">
              <w:rPr>
                <w:rFonts w:hint="cs"/>
                <w:position w:val="2"/>
                <w:rtl/>
              </w:rPr>
              <w:t xml:space="preserve"> </w:t>
            </w:r>
            <w:r w:rsidRPr="00BC75D1">
              <w:rPr>
                <w:position w:val="2"/>
                <w:rtl/>
              </w:rPr>
              <w:t>لكل</w:t>
            </w:r>
            <w:r w:rsidRPr="00BC75D1">
              <w:rPr>
                <w:position w:val="2"/>
              </w:rPr>
              <w:br/>
              <w:t xml:space="preserve"> MHz 10</w:t>
            </w:r>
            <w:r w:rsidRPr="00BC75D1">
              <w:rPr>
                <w:position w:val="2"/>
              </w:rPr>
              <w:br/>
            </w:r>
            <w:r w:rsidRPr="00BC75D1">
              <w:rPr>
                <w:i/>
                <w:position w:val="2"/>
              </w:rPr>
              <w:t>p </w:t>
            </w:r>
            <w:r w:rsidRPr="00BC75D1">
              <w:rPr>
                <w:rFonts w:ascii="Symbol" w:hAnsi="Symbol"/>
                <w:position w:val="2"/>
              </w:rPr>
              <w:t></w:t>
            </w:r>
            <w:r w:rsidRPr="00BC75D1">
              <w:rPr>
                <w:position w:val="2"/>
              </w:rPr>
              <w:t> 0,0025</w:t>
            </w:r>
          </w:p>
        </w:tc>
        <w:tc>
          <w:tcPr>
            <w:tcW w:w="2094" w:type="dxa"/>
            <w:tcBorders>
              <w:top w:val="single" w:sz="6" w:space="0" w:color="auto"/>
              <w:left w:val="single" w:sz="6" w:space="0" w:color="auto"/>
              <w:bottom w:val="single" w:sz="6"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133–</w:t>
            </w:r>
            <w:r w:rsidR="00965D52" w:rsidRPr="00BC75D1">
              <w:rPr>
                <w:rFonts w:hint="cs"/>
                <w:position w:val="2"/>
                <w:rtl/>
              </w:rPr>
              <w:t xml:space="preserve"> </w:t>
            </w:r>
            <w:r w:rsidRPr="00BC75D1">
              <w:rPr>
                <w:position w:val="2"/>
                <w:rtl/>
              </w:rPr>
              <w:t>لكل</w:t>
            </w:r>
            <w:r w:rsidRPr="00BC75D1">
              <w:rPr>
                <w:position w:val="2"/>
              </w:rPr>
              <w:br/>
              <w:t>MHz 10</w:t>
            </w:r>
            <w:r w:rsidRPr="00BC75D1">
              <w:rPr>
                <w:position w:val="2"/>
              </w:rPr>
              <w:br/>
            </w:r>
            <w:r w:rsidRPr="00BC75D1">
              <w:rPr>
                <w:i/>
                <w:position w:val="2"/>
              </w:rPr>
              <w:t>p </w:t>
            </w:r>
            <w:r w:rsidRPr="00BC75D1">
              <w:rPr>
                <w:rFonts w:ascii="Symbol" w:hAnsi="Symbol"/>
                <w:position w:val="2"/>
              </w:rPr>
              <w:t></w:t>
            </w:r>
            <w:r w:rsidRPr="00BC75D1">
              <w:rPr>
                <w:position w:val="2"/>
              </w:rPr>
              <w:t> 0,0050</w:t>
            </w:r>
          </w:p>
        </w:tc>
      </w:tr>
      <w:tr w:rsidR="00EE15B8" w:rsidRPr="00BC75D1" w:rsidTr="006172AD">
        <w:trPr>
          <w:jc w:val="center"/>
        </w:trPr>
        <w:tc>
          <w:tcPr>
            <w:tcW w:w="1668" w:type="dxa"/>
            <w:tcBorders>
              <w:top w:val="single" w:sz="6" w:space="0" w:color="auto"/>
              <w:left w:val="single" w:sz="6" w:space="0" w:color="auto"/>
              <w:bottom w:val="single" w:sz="4" w:space="0" w:color="auto"/>
              <w:right w:val="single" w:sz="6" w:space="0" w:color="auto"/>
            </w:tcBorders>
            <w:vAlign w:val="center"/>
            <w:hideMark/>
          </w:tcPr>
          <w:p w:rsidR="00EE15B8" w:rsidRPr="00BC75D1" w:rsidRDefault="00EE15B8" w:rsidP="00BC75D1">
            <w:pPr>
              <w:pStyle w:val="Tabletext"/>
              <w:spacing w:before="40" w:after="40"/>
              <w:jc w:val="center"/>
              <w:rPr>
                <w:position w:val="2"/>
              </w:rPr>
            </w:pPr>
            <w:r w:rsidRPr="00BC75D1">
              <w:rPr>
                <w:position w:val="2"/>
              </w:rPr>
              <w:t>27,0-25,5</w:t>
            </w:r>
          </w:p>
        </w:tc>
        <w:tc>
          <w:tcPr>
            <w:tcW w:w="1955" w:type="dxa"/>
            <w:tcBorders>
              <w:top w:val="single" w:sz="6" w:space="0" w:color="auto"/>
              <w:left w:val="single" w:sz="6" w:space="0" w:color="auto"/>
              <w:bottom w:val="single" w:sz="4"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160–</w:t>
            </w:r>
            <w:r w:rsidR="00965D52" w:rsidRPr="00BC75D1">
              <w:rPr>
                <w:rFonts w:hint="cs"/>
                <w:position w:val="2"/>
                <w:rtl/>
              </w:rPr>
              <w:t xml:space="preserve"> </w:t>
            </w:r>
            <w:r w:rsidRPr="00BC75D1">
              <w:rPr>
                <w:position w:val="2"/>
                <w:rtl/>
              </w:rPr>
              <w:t>لكل</w:t>
            </w:r>
            <w:r w:rsidRPr="00BC75D1">
              <w:rPr>
                <w:position w:val="2"/>
              </w:rPr>
              <w:br/>
              <w:t>MHz 10</w:t>
            </w:r>
          </w:p>
        </w:tc>
        <w:tc>
          <w:tcPr>
            <w:tcW w:w="1954" w:type="dxa"/>
            <w:tcBorders>
              <w:top w:val="single" w:sz="6" w:space="0" w:color="auto"/>
              <w:left w:val="single" w:sz="6" w:space="0" w:color="auto"/>
              <w:bottom w:val="single" w:sz="4"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143–</w:t>
            </w:r>
            <w:r w:rsidR="00965D52" w:rsidRPr="00BC75D1">
              <w:rPr>
                <w:rFonts w:hint="cs"/>
                <w:position w:val="2"/>
                <w:rtl/>
              </w:rPr>
              <w:t xml:space="preserve"> </w:t>
            </w:r>
            <w:r w:rsidRPr="00BC75D1">
              <w:rPr>
                <w:position w:val="2"/>
                <w:rtl/>
              </w:rPr>
              <w:t>لكل</w:t>
            </w:r>
            <w:r w:rsidRPr="00BC75D1">
              <w:rPr>
                <w:position w:val="2"/>
              </w:rPr>
              <w:br/>
              <w:t xml:space="preserve"> MHz 10</w:t>
            </w:r>
          </w:p>
        </w:tc>
        <w:tc>
          <w:tcPr>
            <w:tcW w:w="1955" w:type="dxa"/>
            <w:tcBorders>
              <w:top w:val="single" w:sz="6" w:space="0" w:color="auto"/>
              <w:left w:val="single" w:sz="6" w:space="0" w:color="auto"/>
              <w:bottom w:val="single" w:sz="4" w:space="0" w:color="auto"/>
              <w:right w:val="single" w:sz="6" w:space="0" w:color="auto"/>
            </w:tcBorders>
            <w:hideMark/>
          </w:tcPr>
          <w:p w:rsidR="00EE15B8" w:rsidRPr="00BC75D1" w:rsidRDefault="00EE15B8" w:rsidP="00BC75D1">
            <w:pPr>
              <w:pStyle w:val="Tabletext"/>
              <w:spacing w:before="40" w:after="40"/>
              <w:jc w:val="center"/>
              <w:rPr>
                <w:position w:val="2"/>
              </w:rPr>
            </w:pPr>
            <w:r w:rsidRPr="00BC75D1">
              <w:rPr>
                <w:position w:val="2"/>
              </w:rPr>
              <w:t>dBW 116–</w:t>
            </w:r>
            <w:r w:rsidR="00965D52" w:rsidRPr="00BC75D1">
              <w:rPr>
                <w:rFonts w:hint="cs"/>
                <w:position w:val="2"/>
                <w:rtl/>
              </w:rPr>
              <w:t xml:space="preserve"> </w:t>
            </w:r>
            <w:r w:rsidRPr="00BC75D1">
              <w:rPr>
                <w:position w:val="2"/>
                <w:rtl/>
              </w:rPr>
              <w:t>لكل</w:t>
            </w:r>
            <w:r w:rsidRPr="00BC75D1">
              <w:rPr>
                <w:position w:val="2"/>
              </w:rPr>
              <w:br/>
              <w:t>MHz 10</w:t>
            </w:r>
            <w:r w:rsidRPr="00BC75D1">
              <w:rPr>
                <w:position w:val="2"/>
              </w:rPr>
              <w:br/>
            </w:r>
            <w:r w:rsidRPr="00BC75D1">
              <w:rPr>
                <w:i/>
                <w:position w:val="2"/>
              </w:rPr>
              <w:t>p </w:t>
            </w:r>
            <w:r w:rsidRPr="00BC75D1">
              <w:rPr>
                <w:rFonts w:ascii="Symbol" w:hAnsi="Symbol"/>
                <w:position w:val="2"/>
              </w:rPr>
              <w:t></w:t>
            </w:r>
            <w:r w:rsidRPr="00BC75D1">
              <w:rPr>
                <w:position w:val="2"/>
              </w:rPr>
              <w:t> 0,0025</w:t>
            </w:r>
          </w:p>
        </w:tc>
        <w:tc>
          <w:tcPr>
            <w:tcW w:w="2094" w:type="dxa"/>
            <w:tcBorders>
              <w:top w:val="single" w:sz="6" w:space="0" w:color="auto"/>
              <w:left w:val="single" w:sz="6" w:space="0" w:color="auto"/>
              <w:bottom w:val="single" w:sz="4" w:space="0" w:color="auto"/>
              <w:right w:val="single" w:sz="4" w:space="0" w:color="auto"/>
            </w:tcBorders>
            <w:hideMark/>
          </w:tcPr>
          <w:p w:rsidR="00EE15B8" w:rsidRPr="00BC75D1" w:rsidRDefault="00EE15B8" w:rsidP="00BC75D1">
            <w:pPr>
              <w:pStyle w:val="Tabletext"/>
              <w:spacing w:before="40" w:after="40"/>
              <w:jc w:val="center"/>
              <w:rPr>
                <w:position w:val="2"/>
              </w:rPr>
            </w:pPr>
            <w:r w:rsidRPr="00BC75D1">
              <w:rPr>
                <w:position w:val="2"/>
              </w:rPr>
              <w:t>dBW 116–</w:t>
            </w:r>
            <w:r w:rsidR="00965D52" w:rsidRPr="00BC75D1">
              <w:rPr>
                <w:rFonts w:hint="cs"/>
                <w:position w:val="2"/>
                <w:rtl/>
              </w:rPr>
              <w:t xml:space="preserve"> </w:t>
            </w:r>
            <w:r w:rsidRPr="00BC75D1">
              <w:rPr>
                <w:position w:val="2"/>
                <w:rtl/>
              </w:rPr>
              <w:t>لكل</w:t>
            </w:r>
            <w:r w:rsidRPr="00BC75D1">
              <w:rPr>
                <w:position w:val="2"/>
              </w:rPr>
              <w:br/>
              <w:t xml:space="preserve"> MHz 10</w:t>
            </w:r>
            <w:r w:rsidRPr="00BC75D1">
              <w:rPr>
                <w:position w:val="2"/>
              </w:rPr>
              <w:br/>
            </w:r>
            <w:r w:rsidRPr="00BC75D1">
              <w:rPr>
                <w:i/>
                <w:position w:val="2"/>
              </w:rPr>
              <w:t>p </w:t>
            </w:r>
            <w:r w:rsidRPr="00BC75D1">
              <w:rPr>
                <w:rFonts w:ascii="Symbol" w:hAnsi="Symbol"/>
                <w:position w:val="2"/>
              </w:rPr>
              <w:t></w:t>
            </w:r>
            <w:r w:rsidRPr="00BC75D1">
              <w:rPr>
                <w:position w:val="2"/>
              </w:rPr>
              <w:t> 0,0050</w:t>
            </w:r>
          </w:p>
        </w:tc>
      </w:tr>
      <w:tr w:rsidR="00EE15B8" w:rsidRPr="00BC75D1" w:rsidTr="006172AD">
        <w:trPr>
          <w:jc w:val="center"/>
        </w:trPr>
        <w:tc>
          <w:tcPr>
            <w:tcW w:w="9626" w:type="dxa"/>
            <w:gridSpan w:val="5"/>
            <w:tcBorders>
              <w:top w:val="single" w:sz="4" w:space="0" w:color="auto"/>
              <w:left w:val="nil"/>
              <w:bottom w:val="nil"/>
              <w:right w:val="nil"/>
            </w:tcBorders>
            <w:vAlign w:val="center"/>
          </w:tcPr>
          <w:p w:rsidR="00EE15B8" w:rsidRPr="00BC75D1" w:rsidRDefault="00EE15B8" w:rsidP="00BC75D1">
            <w:pPr>
              <w:pStyle w:val="Tablelegend"/>
              <w:spacing w:after="60" w:line="260" w:lineRule="exact"/>
              <w:ind w:left="284" w:hanging="284"/>
              <w:rPr>
                <w:noProof/>
                <w:position w:val="2"/>
                <w:sz w:val="20"/>
                <w:szCs w:val="26"/>
                <w:rtl/>
              </w:rPr>
            </w:pPr>
            <w:r w:rsidRPr="00BC75D1">
              <w:rPr>
                <w:rStyle w:val="FootnoteReference"/>
                <w:position w:val="2"/>
                <w:sz w:val="20"/>
                <w:szCs w:val="26"/>
                <w:vertAlign w:val="superscript"/>
              </w:rPr>
              <w:t>(1)</w:t>
            </w:r>
            <w:r w:rsidRPr="00BC75D1">
              <w:rPr>
                <w:noProof/>
                <w:position w:val="2"/>
                <w:sz w:val="20"/>
                <w:szCs w:val="26"/>
                <w:rtl/>
              </w:rPr>
              <w:tab/>
              <w:t xml:space="preserve">في هذه الحالة، تكون قدرة الإشارات المسببة للتداخل </w:t>
            </w:r>
            <w:r w:rsidRPr="00BC75D1">
              <w:rPr>
                <w:noProof/>
                <w:position w:val="2"/>
                <w:sz w:val="20"/>
                <w:szCs w:val="26"/>
              </w:rPr>
              <w:t>(dBW)</w:t>
            </w:r>
            <w:r w:rsidRPr="00BC75D1">
              <w:rPr>
                <w:noProof/>
                <w:position w:val="2"/>
                <w:sz w:val="20"/>
                <w:szCs w:val="26"/>
                <w:rtl/>
              </w:rPr>
              <w:t xml:space="preserve"> في عرض النطاق المرجعي محددة للاستقبال بزوايا ارتفاع تساوي أو تفوق </w:t>
            </w:r>
            <w:r w:rsidRPr="00BC75D1">
              <w:rPr>
                <w:noProof/>
                <w:position w:val="2"/>
                <w:sz w:val="20"/>
                <w:szCs w:val="26"/>
              </w:rPr>
              <w:sym w:font="Symbol" w:char="F0B0"/>
            </w:r>
            <w:r w:rsidRPr="00BC75D1">
              <w:rPr>
                <w:noProof/>
                <w:position w:val="2"/>
                <w:sz w:val="20"/>
                <w:szCs w:val="26"/>
              </w:rPr>
              <w:t>25</w:t>
            </w:r>
            <w:r w:rsidRPr="00BC75D1">
              <w:rPr>
                <w:noProof/>
                <w:position w:val="2"/>
                <w:sz w:val="20"/>
                <w:szCs w:val="26"/>
                <w:rtl/>
              </w:rPr>
              <w:t xml:space="preserve">، وتبلغ زاوية الارتفاع الدنيا </w:t>
            </w:r>
            <w:r w:rsidRPr="00BC75D1">
              <w:rPr>
                <w:noProof/>
                <w:position w:val="2"/>
                <w:sz w:val="20"/>
                <w:szCs w:val="26"/>
              </w:rPr>
              <w:sym w:font="Symbol" w:char="F0B0"/>
            </w:r>
            <w:r w:rsidRPr="00BC75D1">
              <w:rPr>
                <w:noProof/>
                <w:position w:val="2"/>
                <w:sz w:val="20"/>
                <w:szCs w:val="26"/>
              </w:rPr>
              <w:t>5</w:t>
            </w:r>
            <w:r w:rsidRPr="00BC75D1">
              <w:rPr>
                <w:noProof/>
                <w:position w:val="2"/>
                <w:sz w:val="20"/>
                <w:szCs w:val="26"/>
                <w:rtl/>
              </w:rPr>
              <w:t xml:space="preserve"> في جميع الحالات الأخرى.</w:t>
            </w:r>
          </w:p>
        </w:tc>
      </w:tr>
    </w:tbl>
    <w:p w:rsidR="006172AD" w:rsidRPr="006172AD" w:rsidRDefault="006172AD" w:rsidP="00BC75D1">
      <w:pPr>
        <w:pStyle w:val="Note"/>
        <w:keepNext/>
        <w:keepLines/>
        <w:rPr>
          <w:noProof/>
          <w:rtl/>
        </w:rPr>
      </w:pPr>
      <w:r w:rsidRPr="006172AD">
        <w:rPr>
          <w:b/>
          <w:bCs/>
          <w:noProof/>
          <w:rtl/>
        </w:rPr>
        <w:lastRenderedPageBreak/>
        <w:t xml:space="preserve">الملاحظة </w:t>
      </w:r>
      <w:r w:rsidRPr="006172AD">
        <w:rPr>
          <w:b/>
          <w:bCs/>
          <w:noProof/>
        </w:rPr>
        <w:t>1</w:t>
      </w:r>
      <w:r w:rsidRPr="006172AD">
        <w:rPr>
          <w:noProof/>
          <w:rtl/>
        </w:rPr>
        <w:t xml:space="preserve"> -</w:t>
      </w:r>
      <w:r w:rsidRPr="006172AD">
        <w:rPr>
          <w:i/>
          <w:iCs/>
          <w:noProof/>
          <w:rtl/>
        </w:rPr>
        <w:t xml:space="preserve"> </w:t>
      </w:r>
      <w:r w:rsidRPr="006172AD">
        <w:rPr>
          <w:noProof/>
          <w:rtl/>
        </w:rPr>
        <w:t>تعتبر عتبات قدرة الإشارة المسببة للتداخل لكل مدخل من المدخلات المدرجة في الجدول أعلاه، هي المستويات المسموح بها لقدرة الإشارة المسببة للتداخل التي تقع ضمن عرض النطاق المرجعي المحدد. وبالتالي، ينبغي أن تراعى في عمليات تحليل تقاسم الترددات القدرة الكلية للإشارات المسببة للتداخل التي يقل عرض نطاقها عن النطاق المرجعي. وإذا تجاوز عرض نطاق الإشارة المسببة للتداخل عرض النطاق المرجعي أو</w:t>
      </w:r>
      <w:r w:rsidRPr="006172AD">
        <w:rPr>
          <w:rFonts w:hint="cs"/>
          <w:noProof/>
          <w:rtl/>
        </w:rPr>
        <w:t> </w:t>
      </w:r>
      <w:r w:rsidRPr="006172AD">
        <w:rPr>
          <w:noProof/>
          <w:rtl/>
        </w:rPr>
        <w:t>لم</w:t>
      </w:r>
      <w:r w:rsidRPr="006172AD">
        <w:rPr>
          <w:rFonts w:hint="cs"/>
          <w:noProof/>
          <w:rtl/>
        </w:rPr>
        <w:t> </w:t>
      </w:r>
      <w:r w:rsidRPr="006172AD">
        <w:rPr>
          <w:noProof/>
          <w:rtl/>
        </w:rPr>
        <w:t>يتراكب تماماً مع نطاق التمرير لمستقبِل معين قيد الدراسة، ينبغي تطبيق نسبة الرفض القائم على التردد المتيسر جنباً إلى جنب مع مستويات التداخل المسموح بها المحددة.</w:t>
      </w:r>
    </w:p>
    <w:p w:rsidR="006172AD" w:rsidRPr="006172AD" w:rsidRDefault="006172AD" w:rsidP="006172AD">
      <w:pPr>
        <w:pStyle w:val="Note"/>
        <w:rPr>
          <w:noProof/>
          <w:rtl/>
        </w:rPr>
      </w:pPr>
      <w:r w:rsidRPr="006172AD">
        <w:rPr>
          <w:b/>
          <w:bCs/>
          <w:noProof/>
          <w:rtl/>
        </w:rPr>
        <w:t xml:space="preserve">الملاحظة </w:t>
      </w:r>
      <w:r w:rsidRPr="006172AD">
        <w:rPr>
          <w:b/>
          <w:bCs/>
          <w:noProof/>
        </w:rPr>
        <w:t>2</w:t>
      </w:r>
      <w:r w:rsidRPr="006172AD">
        <w:rPr>
          <w:noProof/>
          <w:rtl/>
        </w:rPr>
        <w:t xml:space="preserve"> - لم يؤخذ في الاعتبار التداخل الناتج عن الإرسالات الهامشية عند استخلاص معايير التقاسم المذكورة أعلاه من المستويات الكلية المسموح بها لقدرة الإشارة المسببة للتداخل.</w:t>
      </w:r>
    </w:p>
    <w:p w:rsidR="006172AD" w:rsidRPr="006172AD" w:rsidRDefault="006172AD" w:rsidP="006172AD">
      <w:pPr>
        <w:pStyle w:val="Note"/>
        <w:rPr>
          <w:noProof/>
          <w:rtl/>
        </w:rPr>
      </w:pPr>
      <w:r w:rsidRPr="006172AD">
        <w:rPr>
          <w:b/>
          <w:bCs/>
          <w:noProof/>
          <w:rtl/>
        </w:rPr>
        <w:t xml:space="preserve">الملاحظة </w:t>
      </w:r>
      <w:r w:rsidRPr="006172AD">
        <w:rPr>
          <w:b/>
          <w:bCs/>
          <w:noProof/>
        </w:rPr>
        <w:t>3</w:t>
      </w:r>
      <w:r w:rsidRPr="006172AD">
        <w:rPr>
          <w:noProof/>
          <w:rtl/>
        </w:rPr>
        <w:t xml:space="preserve"> -</w:t>
      </w:r>
      <w:r w:rsidRPr="006172AD">
        <w:rPr>
          <w:i/>
          <w:iCs/>
          <w:noProof/>
          <w:rtl/>
        </w:rPr>
        <w:t xml:space="preserve"> </w:t>
      </w:r>
      <w:r w:rsidRPr="006172AD">
        <w:rPr>
          <w:noProof/>
          <w:rtl/>
        </w:rPr>
        <w:t>يجب استيفاء معايير التقاسم على المدى البعيد (</w:t>
      </w:r>
      <w:r w:rsidRPr="006172AD">
        <w:rPr>
          <w:noProof/>
        </w:rPr>
        <w:t>%20</w:t>
      </w:r>
      <w:r w:rsidRPr="006172AD">
        <w:rPr>
          <w:noProof/>
          <w:rtl/>
        </w:rPr>
        <w:t xml:space="preserve"> من الوقت) والمدى القريب (</w:t>
      </w:r>
      <w:r w:rsidRPr="006172AD">
        <w:rPr>
          <w:noProof/>
        </w:rPr>
        <w:t>%</w:t>
      </w:r>
      <w:r w:rsidRPr="006172AD">
        <w:rPr>
          <w:i/>
          <w:iCs/>
          <w:noProof/>
        </w:rPr>
        <w:t>p</w:t>
      </w:r>
      <w:r w:rsidRPr="006172AD">
        <w:rPr>
          <w:noProof/>
        </w:rPr>
        <w:t xml:space="preserve"> &gt;</w:t>
      </w:r>
      <w:r w:rsidRPr="006172AD">
        <w:rPr>
          <w:noProof/>
          <w:rtl/>
        </w:rPr>
        <w:t xml:space="preserve"> من الوقت) بحيث لا يتجاوز التداخل المستويات المسموح بها.</w:t>
      </w:r>
    </w:p>
    <w:p w:rsidR="00965D52" w:rsidRDefault="006172AD" w:rsidP="006172AD">
      <w:pPr>
        <w:pStyle w:val="Note"/>
        <w:rPr>
          <w:rtl/>
        </w:rPr>
      </w:pPr>
      <w:r w:rsidRPr="006172AD">
        <w:rPr>
          <w:b/>
          <w:bCs/>
          <w:noProof/>
          <w:rtl/>
        </w:rPr>
        <w:t xml:space="preserve">الملاحظة </w:t>
      </w:r>
      <w:r w:rsidRPr="006172AD">
        <w:rPr>
          <w:b/>
          <w:bCs/>
          <w:noProof/>
        </w:rPr>
        <w:t>4</w:t>
      </w:r>
      <w:r w:rsidRPr="006172AD">
        <w:rPr>
          <w:noProof/>
          <w:rtl/>
        </w:rPr>
        <w:t xml:space="preserve"> - تنطبق معايير التقاسم المحددة لمسيرات الإشارات للأرض على محطات الإرسال في خدمات الأرض ومحطات الإرسال الأرضية.</w:t>
      </w:r>
    </w:p>
    <w:p w:rsidR="00965D52" w:rsidRDefault="00965D52" w:rsidP="00965D52"/>
    <w:p w:rsidR="006172AD" w:rsidRDefault="006172AD" w:rsidP="00965D52">
      <w:pPr>
        <w:rPr>
          <w:rtl/>
        </w:rPr>
      </w:pPr>
    </w:p>
    <w:p w:rsidR="00EE15B8" w:rsidRDefault="00EE15B8" w:rsidP="006172AD">
      <w:pPr>
        <w:pStyle w:val="AnnexNotitle"/>
        <w:spacing w:before="0"/>
        <w:rPr>
          <w:rtl/>
        </w:rPr>
      </w:pPr>
      <w:r>
        <w:rPr>
          <w:rtl/>
        </w:rPr>
        <w:t xml:space="preserve">الملحق </w:t>
      </w:r>
      <w:r>
        <w:t>1</w:t>
      </w:r>
      <w:r w:rsidR="006172AD">
        <w:br/>
      </w:r>
      <w:r w:rsidR="006172AD">
        <w:br/>
      </w:r>
      <w:r>
        <w:rPr>
          <w:rtl/>
        </w:rPr>
        <w:t>أساس معايير التقاسم</w:t>
      </w:r>
    </w:p>
    <w:p w:rsidR="00EE15B8" w:rsidRDefault="00EE15B8" w:rsidP="00EE15B8">
      <w:pPr>
        <w:pStyle w:val="Heading1"/>
        <w:rPr>
          <w:rtl/>
        </w:rPr>
      </w:pPr>
      <w:r>
        <w:t>1</w:t>
      </w:r>
      <w:r>
        <w:rPr>
          <w:rtl/>
        </w:rPr>
        <w:tab/>
        <w:t>مقدمة</w:t>
      </w:r>
    </w:p>
    <w:p w:rsidR="00EE15B8" w:rsidRDefault="00EE15B8" w:rsidP="00EE15B8">
      <w:pPr>
        <w:rPr>
          <w:noProof/>
          <w:rtl/>
        </w:rPr>
      </w:pPr>
      <w:r>
        <w:rPr>
          <w:noProof/>
          <w:rtl/>
        </w:rPr>
        <w:t xml:space="preserve">إن أهداف معايير التقاسم هي، من ناحية، التحقق من أن التداخل من أي مصدر لن يتجاوز معايير التداخل المطبقة (أي المستويات المسموح بها من التداخل الكلي)، ومن ناحية أخرى، إتاحة التقاسم الفعال من خلال السماح لأكبر عدد ممكن من الأنظمة بتقاسم النطاق في نفس منطقة التشغيل (ويفضل أن يكون ذلك على أساس التشارك في القناة). ويقدم هذا الملحق الأساس الذي يقوم عليه التقسيم الفرعي لمعايير التداخل الكلي المطبقة (على النحو الوارد في التوصية </w:t>
      </w:r>
      <w:r>
        <w:rPr>
          <w:noProof/>
        </w:rPr>
        <w:t>ITU-R SA.1026</w:t>
      </w:r>
      <w:r>
        <w:rPr>
          <w:noProof/>
          <w:rtl/>
        </w:rPr>
        <w:t xml:space="preserve">) بين مصادر التداخل المتوقعة. ويعرض الجدول </w:t>
      </w:r>
      <w:r>
        <w:rPr>
          <w:noProof/>
        </w:rPr>
        <w:t>2</w:t>
      </w:r>
      <w:r>
        <w:rPr>
          <w:noProof/>
          <w:rtl/>
        </w:rPr>
        <w:t xml:space="preserve"> العوامل المستعملة في توزيع مستوى التداخل الإجمالي المسموح به لكل نطاق من النطاقات المعنية بين فئات مسيرات الإشارات المسببة للتداخل (فضاء-أرض أرضية) وكذلك بين العدد المتوقع لمصادر التداخل في كل فئة من هذه الفئات. وتتناول الفقرات التالية بيئة التداخل في كل نطاق.</w:t>
      </w:r>
    </w:p>
    <w:p w:rsidR="00EE15B8" w:rsidRDefault="00EE15B8" w:rsidP="00EE15B8">
      <w:pPr>
        <w:pStyle w:val="Heading1"/>
        <w:rPr>
          <w:rtl/>
        </w:rPr>
      </w:pPr>
      <w:r>
        <w:t>2</w:t>
      </w:r>
      <w:r>
        <w:rPr>
          <w:rtl/>
        </w:rPr>
        <w:tab/>
        <w:t xml:space="preserve">النطاق </w:t>
      </w:r>
      <w:r>
        <w:t>MHz 138-137</w:t>
      </w:r>
    </w:p>
    <w:p w:rsidR="00EE15B8" w:rsidRPr="00965D52" w:rsidRDefault="00EE15B8" w:rsidP="00965D52">
      <w:pPr>
        <w:rPr>
          <w:noProof/>
          <w:spacing w:val="2"/>
          <w:rtl/>
        </w:rPr>
      </w:pPr>
      <w:r w:rsidRPr="00965D52">
        <w:rPr>
          <w:noProof/>
          <w:spacing w:val="2"/>
          <w:rtl/>
        </w:rPr>
        <w:t xml:space="preserve">يوزع النطاق </w:t>
      </w:r>
      <w:r w:rsidRPr="00965D52">
        <w:rPr>
          <w:noProof/>
          <w:spacing w:val="2"/>
        </w:rPr>
        <w:t>MHz 138-137</w:t>
      </w:r>
      <w:r w:rsidRPr="00965D52">
        <w:rPr>
          <w:noProof/>
          <w:spacing w:val="2"/>
          <w:rtl/>
        </w:rPr>
        <w:t xml:space="preserve"> على أساس أولي لخدمة العمليات الفضائية وخدمة الأرصاد الجوية الساتلية والأبحاث الفضائية</w:t>
      </w:r>
      <w:r w:rsidR="00965D52" w:rsidRPr="00965D52">
        <w:rPr>
          <w:rFonts w:hint="cs"/>
          <w:noProof/>
          <w:spacing w:val="2"/>
          <w:rtl/>
        </w:rPr>
        <w:t> </w:t>
      </w:r>
      <w:r w:rsidRPr="00965D52">
        <w:rPr>
          <w:noProof/>
          <w:spacing w:val="2"/>
          <w:rtl/>
        </w:rPr>
        <w:t>(فضاء-أرض)</w:t>
      </w:r>
      <w:r w:rsidRPr="00965D52">
        <w:rPr>
          <w:noProof/>
          <w:spacing w:val="2"/>
          <w:rtl/>
          <w:lang w:bidi="ar-EG"/>
        </w:rPr>
        <w:t xml:space="preserve"> </w:t>
      </w:r>
      <w:r w:rsidRPr="00965D52">
        <w:rPr>
          <w:noProof/>
          <w:spacing w:val="2"/>
          <w:rtl/>
        </w:rPr>
        <w:t>كما يوزع للخدمة المتنقلة الساتلية (فضاء-أرض) على أساس أولي في بعض أجزاء النطاق، وعلى أساس ثانوي في</w:t>
      </w:r>
      <w:r w:rsidR="00965D52" w:rsidRPr="00965D52">
        <w:rPr>
          <w:rFonts w:hint="cs"/>
          <w:noProof/>
          <w:spacing w:val="2"/>
          <w:rtl/>
        </w:rPr>
        <w:t> </w:t>
      </w:r>
      <w:r w:rsidRPr="00965D52">
        <w:rPr>
          <w:noProof/>
          <w:spacing w:val="2"/>
          <w:rtl/>
        </w:rPr>
        <w:t>بعض الأجزاء الأخرى من النطاق، ويوزع النطاق على أساس ثانوي للخدمتين الثابتة والمتنقلة (باستثناء الخدمة المتنقلة للطيران</w:t>
      </w:r>
      <w:r w:rsidR="00965D52" w:rsidRPr="00965D52">
        <w:rPr>
          <w:rFonts w:hint="cs"/>
          <w:noProof/>
          <w:spacing w:val="2"/>
          <w:rtl/>
        </w:rPr>
        <w:t> </w:t>
      </w:r>
      <w:r w:rsidRPr="00965D52">
        <w:rPr>
          <w:noProof/>
          <w:spacing w:val="2"/>
        </w:rPr>
        <w:t>((R)</w:t>
      </w:r>
      <w:r w:rsidRPr="00965D52">
        <w:rPr>
          <w:noProof/>
          <w:spacing w:val="2"/>
          <w:rtl/>
        </w:rPr>
        <w:t xml:space="preserve"> (باستثناء الإدارات التي يكون فيها هذا التوزيع على أساس أولي).</w:t>
      </w:r>
    </w:p>
    <w:p w:rsidR="00EE15B8" w:rsidRDefault="00EE15B8" w:rsidP="00EE15B8">
      <w:pPr>
        <w:rPr>
          <w:noProof/>
          <w:rtl/>
        </w:rPr>
      </w:pPr>
      <w:r>
        <w:rPr>
          <w:noProof/>
          <w:rtl/>
        </w:rPr>
        <w:t xml:space="preserve">وفي معظم الأوقات، يمكن أن ينتج عن المحطات الفضائية، كتلك العاملة في الخدمة المتنقلة الساتلية، مستويات تداخل أعلى من التداخلات التي تسببها محطات الأرض وذلك في المواقع النمطية للمحطات الأرضية في خدمة الأرصاد الجوية الساتلية. وستوفر المحطات الأرضية في خدمة الأرصاد الجوية الساتلية العاملة بهوائيات ذات كسب يبلغ </w:t>
      </w:r>
      <w:r>
        <w:rPr>
          <w:noProof/>
        </w:rPr>
        <w:t>dBic 10</w:t>
      </w:r>
      <w:r>
        <w:rPr>
          <w:noProof/>
          <w:rtl/>
        </w:rPr>
        <w:t xml:space="preserve"> تمييزاً ضد إرسالات محطات الأرض أكبر مما توفره المحطات الأرضية التي تستعمل هوائيات ذات كسب أقل </w:t>
      </w:r>
      <w:r>
        <w:rPr>
          <w:noProof/>
        </w:rPr>
        <w:t>(dBic 2)</w:t>
      </w:r>
      <w:r>
        <w:rPr>
          <w:noProof/>
          <w:rtl/>
        </w:rPr>
        <w:t>. وعلى المدى القصير، يمكن أن يؤدي تعزيز الانتشار على مسيرات الأرض للإشارات المسببة للتداخل وتغير موقع المحطات المتنقلة إلى مستويات تداخل مشابهة لتلك الصادرة عن المسارات فضاء-أرض وعن محطات الأرض.</w:t>
      </w:r>
    </w:p>
    <w:p w:rsidR="00EE15B8" w:rsidRDefault="00EE15B8" w:rsidP="00EE15B8">
      <w:pPr>
        <w:pStyle w:val="Heading1"/>
        <w:rPr>
          <w:rtl/>
        </w:rPr>
      </w:pPr>
      <w:r>
        <w:lastRenderedPageBreak/>
        <w:t>3</w:t>
      </w:r>
      <w:r>
        <w:rPr>
          <w:rtl/>
        </w:rPr>
        <w:tab/>
        <w:t xml:space="preserve">النطاق </w:t>
      </w:r>
      <w:r>
        <w:t>MHz 401</w:t>
      </w:r>
      <w:proofErr w:type="gramStart"/>
      <w:r>
        <w:t>,00</w:t>
      </w:r>
      <w:proofErr w:type="gramEnd"/>
      <w:r>
        <w:t>-400,15</w:t>
      </w:r>
    </w:p>
    <w:p w:rsidR="00EE15B8" w:rsidRPr="00965D52" w:rsidRDefault="00EE15B8" w:rsidP="00EE15B8">
      <w:pPr>
        <w:rPr>
          <w:noProof/>
          <w:spacing w:val="-4"/>
          <w:rtl/>
        </w:rPr>
      </w:pPr>
      <w:r w:rsidRPr="00965D52">
        <w:rPr>
          <w:noProof/>
          <w:spacing w:val="-4"/>
          <w:rtl/>
        </w:rPr>
        <w:t xml:space="preserve">يوزع النطاق </w:t>
      </w:r>
      <w:r w:rsidRPr="00965D52">
        <w:rPr>
          <w:noProof/>
          <w:spacing w:val="-4"/>
        </w:rPr>
        <w:t>MHz 401,00-400,15</w:t>
      </w:r>
      <w:r w:rsidRPr="00965D52">
        <w:rPr>
          <w:noProof/>
          <w:spacing w:val="-4"/>
          <w:rtl/>
        </w:rPr>
        <w:t xml:space="preserve"> على أساس ثانوي لخدمة العمليات الفضائية (فضاء-أرض)، في حين يوزع على أساس أولي لخدمة الأرصاد الجوية الساتلية وخدمة الأبحاث الفضائية والخدمة المتنقلة الساتلية (فضاء-أرض) وخدمة الأبحاث الفضائية (فضاء-فضاء) وخدمة مساعدات الأرصاد الجوية. وإضافة إلى ذلك، يوزع النطاق أيضاً على أساس أولي على الخدمتين الثابتة والمتنقلة.</w:t>
      </w:r>
    </w:p>
    <w:p w:rsidR="00EE15B8" w:rsidRDefault="00EE15B8" w:rsidP="00EE15B8">
      <w:pPr>
        <w:rPr>
          <w:noProof/>
          <w:rtl/>
        </w:rPr>
      </w:pPr>
      <w:r>
        <w:rPr>
          <w:noProof/>
          <w:rtl/>
        </w:rPr>
        <w:t>وفي معظم الأوقات، يمكن أن ينتج عن المحطات الفضائية كتلك العاملة في الخدمة المتنقلة الساتلية مستويات تداخل أعلى من التداخلات التي تسببها محطات الأرض وذلك في المواقع النمطية للمحطات الأرضية في خدمة الأرصاد الجوية الساتلية. وعلى المدى القصير، يمكن أن يؤدي تعزيز الانتشار على مسيرات الأرض للإشارات المسببة للتداخل وتغير موقع المحطات المتنقلة ومحطات خدمة مساعدات الأرصاد الجوية إلى مستويات تداخل مشابهة لتلك الصادرة عن المسارات فضاء-أرض ومحطات الأرض.</w:t>
      </w:r>
    </w:p>
    <w:p w:rsidR="00EE15B8" w:rsidRDefault="00EE15B8" w:rsidP="00EE15B8">
      <w:pPr>
        <w:pStyle w:val="Heading1"/>
        <w:rPr>
          <w:rtl/>
        </w:rPr>
      </w:pPr>
      <w:r>
        <w:t>4</w:t>
      </w:r>
      <w:r>
        <w:rPr>
          <w:rtl/>
        </w:rPr>
        <w:tab/>
        <w:t xml:space="preserve">النطاق </w:t>
      </w:r>
      <w:r>
        <w:t>MHz 1 710-1 698</w:t>
      </w:r>
    </w:p>
    <w:p w:rsidR="00EE15B8" w:rsidRDefault="00EE15B8" w:rsidP="00EE15B8">
      <w:pPr>
        <w:rPr>
          <w:noProof/>
          <w:rtl/>
        </w:rPr>
      </w:pPr>
      <w:r>
        <w:rPr>
          <w:noProof/>
          <w:rtl/>
        </w:rPr>
        <w:t xml:space="preserve">يوزع النطاق </w:t>
      </w:r>
      <w:r>
        <w:rPr>
          <w:noProof/>
        </w:rPr>
        <w:t>MHz 1 700-1 690</w:t>
      </w:r>
      <w:r>
        <w:rPr>
          <w:noProof/>
          <w:rtl/>
        </w:rPr>
        <w:t xml:space="preserve"> </w:t>
      </w:r>
      <w:r>
        <w:rPr>
          <w:rFonts w:hint="cs"/>
          <w:noProof/>
          <w:rtl/>
        </w:rPr>
        <w:t xml:space="preserve">(حيث يستعمل النطاق </w:t>
      </w:r>
      <w:r>
        <w:rPr>
          <w:noProof/>
        </w:rPr>
        <w:t>MHz 1 700-1 698</w:t>
      </w:r>
      <w:r>
        <w:rPr>
          <w:noProof/>
          <w:rtl/>
        </w:rPr>
        <w:t xml:space="preserve"> من أجل سواتل الأرصاد الجوية غير المستقرة بالنسبة إلى الأرض) على أساس أولي لخدمة الأرصاد الجوية الساتلية (فضاء-أرض) ويوزع على أساس ثانوي لخدمة استكشاف الأرض الساتلية (فضاء-أرض)؛ ويوزع على أساس أولي لخدمة مساعدات الأرصاد الجوية؛ ويوزع على أساس ثانوي للخدمتين الثابتة والمتنقلة (باستثناء الخدمة المتنقلة للطيران) في الإقليم </w:t>
      </w:r>
      <w:r>
        <w:rPr>
          <w:noProof/>
        </w:rPr>
        <w:t>1</w:t>
      </w:r>
      <w:r>
        <w:rPr>
          <w:noProof/>
          <w:rtl/>
        </w:rPr>
        <w:t xml:space="preserve"> </w:t>
      </w:r>
      <w:r>
        <w:rPr>
          <w:rFonts w:hint="cs"/>
          <w:noProof/>
          <w:rtl/>
        </w:rPr>
        <w:t>على أساس ثانوي.</w:t>
      </w:r>
    </w:p>
    <w:p w:rsidR="00EE15B8" w:rsidRDefault="00EE15B8" w:rsidP="00EE15B8">
      <w:pPr>
        <w:rPr>
          <w:noProof/>
          <w:rtl/>
          <w:lang w:val="fr-CH"/>
        </w:rPr>
      </w:pPr>
      <w:r>
        <w:rPr>
          <w:noProof/>
          <w:rtl/>
        </w:rPr>
        <w:t>وإضافة</w:t>
      </w:r>
      <w:r w:rsidR="00965D52">
        <w:rPr>
          <w:rFonts w:hint="cs"/>
          <w:noProof/>
          <w:rtl/>
        </w:rPr>
        <w:t>ً</w:t>
      </w:r>
      <w:r>
        <w:rPr>
          <w:noProof/>
          <w:rtl/>
        </w:rPr>
        <w:t xml:space="preserve"> إلى ذلك، يوزع </w:t>
      </w:r>
      <w:r>
        <w:rPr>
          <w:noProof/>
          <w:rtl/>
          <w:lang w:bidi="ar-EG"/>
        </w:rPr>
        <w:t xml:space="preserve">كذلك </w:t>
      </w:r>
      <w:r>
        <w:rPr>
          <w:noProof/>
          <w:rtl/>
        </w:rPr>
        <w:t xml:space="preserve">النطاق </w:t>
      </w:r>
      <w:r>
        <w:t>MHz 1 700-1 69</w:t>
      </w:r>
      <w:r>
        <w:rPr>
          <w:lang w:val="fr-CH"/>
        </w:rPr>
        <w:t>0</w:t>
      </w:r>
      <w:r>
        <w:rPr>
          <w:rtl/>
          <w:lang w:val="fr-CH"/>
        </w:rPr>
        <w:t xml:space="preserve"> </w:t>
      </w:r>
      <w:r>
        <w:rPr>
          <w:rtl/>
          <w:lang w:bidi="ar-EG"/>
        </w:rPr>
        <w:t>ل</w:t>
      </w:r>
      <w:r>
        <w:rPr>
          <w:rtl/>
          <w:lang w:val="fr-CH"/>
        </w:rPr>
        <w:t xml:space="preserve">لخدمتين الثابتة والمتنقلة </w:t>
      </w:r>
      <w:r>
        <w:rPr>
          <w:noProof/>
          <w:rtl/>
        </w:rPr>
        <w:t>(باستثناء الخدمة المتنقلة للطيران) في بعض الإدارات على أساس أولي.</w:t>
      </w:r>
    </w:p>
    <w:p w:rsidR="00EE15B8" w:rsidRDefault="00EE15B8" w:rsidP="00EE15B8">
      <w:pPr>
        <w:rPr>
          <w:noProof/>
        </w:rPr>
      </w:pPr>
      <w:r>
        <w:rPr>
          <w:noProof/>
          <w:rtl/>
        </w:rPr>
        <w:t xml:space="preserve">ويوزع النطاق </w:t>
      </w:r>
      <w:r>
        <w:rPr>
          <w:noProof/>
        </w:rPr>
        <w:t>MHz 1 710-1 700</w:t>
      </w:r>
      <w:r>
        <w:rPr>
          <w:noProof/>
          <w:rtl/>
        </w:rPr>
        <w:t xml:space="preserve"> على أساس أولي لخدمة الأرصاد الجوية الساتلية (فضاء-أرض)، وللخدمتين الثابتة والمتنقلة (باستثناء الخدمة المتنقلة للطيران)، ويوزع على أساس ثانوي لخدمة استكشاف الأرض الساتلية (فضاء-أرض).</w:t>
      </w:r>
    </w:p>
    <w:p w:rsidR="00EE15B8" w:rsidRDefault="00EE15B8" w:rsidP="00EE15B8">
      <w:pPr>
        <w:rPr>
          <w:noProof/>
          <w:rtl/>
        </w:rPr>
      </w:pPr>
      <w:r>
        <w:rPr>
          <w:noProof/>
          <w:rtl/>
        </w:rPr>
        <w:t>ويفترض أن ينتج عدد المحطات الفضائية المشغلة في هذا النطاق نفس مستويات التداخل تقريباً التي تنتج عن أنظمة الأرض على المدى البعيد.</w:t>
      </w:r>
    </w:p>
    <w:p w:rsidR="00EE15B8" w:rsidRDefault="00EE15B8" w:rsidP="00EE15B8">
      <w:pPr>
        <w:pStyle w:val="Heading1"/>
        <w:rPr>
          <w:rtl/>
        </w:rPr>
      </w:pPr>
      <w:r>
        <w:t>5</w:t>
      </w:r>
      <w:r>
        <w:rPr>
          <w:rtl/>
        </w:rPr>
        <w:tab/>
        <w:t xml:space="preserve">النطاق </w:t>
      </w:r>
      <w:r>
        <w:t>MHz 7 900-7 750</w:t>
      </w:r>
    </w:p>
    <w:p w:rsidR="00EE15B8" w:rsidRDefault="00EE15B8" w:rsidP="00965D52">
      <w:pPr>
        <w:rPr>
          <w:noProof/>
          <w:rtl/>
        </w:rPr>
      </w:pPr>
      <w:r>
        <w:rPr>
          <w:noProof/>
          <w:rtl/>
        </w:rPr>
        <w:t xml:space="preserve">يوزع النطاق </w:t>
      </w:r>
      <w:r>
        <w:rPr>
          <w:noProof/>
          <w:szCs w:val="32"/>
        </w:rPr>
        <w:t>MHz 7 900-7 750</w:t>
      </w:r>
      <w:r>
        <w:rPr>
          <w:noProof/>
          <w:rtl/>
        </w:rPr>
        <w:t xml:space="preserve"> على أساس أولي لخدمة الأرصاد الجوية الساتلية غير المستقرة بالنسبة إلى الأرض (فضاء-أرض) والخدمتين الثابتة والمتنقلة (مقتصراً على السواتل غير المسقرة بالنسبة إلى الأرض). وبالنسبة إلى التداخل على المدى البعيد، من المتوقع أن تساهم الوصلات فضاء-أرض بقدر بسيط من التداخل لأن السواتل تعبر الحزمة الرئيسية للهوائي بسرعة. وبالتالي، من المتوقع أن تساهم الوصلات فضاء-أرض بقدر كبير من التداخل على المدى القصير. وقد يطغى التداخل في مسيرات الإشارة الأرضية على المحطات الأرضية للقراءة المباشرة للبيانات التي لديها تمييز هوائي في اتجاه الأفق أقل من محطات حيازة البيانات المسجلة</w:t>
      </w:r>
      <w:r w:rsidR="00965D52">
        <w:rPr>
          <w:rFonts w:hint="cs"/>
          <w:noProof/>
          <w:rtl/>
        </w:rPr>
        <w:t> </w:t>
      </w:r>
      <w:r>
        <w:rPr>
          <w:noProof/>
          <w:rtl/>
        </w:rPr>
        <w:t>(أي ذات هوائيات أصغر بكثير).</w:t>
      </w:r>
    </w:p>
    <w:p w:rsidR="00EE15B8" w:rsidRDefault="00EE15B8" w:rsidP="00EE15B8">
      <w:pPr>
        <w:pStyle w:val="Heading1"/>
        <w:rPr>
          <w:rtl/>
        </w:rPr>
      </w:pPr>
      <w:r>
        <w:t>6</w:t>
      </w:r>
      <w:r>
        <w:rPr>
          <w:rtl/>
        </w:rPr>
        <w:tab/>
        <w:t xml:space="preserve">النطاق </w:t>
      </w:r>
      <w:r>
        <w:t>MHz 8 400-8 025</w:t>
      </w:r>
    </w:p>
    <w:p w:rsidR="00EE15B8" w:rsidRPr="00965D52" w:rsidRDefault="00EE15B8" w:rsidP="00965D52">
      <w:pPr>
        <w:rPr>
          <w:noProof/>
          <w:spacing w:val="2"/>
          <w:rtl/>
        </w:rPr>
      </w:pPr>
      <w:r w:rsidRPr="00965D52">
        <w:rPr>
          <w:noProof/>
          <w:spacing w:val="2"/>
          <w:rtl/>
        </w:rPr>
        <w:t xml:space="preserve">يوزع النطاق </w:t>
      </w:r>
      <w:r w:rsidRPr="00965D52">
        <w:rPr>
          <w:noProof/>
          <w:spacing w:val="2"/>
          <w:szCs w:val="32"/>
        </w:rPr>
        <w:t>MHz 8 400-8 025</w:t>
      </w:r>
      <w:r w:rsidRPr="00965D52">
        <w:rPr>
          <w:noProof/>
          <w:spacing w:val="2"/>
          <w:rtl/>
        </w:rPr>
        <w:t xml:space="preserve"> على أساس أولي للخدمة الثابتة الساتلية (أرض-فضاء) وخدمة استكشاف الأرض الساتلية</w:t>
      </w:r>
      <w:r w:rsidR="00965D52">
        <w:rPr>
          <w:rFonts w:hint="cs"/>
          <w:noProof/>
          <w:spacing w:val="2"/>
          <w:rtl/>
        </w:rPr>
        <w:t> </w:t>
      </w:r>
      <w:r w:rsidRPr="00965D52">
        <w:rPr>
          <w:noProof/>
          <w:spacing w:val="2"/>
          <w:rtl/>
        </w:rPr>
        <w:t xml:space="preserve">(فضاء-أرض) والخدمتين الثابتة والمتنقلة. ولا يسمح لمحطات الطائرات البث في النطاق </w:t>
      </w:r>
      <w:r w:rsidRPr="00965D52">
        <w:rPr>
          <w:spacing w:val="2"/>
        </w:rPr>
        <w:t>MHz 8 400-8 025</w:t>
      </w:r>
      <w:r w:rsidRPr="00965D52">
        <w:rPr>
          <w:noProof/>
          <w:spacing w:val="2"/>
          <w:rtl/>
        </w:rPr>
        <w:t xml:space="preserve">. وبالإضافة إلى ذلك، يوزع القسم </w:t>
      </w:r>
      <w:r w:rsidRPr="00965D52">
        <w:rPr>
          <w:noProof/>
          <w:spacing w:val="2"/>
        </w:rPr>
        <w:t>MHz 8 215-8 175</w:t>
      </w:r>
      <w:r w:rsidRPr="00965D52">
        <w:rPr>
          <w:noProof/>
          <w:spacing w:val="2"/>
          <w:rtl/>
        </w:rPr>
        <w:t xml:space="preserve"> على أساس أولي لخدمة الأرصاد الجوية الساتلية (أرض-فضاء). ونظراً لأن مصادر التداخل الوحيدة على المسيرات فضاء-أرض تأتي من أنظمة استكشاف الأرض الساتلية، فمن المفترض عدم حدوث أي تداخل على المدى الطويل على المسيرات فضاء-أرض (أي أنه لن يكون هناك مصدر تداخل في معظم الوقت أو نتيجة للمستويات العالية لتمييز هوائي المحطة الأرضية). وقد تحدث على المدى القصير تداخلات على المسيرات فضاء-أرض بين أنظمة استكشاف </w:t>
      </w:r>
      <w:r w:rsidRPr="00965D52">
        <w:rPr>
          <w:noProof/>
          <w:spacing w:val="2"/>
          <w:rtl/>
        </w:rPr>
        <w:lastRenderedPageBreak/>
        <w:t>الأرض الساتلية على الرغم من أن التداخل سيكون غالباً على مسيرات إشارات الأرض (لا سيما في حالة المحطات الأرضية للقراءة المباشرة للبيانات التي يقل تمييز الهوائي الخاص بها في اتجاه الأفق عن محطات حيازة البيانات المسجلة). وفيما</w:t>
      </w:r>
      <w:r w:rsidR="00965D52">
        <w:rPr>
          <w:rFonts w:hint="cs"/>
          <w:noProof/>
          <w:spacing w:val="2"/>
          <w:rtl/>
        </w:rPr>
        <w:t> </w:t>
      </w:r>
      <w:r w:rsidRPr="00965D52">
        <w:rPr>
          <w:noProof/>
          <w:spacing w:val="2"/>
          <w:rtl/>
        </w:rPr>
        <w:t>يتعلق بالتداخل الصادر عن المحطات الأرضية للخدمة الثابتة الساتلية العاملة في الاتجاه أرض-فضاء، ينبغي أيضاً تطبيق معايير التقاسم المحددة لمسيرات إشارات الأرض على محطات الإرسال في خدمات الأرض ومحطات الإرسال الأرضية.</w:t>
      </w:r>
    </w:p>
    <w:p w:rsidR="00EE15B8" w:rsidRDefault="00EE15B8" w:rsidP="00EE15B8">
      <w:pPr>
        <w:pStyle w:val="Heading1"/>
        <w:rPr>
          <w:rtl/>
        </w:rPr>
      </w:pPr>
      <w:r>
        <w:t>7</w:t>
      </w:r>
      <w:r>
        <w:rPr>
          <w:rtl/>
        </w:rPr>
        <w:tab/>
        <w:t xml:space="preserve">النطاق </w:t>
      </w:r>
      <w:r>
        <w:t>GHz 27</w:t>
      </w:r>
      <w:proofErr w:type="gramStart"/>
      <w:r>
        <w:t>,0</w:t>
      </w:r>
      <w:proofErr w:type="gramEnd"/>
      <w:r>
        <w:t>-25,5</w:t>
      </w:r>
    </w:p>
    <w:p w:rsidR="00EE15B8" w:rsidRDefault="00EE15B8" w:rsidP="00EE15B8">
      <w:pPr>
        <w:rPr>
          <w:noProof/>
          <w:rtl/>
        </w:rPr>
      </w:pPr>
      <w:r>
        <w:rPr>
          <w:noProof/>
          <w:rtl/>
        </w:rPr>
        <w:t xml:space="preserve">يوزع النطاق </w:t>
      </w:r>
      <w:r>
        <w:rPr>
          <w:noProof/>
        </w:rPr>
        <w:t>GHz 27,0-25,5</w:t>
      </w:r>
      <w:r>
        <w:rPr>
          <w:noProof/>
          <w:rtl/>
        </w:rPr>
        <w:t xml:space="preserve"> على خدمة استكشاف الأرض الساتلية وخدمة الأبحاث الفضائية (فضاء-أرض) والخدمتين الثابتة والمتنقلة وما بين السواتل على أساس أولي. وتكون المصادر المحتملة للتداخل على المسيرات فضاء-أرض لخدمة استكشاف الأرض الساتلية هي سواتل أخرى لنظام خدمة استكشاف الأرض الساتلية وسواتل الخدمة ما بين السواتل والأنظمة الثابتة والمتنقلة للأرض. ولا يفترض حدوث تداخل على المدى الطويل في المسير فضاء-أرض لخدمة استكشاف الأرض الساتلية بسبب إرسالات خدمة استكشاف الأرض الساتلية والخدمة ما بين السواتل بسبب الحركة المستمرة للسواتل (أي أنه لن يكون هناك أي مصدر تداخل معظم الوقت، أو نتيجة للمستويات العالية لتمييز هوائي المحطة الأرضية).</w:t>
      </w:r>
    </w:p>
    <w:p w:rsidR="00965D52" w:rsidRDefault="00EE15B8" w:rsidP="00965D5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rPr>
      </w:pPr>
      <w:r>
        <w:rPr>
          <w:noProof/>
          <w:rtl/>
        </w:rPr>
        <w:t>وعلى المدى القصير، من الممكن أن يحدث تداخل بين الأنظمة الساتلية لخدمة ما بين السواتل وخدمة استكشاف الأرض الساتلية على المسيرات فضاء-أرض على الرغم من أن التداخل في مسيرات الإشارات الأرضية سيكون مهيمناً.</w:t>
      </w:r>
    </w:p>
    <w:p w:rsidR="00965D52" w:rsidRDefault="00965D52" w:rsidP="00965D52">
      <w:pPr>
        <w:pStyle w:val="TableNo"/>
        <w:rPr>
          <w:noProof/>
        </w:rPr>
      </w:pPr>
      <w:r w:rsidRPr="00965D52">
        <w:rPr>
          <w:rtl/>
        </w:rPr>
        <w:t>الجـدول</w:t>
      </w:r>
      <w:r>
        <w:rPr>
          <w:noProof/>
          <w:rtl/>
        </w:rPr>
        <w:t xml:space="preserve"> </w:t>
      </w:r>
      <w:r>
        <w:rPr>
          <w:noProof/>
        </w:rPr>
        <w:t>2</w:t>
      </w:r>
    </w:p>
    <w:p w:rsidR="00965D52" w:rsidRDefault="00965D52" w:rsidP="00965D52">
      <w:pPr>
        <w:pStyle w:val="TableTitle0"/>
        <w:rPr>
          <w:noProof/>
          <w:sz w:val="22"/>
          <w:szCs w:val="30"/>
          <w:rtl/>
          <w:lang w:bidi="ar-EG"/>
        </w:rPr>
      </w:pPr>
      <w:r>
        <w:rPr>
          <w:noProof/>
          <w:sz w:val="22"/>
          <w:szCs w:val="30"/>
          <w:rtl/>
        </w:rPr>
        <w:t xml:space="preserve">المعلمات المستعملة لاشتقاق معايير التقاسم من معايير التداخل </w:t>
      </w:r>
      <w:r>
        <w:rPr>
          <w:noProof/>
          <w:sz w:val="22"/>
          <w:szCs w:val="30"/>
          <w:rtl/>
        </w:rPr>
        <w:br/>
        <w:t>(باستعمال المنهجية الوارد</w:t>
      </w:r>
      <w:r w:rsidR="006172AD">
        <w:rPr>
          <w:rFonts w:hint="cs"/>
          <w:noProof/>
          <w:sz w:val="22"/>
          <w:szCs w:val="30"/>
          <w:rtl/>
        </w:rPr>
        <w:t>ة</w:t>
      </w:r>
      <w:r>
        <w:rPr>
          <w:noProof/>
          <w:sz w:val="22"/>
          <w:szCs w:val="30"/>
          <w:rtl/>
        </w:rPr>
        <w:t xml:space="preserve"> في التوصية </w:t>
      </w:r>
      <w:r>
        <w:rPr>
          <w:noProof/>
          <w:sz w:val="22"/>
          <w:szCs w:val="30"/>
          <w:lang w:val="fr-CH"/>
        </w:rPr>
        <w:t>ITU</w:t>
      </w:r>
      <w:r>
        <w:rPr>
          <w:noProof/>
          <w:sz w:val="22"/>
          <w:szCs w:val="30"/>
          <w:lang w:val="fr-CH"/>
        </w:rPr>
        <w:noBreakHyphen/>
        <w:t>R SA.1023</w:t>
      </w:r>
      <w:r>
        <w:rPr>
          <w:noProof/>
          <w:sz w:val="22"/>
          <w:szCs w:val="30"/>
          <w:rtl/>
          <w:lang w:bidi="ar-EG"/>
        </w:rPr>
        <w:t>)</w:t>
      </w:r>
    </w:p>
    <w:tbl>
      <w:tblPr>
        <w:bidiVisual/>
        <w:tblW w:w="5000" w:type="pct"/>
        <w:jc w:val="center"/>
        <w:tblLayout w:type="fixed"/>
        <w:tblCellMar>
          <w:left w:w="107" w:type="dxa"/>
          <w:right w:w="107" w:type="dxa"/>
        </w:tblCellMar>
        <w:tblLook w:val="04A0" w:firstRow="1" w:lastRow="0" w:firstColumn="1" w:lastColumn="0" w:noHBand="0" w:noVBand="1"/>
      </w:tblPr>
      <w:tblGrid>
        <w:gridCol w:w="1083"/>
        <w:gridCol w:w="1070"/>
        <w:gridCol w:w="1067"/>
        <w:gridCol w:w="1067"/>
        <w:gridCol w:w="1067"/>
        <w:gridCol w:w="1067"/>
        <w:gridCol w:w="1067"/>
        <w:gridCol w:w="1067"/>
        <w:gridCol w:w="1068"/>
      </w:tblGrid>
      <w:tr w:rsidR="00965D52" w:rsidTr="00965D52">
        <w:trPr>
          <w:jc w:val="center"/>
        </w:trPr>
        <w:tc>
          <w:tcPr>
            <w:tcW w:w="1083" w:type="dxa"/>
            <w:vMerge w:val="restart"/>
            <w:tcBorders>
              <w:top w:val="single" w:sz="6" w:space="0" w:color="auto"/>
              <w:left w:val="single" w:sz="6" w:space="0" w:color="auto"/>
              <w:bottom w:val="nil"/>
              <w:right w:val="single" w:sz="6" w:space="0" w:color="auto"/>
            </w:tcBorders>
            <w:vAlign w:val="center"/>
            <w:hideMark/>
          </w:tcPr>
          <w:p w:rsidR="00965D52" w:rsidRDefault="00965D52" w:rsidP="00BC75D1">
            <w:pPr>
              <w:pStyle w:val="TableText0"/>
              <w:keepNext w:val="0"/>
              <w:bidi/>
              <w:spacing w:before="80" w:after="80" w:line="260" w:lineRule="exact"/>
              <w:jc w:val="center"/>
              <w:rPr>
                <w:b/>
                <w:bCs/>
                <w:noProof/>
                <w:rtl/>
              </w:rPr>
            </w:pPr>
            <w:r>
              <w:rPr>
                <w:b/>
                <w:bCs/>
                <w:noProof/>
                <w:szCs w:val="24"/>
                <w:rtl/>
              </w:rPr>
              <w:t>نطاقات التردد</w:t>
            </w:r>
            <w:r>
              <w:rPr>
                <w:b/>
                <w:bCs/>
                <w:noProof/>
              </w:rPr>
              <w:br/>
              <w:t>(MHz)</w:t>
            </w:r>
          </w:p>
        </w:tc>
        <w:tc>
          <w:tcPr>
            <w:tcW w:w="2137"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 xml:space="preserve">التوزيع على الأجل الطويل </w:t>
            </w:r>
            <w:r>
              <w:rPr>
                <w:b/>
                <w:bCs/>
                <w:noProof/>
                <w:szCs w:val="24"/>
                <w:rtl/>
              </w:rPr>
              <w:br/>
              <w:t>بين فئات مسببات</w:t>
            </w:r>
            <w:r>
              <w:rPr>
                <w:b/>
                <w:bCs/>
                <w:noProof/>
                <w:rtl/>
              </w:rPr>
              <w:t xml:space="preserve"> </w:t>
            </w:r>
            <w:r>
              <w:rPr>
                <w:b/>
                <w:bCs/>
                <w:noProof/>
                <w:szCs w:val="24"/>
                <w:rtl/>
              </w:rPr>
              <w:t>التداخل</w:t>
            </w:r>
          </w:p>
        </w:tc>
        <w:tc>
          <w:tcPr>
            <w:tcW w:w="2134"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 xml:space="preserve">التوزيع على الأجل القصير </w:t>
            </w:r>
            <w:r>
              <w:rPr>
                <w:b/>
                <w:bCs/>
                <w:noProof/>
                <w:szCs w:val="24"/>
                <w:rtl/>
              </w:rPr>
              <w:br/>
              <w:t>بين فئات مسببات</w:t>
            </w:r>
            <w:r>
              <w:rPr>
                <w:b/>
                <w:bCs/>
                <w:noProof/>
                <w:rtl/>
              </w:rPr>
              <w:t xml:space="preserve"> </w:t>
            </w:r>
            <w:r>
              <w:rPr>
                <w:b/>
                <w:bCs/>
                <w:noProof/>
                <w:szCs w:val="24"/>
                <w:rtl/>
              </w:rPr>
              <w:t>التداخل</w:t>
            </w:r>
          </w:p>
        </w:tc>
        <w:tc>
          <w:tcPr>
            <w:tcW w:w="2134"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العدد المكافئ لمسببات التداخل على المدى الطويل</w:t>
            </w:r>
          </w:p>
        </w:tc>
        <w:tc>
          <w:tcPr>
            <w:tcW w:w="2135"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tl/>
              </w:rPr>
            </w:pPr>
            <w:r>
              <w:rPr>
                <w:b/>
                <w:bCs/>
                <w:noProof/>
                <w:szCs w:val="24"/>
                <w:rtl/>
              </w:rPr>
              <w:t>العدد المكافئ لمسببات التداخل على المدى القصير</w:t>
            </w:r>
          </w:p>
        </w:tc>
      </w:tr>
      <w:tr w:rsidR="00965D52" w:rsidTr="00965D52">
        <w:trPr>
          <w:jc w:val="center"/>
        </w:trPr>
        <w:tc>
          <w:tcPr>
            <w:tcW w:w="1083" w:type="dxa"/>
            <w:vMerge/>
            <w:tcBorders>
              <w:top w:val="single" w:sz="6" w:space="0" w:color="auto"/>
              <w:left w:val="single" w:sz="6" w:space="0" w:color="auto"/>
              <w:bottom w:val="nil"/>
              <w:right w:val="single" w:sz="6" w:space="0" w:color="auto"/>
            </w:tcBorders>
            <w:vAlign w:val="center"/>
            <w:hideMark/>
          </w:tcPr>
          <w:p w:rsidR="00965D52" w:rsidRDefault="00965D52" w:rsidP="00BC75D1">
            <w:pPr>
              <w:overflowPunct/>
              <w:autoSpaceDE/>
              <w:autoSpaceDN/>
              <w:adjustRightInd/>
              <w:spacing w:before="0" w:line="260" w:lineRule="exact"/>
              <w:jc w:val="left"/>
              <w:rPr>
                <w:b/>
                <w:bCs/>
                <w:noProof/>
                <w:sz w:val="18"/>
                <w:szCs w:val="21"/>
                <w:lang w:val="en-GB"/>
              </w:rPr>
            </w:pPr>
          </w:p>
        </w:tc>
        <w:tc>
          <w:tcPr>
            <w:tcW w:w="2137"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tl/>
              </w:rPr>
            </w:pPr>
            <w:r>
              <w:rPr>
                <w:b/>
                <w:bCs/>
                <w:noProof/>
                <w:szCs w:val="24"/>
                <w:rtl/>
              </w:rPr>
              <w:t xml:space="preserve">مسير الإشارة </w:t>
            </w:r>
            <w:r>
              <w:rPr>
                <w:b/>
                <w:bCs/>
                <w:noProof/>
                <w:szCs w:val="24"/>
                <w:rtl/>
              </w:rPr>
              <w:br/>
              <w:t xml:space="preserve">المسببة للتداخل </w:t>
            </w:r>
          </w:p>
        </w:tc>
        <w:tc>
          <w:tcPr>
            <w:tcW w:w="2134"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 xml:space="preserve">مسير الإشارة </w:t>
            </w:r>
            <w:r>
              <w:rPr>
                <w:b/>
                <w:bCs/>
                <w:noProof/>
                <w:szCs w:val="24"/>
                <w:rtl/>
              </w:rPr>
              <w:br/>
              <w:t>المسببة للتداخل</w:t>
            </w:r>
          </w:p>
        </w:tc>
        <w:tc>
          <w:tcPr>
            <w:tcW w:w="2134"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 xml:space="preserve">مسير الإشارة </w:t>
            </w:r>
            <w:r>
              <w:rPr>
                <w:b/>
                <w:bCs/>
                <w:noProof/>
                <w:szCs w:val="24"/>
                <w:rtl/>
              </w:rPr>
              <w:br/>
              <w:t>المسببة للتداخل</w:t>
            </w:r>
          </w:p>
        </w:tc>
        <w:tc>
          <w:tcPr>
            <w:tcW w:w="2135" w:type="dxa"/>
            <w:gridSpan w:val="2"/>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 xml:space="preserve">مسير الإشارة </w:t>
            </w:r>
            <w:r>
              <w:rPr>
                <w:b/>
                <w:bCs/>
                <w:noProof/>
                <w:szCs w:val="24"/>
                <w:rtl/>
              </w:rPr>
              <w:br/>
              <w:t>المسببة للتداخل</w:t>
            </w:r>
          </w:p>
        </w:tc>
      </w:tr>
      <w:tr w:rsidR="00965D52" w:rsidTr="00965D52">
        <w:trPr>
          <w:jc w:val="center"/>
        </w:trPr>
        <w:tc>
          <w:tcPr>
            <w:tcW w:w="1083" w:type="dxa"/>
            <w:tcBorders>
              <w:top w:val="nil"/>
              <w:left w:val="single" w:sz="6" w:space="0" w:color="auto"/>
              <w:bottom w:val="single" w:sz="6" w:space="0" w:color="auto"/>
              <w:right w:val="single" w:sz="6" w:space="0" w:color="auto"/>
            </w:tcBorders>
          </w:tcPr>
          <w:p w:rsidR="00965D52" w:rsidRDefault="00965D52" w:rsidP="00BC75D1">
            <w:pPr>
              <w:pStyle w:val="TableText0"/>
              <w:keepNext w:val="0"/>
              <w:bidi/>
              <w:spacing w:before="80" w:after="80" w:line="260" w:lineRule="exact"/>
              <w:jc w:val="center"/>
              <w:rPr>
                <w:b/>
                <w:bCs/>
                <w:noProof/>
              </w:rPr>
            </w:pPr>
          </w:p>
        </w:tc>
        <w:tc>
          <w:tcPr>
            <w:tcW w:w="1070"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فضاء-أرض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للأرض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فضاء-أرض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للأرض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فضاء-أرض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للأرض</w:t>
            </w:r>
          </w:p>
        </w:tc>
        <w:tc>
          <w:tcPr>
            <w:tcW w:w="1067"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80" w:after="80" w:line="260" w:lineRule="exact"/>
              <w:jc w:val="center"/>
              <w:rPr>
                <w:b/>
                <w:bCs/>
                <w:noProof/>
              </w:rPr>
            </w:pPr>
            <w:r>
              <w:rPr>
                <w:b/>
                <w:bCs/>
                <w:noProof/>
                <w:szCs w:val="24"/>
                <w:rtl/>
              </w:rPr>
              <w:t>فضاء-أرض</w:t>
            </w:r>
          </w:p>
        </w:tc>
        <w:tc>
          <w:tcPr>
            <w:tcW w:w="1068" w:type="dxa"/>
            <w:tcBorders>
              <w:top w:val="single" w:sz="6" w:space="0" w:color="auto"/>
              <w:left w:val="single" w:sz="6" w:space="0" w:color="auto"/>
              <w:bottom w:val="single" w:sz="6" w:space="0" w:color="auto"/>
              <w:right w:val="single" w:sz="6" w:space="0" w:color="auto"/>
            </w:tcBorders>
            <w:hideMark/>
          </w:tcPr>
          <w:p w:rsidR="00965D52" w:rsidRDefault="00965D52" w:rsidP="00BC75D1">
            <w:pPr>
              <w:pStyle w:val="TableText0"/>
              <w:keepNext w:val="0"/>
              <w:bidi/>
              <w:spacing w:before="20" w:after="20" w:line="260" w:lineRule="exact"/>
              <w:jc w:val="center"/>
              <w:rPr>
                <w:b/>
                <w:bCs/>
                <w:noProof/>
              </w:rPr>
            </w:pPr>
            <w:r>
              <w:rPr>
                <w:b/>
                <w:bCs/>
                <w:noProof/>
                <w:szCs w:val="24"/>
                <w:rtl/>
              </w:rPr>
              <w:t>للأرض</w:t>
            </w:r>
          </w:p>
        </w:tc>
      </w:tr>
      <w:tr w:rsidR="00965D52" w:rsidTr="00AD3F59">
        <w:trPr>
          <w:jc w:val="center"/>
        </w:trPr>
        <w:tc>
          <w:tcPr>
            <w:tcW w:w="1083" w:type="dxa"/>
            <w:tcBorders>
              <w:top w:val="nil"/>
              <w:left w:val="single" w:sz="6" w:space="0" w:color="auto"/>
              <w:bottom w:val="nil"/>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tl/>
              </w:rPr>
            </w:pPr>
            <w:r w:rsidRPr="00AD3F59">
              <w:rPr>
                <w:noProof/>
                <w:spacing w:val="-10"/>
              </w:rPr>
              <w:t>138-137</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%60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lang w:val="en-US"/>
              </w:rPr>
            </w:pPr>
            <w:r>
              <w:rPr>
                <w:noProof/>
              </w:rPr>
              <w:t>%40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r>
      <w:tr w:rsidR="00965D52" w:rsidTr="00AD3F59">
        <w:trPr>
          <w:jc w:val="center"/>
        </w:trPr>
        <w:tc>
          <w:tcPr>
            <w:tcW w:w="1083" w:type="dxa"/>
            <w:tcBorders>
              <w:top w:val="single" w:sz="6" w:space="0" w:color="auto"/>
              <w:left w:val="single" w:sz="6" w:space="0" w:color="auto"/>
              <w:bottom w:val="single" w:sz="6" w:space="0" w:color="auto"/>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401,00-400</w:t>
            </w:r>
            <w:r w:rsidRPr="00AD3F59">
              <w:rPr>
                <w:noProof/>
                <w:spacing w:val="-10"/>
                <w:lang w:val="en-US"/>
              </w:rPr>
              <w:t>,</w:t>
            </w:r>
            <w:r w:rsidRPr="00AD3F59">
              <w:rPr>
                <w:noProof/>
                <w:spacing w:val="-10"/>
              </w:rPr>
              <w:t>15</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%75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r>
      <w:tr w:rsidR="00965D52" w:rsidTr="00AD3F59">
        <w:trPr>
          <w:jc w:val="center"/>
        </w:trPr>
        <w:tc>
          <w:tcPr>
            <w:tcW w:w="1083" w:type="dxa"/>
            <w:tcBorders>
              <w:top w:val="nil"/>
              <w:left w:val="single" w:sz="6" w:space="0" w:color="auto"/>
              <w:bottom w:val="single" w:sz="4" w:space="0" w:color="auto"/>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1 700-1 698</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%50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%80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r>
      <w:tr w:rsidR="00965D52" w:rsidTr="00AD3F59">
        <w:trPr>
          <w:jc w:val="center"/>
        </w:trPr>
        <w:tc>
          <w:tcPr>
            <w:tcW w:w="1083" w:type="dxa"/>
            <w:tcBorders>
              <w:top w:val="single" w:sz="4" w:space="0" w:color="auto"/>
              <w:left w:val="single" w:sz="6" w:space="0" w:color="auto"/>
              <w:bottom w:val="nil"/>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1 710-1 700</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%80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%75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r>
      <w:tr w:rsidR="00965D52" w:rsidTr="00AD3F59">
        <w:trPr>
          <w:jc w:val="center"/>
        </w:trPr>
        <w:tc>
          <w:tcPr>
            <w:tcW w:w="1083" w:type="dxa"/>
            <w:tcBorders>
              <w:top w:val="single" w:sz="6" w:space="0" w:color="auto"/>
              <w:left w:val="single" w:sz="6" w:space="0" w:color="auto"/>
              <w:bottom w:val="single" w:sz="4" w:space="0" w:color="auto"/>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7</w:t>
            </w:r>
            <w:r w:rsidRPr="00AD3F59">
              <w:rPr>
                <w:rFonts w:ascii="Tms Rmn" w:hAnsi="Tms Rmn"/>
                <w:noProof/>
                <w:spacing w:val="-10"/>
                <w:sz w:val="12"/>
              </w:rPr>
              <w:t> </w:t>
            </w:r>
            <w:r w:rsidRPr="00AD3F59">
              <w:rPr>
                <w:noProof/>
                <w:spacing w:val="-10"/>
                <w:lang w:val="en-US"/>
              </w:rPr>
              <w:t>900</w:t>
            </w:r>
            <w:r w:rsidRPr="00AD3F59">
              <w:rPr>
                <w:noProof/>
                <w:spacing w:val="-10"/>
              </w:rPr>
              <w:t>-7</w:t>
            </w:r>
            <w:r w:rsidRPr="00AD3F59">
              <w:rPr>
                <w:noProof/>
                <w:spacing w:val="-10"/>
                <w:lang w:val="en-US"/>
              </w:rPr>
              <w:t> 7</w:t>
            </w:r>
            <w:r w:rsidRPr="00AD3F59">
              <w:rPr>
                <w:noProof/>
                <w:spacing w:val="-10"/>
              </w:rPr>
              <w:t>50</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%80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%75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%25</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r>
      <w:tr w:rsidR="00965D52" w:rsidTr="00AD3F59">
        <w:trPr>
          <w:jc w:val="center"/>
        </w:trPr>
        <w:tc>
          <w:tcPr>
            <w:tcW w:w="1083" w:type="dxa"/>
            <w:tcBorders>
              <w:top w:val="single" w:sz="4" w:space="0" w:color="auto"/>
              <w:left w:val="single" w:sz="6" w:space="0" w:color="auto"/>
              <w:bottom w:val="single" w:sz="4" w:space="0" w:color="auto"/>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8</w:t>
            </w:r>
            <w:r w:rsidRPr="00AD3F59">
              <w:rPr>
                <w:rFonts w:ascii="Tms Rmn" w:hAnsi="Tms Rmn"/>
                <w:noProof/>
                <w:spacing w:val="-10"/>
                <w:sz w:val="12"/>
              </w:rPr>
              <w:t> </w:t>
            </w:r>
            <w:r w:rsidRPr="00AD3F59">
              <w:rPr>
                <w:noProof/>
                <w:spacing w:val="-10"/>
              </w:rPr>
              <w:t>400-8</w:t>
            </w:r>
            <w:r w:rsidRPr="00AD3F59">
              <w:rPr>
                <w:rFonts w:ascii="Tms Rmn" w:hAnsi="Tms Rmn"/>
                <w:noProof/>
                <w:spacing w:val="-10"/>
                <w:sz w:val="12"/>
              </w:rPr>
              <w:t> </w:t>
            </w:r>
            <w:r w:rsidRPr="00AD3F59">
              <w:rPr>
                <w:noProof/>
                <w:spacing w:val="-10"/>
              </w:rPr>
              <w:t>025</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%99</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lang w:val="en-US"/>
              </w:rPr>
            </w:pPr>
            <w:r>
              <w:rPr>
                <w:noProof/>
              </w:rPr>
              <w:t>%20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%80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Pr="00AD3F59" w:rsidRDefault="00965D52" w:rsidP="00BC75D1">
            <w:pPr>
              <w:pStyle w:val="TableText0"/>
              <w:keepNext w:val="0"/>
              <w:bidi/>
              <w:spacing w:before="20" w:after="20" w:line="260" w:lineRule="exact"/>
              <w:jc w:val="center"/>
              <w:rPr>
                <w:noProof/>
                <w:lang w:val="en-US"/>
              </w:rPr>
            </w:pPr>
            <w:r>
              <w:rPr>
                <w:noProof/>
              </w:rPr>
              <w:t>1</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r>
      <w:tr w:rsidR="00965D52" w:rsidTr="00AD3F59">
        <w:trPr>
          <w:jc w:val="center"/>
        </w:trPr>
        <w:tc>
          <w:tcPr>
            <w:tcW w:w="1083" w:type="dxa"/>
            <w:tcBorders>
              <w:top w:val="nil"/>
              <w:left w:val="single" w:sz="6" w:space="0" w:color="auto"/>
              <w:bottom w:val="single" w:sz="6" w:space="0" w:color="auto"/>
              <w:right w:val="single" w:sz="6" w:space="0" w:color="auto"/>
            </w:tcBorders>
            <w:tcMar>
              <w:left w:w="57" w:type="dxa"/>
              <w:right w:w="57" w:type="dxa"/>
            </w:tcMar>
            <w:vAlign w:val="center"/>
            <w:hideMark/>
          </w:tcPr>
          <w:p w:rsidR="00965D52" w:rsidRPr="00AD3F59" w:rsidRDefault="00965D52" w:rsidP="00BC75D1">
            <w:pPr>
              <w:pStyle w:val="TableText0"/>
              <w:keepNext w:val="0"/>
              <w:bidi/>
              <w:spacing w:before="20" w:after="20" w:line="260" w:lineRule="exact"/>
              <w:jc w:val="center"/>
              <w:rPr>
                <w:noProof/>
                <w:spacing w:val="-10"/>
              </w:rPr>
            </w:pPr>
            <w:r w:rsidRPr="00AD3F59">
              <w:rPr>
                <w:noProof/>
                <w:spacing w:val="-10"/>
              </w:rPr>
              <w:t>27</w:t>
            </w:r>
            <w:r w:rsidRPr="00AD3F59">
              <w:rPr>
                <w:rFonts w:ascii="Tms Rmn" w:hAnsi="Tms Rmn"/>
                <w:noProof/>
                <w:spacing w:val="-10"/>
                <w:sz w:val="12"/>
              </w:rPr>
              <w:t> </w:t>
            </w:r>
            <w:r w:rsidRPr="00AD3F59">
              <w:rPr>
                <w:noProof/>
                <w:spacing w:val="-10"/>
              </w:rPr>
              <w:t>000-25</w:t>
            </w:r>
            <w:r w:rsidRPr="00AD3F59">
              <w:rPr>
                <w:rFonts w:ascii="Tms Rmn" w:hAnsi="Tms Rmn"/>
                <w:noProof/>
                <w:spacing w:val="-10"/>
                <w:sz w:val="12"/>
              </w:rPr>
              <w:t> </w:t>
            </w:r>
            <w:r w:rsidRPr="00AD3F59">
              <w:rPr>
                <w:noProof/>
                <w:spacing w:val="-10"/>
              </w:rPr>
              <w:t>500</w:t>
            </w:r>
          </w:p>
        </w:tc>
        <w:tc>
          <w:tcPr>
            <w:tcW w:w="1070"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lang w:val="en-US"/>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%99</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%80</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c>
          <w:tcPr>
            <w:tcW w:w="1067"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1</w:t>
            </w:r>
          </w:p>
        </w:tc>
        <w:tc>
          <w:tcPr>
            <w:tcW w:w="1068" w:type="dxa"/>
            <w:tcBorders>
              <w:top w:val="single" w:sz="6" w:space="0" w:color="auto"/>
              <w:left w:val="single" w:sz="6" w:space="0" w:color="auto"/>
              <w:bottom w:val="single" w:sz="6" w:space="0" w:color="auto"/>
              <w:right w:val="single" w:sz="6" w:space="0" w:color="auto"/>
            </w:tcBorders>
            <w:vAlign w:val="center"/>
            <w:hideMark/>
          </w:tcPr>
          <w:p w:rsidR="00965D52" w:rsidRDefault="00965D52" w:rsidP="00BC75D1">
            <w:pPr>
              <w:pStyle w:val="TableText0"/>
              <w:keepNext w:val="0"/>
              <w:bidi/>
              <w:spacing w:before="20" w:after="20" w:line="260" w:lineRule="exact"/>
              <w:jc w:val="center"/>
              <w:rPr>
                <w:noProof/>
              </w:rPr>
            </w:pPr>
            <w:r>
              <w:rPr>
                <w:noProof/>
              </w:rPr>
              <w:t>2</w:t>
            </w:r>
          </w:p>
        </w:tc>
      </w:tr>
    </w:tbl>
    <w:p w:rsidR="00965D52" w:rsidRDefault="00965D52" w:rsidP="00965D52">
      <w:pPr>
        <w:pStyle w:val="Line"/>
        <w:spacing w:before="840"/>
        <w:rPr>
          <w:lang w:val="en-US"/>
        </w:rPr>
      </w:pPr>
    </w:p>
    <w:p w:rsidR="00965D52" w:rsidRDefault="00965D52" w:rsidP="00965D5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Pr>
      </w:pPr>
    </w:p>
    <w:sectPr w:rsidR="00965D52" w:rsidSect="00965D52">
      <w:headerReference w:type="even" r:id="rId14"/>
      <w:headerReference w:type="default" r:id="rId1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DCF" w:rsidRDefault="003D3DCF">
      <w:r>
        <w:separator/>
      </w:r>
    </w:p>
  </w:endnote>
  <w:endnote w:type="continuationSeparator" w:id="0">
    <w:p w:rsidR="003D3DCF" w:rsidRDefault="003D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DCF" w:rsidRDefault="003D3DCF" w:rsidP="00E1601B">
      <w:pPr>
        <w:spacing w:line="240" w:lineRule="auto"/>
      </w:pPr>
      <w:r>
        <w:t>____________________</w:t>
      </w:r>
    </w:p>
  </w:footnote>
  <w:footnote w:type="continuationSeparator" w:id="0">
    <w:p w:rsidR="003D3DCF" w:rsidRDefault="003D3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F2257">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6F2257">
      <w:rPr>
        <w:noProof/>
      </w:rPr>
      <w:t>ITU-R  SA.1027-5</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D52" w:rsidRPr="003D017C" w:rsidRDefault="00965D52" w:rsidP="00965D52">
    <w:pPr>
      <w:pStyle w:val="Header"/>
      <w:tabs>
        <w:tab w:val="center" w:pos="4819"/>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F2257">
      <w:rPr>
        <w:rFonts w:cs="Times New Roman Bold"/>
        <w:noProof/>
        <w:szCs w:val="22"/>
        <w:rtl/>
      </w:rPr>
      <w:t>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F2257">
      <w:rPr>
        <w:noProof/>
      </w:rPr>
      <w:t>ITU-R  SA.1027-5</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B8" w:rsidRPr="00AE3E36" w:rsidRDefault="00EE15B8" w:rsidP="00965D52">
    <w:pPr>
      <w:tabs>
        <w:tab w:val="center" w:pos="4819"/>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F2257">
      <w:rPr>
        <w:rFonts w:ascii="Times New Roman Bold" w:hAnsi="Times New Roman Bold"/>
        <w:b/>
        <w:bCs/>
        <w:noProof/>
      </w:rPr>
      <w:t>ITU-R  SA.1027-5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F2257">
      <w:rPr>
        <w:rFonts w:cs="Times New Roman"/>
        <w:b/>
        <w:bCs/>
        <w:noProof/>
        <w:szCs w:val="22"/>
        <w:rtl/>
      </w:rPr>
      <w:t>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08DA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2C6F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F64A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4684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4EDE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D497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242C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C8CD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4E25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8499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ru-RU" w:vendorID="64" w:dllVersion="131078" w:nlCheck="1" w:checkStyle="0"/>
  <w:activeWritingStyle w:appName="MSWord" w:lang="en-GB"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5B8"/>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73203"/>
    <w:rsid w:val="00284682"/>
    <w:rsid w:val="002971E7"/>
    <w:rsid w:val="002B261D"/>
    <w:rsid w:val="002B765A"/>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3DC8"/>
    <w:rsid w:val="003864B4"/>
    <w:rsid w:val="00393745"/>
    <w:rsid w:val="003A174E"/>
    <w:rsid w:val="003D017C"/>
    <w:rsid w:val="003D093E"/>
    <w:rsid w:val="003D307E"/>
    <w:rsid w:val="003D3DCF"/>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72AD"/>
    <w:rsid w:val="00621244"/>
    <w:rsid w:val="006338BF"/>
    <w:rsid w:val="00667C08"/>
    <w:rsid w:val="00680CA6"/>
    <w:rsid w:val="00686ACA"/>
    <w:rsid w:val="006969DE"/>
    <w:rsid w:val="006F0DD4"/>
    <w:rsid w:val="006F2257"/>
    <w:rsid w:val="006F245A"/>
    <w:rsid w:val="006F7497"/>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65D52"/>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D3F59"/>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A4DB6"/>
    <w:rsid w:val="00BC6301"/>
    <w:rsid w:val="00BC75D1"/>
    <w:rsid w:val="00BD27D1"/>
    <w:rsid w:val="00BE0ABF"/>
    <w:rsid w:val="00BE0D0E"/>
    <w:rsid w:val="00BE5AAE"/>
    <w:rsid w:val="00BF3DD6"/>
    <w:rsid w:val="00C04244"/>
    <w:rsid w:val="00C1100F"/>
    <w:rsid w:val="00C46925"/>
    <w:rsid w:val="00C50B28"/>
    <w:rsid w:val="00C50C56"/>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E15B8"/>
    <w:rsid w:val="00EF0744"/>
    <w:rsid w:val="00EF7CB5"/>
    <w:rsid w:val="00F1320B"/>
    <w:rsid w:val="00F22C87"/>
    <w:rsid w:val="00F244F0"/>
    <w:rsid w:val="00F3359B"/>
    <w:rsid w:val="00F34C39"/>
    <w:rsid w:val="00F35D43"/>
    <w:rsid w:val="00F40BC5"/>
    <w:rsid w:val="00F54E73"/>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D1520EB-5434-4947-A8BD-9078E61D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EE15B8"/>
    <w:pPr>
      <w:keepNext/>
      <w:keepLines/>
      <w:tabs>
        <w:tab w:val="left" w:pos="794"/>
      </w:tabs>
      <w:spacing w:before="240"/>
      <w:ind w:left="851"/>
      <w:textAlignment w:val="auto"/>
    </w:pPr>
    <w:rPr>
      <w:i/>
      <w:iCs/>
      <w:lang w:val="en-GB" w:eastAsia="ja-JP"/>
    </w:rPr>
  </w:style>
  <w:style w:type="paragraph" w:customStyle="1" w:styleId="TableTitle0">
    <w:name w:val="Table Title"/>
    <w:basedOn w:val="TableNo"/>
    <w:rsid w:val="00EE15B8"/>
    <w:pPr>
      <w:keepNext w:val="0"/>
      <w:keepLines w:val="0"/>
      <w:spacing w:before="120" w:after="120"/>
      <w:textAlignment w:val="auto"/>
    </w:pPr>
    <w:rPr>
      <w:rFonts w:ascii="Times New Roman Bold" w:hAnsi="Times New Roman Bold"/>
      <w:b/>
      <w:bCs/>
      <w:sz w:val="24"/>
      <w:szCs w:val="32"/>
      <w:lang w:eastAsia="ja-JP" w:bidi="ar-SA"/>
    </w:rPr>
  </w:style>
  <w:style w:type="paragraph" w:customStyle="1" w:styleId="TableText0">
    <w:name w:val="Table_Text"/>
    <w:basedOn w:val="Normal"/>
    <w:rsid w:val="00965D52"/>
    <w:pPr>
      <w:keepNext/>
      <w:widowControl w:val="0"/>
      <w:tabs>
        <w:tab w:val="left" w:pos="794"/>
        <w:tab w:val="left" w:pos="1191"/>
        <w:tab w:val="left" w:pos="1588"/>
        <w:tab w:val="left" w:pos="1985"/>
      </w:tabs>
      <w:bidi w:val="0"/>
      <w:spacing w:before="100" w:after="100" w:line="-189" w:lineRule="auto"/>
      <w:textAlignment w:val="auto"/>
    </w:pPr>
    <w:rPr>
      <w:sz w:val="18"/>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4603">
      <w:bodyDiv w:val="1"/>
      <w:marLeft w:val="0"/>
      <w:marRight w:val="0"/>
      <w:marTop w:val="0"/>
      <w:marBottom w:val="0"/>
      <w:divBdr>
        <w:top w:val="none" w:sz="0" w:space="0" w:color="auto"/>
        <w:left w:val="none" w:sz="0" w:space="0" w:color="auto"/>
        <w:bottom w:val="none" w:sz="0" w:space="0" w:color="auto"/>
        <w:right w:val="none" w:sz="0" w:space="0" w:color="auto"/>
      </w:divBdr>
    </w:div>
    <w:div w:id="53589122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89044664">
      <w:bodyDiv w:val="1"/>
      <w:marLeft w:val="0"/>
      <w:marRight w:val="0"/>
      <w:marTop w:val="0"/>
      <w:marBottom w:val="0"/>
      <w:divBdr>
        <w:top w:val="none" w:sz="0" w:space="0" w:color="auto"/>
        <w:left w:val="none" w:sz="0" w:space="0" w:color="auto"/>
        <w:bottom w:val="none" w:sz="0" w:space="0" w:color="auto"/>
        <w:right w:val="none" w:sz="0" w:space="0" w:color="auto"/>
      </w:divBdr>
    </w:div>
    <w:div w:id="112408354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62756408">
      <w:bodyDiv w:val="1"/>
      <w:marLeft w:val="0"/>
      <w:marRight w:val="0"/>
      <w:marTop w:val="0"/>
      <w:marBottom w:val="0"/>
      <w:divBdr>
        <w:top w:val="none" w:sz="0" w:space="0" w:color="auto"/>
        <w:left w:val="none" w:sz="0" w:space="0" w:color="auto"/>
        <w:bottom w:val="none" w:sz="0" w:space="0" w:color="auto"/>
        <w:right w:val="none" w:sz="0" w:space="0" w:color="auto"/>
      </w:divBdr>
    </w:div>
    <w:div w:id="140583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EFF1A-5762-4BBA-86B7-46B678E8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23</TotalTime>
  <Pages>7</Pages>
  <Words>2298</Words>
  <Characters>11923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14193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6</cp:revision>
  <cp:lastPrinted>2018-08-23T13:18:00Z</cp:lastPrinted>
  <dcterms:created xsi:type="dcterms:W3CDTF">2018-08-23T13:00:00Z</dcterms:created>
  <dcterms:modified xsi:type="dcterms:W3CDTF">2018-08-23T13:24:00Z</dcterms:modified>
</cp:coreProperties>
</file>