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p w:rsidR="00D76EDC" w:rsidRDefault="00D76EDC" w:rsidP="00D76EDC"/>
    <w:tbl>
      <w:tblPr>
        <w:tblW w:w="10089" w:type="dxa"/>
        <w:tblLook w:val="01E0" w:firstRow="1" w:lastRow="1" w:firstColumn="1" w:lastColumn="1" w:noHBand="0" w:noVBand="0"/>
      </w:tblPr>
      <w:tblGrid>
        <w:gridCol w:w="10089"/>
      </w:tblGrid>
      <w:tr w:rsidR="00D76EDC" w:rsidTr="008E3C29">
        <w:tc>
          <w:tcPr>
            <w:tcW w:w="10089" w:type="dxa"/>
          </w:tcPr>
          <w:p w:rsidR="00D76EDC" w:rsidRPr="001511A6" w:rsidRDefault="00D76EDC" w:rsidP="008E3C29">
            <w:pPr>
              <w:spacing w:before="380" w:line="280" w:lineRule="exact"/>
              <w:jc w:val="right"/>
              <w:rPr>
                <w:rFonts w:ascii="Tahoma" w:hAnsi="Tahoma" w:cs="Tahoma"/>
                <w:b/>
                <w:bCs/>
                <w:iCs/>
                <w:color w:val="243285"/>
                <w:sz w:val="32"/>
                <w:szCs w:val="32"/>
                <w:lang w:val="en-US"/>
              </w:rPr>
            </w:pPr>
          </w:p>
          <w:p w:rsidR="00D76EDC" w:rsidRPr="0081070A" w:rsidRDefault="00D76EDC" w:rsidP="00877443">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sidR="00877443">
              <w:rPr>
                <w:rFonts w:ascii="Tahoma" w:hAnsi="Tahoma" w:cs="Tahoma"/>
                <w:b/>
                <w:bCs/>
                <w:iCs/>
                <w:color w:val="243285"/>
                <w:sz w:val="36"/>
                <w:szCs w:val="36"/>
                <w:lang w:val="fr-CH"/>
              </w:rPr>
              <w:t>1019-1</w:t>
            </w:r>
          </w:p>
          <w:p w:rsidR="00D76EDC" w:rsidRPr="0081070A" w:rsidRDefault="00D76EDC" w:rsidP="00877443">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877443">
              <w:rPr>
                <w:rFonts w:ascii="Tahoma" w:hAnsi="Tahoma" w:cs="Tahoma"/>
                <w:b/>
                <w:bCs/>
                <w:iCs/>
                <w:color w:val="243285"/>
                <w:szCs w:val="24"/>
                <w:lang w:val="fr-CH"/>
              </w:rPr>
              <w:t>07</w:t>
            </w:r>
            <w:r w:rsidRPr="00FB15D4">
              <w:rPr>
                <w:rFonts w:ascii="Tahoma" w:hAnsi="Tahoma" w:cs="Tahoma"/>
                <w:b/>
                <w:bCs/>
                <w:iCs/>
                <w:color w:val="243285"/>
                <w:szCs w:val="24"/>
                <w:lang w:val="fr-CH"/>
              </w:rPr>
              <w:t>/</w:t>
            </w:r>
            <w:r w:rsidR="00877443">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D76EDC" w:rsidRPr="00877443" w:rsidTr="008E3C29">
        <w:tc>
          <w:tcPr>
            <w:tcW w:w="10089" w:type="dxa"/>
          </w:tcPr>
          <w:p w:rsidR="00D76EDC" w:rsidRPr="00877443" w:rsidRDefault="00877443" w:rsidP="00877443">
            <w:pPr>
              <w:spacing w:before="80" w:line="500" w:lineRule="exact"/>
              <w:jc w:val="right"/>
              <w:rPr>
                <w:rFonts w:ascii="Tahoma" w:hAnsi="Tahoma" w:cs="Tahoma"/>
                <w:b/>
                <w:bCs/>
                <w:iCs/>
                <w:color w:val="243285"/>
                <w:sz w:val="44"/>
                <w:szCs w:val="44"/>
                <w:lang w:val="en-GB"/>
              </w:rPr>
            </w:pPr>
            <w:r w:rsidRPr="00877443">
              <w:rPr>
                <w:rFonts w:ascii="Tahoma" w:hAnsi="Tahoma" w:cs="Tahoma"/>
                <w:b/>
                <w:bCs/>
                <w:iCs/>
                <w:color w:val="243285"/>
                <w:sz w:val="44"/>
                <w:szCs w:val="44"/>
                <w:lang w:val="en-GB"/>
              </w:rPr>
              <w:t>Frequency ba</w:t>
            </w:r>
            <w:r>
              <w:rPr>
                <w:rFonts w:ascii="Tahoma" w:hAnsi="Tahoma" w:cs="Tahoma"/>
                <w:b/>
                <w:bCs/>
                <w:iCs/>
                <w:color w:val="243285"/>
                <w:sz w:val="44"/>
                <w:szCs w:val="44"/>
                <w:lang w:val="en-GB"/>
              </w:rPr>
              <w:t xml:space="preserve">nds and transmission directions </w:t>
            </w:r>
            <w:r w:rsidRPr="00877443">
              <w:rPr>
                <w:rFonts w:ascii="Tahoma" w:hAnsi="Tahoma" w:cs="Tahoma"/>
                <w:b/>
                <w:bCs/>
                <w:iCs/>
                <w:color w:val="243285"/>
                <w:sz w:val="44"/>
                <w:szCs w:val="44"/>
                <w:lang w:val="en-GB"/>
              </w:rPr>
              <w:t>for data relay satellite networks/systems</w:t>
            </w:r>
          </w:p>
          <w:p w:rsidR="00D76EDC" w:rsidRPr="00877443" w:rsidRDefault="00D76EDC" w:rsidP="008E3C29">
            <w:pPr>
              <w:spacing w:before="80" w:line="500" w:lineRule="exact"/>
              <w:jc w:val="right"/>
              <w:rPr>
                <w:rFonts w:ascii="Tahoma" w:hAnsi="Tahoma" w:cs="Tahoma"/>
                <w:b/>
                <w:bCs/>
                <w:iCs/>
                <w:color w:val="243285"/>
                <w:sz w:val="40"/>
                <w:szCs w:val="40"/>
                <w:lang w:val="en-GB"/>
              </w:rPr>
            </w:pPr>
          </w:p>
        </w:tc>
      </w:tr>
      <w:tr w:rsidR="00D76EDC" w:rsidTr="008E3C29">
        <w:tc>
          <w:tcPr>
            <w:tcW w:w="10089" w:type="dxa"/>
          </w:tcPr>
          <w:p w:rsidR="00D76EDC" w:rsidRPr="00877443" w:rsidRDefault="00D76EDC" w:rsidP="008E3C29">
            <w:pPr>
              <w:spacing w:before="80" w:line="280" w:lineRule="exact"/>
              <w:ind w:right="640"/>
              <w:rPr>
                <w:rFonts w:ascii="Tahoma" w:hAnsi="Tahoma" w:cs="Tahoma"/>
                <w:b/>
                <w:bCs/>
                <w:iCs/>
                <w:color w:val="243285"/>
                <w:sz w:val="32"/>
                <w:szCs w:val="32"/>
                <w:lang w:val="en-GB"/>
              </w:rPr>
            </w:pPr>
          </w:p>
          <w:p w:rsidR="00D76EDC" w:rsidRPr="00877443" w:rsidRDefault="00D76EDC" w:rsidP="008E3C29">
            <w:pPr>
              <w:spacing w:before="80" w:line="280" w:lineRule="exact"/>
              <w:ind w:right="640"/>
              <w:rPr>
                <w:rFonts w:ascii="Tahoma" w:hAnsi="Tahoma" w:cs="Tahoma"/>
                <w:b/>
                <w:bCs/>
                <w:iCs/>
                <w:color w:val="243285"/>
                <w:sz w:val="32"/>
                <w:szCs w:val="32"/>
                <w:lang w:val="en-GB"/>
              </w:rPr>
            </w:pPr>
          </w:p>
          <w:p w:rsidR="00D76EDC" w:rsidRPr="00877443" w:rsidRDefault="00D76EDC" w:rsidP="008E3C29">
            <w:pPr>
              <w:spacing w:before="80" w:after="180" w:line="360" w:lineRule="exact"/>
              <w:ind w:right="720"/>
              <w:rPr>
                <w:rFonts w:ascii="Tahoma" w:hAnsi="Tahoma" w:cs="Tahoma"/>
                <w:b/>
                <w:bCs/>
                <w:iCs/>
                <w:color w:val="243285"/>
                <w:sz w:val="36"/>
                <w:szCs w:val="36"/>
                <w:lang w:val="en-GB"/>
              </w:rPr>
            </w:pPr>
          </w:p>
          <w:p w:rsidR="00D76EDC" w:rsidRPr="001511A6" w:rsidRDefault="00D76EDC" w:rsidP="008E3C2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D76EDC" w:rsidRPr="001511A6" w:rsidRDefault="00D76EDC" w:rsidP="008E3C29">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D76EDC" w:rsidRPr="001511A6" w:rsidRDefault="00D76EDC" w:rsidP="008E3C29">
            <w:pPr>
              <w:spacing w:before="80" w:line="360" w:lineRule="exact"/>
              <w:jc w:val="right"/>
              <w:rPr>
                <w:rFonts w:ascii="Tahoma" w:hAnsi="Tahoma" w:cs="Tahoma"/>
                <w:b/>
                <w:bCs/>
                <w:iCs/>
                <w:color w:val="243285"/>
                <w:sz w:val="32"/>
                <w:szCs w:val="32"/>
                <w:lang w:val="en-US"/>
              </w:rPr>
            </w:pPr>
          </w:p>
        </w:tc>
      </w:tr>
    </w:tbl>
    <w:p w:rsidR="00D76EDC" w:rsidRDefault="00D76EDC" w:rsidP="00D76EDC">
      <w:pPr>
        <w:spacing w:before="80"/>
        <w:rPr>
          <w:i/>
          <w:sz w:val="22"/>
          <w:lang w:val="en-US"/>
        </w:rPr>
      </w:pPr>
    </w:p>
    <w:p w:rsidR="00D76EDC" w:rsidRDefault="00D76EDC" w:rsidP="00D76EDC">
      <w:pPr>
        <w:spacing w:before="80"/>
        <w:rPr>
          <w:i/>
          <w:sz w:val="22"/>
          <w:lang w:val="en-US"/>
        </w:rPr>
      </w:pPr>
    </w:p>
    <w:p w:rsidR="00D76EDC" w:rsidRDefault="00D76EDC" w:rsidP="00D76EDC">
      <w:pPr>
        <w:spacing w:before="80"/>
        <w:rPr>
          <w:i/>
          <w:sz w:val="22"/>
          <w:lang w:val="en-US"/>
        </w:rPr>
      </w:pPr>
    </w:p>
    <w:p w:rsidR="00D76EDC" w:rsidRDefault="00D76EDC" w:rsidP="00D76EDC">
      <w:pPr>
        <w:spacing w:before="80"/>
        <w:rPr>
          <w:i/>
          <w:sz w:val="22"/>
          <w:lang w:val="en-US"/>
        </w:rPr>
      </w:pPr>
    </w:p>
    <w:p w:rsidR="00D76EDC" w:rsidRDefault="00D76EDC" w:rsidP="00D76EDC">
      <w:pPr>
        <w:spacing w:before="80"/>
        <w:rPr>
          <w:i/>
          <w:sz w:val="22"/>
          <w:lang w:val="en-US"/>
        </w:rPr>
      </w:pPr>
    </w:p>
    <w:p w:rsidR="00D76EDC" w:rsidRDefault="00D76EDC" w:rsidP="00D76EDC">
      <w:pPr>
        <w:spacing w:before="80"/>
        <w:rPr>
          <w:i/>
          <w:sz w:val="22"/>
          <w:lang w:val="en-US"/>
        </w:rPr>
      </w:pPr>
    </w:p>
    <w:p w:rsidR="00D76EDC" w:rsidRDefault="00D76EDC" w:rsidP="00D76EDC">
      <w:pPr>
        <w:pStyle w:val="Equation"/>
        <w:tabs>
          <w:tab w:val="clear" w:pos="4820"/>
          <w:tab w:val="clear" w:pos="9639"/>
          <w:tab w:val="left" w:pos="1191"/>
          <w:tab w:val="left" w:pos="1588"/>
          <w:tab w:val="left" w:pos="1985"/>
        </w:tabs>
        <w:rPr>
          <w:rFonts w:ascii="Palatino Linotype" w:hAnsi="Palatino Linotype"/>
          <w:lang w:val="en-US"/>
        </w:rPr>
        <w:sectPr w:rsidR="00D76EDC">
          <w:headerReference w:type="even" r:id="rId6"/>
          <w:headerReference w:type="default" r:id="rId7"/>
          <w:pgSz w:w="11907" w:h="16840" w:code="9"/>
          <w:pgMar w:top="1089" w:right="1089" w:bottom="284" w:left="1089" w:header="567" w:footer="284" w:gutter="0"/>
          <w:pgNumType w:start="1"/>
          <w:cols w:space="720"/>
        </w:sectPr>
      </w:pPr>
    </w:p>
    <w:p w:rsidR="00D76EDC" w:rsidRPr="00586EF8" w:rsidRDefault="00D76EDC" w:rsidP="00D7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76EDC" w:rsidRDefault="00D76EDC" w:rsidP="00D76ED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76EDC" w:rsidRDefault="00D76EDC" w:rsidP="00D76ED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76EDC" w:rsidRPr="00B714F3" w:rsidRDefault="00D76EDC" w:rsidP="00D76EDC">
      <w:pPr>
        <w:pStyle w:val="Heading1"/>
        <w:spacing w:before="680"/>
        <w:jc w:val="center"/>
        <w:rPr>
          <w:szCs w:val="24"/>
          <w:lang w:val="en-US"/>
        </w:rPr>
      </w:pPr>
      <w:r w:rsidRPr="00B714F3">
        <w:rPr>
          <w:szCs w:val="24"/>
          <w:lang w:val="en-US"/>
        </w:rPr>
        <w:t>Policy on Intellectual Property Right (IPR)</w:t>
      </w:r>
    </w:p>
    <w:p w:rsidR="00D76EDC" w:rsidRPr="00B714F3" w:rsidRDefault="00D76EDC" w:rsidP="00D76ED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76EDC" w:rsidRDefault="00D76EDC" w:rsidP="00D76EDC">
      <w:pPr>
        <w:jc w:val="center"/>
        <w:rPr>
          <w:sz w:val="22"/>
          <w:lang w:val="en-US"/>
        </w:rPr>
      </w:pPr>
    </w:p>
    <w:p w:rsidR="00D76EDC" w:rsidRDefault="00D76EDC" w:rsidP="00D76ED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6EDC" w:rsidRPr="00D76EDC" w:rsidTr="008E3C29">
        <w:tc>
          <w:tcPr>
            <w:tcW w:w="9360" w:type="dxa"/>
            <w:gridSpan w:val="2"/>
          </w:tcPr>
          <w:p w:rsidR="00D76EDC" w:rsidRPr="00036EE3" w:rsidRDefault="00D76EDC" w:rsidP="008E3C2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76EDC" w:rsidRPr="00036EE3"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D76EDC" w:rsidRPr="00036EE3" w:rsidTr="008E3C29">
        <w:tc>
          <w:tcPr>
            <w:tcW w:w="1140" w:type="dxa"/>
            <w:tcBorders>
              <w:bottom w:val="nil"/>
            </w:tcBorders>
          </w:tcPr>
          <w:p w:rsidR="00D76EDC" w:rsidRPr="00036EE3" w:rsidRDefault="00D76EDC" w:rsidP="008E3C29">
            <w:pPr>
              <w:spacing w:before="200" w:after="100"/>
              <w:ind w:left="57"/>
              <w:rPr>
                <w:b/>
                <w:bCs/>
                <w:sz w:val="20"/>
                <w:lang w:val="en-US"/>
              </w:rPr>
            </w:pPr>
            <w:r w:rsidRPr="00036EE3">
              <w:rPr>
                <w:b/>
                <w:bCs/>
                <w:sz w:val="20"/>
                <w:lang w:val="en-US"/>
              </w:rPr>
              <w:t>Series</w:t>
            </w:r>
          </w:p>
        </w:tc>
        <w:tc>
          <w:tcPr>
            <w:tcW w:w="8220" w:type="dxa"/>
            <w:tcBorders>
              <w:bottom w:val="nil"/>
            </w:tcBorders>
          </w:tcPr>
          <w:p w:rsidR="00D76EDC" w:rsidRPr="00036EE3"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76EDC" w:rsidRPr="00A4173A" w:rsidTr="008E3C29">
        <w:tc>
          <w:tcPr>
            <w:tcW w:w="1140" w:type="dxa"/>
            <w:tcBorders>
              <w:top w:val="nil"/>
              <w:bottom w:val="nil"/>
            </w:tcBorders>
            <w:shd w:val="clear" w:color="auto" w:fill="auto"/>
          </w:tcPr>
          <w:p w:rsidR="00D76EDC" w:rsidRPr="00A4173A" w:rsidRDefault="00D76EDC" w:rsidP="008E3C2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D76EDC" w:rsidRPr="00A4173A"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D76EDC" w:rsidRPr="00D76EDC" w:rsidTr="008E3C29">
        <w:tc>
          <w:tcPr>
            <w:tcW w:w="1140" w:type="dxa"/>
            <w:tcBorders>
              <w:top w:val="nil"/>
            </w:tcBorders>
          </w:tcPr>
          <w:p w:rsidR="00D76EDC" w:rsidRPr="00036EE3" w:rsidRDefault="00D76EDC" w:rsidP="008E3C29">
            <w:pPr>
              <w:spacing w:before="30" w:after="30"/>
              <w:ind w:left="57"/>
              <w:jc w:val="left"/>
              <w:rPr>
                <w:b/>
                <w:bCs/>
                <w:sz w:val="20"/>
                <w:lang w:val="en-US"/>
              </w:rPr>
            </w:pPr>
            <w:r w:rsidRPr="00036EE3">
              <w:rPr>
                <w:b/>
                <w:bCs/>
                <w:sz w:val="20"/>
                <w:lang w:val="en-US"/>
              </w:rPr>
              <w:t>BR</w:t>
            </w:r>
          </w:p>
        </w:tc>
        <w:tc>
          <w:tcPr>
            <w:tcW w:w="8220" w:type="dxa"/>
            <w:tcBorders>
              <w:top w:val="nil"/>
            </w:tcBorders>
          </w:tcPr>
          <w:p w:rsidR="00D76EDC" w:rsidRPr="00036EE3"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76EDC" w:rsidRPr="00036EE3" w:rsidTr="008E3C29">
        <w:tc>
          <w:tcPr>
            <w:tcW w:w="1140" w:type="dxa"/>
          </w:tcPr>
          <w:p w:rsidR="00D76EDC" w:rsidRPr="00036EE3" w:rsidRDefault="00D76EDC" w:rsidP="008E3C29">
            <w:pPr>
              <w:spacing w:before="30" w:after="30"/>
              <w:ind w:left="57"/>
              <w:jc w:val="left"/>
              <w:rPr>
                <w:b/>
                <w:bCs/>
                <w:sz w:val="20"/>
                <w:lang w:val="en-US"/>
              </w:rPr>
            </w:pPr>
            <w:r w:rsidRPr="00036EE3">
              <w:rPr>
                <w:b/>
                <w:bCs/>
                <w:sz w:val="20"/>
                <w:lang w:val="en-US"/>
              </w:rPr>
              <w:t>BS</w:t>
            </w:r>
          </w:p>
        </w:tc>
        <w:tc>
          <w:tcPr>
            <w:tcW w:w="8220" w:type="dxa"/>
          </w:tcPr>
          <w:p w:rsidR="00D76EDC" w:rsidRPr="00036EE3"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76EDC" w:rsidRPr="00ED2695" w:rsidTr="008E3C29">
        <w:tc>
          <w:tcPr>
            <w:tcW w:w="1140" w:type="dxa"/>
            <w:shd w:val="clear" w:color="auto" w:fill="auto"/>
          </w:tcPr>
          <w:p w:rsidR="00D76EDC" w:rsidRPr="00ED2695" w:rsidRDefault="00D76EDC" w:rsidP="008E3C29">
            <w:pPr>
              <w:spacing w:before="30" w:after="30"/>
              <w:ind w:left="57"/>
              <w:jc w:val="left"/>
              <w:rPr>
                <w:b/>
                <w:bCs/>
                <w:sz w:val="20"/>
                <w:lang w:val="en-US"/>
              </w:rPr>
            </w:pPr>
            <w:r w:rsidRPr="00ED2695">
              <w:rPr>
                <w:b/>
                <w:bCs/>
                <w:sz w:val="20"/>
                <w:lang w:val="en-US"/>
              </w:rPr>
              <w:t>BT</w:t>
            </w:r>
          </w:p>
        </w:tc>
        <w:tc>
          <w:tcPr>
            <w:tcW w:w="8220" w:type="dxa"/>
            <w:shd w:val="clear" w:color="auto" w:fill="auto"/>
          </w:tcPr>
          <w:p w:rsidR="00D76EDC" w:rsidRPr="00ED2695"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76EDC" w:rsidRPr="00036EE3" w:rsidTr="008E3C29">
        <w:tc>
          <w:tcPr>
            <w:tcW w:w="1140" w:type="dxa"/>
            <w:shd w:val="clear" w:color="auto" w:fill="auto"/>
          </w:tcPr>
          <w:p w:rsidR="00D76EDC" w:rsidRPr="00036EE3" w:rsidRDefault="00D76EDC" w:rsidP="008E3C29">
            <w:pPr>
              <w:spacing w:before="30" w:after="30"/>
              <w:ind w:left="57"/>
              <w:jc w:val="left"/>
              <w:rPr>
                <w:b/>
                <w:bCs/>
                <w:sz w:val="20"/>
                <w:lang w:val="fr-CH"/>
              </w:rPr>
            </w:pPr>
            <w:r w:rsidRPr="00036EE3">
              <w:rPr>
                <w:b/>
                <w:bCs/>
                <w:sz w:val="20"/>
                <w:lang w:val="fr-CH"/>
              </w:rPr>
              <w:t>F</w:t>
            </w:r>
          </w:p>
        </w:tc>
        <w:tc>
          <w:tcPr>
            <w:tcW w:w="8220" w:type="dxa"/>
            <w:shd w:val="clear" w:color="auto" w:fill="auto"/>
          </w:tcPr>
          <w:p w:rsidR="00D76EDC" w:rsidRPr="00036EE3" w:rsidRDefault="00D76EDC"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76EDC" w:rsidRPr="00036EE3" w:rsidTr="008E3C29">
        <w:tc>
          <w:tcPr>
            <w:tcW w:w="1140" w:type="dxa"/>
            <w:shd w:val="clear" w:color="auto" w:fill="auto"/>
          </w:tcPr>
          <w:p w:rsidR="00D76EDC" w:rsidRPr="00906589" w:rsidRDefault="00D76EDC" w:rsidP="008E3C29">
            <w:pPr>
              <w:spacing w:before="30" w:after="30"/>
              <w:ind w:left="57"/>
              <w:jc w:val="left"/>
              <w:rPr>
                <w:b/>
                <w:bCs/>
                <w:sz w:val="20"/>
                <w:lang w:val="en-US"/>
              </w:rPr>
            </w:pPr>
            <w:r w:rsidRPr="00906589">
              <w:rPr>
                <w:b/>
                <w:bCs/>
                <w:sz w:val="20"/>
                <w:lang w:val="en-US"/>
              </w:rPr>
              <w:t>M</w:t>
            </w:r>
          </w:p>
        </w:tc>
        <w:tc>
          <w:tcPr>
            <w:tcW w:w="8220" w:type="dxa"/>
            <w:shd w:val="clear" w:color="auto" w:fill="auto"/>
          </w:tcPr>
          <w:p w:rsidR="00D76EDC" w:rsidRPr="00906589" w:rsidRDefault="00D76ED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76EDC" w:rsidRPr="00036EE3" w:rsidTr="008E3C29">
        <w:tc>
          <w:tcPr>
            <w:tcW w:w="1140" w:type="dxa"/>
          </w:tcPr>
          <w:p w:rsidR="00D76EDC" w:rsidRPr="00036EE3" w:rsidRDefault="00D76EDC" w:rsidP="008E3C29">
            <w:pPr>
              <w:spacing w:before="30" w:after="30"/>
              <w:ind w:left="57"/>
              <w:jc w:val="left"/>
              <w:rPr>
                <w:b/>
                <w:bCs/>
                <w:sz w:val="20"/>
                <w:lang w:val="fr-CH"/>
              </w:rPr>
            </w:pPr>
            <w:r w:rsidRPr="00036EE3">
              <w:rPr>
                <w:b/>
                <w:bCs/>
                <w:sz w:val="20"/>
                <w:lang w:val="fr-CH"/>
              </w:rPr>
              <w:t>P</w:t>
            </w:r>
          </w:p>
        </w:tc>
        <w:tc>
          <w:tcPr>
            <w:tcW w:w="8220" w:type="dxa"/>
          </w:tcPr>
          <w:p w:rsidR="00D76EDC" w:rsidRPr="00036EE3" w:rsidRDefault="00D76EDC" w:rsidP="008E3C29">
            <w:pPr>
              <w:spacing w:before="30" w:after="30"/>
              <w:jc w:val="left"/>
              <w:rPr>
                <w:sz w:val="20"/>
                <w:lang w:val="fr-CH"/>
              </w:rPr>
            </w:pPr>
            <w:r w:rsidRPr="00036EE3">
              <w:rPr>
                <w:sz w:val="20"/>
                <w:lang w:val="fr-CH"/>
              </w:rPr>
              <w:t>Radiowave propagation</w:t>
            </w:r>
          </w:p>
        </w:tc>
      </w:tr>
      <w:tr w:rsidR="00D76EDC" w:rsidRPr="00036EE3" w:rsidTr="008E3C29">
        <w:tc>
          <w:tcPr>
            <w:tcW w:w="1140" w:type="dxa"/>
          </w:tcPr>
          <w:p w:rsidR="00D76EDC" w:rsidRPr="00036EE3" w:rsidRDefault="00D76EDC" w:rsidP="008E3C29">
            <w:pPr>
              <w:spacing w:before="30" w:after="30"/>
              <w:ind w:left="57"/>
              <w:jc w:val="left"/>
              <w:rPr>
                <w:b/>
                <w:bCs/>
                <w:sz w:val="20"/>
                <w:lang w:val="en-US"/>
              </w:rPr>
            </w:pPr>
            <w:r w:rsidRPr="00036EE3">
              <w:rPr>
                <w:b/>
                <w:bCs/>
                <w:sz w:val="20"/>
                <w:lang w:val="en-US"/>
              </w:rPr>
              <w:t>RA</w:t>
            </w:r>
          </w:p>
        </w:tc>
        <w:tc>
          <w:tcPr>
            <w:tcW w:w="8220" w:type="dxa"/>
          </w:tcPr>
          <w:p w:rsidR="00D76EDC" w:rsidRPr="00036EE3" w:rsidRDefault="00D76EDC"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76EDC" w:rsidRPr="00036EE3" w:rsidTr="008E3C29">
        <w:tc>
          <w:tcPr>
            <w:tcW w:w="1140" w:type="dxa"/>
          </w:tcPr>
          <w:p w:rsidR="00D76EDC" w:rsidRPr="00036EE3" w:rsidRDefault="00D76EDC" w:rsidP="008E3C29">
            <w:pPr>
              <w:spacing w:before="30" w:after="30"/>
              <w:ind w:left="57"/>
              <w:jc w:val="left"/>
              <w:rPr>
                <w:b/>
                <w:bCs/>
                <w:sz w:val="20"/>
                <w:lang w:val="en-US"/>
              </w:rPr>
            </w:pPr>
            <w:r w:rsidRPr="00036EE3">
              <w:rPr>
                <w:b/>
                <w:bCs/>
                <w:sz w:val="20"/>
                <w:lang w:val="en-US"/>
              </w:rPr>
              <w:t>RS</w:t>
            </w:r>
          </w:p>
        </w:tc>
        <w:tc>
          <w:tcPr>
            <w:tcW w:w="8220" w:type="dxa"/>
          </w:tcPr>
          <w:p w:rsidR="00D76EDC" w:rsidRPr="00036EE3" w:rsidRDefault="00D76EDC"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76EDC" w:rsidRPr="00036EE3" w:rsidTr="008E3C29">
        <w:tc>
          <w:tcPr>
            <w:tcW w:w="1140" w:type="dxa"/>
            <w:tcBorders>
              <w:bottom w:val="nil"/>
            </w:tcBorders>
          </w:tcPr>
          <w:p w:rsidR="00D76EDC" w:rsidRPr="00036EE3" w:rsidRDefault="00D76EDC" w:rsidP="008E3C29">
            <w:pPr>
              <w:spacing w:before="30" w:after="30"/>
              <w:ind w:left="57"/>
              <w:jc w:val="left"/>
              <w:rPr>
                <w:b/>
                <w:bCs/>
                <w:sz w:val="20"/>
                <w:lang w:val="en-US"/>
              </w:rPr>
            </w:pPr>
            <w:r w:rsidRPr="00036EE3">
              <w:rPr>
                <w:b/>
                <w:bCs/>
                <w:sz w:val="20"/>
                <w:lang w:val="en-US"/>
              </w:rPr>
              <w:t>S</w:t>
            </w:r>
          </w:p>
        </w:tc>
        <w:tc>
          <w:tcPr>
            <w:tcW w:w="8220" w:type="dxa"/>
            <w:tcBorders>
              <w:bottom w:val="nil"/>
            </w:tcBorders>
          </w:tcPr>
          <w:p w:rsidR="00D76EDC" w:rsidRPr="00036EE3" w:rsidRDefault="00D76EDC" w:rsidP="008E3C29">
            <w:pPr>
              <w:spacing w:before="30" w:after="30"/>
              <w:jc w:val="left"/>
              <w:rPr>
                <w:sz w:val="20"/>
                <w:lang w:val="en-US"/>
              </w:rPr>
            </w:pPr>
            <w:r w:rsidRPr="00036EE3">
              <w:rPr>
                <w:sz w:val="20"/>
                <w:lang w:val="en-US"/>
              </w:rPr>
              <w:t>Fixed-satellite service</w:t>
            </w:r>
          </w:p>
        </w:tc>
      </w:tr>
      <w:tr w:rsidR="00D76EDC" w:rsidRPr="00A4173A" w:rsidTr="008E3C29">
        <w:tc>
          <w:tcPr>
            <w:tcW w:w="1140" w:type="dxa"/>
            <w:tcBorders>
              <w:top w:val="nil"/>
              <w:bottom w:val="nil"/>
            </w:tcBorders>
            <w:shd w:val="clear" w:color="auto" w:fill="F3F3F3"/>
          </w:tcPr>
          <w:p w:rsidR="00D76EDC" w:rsidRPr="00A4173A" w:rsidRDefault="00D76EDC" w:rsidP="008E3C29">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D76EDC" w:rsidRPr="00A4173A" w:rsidRDefault="00D76EDC" w:rsidP="008E3C29">
            <w:pPr>
              <w:spacing w:before="30" w:after="30"/>
              <w:jc w:val="left"/>
              <w:rPr>
                <w:b/>
                <w:bCs/>
                <w:color w:val="000080"/>
                <w:sz w:val="20"/>
                <w:lang w:val="en-US"/>
              </w:rPr>
            </w:pPr>
            <w:r w:rsidRPr="00A4173A">
              <w:rPr>
                <w:b/>
                <w:bCs/>
                <w:color w:val="000080"/>
                <w:sz w:val="20"/>
                <w:lang w:val="en-US"/>
              </w:rPr>
              <w:t>Space applications and meteorology</w:t>
            </w:r>
          </w:p>
        </w:tc>
      </w:tr>
      <w:tr w:rsidR="00D76EDC" w:rsidRPr="00D76EDC" w:rsidTr="008E3C29">
        <w:tc>
          <w:tcPr>
            <w:tcW w:w="1140" w:type="dxa"/>
            <w:tcBorders>
              <w:top w:val="nil"/>
              <w:bottom w:val="nil"/>
            </w:tcBorders>
          </w:tcPr>
          <w:p w:rsidR="00D76EDC" w:rsidRPr="00036EE3" w:rsidRDefault="00D76EDC" w:rsidP="008E3C2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D76EDC" w:rsidRPr="00036EE3" w:rsidRDefault="00D76EDC" w:rsidP="008E3C29">
            <w:pPr>
              <w:spacing w:before="30" w:after="30"/>
              <w:jc w:val="left"/>
              <w:rPr>
                <w:sz w:val="20"/>
                <w:lang w:val="en-US"/>
              </w:rPr>
            </w:pPr>
            <w:r w:rsidRPr="00036EE3">
              <w:rPr>
                <w:sz w:val="20"/>
                <w:lang w:val="en-US"/>
              </w:rPr>
              <w:t>Frequency sharing and coordination between fixed-satellite and fixed service systems</w:t>
            </w:r>
          </w:p>
        </w:tc>
      </w:tr>
      <w:tr w:rsidR="00D76EDC" w:rsidRPr="00036EE3" w:rsidTr="008E3C29">
        <w:tc>
          <w:tcPr>
            <w:tcW w:w="1140" w:type="dxa"/>
            <w:tcBorders>
              <w:top w:val="nil"/>
              <w:bottom w:val="nil"/>
            </w:tcBorders>
            <w:shd w:val="clear" w:color="auto" w:fill="auto"/>
          </w:tcPr>
          <w:p w:rsidR="00D76EDC" w:rsidRPr="001B164E" w:rsidRDefault="00D76EDC" w:rsidP="008E3C2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D76EDC" w:rsidRPr="001B164E" w:rsidRDefault="00D76EDC" w:rsidP="008E3C29">
            <w:pPr>
              <w:spacing w:before="30" w:after="30"/>
              <w:jc w:val="left"/>
              <w:rPr>
                <w:rFonts w:hAnsi="Times New Roman Bold"/>
                <w:sz w:val="20"/>
                <w:lang w:val="en-US"/>
              </w:rPr>
            </w:pPr>
            <w:r w:rsidRPr="001B164E">
              <w:rPr>
                <w:rFonts w:hAnsi="Times New Roman Bold"/>
                <w:sz w:val="20"/>
                <w:lang w:val="en-US"/>
              </w:rPr>
              <w:t>Spectrum management</w:t>
            </w:r>
          </w:p>
        </w:tc>
      </w:tr>
      <w:tr w:rsidR="00D76EDC" w:rsidRPr="00036EE3" w:rsidTr="008E3C29">
        <w:tc>
          <w:tcPr>
            <w:tcW w:w="1140" w:type="dxa"/>
            <w:tcBorders>
              <w:top w:val="nil"/>
            </w:tcBorders>
          </w:tcPr>
          <w:p w:rsidR="00D76EDC" w:rsidRPr="00036EE3" w:rsidRDefault="00D76EDC" w:rsidP="008E3C29">
            <w:pPr>
              <w:spacing w:before="30" w:after="30"/>
              <w:ind w:left="57"/>
              <w:jc w:val="left"/>
              <w:rPr>
                <w:b/>
                <w:bCs/>
                <w:sz w:val="20"/>
                <w:lang w:val="en-US"/>
              </w:rPr>
            </w:pPr>
            <w:r w:rsidRPr="00036EE3">
              <w:rPr>
                <w:b/>
                <w:bCs/>
                <w:sz w:val="20"/>
                <w:lang w:val="en-US"/>
              </w:rPr>
              <w:t>SNG</w:t>
            </w:r>
          </w:p>
        </w:tc>
        <w:tc>
          <w:tcPr>
            <w:tcW w:w="8220" w:type="dxa"/>
            <w:tcBorders>
              <w:top w:val="nil"/>
            </w:tcBorders>
          </w:tcPr>
          <w:p w:rsidR="00D76EDC" w:rsidRPr="00036EE3" w:rsidRDefault="00D76EDC" w:rsidP="008E3C29">
            <w:pPr>
              <w:spacing w:before="30" w:after="30"/>
              <w:jc w:val="left"/>
              <w:rPr>
                <w:sz w:val="20"/>
                <w:lang w:val="en-US"/>
              </w:rPr>
            </w:pPr>
            <w:r w:rsidRPr="00036EE3">
              <w:rPr>
                <w:sz w:val="20"/>
                <w:lang w:val="en-US"/>
              </w:rPr>
              <w:t>Satellite news gathering</w:t>
            </w:r>
          </w:p>
        </w:tc>
      </w:tr>
      <w:tr w:rsidR="00D76EDC" w:rsidRPr="00D76EDC" w:rsidTr="008E3C29">
        <w:tc>
          <w:tcPr>
            <w:tcW w:w="1140" w:type="dxa"/>
          </w:tcPr>
          <w:p w:rsidR="00D76EDC" w:rsidRPr="00036EE3" w:rsidRDefault="00D76EDC" w:rsidP="008E3C29">
            <w:pPr>
              <w:spacing w:before="30" w:after="30"/>
              <w:ind w:left="57"/>
              <w:jc w:val="left"/>
              <w:rPr>
                <w:b/>
                <w:bCs/>
                <w:sz w:val="20"/>
                <w:lang w:val="en-US"/>
              </w:rPr>
            </w:pPr>
            <w:r w:rsidRPr="00036EE3">
              <w:rPr>
                <w:b/>
                <w:bCs/>
                <w:sz w:val="20"/>
                <w:lang w:val="en-US"/>
              </w:rPr>
              <w:t>TF</w:t>
            </w:r>
          </w:p>
        </w:tc>
        <w:tc>
          <w:tcPr>
            <w:tcW w:w="8220" w:type="dxa"/>
          </w:tcPr>
          <w:p w:rsidR="00D76EDC" w:rsidRPr="00036EE3" w:rsidRDefault="00D76EDC" w:rsidP="008E3C29">
            <w:pPr>
              <w:spacing w:before="30" w:after="30"/>
              <w:jc w:val="left"/>
              <w:rPr>
                <w:sz w:val="20"/>
                <w:lang w:val="en-US"/>
              </w:rPr>
            </w:pPr>
            <w:r w:rsidRPr="00036EE3">
              <w:rPr>
                <w:sz w:val="20"/>
                <w:lang w:val="en-US"/>
              </w:rPr>
              <w:t>Time signals and frequency standards emissions</w:t>
            </w:r>
          </w:p>
        </w:tc>
      </w:tr>
      <w:tr w:rsidR="00D76EDC" w:rsidRPr="00036EE3" w:rsidTr="008E3C29">
        <w:tc>
          <w:tcPr>
            <w:tcW w:w="1140" w:type="dxa"/>
          </w:tcPr>
          <w:p w:rsidR="00D76EDC" w:rsidRPr="00036EE3" w:rsidRDefault="00D76EDC" w:rsidP="008E3C29">
            <w:pPr>
              <w:spacing w:before="30" w:after="30"/>
              <w:ind w:left="57"/>
              <w:jc w:val="left"/>
              <w:rPr>
                <w:b/>
                <w:bCs/>
                <w:sz w:val="20"/>
                <w:lang w:val="en-US"/>
              </w:rPr>
            </w:pPr>
            <w:r w:rsidRPr="00036EE3">
              <w:rPr>
                <w:b/>
                <w:bCs/>
                <w:sz w:val="20"/>
                <w:lang w:val="en-US"/>
              </w:rPr>
              <w:t>V</w:t>
            </w:r>
          </w:p>
        </w:tc>
        <w:tc>
          <w:tcPr>
            <w:tcW w:w="8220" w:type="dxa"/>
          </w:tcPr>
          <w:p w:rsidR="00D76EDC" w:rsidRPr="00036EE3" w:rsidRDefault="00D76EDC" w:rsidP="008E3C29">
            <w:pPr>
              <w:spacing w:before="30" w:after="180"/>
              <w:jc w:val="left"/>
              <w:rPr>
                <w:sz w:val="20"/>
                <w:lang w:val="en-US"/>
              </w:rPr>
            </w:pPr>
            <w:r w:rsidRPr="00036EE3">
              <w:rPr>
                <w:sz w:val="20"/>
                <w:lang w:val="en-US"/>
              </w:rPr>
              <w:t>Vocabulary and related subjects</w:t>
            </w:r>
          </w:p>
        </w:tc>
      </w:tr>
    </w:tbl>
    <w:p w:rsidR="00D76EDC" w:rsidRPr="00036EE3" w:rsidRDefault="00D76EDC" w:rsidP="00D76ED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76EDC" w:rsidTr="008E3C29">
        <w:tc>
          <w:tcPr>
            <w:tcW w:w="720" w:type="dxa"/>
          </w:tcPr>
          <w:p w:rsidR="00D76EDC" w:rsidRDefault="00D76EDC" w:rsidP="008E3C29">
            <w:pPr>
              <w:jc w:val="center"/>
              <w:rPr>
                <w:sz w:val="22"/>
                <w:lang w:val="en-US"/>
              </w:rPr>
            </w:pPr>
          </w:p>
        </w:tc>
      </w:tr>
    </w:tbl>
    <w:p w:rsidR="00D76EDC" w:rsidRPr="00036EE3" w:rsidRDefault="00D76EDC" w:rsidP="00D76ED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76EDC" w:rsidRPr="00D76EDC" w:rsidTr="008E3C29">
        <w:tc>
          <w:tcPr>
            <w:tcW w:w="9360" w:type="dxa"/>
          </w:tcPr>
          <w:p w:rsidR="00D76EDC" w:rsidRPr="002F5199" w:rsidRDefault="00D76EDC" w:rsidP="008E3C2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76EDC" w:rsidRDefault="00D76EDC" w:rsidP="00D76EDC">
      <w:pPr>
        <w:spacing w:before="0"/>
        <w:jc w:val="center"/>
        <w:rPr>
          <w:sz w:val="22"/>
          <w:lang w:val="en-US"/>
        </w:rPr>
      </w:pPr>
    </w:p>
    <w:p w:rsidR="00D76EDC" w:rsidRDefault="00D76EDC" w:rsidP="00D76EDC">
      <w:pPr>
        <w:spacing w:before="0"/>
        <w:jc w:val="center"/>
        <w:rPr>
          <w:sz w:val="22"/>
          <w:lang w:val="en-US"/>
        </w:rPr>
      </w:pPr>
    </w:p>
    <w:p w:rsidR="00D76EDC" w:rsidRPr="002F5199" w:rsidRDefault="00D76EDC" w:rsidP="00D76EDC">
      <w:pPr>
        <w:spacing w:before="0"/>
        <w:jc w:val="right"/>
        <w:rPr>
          <w:i/>
          <w:iCs/>
          <w:sz w:val="20"/>
          <w:lang w:val="en-US"/>
        </w:rPr>
      </w:pPr>
      <w:r w:rsidRPr="002F5199">
        <w:rPr>
          <w:i/>
          <w:iCs/>
          <w:sz w:val="20"/>
          <w:lang w:val="en-US"/>
        </w:rPr>
        <w:t>Electronic Publication</w:t>
      </w:r>
    </w:p>
    <w:p w:rsidR="00D76EDC" w:rsidRPr="002F5199" w:rsidRDefault="00D76EDC" w:rsidP="00D76EDC">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D76EDC" w:rsidRDefault="00D76EDC" w:rsidP="00D76EDC">
      <w:pPr>
        <w:jc w:val="center"/>
        <w:rPr>
          <w:sz w:val="22"/>
          <w:lang w:val="en-US"/>
        </w:rPr>
      </w:pPr>
    </w:p>
    <w:p w:rsidR="00D76EDC" w:rsidRPr="00470E28" w:rsidRDefault="00D76EDC" w:rsidP="00D76ED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17</w:t>
      </w:r>
    </w:p>
    <w:p w:rsidR="00D76EDC" w:rsidRPr="00470E28" w:rsidRDefault="00D76EDC" w:rsidP="00D76ED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76EDC" w:rsidRDefault="00D76EDC" w:rsidP="00D76EDC">
      <w:pPr>
        <w:spacing w:before="160"/>
        <w:rPr>
          <w:i/>
          <w:sz w:val="20"/>
          <w:lang w:val="en-US"/>
        </w:rPr>
        <w:sectPr w:rsidR="00D76EDC" w:rsidSect="00877443">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D76EDC" w:rsidRPr="00C95C69" w:rsidRDefault="00D76EDC" w:rsidP="00D76EDC">
      <w:pPr>
        <w:pStyle w:val="RecNo"/>
        <w:rPr>
          <w:rFonts w:asciiTheme="majorBidi" w:hAnsiTheme="majorBidi" w:cstheme="majorBidi"/>
          <w:b/>
          <w:lang w:val="en-GB"/>
        </w:rPr>
      </w:pPr>
      <w:bookmarkStart w:id="2" w:name="irecnoe"/>
      <w:bookmarkEnd w:id="2"/>
      <w:r w:rsidRPr="00D76EDC">
        <w:rPr>
          <w:lang w:val="en-GB"/>
        </w:rPr>
        <w:t xml:space="preserve">RECOMMENDATION  </w:t>
      </w:r>
      <w:r w:rsidRPr="00D76EDC">
        <w:rPr>
          <w:rStyle w:val="href"/>
          <w:lang w:val="en-GB"/>
        </w:rPr>
        <w:t>ITU-R  SA.</w:t>
      </w:r>
      <w:r w:rsidRPr="00D76EDC">
        <w:rPr>
          <w:rStyle w:val="href"/>
          <w:lang w:val="en-GB"/>
        </w:rPr>
        <w:t>1019-1</w:t>
      </w:r>
    </w:p>
    <w:p w:rsidR="00D76EDC" w:rsidRPr="00D76EDC" w:rsidRDefault="00D76EDC" w:rsidP="00D76EDC">
      <w:pPr>
        <w:pStyle w:val="Rectitle"/>
        <w:rPr>
          <w:lang w:val="en-GB"/>
        </w:rPr>
      </w:pPr>
      <w:r w:rsidRPr="00D76EDC">
        <w:rPr>
          <w:lang w:val="en-GB"/>
        </w:rPr>
        <w:t>Frequency bands and transmission directions</w:t>
      </w:r>
      <w:r w:rsidRPr="00D76EDC">
        <w:rPr>
          <w:lang w:val="en-GB"/>
        </w:rPr>
        <w:br/>
        <w:t>for data relay satellite networks/systems</w:t>
      </w:r>
    </w:p>
    <w:p w:rsidR="00D76EDC" w:rsidRPr="00D76EDC" w:rsidRDefault="00D76EDC" w:rsidP="00D76EDC">
      <w:pPr>
        <w:pStyle w:val="Recref"/>
        <w:rPr>
          <w:lang w:val="en-GB"/>
        </w:rPr>
      </w:pPr>
      <w:r w:rsidRPr="00D76EDC">
        <w:rPr>
          <w:lang w:val="en-GB"/>
        </w:rPr>
        <w:t>(Question ITU-R 118/7)</w:t>
      </w:r>
    </w:p>
    <w:p w:rsidR="00D76EDC" w:rsidRPr="00D76EDC" w:rsidRDefault="00D76EDC" w:rsidP="00D76EDC">
      <w:pPr>
        <w:pStyle w:val="Recdate"/>
        <w:rPr>
          <w:lang w:val="en-GB"/>
        </w:rPr>
      </w:pPr>
      <w:r w:rsidRPr="00D76EDC">
        <w:rPr>
          <w:lang w:val="en-GB"/>
        </w:rPr>
        <w:t>(1994-2017)</w:t>
      </w:r>
    </w:p>
    <w:p w:rsidR="00D76EDC" w:rsidRPr="00520532" w:rsidRDefault="00D76EDC" w:rsidP="00877443">
      <w:pPr>
        <w:pStyle w:val="HeadingSum"/>
      </w:pPr>
      <w:r w:rsidRPr="00520532">
        <w:t>Scope</w:t>
      </w:r>
    </w:p>
    <w:p w:rsidR="00D76EDC" w:rsidRPr="00D76EDC" w:rsidRDefault="00D76EDC" w:rsidP="00877443">
      <w:pPr>
        <w:pStyle w:val="Summary"/>
      </w:pPr>
      <w:r w:rsidRPr="00D76EDC">
        <w:t>This Recommendation provides</w:t>
      </w:r>
      <w:bookmarkStart w:id="3" w:name="_GoBack"/>
      <w:bookmarkEnd w:id="3"/>
      <w:r w:rsidRPr="00D76EDC">
        <w:t xml:space="preserve"> the recommended frequency bands and the transmission directions for data relay satellite networks/systems.</w:t>
      </w:r>
    </w:p>
    <w:p w:rsidR="00D76EDC" w:rsidRPr="00520532" w:rsidRDefault="00D76EDC" w:rsidP="00D76EDC">
      <w:pPr>
        <w:pStyle w:val="Headingb"/>
        <w:rPr>
          <w:lang w:val="en-GB"/>
        </w:rPr>
      </w:pPr>
      <w:r w:rsidRPr="00520532">
        <w:rPr>
          <w:lang w:val="en-GB"/>
        </w:rPr>
        <w:t>Keywords</w:t>
      </w:r>
    </w:p>
    <w:p w:rsidR="00D76EDC" w:rsidRPr="00D76EDC" w:rsidRDefault="00D76EDC" w:rsidP="00D76EDC">
      <w:pPr>
        <w:rPr>
          <w:b/>
          <w:lang w:val="en-GB"/>
        </w:rPr>
      </w:pPr>
      <w:r w:rsidRPr="00D76EDC">
        <w:rPr>
          <w:lang w:val="en-GB"/>
        </w:rPr>
        <w:t>DRS, space-to-Earth, Earth-to-space, space-to-space, forward feeder link, return feeder link</w:t>
      </w:r>
    </w:p>
    <w:p w:rsidR="00D76EDC" w:rsidRPr="00520532" w:rsidRDefault="00D76EDC" w:rsidP="00D76EDC">
      <w:pPr>
        <w:pStyle w:val="Headingb"/>
        <w:rPr>
          <w:lang w:val="en-GB" w:eastAsia="zh-CN"/>
        </w:rPr>
      </w:pPr>
      <w:r w:rsidRPr="00520532">
        <w:rPr>
          <w:lang w:val="en-GB" w:eastAsia="zh-CN"/>
        </w:rPr>
        <w:t>Related ITU-R Recommendations and</w:t>
      </w:r>
      <w:r>
        <w:rPr>
          <w:lang w:val="en-GB" w:eastAsia="zh-CN"/>
        </w:rPr>
        <w:t xml:space="preserve"> Reports</w:t>
      </w:r>
    </w:p>
    <w:p w:rsidR="00D76EDC" w:rsidRPr="008519C5" w:rsidRDefault="00D76EDC" w:rsidP="00D76EDC">
      <w:pPr>
        <w:rPr>
          <w:lang w:val="fr-CH"/>
        </w:rPr>
      </w:pPr>
      <w:r w:rsidRPr="008519C5">
        <w:rPr>
          <w:lang w:val="fr-CH"/>
        </w:rPr>
        <w:t>Recommendations ITU-R SA.510, ITU-R SA.1018, ITU-R SA.1155, ITU-R SA.1274, ITU-R SA.1275, ITU-R SA.1276, ITU-R SA.1414.</w:t>
      </w:r>
    </w:p>
    <w:p w:rsidR="00D76EDC" w:rsidRPr="00D76EDC" w:rsidRDefault="00D76EDC" w:rsidP="0020666D">
      <w:pPr>
        <w:pStyle w:val="Normalaftertitle"/>
        <w:rPr>
          <w:lang w:val="en-GB"/>
        </w:rPr>
      </w:pPr>
      <w:r w:rsidRPr="00D76EDC">
        <w:rPr>
          <w:lang w:val="en-GB"/>
        </w:rPr>
        <w:t>The ITU Radiocommunication Assembly,</w:t>
      </w:r>
    </w:p>
    <w:p w:rsidR="00D76EDC" w:rsidRPr="00D76EDC" w:rsidRDefault="00D76EDC" w:rsidP="00D76EDC">
      <w:pPr>
        <w:pStyle w:val="Call"/>
        <w:rPr>
          <w:lang w:val="en-GB"/>
        </w:rPr>
      </w:pPr>
      <w:r w:rsidRPr="00D76EDC">
        <w:rPr>
          <w:lang w:val="en-GB"/>
        </w:rPr>
        <w:t>considering</w:t>
      </w:r>
    </w:p>
    <w:p w:rsidR="00D76EDC" w:rsidRPr="00D76EDC" w:rsidRDefault="00D76EDC" w:rsidP="00D76EDC">
      <w:pPr>
        <w:rPr>
          <w:lang w:val="en-GB"/>
        </w:rPr>
      </w:pPr>
      <w:r w:rsidRPr="00D76EDC">
        <w:rPr>
          <w:i/>
          <w:iCs/>
          <w:lang w:val="en-GB"/>
        </w:rPr>
        <w:t>a)</w:t>
      </w:r>
      <w:r w:rsidRPr="00D76EDC">
        <w:rPr>
          <w:lang w:val="en-GB"/>
        </w:rPr>
        <w:tab/>
        <w:t>that data relay satellite networks/systems are in operation or are planned corresponding to the Hypothetical Reference System for Data Relay Satellite (DRS) Systems of Recommendation ITU</w:t>
      </w:r>
      <w:r w:rsidRPr="00D76EDC">
        <w:rPr>
          <w:lang w:val="en-GB"/>
        </w:rPr>
        <w:noBreakHyphen/>
        <w:t>R SA.1018;</w:t>
      </w:r>
    </w:p>
    <w:p w:rsidR="00D76EDC" w:rsidRPr="00D76EDC" w:rsidRDefault="00D76EDC" w:rsidP="00D76EDC">
      <w:pPr>
        <w:rPr>
          <w:lang w:val="en-GB"/>
        </w:rPr>
      </w:pPr>
      <w:r w:rsidRPr="00D76EDC">
        <w:rPr>
          <w:i/>
          <w:iCs/>
          <w:lang w:val="en-GB"/>
        </w:rPr>
        <w:t>b)</w:t>
      </w:r>
      <w:r w:rsidRPr="00D76EDC">
        <w:rPr>
          <w:lang w:val="en-GB"/>
        </w:rPr>
        <w:tab/>
        <w:t>that these DRS systems support links with widely different characteristics as described in the Annex;</w:t>
      </w:r>
    </w:p>
    <w:p w:rsidR="00D76EDC" w:rsidRPr="00D76EDC" w:rsidRDefault="00D76EDC" w:rsidP="00D76EDC">
      <w:pPr>
        <w:rPr>
          <w:lang w:val="en-GB"/>
        </w:rPr>
      </w:pPr>
      <w:r w:rsidRPr="00D76EDC">
        <w:rPr>
          <w:i/>
          <w:iCs/>
          <w:lang w:val="en-GB"/>
        </w:rPr>
        <w:t>c)</w:t>
      </w:r>
      <w:r w:rsidRPr="00D76EDC">
        <w:rPr>
          <w:lang w:val="en-GB"/>
        </w:rPr>
        <w:tab/>
        <w:t>that some DRS user spacecraft require links of low data rate (up to about 6 Mbit/s) which require modest bandwidths which can be most economically implemented, using low-power transmitters, simple wide-beam antennas without complex pointing mechanisms and robust receivers, in frequency bands for DRS inter-orbit links below 3 GHz;</w:t>
      </w:r>
    </w:p>
    <w:p w:rsidR="00D76EDC" w:rsidRPr="00D76EDC" w:rsidRDefault="00D76EDC" w:rsidP="00D76EDC">
      <w:pPr>
        <w:rPr>
          <w:lang w:val="en-GB"/>
        </w:rPr>
      </w:pPr>
      <w:r w:rsidRPr="00D76EDC">
        <w:rPr>
          <w:i/>
          <w:iCs/>
          <w:lang w:val="en-GB"/>
        </w:rPr>
        <w:t>d)</w:t>
      </w:r>
      <w:r w:rsidRPr="00D76EDC">
        <w:rPr>
          <w:lang w:val="en-GB"/>
        </w:rPr>
        <w:tab/>
        <w:t>that some DRS user spacecraft require links from wide-beam or omnidirectional antennas (in particular to support contingency links) in cases where the attitude of the user spacecraft and the direction of the DRS is not accurately known, thus requiring the use of frequency bands for DRS inter-orbit links below 3 GHz;</w:t>
      </w:r>
    </w:p>
    <w:p w:rsidR="00D76EDC" w:rsidRPr="00D76EDC" w:rsidRDefault="00D76EDC" w:rsidP="00D76EDC">
      <w:pPr>
        <w:rPr>
          <w:lang w:val="en-GB"/>
        </w:rPr>
      </w:pPr>
      <w:r w:rsidRPr="00D76EDC">
        <w:rPr>
          <w:i/>
          <w:iCs/>
          <w:lang w:val="en-GB"/>
        </w:rPr>
        <w:t>e)</w:t>
      </w:r>
      <w:r w:rsidRPr="00D76EDC">
        <w:rPr>
          <w:lang w:val="en-GB"/>
        </w:rPr>
        <w:tab/>
        <w:t xml:space="preserve">that some DRS user spacecraft require links of medium </w:t>
      </w:r>
      <w:r w:rsidR="0020666D">
        <w:rPr>
          <w:lang w:val="en-GB"/>
        </w:rPr>
        <w:t xml:space="preserve">to high data rates (from about </w:t>
      </w:r>
      <w:r w:rsidRPr="00D76EDC">
        <w:rPr>
          <w:lang w:val="en-GB"/>
        </w:rPr>
        <w:t>6 Mbit/s up to more than 600 Mbit/s) thus requiring the use of frequency bands for DRS inter</w:t>
      </w:r>
      <w:r w:rsidRPr="00D76EDC">
        <w:rPr>
          <w:lang w:val="en-GB"/>
        </w:rPr>
        <w:noBreakHyphen/>
        <w:t>orbit links above 10 GHz;</w:t>
      </w:r>
    </w:p>
    <w:p w:rsidR="00D76EDC" w:rsidRPr="00D76EDC" w:rsidRDefault="00D76EDC" w:rsidP="00D76EDC">
      <w:pPr>
        <w:rPr>
          <w:lang w:val="en-GB"/>
        </w:rPr>
      </w:pPr>
      <w:r w:rsidRPr="00D76EDC">
        <w:rPr>
          <w:i/>
          <w:iCs/>
          <w:lang w:val="en-GB"/>
        </w:rPr>
        <w:t>f)</w:t>
      </w:r>
      <w:r w:rsidRPr="00D76EDC">
        <w:rPr>
          <w:lang w:val="en-GB"/>
        </w:rPr>
        <w:tab/>
        <w:t>that the frequency bands available and suitable for DRS inter-orbit links are limited;</w:t>
      </w:r>
    </w:p>
    <w:p w:rsidR="00D76EDC" w:rsidRPr="00D76EDC" w:rsidRDefault="00D76EDC" w:rsidP="00D76EDC">
      <w:pPr>
        <w:rPr>
          <w:lang w:val="en-GB"/>
        </w:rPr>
      </w:pPr>
      <w:r w:rsidRPr="00D76EDC">
        <w:rPr>
          <w:i/>
          <w:iCs/>
          <w:lang w:val="en-GB"/>
        </w:rPr>
        <w:t>g)</w:t>
      </w:r>
      <w:r w:rsidRPr="00D76EDC">
        <w:rPr>
          <w:lang w:val="en-GB"/>
        </w:rPr>
        <w:tab/>
        <w:t>that the forward and return feeder links of data relay satellites could use bands allocated to the fixed-satellite service;</w:t>
      </w:r>
    </w:p>
    <w:p w:rsidR="00D76EDC" w:rsidRPr="00D76EDC" w:rsidRDefault="00D76EDC" w:rsidP="00D76EDC">
      <w:pPr>
        <w:rPr>
          <w:lang w:val="en-GB"/>
        </w:rPr>
      </w:pPr>
      <w:r w:rsidRPr="00D76EDC">
        <w:rPr>
          <w:i/>
          <w:iCs/>
          <w:lang w:val="en-GB"/>
        </w:rPr>
        <w:t>h)</w:t>
      </w:r>
      <w:r w:rsidRPr="00D76EDC">
        <w:rPr>
          <w:lang w:val="en-GB"/>
        </w:rPr>
        <w:tab/>
        <w:t>that the normal-mode operations of data relay satellites should use their own forward and return feeder link frequency bands;</w:t>
      </w:r>
    </w:p>
    <w:p w:rsidR="00D76EDC" w:rsidRPr="00D76EDC" w:rsidRDefault="00D76EDC" w:rsidP="00D76EDC">
      <w:pPr>
        <w:rPr>
          <w:lang w:val="en-GB"/>
        </w:rPr>
      </w:pPr>
      <w:r w:rsidRPr="00D76EDC">
        <w:rPr>
          <w:i/>
          <w:iCs/>
          <w:lang w:val="en-GB"/>
        </w:rPr>
        <w:t>i)</w:t>
      </w:r>
      <w:r w:rsidRPr="00D76EDC">
        <w:rPr>
          <w:lang w:val="en-GB"/>
        </w:rPr>
        <w:tab/>
        <w:t>that launch, early-orbit-phase and emergency operations of data relay satellites require the use of wide-beam or omnidirectional antennas, which require the use of frequency bands below 3 GHz;</w:t>
      </w:r>
    </w:p>
    <w:p w:rsidR="00D76EDC" w:rsidRPr="00D76EDC" w:rsidRDefault="00D76EDC" w:rsidP="00D76EDC">
      <w:pPr>
        <w:rPr>
          <w:lang w:val="en-GB"/>
        </w:rPr>
      </w:pPr>
      <w:r w:rsidRPr="00D76EDC">
        <w:rPr>
          <w:i/>
          <w:iCs/>
          <w:lang w:val="en-GB"/>
        </w:rPr>
        <w:t>j)</w:t>
      </w:r>
      <w:r w:rsidRPr="00D76EDC">
        <w:rPr>
          <w:lang w:val="en-GB"/>
        </w:rPr>
        <w:tab/>
        <w:t>that the choice of common frequency bands for different data relay satellite systems permits the consideration of interoperability between user spacecraft designed to use one DRS system and data relay satellites of another DRS system;</w:t>
      </w:r>
    </w:p>
    <w:p w:rsidR="00D76EDC" w:rsidRPr="00D76EDC" w:rsidRDefault="00D76EDC" w:rsidP="00D76EDC">
      <w:pPr>
        <w:rPr>
          <w:lang w:val="en-GB"/>
        </w:rPr>
      </w:pPr>
      <w:r w:rsidRPr="00D76EDC">
        <w:rPr>
          <w:i/>
          <w:iCs/>
          <w:lang w:val="en-GB"/>
        </w:rPr>
        <w:t>k)</w:t>
      </w:r>
      <w:r w:rsidRPr="00D76EDC">
        <w:rPr>
          <w:lang w:val="en-GB"/>
        </w:rPr>
        <w:tab/>
        <w:t>that Recommendation ITU-R SA.1414 provides parameters including frequencies for DRS systems worldwide to be used as guidance for deriving sharing criteria and coordination thresholds,</w:t>
      </w:r>
    </w:p>
    <w:p w:rsidR="00D76EDC" w:rsidRPr="00D76EDC" w:rsidRDefault="00D76EDC" w:rsidP="00D76EDC">
      <w:pPr>
        <w:pStyle w:val="Call"/>
        <w:rPr>
          <w:lang w:val="en-GB"/>
        </w:rPr>
      </w:pPr>
      <w:r w:rsidRPr="00D76EDC">
        <w:rPr>
          <w:lang w:val="en-GB"/>
        </w:rPr>
        <w:t>recommends</w:t>
      </w:r>
    </w:p>
    <w:p w:rsidR="00D76EDC" w:rsidRPr="00D76EDC" w:rsidRDefault="00D76EDC" w:rsidP="00D76EDC">
      <w:pPr>
        <w:rPr>
          <w:lang w:val="en-GB"/>
        </w:rPr>
      </w:pPr>
      <w:r w:rsidRPr="0020666D">
        <w:rPr>
          <w:b/>
          <w:lang w:val="en-GB"/>
        </w:rPr>
        <w:t>1</w:t>
      </w:r>
      <w:r w:rsidRPr="00D76EDC">
        <w:rPr>
          <w:lang w:val="en-GB"/>
        </w:rPr>
        <w:tab/>
        <w:t>that the inter-orbit links for DRS user spacecraft requiring low data rates using wide-beam or omnidirectional antennas use assignments within the allocated bands:</w:t>
      </w:r>
    </w:p>
    <w:p w:rsidR="00D76EDC" w:rsidRPr="00D76EDC" w:rsidRDefault="00D76EDC" w:rsidP="00D76EDC">
      <w:pPr>
        <w:rPr>
          <w:lang w:val="en-GB"/>
        </w:rPr>
      </w:pPr>
      <w:r w:rsidRPr="0020666D">
        <w:rPr>
          <w:b/>
          <w:iCs/>
          <w:lang w:val="en-GB"/>
        </w:rPr>
        <w:t>1.1</w:t>
      </w:r>
      <w:r w:rsidRPr="00D76EDC">
        <w:rPr>
          <w:lang w:val="en-GB"/>
        </w:rPr>
        <w:tab/>
        <w:t>2</w:t>
      </w:r>
      <w:r w:rsidRPr="00D76EDC">
        <w:rPr>
          <w:rFonts w:ascii="Tms Rmn" w:hAnsi="Tms Rmn"/>
          <w:sz w:val="12"/>
          <w:lang w:val="en-GB"/>
        </w:rPr>
        <w:t> </w:t>
      </w:r>
      <w:r w:rsidRPr="00D76EDC">
        <w:rPr>
          <w:lang w:val="en-GB"/>
        </w:rPr>
        <w:t>025-2</w:t>
      </w:r>
      <w:r w:rsidRPr="00D76EDC">
        <w:rPr>
          <w:rFonts w:ascii="Tms Rmn" w:hAnsi="Tms Rmn"/>
          <w:sz w:val="12"/>
          <w:lang w:val="en-GB"/>
        </w:rPr>
        <w:t> </w:t>
      </w:r>
      <w:r w:rsidRPr="00D76EDC">
        <w:rPr>
          <w:lang w:val="en-GB"/>
        </w:rPr>
        <w:t>110 MHz band for the forward inter-orbit link;</w:t>
      </w:r>
    </w:p>
    <w:p w:rsidR="00D76EDC" w:rsidRPr="00D76EDC" w:rsidRDefault="00D76EDC" w:rsidP="00D76EDC">
      <w:pPr>
        <w:rPr>
          <w:lang w:val="en-GB"/>
        </w:rPr>
      </w:pPr>
      <w:r w:rsidRPr="0020666D">
        <w:rPr>
          <w:b/>
          <w:iCs/>
          <w:lang w:val="en-GB"/>
        </w:rPr>
        <w:t>1.2</w:t>
      </w:r>
      <w:r w:rsidRPr="00D76EDC">
        <w:rPr>
          <w:lang w:val="en-GB"/>
        </w:rPr>
        <w:tab/>
        <w:t>2</w:t>
      </w:r>
      <w:r w:rsidRPr="00D76EDC">
        <w:rPr>
          <w:rFonts w:ascii="Tms Rmn" w:hAnsi="Tms Rmn"/>
          <w:sz w:val="12"/>
          <w:lang w:val="en-GB"/>
        </w:rPr>
        <w:t> </w:t>
      </w:r>
      <w:r w:rsidRPr="00D76EDC">
        <w:rPr>
          <w:lang w:val="en-GB"/>
        </w:rPr>
        <w:t>200-2</w:t>
      </w:r>
      <w:r w:rsidRPr="00D76EDC">
        <w:rPr>
          <w:rFonts w:ascii="Tms Rmn" w:hAnsi="Tms Rmn"/>
          <w:sz w:val="12"/>
          <w:lang w:val="en-GB"/>
        </w:rPr>
        <w:t> </w:t>
      </w:r>
      <w:r w:rsidRPr="00D76EDC">
        <w:rPr>
          <w:lang w:val="en-GB"/>
        </w:rPr>
        <w:t>290 MHz band for the return inter-orbit link;</w:t>
      </w:r>
    </w:p>
    <w:p w:rsidR="00D76EDC" w:rsidRPr="00D76EDC" w:rsidRDefault="00D76EDC" w:rsidP="00D76EDC">
      <w:pPr>
        <w:rPr>
          <w:lang w:val="en-GB"/>
        </w:rPr>
      </w:pPr>
      <w:r w:rsidRPr="0020666D">
        <w:rPr>
          <w:b/>
          <w:lang w:val="en-GB"/>
        </w:rPr>
        <w:t>2</w:t>
      </w:r>
      <w:r w:rsidRPr="00D76EDC">
        <w:rPr>
          <w:lang w:val="en-GB"/>
        </w:rPr>
        <w:tab/>
        <w:t>that the inter-orbit links for DRS user spacecraft requiring medium data rates consider assignments within the allocated bands, subject to the limitations of a secondary allocation:</w:t>
      </w:r>
    </w:p>
    <w:p w:rsidR="00D76EDC" w:rsidRPr="00D76EDC" w:rsidRDefault="00D76EDC" w:rsidP="00D76EDC">
      <w:pPr>
        <w:rPr>
          <w:lang w:val="en-GB"/>
        </w:rPr>
      </w:pPr>
      <w:r w:rsidRPr="0020666D">
        <w:rPr>
          <w:b/>
          <w:iCs/>
          <w:lang w:val="en-GB"/>
        </w:rPr>
        <w:t>2.1</w:t>
      </w:r>
      <w:r w:rsidRPr="00D76EDC">
        <w:rPr>
          <w:i/>
          <w:lang w:val="en-GB"/>
        </w:rPr>
        <w:tab/>
      </w:r>
      <w:r w:rsidRPr="00D76EDC">
        <w:rPr>
          <w:lang w:val="en-GB"/>
        </w:rPr>
        <w:t>13.4-14.3 GHz band for the forward inter-orbit link;</w:t>
      </w:r>
    </w:p>
    <w:p w:rsidR="00D76EDC" w:rsidRPr="00D76EDC" w:rsidRDefault="00D76EDC" w:rsidP="00D76EDC">
      <w:pPr>
        <w:rPr>
          <w:lang w:val="en-GB"/>
        </w:rPr>
      </w:pPr>
      <w:r w:rsidRPr="0020666D">
        <w:rPr>
          <w:b/>
          <w:iCs/>
          <w:lang w:val="en-GB"/>
        </w:rPr>
        <w:t>2.2</w:t>
      </w:r>
      <w:r w:rsidRPr="00D76EDC">
        <w:rPr>
          <w:lang w:val="en-GB"/>
        </w:rPr>
        <w:tab/>
        <w:t>14.5-15.35 GHz band for the return inter-orbit link;</w:t>
      </w:r>
    </w:p>
    <w:p w:rsidR="00D76EDC" w:rsidRPr="00D76EDC" w:rsidRDefault="00D76EDC" w:rsidP="00D76EDC">
      <w:pPr>
        <w:rPr>
          <w:lang w:val="en-GB"/>
        </w:rPr>
      </w:pPr>
      <w:r w:rsidRPr="0020666D">
        <w:rPr>
          <w:b/>
          <w:lang w:val="en-GB"/>
        </w:rPr>
        <w:t>3</w:t>
      </w:r>
      <w:r w:rsidRPr="00D76EDC">
        <w:rPr>
          <w:lang w:val="en-GB"/>
        </w:rPr>
        <w:tab/>
        <w:t>that the inter-orbit links for DRS user spacecraft requiring medium to high data rates use assignments within the allocated bands:</w:t>
      </w:r>
    </w:p>
    <w:p w:rsidR="00D76EDC" w:rsidRPr="00D76EDC" w:rsidRDefault="00D76EDC" w:rsidP="00D76EDC">
      <w:pPr>
        <w:rPr>
          <w:lang w:val="en-GB"/>
        </w:rPr>
      </w:pPr>
      <w:r w:rsidRPr="0020666D">
        <w:rPr>
          <w:b/>
          <w:iCs/>
          <w:lang w:val="en-GB"/>
        </w:rPr>
        <w:t>3.1</w:t>
      </w:r>
      <w:r w:rsidRPr="00D76EDC">
        <w:rPr>
          <w:lang w:val="en-GB"/>
        </w:rPr>
        <w:tab/>
        <w:t>22.55-23.55 GHz band for the forward inter-orbit link;</w:t>
      </w:r>
    </w:p>
    <w:p w:rsidR="00D76EDC" w:rsidRPr="00D76EDC" w:rsidRDefault="00D76EDC" w:rsidP="00D76EDC">
      <w:pPr>
        <w:rPr>
          <w:lang w:val="en-GB"/>
        </w:rPr>
      </w:pPr>
      <w:r w:rsidRPr="0020666D">
        <w:rPr>
          <w:b/>
          <w:iCs/>
          <w:lang w:val="en-GB"/>
        </w:rPr>
        <w:t>3.2</w:t>
      </w:r>
      <w:r w:rsidRPr="00D76EDC">
        <w:rPr>
          <w:lang w:val="en-GB"/>
        </w:rPr>
        <w:tab/>
        <w:t>25.25-27.50 GHz band for the return inter-orbit link;</w:t>
      </w:r>
    </w:p>
    <w:p w:rsidR="00D76EDC" w:rsidRPr="00D76EDC" w:rsidRDefault="00D76EDC" w:rsidP="0020666D">
      <w:pPr>
        <w:rPr>
          <w:lang w:val="en-GB"/>
        </w:rPr>
      </w:pPr>
      <w:r w:rsidRPr="0020666D">
        <w:rPr>
          <w:b/>
          <w:lang w:val="en-GB"/>
        </w:rPr>
        <w:t>4</w:t>
      </w:r>
      <w:r w:rsidRPr="00D76EDC">
        <w:rPr>
          <w:lang w:val="en-GB"/>
        </w:rPr>
        <w:tab/>
        <w:t>that the launch, early-orbit-phase and emergency operations of a DRS use the 2</w:t>
      </w:r>
      <w:r w:rsidRPr="00D76EDC">
        <w:rPr>
          <w:rFonts w:ascii="Tms Rmn" w:hAnsi="Tms Rmn"/>
          <w:sz w:val="12"/>
          <w:lang w:val="en-GB"/>
        </w:rPr>
        <w:t> </w:t>
      </w:r>
      <w:r w:rsidRPr="00D76EDC">
        <w:rPr>
          <w:lang w:val="en-GB"/>
        </w:rPr>
        <w:t>025</w:t>
      </w:r>
      <w:r w:rsidRPr="00D76EDC">
        <w:rPr>
          <w:lang w:val="en-GB"/>
        </w:rPr>
        <w:noBreakHyphen/>
        <w:t>2</w:t>
      </w:r>
      <w:r w:rsidRPr="00D76EDC">
        <w:rPr>
          <w:rFonts w:ascii="Tms Rmn" w:hAnsi="Tms Rmn"/>
          <w:sz w:val="12"/>
          <w:lang w:val="en-GB"/>
        </w:rPr>
        <w:t> </w:t>
      </w:r>
      <w:r w:rsidRPr="00D76EDC">
        <w:rPr>
          <w:lang w:val="en-GB"/>
        </w:rPr>
        <w:t>110</w:t>
      </w:r>
      <w:r w:rsidR="0020666D">
        <w:rPr>
          <w:lang w:val="en-GB"/>
        </w:rPr>
        <w:t> </w:t>
      </w:r>
      <w:r w:rsidRPr="00D76EDC">
        <w:rPr>
          <w:lang w:val="en-GB"/>
        </w:rPr>
        <w:t>MHz and 2</w:t>
      </w:r>
      <w:r w:rsidRPr="00D76EDC">
        <w:rPr>
          <w:rFonts w:ascii="Tms Rmn" w:hAnsi="Tms Rmn"/>
          <w:sz w:val="12"/>
          <w:lang w:val="en-GB"/>
        </w:rPr>
        <w:t> </w:t>
      </w:r>
      <w:r w:rsidRPr="00D76EDC">
        <w:rPr>
          <w:lang w:val="en-GB"/>
        </w:rPr>
        <w:t>200</w:t>
      </w:r>
      <w:r w:rsidRPr="00D76EDC">
        <w:rPr>
          <w:lang w:val="en-GB"/>
        </w:rPr>
        <w:noBreakHyphen/>
        <w:t>2</w:t>
      </w:r>
      <w:r w:rsidRPr="00D76EDC">
        <w:rPr>
          <w:rFonts w:ascii="Tms Rmn" w:hAnsi="Tms Rmn"/>
          <w:sz w:val="12"/>
          <w:lang w:val="en-GB"/>
        </w:rPr>
        <w:t> </w:t>
      </w:r>
      <w:r w:rsidRPr="00D76EDC">
        <w:rPr>
          <w:lang w:val="en-GB"/>
        </w:rPr>
        <w:t>290 MHz bands;</w:t>
      </w:r>
    </w:p>
    <w:p w:rsidR="00D76EDC" w:rsidRPr="00D76EDC" w:rsidRDefault="00D76EDC" w:rsidP="00D76EDC">
      <w:pPr>
        <w:rPr>
          <w:lang w:val="en-GB"/>
        </w:rPr>
      </w:pPr>
      <w:r w:rsidRPr="0020666D">
        <w:rPr>
          <w:b/>
          <w:lang w:val="en-GB"/>
        </w:rPr>
        <w:t>5</w:t>
      </w:r>
      <w:r w:rsidRPr="00D76EDC">
        <w:rPr>
          <w:lang w:val="en-GB"/>
        </w:rPr>
        <w:tab/>
        <w:t>that the frequency bands shown in Table 1 below should be used for DRS system reference architecture links taking into account the information available in Recommendation ITU-R SA.1414.</w:t>
      </w:r>
    </w:p>
    <w:p w:rsidR="00D76EDC" w:rsidRPr="00D76EDC" w:rsidRDefault="0020666D" w:rsidP="00D76EDC">
      <w:pPr>
        <w:pStyle w:val="TableNo"/>
        <w:rPr>
          <w:lang w:val="en-GB"/>
        </w:rPr>
      </w:pPr>
      <w:r w:rsidRPr="00D76EDC">
        <w:rPr>
          <w:lang w:val="en-GB"/>
        </w:rPr>
        <w:t xml:space="preserve">TABLE </w:t>
      </w:r>
      <w:r w:rsidR="00D76EDC" w:rsidRPr="00D76EDC">
        <w:rPr>
          <w:lang w:val="en-GB"/>
        </w:rPr>
        <w:t>1</w:t>
      </w:r>
    </w:p>
    <w:p w:rsidR="00D76EDC" w:rsidRPr="00D76EDC" w:rsidRDefault="00D76EDC" w:rsidP="00D76EDC">
      <w:pPr>
        <w:pStyle w:val="Tabletitle"/>
        <w:spacing w:after="240"/>
        <w:rPr>
          <w:lang w:val="en-GB"/>
        </w:rPr>
      </w:pPr>
      <w:bookmarkStart w:id="4" w:name="_Toc419989876"/>
      <w:r w:rsidRPr="00D76EDC">
        <w:rPr>
          <w:lang w:val="en-GB"/>
        </w:rPr>
        <w:t>DRS System frequency bands and directions of 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1773"/>
        <w:gridCol w:w="2441"/>
      </w:tblGrid>
      <w:tr w:rsidR="00D76EDC" w:rsidRPr="00520532" w:rsidTr="00C9091F">
        <w:trPr>
          <w:jc w:val="center"/>
        </w:trPr>
        <w:tc>
          <w:tcPr>
            <w:tcW w:w="5425" w:type="dxa"/>
            <w:shd w:val="clear" w:color="auto" w:fill="auto"/>
            <w:vAlign w:val="center"/>
          </w:tcPr>
          <w:p w:rsidR="00D76EDC" w:rsidRPr="00520532" w:rsidRDefault="00D76EDC" w:rsidP="008E3C29">
            <w:pPr>
              <w:pStyle w:val="Tablehead"/>
              <w:rPr>
                <w:rFonts w:asciiTheme="majorBidi" w:hAnsiTheme="majorBidi" w:cstheme="majorBidi"/>
              </w:rPr>
            </w:pPr>
            <w:r w:rsidRPr="00520532">
              <w:rPr>
                <w:rFonts w:asciiTheme="majorBidi" w:hAnsiTheme="majorBidi" w:cstheme="majorBidi"/>
              </w:rPr>
              <w:t>Application</w:t>
            </w:r>
          </w:p>
        </w:tc>
        <w:tc>
          <w:tcPr>
            <w:tcW w:w="1773" w:type="dxa"/>
            <w:shd w:val="clear" w:color="auto" w:fill="auto"/>
            <w:vAlign w:val="center"/>
          </w:tcPr>
          <w:p w:rsidR="00D76EDC" w:rsidRPr="00520532" w:rsidRDefault="00D76EDC" w:rsidP="008E3C29">
            <w:pPr>
              <w:pStyle w:val="Tablehead"/>
              <w:rPr>
                <w:rFonts w:asciiTheme="majorBidi" w:hAnsiTheme="majorBidi" w:cstheme="majorBidi"/>
              </w:rPr>
            </w:pPr>
            <w:r w:rsidRPr="00520532">
              <w:rPr>
                <w:rFonts w:asciiTheme="majorBidi" w:hAnsiTheme="majorBidi" w:cstheme="majorBidi"/>
              </w:rPr>
              <w:t>Direction of transmission</w:t>
            </w:r>
          </w:p>
        </w:tc>
        <w:tc>
          <w:tcPr>
            <w:tcW w:w="2441" w:type="dxa"/>
            <w:shd w:val="clear" w:color="auto" w:fill="auto"/>
            <w:vAlign w:val="center"/>
          </w:tcPr>
          <w:p w:rsidR="00D76EDC" w:rsidRPr="00520532" w:rsidRDefault="00D76EDC" w:rsidP="008E3C29">
            <w:pPr>
              <w:pStyle w:val="Tablehead"/>
              <w:rPr>
                <w:rFonts w:asciiTheme="majorBidi" w:hAnsiTheme="majorBidi" w:cstheme="majorBidi"/>
              </w:rPr>
            </w:pPr>
            <w:r w:rsidRPr="00520532">
              <w:rPr>
                <w:rFonts w:asciiTheme="majorBidi" w:hAnsiTheme="majorBidi" w:cstheme="majorBidi"/>
              </w:rPr>
              <w:t>Frequency</w:t>
            </w:r>
          </w:p>
        </w:tc>
      </w:tr>
      <w:tr w:rsidR="00D76EDC" w:rsidRPr="00520532" w:rsidTr="00C9091F">
        <w:trPr>
          <w:trHeight w:val="340"/>
          <w:jc w:val="center"/>
        </w:trPr>
        <w:tc>
          <w:tcPr>
            <w:tcW w:w="5425" w:type="dxa"/>
            <w:vMerge w:val="restart"/>
            <w:shd w:val="clear" w:color="auto" w:fill="auto"/>
          </w:tcPr>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Inter-orbit link</w:t>
            </w:r>
          </w:p>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Low data rate (&lt;6 Mb/s) requirement</w:t>
            </w:r>
          </w:p>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Wide-beam or omnidirectional antennas of the DRS users</w:t>
            </w: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Forward</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2 025-2 110 MHz</w:t>
            </w:r>
          </w:p>
        </w:tc>
      </w:tr>
      <w:tr w:rsidR="00D76EDC" w:rsidRPr="00520532" w:rsidTr="00C9091F">
        <w:trPr>
          <w:trHeight w:val="340"/>
          <w:jc w:val="center"/>
        </w:trPr>
        <w:tc>
          <w:tcPr>
            <w:tcW w:w="5425" w:type="dxa"/>
            <w:vMerge/>
            <w:shd w:val="clear" w:color="auto" w:fill="auto"/>
          </w:tcPr>
          <w:p w:rsidR="00D76EDC" w:rsidRPr="00520532" w:rsidRDefault="00D76EDC" w:rsidP="00C9091F">
            <w:pPr>
              <w:pStyle w:val="Tabletext"/>
              <w:jc w:val="left"/>
              <w:rPr>
                <w:rFonts w:asciiTheme="majorBidi" w:hAnsiTheme="majorBidi" w:cstheme="majorBidi"/>
              </w:rPr>
            </w:pP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Return</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2 200-2 290 MHz</w:t>
            </w:r>
          </w:p>
        </w:tc>
      </w:tr>
      <w:tr w:rsidR="00D76EDC" w:rsidRPr="00520532" w:rsidTr="00C9091F">
        <w:trPr>
          <w:trHeight w:val="340"/>
          <w:jc w:val="center"/>
        </w:trPr>
        <w:tc>
          <w:tcPr>
            <w:tcW w:w="5425" w:type="dxa"/>
            <w:vMerge w:val="restart"/>
            <w:shd w:val="clear" w:color="auto" w:fill="auto"/>
          </w:tcPr>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Inter-orbit link</w:t>
            </w:r>
          </w:p>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Medium data rate(6-300 Mb/s) requirement</w:t>
            </w: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Forward</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13.4-13.75 GHz</w:t>
            </w:r>
          </w:p>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13.75-14.3 GHz</w:t>
            </w:r>
          </w:p>
        </w:tc>
      </w:tr>
      <w:tr w:rsidR="00D76EDC" w:rsidRPr="00520532" w:rsidTr="00C9091F">
        <w:trPr>
          <w:trHeight w:val="225"/>
          <w:jc w:val="center"/>
        </w:trPr>
        <w:tc>
          <w:tcPr>
            <w:tcW w:w="5425" w:type="dxa"/>
            <w:vMerge/>
            <w:shd w:val="clear" w:color="auto" w:fill="auto"/>
          </w:tcPr>
          <w:p w:rsidR="00D76EDC" w:rsidRPr="00520532" w:rsidRDefault="00D76EDC" w:rsidP="008E3C29">
            <w:pPr>
              <w:pStyle w:val="Tabletext"/>
              <w:rPr>
                <w:rFonts w:asciiTheme="majorBidi" w:hAnsiTheme="majorBidi" w:cstheme="majorBidi"/>
              </w:rPr>
            </w:pP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Return</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14.5-15.35 GHz</w:t>
            </w:r>
          </w:p>
        </w:tc>
      </w:tr>
    </w:tbl>
    <w:p w:rsidR="00C9091F" w:rsidRDefault="00C9091F">
      <w:r>
        <w:br w:type="page"/>
      </w:r>
    </w:p>
    <w:p w:rsidR="00C9091F" w:rsidRPr="00D76EDC" w:rsidRDefault="00C9091F" w:rsidP="00C9091F">
      <w:pPr>
        <w:pStyle w:val="TableNo"/>
        <w:rPr>
          <w:lang w:val="en-GB"/>
        </w:rPr>
      </w:pPr>
      <w:r w:rsidRPr="00D76EDC">
        <w:rPr>
          <w:lang w:val="en-GB"/>
        </w:rPr>
        <w:t>TABLE 1</w:t>
      </w:r>
      <w:r>
        <w:rPr>
          <w:lang w:val="en-GB"/>
        </w:rPr>
        <w:t xml:space="preserve"> (</w:t>
      </w:r>
      <w:r w:rsidRPr="00C9091F">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3052"/>
        <w:gridCol w:w="1773"/>
        <w:gridCol w:w="2441"/>
      </w:tblGrid>
      <w:tr w:rsidR="00C9091F" w:rsidRPr="00520532" w:rsidTr="00C9091F">
        <w:trPr>
          <w:jc w:val="center"/>
        </w:trPr>
        <w:tc>
          <w:tcPr>
            <w:tcW w:w="5425" w:type="dxa"/>
            <w:gridSpan w:val="2"/>
            <w:shd w:val="clear" w:color="auto" w:fill="auto"/>
            <w:vAlign w:val="center"/>
          </w:tcPr>
          <w:p w:rsidR="00C9091F" w:rsidRPr="00520532" w:rsidRDefault="00C9091F" w:rsidP="008E3C29">
            <w:pPr>
              <w:pStyle w:val="Tablehead"/>
              <w:rPr>
                <w:rFonts w:asciiTheme="majorBidi" w:hAnsiTheme="majorBidi" w:cstheme="majorBidi"/>
              </w:rPr>
            </w:pPr>
            <w:r w:rsidRPr="00520532">
              <w:rPr>
                <w:rFonts w:asciiTheme="majorBidi" w:hAnsiTheme="majorBidi" w:cstheme="majorBidi"/>
              </w:rPr>
              <w:t>Application</w:t>
            </w:r>
          </w:p>
        </w:tc>
        <w:tc>
          <w:tcPr>
            <w:tcW w:w="1773" w:type="dxa"/>
            <w:shd w:val="clear" w:color="auto" w:fill="auto"/>
            <w:vAlign w:val="center"/>
          </w:tcPr>
          <w:p w:rsidR="00C9091F" w:rsidRPr="00520532" w:rsidRDefault="00C9091F" w:rsidP="008E3C29">
            <w:pPr>
              <w:pStyle w:val="Tablehead"/>
              <w:rPr>
                <w:rFonts w:asciiTheme="majorBidi" w:hAnsiTheme="majorBidi" w:cstheme="majorBidi"/>
              </w:rPr>
            </w:pPr>
            <w:r w:rsidRPr="00520532">
              <w:rPr>
                <w:rFonts w:asciiTheme="majorBidi" w:hAnsiTheme="majorBidi" w:cstheme="majorBidi"/>
              </w:rPr>
              <w:t>Direction of transmission</w:t>
            </w:r>
          </w:p>
        </w:tc>
        <w:tc>
          <w:tcPr>
            <w:tcW w:w="2441" w:type="dxa"/>
            <w:shd w:val="clear" w:color="auto" w:fill="auto"/>
            <w:vAlign w:val="center"/>
          </w:tcPr>
          <w:p w:rsidR="00C9091F" w:rsidRPr="00520532" w:rsidRDefault="00C9091F" w:rsidP="008E3C29">
            <w:pPr>
              <w:pStyle w:val="Tablehead"/>
              <w:rPr>
                <w:rFonts w:asciiTheme="majorBidi" w:hAnsiTheme="majorBidi" w:cstheme="majorBidi"/>
              </w:rPr>
            </w:pPr>
            <w:r w:rsidRPr="00520532">
              <w:rPr>
                <w:rFonts w:asciiTheme="majorBidi" w:hAnsiTheme="majorBidi" w:cstheme="majorBidi"/>
              </w:rPr>
              <w:t>Frequency</w:t>
            </w:r>
          </w:p>
        </w:tc>
      </w:tr>
      <w:tr w:rsidR="00D76EDC" w:rsidRPr="00520532" w:rsidTr="00C9091F">
        <w:trPr>
          <w:trHeight w:val="340"/>
          <w:jc w:val="center"/>
        </w:trPr>
        <w:tc>
          <w:tcPr>
            <w:tcW w:w="5425" w:type="dxa"/>
            <w:gridSpan w:val="2"/>
            <w:vMerge w:val="restart"/>
            <w:shd w:val="clear" w:color="auto" w:fill="auto"/>
          </w:tcPr>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Inter-orbit link</w:t>
            </w:r>
          </w:p>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High data rate (&gt;300 Mb/s) requirement</w:t>
            </w: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Forward</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22.55-23.55 GHz</w:t>
            </w:r>
          </w:p>
        </w:tc>
      </w:tr>
      <w:tr w:rsidR="00D76EDC" w:rsidRPr="00520532" w:rsidTr="00C9091F">
        <w:trPr>
          <w:trHeight w:val="340"/>
          <w:jc w:val="center"/>
        </w:trPr>
        <w:tc>
          <w:tcPr>
            <w:tcW w:w="5425" w:type="dxa"/>
            <w:gridSpan w:val="2"/>
            <w:vMerge/>
            <w:shd w:val="clear" w:color="auto" w:fill="auto"/>
          </w:tcPr>
          <w:p w:rsidR="00D76EDC" w:rsidRPr="00520532" w:rsidRDefault="00D76EDC" w:rsidP="00C9091F">
            <w:pPr>
              <w:pStyle w:val="Tabletext"/>
              <w:jc w:val="left"/>
              <w:rPr>
                <w:rFonts w:asciiTheme="majorBidi" w:hAnsiTheme="majorBidi" w:cstheme="majorBidi"/>
              </w:rPr>
            </w:pP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Return</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25.25-27.5 GHz</w:t>
            </w:r>
          </w:p>
        </w:tc>
      </w:tr>
      <w:tr w:rsidR="00D76EDC" w:rsidRPr="00520532" w:rsidTr="00C9091F">
        <w:trPr>
          <w:trHeight w:val="340"/>
          <w:jc w:val="center"/>
        </w:trPr>
        <w:tc>
          <w:tcPr>
            <w:tcW w:w="5425" w:type="dxa"/>
            <w:gridSpan w:val="2"/>
            <w:vMerge w:val="restart"/>
            <w:shd w:val="clear" w:color="auto" w:fill="auto"/>
          </w:tcPr>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DRS satellite feeder links</w:t>
            </w:r>
          </w:p>
          <w:p w:rsidR="00D76EDC" w:rsidRPr="00D76EDC" w:rsidRDefault="00D76EDC" w:rsidP="00C9091F">
            <w:pPr>
              <w:pStyle w:val="Tabletext"/>
              <w:jc w:val="left"/>
              <w:rPr>
                <w:rFonts w:asciiTheme="majorBidi" w:hAnsiTheme="majorBidi" w:cstheme="majorBidi"/>
                <w:strike/>
                <w:lang w:val="en-GB"/>
              </w:rPr>
            </w:pPr>
            <w:r w:rsidRPr="00D76EDC">
              <w:rPr>
                <w:rFonts w:asciiTheme="majorBidi" w:hAnsiTheme="majorBidi" w:cstheme="majorBidi"/>
                <w:lang w:val="en-GB"/>
              </w:rPr>
              <w:t>Launch, early orbit, and contingency command and telemetry</w:t>
            </w: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Uplink</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2 025-2 110 MHz</w:t>
            </w:r>
          </w:p>
        </w:tc>
      </w:tr>
      <w:tr w:rsidR="00D76EDC" w:rsidRPr="00520532" w:rsidTr="00C9091F">
        <w:trPr>
          <w:jc w:val="center"/>
        </w:trPr>
        <w:tc>
          <w:tcPr>
            <w:tcW w:w="5425" w:type="dxa"/>
            <w:gridSpan w:val="2"/>
            <w:vMerge/>
            <w:shd w:val="clear" w:color="auto" w:fill="auto"/>
          </w:tcPr>
          <w:p w:rsidR="00D76EDC" w:rsidRPr="00520532" w:rsidRDefault="00D76EDC" w:rsidP="00C9091F">
            <w:pPr>
              <w:pStyle w:val="Tabletext"/>
              <w:jc w:val="left"/>
              <w:rPr>
                <w:rFonts w:asciiTheme="majorBidi" w:hAnsiTheme="majorBidi" w:cstheme="majorBidi"/>
                <w:strike/>
              </w:rPr>
            </w:pPr>
          </w:p>
        </w:tc>
        <w:tc>
          <w:tcPr>
            <w:tcW w:w="1773"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Downlink</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2 200-2 290 MHz</w:t>
            </w:r>
          </w:p>
        </w:tc>
      </w:tr>
      <w:tr w:rsidR="00D76EDC" w:rsidRPr="00520532" w:rsidTr="00C9091F">
        <w:trPr>
          <w:trHeight w:val="340"/>
          <w:jc w:val="center"/>
        </w:trPr>
        <w:tc>
          <w:tcPr>
            <w:tcW w:w="2373" w:type="dxa"/>
            <w:vMerge w:val="restart"/>
            <w:shd w:val="clear" w:color="auto" w:fill="auto"/>
            <w:vAlign w:val="center"/>
          </w:tcPr>
          <w:p w:rsidR="00D76EDC" w:rsidRPr="00520532" w:rsidRDefault="00D76EDC" w:rsidP="00C9091F">
            <w:pPr>
              <w:pStyle w:val="Tabletext"/>
              <w:jc w:val="left"/>
              <w:rPr>
                <w:rFonts w:asciiTheme="majorBidi" w:hAnsiTheme="majorBidi" w:cstheme="majorBidi"/>
              </w:rPr>
            </w:pPr>
            <w:r w:rsidRPr="00520532">
              <w:rPr>
                <w:rFonts w:asciiTheme="majorBidi" w:hAnsiTheme="majorBidi" w:cstheme="majorBidi"/>
              </w:rPr>
              <w:t>DRS satellite feeder links</w:t>
            </w:r>
          </w:p>
        </w:tc>
        <w:tc>
          <w:tcPr>
            <w:tcW w:w="3052" w:type="dxa"/>
            <w:vMerge w:val="restart"/>
            <w:shd w:val="clear" w:color="auto" w:fill="auto"/>
            <w:vAlign w:val="center"/>
          </w:tcPr>
          <w:p w:rsidR="00D76EDC" w:rsidRPr="00D76EDC" w:rsidRDefault="00D76EDC" w:rsidP="00C9091F">
            <w:pPr>
              <w:pStyle w:val="Tabletext"/>
              <w:jc w:val="left"/>
              <w:rPr>
                <w:rFonts w:asciiTheme="majorBidi" w:hAnsiTheme="majorBidi" w:cstheme="majorBidi"/>
                <w:lang w:val="en-GB"/>
              </w:rPr>
            </w:pPr>
            <w:r w:rsidRPr="00D76EDC">
              <w:rPr>
                <w:rFonts w:asciiTheme="majorBidi" w:hAnsiTheme="majorBidi" w:cstheme="majorBidi"/>
                <w:lang w:val="en-GB"/>
              </w:rPr>
              <w:t>Low and medium data rate requirement</w:t>
            </w:r>
          </w:p>
        </w:tc>
        <w:tc>
          <w:tcPr>
            <w:tcW w:w="1773" w:type="dxa"/>
            <w:vMerge w:val="restart"/>
            <w:shd w:val="clear" w:color="auto" w:fill="auto"/>
            <w:vAlign w:val="center"/>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Forward feeder link (Uplink)</w:t>
            </w:r>
          </w:p>
        </w:tc>
        <w:tc>
          <w:tcPr>
            <w:tcW w:w="2441" w:type="dxa"/>
            <w:shd w:val="clear" w:color="auto" w:fill="auto"/>
          </w:tcPr>
          <w:p w:rsidR="00D76EDC" w:rsidRPr="00520532" w:rsidRDefault="00D76EDC" w:rsidP="008E3C29">
            <w:pPr>
              <w:pStyle w:val="Tabletext"/>
              <w:jc w:val="center"/>
              <w:rPr>
                <w:rFonts w:asciiTheme="majorBidi" w:hAnsiTheme="majorBidi" w:cstheme="majorBidi"/>
                <w:strike/>
              </w:rPr>
            </w:pPr>
            <w:r w:rsidRPr="00520532">
              <w:rPr>
                <w:rFonts w:asciiTheme="majorBidi" w:hAnsiTheme="majorBidi" w:cstheme="majorBidi"/>
              </w:rPr>
              <w:t>14.5-15.35 GHz</w:t>
            </w:r>
          </w:p>
        </w:tc>
      </w:tr>
      <w:tr w:rsidR="00D76EDC" w:rsidRPr="00520532" w:rsidTr="00C9091F">
        <w:trPr>
          <w:trHeight w:val="168"/>
          <w:jc w:val="center"/>
        </w:trPr>
        <w:tc>
          <w:tcPr>
            <w:tcW w:w="2373" w:type="dxa"/>
            <w:vMerge/>
            <w:shd w:val="clear" w:color="auto" w:fill="auto"/>
          </w:tcPr>
          <w:p w:rsidR="00D76EDC" w:rsidRPr="00520532" w:rsidRDefault="00D76EDC" w:rsidP="00C9091F">
            <w:pPr>
              <w:pStyle w:val="Tabletext"/>
              <w:jc w:val="left"/>
              <w:rPr>
                <w:rFonts w:asciiTheme="majorBidi" w:hAnsiTheme="majorBidi" w:cstheme="majorBidi"/>
              </w:rPr>
            </w:pPr>
          </w:p>
        </w:tc>
        <w:tc>
          <w:tcPr>
            <w:tcW w:w="3052" w:type="dxa"/>
            <w:vMerge/>
            <w:shd w:val="clear" w:color="auto" w:fill="auto"/>
            <w:vAlign w:val="center"/>
          </w:tcPr>
          <w:p w:rsidR="00D76EDC" w:rsidRPr="00520532" w:rsidRDefault="00D76EDC" w:rsidP="00C9091F">
            <w:pPr>
              <w:pStyle w:val="Tabletext"/>
              <w:jc w:val="left"/>
              <w:rPr>
                <w:rFonts w:asciiTheme="majorBidi" w:hAnsiTheme="majorBidi" w:cstheme="majorBidi"/>
              </w:rPr>
            </w:pPr>
          </w:p>
        </w:tc>
        <w:tc>
          <w:tcPr>
            <w:tcW w:w="1773" w:type="dxa"/>
            <w:vMerge/>
            <w:shd w:val="clear" w:color="auto" w:fill="auto"/>
            <w:vAlign w:val="center"/>
          </w:tcPr>
          <w:p w:rsidR="00D76EDC" w:rsidRPr="00520532" w:rsidRDefault="00D76EDC" w:rsidP="008E3C29">
            <w:pPr>
              <w:pStyle w:val="Tabletext"/>
              <w:jc w:val="center"/>
              <w:rPr>
                <w:rFonts w:asciiTheme="majorBidi" w:hAnsiTheme="majorBidi" w:cstheme="majorBidi"/>
              </w:rPr>
            </w:pPr>
          </w:p>
        </w:tc>
        <w:tc>
          <w:tcPr>
            <w:tcW w:w="2441" w:type="dxa"/>
            <w:shd w:val="clear" w:color="auto" w:fill="auto"/>
          </w:tcPr>
          <w:p w:rsidR="00D76EDC" w:rsidRPr="00520532" w:rsidRDefault="00D76EDC" w:rsidP="00C9091F">
            <w:pPr>
              <w:pStyle w:val="Tabletext"/>
              <w:jc w:val="center"/>
              <w:rPr>
                <w:rFonts w:asciiTheme="majorBidi" w:hAnsiTheme="majorBidi" w:cstheme="majorBidi"/>
              </w:rPr>
            </w:pPr>
            <w:r w:rsidRPr="00520532">
              <w:rPr>
                <w:rFonts w:asciiTheme="majorBidi" w:hAnsiTheme="majorBidi" w:cstheme="majorBidi"/>
              </w:rPr>
              <w:t>12.75-13.25 GHz 14.5</w:t>
            </w:r>
            <w:r w:rsidR="00C9091F">
              <w:rPr>
                <w:rFonts w:asciiTheme="majorBidi" w:hAnsiTheme="majorBidi" w:cstheme="majorBidi"/>
              </w:rPr>
              <w:noBreakHyphen/>
            </w:r>
            <w:r w:rsidRPr="00520532">
              <w:rPr>
                <w:rFonts w:asciiTheme="majorBidi" w:hAnsiTheme="majorBidi" w:cstheme="majorBidi"/>
              </w:rPr>
              <w:t>14.75 GHz</w:t>
            </w:r>
          </w:p>
        </w:tc>
      </w:tr>
      <w:tr w:rsidR="00D76EDC" w:rsidRPr="00520532" w:rsidTr="00C9091F">
        <w:trPr>
          <w:trHeight w:val="630"/>
          <w:jc w:val="center"/>
        </w:trPr>
        <w:tc>
          <w:tcPr>
            <w:tcW w:w="2373" w:type="dxa"/>
            <w:vMerge/>
            <w:shd w:val="clear" w:color="auto" w:fill="auto"/>
          </w:tcPr>
          <w:p w:rsidR="00D76EDC" w:rsidRPr="00520532" w:rsidRDefault="00D76EDC" w:rsidP="00C9091F">
            <w:pPr>
              <w:pStyle w:val="Tabletext"/>
              <w:jc w:val="left"/>
              <w:rPr>
                <w:rFonts w:asciiTheme="majorBidi" w:hAnsiTheme="majorBidi" w:cstheme="majorBidi"/>
              </w:rPr>
            </w:pPr>
          </w:p>
        </w:tc>
        <w:tc>
          <w:tcPr>
            <w:tcW w:w="3052" w:type="dxa"/>
            <w:shd w:val="clear" w:color="auto" w:fill="auto"/>
            <w:vAlign w:val="center"/>
          </w:tcPr>
          <w:p w:rsidR="00D76EDC" w:rsidRPr="00520532" w:rsidRDefault="00D76EDC" w:rsidP="00C9091F">
            <w:pPr>
              <w:pStyle w:val="Tabletext"/>
              <w:jc w:val="left"/>
              <w:rPr>
                <w:rFonts w:asciiTheme="majorBidi" w:hAnsiTheme="majorBidi" w:cstheme="majorBidi"/>
              </w:rPr>
            </w:pPr>
            <w:r w:rsidRPr="00520532">
              <w:rPr>
                <w:rFonts w:asciiTheme="majorBidi" w:hAnsiTheme="majorBidi" w:cstheme="majorBidi"/>
              </w:rPr>
              <w:t>High data rate requirement</w:t>
            </w:r>
          </w:p>
        </w:tc>
        <w:tc>
          <w:tcPr>
            <w:tcW w:w="1773" w:type="dxa"/>
            <w:vMerge/>
            <w:shd w:val="clear" w:color="auto" w:fill="auto"/>
            <w:vAlign w:val="center"/>
          </w:tcPr>
          <w:p w:rsidR="00D76EDC" w:rsidRPr="00520532" w:rsidRDefault="00D76EDC" w:rsidP="008E3C29">
            <w:pPr>
              <w:pStyle w:val="Tabletext"/>
              <w:jc w:val="center"/>
              <w:rPr>
                <w:rFonts w:asciiTheme="majorBidi" w:hAnsiTheme="majorBidi" w:cstheme="majorBidi"/>
              </w:rPr>
            </w:pP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27.5-31 GHz</w:t>
            </w:r>
          </w:p>
        </w:tc>
      </w:tr>
      <w:tr w:rsidR="00D76EDC" w:rsidRPr="00520532" w:rsidTr="00C9091F">
        <w:trPr>
          <w:trHeight w:val="340"/>
          <w:jc w:val="center"/>
        </w:trPr>
        <w:tc>
          <w:tcPr>
            <w:tcW w:w="2373" w:type="dxa"/>
            <w:vMerge/>
            <w:shd w:val="clear" w:color="auto" w:fill="auto"/>
          </w:tcPr>
          <w:p w:rsidR="00D76EDC" w:rsidRPr="00520532" w:rsidRDefault="00D76EDC" w:rsidP="00C9091F">
            <w:pPr>
              <w:pStyle w:val="Tabletext"/>
              <w:jc w:val="left"/>
              <w:rPr>
                <w:rFonts w:asciiTheme="majorBidi" w:hAnsiTheme="majorBidi" w:cstheme="majorBidi"/>
                <w:strike/>
              </w:rPr>
            </w:pPr>
          </w:p>
        </w:tc>
        <w:tc>
          <w:tcPr>
            <w:tcW w:w="3052" w:type="dxa"/>
            <w:vMerge w:val="restart"/>
            <w:shd w:val="clear" w:color="auto" w:fill="auto"/>
            <w:vAlign w:val="center"/>
          </w:tcPr>
          <w:p w:rsidR="00D76EDC" w:rsidRPr="00D76EDC" w:rsidRDefault="00D76EDC" w:rsidP="00C9091F">
            <w:pPr>
              <w:pStyle w:val="Tabletext"/>
              <w:jc w:val="left"/>
              <w:rPr>
                <w:rFonts w:asciiTheme="majorBidi" w:hAnsiTheme="majorBidi" w:cstheme="majorBidi"/>
                <w:strike/>
                <w:lang w:val="en-GB"/>
              </w:rPr>
            </w:pPr>
            <w:r w:rsidRPr="00D76EDC">
              <w:rPr>
                <w:rFonts w:asciiTheme="majorBidi" w:hAnsiTheme="majorBidi" w:cstheme="majorBidi"/>
                <w:lang w:val="en-GB"/>
              </w:rPr>
              <w:t>Low and medium data rate requirement</w:t>
            </w:r>
          </w:p>
        </w:tc>
        <w:tc>
          <w:tcPr>
            <w:tcW w:w="1773" w:type="dxa"/>
            <w:vMerge w:val="restart"/>
            <w:shd w:val="clear" w:color="auto" w:fill="auto"/>
            <w:vAlign w:val="center"/>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Return</w:t>
            </w:r>
            <w:r w:rsidRPr="00520532">
              <w:rPr>
                <w:rFonts w:asciiTheme="majorBidi" w:hAnsiTheme="majorBidi" w:cstheme="majorBidi"/>
              </w:rPr>
              <w:br/>
              <w:t>feeder link (Downlink)</w:t>
            </w: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13.4-13.75 GHz</w:t>
            </w:r>
          </w:p>
          <w:p w:rsidR="00D76EDC" w:rsidRPr="00520532" w:rsidRDefault="00D76EDC" w:rsidP="008E3C29">
            <w:pPr>
              <w:pStyle w:val="Tabletext"/>
              <w:jc w:val="center"/>
              <w:rPr>
                <w:rFonts w:asciiTheme="majorBidi" w:hAnsiTheme="majorBidi" w:cstheme="majorBidi"/>
                <w:strike/>
              </w:rPr>
            </w:pPr>
            <w:r w:rsidRPr="00520532">
              <w:rPr>
                <w:rFonts w:asciiTheme="majorBidi" w:hAnsiTheme="majorBidi" w:cstheme="majorBidi"/>
              </w:rPr>
              <w:t>13.75-14.3 GHz</w:t>
            </w:r>
          </w:p>
        </w:tc>
      </w:tr>
      <w:tr w:rsidR="00D76EDC" w:rsidRPr="00520532" w:rsidTr="00C9091F">
        <w:trPr>
          <w:trHeight w:val="168"/>
          <w:jc w:val="center"/>
        </w:trPr>
        <w:tc>
          <w:tcPr>
            <w:tcW w:w="2373" w:type="dxa"/>
            <w:vMerge/>
            <w:shd w:val="clear" w:color="auto" w:fill="auto"/>
          </w:tcPr>
          <w:p w:rsidR="00D76EDC" w:rsidRPr="00520532" w:rsidRDefault="00D76EDC" w:rsidP="00C9091F">
            <w:pPr>
              <w:pStyle w:val="Tabletext"/>
              <w:jc w:val="left"/>
              <w:rPr>
                <w:rFonts w:asciiTheme="majorBidi" w:hAnsiTheme="majorBidi" w:cstheme="majorBidi"/>
                <w:strike/>
              </w:rPr>
            </w:pPr>
          </w:p>
        </w:tc>
        <w:tc>
          <w:tcPr>
            <w:tcW w:w="3052" w:type="dxa"/>
            <w:vMerge/>
            <w:shd w:val="clear" w:color="auto" w:fill="auto"/>
            <w:vAlign w:val="center"/>
          </w:tcPr>
          <w:p w:rsidR="00D76EDC" w:rsidRPr="00520532" w:rsidRDefault="00D76EDC" w:rsidP="00C9091F">
            <w:pPr>
              <w:pStyle w:val="Tabletext"/>
              <w:jc w:val="left"/>
              <w:rPr>
                <w:rFonts w:asciiTheme="majorBidi" w:hAnsiTheme="majorBidi" w:cstheme="majorBidi"/>
              </w:rPr>
            </w:pPr>
          </w:p>
        </w:tc>
        <w:tc>
          <w:tcPr>
            <w:tcW w:w="1773" w:type="dxa"/>
            <w:vMerge/>
            <w:shd w:val="clear" w:color="auto" w:fill="auto"/>
          </w:tcPr>
          <w:p w:rsidR="00D76EDC" w:rsidRPr="00520532" w:rsidRDefault="00D76EDC" w:rsidP="008E3C29">
            <w:pPr>
              <w:pStyle w:val="Tabletext"/>
              <w:jc w:val="center"/>
              <w:rPr>
                <w:rFonts w:asciiTheme="majorBidi" w:hAnsiTheme="majorBidi" w:cstheme="majorBidi"/>
              </w:rPr>
            </w:pP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10.7-11.7 GHz</w:t>
            </w:r>
          </w:p>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12.5-12.75 GHz</w:t>
            </w:r>
          </w:p>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13.4-13.65 GHz</w:t>
            </w:r>
          </w:p>
        </w:tc>
      </w:tr>
      <w:tr w:rsidR="00D76EDC" w:rsidRPr="00520532" w:rsidTr="00C9091F">
        <w:trPr>
          <w:trHeight w:val="340"/>
          <w:jc w:val="center"/>
        </w:trPr>
        <w:tc>
          <w:tcPr>
            <w:tcW w:w="2373" w:type="dxa"/>
            <w:vMerge/>
            <w:shd w:val="clear" w:color="auto" w:fill="auto"/>
          </w:tcPr>
          <w:p w:rsidR="00D76EDC" w:rsidRPr="00520532" w:rsidRDefault="00D76EDC" w:rsidP="00C9091F">
            <w:pPr>
              <w:pStyle w:val="Tabletext"/>
              <w:jc w:val="left"/>
              <w:rPr>
                <w:rFonts w:asciiTheme="majorBidi" w:hAnsiTheme="majorBidi" w:cstheme="majorBidi"/>
                <w:strike/>
              </w:rPr>
            </w:pPr>
          </w:p>
        </w:tc>
        <w:tc>
          <w:tcPr>
            <w:tcW w:w="3052" w:type="dxa"/>
            <w:vMerge w:val="restart"/>
            <w:shd w:val="clear" w:color="auto" w:fill="auto"/>
            <w:vAlign w:val="center"/>
          </w:tcPr>
          <w:p w:rsidR="00D76EDC" w:rsidRPr="00520532" w:rsidRDefault="00D76EDC" w:rsidP="00C9091F">
            <w:pPr>
              <w:pStyle w:val="Tabletext"/>
              <w:jc w:val="left"/>
              <w:rPr>
                <w:rFonts w:asciiTheme="majorBidi" w:hAnsiTheme="majorBidi" w:cstheme="majorBidi"/>
              </w:rPr>
            </w:pPr>
            <w:r w:rsidRPr="00520532">
              <w:rPr>
                <w:rFonts w:asciiTheme="majorBidi" w:hAnsiTheme="majorBidi" w:cstheme="majorBidi"/>
              </w:rPr>
              <w:t>High data rate requirement</w:t>
            </w:r>
          </w:p>
        </w:tc>
        <w:tc>
          <w:tcPr>
            <w:tcW w:w="1773" w:type="dxa"/>
            <w:vMerge/>
            <w:shd w:val="clear" w:color="auto" w:fill="auto"/>
          </w:tcPr>
          <w:p w:rsidR="00D76EDC" w:rsidRPr="00520532" w:rsidRDefault="00D76EDC" w:rsidP="008E3C29">
            <w:pPr>
              <w:pStyle w:val="Tabletext"/>
              <w:jc w:val="center"/>
              <w:rPr>
                <w:rFonts w:asciiTheme="majorBidi" w:hAnsiTheme="majorBidi" w:cstheme="majorBidi"/>
              </w:rPr>
            </w:pPr>
          </w:p>
        </w:tc>
        <w:tc>
          <w:tcPr>
            <w:tcW w:w="2441" w:type="dxa"/>
            <w:shd w:val="clear" w:color="auto" w:fill="auto"/>
          </w:tcPr>
          <w:p w:rsidR="00D76EDC" w:rsidRPr="00520532" w:rsidRDefault="00D76EDC" w:rsidP="008E3C29">
            <w:pPr>
              <w:pStyle w:val="Tabletext"/>
              <w:jc w:val="center"/>
              <w:rPr>
                <w:rFonts w:asciiTheme="majorBidi" w:hAnsiTheme="majorBidi" w:cstheme="majorBidi"/>
              </w:rPr>
            </w:pPr>
            <w:r w:rsidRPr="00520532">
              <w:rPr>
                <w:rFonts w:asciiTheme="majorBidi" w:hAnsiTheme="majorBidi" w:cstheme="majorBidi"/>
              </w:rPr>
              <w:t>17.7-21.2 GHz</w:t>
            </w:r>
          </w:p>
        </w:tc>
      </w:tr>
      <w:tr w:rsidR="00D76EDC" w:rsidRPr="004A291E" w:rsidTr="00C9091F">
        <w:trPr>
          <w:trHeight w:val="340"/>
          <w:jc w:val="center"/>
        </w:trPr>
        <w:tc>
          <w:tcPr>
            <w:tcW w:w="2373" w:type="dxa"/>
            <w:vMerge/>
            <w:tcBorders>
              <w:bottom w:val="single" w:sz="4" w:space="0" w:color="auto"/>
            </w:tcBorders>
            <w:shd w:val="clear" w:color="auto" w:fill="auto"/>
          </w:tcPr>
          <w:p w:rsidR="00D76EDC" w:rsidRPr="00520532" w:rsidRDefault="00D76EDC" w:rsidP="008E3C29">
            <w:pPr>
              <w:pStyle w:val="Tabletext"/>
              <w:rPr>
                <w:rFonts w:asciiTheme="majorBidi" w:hAnsiTheme="majorBidi" w:cstheme="majorBidi"/>
                <w:strike/>
              </w:rPr>
            </w:pPr>
          </w:p>
        </w:tc>
        <w:tc>
          <w:tcPr>
            <w:tcW w:w="3052" w:type="dxa"/>
            <w:vMerge/>
            <w:tcBorders>
              <w:bottom w:val="single" w:sz="4" w:space="0" w:color="auto"/>
            </w:tcBorders>
            <w:shd w:val="clear" w:color="auto" w:fill="auto"/>
            <w:vAlign w:val="center"/>
          </w:tcPr>
          <w:p w:rsidR="00D76EDC" w:rsidRPr="00520532" w:rsidRDefault="00D76EDC" w:rsidP="008E3C29">
            <w:pPr>
              <w:pStyle w:val="Tabletext"/>
              <w:rPr>
                <w:rFonts w:asciiTheme="majorBidi" w:hAnsiTheme="majorBidi" w:cstheme="majorBidi"/>
              </w:rPr>
            </w:pPr>
          </w:p>
        </w:tc>
        <w:tc>
          <w:tcPr>
            <w:tcW w:w="1773" w:type="dxa"/>
            <w:vMerge/>
            <w:tcBorders>
              <w:bottom w:val="single" w:sz="4" w:space="0" w:color="auto"/>
            </w:tcBorders>
            <w:shd w:val="clear" w:color="auto" w:fill="auto"/>
          </w:tcPr>
          <w:p w:rsidR="00D76EDC" w:rsidRPr="00520532" w:rsidRDefault="00D76EDC" w:rsidP="008E3C29">
            <w:pPr>
              <w:pStyle w:val="Tabletext"/>
              <w:jc w:val="center"/>
              <w:rPr>
                <w:rFonts w:asciiTheme="majorBidi" w:hAnsiTheme="majorBidi" w:cstheme="majorBidi"/>
              </w:rPr>
            </w:pPr>
          </w:p>
        </w:tc>
        <w:tc>
          <w:tcPr>
            <w:tcW w:w="2441" w:type="dxa"/>
            <w:tcBorders>
              <w:bottom w:val="single" w:sz="4" w:space="0" w:color="auto"/>
            </w:tcBorders>
            <w:shd w:val="clear" w:color="auto" w:fill="auto"/>
          </w:tcPr>
          <w:p w:rsidR="00D76EDC" w:rsidRPr="004A291E" w:rsidRDefault="00D76EDC" w:rsidP="008E3C29">
            <w:pPr>
              <w:pStyle w:val="Tabletext"/>
              <w:jc w:val="center"/>
              <w:rPr>
                <w:rFonts w:asciiTheme="majorBidi" w:hAnsiTheme="majorBidi" w:cstheme="majorBidi"/>
              </w:rPr>
            </w:pPr>
            <w:r w:rsidRPr="004A291E">
              <w:rPr>
                <w:rFonts w:asciiTheme="majorBidi" w:hAnsiTheme="majorBidi" w:cstheme="majorBidi"/>
              </w:rPr>
              <w:t xml:space="preserve">25.5-27 GHz </w:t>
            </w:r>
            <w:r>
              <w:rPr>
                <w:rFonts w:asciiTheme="majorBidi" w:hAnsiTheme="majorBidi" w:cstheme="majorBidi"/>
              </w:rPr>
              <w:br/>
            </w:r>
            <w:r w:rsidRPr="004A291E">
              <w:rPr>
                <w:rFonts w:asciiTheme="majorBidi" w:hAnsiTheme="majorBidi" w:cstheme="majorBidi"/>
              </w:rPr>
              <w:t>(see Note 1)</w:t>
            </w:r>
          </w:p>
        </w:tc>
      </w:tr>
      <w:tr w:rsidR="00D76EDC" w:rsidRPr="00D76EDC" w:rsidTr="00C9091F">
        <w:trPr>
          <w:trHeight w:val="340"/>
          <w:jc w:val="center"/>
        </w:trPr>
        <w:tc>
          <w:tcPr>
            <w:tcW w:w="9639" w:type="dxa"/>
            <w:gridSpan w:val="4"/>
            <w:tcBorders>
              <w:left w:val="nil"/>
              <w:bottom w:val="nil"/>
              <w:right w:val="nil"/>
            </w:tcBorders>
            <w:shd w:val="clear" w:color="auto" w:fill="auto"/>
          </w:tcPr>
          <w:p w:rsidR="00D76EDC" w:rsidRPr="00D76EDC" w:rsidRDefault="00C9091F" w:rsidP="00C9091F">
            <w:pPr>
              <w:pStyle w:val="Tabletext"/>
              <w:jc w:val="left"/>
              <w:rPr>
                <w:rFonts w:asciiTheme="majorBidi" w:hAnsiTheme="majorBidi" w:cstheme="majorBidi"/>
                <w:lang w:val="en-GB"/>
              </w:rPr>
            </w:pPr>
            <w:r w:rsidRPr="00C9091F">
              <w:rPr>
                <w:rFonts w:asciiTheme="majorBidi" w:hAnsiTheme="majorBidi" w:cstheme="majorBidi"/>
                <w:lang w:val="en-GB"/>
              </w:rPr>
              <w:t>NOTE</w:t>
            </w:r>
            <w:r w:rsidRPr="00D76EDC">
              <w:rPr>
                <w:lang w:val="en-GB" w:eastAsia="zh-CN"/>
              </w:rPr>
              <w:t xml:space="preserve"> </w:t>
            </w:r>
            <w:r w:rsidR="00D76EDC" w:rsidRPr="00D76EDC">
              <w:rPr>
                <w:lang w:val="en-GB" w:eastAsia="zh-CN"/>
              </w:rPr>
              <w:t>1</w:t>
            </w:r>
            <w:r>
              <w:rPr>
                <w:lang w:val="en-GB" w:eastAsia="zh-CN"/>
              </w:rPr>
              <w:t xml:space="preserve"> –</w:t>
            </w:r>
            <w:r w:rsidR="00D76EDC" w:rsidRPr="00D76EDC">
              <w:rPr>
                <w:lang w:val="en-GB" w:eastAsia="zh-CN"/>
              </w:rPr>
              <w:t xml:space="preserve"> In the frequency band 25.5-27 GHz, the return DRS-to-Earth feeder link carries only signals in the space research and Earth exploration-satellite services.</w:t>
            </w:r>
          </w:p>
        </w:tc>
      </w:tr>
    </w:tbl>
    <w:p w:rsidR="00D76EDC" w:rsidRDefault="00D76EDC" w:rsidP="00C9091F">
      <w:pPr>
        <w:pStyle w:val="Tablefin"/>
        <w:rPr>
          <w:lang w:eastAsia="zh-CN"/>
        </w:rPr>
      </w:pPr>
    </w:p>
    <w:p w:rsidR="00C9091F" w:rsidRPr="00C9091F" w:rsidRDefault="00C9091F" w:rsidP="00C9091F">
      <w:pPr>
        <w:rPr>
          <w:lang w:val="en-GB" w:eastAsia="zh-CN"/>
        </w:rPr>
      </w:pPr>
    </w:p>
    <w:p w:rsidR="00D76EDC" w:rsidRPr="004A291E" w:rsidRDefault="00D76EDC" w:rsidP="00C9091F">
      <w:pPr>
        <w:pStyle w:val="AnnexNoTitle"/>
      </w:pPr>
      <w:r w:rsidRPr="004A291E">
        <w:t>Annex</w:t>
      </w:r>
    </w:p>
    <w:p w:rsidR="00D76EDC" w:rsidRPr="00D76EDC" w:rsidRDefault="00D76EDC" w:rsidP="00D76EDC">
      <w:pPr>
        <w:pStyle w:val="Heading1"/>
        <w:spacing w:before="240"/>
        <w:rPr>
          <w:lang w:val="en-GB"/>
        </w:rPr>
      </w:pPr>
      <w:r w:rsidRPr="00D76EDC">
        <w:rPr>
          <w:lang w:val="en-GB"/>
        </w:rPr>
        <w:t>1</w:t>
      </w:r>
      <w:r w:rsidRPr="00D76EDC">
        <w:rPr>
          <w:lang w:val="en-GB"/>
        </w:rPr>
        <w:tab/>
        <w:t>Introduction</w:t>
      </w:r>
      <w:bookmarkEnd w:id="4"/>
    </w:p>
    <w:p w:rsidR="00D76EDC" w:rsidRPr="00D76EDC" w:rsidRDefault="00D76EDC" w:rsidP="00D76EDC">
      <w:pPr>
        <w:rPr>
          <w:lang w:val="en-GB"/>
        </w:rPr>
      </w:pPr>
      <w:r w:rsidRPr="00D76EDC">
        <w:rPr>
          <w:lang w:val="en-GB"/>
        </w:rPr>
        <w:t>Communication between the ground and low-Earth orbiting spacecraft and launch vehicles used for space research, Earth exploration and other purposes is essential. Such communications may be required to be continuous or near-continuous, or may be required while the spacecraft are passing over specific points on the Earth's surface. Land based earth stations have only a limited visibility and existing stations are only capable of covering a portion of any low-Earth orbit. Moreover, it is not economically or practically feasible to extend networks of land-based stations to provide full or more complete coverage of the low-Earth orbits. In contrast, a data relay satellite (DRS) system including one or more DRS satellites in geostationary orbit has substantially larger visibility of the low-Earth orbits used by these satellites than existing land-based earth stations, and can therefore provide significantly enhanced coverage.</w:t>
      </w:r>
    </w:p>
    <w:p w:rsidR="00D76EDC" w:rsidRPr="00D76EDC" w:rsidRDefault="00D76EDC" w:rsidP="00D76EDC">
      <w:pPr>
        <w:rPr>
          <w:lang w:val="en-GB"/>
        </w:rPr>
      </w:pPr>
      <w:r w:rsidRPr="00D76EDC">
        <w:rPr>
          <w:lang w:val="en-GB"/>
        </w:rPr>
        <w:t>A single DRS satellite in geostationary orbit can provide communications between an earth station and a low-orbiting spacecraft for more than one-half of its orbit. Two such DRSs, suitably located in geostationary orbit, with a wide separation angle, can provide communications between two co</w:t>
      </w:r>
      <w:r w:rsidRPr="00D76EDC">
        <w:rPr>
          <w:lang w:val="en-GB"/>
        </w:rPr>
        <w:noBreakHyphen/>
        <w:t>located earth stations and a low-orbiting spacecraft almost continuously, with the exception only of a zone of exclusion (ZOE), above the part of the Earth opposite to these earth stations. Moreover; two such DRSs, suitably placed in geostationary orbit, can provide fully-continuous coverage between two separate earth stations and a low-orbiting spacecraft. A DRS system can also serve additional earth stations, either both transmitting and receiving or only receiving signals from user spacecraft.</w:t>
      </w:r>
    </w:p>
    <w:p w:rsidR="00D76EDC" w:rsidRPr="00D76EDC" w:rsidRDefault="00D76EDC" w:rsidP="00D76EDC">
      <w:pPr>
        <w:pStyle w:val="Heading1"/>
        <w:spacing w:before="240"/>
        <w:rPr>
          <w:lang w:val="en-GB"/>
        </w:rPr>
      </w:pPr>
      <w:bookmarkStart w:id="5" w:name="_Toc419989877"/>
      <w:bookmarkStart w:id="6" w:name="_Toc419989878"/>
      <w:r w:rsidRPr="00D76EDC">
        <w:rPr>
          <w:lang w:val="en-GB"/>
        </w:rPr>
        <w:t>2</w:t>
      </w:r>
      <w:r w:rsidRPr="00D76EDC">
        <w:rPr>
          <w:lang w:val="en-GB"/>
        </w:rPr>
        <w:tab/>
        <w:t>Description of the data relay satellite network/system</w:t>
      </w:r>
      <w:bookmarkEnd w:id="5"/>
    </w:p>
    <w:p w:rsidR="00D76EDC" w:rsidRPr="00D76EDC" w:rsidRDefault="00D76EDC" w:rsidP="00D76EDC">
      <w:pPr>
        <w:rPr>
          <w:lang w:val="en-GB"/>
        </w:rPr>
      </w:pPr>
      <w:r w:rsidRPr="00D76EDC">
        <w:rPr>
          <w:lang w:val="en-GB"/>
        </w:rPr>
        <w:t xml:space="preserve">A DRS consists of one or more DRS spacecraft in geostationary orbit and one or more DRS earth stations. The system relays information between the earth station(s) and DRS users, which can include low-Earth orbiting spacecraft, launch vehicles, and even ground based or aeronautical platforms. A DRS system must be capable of supporting at least four distinct links: </w:t>
      </w:r>
    </w:p>
    <w:p w:rsidR="00D76EDC" w:rsidRPr="00D76EDC" w:rsidRDefault="00D76EDC" w:rsidP="00D76EDC">
      <w:pPr>
        <w:pStyle w:val="enumlev1"/>
        <w:rPr>
          <w:lang w:val="en-GB"/>
        </w:rPr>
      </w:pPr>
      <w:r w:rsidRPr="00D76EDC">
        <w:rPr>
          <w:lang w:val="en-GB"/>
        </w:rPr>
        <w:t>–</w:t>
      </w:r>
      <w:r w:rsidRPr="00D76EDC">
        <w:rPr>
          <w:lang w:val="en-GB"/>
        </w:rPr>
        <w:tab/>
        <w:t>an Earth-to-space link in the forward direction, from the earth station to the data relay satellite (known as the uplink or the forward feeder link);</w:t>
      </w:r>
    </w:p>
    <w:p w:rsidR="00D76EDC" w:rsidRPr="00D76EDC" w:rsidRDefault="00D76EDC" w:rsidP="00D76EDC">
      <w:pPr>
        <w:pStyle w:val="enumlev1"/>
        <w:rPr>
          <w:lang w:val="en-GB"/>
        </w:rPr>
      </w:pPr>
      <w:r w:rsidRPr="00D76EDC">
        <w:rPr>
          <w:lang w:val="en-GB"/>
        </w:rPr>
        <w:t>–</w:t>
      </w:r>
      <w:r w:rsidRPr="00D76EDC">
        <w:rPr>
          <w:lang w:val="en-GB"/>
        </w:rPr>
        <w:tab/>
        <w:t>a space-to-space link in the forward direction, from the data relay satellite to the low orbit spacecraft (known as the forward inter-orbit link);</w:t>
      </w:r>
    </w:p>
    <w:p w:rsidR="00D76EDC" w:rsidRPr="00D76EDC" w:rsidRDefault="00D76EDC" w:rsidP="00D76EDC">
      <w:pPr>
        <w:pStyle w:val="enumlev1"/>
        <w:rPr>
          <w:lang w:val="en-GB"/>
        </w:rPr>
      </w:pPr>
      <w:r w:rsidRPr="00D76EDC">
        <w:rPr>
          <w:lang w:val="en-GB"/>
        </w:rPr>
        <w:t>–</w:t>
      </w:r>
      <w:r w:rsidRPr="00D76EDC">
        <w:rPr>
          <w:lang w:val="en-GB"/>
        </w:rPr>
        <w:tab/>
        <w:t>a space-to-space link in the return direction, from the low orbit spacecraft to the data relay satellite (known as the return inter-orbit link); and</w:t>
      </w:r>
    </w:p>
    <w:p w:rsidR="00D76EDC" w:rsidRPr="00D76EDC" w:rsidRDefault="00D76EDC" w:rsidP="00D76EDC">
      <w:pPr>
        <w:pStyle w:val="enumlev1"/>
        <w:rPr>
          <w:lang w:val="en-GB"/>
        </w:rPr>
      </w:pPr>
      <w:r w:rsidRPr="00D76EDC">
        <w:rPr>
          <w:lang w:val="en-GB"/>
        </w:rPr>
        <w:t>–</w:t>
      </w:r>
      <w:r w:rsidRPr="00D76EDC">
        <w:rPr>
          <w:lang w:val="en-GB"/>
        </w:rPr>
        <w:tab/>
        <w:t>a space-to-Earth link in the return direction, from the data relay satellite to the earth station (known as the downlink or the return feeder link).</w:t>
      </w:r>
    </w:p>
    <w:p w:rsidR="00D76EDC" w:rsidRPr="00D76EDC" w:rsidRDefault="00D76EDC" w:rsidP="00D76EDC">
      <w:pPr>
        <w:rPr>
          <w:lang w:val="en-GB"/>
        </w:rPr>
      </w:pPr>
      <w:r w:rsidRPr="00D76EDC">
        <w:rPr>
          <w:lang w:val="en-GB"/>
        </w:rPr>
        <w:t>In the forward direction, the input to the DRS system reference architecture corresponds to the baseband data provided at the input of the DRS earth station modulator which modulates the feeder uplink carrier.</w:t>
      </w:r>
    </w:p>
    <w:p w:rsidR="00D76EDC" w:rsidRPr="00D76EDC" w:rsidRDefault="00D76EDC" w:rsidP="00D76EDC">
      <w:pPr>
        <w:rPr>
          <w:lang w:val="en-GB"/>
        </w:rPr>
      </w:pPr>
      <w:r w:rsidRPr="00D76EDC">
        <w:rPr>
          <w:lang w:val="en-GB"/>
        </w:rPr>
        <w:t>This baseband data typically consists of command data and (in the case of manned missions) voice and video information. It is provided to the DRS earth station over an external interface (landline communication, RF terrestrial link, etc.) by the Mission Operations Control Center (MOCC) responsible for the user spacecraft. Note that the MOCC and the external interface to the DRS earth station are not part of the reference architecture.</w:t>
      </w:r>
    </w:p>
    <w:p w:rsidR="00D76EDC" w:rsidRPr="00D76EDC" w:rsidRDefault="00D76EDC" w:rsidP="00D76EDC">
      <w:pPr>
        <w:rPr>
          <w:lang w:val="en-GB"/>
        </w:rPr>
      </w:pPr>
      <w:r w:rsidRPr="00D76EDC">
        <w:rPr>
          <w:lang w:val="en-GB"/>
        </w:rPr>
        <w:t>For the case of a demodulating receiver on board the user spacecraft, the output of the DRS system reference architecture in the forward direction corresponds to the output of the demodulator on board the user satellite. For the case of a repeater on board the user spacecraft, it corresponds to the output of the earth station demodulator receiving the return feeder link signal.</w:t>
      </w:r>
    </w:p>
    <w:p w:rsidR="00D76EDC" w:rsidRPr="00D76EDC" w:rsidRDefault="00D76EDC" w:rsidP="00D76EDC">
      <w:pPr>
        <w:rPr>
          <w:lang w:val="en-GB"/>
        </w:rPr>
      </w:pPr>
      <w:r w:rsidRPr="00D76EDC">
        <w:rPr>
          <w:lang w:val="en-GB"/>
        </w:rPr>
        <w:t>In the return direction, the input to the DRS reference architecture corresponds to the input of the user spacecraft modulator carrying out the translation from the baseband to the radio-frequency carrier. This baseband data typically consists of real-time and/or recorded scientific data, or for manned missions, voice and video information. The output of the reference architecture corresponds to the output of the earth station demodulator carrying out the reverse operation.</w:t>
      </w:r>
    </w:p>
    <w:p w:rsidR="00D76EDC" w:rsidRPr="00520532" w:rsidRDefault="00D76EDC" w:rsidP="00D76EDC">
      <w:pPr>
        <w:pStyle w:val="Heading1"/>
      </w:pPr>
      <w:r w:rsidRPr="00520532">
        <w:t>3</w:t>
      </w:r>
      <w:r w:rsidRPr="00520532">
        <w:tab/>
        <w:t>Frequency bands and transmission directions</w:t>
      </w:r>
      <w:bookmarkEnd w:id="6"/>
    </w:p>
    <w:p w:rsidR="00D76EDC" w:rsidRPr="00D76EDC" w:rsidRDefault="00D76EDC" w:rsidP="00D76EDC">
      <w:pPr>
        <w:rPr>
          <w:lang w:val="en-GB"/>
        </w:rPr>
      </w:pPr>
      <w:r w:rsidRPr="00D76EDC">
        <w:rPr>
          <w:lang w:val="en-GB"/>
        </w:rPr>
        <w:t>Each of the DRS system architecture links defined in § 2 must necessarily transmit in a separate frequency band, with a guard band between the signals transmitted from and those received by the data relay satellite. In determination of the frequency bands for these links, there are many factors to consider. These include the allocation status and bandwidth of available bands, antenna beam width and propagation characteristics. It is noted that the choice of a common frequency band for different data relay satellite networks/systems requires the consideration of interoperability between user spacecraft designed to use one DRS system and data relay satellites of another DRS system.</w:t>
      </w:r>
    </w:p>
    <w:p w:rsidR="00D76EDC" w:rsidRPr="00D76EDC" w:rsidRDefault="00D76EDC" w:rsidP="00D76EDC">
      <w:pPr>
        <w:rPr>
          <w:lang w:val="en-GB"/>
        </w:rPr>
      </w:pPr>
      <w:r w:rsidRPr="00D76EDC">
        <w:rPr>
          <w:lang w:val="en-GB"/>
        </w:rPr>
        <w:t>For the forward and return inter-orbit links, the characteristics of the wide variety of different types of DRS users dictate the use of multiple bands. Some DRS user spacecraft require links of low data rate (up to about 6 Mbit/s) which require modest bandwidths, and can be most economically implemented using low-power transmitters and simple wide-beam antennas without complex pointing mechanisms along with robust receivers. Some other DRS user spacecraft require links from wide-beam or omnidirectional antennas (in particular to support contingency links) in cases where the attitude of the user spacecraft and the direction of the DRS is not accurately known. For these classes of DRS users, the use of inter-orbit link frequencies below 3 GHz is ideal. Other DRS user spacecraft require links of medium to high data rates (from about 6 Mbit/s up to 600 Mbit/s) and therefore require the use of frequency bands for DRS inter-orbit links above 10 GHz.</w:t>
      </w:r>
    </w:p>
    <w:p w:rsidR="00D76EDC" w:rsidRPr="00D76EDC" w:rsidRDefault="00D76EDC" w:rsidP="00D76EDC">
      <w:pPr>
        <w:rPr>
          <w:lang w:val="en-GB"/>
        </w:rPr>
      </w:pPr>
      <w:r w:rsidRPr="00D76EDC">
        <w:rPr>
          <w:lang w:val="en-GB"/>
        </w:rPr>
        <w:t>For the forward and return feeder links, it is noted that DRS systems could use either frequency bands allocated for the fixed satellite service or those allocated for the space research service and that there are a number of bands allocated with sufficient bandwidth to support the data transfer requirements of the inter-orbit links as described above. For nominal DRS satellite operations, these bands are also appropriate for DRS spacecraft command and telemetry. However for the launch, early</w:t>
      </w:r>
      <w:r w:rsidRPr="00D76EDC">
        <w:rPr>
          <w:lang w:val="en-GB"/>
        </w:rPr>
        <w:noBreakHyphen/>
        <w:t>orbit</w:t>
      </w:r>
      <w:r w:rsidRPr="00D76EDC">
        <w:rPr>
          <w:lang w:val="en-GB"/>
        </w:rPr>
        <w:noBreakHyphen/>
        <w:t>phase and emergency operations of DRS satellites, where omnidirectional antennas may be needed, a frequency band below 3 GHz is preferred.</w:t>
      </w:r>
    </w:p>
    <w:p w:rsidR="00D76EDC" w:rsidRPr="00D76EDC" w:rsidRDefault="00D76EDC" w:rsidP="00D76EDC">
      <w:pPr>
        <w:rPr>
          <w:bCs/>
          <w:lang w:val="en-GB"/>
        </w:rPr>
      </w:pPr>
    </w:p>
    <w:p w:rsidR="00D76EDC" w:rsidRPr="00520532" w:rsidRDefault="00D76EDC" w:rsidP="00197332">
      <w:pPr>
        <w:pStyle w:val="Line"/>
      </w:pPr>
    </w:p>
    <w:sectPr w:rsidR="00D76EDC" w:rsidRPr="00520532" w:rsidSect="00877443">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EDC" w:rsidRDefault="00D76EDC">
      <w:r>
        <w:separator/>
      </w:r>
    </w:p>
  </w:endnote>
  <w:endnote w:type="continuationSeparator" w:id="0">
    <w:p w:rsidR="00D76EDC" w:rsidRDefault="00D7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EDC" w:rsidRDefault="00D76EDC">
      <w:r>
        <w:separator/>
      </w:r>
    </w:p>
  </w:footnote>
  <w:footnote w:type="continuationSeparator" w:id="0">
    <w:p w:rsidR="00D76EDC" w:rsidRDefault="00D76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EDC" w:rsidRDefault="00D76ED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EDC" w:rsidRDefault="00D76EDC" w:rsidP="00B033C8">
    <w:pPr>
      <w:pStyle w:val="Header"/>
      <w:ind w:right="360" w:firstLine="360"/>
    </w:pPr>
    <w:r>
      <w:rPr>
        <w:noProof/>
        <w:lang w:val="en-GB" w:eastAsia="en-GB"/>
      </w:rPr>
      <w:drawing>
        <wp:anchor distT="0" distB="0" distL="114300" distR="114300" simplePos="0" relativeHeight="251659264" behindDoc="1" locked="0" layoutInCell="1" allowOverlap="1" wp14:anchorId="4A8A4B14" wp14:editId="366F259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EDC" w:rsidRPr="00C95C69" w:rsidRDefault="00D76EDC">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372FE2">
      <w:rPr>
        <w:rStyle w:val="PageNumber"/>
        <w:b/>
        <w:bCs/>
        <w:noProof/>
        <w:lang w:val="fr-CH"/>
      </w:rPr>
      <w:t>ii</w:t>
    </w:r>
    <w:r>
      <w:rPr>
        <w:rStyle w:val="PageNumber"/>
        <w:b/>
        <w:bCs/>
      </w:rPr>
      <w:fldChar w:fldCharType="end"/>
    </w:r>
    <w:r w:rsidRPr="00C95C69">
      <w:rPr>
        <w:lang w:val="fr-CH"/>
      </w:rPr>
      <w:tab/>
    </w:r>
    <w:r>
      <w:fldChar w:fldCharType="begin"/>
    </w:r>
    <w:r>
      <w:instrText xml:space="preserve"> DOCPROPERTY "Header" \* MERGEFORMAT </w:instrText>
    </w:r>
    <w:r>
      <w:fldChar w:fldCharType="separate"/>
    </w:r>
    <w:r w:rsidR="00372FE2" w:rsidRPr="00372FE2">
      <w:rPr>
        <w:b/>
        <w:bCs/>
        <w:lang w:val="fr-CH"/>
      </w:rPr>
      <w:t xml:space="preserve">Rec. </w:t>
    </w:r>
    <w:r>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372FE2">
      <w:rPr>
        <w:b/>
        <w:bCs/>
        <w:noProof/>
      </w:rPr>
      <w:t>ITU-R  SA.1019-1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EDC" w:rsidRDefault="00D76EDC">
    <w:pPr>
      <w:pStyle w:val="Header"/>
    </w:pPr>
    <w:r>
      <w:tab/>
    </w:r>
    <w:r>
      <w:fldChar w:fldCharType="begin"/>
    </w:r>
    <w:r>
      <w:instrText xml:space="preserve"> DOCPROPERTY "Header" \* MERGEFORMAT </w:instrText>
    </w:r>
    <w:r>
      <w:fldChar w:fldCharType="separate"/>
    </w:r>
    <w:r w:rsidR="00372FE2" w:rsidRPr="00372FE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72FE2">
      <w:rPr>
        <w:b/>
        <w:bCs/>
        <w:noProof/>
      </w:rPr>
      <w:t>ITU-R  SA.1019-1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77443">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2FE2">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72FE2" w:rsidRPr="00372FE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72FE2">
      <w:rPr>
        <w:b/>
        <w:bCs/>
        <w:noProof/>
      </w:rPr>
      <w:t>ITU-R  SA.1019-1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372FE2">
      <w:fldChar w:fldCharType="begin"/>
    </w:r>
    <w:r w:rsidR="00372FE2">
      <w:instrText xml:space="preserve"> DOCPROPERTY "Header" \* MERGEFORMAT </w:instrText>
    </w:r>
    <w:r w:rsidR="00372FE2">
      <w:fldChar w:fldCharType="separate"/>
    </w:r>
    <w:r w:rsidR="00372FE2" w:rsidRPr="00372FE2">
      <w:rPr>
        <w:b/>
        <w:bCs/>
      </w:rPr>
      <w:t xml:space="preserve">Rec. </w:t>
    </w:r>
    <w:r w:rsidR="00372FE2">
      <w:rPr>
        <w:b/>
        <w:bCs/>
      </w:rPr>
      <w:fldChar w:fldCharType="end"/>
    </w:r>
    <w:r>
      <w:rPr>
        <w:b/>
        <w:bCs/>
      </w:rPr>
      <w:t xml:space="preserve"> </w:t>
    </w:r>
    <w:r>
      <w:rPr>
        <w:b/>
        <w:bCs/>
      </w:rPr>
      <w:fldChar w:fldCharType="begin"/>
    </w:r>
    <w:r>
      <w:rPr>
        <w:b/>
        <w:bCs/>
      </w:rPr>
      <w:instrText>styleref href</w:instrText>
    </w:r>
    <w:r>
      <w:rPr>
        <w:b/>
        <w:bCs/>
      </w:rPr>
      <w:fldChar w:fldCharType="separate"/>
    </w:r>
    <w:r w:rsidR="00372FE2">
      <w:rPr>
        <w:b/>
        <w:bCs/>
        <w:noProof/>
      </w:rPr>
      <w:t>ITU-R  SA.1019-1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2FE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DC"/>
    <w:rsid w:val="00083C1F"/>
    <w:rsid w:val="00197332"/>
    <w:rsid w:val="0020666D"/>
    <w:rsid w:val="00217EBF"/>
    <w:rsid w:val="00242AEE"/>
    <w:rsid w:val="002D76C4"/>
    <w:rsid w:val="00372FE2"/>
    <w:rsid w:val="0052529D"/>
    <w:rsid w:val="00607D68"/>
    <w:rsid w:val="007468DA"/>
    <w:rsid w:val="00877443"/>
    <w:rsid w:val="009E00A8"/>
    <w:rsid w:val="00A6617B"/>
    <w:rsid w:val="00AB0DC8"/>
    <w:rsid w:val="00B44E24"/>
    <w:rsid w:val="00C9091F"/>
    <w:rsid w:val="00D76ED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101FE33"/>
  <w15:docId w15:val="{978B7309-49F4-441E-9D37-117DFBB2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E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76EDC"/>
    <w:rPr>
      <w:color w:val="0000FF"/>
      <w:u w:val="single"/>
    </w:rPr>
  </w:style>
  <w:style w:type="paragraph" w:customStyle="1" w:styleId="AnnexNo">
    <w:name w:val="Annex_No"/>
    <w:basedOn w:val="Normal"/>
    <w:next w:val="Normal"/>
    <w:rsid w:val="00D76ED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D76EDC"/>
    <w:pPr>
      <w:tabs>
        <w:tab w:val="clear" w:pos="794"/>
        <w:tab w:val="clear" w:pos="1191"/>
        <w:tab w:val="left" w:pos="1134"/>
      </w:tabs>
      <w:jc w:val="left"/>
    </w:pPr>
    <w:rPr>
      <w:lang w:val="en-GB"/>
    </w:rPr>
  </w:style>
  <w:style w:type="character" w:customStyle="1" w:styleId="NormalaftertitleChar">
    <w:name w:val="Normal_after_title Char"/>
    <w:link w:val="Normalaftertitle"/>
    <w:locked/>
    <w:rsid w:val="00D76EDC"/>
    <w:rPr>
      <w:sz w:val="24"/>
      <w:lang w:val="fr-FR" w:eastAsia="en-US"/>
    </w:rPr>
  </w:style>
  <w:style w:type="character" w:customStyle="1" w:styleId="enumlev1Char">
    <w:name w:val="enumlev1 Char"/>
    <w:link w:val="enumlev1"/>
    <w:locked/>
    <w:rsid w:val="00D76ED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7</Pages>
  <Words>2072</Words>
  <Characters>12063</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BR_Rec_2005.dot</vt:lpstr>
      <vt:lpstr>Policy on Intellectual Property Right (IPR)</vt:lpstr>
      <vt:lpstr>1	Introduction</vt:lpstr>
      <vt:lpstr>2	Description of the data relay satellite network/system</vt:lpstr>
      <vt:lpstr>3	Frequency bands and transmission directions</vt:lpstr>
    </vt:vector>
  </TitlesOfParts>
  <Manager/>
  <Company>ITU</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8</cp:revision>
  <cp:lastPrinted>2017-06-16T05:51:00Z</cp:lastPrinted>
  <dcterms:created xsi:type="dcterms:W3CDTF">2017-06-16T05:46:00Z</dcterms:created>
  <dcterms:modified xsi:type="dcterms:W3CDTF">2017-06-16T05:52:00Z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