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76050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760509">
              <w:rPr>
                <w:rFonts w:ascii="Tahoma" w:hAnsi="Tahoma" w:cs="Tahoma"/>
                <w:b/>
                <w:bCs/>
                <w:iCs/>
                <w:color w:val="243285"/>
                <w:sz w:val="36"/>
                <w:szCs w:val="36"/>
                <w:lang w:val="es-ES_tradnl"/>
              </w:rPr>
              <w:t>465-6</w:t>
            </w:r>
          </w:p>
          <w:p w:rsidR="00B1717A" w:rsidRPr="0010336F" w:rsidRDefault="00B1717A" w:rsidP="0076050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760509">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760509">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B1717A" w:rsidRPr="00BA2881"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760509" w:rsidP="00760509">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Diagrama de radiación de referencia</w:t>
            </w:r>
            <w:r>
              <w:rPr>
                <w:rFonts w:ascii="Tahoma" w:hAnsi="Tahoma" w:cs="Tahoma"/>
                <w:b/>
                <w:bCs/>
                <w:color w:val="243285"/>
                <w:sz w:val="44"/>
                <w:szCs w:val="44"/>
                <w:lang w:val="es-ES_tradnl"/>
              </w:rPr>
              <w:br/>
              <w:t>de estación terrena para utilizar</w:t>
            </w:r>
            <w:r>
              <w:rPr>
                <w:rFonts w:ascii="Tahoma" w:hAnsi="Tahoma" w:cs="Tahoma"/>
                <w:b/>
                <w:bCs/>
                <w:color w:val="243285"/>
                <w:sz w:val="44"/>
                <w:szCs w:val="44"/>
                <w:lang w:val="es-ES_tradnl"/>
              </w:rPr>
              <w:br/>
              <w:t>en la coordinación y evaluación</w:t>
            </w:r>
            <w:r>
              <w:rPr>
                <w:rFonts w:ascii="Tahoma" w:hAnsi="Tahoma" w:cs="Tahoma"/>
                <w:b/>
                <w:bCs/>
                <w:color w:val="243285"/>
                <w:sz w:val="44"/>
                <w:szCs w:val="44"/>
                <w:lang w:val="es-ES_tradnl"/>
              </w:rPr>
              <w:br/>
              <w:t>de las interferencias, en la gama</w:t>
            </w:r>
            <w:r>
              <w:rPr>
                <w:rFonts w:ascii="Tahoma" w:hAnsi="Tahoma" w:cs="Tahoma"/>
                <w:b/>
                <w:bCs/>
                <w:color w:val="243285"/>
                <w:sz w:val="44"/>
                <w:szCs w:val="44"/>
                <w:lang w:val="es-ES_tradnl"/>
              </w:rPr>
              <w:br/>
              <w:t>de frecuencias comprendidas</w:t>
            </w:r>
            <w:r>
              <w:rPr>
                <w:rFonts w:ascii="Tahoma" w:hAnsi="Tahoma" w:cs="Tahoma"/>
                <w:b/>
                <w:bCs/>
                <w:color w:val="243285"/>
                <w:sz w:val="44"/>
                <w:szCs w:val="44"/>
                <w:lang w:val="es-ES_tradnl"/>
              </w:rPr>
              <w:br/>
              <w:t>entre 2 y unos 31 GHz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BA2881"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p>
          <w:p w:rsidR="00B1717A" w:rsidRPr="0010336F" w:rsidRDefault="00D12388"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BA2881"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BA2881"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BA2881"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BA2881"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BA2881" w:rsidTr="00D12388">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D12388" w:rsidTr="00D12388">
        <w:tc>
          <w:tcPr>
            <w:tcW w:w="1140" w:type="dxa"/>
            <w:tcBorders>
              <w:top w:val="nil"/>
              <w:bottom w:val="nil"/>
            </w:tcBorders>
            <w:shd w:val="clear" w:color="auto" w:fill="F3F3F3"/>
          </w:tcPr>
          <w:p w:rsidR="00B1717A" w:rsidRPr="00D12388" w:rsidRDefault="00B1717A" w:rsidP="00D62884">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B1717A" w:rsidRPr="00D12388" w:rsidRDefault="00B1717A" w:rsidP="00D62884">
            <w:pPr>
              <w:spacing w:before="30" w:after="30"/>
              <w:jc w:val="left"/>
              <w:rPr>
                <w:b/>
                <w:bCs/>
                <w:color w:val="000080"/>
                <w:sz w:val="20"/>
                <w:lang w:val="en-US"/>
              </w:rPr>
            </w:pPr>
            <w:r w:rsidRPr="00D12388">
              <w:rPr>
                <w:b/>
                <w:bCs/>
                <w:color w:val="000080"/>
                <w:sz w:val="20"/>
              </w:rPr>
              <w:t>Servicio fijo por satélite</w:t>
            </w:r>
          </w:p>
        </w:tc>
      </w:tr>
      <w:tr w:rsidR="00B1717A" w:rsidRPr="00036EE3" w:rsidTr="00D12388">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BA2881"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BA2881"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1717A" w:rsidRPr="00BA2881"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B3E84">
      <w:pPr>
        <w:spacing w:before="0" w:after="40"/>
        <w:jc w:val="right"/>
        <w:rPr>
          <w:sz w:val="20"/>
          <w:lang w:val="es-ES_tradnl"/>
        </w:rPr>
      </w:pPr>
      <w:r w:rsidRPr="00763D08">
        <w:rPr>
          <w:sz w:val="20"/>
          <w:lang w:val="es-ES_tradnl"/>
        </w:rPr>
        <w:t>Ginebra, 20</w:t>
      </w:r>
      <w:r w:rsidR="00DB3E84">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DB3E8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DB3E84">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1717A" w:rsidRPr="002E54A3" w:rsidRDefault="00760509" w:rsidP="00760509">
      <w:pPr>
        <w:pStyle w:val="RecNo"/>
        <w:spacing w:before="0"/>
        <w:rPr>
          <w:lang w:val="es-ES_tradnl"/>
        </w:rPr>
      </w:pPr>
      <w:bookmarkStart w:id="3" w:name="irecnoe"/>
      <w:bookmarkEnd w:id="3"/>
      <w:r w:rsidRPr="002E54A3">
        <w:rPr>
          <w:lang w:val="es-ES_tradnl"/>
        </w:rPr>
        <w:lastRenderedPageBreak/>
        <w:t xml:space="preserve">RECOMENDACIÓN  </w:t>
      </w:r>
      <w:r w:rsidRPr="002E54A3">
        <w:rPr>
          <w:rStyle w:val="href"/>
          <w:lang w:val="es-ES_tradnl"/>
        </w:rPr>
        <w:t>UIT-R  S.465-6</w:t>
      </w:r>
    </w:p>
    <w:p w:rsidR="00760509" w:rsidRPr="002E54A3" w:rsidRDefault="00760509" w:rsidP="00760509">
      <w:pPr>
        <w:pStyle w:val="Rectitle"/>
        <w:rPr>
          <w:lang w:val="es-ES_tradnl"/>
        </w:rPr>
      </w:pPr>
      <w:bookmarkStart w:id="4" w:name="Pre_title"/>
      <w:r w:rsidRPr="002E54A3">
        <w:rPr>
          <w:lang w:val="es-ES_tradnl"/>
        </w:rPr>
        <w:t>Diagrama de radiación de referencia de estación terrena para utilizar en la coordinación y evaluación de las interferencias, en la gama de frecuencias comprendidas entre 2 y unos 31 GHz</w:t>
      </w:r>
      <w:bookmarkEnd w:id="4"/>
    </w:p>
    <w:p w:rsidR="00134B11" w:rsidRPr="002E54A3" w:rsidRDefault="00134B11" w:rsidP="00760509">
      <w:pPr>
        <w:pStyle w:val="Recdate"/>
        <w:rPr>
          <w:lang w:val="es-ES_tradnl"/>
        </w:rPr>
      </w:pPr>
      <w:bookmarkStart w:id="5" w:name="Related_Questions"/>
      <w:bookmarkStart w:id="6" w:name="Revision_history"/>
      <w:bookmarkEnd w:id="5"/>
    </w:p>
    <w:p w:rsidR="00386074" w:rsidRPr="002E54A3" w:rsidRDefault="00386074" w:rsidP="00760509">
      <w:pPr>
        <w:pStyle w:val="Recdate"/>
        <w:rPr>
          <w:lang w:val="es-ES_tradnl"/>
        </w:rPr>
      </w:pPr>
    </w:p>
    <w:p w:rsidR="00760509" w:rsidRPr="002E54A3" w:rsidRDefault="00760509" w:rsidP="00760509">
      <w:pPr>
        <w:pStyle w:val="Recdate"/>
        <w:rPr>
          <w:lang w:val="es-ES_tradnl"/>
        </w:rPr>
      </w:pPr>
      <w:r w:rsidRPr="002E54A3">
        <w:rPr>
          <w:lang w:val="es-ES_tradnl"/>
        </w:rPr>
        <w:t>(1970-1974-1986-1990-1992-1993-2010)</w:t>
      </w:r>
      <w:bookmarkEnd w:id="6"/>
    </w:p>
    <w:p w:rsidR="00386074" w:rsidRPr="002E54A3" w:rsidRDefault="00386074" w:rsidP="00386074">
      <w:pPr>
        <w:rPr>
          <w:lang w:val="es-ES_tradnl"/>
        </w:rPr>
      </w:pPr>
    </w:p>
    <w:p w:rsidR="00760509" w:rsidRPr="002E54A3" w:rsidRDefault="00134B11" w:rsidP="00134B11">
      <w:pPr>
        <w:pStyle w:val="HeadingSum"/>
      </w:pPr>
      <w:r w:rsidRPr="002E54A3">
        <w:t>Cometido</w:t>
      </w:r>
    </w:p>
    <w:p w:rsidR="00760509" w:rsidRPr="002E54A3" w:rsidRDefault="00760509" w:rsidP="002E54A3">
      <w:pPr>
        <w:pStyle w:val="Summary"/>
      </w:pPr>
      <w:r w:rsidRPr="002E54A3">
        <w:t xml:space="preserve">En la presente Recomendación se facilitan diagramas de radiación de referencia que se suponen </w:t>
      </w:r>
      <w:r w:rsidR="00134B11" w:rsidRPr="002E54A3">
        <w:t>tienen simetr</w:t>
      </w:r>
      <w:r w:rsidR="002E54A3" w:rsidRPr="002E54A3">
        <w:t>í</w:t>
      </w:r>
      <w:r w:rsidR="00134B11" w:rsidRPr="002E54A3">
        <w:t>a de revoluci</w:t>
      </w:r>
      <w:r w:rsidR="002E54A3" w:rsidRPr="002E54A3">
        <w:t>ó</w:t>
      </w:r>
      <w:r w:rsidR="00134B11" w:rsidRPr="002E54A3">
        <w:t>n</w:t>
      </w:r>
      <w:r w:rsidRPr="002E54A3">
        <w:t xml:space="preserve"> alrededor del eje de puntería y que, a falta de información concreta sobre el diagrama de radiación de la antena de estación terrena, deben utilizarse en los estudios de coordinación y evaluación de interferencia entre las estaciones terrenas del servicio fijo por satélite (SFS) y las estaciones de otros servicios que comparten la misma banda de frecuencias, así como en los estudios de coordinación y de evaluación de interferencia entre sistemas del SFS.</w:t>
      </w:r>
    </w:p>
    <w:p w:rsidR="00760509" w:rsidRPr="002E54A3" w:rsidRDefault="00760509" w:rsidP="00760509">
      <w:pPr>
        <w:pStyle w:val="Normalaftertitle"/>
        <w:rPr>
          <w:lang w:val="es-ES_tradnl"/>
        </w:rPr>
      </w:pPr>
      <w:r w:rsidRPr="002E54A3">
        <w:rPr>
          <w:lang w:val="es-ES_tradnl"/>
        </w:rPr>
        <w:t>La Asamblea de Radiocomunicaciones de la UIT,</w:t>
      </w:r>
    </w:p>
    <w:p w:rsidR="00760509" w:rsidRPr="002E54A3" w:rsidRDefault="00760509" w:rsidP="00760509">
      <w:pPr>
        <w:pStyle w:val="Call"/>
        <w:rPr>
          <w:lang w:val="es-ES_tradnl"/>
        </w:rPr>
      </w:pPr>
      <w:r w:rsidRPr="002E54A3">
        <w:rPr>
          <w:lang w:val="es-ES_tradnl"/>
        </w:rPr>
        <w:t>considerando</w:t>
      </w:r>
    </w:p>
    <w:p w:rsidR="00760509" w:rsidRPr="002E54A3" w:rsidRDefault="00760509" w:rsidP="00760509">
      <w:pPr>
        <w:rPr>
          <w:lang w:val="es-ES_tradnl"/>
        </w:rPr>
      </w:pPr>
      <w:r w:rsidRPr="002E54A3">
        <w:rPr>
          <w:lang w:val="es-ES_tradnl"/>
        </w:rPr>
        <w:t>a)</w:t>
      </w:r>
      <w:r w:rsidRPr="002E54A3">
        <w:rPr>
          <w:lang w:val="es-ES_tradnl"/>
        </w:rPr>
        <w:tab/>
        <w:t>que para los estudios de coordinación y para evaluar las interferencias mutuas entre los sistemas de radiocomunicación por satélite y entre las estaciones terrenas de estos sistemas y las estaciones de otros servicios que comparten la misma banda de frecuencias, puede ser necesario utilizar un diagrama de radiación único para la antena de la estación terrena;</w:t>
      </w:r>
    </w:p>
    <w:p w:rsidR="00760509" w:rsidRPr="002E54A3" w:rsidRDefault="00760509" w:rsidP="00760509">
      <w:pPr>
        <w:rPr>
          <w:lang w:val="es-ES_tradnl"/>
        </w:rPr>
      </w:pPr>
      <w:r w:rsidRPr="002E54A3">
        <w:rPr>
          <w:lang w:val="es-ES_tradnl"/>
        </w:rPr>
        <w:t>b)</w:t>
      </w:r>
      <w:r w:rsidRPr="002E54A3">
        <w:rPr>
          <w:lang w:val="es-ES_tradnl"/>
        </w:rPr>
        <w:tab/>
        <w:t>que para determinar la distancia de coordinación y evaluar la interferencia entre estaciones terrenas y estaciones terrenales puede ser conveniente utilizar un diagrama de radiación basado en el nivel rebasado por un pequeño porcentaje de las crestas de los lóbulos laterales;</w:t>
      </w:r>
    </w:p>
    <w:p w:rsidR="00760509" w:rsidRPr="002E54A3" w:rsidRDefault="00760509" w:rsidP="00760509">
      <w:pPr>
        <w:rPr>
          <w:lang w:val="es-ES_tradnl"/>
        </w:rPr>
      </w:pPr>
      <w:r w:rsidRPr="002E54A3">
        <w:rPr>
          <w:lang w:val="es-ES_tradnl"/>
        </w:rPr>
        <w:t>c)</w:t>
      </w:r>
      <w:r w:rsidRPr="002E54A3">
        <w:rPr>
          <w:lang w:val="es-ES_tradnl"/>
        </w:rPr>
        <w:tab/>
        <w:t>que para efectuar los estudios de coordinación y para evaluar la interferencia entre estaciones terrenas y estaciones espaciales, puede ser conveniente utilizar un diagrama de radiación para la región próxima al haz principal, basado en la envolvente de las crestas de potencia de los lóbulos laterales en esa región;</w:t>
      </w:r>
    </w:p>
    <w:p w:rsidR="00760509" w:rsidRPr="002E54A3" w:rsidRDefault="00760509" w:rsidP="00760509">
      <w:pPr>
        <w:rPr>
          <w:lang w:val="es-ES_tradnl"/>
        </w:rPr>
      </w:pPr>
      <w:r w:rsidRPr="002E54A3">
        <w:rPr>
          <w:lang w:val="es-ES_tradnl"/>
        </w:rPr>
        <w:t>d)</w:t>
      </w:r>
      <w:r w:rsidRPr="002E54A3">
        <w:rPr>
          <w:lang w:val="es-ES_tradnl"/>
        </w:rPr>
        <w:tab/>
        <w:t>que para los ángulos relativos al eje del haz principal en los que los efectos peculiares del sistema de alimentación usado no contribuyen apreciablemente a la potencia en los lóbulos laterales, los diagramas de radiación de numerosas antenas de estaciones terrenas existentes presentan sólo pequeñas diferencias con relación a un diagrama simple generalizado, por lo menos dentro de la gama de frecuencias comprendidas entre 2 y 31 GHz;</w:t>
      </w:r>
    </w:p>
    <w:p w:rsidR="00760509" w:rsidRPr="002E54A3" w:rsidRDefault="00760509" w:rsidP="00760509">
      <w:pPr>
        <w:rPr>
          <w:lang w:val="es-ES_tradnl"/>
        </w:rPr>
      </w:pPr>
      <w:r w:rsidRPr="002E54A3">
        <w:rPr>
          <w:lang w:val="es-ES_tradnl"/>
        </w:rPr>
        <w:t>e)</w:t>
      </w:r>
      <w:r w:rsidRPr="002E54A3">
        <w:rPr>
          <w:lang w:val="es-ES_tradnl"/>
        </w:rPr>
        <w:tab/>
        <w:t>que para los sistemas de tipo Cassegrain y ángulos relativos al eje del haz principal en los que el aumento de potencia en los lóbulos laterales se debe principalmente al desbordamiento, los diagramas de radiación de cierto número de antenas existentes presentan también una concordancia bastante buena;</w:t>
      </w:r>
    </w:p>
    <w:p w:rsidR="00760509" w:rsidRPr="002E54A3" w:rsidRDefault="00760509" w:rsidP="00760509">
      <w:pPr>
        <w:rPr>
          <w:lang w:val="es-ES_tradnl"/>
        </w:rPr>
      </w:pPr>
      <w:r w:rsidRPr="002E54A3">
        <w:rPr>
          <w:lang w:val="es-ES_tradnl"/>
        </w:rPr>
        <w:t>f)</w:t>
      </w:r>
      <w:r w:rsidRPr="002E54A3">
        <w:rPr>
          <w:lang w:val="es-ES_tradnl"/>
        </w:rPr>
        <w:tab/>
        <w:t>que para los ángulos grandes, hay que tener en cuenta la posibilidad de reflexiones locales en el suelo;</w:t>
      </w:r>
    </w:p>
    <w:p w:rsidR="00760509" w:rsidRPr="002E54A3" w:rsidRDefault="00760509" w:rsidP="00760509">
      <w:pPr>
        <w:rPr>
          <w:lang w:val="es-ES_tradnl"/>
        </w:rPr>
      </w:pPr>
      <w:r w:rsidRPr="002E54A3">
        <w:rPr>
          <w:lang w:val="es-ES_tradnl"/>
        </w:rPr>
        <w:t>g)</w:t>
      </w:r>
      <w:r w:rsidRPr="002E54A3">
        <w:rPr>
          <w:lang w:val="es-ES_tradnl"/>
        </w:rPr>
        <w:tab/>
        <w:t>que las antenas con diagrama de radiación óptimo asegurarán la máxima eficacia en la utilización del espectro radioeléctrico y de la órbita de los satélites geoestacionarios,</w:t>
      </w:r>
    </w:p>
    <w:p w:rsidR="00760509" w:rsidRPr="002E54A3" w:rsidRDefault="00760509" w:rsidP="00760509">
      <w:pPr>
        <w:pStyle w:val="Call"/>
        <w:rPr>
          <w:lang w:val="es-ES_tradnl"/>
        </w:rPr>
      </w:pPr>
      <w:r w:rsidRPr="002E54A3">
        <w:rPr>
          <w:lang w:val="es-ES_tradnl"/>
        </w:rPr>
        <w:lastRenderedPageBreak/>
        <w:t>recomienda</w:t>
      </w:r>
    </w:p>
    <w:p w:rsidR="00760509" w:rsidRPr="002E54A3" w:rsidRDefault="00760509" w:rsidP="00760509">
      <w:pPr>
        <w:rPr>
          <w:lang w:val="es-ES_tradnl"/>
        </w:rPr>
      </w:pPr>
      <w:r w:rsidRPr="002E54A3">
        <w:rPr>
          <w:b/>
          <w:lang w:val="es-ES_tradnl"/>
        </w:rPr>
        <w:t>1</w:t>
      </w:r>
      <w:r w:rsidRPr="002E54A3">
        <w:rPr>
          <w:lang w:val="es-ES_tradnl"/>
        </w:rPr>
        <w:tab/>
        <w:t>que en ausencia de datos precisos sobre el diagrama de radiación de las antenas de estaciones terrenas, se utilice un solo diagrama de radiación de referencia:</w:t>
      </w:r>
    </w:p>
    <w:p w:rsidR="00760509" w:rsidRPr="002E54A3" w:rsidRDefault="00760509" w:rsidP="00760509">
      <w:pPr>
        <w:rPr>
          <w:lang w:val="es-ES_tradnl"/>
        </w:rPr>
      </w:pPr>
      <w:r w:rsidRPr="002E54A3">
        <w:rPr>
          <w:b/>
          <w:iCs/>
          <w:lang w:val="es-ES_tradnl"/>
        </w:rPr>
        <w:t>1.1</w:t>
      </w:r>
      <w:r w:rsidRPr="002E54A3">
        <w:rPr>
          <w:lang w:val="es-ES_tradnl"/>
        </w:rPr>
        <w:tab/>
        <w:t>para efectuar los estudios de coordinación y la evaluación de la interferencia entre las estaciones terrenas del SFS y las estaciones de otros servicios que compartan la misma banda de frecuencia;</w:t>
      </w:r>
    </w:p>
    <w:p w:rsidR="00760509" w:rsidRPr="002E54A3" w:rsidRDefault="00760509" w:rsidP="00760509">
      <w:pPr>
        <w:rPr>
          <w:lang w:val="es-ES_tradnl"/>
        </w:rPr>
      </w:pPr>
      <w:r w:rsidRPr="002E54A3">
        <w:rPr>
          <w:b/>
          <w:iCs/>
          <w:lang w:val="es-ES_tradnl"/>
        </w:rPr>
        <w:t>1.2</w:t>
      </w:r>
      <w:r w:rsidRPr="002E54A3">
        <w:rPr>
          <w:lang w:val="es-ES_tradnl"/>
        </w:rPr>
        <w:tab/>
        <w:t>para efectuar los estudios de coordinación y la evaluación de la interferencia entre sistemas del SFS;</w:t>
      </w:r>
    </w:p>
    <w:p w:rsidR="00760509" w:rsidRPr="002E54A3" w:rsidRDefault="00760509" w:rsidP="00760509">
      <w:pPr>
        <w:rPr>
          <w:lang w:val="es-ES_tradnl"/>
        </w:rPr>
      </w:pPr>
      <w:r w:rsidRPr="002E54A3">
        <w:rPr>
          <w:b/>
          <w:lang w:val="es-ES_tradnl"/>
        </w:rPr>
        <w:t>2</w:t>
      </w:r>
      <w:r w:rsidRPr="002E54A3">
        <w:rPr>
          <w:lang w:val="es-ES_tradnl"/>
        </w:rPr>
        <w:tab/>
        <w:t>que, a reserva de lo estipulado en las Notas 4 y 5, se adopten los siguientes diagramas de radiación de referencia para los ángulos comprendidos entre la dirección considerada y el eje del haz principal, por lo menos para las frecuencias de la gama de 2-31 GHz:</w:t>
      </w:r>
    </w:p>
    <w:p w:rsidR="00760509" w:rsidRPr="002E54A3" w:rsidRDefault="00760509" w:rsidP="00134B11">
      <w:pPr>
        <w:pStyle w:val="Equationlegend"/>
        <w:rPr>
          <w:lang w:val="es-ES_tradnl"/>
        </w:rPr>
      </w:pPr>
      <w:r w:rsidRPr="002E54A3">
        <w:rPr>
          <w:lang w:val="es-ES_tradnl"/>
        </w:rPr>
        <w:tab/>
      </w:r>
      <w:r w:rsidRPr="002E54A3">
        <w:rPr>
          <w:lang w:val="es-ES_tradnl"/>
        </w:rPr>
        <w:tab/>
      </w:r>
      <w:r w:rsidRPr="002E54A3">
        <w:rPr>
          <w:i/>
          <w:iCs/>
          <w:lang w:val="es-ES_tradnl"/>
        </w:rPr>
        <w:t>G</w:t>
      </w:r>
      <w:r w:rsidRPr="002E54A3">
        <w:rPr>
          <w:lang w:val="es-ES_tradnl"/>
        </w:rPr>
        <w:t xml:space="preserve">  </w:t>
      </w:r>
      <w:r w:rsidRPr="002E54A3">
        <w:rPr>
          <w:rFonts w:ascii="Symbol" w:hAnsi="Symbol"/>
          <w:lang w:val="es-ES_tradnl"/>
        </w:rPr>
        <w:t></w:t>
      </w:r>
      <w:r w:rsidRPr="002E54A3">
        <w:rPr>
          <w:lang w:val="es-ES_tradnl"/>
        </w:rPr>
        <w:t xml:space="preserve">  32  –  25 log </w:t>
      </w:r>
      <w:r w:rsidR="00134B11" w:rsidRPr="002E54A3">
        <w:rPr>
          <w:lang w:val="es-ES_tradnl"/>
        </w:rPr>
        <w:sym w:font="Symbol" w:char="F06A"/>
      </w:r>
      <w:r w:rsidRPr="002E54A3">
        <w:rPr>
          <w:lang w:val="es-ES_tradnl"/>
        </w:rPr>
        <w:tab/>
      </w:r>
      <w:r w:rsidRPr="002E54A3">
        <w:rPr>
          <w:lang w:val="es-ES_tradnl"/>
        </w:rPr>
        <w:tab/>
        <w:t>dBi</w:t>
      </w:r>
      <w:r w:rsidRPr="002E54A3">
        <w:rPr>
          <w:lang w:val="es-ES_tradnl"/>
        </w:rPr>
        <w:tab/>
      </w:r>
      <w:r w:rsidRPr="002E54A3">
        <w:rPr>
          <w:lang w:val="es-ES_tradnl"/>
        </w:rPr>
        <w:tab/>
        <w:t xml:space="preserve">para  </w:t>
      </w:r>
      <w:r w:rsidR="00134B11" w:rsidRPr="002E54A3">
        <w:rPr>
          <w:lang w:val="es-ES_tradnl"/>
        </w:rPr>
        <w:sym w:font="Symbol" w:char="F06A"/>
      </w:r>
      <w:r w:rsidR="00134B11" w:rsidRPr="002E54A3">
        <w:rPr>
          <w:i/>
          <w:iCs/>
          <w:vertAlign w:val="subscript"/>
          <w:lang w:val="es-ES_tradnl"/>
        </w:rPr>
        <w:t>mín</w:t>
      </w:r>
      <w:r w:rsidRPr="002E54A3">
        <w:rPr>
          <w:lang w:val="es-ES_tradnl"/>
        </w:rPr>
        <w:t xml:space="preserve"> </w:t>
      </w:r>
      <w:r w:rsidR="002E54A3" w:rsidRPr="002E54A3">
        <w:rPr>
          <w:lang w:val="es-ES_tradnl"/>
        </w:rPr>
        <w:t xml:space="preserve"> </w:t>
      </w:r>
      <w:r w:rsidRPr="002E54A3">
        <w:rPr>
          <w:lang w:val="es-ES_tradnl"/>
        </w:rPr>
        <w:t xml:space="preserve"> </w:t>
      </w:r>
      <w:r w:rsidR="00134B11" w:rsidRPr="002E54A3">
        <w:rPr>
          <w:lang w:val="es-ES_tradnl"/>
        </w:rPr>
        <w:sym w:font="Symbol" w:char="F0A3"/>
      </w:r>
      <w:r w:rsidRPr="002E54A3">
        <w:rPr>
          <w:lang w:val="es-ES_tradnl"/>
        </w:rPr>
        <w:t xml:space="preserve">  </w:t>
      </w:r>
      <w:r w:rsidR="00134B11" w:rsidRPr="002E54A3">
        <w:rPr>
          <w:lang w:val="es-ES_tradnl"/>
        </w:rPr>
        <w:sym w:font="Symbol" w:char="F06A"/>
      </w:r>
      <w:r w:rsidRPr="002E54A3">
        <w:rPr>
          <w:lang w:val="es-ES_tradnl"/>
        </w:rPr>
        <w:t xml:space="preserve">  </w:t>
      </w:r>
      <w:r w:rsidR="00134B11" w:rsidRPr="002E54A3">
        <w:rPr>
          <w:lang w:val="es-ES_tradnl"/>
        </w:rPr>
        <w:t>&lt;</w:t>
      </w:r>
      <w:r w:rsidRPr="002E54A3">
        <w:rPr>
          <w:lang w:val="es-ES_tradnl"/>
        </w:rPr>
        <w:t xml:space="preserve">    48°</w:t>
      </w:r>
    </w:p>
    <w:p w:rsidR="00760509" w:rsidRPr="002E54A3" w:rsidRDefault="00760509" w:rsidP="00134B11">
      <w:pPr>
        <w:pStyle w:val="Equationlegend"/>
        <w:tabs>
          <w:tab w:val="left" w:pos="2268"/>
        </w:tabs>
        <w:rPr>
          <w:lang w:val="es-ES_tradnl"/>
        </w:rPr>
      </w:pPr>
      <w:r w:rsidRPr="002E54A3">
        <w:rPr>
          <w:lang w:val="es-ES_tradnl"/>
        </w:rPr>
        <w:tab/>
      </w:r>
      <w:r w:rsidRPr="002E54A3">
        <w:rPr>
          <w:lang w:val="es-ES_tradnl"/>
        </w:rPr>
        <w:tab/>
        <w:t xml:space="preserve">    </w:t>
      </w:r>
      <w:r w:rsidRPr="002E54A3">
        <w:rPr>
          <w:rFonts w:ascii="Tms Rmn" w:hAnsi="Tms Rmn"/>
          <w:sz w:val="16"/>
          <w:lang w:val="es-ES_tradnl"/>
        </w:rPr>
        <w:t> </w:t>
      </w:r>
      <w:r w:rsidRPr="002E54A3">
        <w:rPr>
          <w:rFonts w:ascii="Symbol" w:hAnsi="Symbol"/>
          <w:lang w:val="es-ES_tradnl"/>
        </w:rPr>
        <w:t></w:t>
      </w:r>
      <w:r w:rsidRPr="002E54A3">
        <w:rPr>
          <w:lang w:val="es-ES_tradnl"/>
        </w:rPr>
        <w:t xml:space="preserve">  –10</w:t>
      </w:r>
      <w:r w:rsidRPr="002E54A3">
        <w:rPr>
          <w:lang w:val="es-ES_tradnl"/>
        </w:rPr>
        <w:tab/>
      </w:r>
      <w:r w:rsidRPr="002E54A3">
        <w:rPr>
          <w:lang w:val="es-ES_tradnl"/>
        </w:rPr>
        <w:tab/>
      </w:r>
      <w:r w:rsidRPr="002E54A3">
        <w:rPr>
          <w:lang w:val="es-ES_tradnl"/>
        </w:rPr>
        <w:tab/>
      </w:r>
      <w:r w:rsidRPr="002E54A3">
        <w:rPr>
          <w:lang w:val="es-ES_tradnl"/>
        </w:rPr>
        <w:tab/>
        <w:t>dBi</w:t>
      </w:r>
      <w:r w:rsidRPr="002E54A3">
        <w:rPr>
          <w:lang w:val="es-ES_tradnl"/>
        </w:rPr>
        <w:tab/>
      </w:r>
      <w:r w:rsidRPr="002E54A3">
        <w:rPr>
          <w:lang w:val="es-ES_tradnl"/>
        </w:rPr>
        <w:tab/>
        <w:t xml:space="preserve">para    48°  </w:t>
      </w:r>
      <w:r w:rsidR="00134B11" w:rsidRPr="002E54A3">
        <w:rPr>
          <w:lang w:val="es-ES_tradnl"/>
        </w:rPr>
        <w:sym w:font="Symbol" w:char="F0A3"/>
      </w:r>
      <w:r w:rsidRPr="002E54A3">
        <w:rPr>
          <w:lang w:val="es-ES_tradnl"/>
        </w:rPr>
        <w:t xml:space="preserve">  </w:t>
      </w:r>
      <w:r w:rsidR="00134B11" w:rsidRPr="002E54A3">
        <w:rPr>
          <w:lang w:val="es-ES_tradnl"/>
        </w:rPr>
        <w:sym w:font="Symbol" w:char="F06A"/>
      </w:r>
      <w:r w:rsidRPr="002E54A3">
        <w:rPr>
          <w:lang w:val="es-ES_tradnl"/>
        </w:rPr>
        <w:t xml:space="preserve">  </w:t>
      </w:r>
      <w:r w:rsidR="00134B11" w:rsidRPr="002E54A3">
        <w:rPr>
          <w:lang w:val="es-ES_tradnl"/>
        </w:rPr>
        <w:sym w:font="Symbol" w:char="F0A3"/>
      </w:r>
      <w:r w:rsidRPr="002E54A3">
        <w:rPr>
          <w:lang w:val="es-ES_tradnl"/>
        </w:rPr>
        <w:t xml:space="preserve">  180°</w:t>
      </w:r>
    </w:p>
    <w:p w:rsidR="00760509" w:rsidRPr="002E54A3" w:rsidRDefault="00760509" w:rsidP="00760509">
      <w:pPr>
        <w:rPr>
          <w:lang w:val="es-ES_tradnl"/>
        </w:rPr>
      </w:pPr>
      <w:r w:rsidRPr="002E54A3">
        <w:rPr>
          <w:lang w:val="es-ES_tradnl"/>
        </w:rPr>
        <w:t xml:space="preserve">siendo </w:t>
      </w:r>
    </w:p>
    <w:p w:rsidR="00760509" w:rsidRPr="002E54A3" w:rsidRDefault="00760509" w:rsidP="00134B11">
      <w:pPr>
        <w:rPr>
          <w:lang w:val="es-ES_tradnl"/>
        </w:rPr>
      </w:pPr>
      <w:r w:rsidRPr="002E54A3">
        <w:rPr>
          <w:lang w:val="es-ES_tradnl"/>
        </w:rPr>
        <w:tab/>
      </w:r>
      <w:r w:rsidR="00134B11" w:rsidRPr="002E54A3">
        <w:rPr>
          <w:lang w:val="es-ES_tradnl"/>
        </w:rPr>
        <w:sym w:font="Symbol" w:char="F06A"/>
      </w:r>
      <w:r w:rsidR="00134B11" w:rsidRPr="002E54A3">
        <w:rPr>
          <w:i/>
          <w:iCs/>
          <w:vertAlign w:val="subscript"/>
          <w:lang w:val="es-ES_tradnl"/>
        </w:rPr>
        <w:t>mín</w:t>
      </w:r>
      <w:r w:rsidRPr="002E54A3">
        <w:rPr>
          <w:lang w:val="es-ES_tradnl"/>
        </w:rPr>
        <w:t xml:space="preserve">  </w:t>
      </w:r>
      <w:r w:rsidR="00134B11" w:rsidRPr="002E54A3">
        <w:rPr>
          <w:lang w:val="es-ES_tradnl"/>
        </w:rPr>
        <w:sym w:font="Symbol" w:char="F03D"/>
      </w:r>
      <w:r w:rsidRPr="002E54A3">
        <w:rPr>
          <w:lang w:val="es-ES_tradnl"/>
        </w:rPr>
        <w:t xml:space="preserve">  1° o 100 </w:t>
      </w:r>
      <w:r w:rsidRPr="002E54A3">
        <w:rPr>
          <w:lang w:val="es-ES_tradnl"/>
        </w:rPr>
        <w:sym w:font="Symbol" w:char="F06C"/>
      </w:r>
      <w:r w:rsidRPr="002E54A3">
        <w:rPr>
          <w:lang w:val="es-ES_tradnl"/>
        </w:rPr>
        <w:t>/</w:t>
      </w:r>
      <w:r w:rsidRPr="002E54A3">
        <w:rPr>
          <w:i/>
          <w:lang w:val="es-ES_tradnl"/>
        </w:rPr>
        <w:t>D</w:t>
      </w:r>
      <w:r w:rsidRPr="002E54A3">
        <w:rPr>
          <w:lang w:val="es-ES_tradnl"/>
        </w:rPr>
        <w:t xml:space="preserve"> grados, el mayor de los dos, para </w:t>
      </w:r>
      <w:r w:rsidRPr="002E54A3">
        <w:rPr>
          <w:i/>
          <w:lang w:val="es-ES_tradnl"/>
        </w:rPr>
        <w:t>D</w:t>
      </w:r>
      <w:r w:rsidRPr="002E54A3">
        <w:rPr>
          <w:iCs/>
          <w:lang w:val="es-ES_tradnl"/>
        </w:rPr>
        <w:t>/</w:t>
      </w:r>
      <w:r w:rsidRPr="002E54A3">
        <w:rPr>
          <w:lang w:val="es-ES_tradnl"/>
        </w:rPr>
        <w:sym w:font="Symbol" w:char="F06C"/>
      </w:r>
      <w:r w:rsidRPr="002E54A3">
        <w:rPr>
          <w:i/>
          <w:lang w:val="es-ES_tradnl"/>
        </w:rPr>
        <w:t xml:space="preserve"> </w:t>
      </w:r>
      <w:r w:rsidRPr="002E54A3">
        <w:rPr>
          <w:lang w:val="es-ES_tradnl"/>
        </w:rPr>
        <w:t>≥ 50.</w:t>
      </w:r>
    </w:p>
    <w:p w:rsidR="00760509" w:rsidRDefault="00760509" w:rsidP="00134B11">
      <w:pPr>
        <w:rPr>
          <w:lang w:val="es-ES_tradnl"/>
        </w:rPr>
      </w:pPr>
      <w:r w:rsidRPr="002E54A3">
        <w:rPr>
          <w:lang w:val="es-ES_tradnl"/>
        </w:rPr>
        <w:tab/>
      </w:r>
      <w:r w:rsidR="00134B11" w:rsidRPr="002E54A3">
        <w:rPr>
          <w:lang w:val="es-ES_tradnl"/>
        </w:rPr>
        <w:sym w:font="Symbol" w:char="F06A"/>
      </w:r>
      <w:r w:rsidR="00134B11" w:rsidRPr="002E54A3">
        <w:rPr>
          <w:i/>
          <w:iCs/>
          <w:vertAlign w:val="subscript"/>
          <w:lang w:val="es-ES_tradnl"/>
        </w:rPr>
        <w:t>mín</w:t>
      </w:r>
      <w:r w:rsidR="00134B11" w:rsidRPr="002E54A3">
        <w:rPr>
          <w:lang w:val="es-ES_tradnl"/>
        </w:rPr>
        <w:t xml:space="preserve">  </w:t>
      </w:r>
      <w:r w:rsidR="00134B11" w:rsidRPr="002E54A3">
        <w:rPr>
          <w:lang w:val="es-ES_tradnl"/>
        </w:rPr>
        <w:sym w:font="Symbol" w:char="F03D"/>
      </w:r>
      <w:r w:rsidRPr="002E54A3">
        <w:rPr>
          <w:lang w:val="es-ES_tradnl"/>
        </w:rPr>
        <w:t xml:space="preserve">  2° o 114 (D/</w:t>
      </w:r>
      <w:r w:rsidRPr="002E54A3">
        <w:rPr>
          <w:lang w:val="es-ES_tradnl"/>
        </w:rPr>
        <w:sym w:font="Symbol" w:char="F06C"/>
      </w:r>
      <w:r w:rsidRPr="002E54A3">
        <w:rPr>
          <w:lang w:val="es-ES_tradnl"/>
        </w:rPr>
        <w:t>)</w:t>
      </w:r>
      <w:r w:rsidRPr="002E54A3">
        <w:rPr>
          <w:vertAlign w:val="superscript"/>
          <w:lang w:val="es-ES_tradnl"/>
        </w:rPr>
        <w:t>–1.09</w:t>
      </w:r>
      <w:r w:rsidRPr="002E54A3">
        <w:rPr>
          <w:lang w:val="es-ES_tradnl"/>
        </w:rPr>
        <w:t xml:space="preserve"> grados, el mayor de los dos, para </w:t>
      </w:r>
      <w:r w:rsidRPr="002E54A3">
        <w:rPr>
          <w:i/>
          <w:lang w:val="es-ES_tradnl"/>
        </w:rPr>
        <w:t>D/</w:t>
      </w:r>
      <w:r w:rsidRPr="002E54A3">
        <w:rPr>
          <w:lang w:val="es-ES_tradnl"/>
        </w:rPr>
        <w:sym w:font="Symbol" w:char="F06C"/>
      </w:r>
      <w:r w:rsidRPr="002E54A3">
        <w:rPr>
          <w:i/>
          <w:lang w:val="es-ES_tradnl"/>
        </w:rPr>
        <w:t xml:space="preserve"> </w:t>
      </w:r>
      <w:r w:rsidRPr="002E54A3">
        <w:rPr>
          <w:lang w:val="es-ES_tradnl"/>
        </w:rPr>
        <w:t>&lt; 50.</w:t>
      </w:r>
    </w:p>
    <w:p w:rsidR="00BA2881" w:rsidRDefault="00BA2881" w:rsidP="00BA2881">
      <w:pPr>
        <w:pStyle w:val="Blanc"/>
      </w:pPr>
    </w:p>
    <w:p w:rsidR="00BA2881" w:rsidRPr="00BA2881" w:rsidRDefault="00BA2881" w:rsidP="00BA2881">
      <w:pPr>
        <w:rPr>
          <w:b/>
          <w:bCs/>
          <w:lang w:val="es-ES_tradnl"/>
        </w:rPr>
      </w:pPr>
      <w:r w:rsidRPr="00BA2881">
        <w:rPr>
          <w:b/>
          <w:bCs/>
          <w:lang w:val="es-ES_tradnl"/>
        </w:rPr>
        <w:t>3</w:t>
      </w:r>
      <w:r w:rsidRPr="00BA2881">
        <w:rPr>
          <w:b/>
          <w:bCs/>
          <w:lang w:val="es-ES_tradnl"/>
        </w:rPr>
        <w:tab/>
      </w:r>
      <w:r w:rsidRPr="00BA2881">
        <w:rPr>
          <w:lang w:val="es-ES_tradnl"/>
        </w:rPr>
        <w:t xml:space="preserve">que las siguientes </w:t>
      </w:r>
      <w:r w:rsidR="00D13A97" w:rsidRPr="00BA2881">
        <w:rPr>
          <w:lang w:val="es-ES_tradnl"/>
        </w:rPr>
        <w:t xml:space="preserve">Notas </w:t>
      </w:r>
      <w:r w:rsidRPr="00BA2881">
        <w:rPr>
          <w:lang w:val="es-ES_tradnl"/>
        </w:rPr>
        <w:t>se consideren parte integrante de la presente Recomendación:</w:t>
      </w:r>
    </w:p>
    <w:p w:rsidR="00760509" w:rsidRPr="002E54A3" w:rsidRDefault="00760509" w:rsidP="00BA2881">
      <w:pPr>
        <w:rPr>
          <w:lang w:val="es-ES_tradnl"/>
        </w:rPr>
      </w:pPr>
      <w:r w:rsidRPr="002E54A3">
        <w:rPr>
          <w:iCs/>
          <w:lang w:val="es-ES_tradnl"/>
        </w:rPr>
        <w:t>NOTA 1 – </w:t>
      </w:r>
      <w:r w:rsidRPr="002E54A3">
        <w:rPr>
          <w:lang w:val="es-ES_tradnl"/>
        </w:rPr>
        <w:t>Se supone que el diagrama de radiación de referencia tiene simetría de revolución</w:t>
      </w:r>
      <w:r w:rsidR="00386074" w:rsidRPr="002E54A3">
        <w:rPr>
          <w:lang w:val="es-ES_tradnl"/>
        </w:rPr>
        <w:t xml:space="preserve"> alrededor del eje de puntería</w:t>
      </w:r>
      <w:r w:rsidRPr="002E54A3">
        <w:rPr>
          <w:lang w:val="es-ES_tradnl"/>
        </w:rPr>
        <w:t>.</w:t>
      </w:r>
    </w:p>
    <w:p w:rsidR="00760509" w:rsidRPr="002E54A3" w:rsidRDefault="00760509" w:rsidP="00760509">
      <w:pPr>
        <w:spacing w:line="270" w:lineRule="exact"/>
        <w:rPr>
          <w:lang w:val="es-ES_tradnl"/>
        </w:rPr>
      </w:pPr>
      <w:r w:rsidRPr="002E54A3">
        <w:rPr>
          <w:iCs/>
          <w:lang w:val="es-ES_tradnl"/>
        </w:rPr>
        <w:t>NOTA 2 – </w:t>
      </w:r>
      <w:r w:rsidRPr="002E54A3">
        <w:rPr>
          <w:lang w:val="es-ES_tradnl"/>
        </w:rPr>
        <w:t>El diagrama de radiación de referencia debe emplearse con precaución en la gama angular en que el sistema de alimentación particular pueda producir un efecto de desbordamiento relativamente grande.</w:t>
      </w:r>
    </w:p>
    <w:p w:rsidR="00760509" w:rsidRPr="002E54A3" w:rsidRDefault="00760509" w:rsidP="00CA50EE">
      <w:pPr>
        <w:rPr>
          <w:lang w:val="es-ES_tradnl"/>
        </w:rPr>
      </w:pPr>
      <w:r w:rsidRPr="002E54A3">
        <w:rPr>
          <w:iCs/>
          <w:lang w:val="es-ES_tradnl"/>
        </w:rPr>
        <w:t>NOTA 3 – </w:t>
      </w:r>
      <w:r w:rsidRPr="002E54A3">
        <w:rPr>
          <w:lang w:val="es-ES_tradnl"/>
        </w:rPr>
        <w:t>Para determinar los niveles máximos admisibles de interferencia de las Recomendaciones UIT-R S.466, UIT</w:t>
      </w:r>
      <w:r w:rsidRPr="002E54A3">
        <w:rPr>
          <w:lang w:val="es-ES_tradnl"/>
        </w:rPr>
        <w:noBreakHyphen/>
        <w:t>R S.483, UIT-R S.523 y UIT-R S.735 deberían aplicarse diagramas de referencia de antena receptora de estación terrena mejores o iguales que los estipulados en esas Recomendaciones.</w:t>
      </w:r>
    </w:p>
    <w:p w:rsidR="00760509" w:rsidRPr="002E54A3" w:rsidRDefault="00760509" w:rsidP="00CA50EE">
      <w:pPr>
        <w:rPr>
          <w:lang w:val="es-ES_tradnl"/>
        </w:rPr>
      </w:pPr>
      <w:r w:rsidRPr="002E54A3">
        <w:rPr>
          <w:iCs/>
          <w:lang w:val="es-ES_tradnl"/>
        </w:rPr>
        <w:t>NOTA 4 – </w:t>
      </w:r>
      <w:r w:rsidRPr="002E54A3">
        <w:rPr>
          <w:lang w:val="es-ES_tradnl"/>
        </w:rPr>
        <w:t xml:space="preserve">En el caso de antenas de estación terrena con </w:t>
      </w:r>
      <w:r w:rsidRPr="002E54A3">
        <w:rPr>
          <w:i/>
          <w:lang w:val="es-ES_tradnl"/>
        </w:rPr>
        <w:t>D</w:t>
      </w:r>
      <w:r w:rsidRPr="002E54A3">
        <w:rPr>
          <w:lang w:val="es-ES_tradnl"/>
        </w:rPr>
        <w:t>/</w:t>
      </w:r>
      <w:r w:rsidR="00CA50EE" w:rsidRPr="002E54A3">
        <w:rPr>
          <w:lang w:val="es-ES_tradnl"/>
        </w:rPr>
        <w:sym w:font="Symbol" w:char="F06C"/>
      </w:r>
      <w:r w:rsidRPr="002E54A3">
        <w:rPr>
          <w:lang w:val="es-ES_tradnl"/>
        </w:rPr>
        <w:t> </w:t>
      </w:r>
      <w:r w:rsidR="00CA50EE" w:rsidRPr="002E54A3">
        <w:rPr>
          <w:lang w:val="es-ES_tradnl"/>
        </w:rPr>
        <w:sym w:font="Symbol" w:char="F0A3"/>
      </w:r>
      <w:r w:rsidRPr="002E54A3">
        <w:rPr>
          <w:lang w:val="es-ES_tradnl"/>
        </w:rPr>
        <w:t> 100 pertenecientes a redes coordinadas antes de 1993, se aplicará el diagrama de radiación de referencia siguiente:</w:t>
      </w:r>
    </w:p>
    <w:p w:rsidR="00760509" w:rsidRPr="002E54A3" w:rsidRDefault="00760509" w:rsidP="00CA50EE">
      <w:pPr>
        <w:pStyle w:val="Equationlegend"/>
        <w:tabs>
          <w:tab w:val="clear" w:pos="1701"/>
          <w:tab w:val="clear" w:pos="1985"/>
          <w:tab w:val="left" w:pos="567"/>
        </w:tabs>
        <w:ind w:left="0" w:firstLine="0"/>
        <w:rPr>
          <w:lang w:val="es-ES_tradnl"/>
        </w:rPr>
      </w:pPr>
      <w:r w:rsidRPr="002E54A3">
        <w:rPr>
          <w:lang w:val="es-ES_tradnl"/>
        </w:rPr>
        <w:tab/>
      </w:r>
      <w:r w:rsidRPr="002E54A3">
        <w:rPr>
          <w:i/>
          <w:iCs/>
          <w:lang w:val="es-ES_tradnl"/>
        </w:rPr>
        <w:t>G</w:t>
      </w:r>
      <w:r w:rsidRPr="002E54A3">
        <w:rPr>
          <w:lang w:val="es-ES_tradnl"/>
        </w:rPr>
        <w:t xml:space="preserve">  </w:t>
      </w:r>
      <w:r w:rsidR="00CA50EE" w:rsidRPr="002E54A3">
        <w:rPr>
          <w:lang w:val="es-ES_tradnl"/>
        </w:rPr>
        <w:sym w:font="Symbol" w:char="F03D"/>
      </w:r>
      <w:r w:rsidRPr="002E54A3">
        <w:rPr>
          <w:lang w:val="es-ES_tradnl"/>
        </w:rPr>
        <w:t xml:space="preserve">  52  –  10 log (</w:t>
      </w:r>
      <w:r w:rsidRPr="002E54A3">
        <w:rPr>
          <w:i/>
          <w:iCs/>
          <w:lang w:val="es-ES_tradnl"/>
        </w:rPr>
        <w:t>D</w:t>
      </w:r>
      <w:r w:rsidRPr="002E54A3">
        <w:rPr>
          <w:lang w:val="es-ES_tradnl"/>
        </w:rPr>
        <w:t>/</w:t>
      </w:r>
      <w:r w:rsidR="00CA50EE" w:rsidRPr="002E54A3">
        <w:rPr>
          <w:lang w:val="es-ES_tradnl"/>
        </w:rPr>
        <w:sym w:font="Symbol" w:char="F06C"/>
      </w:r>
      <w:r w:rsidRPr="002E54A3">
        <w:rPr>
          <w:lang w:val="es-ES_tradnl"/>
        </w:rPr>
        <w:t xml:space="preserve">)  –  25 log </w:t>
      </w:r>
      <w:r w:rsidR="00CA50EE" w:rsidRPr="002E54A3">
        <w:rPr>
          <w:lang w:val="es-ES_tradnl"/>
        </w:rPr>
        <w:sym w:font="Symbol" w:char="F06A"/>
      </w:r>
      <w:r w:rsidRPr="002E54A3">
        <w:rPr>
          <w:lang w:val="es-ES_tradnl"/>
        </w:rPr>
        <w:tab/>
      </w:r>
      <w:r w:rsidRPr="002E54A3">
        <w:rPr>
          <w:lang w:val="es-ES_tradnl"/>
        </w:rPr>
        <w:tab/>
        <w:t>dBi</w:t>
      </w:r>
      <w:r w:rsidRPr="002E54A3">
        <w:rPr>
          <w:lang w:val="es-ES_tradnl"/>
        </w:rPr>
        <w:tab/>
      </w:r>
      <w:r w:rsidRPr="002E54A3">
        <w:rPr>
          <w:lang w:val="es-ES_tradnl"/>
        </w:rPr>
        <w:tab/>
        <w:t xml:space="preserve">para  (100 </w:t>
      </w:r>
      <w:r w:rsidR="00CA50EE" w:rsidRPr="002E54A3">
        <w:rPr>
          <w:lang w:val="es-ES_tradnl"/>
        </w:rPr>
        <w:sym w:font="Symbol" w:char="F06C"/>
      </w:r>
      <w:r w:rsidRPr="002E54A3">
        <w:rPr>
          <w:lang w:val="es-ES_tradnl"/>
        </w:rPr>
        <w:t>/</w:t>
      </w:r>
      <w:r w:rsidRPr="002E54A3">
        <w:rPr>
          <w:i/>
          <w:iCs/>
          <w:lang w:val="es-ES_tradnl"/>
        </w:rPr>
        <w:t>D</w:t>
      </w:r>
      <w:r w:rsidRPr="002E54A3">
        <w:rPr>
          <w:lang w:val="es-ES_tradnl"/>
        </w:rPr>
        <w:t xml:space="preserve">)°  </w:t>
      </w:r>
      <w:r w:rsidR="00CA50EE" w:rsidRPr="002E54A3">
        <w:rPr>
          <w:lang w:val="es-ES_tradnl"/>
        </w:rPr>
        <w:sym w:font="Symbol" w:char="F0A3"/>
      </w:r>
      <w:r w:rsidRPr="002E54A3">
        <w:rPr>
          <w:lang w:val="es-ES_tradnl"/>
        </w:rPr>
        <w:t xml:space="preserve">  </w:t>
      </w:r>
      <w:r w:rsidR="00CA50EE" w:rsidRPr="002E54A3">
        <w:rPr>
          <w:lang w:val="es-ES_tradnl"/>
        </w:rPr>
        <w:sym w:font="Symbol" w:char="F06A"/>
      </w:r>
      <w:r w:rsidRPr="002E54A3">
        <w:rPr>
          <w:lang w:val="es-ES_tradnl"/>
        </w:rPr>
        <w:t xml:space="preserve">  </w:t>
      </w:r>
      <w:r w:rsidRPr="002E54A3">
        <w:rPr>
          <w:rFonts w:ascii="Symbol" w:hAnsi="Symbol"/>
          <w:lang w:val="es-ES_tradnl"/>
        </w:rPr>
        <w:t></w:t>
      </w:r>
      <w:r w:rsidRPr="002E54A3">
        <w:rPr>
          <w:lang w:val="es-ES_tradnl"/>
        </w:rPr>
        <w:t xml:space="preserve">    48°</w:t>
      </w:r>
    </w:p>
    <w:p w:rsidR="00760509" w:rsidRPr="002E54A3" w:rsidRDefault="00760509" w:rsidP="00CA50EE">
      <w:pPr>
        <w:pStyle w:val="Equationlegend"/>
        <w:tabs>
          <w:tab w:val="clear" w:pos="1701"/>
          <w:tab w:val="clear" w:pos="1985"/>
          <w:tab w:val="left" w:pos="567"/>
        </w:tabs>
        <w:ind w:left="0" w:firstLine="0"/>
        <w:rPr>
          <w:lang w:val="es-ES_tradnl"/>
        </w:rPr>
      </w:pPr>
      <w:r w:rsidRPr="002E54A3">
        <w:rPr>
          <w:lang w:val="es-ES_tradnl"/>
        </w:rPr>
        <w:tab/>
        <w:t xml:space="preserve">    </w:t>
      </w:r>
      <w:r w:rsidRPr="002E54A3">
        <w:rPr>
          <w:rFonts w:ascii="Tms Rmn" w:hAnsi="Tms Rmn"/>
          <w:sz w:val="16"/>
          <w:lang w:val="es-ES_tradnl"/>
        </w:rPr>
        <w:t> </w:t>
      </w:r>
      <w:r w:rsidR="00CA50EE" w:rsidRPr="002E54A3">
        <w:rPr>
          <w:rFonts w:ascii="Symbol" w:hAnsi="Symbol"/>
          <w:lang w:val="es-ES_tradnl"/>
        </w:rPr>
        <w:sym w:font="Symbol" w:char="F03D"/>
      </w:r>
      <w:r w:rsidRPr="002E54A3">
        <w:rPr>
          <w:lang w:val="es-ES_tradnl"/>
        </w:rPr>
        <w:t xml:space="preserve">  10  –  10 log (</w:t>
      </w:r>
      <w:r w:rsidRPr="002E54A3">
        <w:rPr>
          <w:i/>
          <w:iCs/>
          <w:lang w:val="es-ES_tradnl"/>
        </w:rPr>
        <w:t>D</w:t>
      </w:r>
      <w:r w:rsidRPr="002E54A3">
        <w:rPr>
          <w:lang w:val="es-ES_tradnl"/>
        </w:rPr>
        <w:t>/</w:t>
      </w:r>
      <w:r w:rsidR="00CA50EE" w:rsidRPr="002E54A3">
        <w:rPr>
          <w:lang w:val="es-ES_tradnl"/>
        </w:rPr>
        <w:sym w:font="Symbol" w:char="F06C"/>
      </w:r>
      <w:r w:rsidRPr="002E54A3">
        <w:rPr>
          <w:lang w:val="es-ES_tradnl"/>
        </w:rPr>
        <w:t>)</w:t>
      </w:r>
      <w:r w:rsidRPr="002E54A3">
        <w:rPr>
          <w:lang w:val="es-ES_tradnl"/>
        </w:rPr>
        <w:tab/>
      </w:r>
      <w:r w:rsidRPr="002E54A3">
        <w:rPr>
          <w:lang w:val="es-ES_tradnl"/>
        </w:rPr>
        <w:tab/>
      </w:r>
      <w:r w:rsidRPr="002E54A3">
        <w:rPr>
          <w:lang w:val="es-ES_tradnl"/>
        </w:rPr>
        <w:tab/>
        <w:t>dBi</w:t>
      </w:r>
      <w:r w:rsidRPr="002E54A3">
        <w:rPr>
          <w:lang w:val="es-ES_tradnl"/>
        </w:rPr>
        <w:tab/>
      </w:r>
      <w:r w:rsidRPr="002E54A3">
        <w:rPr>
          <w:lang w:val="es-ES_tradnl"/>
        </w:rPr>
        <w:tab/>
        <w:t xml:space="preserve">para              48°  </w:t>
      </w:r>
      <w:r w:rsidR="00CA50EE" w:rsidRPr="002E54A3">
        <w:rPr>
          <w:lang w:val="es-ES_tradnl"/>
        </w:rPr>
        <w:sym w:font="Symbol" w:char="F0A3"/>
      </w:r>
      <w:r w:rsidRPr="002E54A3">
        <w:rPr>
          <w:lang w:val="es-ES_tradnl"/>
        </w:rPr>
        <w:t xml:space="preserve">  </w:t>
      </w:r>
      <w:r w:rsidR="00CA50EE" w:rsidRPr="002E54A3">
        <w:rPr>
          <w:lang w:val="es-ES_tradnl"/>
        </w:rPr>
        <w:sym w:font="Symbol" w:char="F06A"/>
      </w:r>
      <w:r w:rsidRPr="002E54A3">
        <w:rPr>
          <w:lang w:val="es-ES_tradnl"/>
        </w:rPr>
        <w:t xml:space="preserve">  </w:t>
      </w:r>
      <w:r w:rsidRPr="002E54A3">
        <w:rPr>
          <w:rFonts w:ascii="Symbol" w:hAnsi="Symbol"/>
          <w:lang w:val="es-ES_tradnl"/>
        </w:rPr>
        <w:t></w:t>
      </w:r>
      <w:r w:rsidRPr="002E54A3">
        <w:rPr>
          <w:lang w:val="es-ES_tradnl"/>
        </w:rPr>
        <w:t xml:space="preserve">  180°</w:t>
      </w:r>
    </w:p>
    <w:p w:rsidR="00760509" w:rsidRPr="002E54A3" w:rsidRDefault="00760509" w:rsidP="00CA50EE">
      <w:pPr>
        <w:rPr>
          <w:lang w:val="es-ES_tradnl"/>
        </w:rPr>
      </w:pPr>
      <w:r w:rsidRPr="002E54A3">
        <w:rPr>
          <w:iCs/>
          <w:lang w:val="es-ES_tradnl"/>
        </w:rPr>
        <w:t>NOTA 5 – </w:t>
      </w:r>
      <w:r w:rsidRPr="002E54A3">
        <w:rPr>
          <w:lang w:val="es-ES_tradnl"/>
        </w:rPr>
        <w:t xml:space="preserve">Para la coordinación de nuevas antenas de recepción de estaciones terrenas con </w:t>
      </w:r>
      <w:r w:rsidRPr="002E54A3">
        <w:rPr>
          <w:i/>
          <w:lang w:val="es-ES_tradnl"/>
        </w:rPr>
        <w:t>D</w:t>
      </w:r>
      <w:r w:rsidRPr="002E54A3">
        <w:rPr>
          <w:lang w:val="es-ES_tradnl"/>
        </w:rPr>
        <w:t>/</w:t>
      </w:r>
      <w:r w:rsidR="00CA50EE" w:rsidRPr="002E54A3">
        <w:rPr>
          <w:lang w:val="es-ES_tradnl"/>
        </w:rPr>
        <w:sym w:font="Symbol" w:char="F06C"/>
      </w:r>
      <w:r w:rsidRPr="002E54A3">
        <w:rPr>
          <w:lang w:val="es-ES_tradnl"/>
        </w:rPr>
        <w:t> </w:t>
      </w:r>
      <w:r w:rsidR="00CA50EE" w:rsidRPr="002E54A3">
        <w:rPr>
          <w:lang w:val="es-ES_tradnl"/>
        </w:rPr>
        <w:t>&lt;</w:t>
      </w:r>
      <w:r w:rsidRPr="002E54A3">
        <w:rPr>
          <w:lang w:val="es-ES_tradnl"/>
        </w:rPr>
        <w:t xml:space="preserve"> 33,3, aparte de las mencionadas en la Nota 4 precedente, </w:t>
      </w:r>
      <w:r w:rsidR="00CA50EE" w:rsidRPr="002E54A3">
        <w:rPr>
          <w:lang w:val="es-ES_tradnl"/>
        </w:rPr>
        <w:sym w:font="Symbol" w:char="F06A"/>
      </w:r>
      <w:r w:rsidR="00CA50EE" w:rsidRPr="002E54A3">
        <w:rPr>
          <w:i/>
          <w:iCs/>
          <w:vertAlign w:val="subscript"/>
          <w:lang w:val="es-ES_tradnl"/>
        </w:rPr>
        <w:t>mín</w:t>
      </w:r>
      <w:r w:rsidR="00CA50EE" w:rsidRPr="002E54A3">
        <w:rPr>
          <w:rFonts w:ascii="Symbol" w:hAnsi="Symbol"/>
          <w:lang w:val="es-ES_tradnl"/>
        </w:rPr>
        <w:t></w:t>
      </w:r>
      <w:r w:rsidRPr="002E54A3">
        <w:rPr>
          <w:lang w:val="es-ES_tradnl"/>
        </w:rPr>
        <w:t>debe ser igual a 2,5º.</w:t>
      </w:r>
    </w:p>
    <w:p w:rsidR="00760509" w:rsidRPr="002E54A3" w:rsidRDefault="00760509" w:rsidP="00760509">
      <w:pPr>
        <w:rPr>
          <w:lang w:val="es-ES_tradnl"/>
        </w:rPr>
      </w:pPr>
    </w:p>
    <w:p w:rsidR="00760509" w:rsidRPr="002E54A3" w:rsidRDefault="00760509" w:rsidP="00760509">
      <w:pPr>
        <w:rPr>
          <w:lang w:val="es-ES_tradnl"/>
        </w:rPr>
      </w:pPr>
    </w:p>
    <w:p w:rsidR="00760509" w:rsidRPr="002E54A3" w:rsidRDefault="00760509" w:rsidP="00760509">
      <w:pPr>
        <w:pStyle w:val="Line"/>
        <w:rPr>
          <w:lang w:val="es-ES_tradnl"/>
        </w:rPr>
      </w:pPr>
    </w:p>
    <w:sectPr w:rsidR="00760509" w:rsidRPr="002E54A3" w:rsidSect="00B1717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B11" w:rsidRDefault="00134B11">
      <w:r>
        <w:separator/>
      </w:r>
    </w:p>
  </w:endnote>
  <w:endnote w:type="continuationSeparator" w:id="0">
    <w:p w:rsidR="00134B11" w:rsidRDefault="00134B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B11" w:rsidRDefault="00134B11">
      <w:r>
        <w:separator/>
      </w:r>
    </w:p>
  </w:footnote>
  <w:footnote w:type="continuationSeparator" w:id="0">
    <w:p w:rsidR="00134B11" w:rsidRDefault="00134B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11" w:rsidRDefault="00134B11">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11" w:rsidRDefault="00134B11"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11" w:rsidRDefault="00F87C72" w:rsidP="00B1717A">
    <w:pPr>
      <w:pStyle w:val="Header"/>
      <w:jc w:val="left"/>
    </w:pPr>
    <w:r>
      <w:rPr>
        <w:rStyle w:val="PageNumber"/>
        <w:b/>
        <w:bCs/>
      </w:rPr>
      <w:fldChar w:fldCharType="begin"/>
    </w:r>
    <w:r w:rsidR="00134B11">
      <w:rPr>
        <w:rStyle w:val="PageNumber"/>
        <w:b/>
        <w:bCs/>
      </w:rPr>
      <w:instrText xml:space="preserve"> PAGE </w:instrText>
    </w:r>
    <w:r>
      <w:rPr>
        <w:rStyle w:val="PageNumber"/>
        <w:b/>
        <w:bCs/>
      </w:rPr>
      <w:fldChar w:fldCharType="separate"/>
    </w:r>
    <w:r w:rsidR="00D13A97">
      <w:rPr>
        <w:rStyle w:val="PageNumber"/>
        <w:b/>
        <w:bCs/>
        <w:noProof/>
      </w:rPr>
      <w:t>ii</w:t>
    </w:r>
    <w:r>
      <w:rPr>
        <w:rStyle w:val="PageNumber"/>
        <w:b/>
        <w:bCs/>
      </w:rPr>
      <w:fldChar w:fldCharType="end"/>
    </w:r>
    <w:r w:rsidR="00134B11">
      <w:tab/>
    </w:r>
    <w:fldSimple w:instr=" DOCPROPERTY &quot;Header&quot; \* MERGEFORMAT ">
      <w:r w:rsidR="002E54A3" w:rsidRPr="002E54A3">
        <w:rPr>
          <w:b/>
          <w:bCs/>
          <w:lang w:val="en-US"/>
        </w:rPr>
        <w:t xml:space="preserve">Rec. </w:t>
      </w:r>
    </w:fldSimple>
    <w:r w:rsidR="00134B11">
      <w:rPr>
        <w:b/>
        <w:bCs/>
      </w:rPr>
      <w:t xml:space="preserve"> </w:t>
    </w:r>
    <w:r>
      <w:rPr>
        <w:b/>
        <w:bCs/>
      </w:rPr>
      <w:fldChar w:fldCharType="begin"/>
    </w:r>
    <w:r w:rsidR="00134B11">
      <w:rPr>
        <w:b/>
        <w:bCs/>
      </w:rPr>
      <w:instrText>styleref href</w:instrText>
    </w:r>
    <w:r>
      <w:rPr>
        <w:b/>
        <w:bCs/>
      </w:rPr>
      <w:fldChar w:fldCharType="separate"/>
    </w:r>
    <w:r w:rsidR="00D13A97">
      <w:rPr>
        <w:b/>
        <w:bCs/>
        <w:noProof/>
      </w:rPr>
      <w:t>UIT-R  S.465-6</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11" w:rsidRDefault="00134B11">
    <w:pPr>
      <w:pStyle w:val="Header"/>
    </w:pPr>
    <w:r>
      <w:tab/>
    </w:r>
    <w:fldSimple w:instr=" DOCPROPERTY &quot;Header&quot; \* MERGEFORMAT ">
      <w:r w:rsidR="002E54A3" w:rsidRPr="002E54A3">
        <w:rPr>
          <w:lang w:val="en-US"/>
        </w:rPr>
        <w:t xml:space="preserve">Rec. </w:t>
      </w:r>
    </w:fldSimple>
    <w:r>
      <w:rPr>
        <w:b/>
        <w:bCs/>
      </w:rPr>
      <w:t xml:space="preserve">  </w:t>
    </w:r>
    <w:r w:rsidR="00F87C72">
      <w:rPr>
        <w:b/>
        <w:bCs/>
      </w:rPr>
      <w:fldChar w:fldCharType="begin"/>
    </w:r>
    <w:r>
      <w:rPr>
        <w:b/>
        <w:bCs/>
      </w:rPr>
      <w:instrText>styleref href</w:instrText>
    </w:r>
    <w:r w:rsidR="00F87C72">
      <w:rPr>
        <w:b/>
        <w:bCs/>
      </w:rPr>
      <w:fldChar w:fldCharType="separate"/>
    </w:r>
    <w:r w:rsidR="002E54A3">
      <w:rPr>
        <w:b/>
        <w:bCs/>
        <w:noProof/>
      </w:rPr>
      <w:t>UIT-R  S.465-6</w:t>
    </w:r>
    <w:r w:rsidR="00F87C72">
      <w:rPr>
        <w:b/>
        <w:bCs/>
      </w:rPr>
      <w:fldChar w:fldCharType="end"/>
    </w:r>
    <w:r>
      <w:tab/>
    </w:r>
    <w:r w:rsidR="00F87C72">
      <w:rPr>
        <w:rStyle w:val="PageNumber"/>
        <w:b/>
        <w:bCs/>
      </w:rPr>
      <w:fldChar w:fldCharType="begin"/>
    </w:r>
    <w:r>
      <w:rPr>
        <w:rStyle w:val="PageNumber"/>
        <w:b/>
        <w:bCs/>
      </w:rPr>
      <w:instrText xml:space="preserve"> PAGE </w:instrText>
    </w:r>
    <w:r w:rsidR="00F87C72">
      <w:rPr>
        <w:rStyle w:val="PageNumber"/>
        <w:b/>
        <w:bCs/>
      </w:rPr>
      <w:fldChar w:fldCharType="separate"/>
    </w:r>
    <w:r>
      <w:rPr>
        <w:rStyle w:val="PageNumber"/>
        <w:b/>
        <w:bCs/>
        <w:noProof/>
      </w:rPr>
      <w:t>1</w:t>
    </w:r>
    <w:r w:rsidR="00F87C72">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11" w:rsidRDefault="00F87C72">
    <w:pPr>
      <w:pStyle w:val="Header"/>
      <w:jc w:val="left"/>
      <w:rPr>
        <w:lang w:val="en-US"/>
      </w:rPr>
    </w:pPr>
    <w:r>
      <w:rPr>
        <w:rStyle w:val="PageNumber"/>
        <w:b/>
        <w:bCs/>
      </w:rPr>
      <w:fldChar w:fldCharType="begin"/>
    </w:r>
    <w:r w:rsidR="00134B11">
      <w:rPr>
        <w:rStyle w:val="PageNumber"/>
        <w:b/>
        <w:bCs/>
        <w:lang w:val="en-US"/>
      </w:rPr>
      <w:instrText xml:space="preserve"> PAGE </w:instrText>
    </w:r>
    <w:r>
      <w:rPr>
        <w:rStyle w:val="PageNumber"/>
        <w:b/>
        <w:bCs/>
      </w:rPr>
      <w:fldChar w:fldCharType="separate"/>
    </w:r>
    <w:r w:rsidR="00D13A97">
      <w:rPr>
        <w:rStyle w:val="PageNumber"/>
        <w:b/>
        <w:bCs/>
        <w:noProof/>
        <w:lang w:val="en-US"/>
      </w:rPr>
      <w:t>2</w:t>
    </w:r>
    <w:r>
      <w:rPr>
        <w:rStyle w:val="PageNumber"/>
        <w:b/>
        <w:bCs/>
      </w:rPr>
      <w:fldChar w:fldCharType="end"/>
    </w:r>
    <w:r w:rsidR="00134B11">
      <w:rPr>
        <w:lang w:val="en-US"/>
      </w:rPr>
      <w:tab/>
    </w:r>
    <w:fldSimple w:instr=" DOCPROPERTY &quot;Header&quot; \* MERGEFORMAT ">
      <w:r w:rsidR="002E54A3" w:rsidRPr="002E54A3">
        <w:rPr>
          <w:b/>
          <w:bCs/>
          <w:lang w:val="en-US"/>
        </w:rPr>
        <w:t xml:space="preserve">Rec. </w:t>
      </w:r>
    </w:fldSimple>
    <w:r w:rsidR="00134B11">
      <w:rPr>
        <w:b/>
        <w:bCs/>
      </w:rPr>
      <w:t xml:space="preserve"> </w:t>
    </w:r>
    <w:r>
      <w:rPr>
        <w:b/>
        <w:bCs/>
      </w:rPr>
      <w:fldChar w:fldCharType="begin"/>
    </w:r>
    <w:r w:rsidR="00134B11">
      <w:rPr>
        <w:b/>
        <w:bCs/>
        <w:lang w:val="en-US"/>
      </w:rPr>
      <w:instrText>styleref href</w:instrText>
    </w:r>
    <w:r>
      <w:rPr>
        <w:b/>
        <w:bCs/>
      </w:rPr>
      <w:fldChar w:fldCharType="separate"/>
    </w:r>
    <w:r w:rsidR="00D13A97">
      <w:rPr>
        <w:b/>
        <w:bCs/>
        <w:noProof/>
      </w:rPr>
      <w:t>UIT-R  S.465-6</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11" w:rsidRDefault="00134B11">
    <w:pPr>
      <w:pStyle w:val="Header"/>
    </w:pPr>
    <w:r>
      <w:tab/>
    </w:r>
    <w:fldSimple w:instr=" DOCPROPERTY &quot;Header&quot; \* MERGEFORMAT ">
      <w:r w:rsidR="002E54A3" w:rsidRPr="002E54A3">
        <w:rPr>
          <w:b/>
          <w:bCs/>
        </w:rPr>
        <w:t xml:space="preserve">Rec. </w:t>
      </w:r>
    </w:fldSimple>
    <w:r>
      <w:rPr>
        <w:b/>
        <w:bCs/>
      </w:rPr>
      <w:t xml:space="preserve"> </w:t>
    </w:r>
    <w:r w:rsidR="00F87C72">
      <w:rPr>
        <w:b/>
        <w:bCs/>
      </w:rPr>
      <w:fldChar w:fldCharType="begin"/>
    </w:r>
    <w:r>
      <w:rPr>
        <w:b/>
        <w:bCs/>
      </w:rPr>
      <w:instrText>styleref href</w:instrText>
    </w:r>
    <w:r w:rsidR="00F87C72">
      <w:rPr>
        <w:b/>
        <w:bCs/>
      </w:rPr>
      <w:fldChar w:fldCharType="separate"/>
    </w:r>
    <w:r w:rsidR="00D13A97">
      <w:rPr>
        <w:b/>
        <w:bCs/>
        <w:noProof/>
      </w:rPr>
      <w:t>UIT-R  S.465-6</w:t>
    </w:r>
    <w:r w:rsidR="00F87C72">
      <w:rPr>
        <w:b/>
        <w:bCs/>
      </w:rPr>
      <w:fldChar w:fldCharType="end"/>
    </w:r>
    <w:r>
      <w:tab/>
    </w:r>
    <w:r w:rsidR="00F87C72">
      <w:rPr>
        <w:rStyle w:val="PageNumber"/>
        <w:b/>
        <w:bCs/>
      </w:rPr>
      <w:fldChar w:fldCharType="begin"/>
    </w:r>
    <w:r>
      <w:rPr>
        <w:rStyle w:val="PageNumber"/>
        <w:b/>
        <w:bCs/>
      </w:rPr>
      <w:instrText xml:space="preserve"> PAGE </w:instrText>
    </w:r>
    <w:r w:rsidR="00F87C72">
      <w:rPr>
        <w:rStyle w:val="PageNumber"/>
        <w:b/>
        <w:bCs/>
      </w:rPr>
      <w:fldChar w:fldCharType="separate"/>
    </w:r>
    <w:r w:rsidR="00D13A97">
      <w:rPr>
        <w:rStyle w:val="PageNumber"/>
        <w:b/>
        <w:bCs/>
        <w:noProof/>
      </w:rPr>
      <w:t>1</w:t>
    </w:r>
    <w:r w:rsidR="00F87C72">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rsids>
    <w:rsidRoot w:val="00B1717A"/>
    <w:rsid w:val="00016E76"/>
    <w:rsid w:val="00134B11"/>
    <w:rsid w:val="00236E9D"/>
    <w:rsid w:val="00263753"/>
    <w:rsid w:val="00266EDC"/>
    <w:rsid w:val="002D76C4"/>
    <w:rsid w:val="002E54A3"/>
    <w:rsid w:val="00363835"/>
    <w:rsid w:val="00366CEE"/>
    <w:rsid w:val="00386074"/>
    <w:rsid w:val="004532F7"/>
    <w:rsid w:val="0057052D"/>
    <w:rsid w:val="005A6102"/>
    <w:rsid w:val="00607D68"/>
    <w:rsid w:val="006B22C3"/>
    <w:rsid w:val="00760509"/>
    <w:rsid w:val="00830149"/>
    <w:rsid w:val="00847DD5"/>
    <w:rsid w:val="008A0DDA"/>
    <w:rsid w:val="008A69AD"/>
    <w:rsid w:val="00A6617B"/>
    <w:rsid w:val="00AB0DC8"/>
    <w:rsid w:val="00AC2D1D"/>
    <w:rsid w:val="00B1717A"/>
    <w:rsid w:val="00B44E24"/>
    <w:rsid w:val="00B87252"/>
    <w:rsid w:val="00BA2881"/>
    <w:rsid w:val="00BB77E9"/>
    <w:rsid w:val="00BF7841"/>
    <w:rsid w:val="00CA50EE"/>
    <w:rsid w:val="00D12388"/>
    <w:rsid w:val="00D13A97"/>
    <w:rsid w:val="00D62884"/>
    <w:rsid w:val="00DB3E84"/>
    <w:rsid w:val="00DE71F7"/>
    <w:rsid w:val="00DF4176"/>
    <w:rsid w:val="00F87C72"/>
    <w:rsid w:val="00F95576"/>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0D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A0DDA"/>
    <w:pPr>
      <w:keepNext/>
      <w:keepLines/>
      <w:spacing w:before="480"/>
      <w:ind w:left="794" w:hanging="794"/>
      <w:outlineLvl w:val="0"/>
    </w:pPr>
    <w:rPr>
      <w:b/>
    </w:rPr>
  </w:style>
  <w:style w:type="paragraph" w:styleId="Heading2">
    <w:name w:val="heading 2"/>
    <w:basedOn w:val="Heading1"/>
    <w:next w:val="Normal"/>
    <w:qFormat/>
    <w:rsid w:val="008A0DDA"/>
    <w:pPr>
      <w:spacing w:before="320"/>
      <w:outlineLvl w:val="1"/>
    </w:pPr>
  </w:style>
  <w:style w:type="paragraph" w:styleId="Heading3">
    <w:name w:val="heading 3"/>
    <w:basedOn w:val="Heading1"/>
    <w:next w:val="Normal"/>
    <w:qFormat/>
    <w:rsid w:val="008A0DDA"/>
    <w:pPr>
      <w:spacing w:before="200"/>
      <w:outlineLvl w:val="2"/>
    </w:pPr>
  </w:style>
  <w:style w:type="paragraph" w:styleId="Heading4">
    <w:name w:val="heading 4"/>
    <w:basedOn w:val="Heading3"/>
    <w:next w:val="Normal"/>
    <w:qFormat/>
    <w:rsid w:val="008A0DDA"/>
    <w:pPr>
      <w:tabs>
        <w:tab w:val="clear" w:pos="794"/>
        <w:tab w:val="left" w:pos="992"/>
      </w:tabs>
      <w:ind w:left="992" w:hanging="992"/>
      <w:outlineLvl w:val="3"/>
    </w:pPr>
  </w:style>
  <w:style w:type="paragraph" w:styleId="Heading5">
    <w:name w:val="heading 5"/>
    <w:basedOn w:val="Heading4"/>
    <w:next w:val="Normal"/>
    <w:qFormat/>
    <w:rsid w:val="008A0DDA"/>
    <w:pPr>
      <w:outlineLvl w:val="4"/>
    </w:pPr>
  </w:style>
  <w:style w:type="paragraph" w:styleId="Heading6">
    <w:name w:val="heading 6"/>
    <w:basedOn w:val="Heading4"/>
    <w:next w:val="Normal"/>
    <w:qFormat/>
    <w:rsid w:val="008A0DDA"/>
    <w:pPr>
      <w:tabs>
        <w:tab w:val="clear" w:pos="992"/>
        <w:tab w:val="clear" w:pos="1191"/>
      </w:tabs>
      <w:ind w:left="1588" w:hanging="1588"/>
      <w:outlineLvl w:val="5"/>
    </w:pPr>
  </w:style>
  <w:style w:type="paragraph" w:styleId="Heading7">
    <w:name w:val="heading 7"/>
    <w:basedOn w:val="Heading6"/>
    <w:next w:val="Normal"/>
    <w:qFormat/>
    <w:rsid w:val="008A0DDA"/>
    <w:pPr>
      <w:outlineLvl w:val="6"/>
    </w:pPr>
  </w:style>
  <w:style w:type="paragraph" w:styleId="Heading8">
    <w:name w:val="heading 8"/>
    <w:basedOn w:val="Heading6"/>
    <w:next w:val="Normal"/>
    <w:qFormat/>
    <w:rsid w:val="008A0DDA"/>
    <w:pPr>
      <w:outlineLvl w:val="7"/>
    </w:pPr>
  </w:style>
  <w:style w:type="paragraph" w:styleId="Heading9">
    <w:name w:val="heading 9"/>
    <w:basedOn w:val="Heading6"/>
    <w:next w:val="Normal"/>
    <w:qFormat/>
    <w:rsid w:val="008A0DD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0DD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A0DD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A0DDA"/>
  </w:style>
  <w:style w:type="paragraph" w:customStyle="1" w:styleId="Headingb">
    <w:name w:val="Heading_b"/>
    <w:basedOn w:val="Heading3"/>
    <w:next w:val="Normal"/>
    <w:rsid w:val="008A0DDA"/>
    <w:pPr>
      <w:spacing w:before="160"/>
      <w:ind w:left="0" w:firstLine="0"/>
      <w:outlineLvl w:val="9"/>
    </w:pPr>
  </w:style>
  <w:style w:type="paragraph" w:customStyle="1" w:styleId="Headingi">
    <w:name w:val="Heading_i"/>
    <w:basedOn w:val="Heading3"/>
    <w:next w:val="Normal"/>
    <w:rsid w:val="008A0DDA"/>
    <w:pPr>
      <w:spacing w:before="160"/>
      <w:ind w:left="0" w:firstLine="0"/>
    </w:pPr>
    <w:rPr>
      <w:b w:val="0"/>
      <w:i/>
    </w:rPr>
  </w:style>
  <w:style w:type="character" w:customStyle="1" w:styleId="href">
    <w:name w:val="href"/>
    <w:basedOn w:val="DefaultParagraphFont"/>
    <w:rsid w:val="008A0DDA"/>
  </w:style>
  <w:style w:type="paragraph" w:customStyle="1" w:styleId="enumlev1">
    <w:name w:val="enumlev1"/>
    <w:basedOn w:val="Normal"/>
    <w:rsid w:val="008A0DDA"/>
    <w:pPr>
      <w:spacing w:before="80"/>
      <w:ind w:left="794" w:hanging="794"/>
    </w:pPr>
  </w:style>
  <w:style w:type="paragraph" w:customStyle="1" w:styleId="enumlev2">
    <w:name w:val="enumlev2"/>
    <w:basedOn w:val="enumlev1"/>
    <w:rsid w:val="008A0DDA"/>
    <w:pPr>
      <w:ind w:left="1191" w:hanging="397"/>
    </w:pPr>
  </w:style>
  <w:style w:type="paragraph" w:customStyle="1" w:styleId="enumlev3">
    <w:name w:val="enumlev3"/>
    <w:basedOn w:val="enumlev2"/>
    <w:rsid w:val="008A0DDA"/>
    <w:pPr>
      <w:ind w:left="1588"/>
    </w:pPr>
  </w:style>
  <w:style w:type="paragraph" w:customStyle="1" w:styleId="Normalaftertitle">
    <w:name w:val="Normal_after_title"/>
    <w:basedOn w:val="Normal"/>
    <w:next w:val="Normal"/>
    <w:rsid w:val="008A0DDA"/>
    <w:pPr>
      <w:spacing w:before="320"/>
    </w:pPr>
  </w:style>
  <w:style w:type="paragraph" w:customStyle="1" w:styleId="Note">
    <w:name w:val="Note"/>
    <w:basedOn w:val="Normal"/>
    <w:rsid w:val="008A0DD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A0DD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A0DDA"/>
    <w:pPr>
      <w:spacing w:before="240"/>
    </w:pPr>
    <w:rPr>
      <w:sz w:val="22"/>
      <w:lang w:val="es-ES_tradnl"/>
    </w:rPr>
  </w:style>
  <w:style w:type="paragraph" w:customStyle="1" w:styleId="Recref">
    <w:name w:val="Rec_ref"/>
    <w:basedOn w:val="Normal"/>
    <w:next w:val="Recdate"/>
    <w:rsid w:val="008A0DDA"/>
    <w:pPr>
      <w:jc w:val="center"/>
    </w:pPr>
  </w:style>
  <w:style w:type="paragraph" w:customStyle="1" w:styleId="Recdate">
    <w:name w:val="Rec_date"/>
    <w:basedOn w:val="Recref"/>
    <w:next w:val="Normalaftertitle"/>
    <w:rsid w:val="008A0DDA"/>
    <w:pPr>
      <w:jc w:val="right"/>
    </w:pPr>
  </w:style>
  <w:style w:type="paragraph" w:customStyle="1" w:styleId="AnnexNoTitle">
    <w:name w:val="Annex_NoTitle"/>
    <w:basedOn w:val="Normal"/>
    <w:next w:val="Normalaftertitle"/>
    <w:rsid w:val="008A0DDA"/>
    <w:pPr>
      <w:keepNext/>
      <w:keepLines/>
      <w:spacing w:before="480" w:after="80"/>
      <w:jc w:val="center"/>
    </w:pPr>
    <w:rPr>
      <w:b/>
      <w:sz w:val="28"/>
    </w:rPr>
  </w:style>
  <w:style w:type="paragraph" w:customStyle="1" w:styleId="AppendixNoTitle">
    <w:name w:val="Appendix_NoTitle"/>
    <w:basedOn w:val="AnnexNoTitle"/>
    <w:next w:val="Normal"/>
    <w:rsid w:val="008A0DDA"/>
  </w:style>
  <w:style w:type="paragraph" w:customStyle="1" w:styleId="Tablefin">
    <w:name w:val="Table_fin"/>
    <w:basedOn w:val="Normal"/>
    <w:next w:val="Normal"/>
    <w:rsid w:val="008A0DDA"/>
    <w:pPr>
      <w:spacing w:before="0"/>
    </w:pPr>
    <w:rPr>
      <w:sz w:val="20"/>
      <w:lang w:val="en-GB"/>
    </w:rPr>
  </w:style>
  <w:style w:type="paragraph" w:customStyle="1" w:styleId="Tablehead">
    <w:name w:val="Table_head"/>
    <w:basedOn w:val="Normal"/>
    <w:next w:val="Normal"/>
    <w:rsid w:val="008A0DD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A0D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A0DDA"/>
    <w:pPr>
      <w:keepNext/>
      <w:spacing w:before="360" w:after="120"/>
      <w:jc w:val="center"/>
    </w:pPr>
  </w:style>
  <w:style w:type="paragraph" w:customStyle="1" w:styleId="Tabletext">
    <w:name w:val="Table_text"/>
    <w:basedOn w:val="Normal"/>
    <w:rsid w:val="008A0D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A0DDA"/>
    <w:pPr>
      <w:tabs>
        <w:tab w:val="clear" w:pos="1191"/>
        <w:tab w:val="clear" w:pos="1588"/>
        <w:tab w:val="clear" w:pos="1985"/>
        <w:tab w:val="center" w:pos="4820"/>
        <w:tab w:val="right" w:pos="9639"/>
      </w:tabs>
    </w:pPr>
  </w:style>
  <w:style w:type="paragraph" w:customStyle="1" w:styleId="Equationlegend">
    <w:name w:val="Equation_legend"/>
    <w:basedOn w:val="NormalIndent"/>
    <w:rsid w:val="008A0DD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A0DDA"/>
    <w:pPr>
      <w:ind w:left="794"/>
    </w:pPr>
  </w:style>
  <w:style w:type="paragraph" w:customStyle="1" w:styleId="Figurelegend">
    <w:name w:val="Figure_legend"/>
    <w:basedOn w:val="Normal"/>
    <w:rsid w:val="008A0DD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A0DDA"/>
    <w:pPr>
      <w:keepNext/>
      <w:keepLines/>
      <w:spacing w:before="480" w:after="80"/>
      <w:jc w:val="center"/>
    </w:pPr>
    <w:rPr>
      <w:caps/>
      <w:sz w:val="18"/>
    </w:rPr>
  </w:style>
  <w:style w:type="paragraph" w:customStyle="1" w:styleId="tocpart">
    <w:name w:val="tocpart"/>
    <w:basedOn w:val="Normal"/>
    <w:rsid w:val="008A0DD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A0DDA"/>
    <w:pPr>
      <w:keepNext/>
      <w:keepLines/>
      <w:spacing w:before="480"/>
      <w:jc w:val="center"/>
    </w:pPr>
    <w:rPr>
      <w:sz w:val="28"/>
    </w:rPr>
  </w:style>
  <w:style w:type="paragraph" w:customStyle="1" w:styleId="Arttitle">
    <w:name w:val="Art_title"/>
    <w:basedOn w:val="Normal"/>
    <w:next w:val="Normalaftertitle"/>
    <w:rsid w:val="008A0DDA"/>
    <w:pPr>
      <w:keepNext/>
      <w:keepLines/>
      <w:spacing w:before="240"/>
      <w:jc w:val="center"/>
    </w:pPr>
    <w:rPr>
      <w:b/>
      <w:sz w:val="28"/>
    </w:rPr>
  </w:style>
  <w:style w:type="paragraph" w:customStyle="1" w:styleId="Blanc">
    <w:name w:val="Blanc"/>
    <w:basedOn w:val="Normal"/>
    <w:next w:val="Tabletext"/>
    <w:rsid w:val="008A0DD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A0DD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A0DDA"/>
    <w:pPr>
      <w:keepNext/>
      <w:keepLines/>
      <w:spacing w:before="160"/>
      <w:ind w:left="794"/>
    </w:pPr>
    <w:rPr>
      <w:i/>
    </w:rPr>
  </w:style>
  <w:style w:type="paragraph" w:customStyle="1" w:styleId="ChapNo">
    <w:name w:val="Chap_No"/>
    <w:basedOn w:val="ArtNo"/>
    <w:next w:val="Chaptitle"/>
    <w:rsid w:val="008A0DDA"/>
    <w:rPr>
      <w:b/>
    </w:rPr>
  </w:style>
  <w:style w:type="paragraph" w:customStyle="1" w:styleId="Chaptitle">
    <w:name w:val="Chap_title"/>
    <w:basedOn w:val="Arttitle"/>
    <w:next w:val="Normalaftertitle"/>
    <w:rsid w:val="008A0DDA"/>
  </w:style>
  <w:style w:type="character" w:styleId="FootnoteReference">
    <w:name w:val="footnote reference"/>
    <w:basedOn w:val="DefaultParagraphFont"/>
    <w:semiHidden/>
    <w:rsid w:val="008A0DDA"/>
    <w:rPr>
      <w:position w:val="6"/>
      <w:sz w:val="18"/>
    </w:rPr>
  </w:style>
  <w:style w:type="paragraph" w:styleId="FootnoteText">
    <w:name w:val="footnote text"/>
    <w:basedOn w:val="Normal"/>
    <w:semiHidden/>
    <w:rsid w:val="008A0DDA"/>
    <w:pPr>
      <w:keepLines/>
      <w:tabs>
        <w:tab w:val="left" w:pos="255"/>
      </w:tabs>
      <w:ind w:left="255" w:hanging="255"/>
    </w:pPr>
    <w:rPr>
      <w:sz w:val="22"/>
    </w:rPr>
  </w:style>
  <w:style w:type="paragraph" w:styleId="Index1">
    <w:name w:val="index 1"/>
    <w:basedOn w:val="Normal"/>
    <w:next w:val="Normal"/>
    <w:semiHidden/>
    <w:rsid w:val="008A0DDA"/>
  </w:style>
  <w:style w:type="paragraph" w:styleId="Index2">
    <w:name w:val="index 2"/>
    <w:basedOn w:val="Normal"/>
    <w:next w:val="Normal"/>
    <w:semiHidden/>
    <w:rsid w:val="008A0DDA"/>
    <w:pPr>
      <w:ind w:left="283"/>
    </w:pPr>
  </w:style>
  <w:style w:type="paragraph" w:styleId="Index3">
    <w:name w:val="index 3"/>
    <w:basedOn w:val="Normal"/>
    <w:next w:val="Normal"/>
    <w:semiHidden/>
    <w:rsid w:val="008A0DDA"/>
    <w:pPr>
      <w:ind w:left="566"/>
    </w:pPr>
  </w:style>
  <w:style w:type="paragraph" w:styleId="IndexHeading">
    <w:name w:val="index heading"/>
    <w:basedOn w:val="Normal"/>
    <w:next w:val="Index1"/>
    <w:semiHidden/>
    <w:rsid w:val="008A0DDA"/>
  </w:style>
  <w:style w:type="paragraph" w:customStyle="1" w:styleId="Line">
    <w:name w:val="Line"/>
    <w:basedOn w:val="Normal"/>
    <w:next w:val="Normal"/>
    <w:rsid w:val="008A0DD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A0DD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A0DDA"/>
  </w:style>
  <w:style w:type="paragraph" w:customStyle="1" w:styleId="Partref">
    <w:name w:val="Part_ref"/>
    <w:basedOn w:val="Normal"/>
    <w:next w:val="Normal"/>
    <w:rsid w:val="008A0DDA"/>
    <w:pPr>
      <w:keepNext/>
      <w:keepLines/>
      <w:spacing w:after="280"/>
      <w:jc w:val="center"/>
    </w:pPr>
  </w:style>
  <w:style w:type="paragraph" w:customStyle="1" w:styleId="Parttitle">
    <w:name w:val="Part_title"/>
    <w:basedOn w:val="Normal"/>
    <w:next w:val="Normalaftertitle"/>
    <w:rsid w:val="008A0DD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A0DDA"/>
  </w:style>
  <w:style w:type="paragraph" w:customStyle="1" w:styleId="QuestionNo">
    <w:name w:val="Question_No"/>
    <w:basedOn w:val="RecNo"/>
    <w:next w:val="Normal"/>
    <w:rsid w:val="008A0DDA"/>
  </w:style>
  <w:style w:type="paragraph" w:customStyle="1" w:styleId="Questionref">
    <w:name w:val="Question_ref"/>
    <w:basedOn w:val="Recref"/>
    <w:next w:val="Questiondate"/>
    <w:rsid w:val="008A0DDA"/>
  </w:style>
  <w:style w:type="paragraph" w:customStyle="1" w:styleId="Questiontitle">
    <w:name w:val="Question_title"/>
    <w:basedOn w:val="Normal"/>
    <w:next w:val="Questionref"/>
    <w:rsid w:val="008A0DDA"/>
  </w:style>
  <w:style w:type="paragraph" w:customStyle="1" w:styleId="Reftext">
    <w:name w:val="Ref_text"/>
    <w:basedOn w:val="Normal"/>
    <w:rsid w:val="008A0DDA"/>
    <w:pPr>
      <w:ind w:left="794" w:hanging="794"/>
    </w:pPr>
    <w:rPr>
      <w:sz w:val="22"/>
    </w:rPr>
  </w:style>
  <w:style w:type="paragraph" w:customStyle="1" w:styleId="Reftitle">
    <w:name w:val="Ref_title"/>
    <w:basedOn w:val="Normal"/>
    <w:next w:val="Reftext"/>
    <w:rsid w:val="008A0DD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A0DDA"/>
  </w:style>
  <w:style w:type="paragraph" w:customStyle="1" w:styleId="RepNo">
    <w:name w:val="Rep_No"/>
    <w:basedOn w:val="RecNo"/>
    <w:next w:val="Reptitle"/>
    <w:rsid w:val="008A0DDA"/>
  </w:style>
  <w:style w:type="paragraph" w:customStyle="1" w:styleId="Repref">
    <w:name w:val="Rep_ref"/>
    <w:basedOn w:val="Recref"/>
    <w:next w:val="Repdate"/>
    <w:rsid w:val="008A0DDA"/>
  </w:style>
  <w:style w:type="paragraph" w:customStyle="1" w:styleId="Reptitle">
    <w:name w:val="Rep_title"/>
    <w:basedOn w:val="Rectitle"/>
    <w:next w:val="Repref"/>
    <w:rsid w:val="008A0DDA"/>
  </w:style>
  <w:style w:type="paragraph" w:customStyle="1" w:styleId="Resdate">
    <w:name w:val="Res_date"/>
    <w:basedOn w:val="Recdate"/>
    <w:next w:val="Normalaftertitle"/>
    <w:rsid w:val="008A0DDA"/>
  </w:style>
  <w:style w:type="paragraph" w:customStyle="1" w:styleId="ResNo">
    <w:name w:val="Res_No"/>
    <w:basedOn w:val="RecNo"/>
    <w:next w:val="Restitle"/>
    <w:rsid w:val="008A0DDA"/>
  </w:style>
  <w:style w:type="paragraph" w:customStyle="1" w:styleId="Resref">
    <w:name w:val="Res_ref"/>
    <w:basedOn w:val="Recref"/>
    <w:next w:val="Resdate"/>
    <w:rsid w:val="008A0DDA"/>
  </w:style>
  <w:style w:type="paragraph" w:customStyle="1" w:styleId="Restitle">
    <w:name w:val="Res_title"/>
    <w:basedOn w:val="Normal"/>
    <w:next w:val="Resref"/>
    <w:rsid w:val="008A0DDA"/>
    <w:pPr>
      <w:spacing w:before="240"/>
      <w:jc w:val="center"/>
    </w:pPr>
    <w:rPr>
      <w:b/>
      <w:sz w:val="28"/>
    </w:rPr>
  </w:style>
  <w:style w:type="paragraph" w:customStyle="1" w:styleId="SectionNo">
    <w:name w:val="Section_No"/>
    <w:basedOn w:val="Normal"/>
    <w:next w:val="Normal"/>
    <w:rsid w:val="008A0DDA"/>
  </w:style>
  <w:style w:type="paragraph" w:customStyle="1" w:styleId="Sectiontitle">
    <w:name w:val="Section_title"/>
    <w:basedOn w:val="Normal"/>
    <w:next w:val="Normalaftertitle"/>
    <w:rsid w:val="008A0DD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A0DDA"/>
    <w:pPr>
      <w:tabs>
        <w:tab w:val="clear" w:pos="794"/>
        <w:tab w:val="clear" w:pos="1191"/>
        <w:tab w:val="clear" w:pos="1588"/>
        <w:tab w:val="clear" w:pos="1985"/>
        <w:tab w:val="right" w:pos="9611"/>
      </w:tabs>
    </w:pPr>
    <w:rPr>
      <w:i/>
    </w:rPr>
  </w:style>
  <w:style w:type="paragraph" w:styleId="TOC1">
    <w:name w:val="toc 1"/>
    <w:basedOn w:val="Normal"/>
    <w:semiHidden/>
    <w:rsid w:val="008A0DD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A0DDA"/>
    <w:pPr>
      <w:tabs>
        <w:tab w:val="clear" w:pos="567"/>
        <w:tab w:val="left" w:pos="1276"/>
      </w:tabs>
      <w:spacing w:before="160"/>
      <w:ind w:left="1276" w:hanging="709"/>
    </w:pPr>
  </w:style>
  <w:style w:type="paragraph" w:styleId="TOC3">
    <w:name w:val="toc 3"/>
    <w:basedOn w:val="TOC2"/>
    <w:semiHidden/>
    <w:rsid w:val="008A0DDA"/>
    <w:pPr>
      <w:tabs>
        <w:tab w:val="clear" w:pos="1276"/>
        <w:tab w:val="left" w:pos="2155"/>
      </w:tabs>
      <w:ind w:left="2155" w:hanging="879"/>
    </w:pPr>
  </w:style>
  <w:style w:type="paragraph" w:styleId="TOC4">
    <w:name w:val="toc 4"/>
    <w:basedOn w:val="TOC3"/>
    <w:semiHidden/>
    <w:rsid w:val="008A0DDA"/>
    <w:pPr>
      <w:tabs>
        <w:tab w:val="left" w:pos="3261"/>
      </w:tabs>
      <w:spacing w:before="80"/>
      <w:ind w:left="3261" w:hanging="993"/>
    </w:pPr>
  </w:style>
  <w:style w:type="paragraph" w:styleId="TOC5">
    <w:name w:val="toc 5"/>
    <w:basedOn w:val="TOC4"/>
    <w:semiHidden/>
    <w:rsid w:val="008A0DDA"/>
  </w:style>
  <w:style w:type="paragraph" w:styleId="TOC6">
    <w:name w:val="toc 6"/>
    <w:basedOn w:val="TOC4"/>
    <w:semiHidden/>
    <w:rsid w:val="008A0DDA"/>
  </w:style>
  <w:style w:type="paragraph" w:styleId="TOC7">
    <w:name w:val="toc 7"/>
    <w:basedOn w:val="TOC4"/>
    <w:semiHidden/>
    <w:rsid w:val="008A0DDA"/>
  </w:style>
  <w:style w:type="paragraph" w:styleId="TOC8">
    <w:name w:val="toc 8"/>
    <w:basedOn w:val="TOC4"/>
    <w:semiHidden/>
    <w:rsid w:val="008A0DDA"/>
  </w:style>
  <w:style w:type="paragraph" w:customStyle="1" w:styleId="Rectitle">
    <w:name w:val="Rec_title"/>
    <w:basedOn w:val="Normal"/>
    <w:next w:val="Recref"/>
    <w:rsid w:val="008A0DDA"/>
    <w:pPr>
      <w:keepNext/>
      <w:keepLines/>
      <w:spacing w:before="240"/>
      <w:jc w:val="center"/>
    </w:pPr>
    <w:rPr>
      <w:b/>
      <w:sz w:val="28"/>
    </w:rPr>
  </w:style>
  <w:style w:type="paragraph" w:customStyle="1" w:styleId="Annexref">
    <w:name w:val="Annex_ref"/>
    <w:basedOn w:val="Normal"/>
    <w:next w:val="Normalaftertitle"/>
    <w:rsid w:val="008A0DDA"/>
    <w:pPr>
      <w:keepNext/>
      <w:keepLines/>
      <w:spacing w:after="280"/>
      <w:jc w:val="center"/>
    </w:pPr>
  </w:style>
  <w:style w:type="paragraph" w:customStyle="1" w:styleId="Appendixref">
    <w:name w:val="Appendix_ref"/>
    <w:basedOn w:val="Annexref"/>
    <w:next w:val="Normalaftertitle"/>
    <w:rsid w:val="008A0DDA"/>
  </w:style>
  <w:style w:type="paragraph" w:customStyle="1" w:styleId="Figuretitle">
    <w:name w:val="Figure_title"/>
    <w:basedOn w:val="Normal"/>
    <w:next w:val="Figure"/>
    <w:rsid w:val="008A0DD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A0DDA"/>
    <w:pPr>
      <w:keepNext/>
      <w:spacing w:before="0" w:after="120"/>
      <w:jc w:val="center"/>
    </w:pPr>
    <w:rPr>
      <w:b/>
    </w:rPr>
  </w:style>
  <w:style w:type="paragraph" w:customStyle="1" w:styleId="Summary">
    <w:name w:val="Summary"/>
    <w:basedOn w:val="Normal"/>
    <w:next w:val="Normalaftertitle"/>
    <w:rsid w:val="008A0DDA"/>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8A0DDA"/>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8A0DDA"/>
    <w:pPr>
      <w:ind w:left="-85" w:firstLine="0"/>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TotalTime>
  <Pages>4</Pages>
  <Words>1205</Words>
  <Characters>6799</Characters>
  <Application>Microsoft Office Word</Application>
  <DocSecurity>0</DocSecurity>
  <Lines>679</Lines>
  <Paragraphs>285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7719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7</cp:revision>
  <cp:lastPrinted>2005-02-10T14:54:00Z</cp:lastPrinted>
  <dcterms:created xsi:type="dcterms:W3CDTF">2010-09-17T09:33:00Z</dcterms:created>
  <dcterms:modified xsi:type="dcterms:W3CDTF">2010-09-17T14:31:00Z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