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9E202C"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1238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177138">
              <w:rPr>
                <w:rFonts w:ascii="Tahoma" w:hAnsi="Tahoma" w:cs="Tahoma"/>
                <w:b/>
                <w:bCs/>
                <w:iCs/>
                <w:color w:val="243285"/>
                <w:sz w:val="36"/>
                <w:szCs w:val="36"/>
                <w:lang w:val="es-ES_tradnl"/>
              </w:rPr>
              <w:t>2131-0</w:t>
            </w:r>
          </w:p>
          <w:p w:rsidR="00B1717A" w:rsidRPr="0010336F" w:rsidRDefault="00B1717A" w:rsidP="0017713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77138">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177138">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177138" w:rsidP="00D62884">
            <w:pPr>
              <w:spacing w:before="80" w:line="500" w:lineRule="exact"/>
              <w:jc w:val="right"/>
              <w:rPr>
                <w:rFonts w:ascii="Tahoma" w:hAnsi="Tahoma" w:cs="Tahoma"/>
                <w:b/>
                <w:bCs/>
                <w:color w:val="243285"/>
                <w:sz w:val="44"/>
                <w:szCs w:val="44"/>
                <w:lang w:val="es-ES_tradnl"/>
              </w:rPr>
            </w:pPr>
            <w:r w:rsidRPr="00177138">
              <w:rPr>
                <w:rFonts w:ascii="Tahoma" w:hAnsi="Tahoma" w:cs="Tahoma"/>
                <w:b/>
                <w:bCs/>
                <w:color w:val="243285"/>
                <w:sz w:val="44"/>
                <w:szCs w:val="44"/>
                <w:lang w:val="es-ES_tradnl"/>
              </w:rPr>
              <w:t>Método para determinar los objetivos</w:t>
            </w:r>
            <w:r w:rsidR="00803270">
              <w:rPr>
                <w:rFonts w:ascii="Tahoma" w:hAnsi="Tahoma" w:cs="Tahoma"/>
                <w:b/>
                <w:bCs/>
                <w:color w:val="243285"/>
                <w:sz w:val="44"/>
                <w:szCs w:val="44"/>
                <w:lang w:val="es-ES_tradnl"/>
              </w:rPr>
              <w:br/>
            </w:r>
            <w:r>
              <w:rPr>
                <w:rFonts w:ascii="Tahoma" w:hAnsi="Tahoma" w:cs="Tahoma"/>
                <w:b/>
                <w:bCs/>
                <w:color w:val="243285"/>
                <w:sz w:val="44"/>
                <w:szCs w:val="44"/>
                <w:lang w:val="es-ES_tradnl"/>
              </w:rPr>
              <w:t>de</w:t>
            </w:r>
            <w:r w:rsidR="00803270">
              <w:rPr>
                <w:rFonts w:ascii="Tahoma" w:hAnsi="Tahoma" w:cs="Tahoma"/>
                <w:b/>
                <w:bCs/>
                <w:color w:val="243285"/>
                <w:sz w:val="44"/>
                <w:szCs w:val="44"/>
                <w:lang w:val="es-ES_tradnl"/>
              </w:rPr>
              <w:t xml:space="preserve"> </w:t>
            </w:r>
            <w:r w:rsidRPr="00177138">
              <w:rPr>
                <w:rFonts w:ascii="Tahoma" w:hAnsi="Tahoma" w:cs="Tahoma"/>
                <w:b/>
                <w:bCs/>
                <w:color w:val="243285"/>
                <w:sz w:val="44"/>
                <w:szCs w:val="44"/>
                <w:lang w:val="es-ES_tradnl"/>
              </w:rPr>
              <w:t xml:space="preserve">calidad de funcionamiento </w:t>
            </w:r>
            <w:r w:rsidR="00803270" w:rsidRPr="00177138">
              <w:rPr>
                <w:rFonts w:ascii="Tahoma" w:hAnsi="Tahoma" w:cs="Tahoma"/>
                <w:b/>
                <w:bCs/>
                <w:color w:val="243285"/>
                <w:sz w:val="44"/>
                <w:szCs w:val="44"/>
                <w:lang w:val="es-ES_tradnl"/>
              </w:rPr>
              <w:t>para</w:t>
            </w:r>
            <w:r w:rsidR="00803270">
              <w:rPr>
                <w:rFonts w:ascii="Tahoma" w:hAnsi="Tahoma" w:cs="Tahoma"/>
                <w:b/>
                <w:bCs/>
                <w:color w:val="243285"/>
                <w:sz w:val="44"/>
                <w:szCs w:val="44"/>
                <w:lang w:val="es-ES_tradnl"/>
              </w:rPr>
              <w:br/>
            </w:r>
            <w:r w:rsidRPr="00177138">
              <w:rPr>
                <w:rFonts w:ascii="Tahoma" w:hAnsi="Tahoma" w:cs="Tahoma"/>
                <w:b/>
                <w:bCs/>
                <w:color w:val="243285"/>
                <w:sz w:val="44"/>
                <w:szCs w:val="44"/>
                <w:lang w:val="es-ES_tradnl"/>
              </w:rPr>
              <w:t>trayectos digitales ficticios de</w:t>
            </w:r>
            <w:r w:rsidR="00803270">
              <w:rPr>
                <w:rFonts w:ascii="Tahoma" w:hAnsi="Tahoma" w:cs="Tahoma"/>
                <w:b/>
                <w:bCs/>
                <w:color w:val="243285"/>
                <w:sz w:val="44"/>
                <w:szCs w:val="44"/>
                <w:lang w:val="es-ES_tradnl"/>
              </w:rPr>
              <w:br/>
            </w:r>
            <w:r w:rsidRPr="00177138">
              <w:rPr>
                <w:rFonts w:ascii="Tahoma" w:hAnsi="Tahoma" w:cs="Tahoma"/>
                <w:b/>
                <w:bCs/>
                <w:color w:val="243285"/>
                <w:sz w:val="44"/>
                <w:szCs w:val="44"/>
                <w:lang w:val="es-ES_tradnl"/>
              </w:rPr>
              <w:t>referencia</w:t>
            </w:r>
            <w:r>
              <w:rPr>
                <w:rFonts w:ascii="Tahoma" w:hAnsi="Tahoma" w:cs="Tahoma"/>
                <w:b/>
                <w:bCs/>
                <w:color w:val="243285"/>
                <w:sz w:val="44"/>
                <w:szCs w:val="44"/>
                <w:lang w:val="es-ES_tradnl"/>
              </w:rPr>
              <w:t xml:space="preserve"> </w:t>
            </w:r>
            <w:r w:rsidRPr="00177138">
              <w:rPr>
                <w:rFonts w:ascii="Tahoma" w:hAnsi="Tahoma" w:cs="Tahoma"/>
                <w:b/>
                <w:bCs/>
                <w:color w:val="243285"/>
                <w:sz w:val="44"/>
                <w:szCs w:val="44"/>
                <w:lang w:val="es-ES_tradnl"/>
              </w:rPr>
              <w:t>que</w:t>
            </w:r>
            <w:r w:rsidR="00803270">
              <w:rPr>
                <w:rFonts w:ascii="Tahoma" w:hAnsi="Tahoma" w:cs="Tahoma"/>
                <w:b/>
                <w:bCs/>
                <w:color w:val="243285"/>
                <w:sz w:val="44"/>
                <w:szCs w:val="44"/>
                <w:lang w:val="es-ES_tradnl"/>
              </w:rPr>
              <w:t xml:space="preserve"> </w:t>
            </w:r>
            <w:r w:rsidRPr="00177138">
              <w:rPr>
                <w:rFonts w:ascii="Tahoma" w:hAnsi="Tahoma" w:cs="Tahoma"/>
                <w:b/>
                <w:bCs/>
                <w:color w:val="243285"/>
                <w:sz w:val="44"/>
                <w:szCs w:val="44"/>
                <w:lang w:val="es-ES_tradnl"/>
              </w:rPr>
              <w:t xml:space="preserve">utilizan </w:t>
            </w:r>
            <w:r w:rsidR="00803270" w:rsidRPr="00177138">
              <w:rPr>
                <w:rFonts w:ascii="Tahoma" w:hAnsi="Tahoma" w:cs="Tahoma"/>
                <w:b/>
                <w:bCs/>
                <w:color w:val="243285"/>
                <w:sz w:val="44"/>
                <w:szCs w:val="44"/>
                <w:lang w:val="es-ES_tradnl"/>
              </w:rPr>
              <w:t>codificación</w:t>
            </w:r>
            <w:r w:rsidR="00803270">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y </w:t>
            </w:r>
            <w:r w:rsidRPr="00177138">
              <w:rPr>
                <w:rFonts w:ascii="Tahoma" w:hAnsi="Tahoma" w:cs="Tahoma"/>
                <w:b/>
                <w:bCs/>
                <w:color w:val="243285"/>
                <w:sz w:val="44"/>
                <w:szCs w:val="44"/>
                <w:lang w:val="es-ES_tradnl"/>
              </w:rPr>
              <w:t>modulación</w:t>
            </w:r>
            <w:r>
              <w:rPr>
                <w:rFonts w:ascii="Tahoma" w:hAnsi="Tahoma" w:cs="Tahoma"/>
                <w:b/>
                <w:bCs/>
                <w:color w:val="243285"/>
                <w:sz w:val="44"/>
                <w:szCs w:val="44"/>
                <w:lang w:val="es-ES_tradnl"/>
              </w:rPr>
              <w:t xml:space="preserve"> </w:t>
            </w:r>
            <w:r w:rsidRPr="00177138">
              <w:rPr>
                <w:rFonts w:ascii="Tahoma" w:hAnsi="Tahoma" w:cs="Tahoma"/>
                <w:b/>
                <w:bCs/>
                <w:color w:val="243285"/>
                <w:sz w:val="44"/>
                <w:szCs w:val="44"/>
                <w:lang w:val="es-ES_tradnl"/>
              </w:rPr>
              <w:t>adaptables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9E202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9E202C">
      <w:pPr>
        <w:spacing w:before="180"/>
        <w:rPr>
          <w:sz w:val="20"/>
          <w:lang w:val="es-ES_tradnl"/>
        </w:rPr>
      </w:pPr>
      <w:r w:rsidRPr="00021E8A">
        <w:rPr>
          <w:sz w:val="20"/>
          <w:lang w:val="es-ES_tradnl"/>
        </w:rPr>
        <w:t xml:space="preserve">La política del </w:t>
      </w:r>
      <w:r w:rsidR="00C51DA2">
        <w:rPr>
          <w:sz w:val="20"/>
          <w:lang w:val="es-ES_tradnl"/>
        </w:rPr>
        <w:t>UIT-R S</w:t>
      </w:r>
      <w:r w:rsidRPr="00021E8A">
        <w:rPr>
          <w:sz w:val="20"/>
          <w:lang w:val="es-ES_tradnl"/>
        </w:rPr>
        <w:t>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 xml:space="preserve">R/ISO/CEI y la base de datos sobre información de patentes del </w:t>
      </w:r>
      <w:r w:rsidR="00C51DA2">
        <w:rPr>
          <w:sz w:val="20"/>
          <w:lang w:val="es-ES_tradnl"/>
        </w:rPr>
        <w:t>UIT-R S</w:t>
      </w:r>
      <w:r w:rsidRPr="00021E8A">
        <w:rPr>
          <w:sz w:val="20"/>
          <w:lang w:val="es-ES_tradnl"/>
        </w:rPr>
        <w:t>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9E202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9E202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9E202C"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E202C"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9E202C"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9E202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9E202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9E202C" w:rsidTr="00D62884">
        <w:tc>
          <w:tcPr>
            <w:tcW w:w="9360" w:type="dxa"/>
          </w:tcPr>
          <w:p w:rsidR="00B1717A" w:rsidRPr="00763D08" w:rsidRDefault="00B1717A" w:rsidP="00881FC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B60877">
      <w:pPr>
        <w:spacing w:before="0" w:after="40"/>
        <w:jc w:val="right"/>
        <w:rPr>
          <w:sz w:val="20"/>
          <w:lang w:val="es-ES_tradnl"/>
        </w:rPr>
      </w:pPr>
      <w:r w:rsidRPr="00763D08">
        <w:rPr>
          <w:sz w:val="20"/>
          <w:lang w:val="es-ES_tradnl"/>
        </w:rPr>
        <w:t>Ginebra, 2</w:t>
      </w:r>
      <w:r w:rsidR="00DF53B7">
        <w:rPr>
          <w:sz w:val="20"/>
          <w:lang w:val="es-ES_tradnl"/>
        </w:rPr>
        <w:t>020</w:t>
      </w:r>
    </w:p>
    <w:p w:rsidR="00B1717A" w:rsidRPr="00763D08" w:rsidRDefault="00B1717A" w:rsidP="00B1717A">
      <w:pPr>
        <w:spacing w:before="0"/>
        <w:jc w:val="center"/>
        <w:rPr>
          <w:sz w:val="22"/>
          <w:lang w:val="es-ES_tradnl"/>
        </w:rPr>
      </w:pPr>
    </w:p>
    <w:p w:rsidR="00B1717A" w:rsidRPr="00763D08" w:rsidRDefault="00B1717A" w:rsidP="007B55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DF53B7">
        <w:rPr>
          <w:sz w:val="20"/>
          <w:lang w:val="es-ES_tradnl"/>
        </w:rPr>
        <w:t>20</w:t>
      </w:r>
    </w:p>
    <w:p w:rsidR="00145DF8"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F95CFB" w:rsidRPr="0010336F" w:rsidRDefault="00F95CFB" w:rsidP="00F95CF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w:t>
      </w:r>
      <w:r w:rsidR="00177138">
        <w:rPr>
          <w:rStyle w:val="href"/>
          <w:lang w:val="es-ES_tradnl"/>
        </w:rPr>
        <w:t>2131-0</w:t>
      </w:r>
    </w:p>
    <w:p w:rsidR="00177138" w:rsidRDefault="00177138" w:rsidP="00177138">
      <w:pPr>
        <w:pStyle w:val="Rectitle"/>
        <w:rPr>
          <w:lang w:val="es-ES_tradnl"/>
        </w:rPr>
      </w:pPr>
      <w:r w:rsidRPr="005B78E7">
        <w:rPr>
          <w:lang w:val="es-ES_tradnl"/>
        </w:rPr>
        <w:t xml:space="preserve">Método para determinar los objetivos de calidad de funcionamiento </w:t>
      </w:r>
      <w:r>
        <w:rPr>
          <w:lang w:val="es-ES_tradnl"/>
        </w:rPr>
        <w:br/>
      </w:r>
      <w:r w:rsidRPr="005B78E7">
        <w:rPr>
          <w:lang w:val="es-ES_tradnl"/>
        </w:rPr>
        <w:t xml:space="preserve">para trayectos digitales ficticios de referencia que utilizan </w:t>
      </w:r>
      <w:r>
        <w:rPr>
          <w:lang w:val="es-ES_tradnl"/>
        </w:rPr>
        <w:br/>
      </w:r>
      <w:r w:rsidRPr="005B78E7">
        <w:rPr>
          <w:lang w:val="es-ES_tradnl"/>
        </w:rPr>
        <w:t>codificación y modulación adaptables</w:t>
      </w:r>
      <w:r>
        <w:rPr>
          <w:rStyle w:val="FootnoteReference"/>
          <w:lang w:val="es-ES_tradnl"/>
        </w:rPr>
        <w:footnoteReference w:id="1"/>
      </w:r>
    </w:p>
    <w:p w:rsidR="00177138" w:rsidRDefault="00177138" w:rsidP="006233A4">
      <w:pPr>
        <w:pStyle w:val="Recref"/>
        <w:rPr>
          <w:lang w:val="es-ES_tradnl"/>
        </w:rPr>
      </w:pPr>
      <w:r w:rsidRPr="005B78E7">
        <w:rPr>
          <w:lang w:val="es-ES_tradnl"/>
        </w:rPr>
        <w:t>(Cuestiones UIT-R 275 y UIT-R 277-1/4)</w:t>
      </w:r>
    </w:p>
    <w:p w:rsidR="006233A4" w:rsidRPr="006233A4" w:rsidRDefault="006233A4" w:rsidP="006233A4">
      <w:pPr>
        <w:pStyle w:val="Blanc"/>
      </w:pPr>
    </w:p>
    <w:p w:rsidR="00177138" w:rsidRPr="00D20CFE" w:rsidRDefault="00177138" w:rsidP="00177138">
      <w:pPr>
        <w:pStyle w:val="Repdate"/>
        <w:rPr>
          <w:lang w:val="es-ES_tradnl"/>
        </w:rPr>
      </w:pPr>
      <w:r w:rsidRPr="00D20CFE">
        <w:rPr>
          <w:lang w:val="es-ES_tradnl"/>
        </w:rPr>
        <w:t>(</w:t>
      </w:r>
      <w:r w:rsidRPr="00613530">
        <w:rPr>
          <w:lang w:val="es-ES_tradnl"/>
        </w:rPr>
        <w:t>2019</w:t>
      </w:r>
      <w:r w:rsidRPr="00D20CFE">
        <w:rPr>
          <w:lang w:val="es-ES_tradnl"/>
        </w:rPr>
        <w:t>)</w:t>
      </w:r>
    </w:p>
    <w:p w:rsidR="00177138" w:rsidRPr="00D20CFE" w:rsidRDefault="00177138" w:rsidP="00177138">
      <w:pPr>
        <w:pStyle w:val="HeadingSum"/>
      </w:pPr>
      <w:r>
        <w:t>Cometido</w:t>
      </w:r>
    </w:p>
    <w:p w:rsidR="00177138" w:rsidRPr="005B78E7" w:rsidRDefault="00177138" w:rsidP="00177138">
      <w:pPr>
        <w:pStyle w:val="Summary"/>
        <w:rPr>
          <w:lang w:val="es-ES"/>
        </w:rPr>
      </w:pPr>
      <w:r w:rsidRPr="005B78E7">
        <w:rPr>
          <w:lang w:val="es-ES"/>
        </w:rPr>
        <w:t>La utilización de la codificación y modulación adaptables (ACM) permite mantener una conexión de satélite a pesar de la degradación causada por la propagación, pero a velocidades de caudal inferiores. En esta Recomendación se presenta un método para determinar los objetivos de calidad de funcionamiento de los sistemas de comunicación por satélite que utilizan la ACM.</w:t>
      </w:r>
    </w:p>
    <w:p w:rsidR="00177138" w:rsidRPr="00D20CFE" w:rsidRDefault="00177138" w:rsidP="00177138">
      <w:pPr>
        <w:pStyle w:val="Headingb"/>
        <w:rPr>
          <w:lang w:val="es-ES_tradnl"/>
        </w:rPr>
      </w:pPr>
      <w:r w:rsidRPr="00D20CFE">
        <w:rPr>
          <w:lang w:val="es-ES_tradnl"/>
        </w:rPr>
        <w:t>Palabras clave</w:t>
      </w:r>
    </w:p>
    <w:p w:rsidR="00177138" w:rsidRPr="00D20CFE" w:rsidRDefault="00177138" w:rsidP="00177138">
      <w:pPr>
        <w:rPr>
          <w:lang w:val="es-ES_tradnl"/>
        </w:rPr>
      </w:pPr>
      <w:r w:rsidRPr="005B78E7">
        <w:rPr>
          <w:lang w:val="es-ES_tradnl"/>
        </w:rPr>
        <w:t>Codificación y modulación adaptables, comunicaciones por satélite, objetivos de calidad de funcionamiento</w:t>
      </w:r>
    </w:p>
    <w:p w:rsidR="00177138" w:rsidRPr="005B78E7" w:rsidRDefault="00177138" w:rsidP="00177138">
      <w:pPr>
        <w:pStyle w:val="Headingb"/>
        <w:rPr>
          <w:lang w:val="es-ES_tradnl"/>
        </w:rPr>
      </w:pPr>
      <w:bookmarkStart w:id="3" w:name="_Toc369007122"/>
      <w:r w:rsidRPr="005B78E7">
        <w:rPr>
          <w:lang w:val="es-ES_tradnl"/>
        </w:rPr>
        <w:t>Abreviaturas/Glosario</w:t>
      </w:r>
      <w:bookmarkEnd w:id="3"/>
    </w:p>
    <w:p w:rsidR="00177138" w:rsidRPr="005B78E7" w:rsidRDefault="00177138" w:rsidP="00177138">
      <w:pPr>
        <w:ind w:left="1191" w:hanging="1191"/>
        <w:rPr>
          <w:lang w:val="es-ES"/>
        </w:rPr>
      </w:pPr>
      <w:r w:rsidRPr="005B78E7">
        <w:rPr>
          <w:lang w:val="es-ES"/>
        </w:rPr>
        <w:t>ACM</w:t>
      </w:r>
      <w:r>
        <w:rPr>
          <w:lang w:val="es-ES"/>
        </w:rPr>
        <w:tab/>
      </w:r>
      <w:r>
        <w:rPr>
          <w:lang w:val="es-ES"/>
        </w:rPr>
        <w:tab/>
      </w:r>
      <w:r w:rsidRPr="005B78E7">
        <w:rPr>
          <w:lang w:val="es-ES"/>
        </w:rPr>
        <w:t>Codificación y modulación adaptables (</w:t>
      </w:r>
      <w:r>
        <w:rPr>
          <w:i/>
          <w:iCs/>
          <w:lang w:val="es-ES"/>
        </w:rPr>
        <w:t>a</w:t>
      </w:r>
      <w:r w:rsidRPr="005B78E7">
        <w:rPr>
          <w:i/>
          <w:iCs/>
          <w:lang w:val="es-ES"/>
        </w:rPr>
        <w:t>daptive coding and modulation</w:t>
      </w:r>
      <w:r w:rsidRPr="009E59FF">
        <w:rPr>
          <w:lang w:val="es-ES"/>
        </w:rPr>
        <w:t>)</w:t>
      </w:r>
    </w:p>
    <w:p w:rsidR="00177138" w:rsidRPr="005B78E7" w:rsidRDefault="00177138" w:rsidP="00177138">
      <w:pPr>
        <w:ind w:left="1191" w:hanging="1191"/>
        <w:rPr>
          <w:lang w:val="es-ES"/>
        </w:rPr>
      </w:pPr>
      <w:r w:rsidRPr="005B78E7">
        <w:rPr>
          <w:lang w:val="es-ES"/>
        </w:rPr>
        <w:t>AMDT</w:t>
      </w:r>
      <w:r>
        <w:rPr>
          <w:lang w:val="es-ES"/>
        </w:rPr>
        <w:tab/>
      </w:r>
      <w:r>
        <w:rPr>
          <w:lang w:val="es-ES"/>
        </w:rPr>
        <w:tab/>
      </w:r>
      <w:r w:rsidRPr="005B78E7">
        <w:rPr>
          <w:lang w:val="es-ES"/>
        </w:rPr>
        <w:t>Acceso múltiple por división en el tiempo</w:t>
      </w:r>
    </w:p>
    <w:p w:rsidR="00177138" w:rsidRPr="005B78E7" w:rsidRDefault="00177138" w:rsidP="00177138">
      <w:pPr>
        <w:ind w:left="1191" w:hanging="1191"/>
        <w:rPr>
          <w:lang w:val="es-ES"/>
        </w:rPr>
      </w:pPr>
      <w:r w:rsidRPr="005B78E7">
        <w:rPr>
          <w:lang w:val="es-ES"/>
        </w:rPr>
        <w:t>BBER</w:t>
      </w:r>
      <w:r>
        <w:rPr>
          <w:i/>
          <w:lang w:val="es-ES"/>
        </w:rPr>
        <w:tab/>
      </w:r>
      <w:r>
        <w:rPr>
          <w:i/>
          <w:lang w:val="es-ES"/>
        </w:rPr>
        <w:tab/>
      </w:r>
      <w:r w:rsidRPr="005B78E7">
        <w:rPr>
          <w:iCs/>
          <w:lang w:val="es-ES"/>
        </w:rPr>
        <w:t>Tasa de errores de bloque de fondo (</w:t>
      </w:r>
      <w:r>
        <w:rPr>
          <w:i/>
          <w:iCs/>
          <w:lang w:val="es-ES"/>
        </w:rPr>
        <w:t>b</w:t>
      </w:r>
      <w:r w:rsidRPr="005B78E7">
        <w:rPr>
          <w:i/>
          <w:iCs/>
          <w:lang w:val="es-ES"/>
        </w:rPr>
        <w:t>ackground block error rate</w:t>
      </w:r>
      <w:r w:rsidRPr="009E59FF">
        <w:rPr>
          <w:lang w:val="es-ES"/>
        </w:rPr>
        <w:t>)</w:t>
      </w:r>
    </w:p>
    <w:p w:rsidR="00177138" w:rsidRPr="005B78E7" w:rsidRDefault="00177138" w:rsidP="00177138">
      <w:pPr>
        <w:ind w:left="1191" w:hanging="1191"/>
        <w:rPr>
          <w:lang w:val="es-ES"/>
        </w:rPr>
      </w:pPr>
      <w:r w:rsidRPr="005B78E7">
        <w:rPr>
          <w:lang w:val="es-ES"/>
        </w:rPr>
        <w:t>BEP</w:t>
      </w:r>
      <w:r>
        <w:rPr>
          <w:lang w:val="es-ES"/>
        </w:rPr>
        <w:tab/>
      </w:r>
      <w:r>
        <w:rPr>
          <w:lang w:val="es-ES"/>
        </w:rPr>
        <w:tab/>
      </w:r>
      <w:r w:rsidRPr="005B78E7">
        <w:rPr>
          <w:lang w:val="es-ES"/>
        </w:rPr>
        <w:t>Probabilidad de errores en los bits (</w:t>
      </w:r>
      <w:r>
        <w:rPr>
          <w:i/>
          <w:iCs/>
          <w:lang w:val="es-ES"/>
        </w:rPr>
        <w:t>b</w:t>
      </w:r>
      <w:r w:rsidRPr="005B78E7">
        <w:rPr>
          <w:i/>
          <w:iCs/>
          <w:lang w:val="es-ES"/>
        </w:rPr>
        <w:t>it error probability</w:t>
      </w:r>
      <w:r w:rsidRPr="009E59FF">
        <w:rPr>
          <w:lang w:val="es-ES"/>
        </w:rPr>
        <w:t>)</w:t>
      </w:r>
    </w:p>
    <w:p w:rsidR="00177138" w:rsidRPr="005B78E7" w:rsidRDefault="00177138" w:rsidP="00177138">
      <w:pPr>
        <w:ind w:left="1191" w:hanging="1191"/>
        <w:rPr>
          <w:lang w:val="es-ES"/>
        </w:rPr>
      </w:pPr>
      <w:r w:rsidRPr="005B78E7">
        <w:rPr>
          <w:lang w:val="es-ES"/>
        </w:rPr>
        <w:t>BER</w:t>
      </w:r>
      <w:r>
        <w:rPr>
          <w:lang w:val="es-ES"/>
        </w:rPr>
        <w:tab/>
      </w:r>
      <w:r>
        <w:rPr>
          <w:lang w:val="es-ES"/>
        </w:rPr>
        <w:tab/>
      </w:r>
      <w:r w:rsidRPr="005B78E7">
        <w:rPr>
          <w:lang w:val="es-ES"/>
        </w:rPr>
        <w:t>Tasa de errores en los bits (</w:t>
      </w:r>
      <w:r>
        <w:rPr>
          <w:i/>
          <w:iCs/>
          <w:lang w:val="es-ES"/>
        </w:rPr>
        <w:t>b</w:t>
      </w:r>
      <w:r w:rsidRPr="005B78E7">
        <w:rPr>
          <w:i/>
          <w:iCs/>
          <w:lang w:val="es-ES"/>
        </w:rPr>
        <w:t>it error ratio</w:t>
      </w:r>
      <w:r w:rsidRPr="009E59FF">
        <w:rPr>
          <w:lang w:val="es-ES"/>
        </w:rPr>
        <w:t>)</w:t>
      </w:r>
    </w:p>
    <w:p w:rsidR="00177138" w:rsidRPr="005B78E7" w:rsidRDefault="00177138" w:rsidP="00177138">
      <w:pPr>
        <w:ind w:left="1191" w:hanging="1191"/>
        <w:rPr>
          <w:lang w:val="es-ES"/>
        </w:rPr>
      </w:pPr>
      <w:r w:rsidRPr="005B78E7">
        <w:rPr>
          <w:i/>
          <w:lang w:val="es-ES"/>
        </w:rPr>
        <w:t>C/N</w:t>
      </w:r>
      <w:r>
        <w:rPr>
          <w:lang w:val="es-ES"/>
        </w:rPr>
        <w:tab/>
      </w:r>
      <w:r>
        <w:rPr>
          <w:lang w:val="es-ES"/>
        </w:rPr>
        <w:tab/>
      </w:r>
      <w:r w:rsidRPr="005B78E7">
        <w:rPr>
          <w:lang w:val="es-ES"/>
        </w:rPr>
        <w:t xml:space="preserve">Relación portadora/ruido </w:t>
      </w:r>
      <w:r w:rsidRPr="005B78E7">
        <w:rPr>
          <w:lang w:val="en-US"/>
        </w:rPr>
        <w:t>γ</w:t>
      </w:r>
      <w:r w:rsidRPr="005B78E7">
        <w:rPr>
          <w:lang w:val="es-ES"/>
        </w:rPr>
        <w:t xml:space="preserve"> (</w:t>
      </w:r>
      <w:r>
        <w:rPr>
          <w:i/>
          <w:iCs/>
          <w:lang w:val="es-ES"/>
        </w:rPr>
        <w:t>c</w:t>
      </w:r>
      <w:r w:rsidRPr="005B78E7">
        <w:rPr>
          <w:i/>
          <w:iCs/>
          <w:lang w:val="es-ES"/>
        </w:rPr>
        <w:t xml:space="preserve">arrier to noise ratio </w:t>
      </w:r>
      <w:r w:rsidRPr="005B78E7">
        <w:rPr>
          <w:lang w:val="en-US"/>
        </w:rPr>
        <w:t>γ</w:t>
      </w:r>
      <w:r w:rsidRPr="009E59FF">
        <w:rPr>
          <w:lang w:val="es-ES"/>
        </w:rPr>
        <w:t>)</w:t>
      </w:r>
    </w:p>
    <w:p w:rsidR="00177138" w:rsidRPr="005B78E7" w:rsidRDefault="00177138" w:rsidP="00177138">
      <w:pPr>
        <w:ind w:left="1191" w:hanging="1191"/>
        <w:rPr>
          <w:lang w:val="es-ES"/>
        </w:rPr>
      </w:pPr>
      <w:r w:rsidRPr="005B78E7">
        <w:rPr>
          <w:lang w:val="es-ES"/>
        </w:rPr>
        <w:t>DVB</w:t>
      </w:r>
      <w:r>
        <w:rPr>
          <w:lang w:val="es-ES"/>
        </w:rPr>
        <w:tab/>
      </w:r>
      <w:r>
        <w:rPr>
          <w:lang w:val="es-ES"/>
        </w:rPr>
        <w:tab/>
      </w:r>
      <w:r w:rsidRPr="005B78E7">
        <w:rPr>
          <w:lang w:val="es-ES"/>
        </w:rPr>
        <w:t>Radiodifusión de vídeo digital (</w:t>
      </w:r>
      <w:r>
        <w:rPr>
          <w:i/>
          <w:iCs/>
          <w:lang w:val="es-ES"/>
        </w:rPr>
        <w:t>d</w:t>
      </w:r>
      <w:r w:rsidRPr="005B78E7">
        <w:rPr>
          <w:i/>
          <w:iCs/>
          <w:lang w:val="es-ES"/>
        </w:rPr>
        <w:t>igital video broadcasting</w:t>
      </w:r>
      <w:r w:rsidRPr="009E59FF">
        <w:rPr>
          <w:lang w:val="es-ES"/>
        </w:rPr>
        <w:t>)</w:t>
      </w:r>
    </w:p>
    <w:p w:rsidR="00177138" w:rsidRPr="005B78E7" w:rsidRDefault="00177138" w:rsidP="00177138">
      <w:pPr>
        <w:ind w:left="1191" w:hanging="1191"/>
        <w:rPr>
          <w:lang w:val="es-ES"/>
        </w:rPr>
      </w:pPr>
      <w:r w:rsidRPr="005B78E7">
        <w:rPr>
          <w:lang w:val="es-ES"/>
        </w:rPr>
        <w:t>DVB-S2</w:t>
      </w:r>
      <w:r>
        <w:rPr>
          <w:lang w:val="es-ES"/>
        </w:rPr>
        <w:tab/>
      </w:r>
      <w:r w:rsidRPr="005B78E7">
        <w:rPr>
          <w:lang w:val="es-ES"/>
        </w:rPr>
        <w:t>Segunda generación de radiodifusión de vídeo digital por satélite (</w:t>
      </w:r>
      <w:r>
        <w:rPr>
          <w:i/>
          <w:iCs/>
          <w:lang w:val="es-ES"/>
        </w:rPr>
        <w:t>s</w:t>
      </w:r>
      <w:r w:rsidRPr="005B78E7">
        <w:rPr>
          <w:i/>
          <w:iCs/>
          <w:lang w:val="es-ES"/>
        </w:rPr>
        <w:t>econd generation digital video broadcasting via satellite</w:t>
      </w:r>
      <w:r w:rsidRPr="009E59FF">
        <w:rPr>
          <w:lang w:val="es-ES"/>
        </w:rPr>
        <w:t>)</w:t>
      </w:r>
    </w:p>
    <w:p w:rsidR="00177138" w:rsidRPr="005B78E7" w:rsidRDefault="00177138" w:rsidP="00177138">
      <w:pPr>
        <w:ind w:left="1191" w:hanging="1191"/>
        <w:rPr>
          <w:lang w:val="es-ES"/>
        </w:rPr>
      </w:pPr>
      <w:r w:rsidRPr="005B78E7">
        <w:rPr>
          <w:lang w:val="es-ES"/>
        </w:rPr>
        <w:t>DVB-S2X</w:t>
      </w:r>
      <w:r>
        <w:rPr>
          <w:lang w:val="es-ES"/>
        </w:rPr>
        <w:tab/>
      </w:r>
      <w:r w:rsidRPr="005B78E7">
        <w:rPr>
          <w:lang w:val="es-ES"/>
        </w:rPr>
        <w:t>Ampliación de la segunda generación de radiodifusión de vídeo digital por satélite (</w:t>
      </w:r>
      <w:r>
        <w:rPr>
          <w:i/>
          <w:iCs/>
          <w:lang w:val="es-ES"/>
        </w:rPr>
        <w:t>e</w:t>
      </w:r>
      <w:r w:rsidRPr="005B78E7">
        <w:rPr>
          <w:i/>
          <w:iCs/>
          <w:lang w:val="es-ES"/>
        </w:rPr>
        <w:t>xtension of second generation digital video broadcasting via satellite</w:t>
      </w:r>
      <w:r w:rsidRPr="009E59FF">
        <w:rPr>
          <w:lang w:val="es-ES"/>
        </w:rPr>
        <w:t>)</w:t>
      </w:r>
    </w:p>
    <w:p w:rsidR="00177138" w:rsidRPr="005B78E7" w:rsidRDefault="00177138" w:rsidP="00177138">
      <w:pPr>
        <w:ind w:left="1191" w:hanging="1191"/>
        <w:rPr>
          <w:lang w:val="es-ES"/>
        </w:rPr>
      </w:pPr>
      <w:r w:rsidRPr="005B78E7">
        <w:rPr>
          <w:lang w:val="es-ES"/>
        </w:rPr>
        <w:t>EB</w:t>
      </w:r>
      <w:r>
        <w:rPr>
          <w:lang w:val="es-ES"/>
        </w:rPr>
        <w:tab/>
      </w:r>
      <w:r>
        <w:rPr>
          <w:lang w:val="es-ES"/>
        </w:rPr>
        <w:tab/>
      </w:r>
      <w:r w:rsidRPr="005B78E7">
        <w:rPr>
          <w:lang w:val="es-ES"/>
        </w:rPr>
        <w:t>Bloque con errores (</w:t>
      </w:r>
      <w:r>
        <w:rPr>
          <w:i/>
          <w:iCs/>
          <w:lang w:val="es-ES"/>
        </w:rPr>
        <w:t>e</w:t>
      </w:r>
      <w:r w:rsidRPr="005B78E7">
        <w:rPr>
          <w:i/>
          <w:iCs/>
          <w:lang w:val="es-ES"/>
        </w:rPr>
        <w:t>rrored block</w:t>
      </w:r>
      <w:r w:rsidRPr="009E59FF">
        <w:rPr>
          <w:lang w:val="es-ES"/>
        </w:rPr>
        <w:t>)</w:t>
      </w:r>
    </w:p>
    <w:p w:rsidR="00177138" w:rsidRPr="005B78E7" w:rsidRDefault="00177138" w:rsidP="00177138">
      <w:pPr>
        <w:ind w:left="1191" w:hanging="1191"/>
        <w:rPr>
          <w:lang w:val="es-ES"/>
        </w:rPr>
      </w:pPr>
      <w:r w:rsidRPr="005B78E7">
        <w:rPr>
          <w:lang w:val="es-ES"/>
        </w:rPr>
        <w:t>ES</w:t>
      </w:r>
      <w:r>
        <w:rPr>
          <w:lang w:val="es-ES"/>
        </w:rPr>
        <w:tab/>
      </w:r>
      <w:r>
        <w:rPr>
          <w:lang w:val="es-ES"/>
        </w:rPr>
        <w:tab/>
      </w:r>
      <w:r w:rsidRPr="005B78E7">
        <w:rPr>
          <w:lang w:val="es-ES"/>
        </w:rPr>
        <w:t>Segundo con errores (</w:t>
      </w:r>
      <w:r>
        <w:rPr>
          <w:i/>
          <w:iCs/>
          <w:lang w:val="es-ES"/>
        </w:rPr>
        <w:t>e</w:t>
      </w:r>
      <w:r w:rsidRPr="005B78E7">
        <w:rPr>
          <w:i/>
          <w:iCs/>
          <w:lang w:val="es-ES"/>
        </w:rPr>
        <w:t>rrored second</w:t>
      </w:r>
      <w:r w:rsidRPr="009E59FF">
        <w:rPr>
          <w:lang w:val="es-ES"/>
        </w:rPr>
        <w:t>)</w:t>
      </w:r>
    </w:p>
    <w:p w:rsidR="00177138" w:rsidRPr="005B78E7" w:rsidRDefault="00177138" w:rsidP="00177138">
      <w:pPr>
        <w:ind w:left="1191" w:hanging="1191"/>
        <w:rPr>
          <w:lang w:val="es-ES"/>
        </w:rPr>
      </w:pPr>
      <w:r w:rsidRPr="005B78E7">
        <w:rPr>
          <w:i/>
          <w:lang w:val="es-ES"/>
        </w:rPr>
        <w:t>E</w:t>
      </w:r>
      <w:r w:rsidRPr="005B78E7">
        <w:rPr>
          <w:i/>
          <w:vertAlign w:val="subscript"/>
          <w:lang w:val="es-ES"/>
        </w:rPr>
        <w:t>s</w:t>
      </w:r>
      <w:r w:rsidRPr="005B78E7">
        <w:rPr>
          <w:lang w:val="es-ES"/>
        </w:rPr>
        <w:t>/</w:t>
      </w:r>
      <w:r w:rsidRPr="005B78E7">
        <w:rPr>
          <w:i/>
          <w:lang w:val="es-ES"/>
        </w:rPr>
        <w:t>N</w:t>
      </w:r>
      <w:r w:rsidRPr="005B78E7">
        <w:rPr>
          <w:vertAlign w:val="subscript"/>
          <w:lang w:val="es-ES"/>
        </w:rPr>
        <w:t>0</w:t>
      </w:r>
      <w:r>
        <w:rPr>
          <w:lang w:val="es-ES"/>
        </w:rPr>
        <w:tab/>
      </w:r>
      <w:r>
        <w:rPr>
          <w:lang w:val="es-ES"/>
        </w:rPr>
        <w:tab/>
      </w:r>
      <w:r w:rsidRPr="005B78E7">
        <w:rPr>
          <w:lang w:val="es-ES"/>
        </w:rPr>
        <w:t>Relación energía por símbolo/densidad espectral de ruido (</w:t>
      </w:r>
      <w:r>
        <w:rPr>
          <w:i/>
          <w:iCs/>
          <w:lang w:val="es-ES"/>
        </w:rPr>
        <w:t>s</w:t>
      </w:r>
      <w:r w:rsidRPr="005B78E7">
        <w:rPr>
          <w:i/>
          <w:iCs/>
          <w:lang w:val="es-ES"/>
        </w:rPr>
        <w:t>ymbol energy to noise spectral density ratio</w:t>
      </w:r>
      <w:r w:rsidRPr="009E59FF">
        <w:rPr>
          <w:lang w:val="es-ES"/>
        </w:rPr>
        <w:t>)</w:t>
      </w:r>
    </w:p>
    <w:p w:rsidR="00177138" w:rsidRPr="005B78E7" w:rsidRDefault="00177138" w:rsidP="00177138">
      <w:pPr>
        <w:ind w:left="1191" w:hanging="1191"/>
        <w:rPr>
          <w:lang w:val="es-ES"/>
        </w:rPr>
      </w:pPr>
      <w:r w:rsidRPr="005B78E7">
        <w:rPr>
          <w:lang w:val="es-ES"/>
        </w:rPr>
        <w:t>ETSI</w:t>
      </w:r>
      <w:r>
        <w:rPr>
          <w:lang w:val="es-ES"/>
        </w:rPr>
        <w:tab/>
      </w:r>
      <w:r>
        <w:rPr>
          <w:lang w:val="es-ES"/>
        </w:rPr>
        <w:tab/>
      </w:r>
      <w:r w:rsidRPr="005B78E7">
        <w:rPr>
          <w:lang w:val="es-ES"/>
        </w:rPr>
        <w:t xml:space="preserve">Instituto </w:t>
      </w:r>
      <w:r>
        <w:rPr>
          <w:lang w:val="es-ES"/>
        </w:rPr>
        <w:t>E</w:t>
      </w:r>
      <w:r w:rsidRPr="005B78E7">
        <w:rPr>
          <w:lang w:val="es-ES"/>
        </w:rPr>
        <w:t xml:space="preserve">uropeo de </w:t>
      </w:r>
      <w:r>
        <w:rPr>
          <w:lang w:val="es-ES"/>
        </w:rPr>
        <w:t>N</w:t>
      </w:r>
      <w:r w:rsidRPr="005B78E7">
        <w:rPr>
          <w:lang w:val="es-ES"/>
        </w:rPr>
        <w:t xml:space="preserve">ormas de </w:t>
      </w:r>
      <w:r>
        <w:rPr>
          <w:lang w:val="es-ES"/>
        </w:rPr>
        <w:t>T</w:t>
      </w:r>
      <w:r w:rsidRPr="005B78E7">
        <w:rPr>
          <w:lang w:val="es-ES"/>
        </w:rPr>
        <w:t>elecomunicación (</w:t>
      </w:r>
      <w:r>
        <w:rPr>
          <w:i/>
          <w:iCs/>
          <w:lang w:val="es-ES"/>
        </w:rPr>
        <w:t>e</w:t>
      </w:r>
      <w:r w:rsidRPr="005B78E7">
        <w:rPr>
          <w:i/>
          <w:iCs/>
          <w:lang w:val="es-ES"/>
        </w:rPr>
        <w:t>uropean telecommunications standards institute</w:t>
      </w:r>
      <w:r w:rsidRPr="009E59FF">
        <w:rPr>
          <w:lang w:val="es-ES"/>
        </w:rPr>
        <w:t>)</w:t>
      </w:r>
    </w:p>
    <w:p w:rsidR="00177138" w:rsidRPr="009E59FF" w:rsidRDefault="00177138" w:rsidP="00177138">
      <w:pPr>
        <w:ind w:left="1191" w:hanging="1191"/>
        <w:rPr>
          <w:lang w:val="es-ES"/>
        </w:rPr>
      </w:pPr>
      <w:r w:rsidRPr="005B78E7">
        <w:rPr>
          <w:lang w:val="es-ES"/>
        </w:rPr>
        <w:t>FER</w:t>
      </w:r>
      <w:r>
        <w:rPr>
          <w:lang w:val="es-ES"/>
        </w:rPr>
        <w:tab/>
      </w:r>
      <w:r>
        <w:rPr>
          <w:lang w:val="es-ES"/>
        </w:rPr>
        <w:tab/>
      </w:r>
      <w:r w:rsidRPr="005B78E7">
        <w:rPr>
          <w:lang w:val="es-ES"/>
        </w:rPr>
        <w:t>Tasa de errores en las tramas (</w:t>
      </w:r>
      <w:r>
        <w:rPr>
          <w:i/>
          <w:iCs/>
          <w:lang w:val="es-ES"/>
        </w:rPr>
        <w:t>f</w:t>
      </w:r>
      <w:r w:rsidRPr="005B78E7">
        <w:rPr>
          <w:i/>
          <w:iCs/>
          <w:lang w:val="es-ES"/>
        </w:rPr>
        <w:t>rame error rate</w:t>
      </w:r>
      <w:r w:rsidRPr="009E59FF">
        <w:rPr>
          <w:lang w:val="es-ES"/>
        </w:rPr>
        <w:t>)</w:t>
      </w:r>
    </w:p>
    <w:p w:rsidR="00177138" w:rsidRPr="005B78E7" w:rsidRDefault="00177138" w:rsidP="006233A4">
      <w:pPr>
        <w:keepNext/>
        <w:keepLines/>
        <w:ind w:left="1191" w:hanging="1191"/>
        <w:rPr>
          <w:lang w:val="es-ES"/>
        </w:rPr>
      </w:pPr>
      <w:r w:rsidRPr="005B78E7">
        <w:rPr>
          <w:lang w:val="es-ES"/>
        </w:rPr>
        <w:lastRenderedPageBreak/>
        <w:t>HRX</w:t>
      </w:r>
      <w:r>
        <w:rPr>
          <w:lang w:val="es-ES"/>
        </w:rPr>
        <w:tab/>
      </w:r>
      <w:r>
        <w:rPr>
          <w:lang w:val="es-ES"/>
        </w:rPr>
        <w:tab/>
      </w:r>
      <w:r w:rsidRPr="005B78E7">
        <w:rPr>
          <w:lang w:val="es-ES"/>
        </w:rPr>
        <w:t>Conexión ficticia de referencia (</w:t>
      </w:r>
      <w:r>
        <w:rPr>
          <w:i/>
          <w:iCs/>
          <w:lang w:val="es-ES"/>
        </w:rPr>
        <w:t>h</w:t>
      </w:r>
      <w:r w:rsidRPr="005B78E7">
        <w:rPr>
          <w:i/>
          <w:iCs/>
          <w:lang w:val="es-ES"/>
        </w:rPr>
        <w:t>ypothetical reference connection</w:t>
      </w:r>
      <w:r w:rsidRPr="009E59FF">
        <w:rPr>
          <w:lang w:val="es-ES"/>
        </w:rPr>
        <w:t>)</w:t>
      </w:r>
    </w:p>
    <w:p w:rsidR="00177138" w:rsidRPr="005B78E7" w:rsidRDefault="00177138" w:rsidP="00177138">
      <w:pPr>
        <w:ind w:left="1191" w:hanging="1191"/>
        <w:rPr>
          <w:lang w:val="es-ES"/>
        </w:rPr>
      </w:pPr>
      <w:r w:rsidRPr="005B78E7">
        <w:rPr>
          <w:lang w:val="es-ES"/>
        </w:rPr>
        <w:t>MDT</w:t>
      </w:r>
      <w:r>
        <w:rPr>
          <w:lang w:val="es-ES"/>
        </w:rPr>
        <w:tab/>
      </w:r>
      <w:r>
        <w:rPr>
          <w:lang w:val="es-ES"/>
        </w:rPr>
        <w:tab/>
      </w:r>
      <w:r w:rsidRPr="005B78E7">
        <w:rPr>
          <w:lang w:val="es-ES"/>
        </w:rPr>
        <w:t>Multiplexación por división en el tiempo</w:t>
      </w:r>
    </w:p>
    <w:p w:rsidR="00177138" w:rsidRPr="005B78E7" w:rsidRDefault="00177138" w:rsidP="00177138">
      <w:pPr>
        <w:ind w:left="1191" w:hanging="1191"/>
        <w:rPr>
          <w:lang w:val="es-ES"/>
        </w:rPr>
      </w:pPr>
      <w:r w:rsidRPr="005B78E7">
        <w:rPr>
          <w:lang w:val="es-ES"/>
        </w:rPr>
        <w:t>MODCOD</w:t>
      </w:r>
      <w:r>
        <w:rPr>
          <w:lang w:val="es-ES"/>
        </w:rPr>
        <w:tab/>
      </w:r>
      <w:r w:rsidRPr="005B78E7">
        <w:rPr>
          <w:lang w:val="es-ES"/>
        </w:rPr>
        <w:t>Modulación y codificación (</w:t>
      </w:r>
      <w:r>
        <w:rPr>
          <w:i/>
          <w:iCs/>
          <w:lang w:val="es-ES"/>
        </w:rPr>
        <w:t>m</w:t>
      </w:r>
      <w:r w:rsidRPr="005B78E7">
        <w:rPr>
          <w:i/>
          <w:iCs/>
          <w:lang w:val="es-ES"/>
        </w:rPr>
        <w:t>odulation and coding</w:t>
      </w:r>
      <w:r w:rsidRPr="009E59FF">
        <w:rPr>
          <w:lang w:val="es-ES"/>
        </w:rPr>
        <w:t>)</w:t>
      </w:r>
    </w:p>
    <w:p w:rsidR="00177138" w:rsidRPr="005B78E7" w:rsidRDefault="00177138" w:rsidP="00177138">
      <w:pPr>
        <w:ind w:left="1191" w:hanging="1191"/>
        <w:rPr>
          <w:lang w:val="es-ES"/>
        </w:rPr>
      </w:pPr>
      <w:r w:rsidRPr="005B78E7">
        <w:rPr>
          <w:lang w:val="es-ES"/>
        </w:rPr>
        <w:t>MPEG</w:t>
      </w:r>
      <w:r>
        <w:rPr>
          <w:lang w:val="es-ES"/>
        </w:rPr>
        <w:tab/>
      </w:r>
      <w:r>
        <w:rPr>
          <w:lang w:val="es-ES"/>
        </w:rPr>
        <w:tab/>
      </w:r>
      <w:r w:rsidRPr="005B78E7">
        <w:rPr>
          <w:lang w:val="es-ES"/>
        </w:rPr>
        <w:t xml:space="preserve">Grupo de </w:t>
      </w:r>
      <w:r>
        <w:rPr>
          <w:lang w:val="es-ES"/>
        </w:rPr>
        <w:t>e</w:t>
      </w:r>
      <w:r w:rsidRPr="005B78E7">
        <w:rPr>
          <w:lang w:val="es-ES"/>
        </w:rPr>
        <w:t xml:space="preserve">xpertos en </w:t>
      </w:r>
      <w:r>
        <w:rPr>
          <w:lang w:val="es-ES"/>
        </w:rPr>
        <w:t>i</w:t>
      </w:r>
      <w:r w:rsidRPr="005B78E7">
        <w:rPr>
          <w:lang w:val="es-ES"/>
        </w:rPr>
        <w:t xml:space="preserve">mágenes en </w:t>
      </w:r>
      <w:r>
        <w:rPr>
          <w:lang w:val="es-ES"/>
        </w:rPr>
        <w:t>m</w:t>
      </w:r>
      <w:r w:rsidRPr="005B78E7">
        <w:rPr>
          <w:lang w:val="es-ES"/>
        </w:rPr>
        <w:t>ovimiento (</w:t>
      </w:r>
      <w:r>
        <w:rPr>
          <w:i/>
          <w:iCs/>
          <w:lang w:val="es-ES"/>
        </w:rPr>
        <w:t>m</w:t>
      </w:r>
      <w:r w:rsidRPr="005B78E7">
        <w:rPr>
          <w:i/>
          <w:iCs/>
          <w:lang w:val="es-ES"/>
        </w:rPr>
        <w:t>oving picture experts group</w:t>
      </w:r>
      <w:r w:rsidRPr="009E59FF">
        <w:rPr>
          <w:lang w:val="es-ES"/>
        </w:rPr>
        <w:t>)</w:t>
      </w:r>
    </w:p>
    <w:p w:rsidR="00177138" w:rsidRPr="005B78E7" w:rsidRDefault="00177138" w:rsidP="00177138">
      <w:pPr>
        <w:ind w:left="1191" w:hanging="1191"/>
        <w:rPr>
          <w:lang w:val="es-ES"/>
        </w:rPr>
      </w:pPr>
      <w:r w:rsidRPr="005B78E7">
        <w:rPr>
          <w:lang w:val="es-ES"/>
        </w:rPr>
        <w:t>PER</w:t>
      </w:r>
      <w:r>
        <w:rPr>
          <w:lang w:val="es-ES"/>
        </w:rPr>
        <w:tab/>
      </w:r>
      <w:r>
        <w:rPr>
          <w:lang w:val="es-ES"/>
        </w:rPr>
        <w:tab/>
      </w:r>
      <w:r w:rsidRPr="005B78E7">
        <w:rPr>
          <w:lang w:val="es-ES"/>
        </w:rPr>
        <w:t>Tasa de errores en los paquetes (</w:t>
      </w:r>
      <w:r>
        <w:rPr>
          <w:i/>
          <w:iCs/>
          <w:lang w:val="es-ES"/>
        </w:rPr>
        <w:t>p</w:t>
      </w:r>
      <w:r w:rsidRPr="005B78E7">
        <w:rPr>
          <w:i/>
          <w:iCs/>
          <w:lang w:val="es-ES"/>
        </w:rPr>
        <w:t>acket error ratio</w:t>
      </w:r>
      <w:r w:rsidRPr="009E59FF">
        <w:rPr>
          <w:lang w:val="es-ES"/>
        </w:rPr>
        <w:t>)</w:t>
      </w:r>
    </w:p>
    <w:p w:rsidR="00177138" w:rsidRPr="005B78E7" w:rsidRDefault="00177138" w:rsidP="00177138">
      <w:pPr>
        <w:ind w:left="1191" w:hanging="1191"/>
        <w:rPr>
          <w:lang w:val="es-ES"/>
        </w:rPr>
      </w:pPr>
      <w:r w:rsidRPr="005B78E7">
        <w:rPr>
          <w:lang w:val="es-ES"/>
        </w:rPr>
        <w:t>QEF</w:t>
      </w:r>
      <w:r>
        <w:rPr>
          <w:lang w:val="es-ES"/>
        </w:rPr>
        <w:tab/>
      </w:r>
      <w:r>
        <w:rPr>
          <w:lang w:val="es-ES"/>
        </w:rPr>
        <w:tab/>
      </w:r>
      <w:r w:rsidRPr="005B78E7">
        <w:rPr>
          <w:lang w:val="es-ES"/>
        </w:rPr>
        <w:t>Casi sin errores (</w:t>
      </w:r>
      <w:r>
        <w:rPr>
          <w:i/>
          <w:iCs/>
          <w:lang w:val="es-ES"/>
        </w:rPr>
        <w:t>q</w:t>
      </w:r>
      <w:r w:rsidRPr="005B78E7">
        <w:rPr>
          <w:i/>
          <w:iCs/>
          <w:lang w:val="es-ES"/>
        </w:rPr>
        <w:t>uasi error free</w:t>
      </w:r>
      <w:r w:rsidRPr="009E59FF">
        <w:rPr>
          <w:lang w:val="es-ES"/>
        </w:rPr>
        <w:t>)</w:t>
      </w:r>
    </w:p>
    <w:p w:rsidR="00177138" w:rsidRPr="005B78E7" w:rsidRDefault="00177138" w:rsidP="00177138">
      <w:pPr>
        <w:ind w:left="1191" w:hanging="1191"/>
        <w:rPr>
          <w:lang w:val="es-ES"/>
        </w:rPr>
      </w:pPr>
      <w:r w:rsidRPr="005B78E7">
        <w:rPr>
          <w:lang w:val="es-ES"/>
        </w:rPr>
        <w:t>SES</w:t>
      </w:r>
      <w:r>
        <w:rPr>
          <w:lang w:val="es-ES"/>
        </w:rPr>
        <w:tab/>
      </w:r>
      <w:r>
        <w:rPr>
          <w:lang w:val="es-ES"/>
        </w:rPr>
        <w:tab/>
      </w:r>
      <w:r w:rsidRPr="005B78E7">
        <w:rPr>
          <w:lang w:val="es-ES"/>
        </w:rPr>
        <w:t>Segundo con muchos errores (</w:t>
      </w:r>
      <w:r>
        <w:rPr>
          <w:i/>
          <w:iCs/>
          <w:lang w:val="es-ES"/>
        </w:rPr>
        <w:t>s</w:t>
      </w:r>
      <w:r w:rsidRPr="005B78E7">
        <w:rPr>
          <w:i/>
          <w:iCs/>
          <w:lang w:val="es-ES"/>
        </w:rPr>
        <w:t>everely errored second</w:t>
      </w:r>
      <w:r w:rsidRPr="009E59FF">
        <w:rPr>
          <w:lang w:val="es-ES"/>
        </w:rPr>
        <w:t>)</w:t>
      </w:r>
    </w:p>
    <w:p w:rsidR="00177138" w:rsidRPr="005B78E7" w:rsidRDefault="00177138" w:rsidP="00177138">
      <w:pPr>
        <w:ind w:left="1191" w:hanging="1191"/>
        <w:rPr>
          <w:lang w:val="es-ES"/>
        </w:rPr>
      </w:pPr>
      <w:r w:rsidRPr="005B78E7">
        <w:rPr>
          <w:lang w:val="es-ES"/>
        </w:rPr>
        <w:t>SNR</w:t>
      </w:r>
      <w:r>
        <w:rPr>
          <w:lang w:val="es-ES"/>
        </w:rPr>
        <w:tab/>
      </w:r>
      <w:r>
        <w:rPr>
          <w:lang w:val="es-ES"/>
        </w:rPr>
        <w:tab/>
      </w:r>
      <w:r w:rsidRPr="005B78E7">
        <w:rPr>
          <w:lang w:val="es-ES"/>
        </w:rPr>
        <w:t>Relación señal/ruido (</w:t>
      </w:r>
      <w:r>
        <w:rPr>
          <w:i/>
          <w:iCs/>
          <w:lang w:val="es-ES"/>
        </w:rPr>
        <w:t>s</w:t>
      </w:r>
      <w:r w:rsidRPr="005B78E7">
        <w:rPr>
          <w:i/>
          <w:iCs/>
          <w:lang w:val="es-ES"/>
        </w:rPr>
        <w:t>ignal to noise ratio</w:t>
      </w:r>
      <w:r w:rsidRPr="009E59FF">
        <w:rPr>
          <w:lang w:val="es-ES"/>
        </w:rPr>
        <w:t>)</w:t>
      </w:r>
    </w:p>
    <w:p w:rsidR="00177138" w:rsidRPr="005B78E7" w:rsidRDefault="00177138" w:rsidP="00177138">
      <w:pPr>
        <w:ind w:left="1191" w:hanging="1191"/>
        <w:rPr>
          <w:lang w:val="es-ES"/>
        </w:rPr>
      </w:pPr>
      <w:r w:rsidRPr="005B78E7">
        <w:rPr>
          <w:lang w:val="es-ES"/>
        </w:rPr>
        <w:t>TDFR</w:t>
      </w:r>
      <w:r>
        <w:rPr>
          <w:lang w:val="es-ES"/>
        </w:rPr>
        <w:tab/>
      </w:r>
      <w:r>
        <w:rPr>
          <w:lang w:val="es-ES"/>
        </w:rPr>
        <w:tab/>
      </w:r>
      <w:r w:rsidRPr="005B78E7">
        <w:rPr>
          <w:lang w:val="es-ES"/>
        </w:rPr>
        <w:t>Trayecto digital ficticio de referencia</w:t>
      </w:r>
    </w:p>
    <w:p w:rsidR="00177138" w:rsidRPr="005B78E7" w:rsidRDefault="00177138" w:rsidP="00177138">
      <w:pPr>
        <w:ind w:left="1191" w:hanging="1191"/>
        <w:rPr>
          <w:lang w:val="en-US"/>
        </w:rPr>
      </w:pPr>
      <w:r w:rsidRPr="005B78E7">
        <w:rPr>
          <w:lang w:val="en-US"/>
        </w:rPr>
        <w:sym w:font="Symbol" w:char="F068"/>
      </w:r>
      <w:r>
        <w:rPr>
          <w:i/>
          <w:lang w:val="en-US"/>
        </w:rPr>
        <w:tab/>
      </w:r>
      <w:r>
        <w:rPr>
          <w:i/>
          <w:lang w:val="en-US"/>
        </w:rPr>
        <w:tab/>
      </w:r>
      <w:r w:rsidRPr="005B78E7">
        <w:rPr>
          <w:iCs/>
          <w:lang w:val="en-US"/>
        </w:rPr>
        <w:t>Eficiencia espectral en bit/s/Hz (</w:t>
      </w:r>
      <w:r>
        <w:rPr>
          <w:i/>
          <w:iCs/>
          <w:lang w:val="en-US"/>
        </w:rPr>
        <w:t>s</w:t>
      </w:r>
      <w:r w:rsidRPr="005B78E7">
        <w:rPr>
          <w:i/>
          <w:iCs/>
          <w:lang w:val="en-US"/>
        </w:rPr>
        <w:t>pectral efficiency in bit/s/Hz</w:t>
      </w:r>
      <w:r w:rsidRPr="009E59FF">
        <w:rPr>
          <w:lang w:val="en-US"/>
        </w:rPr>
        <w:t>)</w:t>
      </w:r>
    </w:p>
    <w:p w:rsidR="00177138" w:rsidRPr="005B78E7" w:rsidRDefault="00177138" w:rsidP="00177138">
      <w:pPr>
        <w:ind w:left="1191" w:hanging="1191"/>
        <w:rPr>
          <w:lang w:val="en-US"/>
        </w:rPr>
      </w:pPr>
      <w:r>
        <w:rPr>
          <w:lang w:val="en-US"/>
        </w:rPr>
        <w:t>ϕ</w:t>
      </w:r>
      <w:r w:rsidRPr="005B78E7">
        <w:rPr>
          <w:i/>
          <w:iCs/>
          <w:vertAlign w:val="subscript"/>
          <w:lang w:val="en-US"/>
        </w:rPr>
        <w:t>total</w:t>
      </w:r>
      <w:r>
        <w:rPr>
          <w:lang w:val="en-US"/>
        </w:rPr>
        <w:tab/>
      </w:r>
      <w:r>
        <w:rPr>
          <w:lang w:val="en-US"/>
        </w:rPr>
        <w:tab/>
      </w:r>
      <w:r w:rsidRPr="005B78E7">
        <w:rPr>
          <w:lang w:val="en-US"/>
        </w:rPr>
        <w:t>Caudal porcentual degradado (</w:t>
      </w:r>
      <w:r>
        <w:rPr>
          <w:i/>
          <w:iCs/>
          <w:lang w:val="en-US"/>
        </w:rPr>
        <w:t>p</w:t>
      </w:r>
      <w:r w:rsidRPr="005B78E7">
        <w:rPr>
          <w:i/>
          <w:iCs/>
          <w:lang w:val="en-US"/>
        </w:rPr>
        <w:t>ercent degraded throughput</w:t>
      </w:r>
      <w:r w:rsidRPr="009E59FF">
        <w:rPr>
          <w:lang w:val="en-US"/>
        </w:rPr>
        <w:t>)</w:t>
      </w:r>
    </w:p>
    <w:p w:rsidR="00177138" w:rsidRPr="005B78E7" w:rsidRDefault="00177138" w:rsidP="00177138">
      <w:pPr>
        <w:pStyle w:val="Headingb"/>
        <w:rPr>
          <w:lang w:val="es-ES"/>
        </w:rPr>
      </w:pPr>
      <w:r w:rsidRPr="005B78E7">
        <w:rPr>
          <w:lang w:val="es-ES"/>
        </w:rPr>
        <w:t>Recomendaciones e Informes de la UIT conexos</w:t>
      </w:r>
    </w:p>
    <w:p w:rsidR="00177138" w:rsidRPr="00C66C7D" w:rsidRDefault="00177138" w:rsidP="00177138">
      <w:pPr>
        <w:pStyle w:val="Reftext"/>
        <w:tabs>
          <w:tab w:val="left" w:pos="3402"/>
        </w:tabs>
        <w:ind w:left="3402" w:hanging="3402"/>
        <w:rPr>
          <w:szCs w:val="22"/>
          <w:lang w:val="es-ES"/>
        </w:rPr>
      </w:pPr>
      <w:r w:rsidRPr="00C66C7D">
        <w:rPr>
          <w:szCs w:val="22"/>
          <w:lang w:val="es-ES"/>
        </w:rPr>
        <w:t xml:space="preserve">Recomendación </w:t>
      </w:r>
      <w:r w:rsidR="00C51DA2">
        <w:rPr>
          <w:szCs w:val="22"/>
          <w:lang w:val="es-ES"/>
        </w:rPr>
        <w:t>UIT-R S</w:t>
      </w:r>
      <w:r w:rsidRPr="00C66C7D">
        <w:rPr>
          <w:szCs w:val="22"/>
          <w:lang w:val="es-ES"/>
        </w:rPr>
        <w:t>.614-4</w:t>
      </w:r>
      <w:r w:rsidRPr="00C66C7D">
        <w:rPr>
          <w:szCs w:val="22"/>
          <w:lang w:val="es-ES"/>
        </w:rPr>
        <w:tab/>
      </w:r>
      <w:r w:rsidRPr="00071C54">
        <w:rPr>
          <w:iCs/>
          <w:szCs w:val="22"/>
          <w:lang w:val="es-ES"/>
        </w:rPr>
        <w:t>Objetivos de características de error para un trayecto digital ficticio de referencia de satélite del servicio fijo por satélite que funciona por debajo de 15</w:t>
      </w:r>
      <w:r w:rsidR="00145DF8" w:rsidRPr="00071C54">
        <w:rPr>
          <w:iCs/>
          <w:szCs w:val="22"/>
          <w:lang w:val="es-ES"/>
        </w:rPr>
        <w:t> </w:t>
      </w:r>
      <w:r w:rsidRPr="00071C54">
        <w:rPr>
          <w:iCs/>
          <w:szCs w:val="22"/>
          <w:lang w:val="es-ES"/>
        </w:rPr>
        <w:t>GHz, cuando forma parte de una conexión internacional en una red digital de servicios integrados</w:t>
      </w:r>
    </w:p>
    <w:p w:rsidR="00177138" w:rsidRPr="00C66C7D" w:rsidRDefault="00177138" w:rsidP="00177138">
      <w:pPr>
        <w:pStyle w:val="Reftext"/>
        <w:tabs>
          <w:tab w:val="left" w:pos="3402"/>
        </w:tabs>
        <w:ind w:left="3402" w:hanging="3402"/>
        <w:rPr>
          <w:szCs w:val="22"/>
          <w:lang w:val="es-ES"/>
        </w:rPr>
      </w:pPr>
      <w:r w:rsidRPr="00C66C7D">
        <w:rPr>
          <w:szCs w:val="22"/>
          <w:lang w:val="es-ES"/>
        </w:rPr>
        <w:t xml:space="preserve">Recomendación </w:t>
      </w:r>
      <w:r w:rsidR="00C51DA2">
        <w:rPr>
          <w:szCs w:val="22"/>
          <w:lang w:val="es-ES"/>
        </w:rPr>
        <w:t>UIT-R S</w:t>
      </w:r>
      <w:r w:rsidRPr="00C66C7D">
        <w:rPr>
          <w:szCs w:val="22"/>
          <w:lang w:val="es-ES"/>
        </w:rPr>
        <w:t>.1061-1</w:t>
      </w:r>
      <w:r w:rsidRPr="00C66C7D">
        <w:rPr>
          <w:szCs w:val="22"/>
          <w:lang w:val="es-ES"/>
        </w:rPr>
        <w:tab/>
      </w:r>
      <w:r w:rsidRPr="00071C54">
        <w:rPr>
          <w:iCs/>
          <w:szCs w:val="22"/>
          <w:lang w:val="es-ES"/>
        </w:rPr>
        <w:t>Utilización de estrategias y técnicas contra el desvanecimiento en el servicio fijo por satélite</w:t>
      </w:r>
    </w:p>
    <w:p w:rsidR="00177138" w:rsidRPr="00C66C7D" w:rsidRDefault="00177138" w:rsidP="00177138">
      <w:pPr>
        <w:pStyle w:val="Reftext"/>
        <w:tabs>
          <w:tab w:val="left" w:pos="3402"/>
        </w:tabs>
        <w:ind w:left="3402" w:hanging="3402"/>
        <w:rPr>
          <w:szCs w:val="22"/>
          <w:lang w:val="es-ES"/>
        </w:rPr>
      </w:pPr>
      <w:r w:rsidRPr="00C66C7D">
        <w:rPr>
          <w:szCs w:val="22"/>
          <w:lang w:val="es-ES"/>
        </w:rPr>
        <w:t xml:space="preserve">Recomendación </w:t>
      </w:r>
      <w:r w:rsidR="00C51DA2">
        <w:rPr>
          <w:szCs w:val="22"/>
          <w:lang w:val="es-ES"/>
        </w:rPr>
        <w:t>UIT-R S</w:t>
      </w:r>
      <w:r w:rsidRPr="00C66C7D">
        <w:rPr>
          <w:szCs w:val="22"/>
          <w:lang w:val="es-ES"/>
        </w:rPr>
        <w:t>.1062-4</w:t>
      </w:r>
      <w:r w:rsidRPr="00C66C7D">
        <w:rPr>
          <w:szCs w:val="22"/>
          <w:lang w:val="es-ES"/>
        </w:rPr>
        <w:tab/>
      </w:r>
      <w:r w:rsidRPr="00071C54">
        <w:rPr>
          <w:iCs/>
          <w:szCs w:val="22"/>
          <w:lang w:val="es-ES"/>
        </w:rPr>
        <w:t>Característica de error admisible para el trayecto digital ficticio de referencia por satélite por debajo de 15 GHz</w:t>
      </w:r>
    </w:p>
    <w:p w:rsidR="00177138" w:rsidRPr="00C66C7D" w:rsidRDefault="00177138" w:rsidP="00177138">
      <w:pPr>
        <w:pStyle w:val="Reftext"/>
        <w:tabs>
          <w:tab w:val="left" w:pos="3402"/>
        </w:tabs>
        <w:ind w:left="3402" w:hanging="3402"/>
        <w:rPr>
          <w:szCs w:val="22"/>
          <w:lang w:val="es-ES"/>
        </w:rPr>
      </w:pPr>
      <w:r w:rsidRPr="00C66C7D">
        <w:rPr>
          <w:szCs w:val="22"/>
          <w:lang w:val="es-ES"/>
        </w:rPr>
        <w:t>Recomendación UIT-T G.826</w:t>
      </w:r>
      <w:r w:rsidRPr="00C66C7D">
        <w:rPr>
          <w:szCs w:val="22"/>
          <w:lang w:val="es-ES"/>
        </w:rPr>
        <w:tab/>
      </w:r>
      <w:r w:rsidRPr="00071C54">
        <w:rPr>
          <w:iCs/>
          <w:szCs w:val="22"/>
          <w:lang w:val="es-ES"/>
        </w:rPr>
        <w:t>Parámetros y objetivos de las características de error de extremo a extremo para conexiones y trayectos digitales internacionales de velocidad binaria constante</w:t>
      </w:r>
    </w:p>
    <w:p w:rsidR="00177138" w:rsidRPr="00C66C7D" w:rsidRDefault="00177138" w:rsidP="00177138">
      <w:pPr>
        <w:pStyle w:val="Reftext"/>
        <w:tabs>
          <w:tab w:val="left" w:pos="3402"/>
        </w:tabs>
        <w:ind w:left="3402" w:hanging="3402"/>
        <w:rPr>
          <w:szCs w:val="22"/>
          <w:lang w:val="es-ES"/>
        </w:rPr>
      </w:pPr>
      <w:r w:rsidRPr="00C66C7D">
        <w:rPr>
          <w:szCs w:val="22"/>
          <w:lang w:val="es-ES"/>
        </w:rPr>
        <w:t xml:space="preserve">Recomendación </w:t>
      </w:r>
      <w:r w:rsidR="00C51DA2">
        <w:rPr>
          <w:szCs w:val="22"/>
          <w:lang w:val="es-ES"/>
        </w:rPr>
        <w:t>UIT-R S</w:t>
      </w:r>
      <w:r w:rsidRPr="00C66C7D">
        <w:rPr>
          <w:szCs w:val="22"/>
          <w:lang w:val="es-ES"/>
        </w:rPr>
        <w:t>.1878-0</w:t>
      </w:r>
      <w:r w:rsidRPr="00C66C7D">
        <w:rPr>
          <w:szCs w:val="22"/>
          <w:lang w:val="es-ES"/>
        </w:rPr>
        <w:tab/>
      </w:r>
      <w:r w:rsidRPr="00071C54">
        <w:rPr>
          <w:iCs/>
          <w:szCs w:val="22"/>
          <w:lang w:val="es-ES"/>
        </w:rPr>
        <w:t>Técnicas de transmisión por multiportadora para sistemas de satélites</w:t>
      </w:r>
    </w:p>
    <w:p w:rsidR="00177138" w:rsidRPr="00C66C7D" w:rsidRDefault="00177138" w:rsidP="00177138">
      <w:pPr>
        <w:pStyle w:val="Reftext"/>
        <w:tabs>
          <w:tab w:val="left" w:pos="3402"/>
        </w:tabs>
        <w:ind w:left="3402" w:hanging="3402"/>
        <w:rPr>
          <w:szCs w:val="22"/>
          <w:lang w:val="es-ES"/>
        </w:rPr>
      </w:pPr>
      <w:r w:rsidRPr="00C66C7D">
        <w:rPr>
          <w:szCs w:val="22"/>
          <w:lang w:val="es-ES"/>
        </w:rPr>
        <w:t xml:space="preserve">Recomendación </w:t>
      </w:r>
      <w:r w:rsidR="00C51DA2">
        <w:rPr>
          <w:szCs w:val="22"/>
          <w:lang w:val="es-ES"/>
        </w:rPr>
        <w:t>UIT-R S</w:t>
      </w:r>
      <w:r w:rsidRPr="00C66C7D">
        <w:rPr>
          <w:szCs w:val="22"/>
          <w:lang w:val="es-ES"/>
        </w:rPr>
        <w:t>.2099-0</w:t>
      </w:r>
      <w:r w:rsidRPr="00C66C7D">
        <w:rPr>
          <w:szCs w:val="22"/>
          <w:lang w:val="es-ES"/>
        </w:rPr>
        <w:tab/>
      </w:r>
      <w:r w:rsidRPr="00071C54">
        <w:rPr>
          <w:iCs/>
          <w:szCs w:val="22"/>
          <w:lang w:val="es-ES"/>
        </w:rPr>
        <w:t>Objetivos de la característica de error a corto plazo para un trayecto digital ficticio de referencia por satélite</w:t>
      </w:r>
    </w:p>
    <w:p w:rsidR="00177138" w:rsidRDefault="00177138" w:rsidP="00177138">
      <w:pPr>
        <w:pStyle w:val="Reftext"/>
        <w:tabs>
          <w:tab w:val="left" w:pos="3402"/>
        </w:tabs>
        <w:ind w:left="3402" w:hanging="3402"/>
        <w:rPr>
          <w:i/>
          <w:iCs/>
          <w:szCs w:val="22"/>
          <w:lang w:val="es-ES"/>
        </w:rPr>
      </w:pPr>
      <w:r w:rsidRPr="00C66C7D">
        <w:rPr>
          <w:szCs w:val="22"/>
          <w:lang w:val="es-ES"/>
        </w:rPr>
        <w:t xml:space="preserve">Informe </w:t>
      </w:r>
      <w:r w:rsidR="00C51DA2">
        <w:rPr>
          <w:szCs w:val="22"/>
          <w:lang w:val="es-ES"/>
        </w:rPr>
        <w:t>UIT-R S</w:t>
      </w:r>
      <w:r w:rsidRPr="00C66C7D">
        <w:rPr>
          <w:szCs w:val="22"/>
          <w:lang w:val="es-ES"/>
        </w:rPr>
        <w:t>.2173-1</w:t>
      </w:r>
      <w:r w:rsidRPr="00C66C7D">
        <w:rPr>
          <w:szCs w:val="22"/>
          <w:lang w:val="es-ES"/>
        </w:rPr>
        <w:tab/>
      </w:r>
      <w:r w:rsidRPr="00071C54">
        <w:rPr>
          <w:iCs/>
          <w:szCs w:val="22"/>
          <w:lang w:val="es-ES"/>
        </w:rPr>
        <w:t>Técnicas de transmisión por multiportadora para sistemas de satélites</w:t>
      </w:r>
    </w:p>
    <w:p w:rsidR="00C51DA2" w:rsidRDefault="00C51DA2" w:rsidP="00C51DA2">
      <w:pPr>
        <w:rPr>
          <w:lang w:val="es-ES"/>
        </w:rPr>
      </w:pPr>
    </w:p>
    <w:p w:rsidR="00177138" w:rsidRPr="006B2B00" w:rsidRDefault="00177138" w:rsidP="00177138">
      <w:pPr>
        <w:pStyle w:val="Normalaftertitle"/>
        <w:rPr>
          <w:lang w:val="es-ES"/>
        </w:rPr>
      </w:pPr>
      <w:r w:rsidRPr="006B2B00">
        <w:rPr>
          <w:lang w:val="es-ES"/>
        </w:rPr>
        <w:t>La Asamblea de Radiocomunicaciones de la UIT,</w:t>
      </w:r>
    </w:p>
    <w:p w:rsidR="00177138" w:rsidRPr="005B78E7" w:rsidRDefault="00177138" w:rsidP="00177138">
      <w:pPr>
        <w:pStyle w:val="Call"/>
        <w:rPr>
          <w:lang w:val="es-ES"/>
        </w:rPr>
      </w:pPr>
      <w:r w:rsidRPr="005B78E7">
        <w:rPr>
          <w:lang w:val="es-ES"/>
        </w:rPr>
        <w:t>considerando</w:t>
      </w:r>
    </w:p>
    <w:p w:rsidR="00177138" w:rsidRPr="005B78E7" w:rsidRDefault="00177138" w:rsidP="00177138">
      <w:pPr>
        <w:rPr>
          <w:lang w:val="es-ES"/>
        </w:rPr>
      </w:pPr>
      <w:r w:rsidRPr="005B78E7">
        <w:rPr>
          <w:i/>
          <w:iCs/>
          <w:lang w:val="es-ES"/>
        </w:rPr>
        <w:t>a)</w:t>
      </w:r>
      <w:r w:rsidRPr="005B78E7">
        <w:rPr>
          <w:lang w:val="es-ES"/>
        </w:rPr>
        <w:tab/>
        <w:t>que la adopción de la codificación y modulación adaptables (ACM) y de la linealización del amplificador de potencia ha redundado en una mayor eficiencia de los satélites y una mejor calidad de funcionamiento de la transmisión;</w:t>
      </w:r>
    </w:p>
    <w:p w:rsidR="00177138" w:rsidRPr="005B78E7" w:rsidRDefault="00177138" w:rsidP="00177138">
      <w:pPr>
        <w:rPr>
          <w:lang w:val="es-ES"/>
        </w:rPr>
      </w:pPr>
      <w:r w:rsidRPr="005B78E7">
        <w:rPr>
          <w:i/>
          <w:iCs/>
          <w:lang w:val="es-ES"/>
        </w:rPr>
        <w:t>b)</w:t>
      </w:r>
      <w:r w:rsidRPr="005B78E7">
        <w:rPr>
          <w:lang w:val="es-ES"/>
        </w:rPr>
        <w:tab/>
        <w:t>que los sistemas de satélites que utilizan técnicas ACM se adaptarán a la degradación de las condiciones reduciendo el caudal global y, por tanto, no ofrecerán servicios con una velocidad binaria constante;</w:t>
      </w:r>
    </w:p>
    <w:p w:rsidR="00177138" w:rsidRPr="005B78E7" w:rsidRDefault="00177138" w:rsidP="00177138">
      <w:pPr>
        <w:rPr>
          <w:lang w:val="es-ES"/>
        </w:rPr>
      </w:pPr>
      <w:r w:rsidRPr="005B78E7">
        <w:rPr>
          <w:i/>
          <w:iCs/>
          <w:lang w:val="es-ES"/>
        </w:rPr>
        <w:t>c)</w:t>
      </w:r>
      <w:r w:rsidRPr="005B78E7">
        <w:rPr>
          <w:lang w:val="es-ES"/>
        </w:rPr>
        <w:tab/>
        <w:t>que la calidad de funcionamiento del enlace de satélite debe ser suficiente para cumplir los objetivos globales de calidad de funcionamiento y los requisitos de usuario extremo;</w:t>
      </w:r>
    </w:p>
    <w:p w:rsidR="00177138" w:rsidRPr="005B78E7" w:rsidRDefault="00177138" w:rsidP="00177138">
      <w:pPr>
        <w:rPr>
          <w:lang w:val="es-ES"/>
        </w:rPr>
      </w:pPr>
      <w:r w:rsidRPr="005B78E7">
        <w:rPr>
          <w:i/>
          <w:iCs/>
          <w:lang w:val="es-ES"/>
        </w:rPr>
        <w:t>d)</w:t>
      </w:r>
      <w:r w:rsidRPr="005B78E7">
        <w:rPr>
          <w:i/>
          <w:iCs/>
          <w:lang w:val="es-ES"/>
        </w:rPr>
        <w:tab/>
      </w:r>
      <w:r w:rsidRPr="005B78E7">
        <w:rPr>
          <w:lang w:val="es-ES"/>
        </w:rPr>
        <w:t>que, al definir los criterios de característica de error, es necesario tener en cuenta todos los mecanismos previsibles que pueden producir errores, en particular las condiciones de propagación variables en el tiempo y la interferencia,</w:t>
      </w:r>
    </w:p>
    <w:p w:rsidR="00177138" w:rsidRPr="005B78E7" w:rsidRDefault="00177138" w:rsidP="00177138">
      <w:pPr>
        <w:pStyle w:val="Call"/>
        <w:rPr>
          <w:lang w:val="es-ES"/>
        </w:rPr>
      </w:pPr>
      <w:r w:rsidRPr="005B78E7">
        <w:rPr>
          <w:lang w:val="es-ES"/>
        </w:rPr>
        <w:lastRenderedPageBreak/>
        <w:t>observando</w:t>
      </w:r>
    </w:p>
    <w:p w:rsidR="00177138" w:rsidRPr="005B78E7" w:rsidRDefault="00177138" w:rsidP="00177138">
      <w:pPr>
        <w:rPr>
          <w:lang w:val="es-ES"/>
        </w:rPr>
      </w:pPr>
      <w:r w:rsidRPr="005B78E7">
        <w:rPr>
          <w:i/>
          <w:lang w:val="es-ES"/>
        </w:rPr>
        <w:t>a)</w:t>
      </w:r>
      <w:r w:rsidRPr="005B78E7">
        <w:rPr>
          <w:lang w:val="es-ES"/>
        </w:rPr>
        <w:tab/>
        <w:t xml:space="preserve">que en las Recomendaciones </w:t>
      </w:r>
      <w:r w:rsidR="00C51DA2">
        <w:rPr>
          <w:lang w:val="es-ES"/>
        </w:rPr>
        <w:t>UIT-R S</w:t>
      </w:r>
      <w:r w:rsidRPr="005B78E7">
        <w:rPr>
          <w:lang w:val="es-ES"/>
        </w:rPr>
        <w:t xml:space="preserve">.614 y </w:t>
      </w:r>
      <w:r w:rsidR="00C51DA2">
        <w:rPr>
          <w:lang w:val="es-ES"/>
        </w:rPr>
        <w:t>UIT-R S</w:t>
      </w:r>
      <w:r w:rsidRPr="005B78E7">
        <w:rPr>
          <w:lang w:val="es-ES"/>
        </w:rPr>
        <w:t>.1062 se indican los objetivos de la característica de error a largo plazo;</w:t>
      </w:r>
    </w:p>
    <w:p w:rsidR="00177138" w:rsidRPr="005B78E7" w:rsidRDefault="00177138" w:rsidP="00177138">
      <w:pPr>
        <w:rPr>
          <w:lang w:val="es-ES"/>
        </w:rPr>
      </w:pPr>
      <w:r w:rsidRPr="005B78E7">
        <w:rPr>
          <w:i/>
          <w:lang w:val="es-ES"/>
        </w:rPr>
        <w:t>b)</w:t>
      </w:r>
      <w:r w:rsidRPr="005B78E7">
        <w:rPr>
          <w:lang w:val="es-ES"/>
        </w:rPr>
        <w:tab/>
        <w:t xml:space="preserve">que en la Recomendación </w:t>
      </w:r>
      <w:r w:rsidR="00C51DA2">
        <w:rPr>
          <w:lang w:val="es-ES"/>
        </w:rPr>
        <w:t>UIT-R S</w:t>
      </w:r>
      <w:r w:rsidRPr="005B78E7">
        <w:rPr>
          <w:lang w:val="es-ES"/>
        </w:rPr>
        <w:t>.2099 se da la definición de corto plazo en el contexto de las comunicaciones por satélite e información sobre los objetivos de calidad de funcionamiento a corto plazo;</w:t>
      </w:r>
    </w:p>
    <w:p w:rsidR="00177138" w:rsidRPr="005B78E7" w:rsidRDefault="00177138" w:rsidP="00177138">
      <w:pPr>
        <w:rPr>
          <w:lang w:val="es-ES"/>
        </w:rPr>
      </w:pPr>
      <w:r w:rsidRPr="005B78E7">
        <w:rPr>
          <w:i/>
          <w:lang w:val="es-ES"/>
        </w:rPr>
        <w:t>c)</w:t>
      </w:r>
      <w:r w:rsidRPr="005B78E7">
        <w:rPr>
          <w:lang w:val="es-ES"/>
        </w:rPr>
        <w:tab/>
        <w:t xml:space="preserve">que en la Recomendación </w:t>
      </w:r>
      <w:r w:rsidR="00C51DA2">
        <w:rPr>
          <w:lang w:val="es-ES"/>
        </w:rPr>
        <w:t>UIT-R S</w:t>
      </w:r>
      <w:r w:rsidRPr="005B78E7">
        <w:rPr>
          <w:lang w:val="es-ES"/>
        </w:rPr>
        <w:t xml:space="preserve">.1061, la Recomendación </w:t>
      </w:r>
      <w:r w:rsidR="00C51DA2">
        <w:rPr>
          <w:lang w:val="es-ES"/>
        </w:rPr>
        <w:t>UIT-R S</w:t>
      </w:r>
      <w:r w:rsidRPr="005B78E7">
        <w:rPr>
          <w:lang w:val="es-ES"/>
        </w:rPr>
        <w:t xml:space="preserve">.1878 y el Informe </w:t>
      </w:r>
      <w:r w:rsidR="00C51DA2">
        <w:rPr>
          <w:lang w:val="es-ES"/>
        </w:rPr>
        <w:t>UIT-R S</w:t>
      </w:r>
      <w:r w:rsidRPr="005B78E7">
        <w:rPr>
          <w:lang w:val="es-ES"/>
        </w:rPr>
        <w:t>.2173 se da información sobre las técnicas de transmisión y control de potencia adaptables que pueden utilizarse para contrarrestar la atenuación variable en el tiempo;</w:t>
      </w:r>
    </w:p>
    <w:p w:rsidR="00177138" w:rsidRPr="005B78E7" w:rsidRDefault="00177138" w:rsidP="00177138">
      <w:pPr>
        <w:rPr>
          <w:lang w:val="es-ES"/>
        </w:rPr>
      </w:pPr>
      <w:r w:rsidRPr="005B78E7">
        <w:rPr>
          <w:i/>
          <w:lang w:val="es-ES"/>
        </w:rPr>
        <w:t>d)</w:t>
      </w:r>
      <w:r w:rsidRPr="005B78E7">
        <w:rPr>
          <w:lang w:val="es-ES"/>
        </w:rPr>
        <w:tab/>
        <w:t>que la degradación del enlace de satélite está causada por una degradación de la propagación, que puede caracterizarse con los modelos de las Recomendaciones UIT-R</w:t>
      </w:r>
      <w:r w:rsidR="00617508">
        <w:rPr>
          <w:lang w:val="es-ES"/>
        </w:rPr>
        <w:t> </w:t>
      </w:r>
      <w:r w:rsidRPr="005B78E7">
        <w:rPr>
          <w:lang w:val="es-ES"/>
        </w:rPr>
        <w:t>P.618-13 y UIT-R</w:t>
      </w:r>
      <w:r w:rsidR="00617508">
        <w:rPr>
          <w:lang w:val="es-ES"/>
        </w:rPr>
        <w:t> </w:t>
      </w:r>
      <w:r w:rsidRPr="005B78E7">
        <w:rPr>
          <w:lang w:val="es-ES"/>
        </w:rPr>
        <w:t>P.1623</w:t>
      </w:r>
      <w:r>
        <w:rPr>
          <w:lang w:val="es-ES"/>
        </w:rPr>
        <w:noBreakHyphen/>
      </w:r>
      <w:r w:rsidRPr="005B78E7">
        <w:rPr>
          <w:lang w:val="es-ES"/>
        </w:rPr>
        <w:t>1, y que esas Recomendaciones sobre propagación son aplicables hasta 51,4 GHz,</w:t>
      </w:r>
    </w:p>
    <w:p w:rsidR="00177138" w:rsidRPr="005B78E7" w:rsidRDefault="00177138" w:rsidP="00177138">
      <w:pPr>
        <w:pStyle w:val="Call"/>
        <w:rPr>
          <w:lang w:val="es-ES"/>
        </w:rPr>
      </w:pPr>
      <w:r w:rsidRPr="005B78E7">
        <w:rPr>
          <w:lang w:val="es-ES"/>
        </w:rPr>
        <w:t>recomienda</w:t>
      </w:r>
    </w:p>
    <w:p w:rsidR="00177138" w:rsidRPr="005B78E7" w:rsidRDefault="00177138" w:rsidP="00177138">
      <w:pPr>
        <w:rPr>
          <w:lang w:val="es-ES"/>
        </w:rPr>
      </w:pPr>
      <w:r w:rsidRPr="005B78E7">
        <w:rPr>
          <w:b/>
          <w:lang w:val="es-ES"/>
        </w:rPr>
        <w:t>1</w:t>
      </w:r>
      <w:r w:rsidRPr="005B78E7">
        <w:rPr>
          <w:lang w:val="es-ES"/>
        </w:rPr>
        <w:tab/>
        <w:t>que los sistemas de satélites que utilizan ACM se diseñen de manera que cumplan los objetivos de calidad de funcionamiento definidos como relación de errores en los paquetes (PER) o como eficiencia espectral (bit/s/Hz) como función de la relación portadora-ruido (</w:t>
      </w:r>
      <w:r w:rsidRPr="005B78E7">
        <w:rPr>
          <w:i/>
          <w:iCs/>
          <w:lang w:val="es-ES"/>
        </w:rPr>
        <w:t>C</w:t>
      </w:r>
      <w:r w:rsidRPr="005B78E7">
        <w:rPr>
          <w:iCs/>
          <w:lang w:val="es-ES"/>
        </w:rPr>
        <w:t>/</w:t>
      </w:r>
      <w:r w:rsidRPr="005B78E7">
        <w:rPr>
          <w:i/>
          <w:iCs/>
          <w:lang w:val="es-ES"/>
        </w:rPr>
        <w:t>N)</w:t>
      </w:r>
      <w:r w:rsidRPr="005B78E7">
        <w:rPr>
          <w:lang w:val="es-ES"/>
        </w:rPr>
        <w:t>;</w:t>
      </w:r>
    </w:p>
    <w:p w:rsidR="00177138" w:rsidRPr="005B78E7" w:rsidRDefault="00177138" w:rsidP="00177138">
      <w:pPr>
        <w:rPr>
          <w:lang w:val="es-ES"/>
        </w:rPr>
      </w:pPr>
      <w:r w:rsidRPr="005B78E7">
        <w:rPr>
          <w:b/>
          <w:bCs/>
          <w:lang w:val="es-ES"/>
        </w:rPr>
        <w:t>2</w:t>
      </w:r>
      <w:r w:rsidRPr="005B78E7">
        <w:rPr>
          <w:b/>
          <w:lang w:val="es-ES"/>
        </w:rPr>
        <w:tab/>
      </w:r>
      <w:r w:rsidRPr="005B78E7">
        <w:rPr>
          <w:bCs/>
          <w:lang w:val="es-ES"/>
        </w:rPr>
        <w:t>que las siguientes Notas se consideren parte integrante de la presente Recomendación</w:t>
      </w:r>
      <w:r w:rsidRPr="005B78E7">
        <w:rPr>
          <w:lang w:val="es-ES"/>
        </w:rPr>
        <w:t>.</w:t>
      </w:r>
    </w:p>
    <w:p w:rsidR="00177138" w:rsidRPr="005B78E7" w:rsidRDefault="00177138" w:rsidP="00C51DA2">
      <w:pPr>
        <w:rPr>
          <w:lang w:val="es-ES"/>
        </w:rPr>
      </w:pPr>
      <w:r w:rsidRPr="005B78E7">
        <w:rPr>
          <w:lang w:val="es-ES"/>
        </w:rPr>
        <w:t>NOTA 1 – En caso de que se utilice la PER, se han de utilizar los valores del Cuadro</w:t>
      </w:r>
      <w:r w:rsidR="0024514E">
        <w:rPr>
          <w:lang w:val="es-ES"/>
        </w:rPr>
        <w:t> </w:t>
      </w:r>
      <w:r w:rsidRPr="005B78E7">
        <w:rPr>
          <w:lang w:val="es-ES"/>
        </w:rPr>
        <w:t>3 del § 2.2 del Anexo.</w:t>
      </w:r>
    </w:p>
    <w:p w:rsidR="00177138" w:rsidRPr="005B78E7" w:rsidRDefault="00177138" w:rsidP="00C51DA2">
      <w:pPr>
        <w:rPr>
          <w:lang w:val="es-ES"/>
        </w:rPr>
      </w:pPr>
      <w:r w:rsidRPr="005B78E7">
        <w:rPr>
          <w:lang w:val="es-ES"/>
        </w:rPr>
        <w:t xml:space="preserve">NOTA 2 – En caso de que se utilicen objetivos de calidad de funcionamiento en términos de eficiencia espectral, se supondrá que la eficiencia espectral, medida en el valor </w:t>
      </w:r>
      <w:r w:rsidRPr="005B78E7">
        <w:rPr>
          <w:lang w:val="en-US"/>
        </w:rPr>
        <w:sym w:font="Symbol" w:char="F067"/>
      </w:r>
      <w:r w:rsidRPr="005B78E7">
        <w:rPr>
          <w:i/>
          <w:lang w:val="es-ES"/>
        </w:rPr>
        <w:t xml:space="preserve"> </w:t>
      </w:r>
      <w:r w:rsidRPr="005B78E7">
        <w:rPr>
          <w:lang w:val="es-ES"/>
        </w:rPr>
        <w:t xml:space="preserve">operativo en dB, no es inferior a </w:t>
      </w:r>
      <w:r w:rsidRPr="005B78E7">
        <w:rPr>
          <w:lang w:val="en-US"/>
        </w:rPr>
        <w:sym w:font="Symbol" w:char="F068"/>
      </w:r>
      <w:r w:rsidRPr="005B78E7">
        <w:rPr>
          <w:lang w:val="es-ES"/>
        </w:rPr>
        <w:t>(</w:t>
      </w:r>
      <w:r w:rsidRPr="005B78E7">
        <w:rPr>
          <w:lang w:val="en-US"/>
        </w:rPr>
        <w:sym w:font="Symbol" w:char="F067"/>
      </w:r>
      <w:r>
        <w:rPr>
          <w:lang w:val="es-ES"/>
        </w:rPr>
        <w:t> </w:t>
      </w:r>
      <w:r w:rsidRPr="005B78E7">
        <w:rPr>
          <w:lang w:val="es-ES"/>
        </w:rPr>
        <w:t>−</w:t>
      </w:r>
      <w:r>
        <w:rPr>
          <w:lang w:val="es-ES"/>
        </w:rPr>
        <w:t> </w:t>
      </w:r>
      <w:r w:rsidRPr="005B78E7">
        <w:rPr>
          <w:lang w:val="es-ES"/>
        </w:rPr>
        <w:t xml:space="preserve">1,0), siendo </w:t>
      </w:r>
      <w:r w:rsidRPr="005B78E7">
        <w:rPr>
          <w:lang w:val="en-US"/>
        </w:rPr>
        <w:sym w:font="Symbol" w:char="F067"/>
      </w:r>
      <w:r w:rsidRPr="005B78E7">
        <w:rPr>
          <w:lang w:val="es-ES"/>
        </w:rPr>
        <w:t xml:space="preserve"> la relación portadora-ruido (</w:t>
      </w:r>
      <w:r w:rsidRPr="005B78E7">
        <w:rPr>
          <w:i/>
          <w:iCs/>
          <w:lang w:val="es-ES"/>
        </w:rPr>
        <w:t>C</w:t>
      </w:r>
      <w:r w:rsidRPr="005B78E7">
        <w:rPr>
          <w:iCs/>
          <w:lang w:val="es-ES"/>
        </w:rPr>
        <w:t>/</w:t>
      </w:r>
      <w:r w:rsidRPr="005B78E7">
        <w:rPr>
          <w:i/>
          <w:iCs/>
          <w:lang w:val="es-ES"/>
        </w:rPr>
        <w:t>N</w:t>
      </w:r>
      <w:r w:rsidRPr="005B78E7">
        <w:rPr>
          <w:lang w:val="es-ES"/>
        </w:rPr>
        <w:t xml:space="preserve">) en dB y </w:t>
      </w:r>
      <w:r w:rsidRPr="005B78E7">
        <w:rPr>
          <w:lang w:val="en-US"/>
        </w:rPr>
        <w:sym w:font="Symbol" w:char="F068"/>
      </w:r>
      <w:r w:rsidRPr="005B78E7">
        <w:rPr>
          <w:lang w:val="es-ES"/>
        </w:rPr>
        <w:t>(</w:t>
      </w:r>
      <w:r w:rsidRPr="005B78E7">
        <w:rPr>
          <w:lang w:val="en-US"/>
        </w:rPr>
        <w:sym w:font="Symbol" w:char="F067"/>
      </w:r>
      <w:r w:rsidRPr="005B78E7">
        <w:rPr>
          <w:lang w:val="es-ES"/>
        </w:rPr>
        <w:t xml:space="preserve">) la eficiencia espectral en bit/s/Hz como función de la </w:t>
      </w:r>
      <w:r w:rsidRPr="005B78E7">
        <w:rPr>
          <w:lang w:val="en-US"/>
        </w:rPr>
        <w:sym w:font="Symbol" w:char="F067"/>
      </w:r>
      <w:r w:rsidRPr="005B78E7">
        <w:rPr>
          <w:lang w:val="es-ES"/>
        </w:rPr>
        <w:t xml:space="preserve"> definida en el § 2.3 del Anexo.</w:t>
      </w:r>
    </w:p>
    <w:p w:rsidR="00177138" w:rsidRPr="005B78E7" w:rsidRDefault="00177138" w:rsidP="00C51DA2">
      <w:pPr>
        <w:rPr>
          <w:iCs/>
          <w:lang w:val="es-ES"/>
        </w:rPr>
      </w:pPr>
      <w:r w:rsidRPr="005B78E7">
        <w:rPr>
          <w:lang w:val="es-ES"/>
        </w:rPr>
        <w:t>NOTA 3 –</w:t>
      </w:r>
      <w:r w:rsidR="00C51DA2">
        <w:rPr>
          <w:lang w:val="es-ES"/>
        </w:rPr>
        <w:t> </w:t>
      </w:r>
      <w:r w:rsidRPr="005B78E7">
        <w:rPr>
          <w:lang w:val="es-ES"/>
        </w:rPr>
        <w:t xml:space="preserve">Se supone que el sistema puede acomodar una reducción de la </w:t>
      </w:r>
      <w:r w:rsidRPr="005B78E7">
        <w:rPr>
          <w:i/>
          <w:iCs/>
          <w:lang w:val="es-ES"/>
        </w:rPr>
        <w:t>C</w:t>
      </w:r>
      <w:r w:rsidRPr="005B78E7">
        <w:rPr>
          <w:iCs/>
          <w:lang w:val="es-ES"/>
        </w:rPr>
        <w:t>/</w:t>
      </w:r>
      <w:r w:rsidRPr="005B78E7">
        <w:rPr>
          <w:i/>
          <w:iCs/>
          <w:lang w:val="es-ES"/>
        </w:rPr>
        <w:t>N</w:t>
      </w:r>
      <w:r w:rsidRPr="005B78E7">
        <w:rPr>
          <w:lang w:val="es-ES"/>
        </w:rPr>
        <w:t xml:space="preserve"> de 1</w:t>
      </w:r>
      <w:r w:rsidR="0024514E">
        <w:rPr>
          <w:lang w:val="es-ES"/>
        </w:rPr>
        <w:t> </w:t>
      </w:r>
      <w:r w:rsidRPr="005B78E7">
        <w:rPr>
          <w:lang w:val="es-ES"/>
        </w:rPr>
        <w:t>dB durante un intervalo de 1</w:t>
      </w:r>
      <w:r w:rsidR="00C04968">
        <w:rPr>
          <w:lang w:val="es-ES"/>
        </w:rPr>
        <w:t> </w:t>
      </w:r>
      <w:r w:rsidRPr="005B78E7">
        <w:rPr>
          <w:lang w:val="es-ES"/>
        </w:rPr>
        <w:t xml:space="preserve">segundo al cambiar de estado de modulación y codificación (MODCOD). Esto equivale a una reducción de un 10% de la eficiencia espectral (caudal o capacidad) en un enlace de satélite no lineal. Esta reducción de la </w:t>
      </w:r>
      <w:r w:rsidRPr="005B78E7">
        <w:rPr>
          <w:i/>
          <w:iCs/>
          <w:lang w:val="es-ES"/>
        </w:rPr>
        <w:t>C</w:t>
      </w:r>
      <w:r w:rsidRPr="005B78E7">
        <w:rPr>
          <w:iCs/>
          <w:lang w:val="es-ES"/>
        </w:rPr>
        <w:t>/</w:t>
      </w:r>
      <w:r w:rsidRPr="005B78E7">
        <w:rPr>
          <w:i/>
          <w:iCs/>
          <w:lang w:val="es-ES"/>
        </w:rPr>
        <w:t>N</w:t>
      </w:r>
      <w:r w:rsidRPr="005B78E7">
        <w:rPr>
          <w:lang w:val="es-ES"/>
        </w:rPr>
        <w:t xml:space="preserve"> puede deberse a cualquier fuente de ruido externo o al desvanecimiento por lluvia</w:t>
      </w:r>
      <w:r w:rsidRPr="005B78E7">
        <w:rPr>
          <w:iCs/>
          <w:lang w:val="es-ES"/>
        </w:rPr>
        <w:t>.</w:t>
      </w:r>
    </w:p>
    <w:p w:rsidR="00177138" w:rsidRPr="005B78E7" w:rsidRDefault="00177138" w:rsidP="00C51DA2">
      <w:pPr>
        <w:rPr>
          <w:lang w:val="es-ES"/>
        </w:rPr>
      </w:pPr>
      <w:r w:rsidRPr="005B78E7">
        <w:rPr>
          <w:lang w:val="es-ES"/>
        </w:rPr>
        <w:t>NOTA</w:t>
      </w:r>
      <w:r w:rsidR="00C51DA2">
        <w:rPr>
          <w:lang w:val="es-ES"/>
        </w:rPr>
        <w:t> </w:t>
      </w:r>
      <w:r w:rsidRPr="005B78E7">
        <w:rPr>
          <w:lang w:val="es-ES"/>
        </w:rPr>
        <w:t>4</w:t>
      </w:r>
      <w:r w:rsidR="00C51DA2">
        <w:rPr>
          <w:lang w:val="es-ES"/>
        </w:rPr>
        <w:t> </w:t>
      </w:r>
      <w:r w:rsidRPr="005B78E7">
        <w:rPr>
          <w:lang w:val="es-ES"/>
        </w:rPr>
        <w:t>–</w:t>
      </w:r>
      <w:r w:rsidR="00C51DA2">
        <w:rPr>
          <w:lang w:val="es-ES"/>
        </w:rPr>
        <w:t> </w:t>
      </w:r>
      <w:r w:rsidRPr="005B78E7">
        <w:rPr>
          <w:lang w:val="es-ES"/>
        </w:rPr>
        <w:t>Cabe señalar que la media temporal del caudal no da información alguna sobre la calidad de fun</w:t>
      </w:r>
      <w:bookmarkStart w:id="4" w:name="_GoBack"/>
      <w:bookmarkEnd w:id="4"/>
      <w:r w:rsidRPr="005B78E7">
        <w:rPr>
          <w:lang w:val="es-ES"/>
        </w:rPr>
        <w:t>cionamiento de un enlace para un porcentaje concreto de tiempo de cualquier año. Por consiguiente, la degradación del caudal durante porcentajes concretos de tiempo es una medida potencial que habrá de considerarse en el marco de la evaluación global de la calidad de funcionamiento de un enlace que utilice ACM. También hay que decir que la degradación del caudal durante porcentajes concretos de tiempo es un valor intermedio de la media mencionada y que todos los estudios técnicos sobre la calidad de funcionamiento media de un enlace ACM contienen datos pertinentes para la evaluación de este posible objetivo de calidad de funcionamiento.</w:t>
      </w:r>
    </w:p>
    <w:p w:rsidR="00177138" w:rsidRPr="009E59FF" w:rsidRDefault="00177138" w:rsidP="00177138">
      <w:pPr>
        <w:pStyle w:val="AnnexNoTitle"/>
        <w:rPr>
          <w:lang w:val="es-ES"/>
        </w:rPr>
      </w:pPr>
      <w:r w:rsidRPr="009E59FF">
        <w:rPr>
          <w:lang w:val="es-ES"/>
        </w:rPr>
        <w:lastRenderedPageBreak/>
        <w:t>Anexo</w:t>
      </w:r>
      <w:r w:rsidRPr="009E59FF">
        <w:rPr>
          <w:lang w:val="es-ES"/>
        </w:rPr>
        <w:br/>
      </w:r>
      <w:r w:rsidRPr="009E59FF">
        <w:rPr>
          <w:lang w:val="es-ES"/>
        </w:rPr>
        <w:br/>
        <w:t>Ejemplo de método para determinar los objetivos de calidad</w:t>
      </w:r>
      <w:r w:rsidR="0024514E">
        <w:rPr>
          <w:lang w:val="es-ES"/>
        </w:rPr>
        <w:t xml:space="preserve"> </w:t>
      </w:r>
      <w:r w:rsidR="0024514E" w:rsidRPr="009E59FF">
        <w:rPr>
          <w:lang w:val="es-ES"/>
        </w:rPr>
        <w:t>de</w:t>
      </w:r>
      <w:r w:rsidR="0024514E">
        <w:rPr>
          <w:lang w:val="es-ES"/>
        </w:rPr>
        <w:br/>
      </w:r>
      <w:r w:rsidRPr="009E59FF">
        <w:rPr>
          <w:lang w:val="es-ES"/>
        </w:rPr>
        <w:t>funcionamiento de trayectos digitales ficticios de referencia</w:t>
      </w:r>
      <w:r w:rsidR="0024514E">
        <w:rPr>
          <w:lang w:val="es-ES"/>
        </w:rPr>
        <w:br/>
      </w:r>
      <w:r w:rsidRPr="009E59FF">
        <w:rPr>
          <w:lang w:val="es-ES"/>
        </w:rPr>
        <w:t>que utilizan</w:t>
      </w:r>
      <w:r w:rsidR="0024514E">
        <w:rPr>
          <w:lang w:val="es-ES"/>
        </w:rPr>
        <w:t xml:space="preserve"> </w:t>
      </w:r>
      <w:r w:rsidRPr="009E59FF">
        <w:rPr>
          <w:lang w:val="es-ES"/>
        </w:rPr>
        <w:t>la codificación y modulación adaptables</w:t>
      </w:r>
    </w:p>
    <w:p w:rsidR="00177138" w:rsidRPr="005B78E7" w:rsidRDefault="00177138" w:rsidP="00177138">
      <w:pPr>
        <w:pStyle w:val="Heading1"/>
        <w:rPr>
          <w:lang w:val="es-ES"/>
        </w:rPr>
      </w:pPr>
      <w:r w:rsidRPr="005B78E7">
        <w:rPr>
          <w:lang w:val="es-ES"/>
        </w:rPr>
        <w:t>1</w:t>
      </w:r>
      <w:r w:rsidRPr="005B78E7">
        <w:rPr>
          <w:lang w:val="es-ES"/>
        </w:rPr>
        <w:tab/>
        <w:t>Antecedentes</w:t>
      </w:r>
    </w:p>
    <w:p w:rsidR="00177138" w:rsidRPr="005B78E7" w:rsidRDefault="00177138" w:rsidP="00C51DA2">
      <w:pPr>
        <w:rPr>
          <w:lang w:val="es-ES"/>
        </w:rPr>
      </w:pPr>
      <w:r w:rsidRPr="005B78E7">
        <w:rPr>
          <w:lang w:val="es-ES"/>
        </w:rPr>
        <w:t>Las Recomendaciones sobre característica de error y disponibilidad existentes reconocen la degradación del enlace de satélite debida a la degradación de la propagación, que puede caracterizarse con los modelos de las Recomendaciones UIT-R</w:t>
      </w:r>
      <w:r w:rsidR="00617508">
        <w:rPr>
          <w:lang w:val="es-ES"/>
        </w:rPr>
        <w:t> </w:t>
      </w:r>
      <w:r w:rsidRPr="005B78E7">
        <w:rPr>
          <w:lang w:val="es-ES"/>
        </w:rPr>
        <w:t>P.618-13 y UIT-R</w:t>
      </w:r>
      <w:r w:rsidR="00617508">
        <w:rPr>
          <w:lang w:val="es-ES"/>
        </w:rPr>
        <w:t> </w:t>
      </w:r>
      <w:r w:rsidRPr="005B78E7">
        <w:rPr>
          <w:lang w:val="es-ES"/>
        </w:rPr>
        <w:t>P.1623-1. Los estudios realizados por la Comisión de Estudio</w:t>
      </w:r>
      <w:r w:rsidR="0024514E">
        <w:rPr>
          <w:lang w:val="es-ES"/>
        </w:rPr>
        <w:t> </w:t>
      </w:r>
      <w:r w:rsidRPr="005B78E7">
        <w:rPr>
          <w:lang w:val="es-ES"/>
        </w:rPr>
        <w:t>3 revelan que esas Recomendaciones sobre propagación son aplicables hasta 51,4 GHz, pero no hay Recomendaciones aplicables a los trayectos oblicuos utilizando frecuencias superiores a los 52</w:t>
      </w:r>
      <w:r>
        <w:rPr>
          <w:lang w:val="es-ES"/>
        </w:rPr>
        <w:t> </w:t>
      </w:r>
      <w:r w:rsidRPr="005B78E7">
        <w:rPr>
          <w:lang w:val="es-ES"/>
        </w:rPr>
        <w:t>GHz. Habida cuenta de lo anterior, en las Recomendaciones sobre característica de error y disponibilidad se utilizan trayectos digitales ficticios de referencia (TDFR) hasta 52 GHz.</w:t>
      </w:r>
    </w:p>
    <w:p w:rsidR="00177138" w:rsidRPr="005B78E7" w:rsidRDefault="00177138" w:rsidP="00177138">
      <w:pPr>
        <w:rPr>
          <w:lang w:val="es-ES"/>
        </w:rPr>
      </w:pPr>
      <w:r w:rsidRPr="005B78E7">
        <w:rPr>
          <w:lang w:val="es-ES"/>
        </w:rPr>
        <w:t xml:space="preserve">El desarrollo y la adopción de técnicas de codificación y modulación adaptables (ACM, </w:t>
      </w:r>
      <w:r w:rsidRPr="005B78E7">
        <w:rPr>
          <w:i/>
          <w:iCs/>
          <w:lang w:val="es-ES"/>
        </w:rPr>
        <w:t>adaptive coding and modulation</w:t>
      </w:r>
      <w:r w:rsidRPr="005B78E7">
        <w:rPr>
          <w:lang w:val="es-ES"/>
        </w:rPr>
        <w:t xml:space="preserve">) y de linealización del amplificador de potencia por los fabricantes y operadores de equipos de satélites ha resultado en una mejora de la eficiencia de los satélites y de la calidad de funcionamiento de la transmisión. La utilización de la ACM permite mantener un TDFR de satélite a pesar de la degradación de la propagación, pero a velocidades de caudal inferiores. La aplicación de técnicas ACM a los sistemas de transmisión por satélite se aborda en el Informe </w:t>
      </w:r>
      <w:r w:rsidR="00C51DA2">
        <w:rPr>
          <w:lang w:val="es-ES"/>
        </w:rPr>
        <w:t>UIT</w:t>
      </w:r>
      <w:r w:rsidR="00617508">
        <w:rPr>
          <w:lang w:val="es-ES"/>
        </w:rPr>
        <w:noBreakHyphen/>
      </w:r>
      <w:r w:rsidR="00C51DA2">
        <w:rPr>
          <w:lang w:val="es-ES"/>
        </w:rPr>
        <w:t>R S</w:t>
      </w:r>
      <w:r w:rsidRPr="005B78E7">
        <w:rPr>
          <w:lang w:val="es-ES"/>
        </w:rPr>
        <w:t xml:space="preserve">.2173 y el § 2 del Anexo 1 a la Recomendación </w:t>
      </w:r>
      <w:r w:rsidR="00C51DA2">
        <w:rPr>
          <w:lang w:val="es-ES"/>
        </w:rPr>
        <w:t>UIT-R S</w:t>
      </w:r>
      <w:r w:rsidRPr="005B78E7">
        <w:rPr>
          <w:lang w:val="es-ES"/>
        </w:rPr>
        <w:t>.2099.</w:t>
      </w:r>
    </w:p>
    <w:p w:rsidR="00177138" w:rsidRPr="005B78E7" w:rsidRDefault="00177138" w:rsidP="00177138">
      <w:pPr>
        <w:pStyle w:val="Heading2"/>
        <w:rPr>
          <w:lang w:val="es-ES"/>
        </w:rPr>
      </w:pPr>
      <w:r w:rsidRPr="005B78E7">
        <w:rPr>
          <w:lang w:val="es-ES"/>
        </w:rPr>
        <w:t>1.1</w:t>
      </w:r>
      <w:r w:rsidRPr="005B78E7">
        <w:rPr>
          <w:lang w:val="es-ES"/>
        </w:rPr>
        <w:tab/>
        <w:t>Objetivos de calidad de funcionamiento para TDFR con velocidad binaria constante</w:t>
      </w:r>
    </w:p>
    <w:p w:rsidR="00177138" w:rsidRPr="005B78E7" w:rsidRDefault="00177138" w:rsidP="00177138">
      <w:pPr>
        <w:rPr>
          <w:lang w:val="es-ES"/>
        </w:rPr>
      </w:pPr>
      <w:r w:rsidRPr="005B78E7">
        <w:rPr>
          <w:lang w:val="es-ES"/>
        </w:rPr>
        <w:t xml:space="preserve">En la Recomendación </w:t>
      </w:r>
      <w:r w:rsidR="00C51DA2">
        <w:rPr>
          <w:lang w:val="es-ES"/>
        </w:rPr>
        <w:t>UIT-R S</w:t>
      </w:r>
      <w:r w:rsidRPr="005B78E7">
        <w:rPr>
          <w:lang w:val="es-ES"/>
        </w:rPr>
        <w:t>.1062 se definen los objetivos de calidad de funcionamiento de los</w:t>
      </w:r>
      <w:r w:rsidR="00C51DA2">
        <w:rPr>
          <w:lang w:val="es-ES"/>
        </w:rPr>
        <w:t xml:space="preserve"> </w:t>
      </w:r>
      <w:r w:rsidRPr="005B78E7">
        <w:rPr>
          <w:lang w:val="es-ES"/>
        </w:rPr>
        <w:t xml:space="preserve">TDFR de satélite para servicios con velocidad binaria constante. Estas conexiones eran las típicas para el tráfico de satélite a principios de la década de 1990, antes de la proliferación de los cables submarinos de fibra óptica. La Recomendación </w:t>
      </w:r>
      <w:r w:rsidR="00C51DA2">
        <w:rPr>
          <w:lang w:val="es-ES"/>
        </w:rPr>
        <w:t>UIT-R S</w:t>
      </w:r>
      <w:r w:rsidRPr="005B78E7">
        <w:rPr>
          <w:lang w:val="es-ES"/>
        </w:rPr>
        <w:t>.1062 se basa en los requisitos definidos en la Recomendación UIT-T G.826, que se dan en términos de bloques con errores por oposición a bits erróneos individuales. En la Recomendación UIT-T</w:t>
      </w:r>
      <w:r w:rsidR="00C51DA2">
        <w:rPr>
          <w:lang w:val="es-ES"/>
        </w:rPr>
        <w:t> </w:t>
      </w:r>
      <w:r w:rsidRPr="005B78E7">
        <w:rPr>
          <w:lang w:val="es-ES"/>
        </w:rPr>
        <w:t xml:space="preserve">G.826 se definen los objetivos de calidad de funcionamiento en términos de tasa de errores en los bloques de fondo (BBER, </w:t>
      </w:r>
      <w:r w:rsidRPr="005B78E7">
        <w:rPr>
          <w:i/>
          <w:iCs/>
          <w:lang w:val="es-ES"/>
        </w:rPr>
        <w:t>background block error rate</w:t>
      </w:r>
      <w:r w:rsidRPr="005B78E7">
        <w:rPr>
          <w:lang w:val="es-ES"/>
        </w:rPr>
        <w:t>), con valores entre 2 × 10</w:t>
      </w:r>
      <w:r w:rsidRPr="005B78E7">
        <w:rPr>
          <w:vertAlign w:val="superscript"/>
          <w:lang w:val="es-ES"/>
        </w:rPr>
        <w:t>−4</w:t>
      </w:r>
      <w:r w:rsidRPr="005B78E7">
        <w:rPr>
          <w:lang w:val="es-ES"/>
        </w:rPr>
        <w:t xml:space="preserve"> y 1 × 10</w:t>
      </w:r>
      <w:r w:rsidRPr="005B78E7">
        <w:rPr>
          <w:vertAlign w:val="superscript"/>
          <w:lang w:val="es-ES"/>
        </w:rPr>
        <w:t>−4</w:t>
      </w:r>
      <w:r w:rsidRPr="005B78E7">
        <w:rPr>
          <w:lang w:val="es-ES"/>
        </w:rPr>
        <w:t>, dependiendo de la velocidad de servicio, hasta 3,5</w:t>
      </w:r>
      <w:r>
        <w:rPr>
          <w:lang w:val="es-ES"/>
        </w:rPr>
        <w:t> </w:t>
      </w:r>
      <w:r w:rsidRPr="005B78E7">
        <w:rPr>
          <w:lang w:val="es-ES"/>
        </w:rPr>
        <w:t>Gbit/s, y la BBER se mide sólo durante el tiempo de disponibilidad. A continuación se reproduce como referencia parte del Cuadro 1 de la Recomendación UIT-T G.826.</w:t>
      </w:r>
    </w:p>
    <w:p w:rsidR="00177138" w:rsidRPr="005B78E7" w:rsidRDefault="00177138" w:rsidP="00177138">
      <w:pPr>
        <w:pStyle w:val="TableNo"/>
        <w:rPr>
          <w:lang w:val="es-ES"/>
        </w:rPr>
      </w:pPr>
      <w:r w:rsidRPr="005B78E7">
        <w:rPr>
          <w:lang w:val="es-ES"/>
        </w:rPr>
        <w:t>CUADRO 1</w:t>
      </w:r>
    </w:p>
    <w:p w:rsidR="00177138" w:rsidRPr="005B78E7" w:rsidRDefault="00177138" w:rsidP="00177138">
      <w:pPr>
        <w:pStyle w:val="Tabletitle"/>
        <w:rPr>
          <w:lang w:val="es-ES"/>
        </w:rPr>
      </w:pPr>
      <w:r w:rsidRPr="005B78E7">
        <w:rPr>
          <w:lang w:val="es-ES"/>
        </w:rPr>
        <w:t>Objetivos de característica de error de extremo a extremo para las CFR</w:t>
      </w:r>
      <w:r w:rsidR="00C51DA2">
        <w:rPr>
          <w:lang w:val="es-ES"/>
        </w:rPr>
        <w:br/>
      </w:r>
      <w:r w:rsidRPr="005B78E7">
        <w:rPr>
          <w:lang w:val="es-ES"/>
        </w:rPr>
        <w:t>o los TDFR digitales internacionales de 27</w:t>
      </w:r>
      <w:r>
        <w:rPr>
          <w:lang w:val="es-ES"/>
        </w:rPr>
        <w:t> </w:t>
      </w:r>
      <w:r w:rsidRPr="005B78E7">
        <w:rPr>
          <w:lang w:val="es-ES"/>
        </w:rPr>
        <w:t>500 km definidos</w:t>
      </w:r>
      <w:r w:rsidR="00C51DA2">
        <w:rPr>
          <w:lang w:val="es-ES"/>
        </w:rPr>
        <w:br/>
      </w:r>
      <w:r w:rsidRPr="005B78E7">
        <w:rPr>
          <w:lang w:val="es-ES"/>
        </w:rPr>
        <w:t>en la Recomendación UIT-T G.826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0"/>
        <w:gridCol w:w="1302"/>
        <w:gridCol w:w="1316"/>
        <w:gridCol w:w="1455"/>
        <w:gridCol w:w="1470"/>
        <w:gridCol w:w="1567"/>
      </w:tblGrid>
      <w:tr w:rsidR="00177138" w:rsidRPr="005B78E7" w:rsidTr="00C51DA2">
        <w:trPr>
          <w:cantSplit/>
          <w:jc w:val="center"/>
        </w:trPr>
        <w:tc>
          <w:tcPr>
            <w:tcW w:w="1269" w:type="dxa"/>
            <w:vAlign w:val="center"/>
          </w:tcPr>
          <w:p w:rsidR="00177138" w:rsidRPr="005B78E7" w:rsidRDefault="00177138" w:rsidP="00177138">
            <w:pPr>
              <w:pStyle w:val="Tablehead"/>
              <w:rPr>
                <w:lang w:val="en-US"/>
              </w:rPr>
            </w:pPr>
            <w:r w:rsidRPr="005B78E7">
              <w:rPr>
                <w:lang w:val="es-ES"/>
              </w:rPr>
              <w:t>Velocidad</w:t>
            </w:r>
          </w:p>
        </w:tc>
        <w:tc>
          <w:tcPr>
            <w:tcW w:w="1260" w:type="dxa"/>
            <w:vAlign w:val="center"/>
          </w:tcPr>
          <w:p w:rsidR="00177138" w:rsidRPr="005B78E7" w:rsidRDefault="00177138" w:rsidP="00177138">
            <w:pPr>
              <w:pStyle w:val="Tablehead"/>
              <w:rPr>
                <w:lang w:val="en-US"/>
              </w:rPr>
            </w:pPr>
            <w:r w:rsidRPr="005B78E7">
              <w:rPr>
                <w:lang w:val="en-US"/>
              </w:rPr>
              <w:t>64 kbit/s</w:t>
            </w:r>
          </w:p>
        </w:tc>
        <w:tc>
          <w:tcPr>
            <w:tcW w:w="1302" w:type="dxa"/>
            <w:vAlign w:val="center"/>
          </w:tcPr>
          <w:p w:rsidR="00177138" w:rsidRPr="005B78E7" w:rsidRDefault="00177138" w:rsidP="00177138">
            <w:pPr>
              <w:pStyle w:val="Tablehead"/>
              <w:rPr>
                <w:lang w:val="en-US"/>
              </w:rPr>
            </w:pPr>
            <w:r w:rsidRPr="005B78E7">
              <w:rPr>
                <w:lang w:val="en-US"/>
              </w:rPr>
              <w:t>1,5 a 5</w:t>
            </w:r>
            <w:r w:rsidRPr="005B78E7">
              <w:rPr>
                <w:lang w:val="en-US"/>
              </w:rPr>
              <w:br/>
              <w:t>(Mbit/s)</w:t>
            </w:r>
          </w:p>
        </w:tc>
        <w:tc>
          <w:tcPr>
            <w:tcW w:w="1316" w:type="dxa"/>
            <w:vAlign w:val="center"/>
          </w:tcPr>
          <w:p w:rsidR="00177138" w:rsidRPr="005B78E7" w:rsidRDefault="00177138" w:rsidP="00177138">
            <w:pPr>
              <w:pStyle w:val="Tablehead"/>
              <w:rPr>
                <w:lang w:val="en-US"/>
              </w:rPr>
            </w:pPr>
            <w:r w:rsidRPr="005B78E7">
              <w:rPr>
                <w:lang w:val="en-US"/>
              </w:rPr>
              <w:t>&gt; 5 a 15</w:t>
            </w:r>
            <w:r w:rsidRPr="005B78E7">
              <w:rPr>
                <w:lang w:val="en-US"/>
              </w:rPr>
              <w:br/>
              <w:t>(Mbit/s)</w:t>
            </w:r>
          </w:p>
        </w:tc>
        <w:tc>
          <w:tcPr>
            <w:tcW w:w="1455" w:type="dxa"/>
            <w:vAlign w:val="center"/>
          </w:tcPr>
          <w:p w:rsidR="00177138" w:rsidRPr="005B78E7" w:rsidRDefault="00177138" w:rsidP="00177138">
            <w:pPr>
              <w:pStyle w:val="Tablehead"/>
              <w:rPr>
                <w:lang w:val="en-US"/>
              </w:rPr>
            </w:pPr>
            <w:r w:rsidRPr="005B78E7">
              <w:rPr>
                <w:lang w:val="en-US"/>
              </w:rPr>
              <w:t>&gt; 15 a 55</w:t>
            </w:r>
            <w:r w:rsidRPr="005B78E7">
              <w:rPr>
                <w:lang w:val="en-US"/>
              </w:rPr>
              <w:br/>
              <w:t>(Mbit/s)</w:t>
            </w:r>
          </w:p>
        </w:tc>
        <w:tc>
          <w:tcPr>
            <w:tcW w:w="1470" w:type="dxa"/>
            <w:vAlign w:val="center"/>
          </w:tcPr>
          <w:p w:rsidR="00177138" w:rsidRPr="005B78E7" w:rsidRDefault="00177138" w:rsidP="00177138">
            <w:pPr>
              <w:pStyle w:val="Tablehead"/>
              <w:rPr>
                <w:lang w:val="en-US"/>
              </w:rPr>
            </w:pPr>
            <w:r w:rsidRPr="005B78E7">
              <w:rPr>
                <w:lang w:val="en-US"/>
              </w:rPr>
              <w:t>&gt; 55 a 160</w:t>
            </w:r>
            <w:r w:rsidRPr="005B78E7">
              <w:rPr>
                <w:lang w:val="en-US"/>
              </w:rPr>
              <w:br/>
              <w:t>(Mbit/s)</w:t>
            </w:r>
          </w:p>
        </w:tc>
        <w:tc>
          <w:tcPr>
            <w:tcW w:w="1567" w:type="dxa"/>
            <w:vAlign w:val="center"/>
          </w:tcPr>
          <w:p w:rsidR="00177138" w:rsidRPr="005B78E7" w:rsidRDefault="00177138" w:rsidP="00177138">
            <w:pPr>
              <w:pStyle w:val="Tablehead"/>
              <w:rPr>
                <w:lang w:val="en-US"/>
              </w:rPr>
            </w:pPr>
            <w:r w:rsidRPr="005B78E7">
              <w:rPr>
                <w:lang w:val="en-US"/>
              </w:rPr>
              <w:t>&gt; 160 a 3 500</w:t>
            </w:r>
            <w:r w:rsidRPr="005B78E7">
              <w:rPr>
                <w:lang w:val="en-US"/>
              </w:rPr>
              <w:br/>
              <w:t>(Mbit/s)</w:t>
            </w:r>
          </w:p>
        </w:tc>
      </w:tr>
      <w:tr w:rsidR="00177138" w:rsidRPr="005B78E7" w:rsidTr="00C51DA2">
        <w:trPr>
          <w:cantSplit/>
          <w:jc w:val="center"/>
        </w:trPr>
        <w:tc>
          <w:tcPr>
            <w:tcW w:w="1269" w:type="dxa"/>
          </w:tcPr>
          <w:p w:rsidR="00177138" w:rsidRPr="005B78E7" w:rsidRDefault="00177138" w:rsidP="00177138">
            <w:pPr>
              <w:pStyle w:val="Tabletext"/>
              <w:rPr>
                <w:lang w:val="en-US"/>
              </w:rPr>
            </w:pPr>
            <w:r w:rsidRPr="005B78E7">
              <w:rPr>
                <w:lang w:val="en-US"/>
              </w:rPr>
              <w:t>Bit/bloque</w:t>
            </w:r>
          </w:p>
        </w:tc>
        <w:tc>
          <w:tcPr>
            <w:tcW w:w="1260" w:type="dxa"/>
          </w:tcPr>
          <w:p w:rsidR="00177138" w:rsidRPr="005B78E7" w:rsidRDefault="00177138" w:rsidP="00177138">
            <w:pPr>
              <w:pStyle w:val="Tabletext"/>
              <w:jc w:val="center"/>
              <w:rPr>
                <w:lang w:val="en-US"/>
              </w:rPr>
            </w:pPr>
          </w:p>
        </w:tc>
        <w:tc>
          <w:tcPr>
            <w:tcW w:w="1302" w:type="dxa"/>
          </w:tcPr>
          <w:p w:rsidR="00177138" w:rsidRPr="005B78E7" w:rsidRDefault="00177138" w:rsidP="00177138">
            <w:pPr>
              <w:pStyle w:val="Tabletext"/>
              <w:jc w:val="center"/>
              <w:rPr>
                <w:lang w:val="en-US"/>
              </w:rPr>
            </w:pPr>
            <w:r w:rsidRPr="005B78E7">
              <w:rPr>
                <w:lang w:val="en-US"/>
              </w:rPr>
              <w:t>800-5</w:t>
            </w:r>
            <w:r>
              <w:rPr>
                <w:lang w:val="en-US"/>
              </w:rPr>
              <w:t> </w:t>
            </w:r>
            <w:r w:rsidRPr="005B78E7">
              <w:rPr>
                <w:lang w:val="en-US"/>
              </w:rPr>
              <w:t>000</w:t>
            </w:r>
          </w:p>
        </w:tc>
        <w:tc>
          <w:tcPr>
            <w:tcW w:w="1316" w:type="dxa"/>
          </w:tcPr>
          <w:p w:rsidR="00177138" w:rsidRPr="005B78E7" w:rsidRDefault="00177138" w:rsidP="00177138">
            <w:pPr>
              <w:pStyle w:val="Tabletext"/>
              <w:jc w:val="center"/>
              <w:rPr>
                <w:lang w:val="en-US"/>
              </w:rPr>
            </w:pPr>
            <w:r w:rsidRPr="005B78E7">
              <w:rPr>
                <w:lang w:val="en-US"/>
              </w:rPr>
              <w:t>2</w:t>
            </w:r>
            <w:r>
              <w:rPr>
                <w:lang w:val="en-US"/>
              </w:rPr>
              <w:t> </w:t>
            </w:r>
            <w:r w:rsidRPr="005B78E7">
              <w:rPr>
                <w:lang w:val="en-US"/>
              </w:rPr>
              <w:t>000-8</w:t>
            </w:r>
            <w:r>
              <w:rPr>
                <w:lang w:val="en-US"/>
              </w:rPr>
              <w:t> </w:t>
            </w:r>
            <w:r w:rsidRPr="005B78E7">
              <w:rPr>
                <w:lang w:val="en-US"/>
              </w:rPr>
              <w:t>000</w:t>
            </w:r>
          </w:p>
        </w:tc>
        <w:tc>
          <w:tcPr>
            <w:tcW w:w="1455" w:type="dxa"/>
          </w:tcPr>
          <w:p w:rsidR="00177138" w:rsidRPr="005B78E7" w:rsidRDefault="00177138" w:rsidP="00177138">
            <w:pPr>
              <w:pStyle w:val="Tabletext"/>
              <w:jc w:val="center"/>
              <w:rPr>
                <w:lang w:val="en-US"/>
              </w:rPr>
            </w:pPr>
            <w:r w:rsidRPr="005B78E7">
              <w:rPr>
                <w:lang w:val="en-US"/>
              </w:rPr>
              <w:t>4</w:t>
            </w:r>
            <w:r>
              <w:rPr>
                <w:lang w:val="en-US"/>
              </w:rPr>
              <w:t> </w:t>
            </w:r>
            <w:r w:rsidRPr="005B78E7">
              <w:rPr>
                <w:lang w:val="en-US"/>
              </w:rPr>
              <w:t>000-20</w:t>
            </w:r>
            <w:r>
              <w:rPr>
                <w:lang w:val="en-US"/>
              </w:rPr>
              <w:t> </w:t>
            </w:r>
            <w:r w:rsidRPr="005B78E7">
              <w:rPr>
                <w:lang w:val="en-US"/>
              </w:rPr>
              <w:t>000</w:t>
            </w:r>
          </w:p>
        </w:tc>
        <w:tc>
          <w:tcPr>
            <w:tcW w:w="1470" w:type="dxa"/>
          </w:tcPr>
          <w:p w:rsidR="00177138" w:rsidRPr="005B78E7" w:rsidRDefault="00177138" w:rsidP="00177138">
            <w:pPr>
              <w:pStyle w:val="Tabletext"/>
              <w:jc w:val="center"/>
              <w:rPr>
                <w:lang w:val="en-US"/>
              </w:rPr>
            </w:pPr>
            <w:r w:rsidRPr="005B78E7">
              <w:rPr>
                <w:lang w:val="en-US"/>
              </w:rPr>
              <w:t>6</w:t>
            </w:r>
            <w:r>
              <w:rPr>
                <w:lang w:val="en-US"/>
              </w:rPr>
              <w:t> </w:t>
            </w:r>
            <w:r w:rsidRPr="005B78E7">
              <w:rPr>
                <w:lang w:val="en-US"/>
              </w:rPr>
              <w:t>000-20</w:t>
            </w:r>
            <w:r>
              <w:rPr>
                <w:lang w:val="en-US"/>
              </w:rPr>
              <w:t> </w:t>
            </w:r>
            <w:r w:rsidRPr="005B78E7">
              <w:rPr>
                <w:lang w:val="en-US"/>
              </w:rPr>
              <w:t>000</w:t>
            </w:r>
          </w:p>
        </w:tc>
        <w:tc>
          <w:tcPr>
            <w:tcW w:w="1567" w:type="dxa"/>
          </w:tcPr>
          <w:p w:rsidR="00177138" w:rsidRPr="005B78E7" w:rsidRDefault="00177138" w:rsidP="00177138">
            <w:pPr>
              <w:pStyle w:val="Tabletext"/>
              <w:jc w:val="center"/>
              <w:rPr>
                <w:lang w:val="en-US"/>
              </w:rPr>
            </w:pPr>
            <w:r w:rsidRPr="005B78E7">
              <w:rPr>
                <w:lang w:val="en-US"/>
              </w:rPr>
              <w:t>15</w:t>
            </w:r>
            <w:r>
              <w:rPr>
                <w:lang w:val="en-US"/>
              </w:rPr>
              <w:t> </w:t>
            </w:r>
            <w:r w:rsidRPr="005B78E7">
              <w:rPr>
                <w:lang w:val="en-US"/>
              </w:rPr>
              <w:t>000-30</w:t>
            </w:r>
            <w:r>
              <w:rPr>
                <w:lang w:val="en-US"/>
              </w:rPr>
              <w:t> </w:t>
            </w:r>
            <w:r w:rsidRPr="005B78E7">
              <w:rPr>
                <w:lang w:val="en-US"/>
              </w:rPr>
              <w:t>000</w:t>
            </w:r>
          </w:p>
        </w:tc>
      </w:tr>
      <w:tr w:rsidR="00177138" w:rsidRPr="005B78E7" w:rsidTr="00C51DA2">
        <w:trPr>
          <w:cantSplit/>
          <w:jc w:val="center"/>
        </w:trPr>
        <w:tc>
          <w:tcPr>
            <w:tcW w:w="1269" w:type="dxa"/>
          </w:tcPr>
          <w:p w:rsidR="00177138" w:rsidRPr="005B78E7" w:rsidRDefault="00177138" w:rsidP="00177138">
            <w:pPr>
              <w:pStyle w:val="Tabletext"/>
              <w:rPr>
                <w:lang w:val="en-US"/>
              </w:rPr>
            </w:pPr>
            <w:r w:rsidRPr="005B78E7">
              <w:rPr>
                <w:lang w:val="en-US"/>
              </w:rPr>
              <w:t>ESR</w:t>
            </w:r>
          </w:p>
        </w:tc>
        <w:tc>
          <w:tcPr>
            <w:tcW w:w="126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04</w:t>
            </w:r>
          </w:p>
        </w:tc>
        <w:tc>
          <w:tcPr>
            <w:tcW w:w="1302"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04</w:t>
            </w:r>
          </w:p>
        </w:tc>
        <w:tc>
          <w:tcPr>
            <w:tcW w:w="1316"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05</w:t>
            </w:r>
          </w:p>
        </w:tc>
        <w:tc>
          <w:tcPr>
            <w:tcW w:w="1455"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075</w:t>
            </w:r>
          </w:p>
        </w:tc>
        <w:tc>
          <w:tcPr>
            <w:tcW w:w="147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16</w:t>
            </w:r>
          </w:p>
        </w:tc>
        <w:tc>
          <w:tcPr>
            <w:tcW w:w="1567" w:type="dxa"/>
          </w:tcPr>
          <w:p w:rsidR="00177138" w:rsidRPr="005B78E7" w:rsidRDefault="00177138" w:rsidP="00177138">
            <w:pPr>
              <w:pStyle w:val="Tabletext"/>
              <w:jc w:val="center"/>
              <w:rPr>
                <w:lang w:val="en-US"/>
              </w:rPr>
            </w:pPr>
          </w:p>
        </w:tc>
      </w:tr>
      <w:tr w:rsidR="00177138" w:rsidRPr="005B78E7" w:rsidTr="00C51DA2">
        <w:trPr>
          <w:cantSplit/>
          <w:jc w:val="center"/>
        </w:trPr>
        <w:tc>
          <w:tcPr>
            <w:tcW w:w="1269" w:type="dxa"/>
          </w:tcPr>
          <w:p w:rsidR="00177138" w:rsidRPr="005B78E7" w:rsidRDefault="00177138" w:rsidP="00177138">
            <w:pPr>
              <w:pStyle w:val="Tabletext"/>
              <w:rPr>
                <w:lang w:val="en-US"/>
              </w:rPr>
            </w:pPr>
            <w:r w:rsidRPr="005B78E7">
              <w:rPr>
                <w:lang w:val="en-US"/>
              </w:rPr>
              <w:t>SESR</w:t>
            </w:r>
          </w:p>
        </w:tc>
        <w:tc>
          <w:tcPr>
            <w:tcW w:w="126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c>
          <w:tcPr>
            <w:tcW w:w="1302"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c>
          <w:tcPr>
            <w:tcW w:w="1316"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c>
          <w:tcPr>
            <w:tcW w:w="1455"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c>
          <w:tcPr>
            <w:tcW w:w="147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c>
          <w:tcPr>
            <w:tcW w:w="1567"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002</w:t>
            </w:r>
          </w:p>
        </w:tc>
      </w:tr>
      <w:tr w:rsidR="00177138" w:rsidRPr="005B78E7" w:rsidTr="00C51DA2">
        <w:trPr>
          <w:cantSplit/>
          <w:jc w:val="center"/>
        </w:trPr>
        <w:tc>
          <w:tcPr>
            <w:tcW w:w="1269" w:type="dxa"/>
          </w:tcPr>
          <w:p w:rsidR="00177138" w:rsidRPr="005B78E7" w:rsidRDefault="00177138" w:rsidP="00177138">
            <w:pPr>
              <w:pStyle w:val="Tabletext"/>
              <w:rPr>
                <w:lang w:val="en-US"/>
              </w:rPr>
            </w:pPr>
            <w:r w:rsidRPr="005B78E7">
              <w:rPr>
                <w:lang w:val="en-US"/>
              </w:rPr>
              <w:t>BBER</w:t>
            </w:r>
          </w:p>
        </w:tc>
        <w:tc>
          <w:tcPr>
            <w:tcW w:w="1260" w:type="dxa"/>
          </w:tcPr>
          <w:p w:rsidR="00177138" w:rsidRPr="005B78E7" w:rsidRDefault="00177138" w:rsidP="00177138">
            <w:pPr>
              <w:pStyle w:val="Tabletext"/>
              <w:jc w:val="center"/>
              <w:rPr>
                <w:lang w:val="en-US"/>
              </w:rPr>
            </w:pPr>
          </w:p>
        </w:tc>
        <w:tc>
          <w:tcPr>
            <w:tcW w:w="1302" w:type="dxa"/>
          </w:tcPr>
          <w:p w:rsidR="00177138" w:rsidRPr="005B78E7" w:rsidRDefault="00177138" w:rsidP="00177138">
            <w:pPr>
              <w:pStyle w:val="Tabletext"/>
              <w:jc w:val="center"/>
              <w:rPr>
                <w:lang w:val="en-US"/>
              </w:rPr>
            </w:pPr>
            <w:r w:rsidRPr="005B78E7">
              <w:rPr>
                <w:lang w:val="en-US"/>
              </w:rPr>
              <w:t>2 × 10</w:t>
            </w:r>
            <w:r w:rsidRPr="005B78E7">
              <w:rPr>
                <w:vertAlign w:val="superscript"/>
                <w:lang w:val="en-US"/>
              </w:rPr>
              <w:t>−4</w:t>
            </w:r>
          </w:p>
        </w:tc>
        <w:tc>
          <w:tcPr>
            <w:tcW w:w="1316" w:type="dxa"/>
          </w:tcPr>
          <w:p w:rsidR="00177138" w:rsidRPr="005B78E7" w:rsidRDefault="00177138" w:rsidP="00177138">
            <w:pPr>
              <w:pStyle w:val="Tabletext"/>
              <w:jc w:val="center"/>
              <w:rPr>
                <w:lang w:val="en-US"/>
              </w:rPr>
            </w:pPr>
            <w:r w:rsidRPr="005B78E7">
              <w:rPr>
                <w:lang w:val="en-US"/>
              </w:rPr>
              <w:t>2 × 10</w:t>
            </w:r>
            <w:r w:rsidRPr="005B78E7">
              <w:rPr>
                <w:vertAlign w:val="superscript"/>
                <w:lang w:val="en-US"/>
              </w:rPr>
              <w:t>−4</w:t>
            </w:r>
          </w:p>
        </w:tc>
        <w:tc>
          <w:tcPr>
            <w:tcW w:w="1455" w:type="dxa"/>
          </w:tcPr>
          <w:p w:rsidR="00177138" w:rsidRPr="005B78E7" w:rsidRDefault="00177138" w:rsidP="00177138">
            <w:pPr>
              <w:pStyle w:val="Tabletext"/>
              <w:jc w:val="center"/>
              <w:rPr>
                <w:lang w:val="en-US"/>
              </w:rPr>
            </w:pPr>
            <w:r w:rsidRPr="005B78E7">
              <w:rPr>
                <w:lang w:val="en-US"/>
              </w:rPr>
              <w:t>2 × 10</w:t>
            </w:r>
            <w:r w:rsidRPr="005B78E7">
              <w:rPr>
                <w:vertAlign w:val="superscript"/>
                <w:lang w:val="en-US"/>
              </w:rPr>
              <w:t>−4</w:t>
            </w:r>
          </w:p>
        </w:tc>
        <w:tc>
          <w:tcPr>
            <w:tcW w:w="1470" w:type="dxa"/>
          </w:tcPr>
          <w:p w:rsidR="00177138" w:rsidRPr="005B78E7" w:rsidRDefault="00177138" w:rsidP="00177138">
            <w:pPr>
              <w:pStyle w:val="Tabletext"/>
              <w:jc w:val="center"/>
              <w:rPr>
                <w:lang w:val="en-US"/>
              </w:rPr>
            </w:pPr>
            <w:r w:rsidRPr="005B78E7">
              <w:rPr>
                <w:lang w:val="en-US"/>
              </w:rPr>
              <w:t>2 × 10</w:t>
            </w:r>
            <w:r w:rsidRPr="005B78E7">
              <w:rPr>
                <w:vertAlign w:val="superscript"/>
                <w:lang w:val="en-US"/>
              </w:rPr>
              <w:t>−4</w:t>
            </w:r>
          </w:p>
        </w:tc>
        <w:tc>
          <w:tcPr>
            <w:tcW w:w="1567" w:type="dxa"/>
          </w:tcPr>
          <w:p w:rsidR="00177138" w:rsidRPr="005B78E7" w:rsidRDefault="00177138" w:rsidP="00177138">
            <w:pPr>
              <w:pStyle w:val="Tabletext"/>
              <w:jc w:val="center"/>
              <w:rPr>
                <w:lang w:val="en-US"/>
              </w:rPr>
            </w:pPr>
            <w:r w:rsidRPr="005B78E7">
              <w:rPr>
                <w:lang w:val="en-US"/>
              </w:rPr>
              <w:t>10</w:t>
            </w:r>
            <w:r w:rsidRPr="005B78E7">
              <w:rPr>
                <w:vertAlign w:val="superscript"/>
                <w:lang w:val="en-US"/>
              </w:rPr>
              <w:t>−4</w:t>
            </w:r>
          </w:p>
        </w:tc>
      </w:tr>
    </w:tbl>
    <w:p w:rsidR="00177138" w:rsidRPr="005B78E7" w:rsidRDefault="00177138" w:rsidP="00177138">
      <w:pPr>
        <w:pStyle w:val="Tablefin"/>
      </w:pPr>
    </w:p>
    <w:p w:rsidR="00177138" w:rsidRPr="005B78E7" w:rsidRDefault="00177138" w:rsidP="00177138">
      <w:pPr>
        <w:rPr>
          <w:lang w:val="es-ES"/>
        </w:rPr>
      </w:pPr>
      <w:r w:rsidRPr="005B78E7">
        <w:rPr>
          <w:lang w:val="es-ES"/>
        </w:rPr>
        <w:lastRenderedPageBreak/>
        <w:t>En los sistemas de transporte de comunicaciones que funcionan en cualquiera de</w:t>
      </w:r>
      <w:r>
        <w:rPr>
          <w:lang w:val="es-ES"/>
        </w:rPr>
        <w:t xml:space="preserve"> </w:t>
      </w:r>
      <w:r w:rsidRPr="005B78E7">
        <w:rPr>
          <w:lang w:val="es-ES"/>
        </w:rPr>
        <w:t>las velocidades binarias con</w:t>
      </w:r>
      <w:r>
        <w:rPr>
          <w:lang w:val="es-ES"/>
        </w:rPr>
        <w:t>t</w:t>
      </w:r>
      <w:r w:rsidRPr="005B78E7">
        <w:rPr>
          <w:lang w:val="es-ES"/>
        </w:rPr>
        <w:t>empladas por la Recomendación UIT-T G.826, por encima o por debajo de la velocidad primaria, independientemente de la distancia real cubierta, un salto por satélite en el tramo internacional recibe una atribución del 35% de todos los objetivos de extremo a extremo. Si un enlace por satélite cubre un tramo nacional, recibe una atribución del 42% de todos los objetivos de extremo a extremo. Por ejemplo, un objetivo BBER de 2 × 10</w:t>
      </w:r>
      <w:r w:rsidRPr="005B78E7">
        <w:rPr>
          <w:vertAlign w:val="superscript"/>
          <w:lang w:val="es-ES"/>
        </w:rPr>
        <w:t>−4</w:t>
      </w:r>
      <w:r w:rsidRPr="005B78E7">
        <w:rPr>
          <w:lang w:val="es-ES"/>
        </w:rPr>
        <w:t xml:space="preserve"> pasa a ser de 2 × 10</w:t>
      </w:r>
      <w:r w:rsidRPr="005B78E7">
        <w:rPr>
          <w:vertAlign w:val="superscript"/>
          <w:lang w:val="es-ES"/>
        </w:rPr>
        <w:t>−4</w:t>
      </w:r>
      <w:r w:rsidRPr="005B78E7">
        <w:rPr>
          <w:lang w:val="es-ES"/>
        </w:rPr>
        <w:t xml:space="preserve"> × 0,35 = 0,7 × 10</w:t>
      </w:r>
      <w:r w:rsidRPr="005B78E7">
        <w:rPr>
          <w:vertAlign w:val="superscript"/>
          <w:lang w:val="es-ES"/>
        </w:rPr>
        <w:t>−4</w:t>
      </w:r>
      <w:r w:rsidRPr="005B78E7">
        <w:rPr>
          <w:lang w:val="es-ES"/>
        </w:rPr>
        <w:t xml:space="preserve"> para la conexión internacional y de 2 × 10</w:t>
      </w:r>
      <w:r w:rsidRPr="005B78E7">
        <w:rPr>
          <w:vertAlign w:val="superscript"/>
          <w:lang w:val="es-ES"/>
        </w:rPr>
        <w:t>−4</w:t>
      </w:r>
      <w:r w:rsidR="00C51DA2">
        <w:rPr>
          <w:lang w:val="es-ES"/>
        </w:rPr>
        <w:t> </w:t>
      </w:r>
      <w:r w:rsidRPr="005B78E7">
        <w:rPr>
          <w:lang w:val="es-ES"/>
        </w:rPr>
        <w:t>×</w:t>
      </w:r>
      <w:r w:rsidR="00C51DA2">
        <w:rPr>
          <w:lang w:val="es-ES"/>
        </w:rPr>
        <w:t> </w:t>
      </w:r>
      <w:r w:rsidRPr="005B78E7">
        <w:rPr>
          <w:lang w:val="es-ES"/>
        </w:rPr>
        <w:t>0,42</w:t>
      </w:r>
      <w:r w:rsidR="00C51DA2">
        <w:rPr>
          <w:lang w:val="es-ES"/>
        </w:rPr>
        <w:t> </w:t>
      </w:r>
      <w:r w:rsidRPr="005B78E7">
        <w:rPr>
          <w:lang w:val="es-ES"/>
        </w:rPr>
        <w:t>=</w:t>
      </w:r>
      <w:r w:rsidR="00C51DA2">
        <w:rPr>
          <w:lang w:val="es-ES"/>
        </w:rPr>
        <w:t> </w:t>
      </w:r>
      <w:r w:rsidRPr="005B78E7">
        <w:rPr>
          <w:lang w:val="es-ES"/>
        </w:rPr>
        <w:t>0,84 × 10</w:t>
      </w:r>
      <w:r w:rsidRPr="005B78E7">
        <w:rPr>
          <w:vertAlign w:val="superscript"/>
          <w:lang w:val="es-ES"/>
        </w:rPr>
        <w:t>−4</w:t>
      </w:r>
      <w:r w:rsidRPr="005B78E7">
        <w:rPr>
          <w:lang w:val="es-ES"/>
        </w:rPr>
        <w:t xml:space="preserve"> para la conexión nacional. Si un satélite proporciona el trayecto o conexión completa de extremo a extremo, se aplican los objetivos del Cuadro 1.</w:t>
      </w:r>
    </w:p>
    <w:p w:rsidR="00177138" w:rsidRPr="005B78E7" w:rsidRDefault="00177138" w:rsidP="00177138">
      <w:pPr>
        <w:rPr>
          <w:lang w:val="es-ES"/>
        </w:rPr>
      </w:pPr>
      <w:r w:rsidRPr="005B78E7">
        <w:rPr>
          <w:lang w:val="es-ES"/>
        </w:rPr>
        <w:t>El tamañ</w:t>
      </w:r>
      <w:r>
        <w:rPr>
          <w:lang w:val="es-ES"/>
        </w:rPr>
        <w:t>o</w:t>
      </w:r>
      <w:r w:rsidRPr="005B78E7">
        <w:rPr>
          <w:lang w:val="es-ES"/>
        </w:rPr>
        <w:t xml:space="preserve"> del bloque también se define en función de la velocidad binaria del servicio. Habida cuenta de este punto, en la Recomendación </w:t>
      </w:r>
      <w:r w:rsidR="00C51DA2">
        <w:rPr>
          <w:lang w:val="es-ES"/>
        </w:rPr>
        <w:t>UIT-R S</w:t>
      </w:r>
      <w:r w:rsidRPr="005B78E7">
        <w:rPr>
          <w:lang w:val="es-ES"/>
        </w:rPr>
        <w:t>.1062 se definen los objetivos de calidad de funcionamiento en términos de BEP/</w:t>
      </w:r>
      <w:r w:rsidRPr="005B78E7">
        <w:rPr>
          <w:lang w:val="en-US"/>
        </w:rPr>
        <w:sym w:font="Symbol" w:char="F061"/>
      </w:r>
      <w:r w:rsidRPr="005B78E7">
        <w:rPr>
          <w:lang w:val="es-ES"/>
        </w:rPr>
        <w:t xml:space="preserve">, siendo BEP la probabilidad de errores en los bits y </w:t>
      </w:r>
      <w:r w:rsidRPr="005B78E7">
        <w:rPr>
          <w:lang w:val="en-US"/>
        </w:rPr>
        <w:sym w:font="Symbol" w:char="F061"/>
      </w:r>
      <w:r w:rsidRPr="005B78E7">
        <w:rPr>
          <w:lang w:val="es-ES"/>
        </w:rPr>
        <w:t xml:space="preserve"> el número de errores por ráfaga. A continuación se muestra un ejemplo de los objetivos de calidad de funcionamiento definidos para un sistema de satélites que funciona hasta 155 Mbit/s inclusive.</w:t>
      </w:r>
    </w:p>
    <w:p w:rsidR="00177138" w:rsidRPr="005B78E7" w:rsidRDefault="00177138" w:rsidP="00177138">
      <w:pPr>
        <w:pStyle w:val="TableNo"/>
        <w:rPr>
          <w:lang w:val="es-ES"/>
        </w:rPr>
      </w:pPr>
      <w:r w:rsidRPr="005B78E7">
        <w:rPr>
          <w:lang w:val="es-ES"/>
        </w:rPr>
        <w:t>CUADRO 2</w:t>
      </w:r>
    </w:p>
    <w:p w:rsidR="00177138" w:rsidRPr="005B78E7" w:rsidRDefault="00177138" w:rsidP="00177138">
      <w:pPr>
        <w:pStyle w:val="Tabletitle"/>
        <w:rPr>
          <w:lang w:val="es-ES"/>
        </w:rPr>
      </w:pPr>
      <w:r w:rsidRPr="005B78E7">
        <w:rPr>
          <w:lang w:val="es-ES"/>
        </w:rPr>
        <w:t>Objetivos de calidad de funcionamiento definidos</w:t>
      </w:r>
      <w:r w:rsidR="00C51DA2">
        <w:rPr>
          <w:lang w:val="es-ES"/>
        </w:rPr>
        <w:br/>
      </w:r>
      <w:r w:rsidRPr="005B78E7">
        <w:rPr>
          <w:lang w:val="es-ES"/>
        </w:rPr>
        <w:t xml:space="preserve">en la Recomendación </w:t>
      </w:r>
      <w:r w:rsidR="00C51DA2">
        <w:rPr>
          <w:lang w:val="es-ES"/>
        </w:rPr>
        <w:t>UIT-R S</w:t>
      </w:r>
      <w:r w:rsidRPr="005B78E7">
        <w:rPr>
          <w:lang w:val="es-ES"/>
        </w:rPr>
        <w:t>.1062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177138" w:rsidRPr="005B78E7" w:rsidTr="00177138">
        <w:trPr>
          <w:cantSplit/>
          <w:jc w:val="center"/>
        </w:trPr>
        <w:tc>
          <w:tcPr>
            <w:tcW w:w="3119" w:type="dxa"/>
          </w:tcPr>
          <w:p w:rsidR="00177138" w:rsidRPr="005B78E7" w:rsidRDefault="00177138" w:rsidP="00177138">
            <w:pPr>
              <w:pStyle w:val="Tablehead"/>
              <w:rPr>
                <w:lang w:val="es-ES"/>
              </w:rPr>
            </w:pPr>
            <w:r w:rsidRPr="005B78E7">
              <w:rPr>
                <w:lang w:val="es-ES"/>
              </w:rPr>
              <w:t>Porcentaje de tiempo total (mes más desfavorable)</w:t>
            </w:r>
          </w:p>
        </w:tc>
        <w:tc>
          <w:tcPr>
            <w:tcW w:w="1701" w:type="dxa"/>
            <w:vAlign w:val="center"/>
          </w:tcPr>
          <w:p w:rsidR="00177138" w:rsidRPr="005B78E7" w:rsidRDefault="00177138" w:rsidP="00177138">
            <w:pPr>
              <w:pStyle w:val="Tablehead"/>
              <w:rPr>
                <w:lang w:val="en-US"/>
              </w:rPr>
            </w:pPr>
            <w:r w:rsidRPr="005B78E7">
              <w:rPr>
                <w:lang w:val="en-US"/>
              </w:rPr>
              <w:t>BEP/</w:t>
            </w:r>
            <w:r w:rsidRPr="005B78E7">
              <w:rPr>
                <w:lang w:val="en-US"/>
              </w:rPr>
              <w:sym w:font="Symbol" w:char="F061"/>
            </w:r>
          </w:p>
        </w:tc>
        <w:tc>
          <w:tcPr>
            <w:tcW w:w="1701" w:type="dxa"/>
          </w:tcPr>
          <w:p w:rsidR="00177138" w:rsidRPr="005B78E7" w:rsidRDefault="00177138" w:rsidP="00177138">
            <w:pPr>
              <w:pStyle w:val="Tablehead"/>
              <w:rPr>
                <w:lang w:val="en-US"/>
              </w:rPr>
            </w:pPr>
            <w:r w:rsidRPr="005B78E7">
              <w:rPr>
                <w:lang w:val="en-US"/>
              </w:rPr>
              <w:t xml:space="preserve">Para </w:t>
            </w:r>
            <w:r w:rsidRPr="005B78E7">
              <w:rPr>
                <w:lang w:val="en-US"/>
              </w:rPr>
              <w:sym w:font="Symbol" w:char="F061"/>
            </w:r>
            <w:r w:rsidRPr="005B78E7">
              <w:rPr>
                <w:lang w:val="en-US"/>
              </w:rPr>
              <w:t xml:space="preserve"> = 10</w:t>
            </w:r>
            <w:r w:rsidRPr="005B78E7">
              <w:rPr>
                <w:lang w:val="en-US"/>
              </w:rPr>
              <w:br/>
              <w:t>(BEP)</w:t>
            </w:r>
          </w:p>
        </w:tc>
      </w:tr>
      <w:tr w:rsidR="00177138" w:rsidRPr="005B78E7" w:rsidTr="00177138">
        <w:trPr>
          <w:cantSplit/>
          <w:jc w:val="center"/>
        </w:trPr>
        <w:tc>
          <w:tcPr>
            <w:tcW w:w="311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w:t>
            </w:r>
            <w:r w:rsidRPr="005B78E7">
              <w:rPr>
                <w:lang w:val="en-US"/>
              </w:rPr>
              <w:br/>
              <w:t>2</w:t>
            </w:r>
            <w:r w:rsidRPr="005B78E7">
              <w:rPr>
                <w:lang w:val="en-US"/>
              </w:rPr>
              <w:br/>
              <w:t>10</w:t>
            </w:r>
          </w:p>
        </w:tc>
        <w:tc>
          <w:tcPr>
            <w:tcW w:w="1701" w:type="dxa"/>
          </w:tcPr>
          <w:p w:rsidR="00177138" w:rsidRPr="005B78E7" w:rsidRDefault="00177138" w:rsidP="00177138">
            <w:pPr>
              <w:pStyle w:val="Tabletext"/>
              <w:jc w:val="center"/>
              <w:rPr>
                <w:lang w:val="en-US"/>
              </w:rPr>
            </w:pPr>
            <w:r w:rsidRPr="005B78E7">
              <w:rPr>
                <w:lang w:val="en-US"/>
              </w:rPr>
              <w:t xml:space="preserve">1 </w:t>
            </w:r>
            <w:r w:rsidRPr="005B78E7">
              <w:rPr>
                <w:lang w:val="en-US"/>
              </w:rPr>
              <w:sym w:font="Symbol" w:char="F0B4"/>
            </w:r>
            <w:r w:rsidRPr="005B78E7">
              <w:rPr>
                <w:lang w:val="en-US"/>
              </w:rPr>
              <w:t xml:space="preserve"> 10</w:t>
            </w:r>
            <w:r w:rsidRPr="005B78E7">
              <w:rPr>
                <w:vertAlign w:val="superscript"/>
                <w:lang w:val="en-US"/>
              </w:rPr>
              <w:t>–7</w:t>
            </w:r>
            <w:r w:rsidRPr="005B78E7">
              <w:rPr>
                <w:lang w:val="en-US"/>
              </w:rPr>
              <w:br/>
              <w:t xml:space="preserve">1 </w:t>
            </w:r>
            <w:r w:rsidRPr="005B78E7">
              <w:rPr>
                <w:lang w:val="en-US"/>
              </w:rPr>
              <w:sym w:font="Symbol" w:char="F0B4"/>
            </w:r>
            <w:r w:rsidRPr="005B78E7">
              <w:rPr>
                <w:lang w:val="en-US"/>
              </w:rPr>
              <w:t xml:space="preserve"> 10</w:t>
            </w:r>
            <w:r w:rsidRPr="005B78E7">
              <w:rPr>
                <w:vertAlign w:val="superscript"/>
                <w:lang w:val="en-US"/>
              </w:rPr>
              <w:t>–9</w:t>
            </w:r>
            <w:r w:rsidRPr="005B78E7">
              <w:rPr>
                <w:lang w:val="en-US"/>
              </w:rPr>
              <w:br/>
              <w:t xml:space="preserve">1 </w:t>
            </w:r>
            <w:r w:rsidRPr="005B78E7">
              <w:rPr>
                <w:lang w:val="en-US"/>
              </w:rPr>
              <w:sym w:font="Symbol" w:char="F0B4"/>
            </w:r>
            <w:r w:rsidRPr="005B78E7">
              <w:rPr>
                <w:lang w:val="en-US"/>
              </w:rPr>
              <w:t xml:space="preserve"> 10</w:t>
            </w:r>
            <w:r w:rsidRPr="005B78E7">
              <w:rPr>
                <w:vertAlign w:val="superscript"/>
                <w:lang w:val="en-US"/>
              </w:rPr>
              <w:t>–10</w:t>
            </w:r>
          </w:p>
        </w:tc>
        <w:tc>
          <w:tcPr>
            <w:tcW w:w="1701" w:type="dxa"/>
          </w:tcPr>
          <w:p w:rsidR="00177138" w:rsidRPr="005B78E7" w:rsidRDefault="00177138" w:rsidP="00177138">
            <w:pPr>
              <w:pStyle w:val="Tabletext"/>
              <w:jc w:val="center"/>
              <w:rPr>
                <w:lang w:val="en-US"/>
              </w:rPr>
            </w:pPr>
            <w:r w:rsidRPr="005B78E7">
              <w:rPr>
                <w:lang w:val="en-US"/>
              </w:rPr>
              <w:t xml:space="preserve">1 </w:t>
            </w:r>
            <w:r w:rsidRPr="005B78E7">
              <w:rPr>
                <w:lang w:val="en-US"/>
              </w:rPr>
              <w:sym w:font="Symbol" w:char="F0B4"/>
            </w:r>
            <w:r w:rsidRPr="005B78E7">
              <w:rPr>
                <w:lang w:val="en-US"/>
              </w:rPr>
              <w:t xml:space="preserve"> 10</w:t>
            </w:r>
            <w:r w:rsidRPr="005B78E7">
              <w:rPr>
                <w:vertAlign w:val="superscript"/>
                <w:lang w:val="en-US"/>
              </w:rPr>
              <w:t>–6</w:t>
            </w:r>
            <w:r w:rsidRPr="005B78E7">
              <w:rPr>
                <w:lang w:val="en-US"/>
              </w:rPr>
              <w:br/>
              <w:t xml:space="preserve">1 </w:t>
            </w:r>
            <w:r w:rsidRPr="005B78E7">
              <w:rPr>
                <w:lang w:val="en-US"/>
              </w:rPr>
              <w:sym w:font="Symbol" w:char="F0B4"/>
            </w:r>
            <w:r w:rsidRPr="005B78E7">
              <w:rPr>
                <w:lang w:val="en-US"/>
              </w:rPr>
              <w:t xml:space="preserve"> 10</w:t>
            </w:r>
            <w:r w:rsidRPr="005B78E7">
              <w:rPr>
                <w:vertAlign w:val="superscript"/>
                <w:lang w:val="en-US"/>
              </w:rPr>
              <w:t>–8</w:t>
            </w:r>
            <w:r w:rsidRPr="005B78E7">
              <w:rPr>
                <w:lang w:val="en-US"/>
              </w:rPr>
              <w:br/>
              <w:t xml:space="preserve">1 </w:t>
            </w:r>
            <w:r w:rsidRPr="005B78E7">
              <w:rPr>
                <w:lang w:val="en-US"/>
              </w:rPr>
              <w:sym w:font="Symbol" w:char="F0B4"/>
            </w:r>
            <w:r w:rsidRPr="005B78E7">
              <w:rPr>
                <w:lang w:val="en-US"/>
              </w:rPr>
              <w:t xml:space="preserve"> 10</w:t>
            </w:r>
            <w:r w:rsidRPr="005B78E7">
              <w:rPr>
                <w:vertAlign w:val="superscript"/>
                <w:lang w:val="en-US"/>
              </w:rPr>
              <w:t>–9</w:t>
            </w:r>
          </w:p>
        </w:tc>
      </w:tr>
    </w:tbl>
    <w:p w:rsidR="00177138" w:rsidRPr="005B78E7" w:rsidRDefault="00177138" w:rsidP="00177138">
      <w:pPr>
        <w:pStyle w:val="Tablefin"/>
      </w:pPr>
    </w:p>
    <w:p w:rsidR="00177138" w:rsidRPr="005B78E7" w:rsidRDefault="00177138" w:rsidP="00177138">
      <w:pPr>
        <w:rPr>
          <w:lang w:val="es-ES"/>
        </w:rPr>
      </w:pPr>
      <w:r w:rsidRPr="005B78E7">
        <w:rPr>
          <w:lang w:val="es-ES"/>
        </w:rPr>
        <w:t>Hay que reconocer que este tipo de conexión por satélite estaba de</w:t>
      </w:r>
      <w:r>
        <w:rPr>
          <w:lang w:val="es-ES"/>
        </w:rPr>
        <w:t>s</w:t>
      </w:r>
      <w:r w:rsidRPr="005B78E7">
        <w:rPr>
          <w:lang w:val="es-ES"/>
        </w:rPr>
        <w:t>tinada a una conexión permanente de alta velocidad utilizada para ofrecer un enlace intercontinental de alta capacidad para transportar principalmente tráfico de telefonía o datos a baja velocidad. Esos enlaces generalmente se encaminaban por grandes estaciones terrenas que utilizaban las bandas de 6/4</w:t>
      </w:r>
      <w:r>
        <w:rPr>
          <w:lang w:val="es-ES"/>
        </w:rPr>
        <w:t> </w:t>
      </w:r>
      <w:r w:rsidRPr="005B78E7">
        <w:rPr>
          <w:lang w:val="es-ES"/>
        </w:rPr>
        <w:t>GHz, donde las perturbaciones de propagación son muy escasas.</w:t>
      </w:r>
    </w:p>
    <w:p w:rsidR="00177138" w:rsidRPr="005B78E7" w:rsidRDefault="00177138" w:rsidP="00177138">
      <w:pPr>
        <w:rPr>
          <w:lang w:val="es-ES"/>
        </w:rPr>
      </w:pPr>
      <w:r w:rsidRPr="005B78E7">
        <w:rPr>
          <w:lang w:val="es-ES"/>
        </w:rPr>
        <w:t>En la actualidad las conexiones por satélite bidireccionales transportan sobre todo tráfico de Internet. Suelen ser conexiones asimétricas con una estación central que transmite trenes de alta velocidad binaria que pueden emplear la multiplexación por división en el tiempo (</w:t>
      </w:r>
      <w:r>
        <w:rPr>
          <w:lang w:val="es-ES"/>
        </w:rPr>
        <w:t>MDT</w:t>
      </w:r>
      <w:r w:rsidRPr="005B78E7">
        <w:rPr>
          <w:lang w:val="es-ES"/>
        </w:rPr>
        <w:t>) o el acceso múltiple por división en el tiempo (AMDT). Las e</w:t>
      </w:r>
      <w:r>
        <w:rPr>
          <w:lang w:val="es-ES"/>
        </w:rPr>
        <w:t>s</w:t>
      </w:r>
      <w:r w:rsidRPr="005B78E7">
        <w:rPr>
          <w:lang w:val="es-ES"/>
        </w:rPr>
        <w:t>taciones de abonado transmiten a velocidades muy inferiores a las de la estación central y tienen un ciclo de trabajo bajo. Este tipo de sistemas son los que utilizarán los enlaces de frecuencias más elevadas y, para hacerlo eficazmente, dependerán de la</w:t>
      </w:r>
      <w:r w:rsidR="00706B16">
        <w:rPr>
          <w:lang w:val="es-ES"/>
        </w:rPr>
        <w:t xml:space="preserve"> </w:t>
      </w:r>
      <w:r w:rsidRPr="005B78E7">
        <w:rPr>
          <w:lang w:val="es-ES"/>
        </w:rPr>
        <w:t>ACM para lograr un caudal fiable con una elevada eficacia espectral. En frecuencias superiores a 20 GHz las perturbaciones de propagación son mucho más importantes que en las bandas de 6/4</w:t>
      </w:r>
      <w:r>
        <w:rPr>
          <w:lang w:val="es-ES"/>
        </w:rPr>
        <w:t> </w:t>
      </w:r>
      <w:r w:rsidRPr="005B78E7">
        <w:rPr>
          <w:lang w:val="es-ES"/>
        </w:rPr>
        <w:t>GHz.</w:t>
      </w:r>
    </w:p>
    <w:p w:rsidR="00177138" w:rsidRPr="005B78E7" w:rsidRDefault="00177138" w:rsidP="00177138">
      <w:pPr>
        <w:pStyle w:val="Heading2"/>
        <w:rPr>
          <w:lang w:val="es-ES"/>
        </w:rPr>
      </w:pPr>
      <w:r w:rsidRPr="005B78E7">
        <w:rPr>
          <w:lang w:val="es-ES"/>
        </w:rPr>
        <w:lastRenderedPageBreak/>
        <w:t>1.2</w:t>
      </w:r>
      <w:r w:rsidRPr="005B78E7">
        <w:rPr>
          <w:lang w:val="es-ES"/>
        </w:rPr>
        <w:tab/>
        <w:t>Resultados experimentales de las características dinámicas del desvanecimiento debido a la lluvia</w:t>
      </w:r>
    </w:p>
    <w:p w:rsidR="00177138" w:rsidRPr="005B78E7" w:rsidRDefault="00177138" w:rsidP="00C51DA2">
      <w:pPr>
        <w:keepNext/>
        <w:keepLines/>
        <w:rPr>
          <w:lang w:val="es-ES"/>
        </w:rPr>
      </w:pPr>
      <w:r w:rsidRPr="005B78E7">
        <w:rPr>
          <w:lang w:val="es-ES"/>
        </w:rPr>
        <w:t>Se ha determinado que la pendiente de desvanecimiento media estimada para un sistema de satélites en banda Ku es de 0,24 dB/s.</w:t>
      </w:r>
      <w:r>
        <w:rPr>
          <w:rStyle w:val="FootnoteReference"/>
          <w:lang w:val="es-ES"/>
        </w:rPr>
        <w:footnoteReference w:id="2"/>
      </w:r>
      <w:r w:rsidRPr="005B78E7">
        <w:rPr>
          <w:lang w:val="es-ES"/>
        </w:rPr>
        <w:t xml:space="preserve"> En la Fig</w:t>
      </w:r>
      <w:r>
        <w:rPr>
          <w:lang w:val="es-ES"/>
        </w:rPr>
        <w:t>. </w:t>
      </w:r>
      <w:r w:rsidRPr="005B78E7">
        <w:rPr>
          <w:lang w:val="es-ES"/>
        </w:rPr>
        <w:t>1 se muestran las estadísticas de pendiente de desvanecimiento de un sistema de comunicaciones por satélite en banda Ka de Corea (Rep. de)</w:t>
      </w:r>
      <w:r>
        <w:rPr>
          <w:rStyle w:val="FootnoteReference"/>
          <w:lang w:val="es-ES"/>
        </w:rPr>
        <w:footnoteReference w:id="3"/>
      </w:r>
      <w:r w:rsidRPr="005B78E7">
        <w:rPr>
          <w:lang w:val="es-ES"/>
        </w:rPr>
        <w:t>. En la Fig</w:t>
      </w:r>
      <w:r>
        <w:rPr>
          <w:lang w:val="es-ES"/>
        </w:rPr>
        <w:t>. </w:t>
      </w:r>
      <w:r w:rsidRPr="005B78E7">
        <w:rPr>
          <w:lang w:val="es-ES"/>
        </w:rPr>
        <w:t xml:space="preserve">1, </w:t>
      </w:r>
      <w:r w:rsidRPr="005B78E7">
        <w:rPr>
          <w:i/>
          <w:lang w:val="es-ES"/>
        </w:rPr>
        <w:t>A</w:t>
      </w:r>
      <w:r w:rsidRPr="005B78E7">
        <w:rPr>
          <w:lang w:val="es-ES"/>
        </w:rPr>
        <w:t xml:space="preserve"> es la profundidad del desvanecimiento debido a la lluvia en dB, </w:t>
      </w:r>
      <w:r w:rsidR="00706B16" w:rsidRPr="005B78E7">
        <w:rPr>
          <w:iCs/>
          <w:lang w:val="en-US"/>
        </w:rPr>
        <w:sym w:font="Symbol" w:char="F044"/>
      </w:r>
      <w:r w:rsidR="00706B16" w:rsidRPr="0024514E">
        <w:rPr>
          <w:iCs/>
          <w:sz w:val="8"/>
          <w:szCs w:val="8"/>
          <w:lang w:val="en-US"/>
        </w:rPr>
        <w:t> </w:t>
      </w:r>
      <w:r w:rsidR="00706B16" w:rsidRPr="005B78E7">
        <w:rPr>
          <w:i/>
          <w:lang w:val="es-ES"/>
        </w:rPr>
        <w:t>A</w:t>
      </w:r>
      <w:r w:rsidRPr="005B78E7">
        <w:rPr>
          <w:lang w:val="es-ES"/>
        </w:rPr>
        <w:t xml:space="preserve"> es la pendiente de desvanecimiento en dB/s, y </w:t>
      </w:r>
      <m:oMath>
        <m:acc>
          <m:accPr>
            <m:chr m:val="̅"/>
            <m:ctrlPr>
              <w:rPr>
                <w:rFonts w:ascii="Cambria Math" w:hAnsi="Cambria Math"/>
                <w:lang w:val="en-US"/>
              </w:rPr>
            </m:ctrlPr>
          </m:accPr>
          <m:e>
            <m:r>
              <m:rPr>
                <m:sty m:val="p"/>
              </m:rPr>
              <w:rPr>
                <w:rFonts w:ascii="Cambria Math" w:hAnsi="Cambria Math"/>
                <w:iCs/>
                <w:lang w:val="en-US"/>
              </w:rPr>
              <w:sym w:font="Symbol" w:char="F044"/>
            </m:r>
            <m:r>
              <w:rPr>
                <w:rFonts w:ascii="Cambria Math" w:hAnsi="Cambria Math"/>
                <w:lang w:val="en-US"/>
              </w:rPr>
              <m:t>A</m:t>
            </m:r>
          </m:e>
        </m:acc>
      </m:oMath>
      <w:r w:rsidRPr="005B78E7">
        <w:rPr>
          <w:lang w:val="es-ES"/>
        </w:rPr>
        <w:t xml:space="preserve"> es la media de </w:t>
      </w:r>
      <w:r w:rsidRPr="005B78E7">
        <w:rPr>
          <w:iCs/>
          <w:lang w:val="en-US"/>
        </w:rPr>
        <w:sym w:font="Symbol" w:char="F044"/>
      </w:r>
      <w:r w:rsidR="0024514E" w:rsidRPr="0024514E">
        <w:rPr>
          <w:iCs/>
          <w:sz w:val="8"/>
          <w:szCs w:val="8"/>
          <w:lang w:val="en-US"/>
        </w:rPr>
        <w:t> </w:t>
      </w:r>
      <w:r w:rsidRPr="005B78E7">
        <w:rPr>
          <w:i/>
          <w:lang w:val="es-ES"/>
        </w:rPr>
        <w:t>A.</w:t>
      </w:r>
      <w:r w:rsidRPr="005B78E7">
        <w:rPr>
          <w:lang w:val="es-ES"/>
        </w:rPr>
        <w:t xml:space="preserve"> En la Figura se muestra que la pendiente de desvanecimiento media es inferior a 1 dB en todas las gamas de desvanecimiento.</w:t>
      </w:r>
    </w:p>
    <w:p w:rsidR="00177138" w:rsidRPr="005B78E7" w:rsidRDefault="00177138" w:rsidP="00177138">
      <w:pPr>
        <w:rPr>
          <w:lang w:val="es-ES"/>
        </w:rPr>
      </w:pPr>
      <w:r w:rsidRPr="005B78E7">
        <w:rPr>
          <w:lang w:val="es-ES"/>
        </w:rPr>
        <w:t>Un estudio experimental realizado con el banco de pruebas DVB-S2 con ACM en un enlace de satélites concluye, en el § E.3 del Documento DVB A171-1</w:t>
      </w:r>
      <w:r>
        <w:rPr>
          <w:rStyle w:val="FootnoteReference"/>
          <w:lang w:val="es-ES"/>
        </w:rPr>
        <w:footnoteReference w:id="4"/>
      </w:r>
      <w:r w:rsidRPr="005B78E7">
        <w:rPr>
          <w:lang w:val="es-ES"/>
        </w:rPr>
        <w:t>, que la pendiente de desvanecimiento máxima correspondiente a fuertes lluvias en la banda Ka no suele rebasar los 0,5 dB/s, por lo que suele considerarse factible un tiempo de actualización en bucle ACM de 1 s. Los resultados del experimento que se muestran aquí se refieren al sistema en banda Ka. Además, para limitar el número de cambios de modulación y codificación (MODCOD), habida cuenta del tamaño de paso típico entre niveles de MODCOD adyacentes para DVB-S2, se ha añadido un desfase nominal de 0,3</w:t>
      </w:r>
      <w:r w:rsidR="00706B16">
        <w:rPr>
          <w:lang w:val="es-ES"/>
        </w:rPr>
        <w:t> </w:t>
      </w:r>
      <w:r w:rsidRPr="005B78E7">
        <w:rPr>
          <w:lang w:val="es-ES"/>
        </w:rPr>
        <w:t>dB al umbral superior, en comparación con el umbral inferior, lo que crea un efecto de histéresis.</w:t>
      </w:r>
    </w:p>
    <w:p w:rsidR="00177138" w:rsidRPr="005B78E7" w:rsidRDefault="00177138" w:rsidP="00177138">
      <w:pPr>
        <w:pStyle w:val="FigureNo"/>
        <w:rPr>
          <w:lang w:val="es-ES"/>
        </w:rPr>
      </w:pPr>
      <w:r w:rsidRPr="005B78E7">
        <w:rPr>
          <w:lang w:val="es-ES"/>
        </w:rPr>
        <w:t>FigurA 1</w:t>
      </w:r>
    </w:p>
    <w:p w:rsidR="00177138" w:rsidRDefault="00177138" w:rsidP="00177138">
      <w:pPr>
        <w:pStyle w:val="Figuretitle"/>
        <w:rPr>
          <w:lang w:val="es-ES"/>
        </w:rPr>
      </w:pPr>
      <w:r w:rsidRPr="005B78E7">
        <w:rPr>
          <w:lang w:val="es-ES"/>
        </w:rPr>
        <w:t>Pendiente de desvanecimiento media de un sistema de satélites en banda Ka</w:t>
      </w:r>
    </w:p>
    <w:p w:rsidR="00177138" w:rsidRPr="001478EF" w:rsidRDefault="00C51DA2" w:rsidP="00177138">
      <w:pPr>
        <w:pStyle w:val="Figure"/>
        <w:rPr>
          <w:lang w:val="es-ES"/>
        </w:rPr>
      </w:pPr>
      <w:r>
        <w:rPr>
          <w:lang w:val="es-ES"/>
        </w:rPr>
        <w:object w:dxaOrig="3583" w:dyaOrig="3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45pt;height:242.9pt" o:ole="">
            <v:imagedata r:id="rId13" o:title=""/>
          </v:shape>
          <o:OLEObject Type="Embed" ProgID="CorelDraw.Graphic.17" ShapeID="_x0000_i1025" DrawAspect="Content" ObjectID="_1641217356" r:id="rId14"/>
        </w:object>
      </w:r>
    </w:p>
    <w:p w:rsidR="00177138" w:rsidRPr="005B78E7" w:rsidRDefault="00177138" w:rsidP="00177138">
      <w:pPr>
        <w:pStyle w:val="Heading1"/>
        <w:rPr>
          <w:lang w:val="es-ES"/>
        </w:rPr>
      </w:pPr>
      <w:r w:rsidRPr="005B78E7">
        <w:rPr>
          <w:lang w:val="es-ES"/>
        </w:rPr>
        <w:lastRenderedPageBreak/>
        <w:t>2</w:t>
      </w:r>
      <w:r w:rsidRPr="005B78E7">
        <w:rPr>
          <w:lang w:val="es-ES"/>
        </w:rPr>
        <w:tab/>
        <w:t>Parámetros de calidad de funcionamiento aplicables</w:t>
      </w:r>
    </w:p>
    <w:p w:rsidR="00177138" w:rsidRPr="005B78E7" w:rsidRDefault="00177138" w:rsidP="00177138">
      <w:pPr>
        <w:pStyle w:val="Heading2"/>
        <w:rPr>
          <w:lang w:val="es-ES"/>
        </w:rPr>
      </w:pPr>
      <w:r w:rsidRPr="005B78E7">
        <w:rPr>
          <w:lang w:val="es-ES"/>
        </w:rPr>
        <w:t>2.1</w:t>
      </w:r>
      <w:r w:rsidRPr="005B78E7">
        <w:rPr>
          <w:lang w:val="es-ES"/>
        </w:rPr>
        <w:tab/>
        <w:t>Necesidad de nuevos objetivos de calidad de funcionamiento para TDFR con velocidad binaria variable</w:t>
      </w:r>
    </w:p>
    <w:p w:rsidR="00177138" w:rsidRPr="005B78E7" w:rsidRDefault="00177138" w:rsidP="00177138">
      <w:pPr>
        <w:rPr>
          <w:lang w:val="es-ES"/>
        </w:rPr>
      </w:pPr>
      <w:r w:rsidRPr="005B78E7">
        <w:rPr>
          <w:lang w:val="es-ES"/>
        </w:rPr>
        <w:t xml:space="preserve">Las Recomendaciones sobre característica de error existentes (por ejemplo, la Recomendación </w:t>
      </w:r>
      <w:r w:rsidR="00C51DA2">
        <w:rPr>
          <w:lang w:val="es-ES"/>
        </w:rPr>
        <w:t>UIT</w:t>
      </w:r>
      <w:r w:rsidR="0024514E">
        <w:rPr>
          <w:lang w:val="es-ES"/>
        </w:rPr>
        <w:noBreakHyphen/>
      </w:r>
      <w:r w:rsidR="00C51DA2">
        <w:rPr>
          <w:lang w:val="es-ES"/>
        </w:rPr>
        <w:t>R S</w:t>
      </w:r>
      <w:r w:rsidRPr="005B78E7">
        <w:rPr>
          <w:lang w:val="es-ES"/>
        </w:rPr>
        <w:t>.1062-4) tratan de TDFR con velocidad binaria constante, por lo que no son aplicables a sistemas que utilizan las técnicas ACM. Un aspecto importante de la ACM es que las características de BER de los diversos modos MODCOD muestran un rápido descenso de la BER con respecto a la</w:t>
      </w:r>
      <w:r w:rsidR="00902055">
        <w:rPr>
          <w:lang w:val="es-ES"/>
        </w:rPr>
        <w:t> </w:t>
      </w:r>
      <w:r w:rsidRPr="005B78E7">
        <w:rPr>
          <w:i/>
          <w:iCs/>
          <w:lang w:val="es-ES"/>
        </w:rPr>
        <w:t>C</w:t>
      </w:r>
      <w:r w:rsidRPr="005B78E7">
        <w:rPr>
          <w:iCs/>
          <w:lang w:val="es-ES"/>
        </w:rPr>
        <w:t>/</w:t>
      </w:r>
      <w:r w:rsidRPr="005B78E7">
        <w:rPr>
          <w:i/>
          <w:iCs/>
          <w:lang w:val="es-ES"/>
        </w:rPr>
        <w:t>N</w:t>
      </w:r>
      <w:r w:rsidRPr="005B78E7">
        <w:rPr>
          <w:lang w:val="es-ES"/>
        </w:rPr>
        <w:t xml:space="preserve">, siendo </w:t>
      </w:r>
      <w:r w:rsidRPr="005B78E7">
        <w:rPr>
          <w:i/>
          <w:lang w:val="es-ES"/>
        </w:rPr>
        <w:t>N</w:t>
      </w:r>
      <w:r w:rsidRPr="005B78E7">
        <w:rPr>
          <w:lang w:val="es-ES"/>
        </w:rPr>
        <w:t xml:space="preserve"> el ruido total del enlace, incluidos el ruido térmico y la interferencia. La diferencia de </w:t>
      </w:r>
      <w:r w:rsidRPr="005B78E7">
        <w:rPr>
          <w:i/>
          <w:iCs/>
          <w:lang w:val="es-ES"/>
        </w:rPr>
        <w:t>C</w:t>
      </w:r>
      <w:r w:rsidRPr="005B78E7">
        <w:rPr>
          <w:iCs/>
          <w:lang w:val="es-ES"/>
        </w:rPr>
        <w:t>/</w:t>
      </w:r>
      <w:r w:rsidRPr="005B78E7">
        <w:rPr>
          <w:i/>
          <w:iCs/>
          <w:lang w:val="es-ES"/>
        </w:rPr>
        <w:t>N</w:t>
      </w:r>
      <w:r w:rsidRPr="005B78E7">
        <w:rPr>
          <w:lang w:val="es-ES"/>
        </w:rPr>
        <w:t xml:space="preserve"> entre una BER operativa de, por ejemplo, 1 × 10</w:t>
      </w:r>
      <w:r w:rsidRPr="000308D1">
        <w:rPr>
          <w:vertAlign w:val="superscript"/>
          <w:lang w:val="es-ES"/>
        </w:rPr>
        <w:t>–</w:t>
      </w:r>
      <w:r w:rsidRPr="005B78E7">
        <w:rPr>
          <w:vertAlign w:val="superscript"/>
          <w:lang w:val="es-ES"/>
        </w:rPr>
        <w:t xml:space="preserve">8 </w:t>
      </w:r>
      <w:r w:rsidRPr="005B78E7">
        <w:rPr>
          <w:lang w:val="es-ES"/>
        </w:rPr>
        <w:t>y una BER muy degradada de 1 × 10</w:t>
      </w:r>
      <w:r w:rsidRPr="005B78E7">
        <w:rPr>
          <w:vertAlign w:val="superscript"/>
          <w:lang w:val="es-ES"/>
        </w:rPr>
        <w:t>−3</w:t>
      </w:r>
      <w:r w:rsidRPr="005B78E7">
        <w:rPr>
          <w:lang w:val="es-ES"/>
        </w:rPr>
        <w:t xml:space="preserve"> es de aproximadamente 0,25 dB, para un estado MODCOD dado.</w:t>
      </w:r>
    </w:p>
    <w:p w:rsidR="00177138" w:rsidRPr="005B78E7" w:rsidRDefault="00177138" w:rsidP="00177138">
      <w:pPr>
        <w:rPr>
          <w:lang w:val="es-ES"/>
        </w:rPr>
      </w:pPr>
      <w:r w:rsidRPr="005B78E7">
        <w:rPr>
          <w:lang w:val="es-ES"/>
        </w:rPr>
        <w:t xml:space="preserve">La calidad de funcionamiento de muchos sistemas de satélites modernos se especifica en términos de tasa de errores en los paquetes (PER, </w:t>
      </w:r>
      <w:r w:rsidRPr="005B78E7">
        <w:rPr>
          <w:i/>
          <w:iCs/>
          <w:lang w:val="es-ES"/>
        </w:rPr>
        <w:t>packet error rate</w:t>
      </w:r>
      <w:r w:rsidRPr="005B78E7">
        <w:rPr>
          <w:lang w:val="es-ES"/>
        </w:rPr>
        <w:t>) considerando las transmisiones por paquetes, y las características de la PER muestran prácticamente el mismo descenso rápido que la</w:t>
      </w:r>
      <w:r w:rsidR="0024514E">
        <w:rPr>
          <w:lang w:val="es-ES"/>
        </w:rPr>
        <w:t> </w:t>
      </w:r>
      <w:r w:rsidRPr="005B78E7">
        <w:rPr>
          <w:lang w:val="es-ES"/>
        </w:rPr>
        <w:t>BER. Este comportamiento implica que la calidad de funcionamiento del satélite en términos de</w:t>
      </w:r>
      <w:r w:rsidR="0024514E">
        <w:rPr>
          <w:lang w:val="es-ES"/>
        </w:rPr>
        <w:t> </w:t>
      </w:r>
      <w:r w:rsidRPr="005B78E7">
        <w:rPr>
          <w:lang w:val="es-ES"/>
        </w:rPr>
        <w:t>PER como función del tiempo no es pertinente para los sistemas de satélites que utilizan técnicas ACM, pues esas técnic</w:t>
      </w:r>
      <w:r>
        <w:rPr>
          <w:lang w:val="es-ES"/>
        </w:rPr>
        <w:t>a</w:t>
      </w:r>
      <w:r w:rsidRPr="005B78E7">
        <w:rPr>
          <w:lang w:val="es-ES"/>
        </w:rPr>
        <w:t>s se adaptarán a la degradación de las condiciones reduciendo el caudal global, por lo que ya no se trata de sistemas con una velocidad binaria constante. Ya se ha estudiado la medición de la calidad de funcionamiento de enlaces por satélite que emplean técnicas ACM utilizando el caudal medio o degradado.</w:t>
      </w:r>
      <w:r>
        <w:rPr>
          <w:rStyle w:val="FootnoteReference"/>
          <w:lang w:val="es-ES"/>
        </w:rPr>
        <w:footnoteReference w:id="5"/>
      </w:r>
      <w:r w:rsidRPr="005B78E7">
        <w:rPr>
          <w:lang w:val="es-ES"/>
        </w:rPr>
        <w:t xml:space="preserve"> El documento citado considera aplicaciones A</w:t>
      </w:r>
      <w:r>
        <w:rPr>
          <w:lang w:val="es-ES"/>
        </w:rPr>
        <w:t>C</w:t>
      </w:r>
      <w:r w:rsidRPr="005B78E7">
        <w:rPr>
          <w:lang w:val="es-ES"/>
        </w:rPr>
        <w:t>M tolerantes a la reducción de la velocidad de información. El concepto de caudal degradado que se presenta en este Anexo puede emplearse para evaluar la reducción de la velocidad de información.</w:t>
      </w:r>
    </w:p>
    <w:p w:rsidR="00177138" w:rsidRPr="005B78E7" w:rsidRDefault="00177138" w:rsidP="00177138">
      <w:pPr>
        <w:rPr>
          <w:lang w:val="es-ES"/>
        </w:rPr>
      </w:pPr>
      <w:r w:rsidRPr="005B78E7">
        <w:rPr>
          <w:lang w:val="es-ES"/>
        </w:rPr>
        <w:t>La probabilidad de que la PER de un sistema de satélites que utiliza A</w:t>
      </w:r>
      <w:r>
        <w:rPr>
          <w:lang w:val="es-ES"/>
        </w:rPr>
        <w:t>C</w:t>
      </w:r>
      <w:r w:rsidRPr="005B78E7">
        <w:rPr>
          <w:lang w:val="es-ES"/>
        </w:rPr>
        <w:t xml:space="preserve">M se degrade a un nivel inutilizable es extremadamente baja hasta que el MODCOD ACM haya agotado sus alternativas de código disponibles. Por consiguiente, ya no es necesario dar una característica de error y un valor de disponibilidad para especificar la calidad de funcionamiento de un TDFR de satélite. Además, el objetivo de calidad de funcionamiento adecuado será independiente de la velocidad de canal y podrá aplicarse a cualquier velocidad </w:t>
      </w:r>
      <w:r>
        <w:rPr>
          <w:lang w:val="es-ES"/>
        </w:rPr>
        <w:t>«</w:t>
      </w:r>
      <w:r w:rsidRPr="005B78E7">
        <w:rPr>
          <w:lang w:val="es-ES"/>
        </w:rPr>
        <w:t>designada</w:t>
      </w:r>
      <w:r>
        <w:rPr>
          <w:lang w:val="es-ES"/>
        </w:rPr>
        <w:t>»</w:t>
      </w:r>
      <w:r w:rsidRPr="005B78E7">
        <w:rPr>
          <w:lang w:val="es-ES"/>
        </w:rPr>
        <w:t xml:space="preserve"> utilizada.</w:t>
      </w:r>
    </w:p>
    <w:p w:rsidR="00177138" w:rsidRPr="005B78E7" w:rsidRDefault="00177138" w:rsidP="00177138">
      <w:pPr>
        <w:pStyle w:val="Heading2"/>
        <w:rPr>
          <w:lang w:val="es-ES"/>
        </w:rPr>
      </w:pPr>
      <w:r w:rsidRPr="005B78E7">
        <w:rPr>
          <w:lang w:val="es-ES"/>
        </w:rPr>
        <w:t>2.2</w:t>
      </w:r>
      <w:r w:rsidRPr="005B78E7">
        <w:rPr>
          <w:lang w:val="es-ES"/>
        </w:rPr>
        <w:tab/>
        <w:t>Tasa de errores en los paquetes</w:t>
      </w:r>
    </w:p>
    <w:p w:rsidR="00177138" w:rsidRPr="005B78E7" w:rsidRDefault="00177138" w:rsidP="00177138">
      <w:pPr>
        <w:rPr>
          <w:lang w:val="es-ES"/>
        </w:rPr>
      </w:pPr>
      <w:r w:rsidRPr="005B78E7">
        <w:rPr>
          <w:lang w:val="es-ES"/>
        </w:rPr>
        <w:t xml:space="preserve">En la especificación DVB-S2(X) se define la condición casi sin errores (QEF, </w:t>
      </w:r>
      <w:r w:rsidRPr="005B78E7">
        <w:rPr>
          <w:i/>
          <w:iCs/>
          <w:lang w:val="es-ES"/>
        </w:rPr>
        <w:t>quasi-error free</w:t>
      </w:r>
      <w:r w:rsidRPr="005B78E7">
        <w:rPr>
          <w:lang w:val="es-ES"/>
        </w:rPr>
        <w:t>) como una tasa de errores en los paquetes (PER) de 10</w:t>
      </w:r>
      <w:r w:rsidRPr="005B78E7">
        <w:rPr>
          <w:vertAlign w:val="superscript"/>
          <w:lang w:val="es-ES"/>
        </w:rPr>
        <w:t>−7</w:t>
      </w:r>
      <w:r w:rsidRPr="005B78E7">
        <w:rPr>
          <w:lang w:val="es-ES"/>
        </w:rPr>
        <w:t>, con una longitud de paquete de 188</w:t>
      </w:r>
      <w:r w:rsidR="00902055">
        <w:rPr>
          <w:lang w:val="es-ES"/>
        </w:rPr>
        <w:t> </w:t>
      </w:r>
      <w:r w:rsidRPr="005B78E7">
        <w:rPr>
          <w:lang w:val="es-ES"/>
        </w:rPr>
        <w:t xml:space="preserve">bytes, lo que equivale a la longitud de un paquete MPEG. Esto equivale también a una tasa de errores en las tramas (FER, </w:t>
      </w:r>
      <w:r w:rsidRPr="005B78E7">
        <w:rPr>
          <w:i/>
          <w:iCs/>
          <w:lang w:val="es-ES"/>
        </w:rPr>
        <w:t>frame error rate</w:t>
      </w:r>
      <w:r w:rsidRPr="005B78E7">
        <w:rPr>
          <w:lang w:val="es-ES"/>
        </w:rPr>
        <w:t>) de 10</w:t>
      </w:r>
      <w:r w:rsidRPr="005B78E7">
        <w:rPr>
          <w:vertAlign w:val="superscript"/>
          <w:lang w:val="es-ES"/>
        </w:rPr>
        <w:t>−5</w:t>
      </w:r>
      <w:r w:rsidRPr="005B78E7">
        <w:rPr>
          <w:lang w:val="es-ES"/>
        </w:rPr>
        <w:t xml:space="preserve">, siendo el tamaño de la trama de 16 200 </w:t>
      </w:r>
      <w:r w:rsidR="00902055">
        <w:rPr>
          <w:lang w:val="es-ES"/>
        </w:rPr>
        <w:t>ó</w:t>
      </w:r>
      <w:r w:rsidRPr="005B78E7">
        <w:rPr>
          <w:lang w:val="es-ES"/>
        </w:rPr>
        <w:t xml:space="preserve"> 64 800 bits. Dado que las curvas de PER y FER tienen características muy pronunciadas, las diferencias de </w:t>
      </w:r>
      <w:r w:rsidRPr="005B78E7">
        <w:rPr>
          <w:i/>
          <w:iCs/>
          <w:lang w:val="es-ES"/>
        </w:rPr>
        <w:t>C</w:t>
      </w:r>
      <w:r w:rsidRPr="005B78E7">
        <w:rPr>
          <w:iCs/>
          <w:lang w:val="es-ES"/>
        </w:rPr>
        <w:t>/</w:t>
      </w:r>
      <w:r w:rsidRPr="005B78E7">
        <w:rPr>
          <w:i/>
          <w:iCs/>
          <w:lang w:val="es-ES"/>
        </w:rPr>
        <w:t>N</w:t>
      </w:r>
      <w:r w:rsidRPr="005B78E7" w:rsidDel="007C5787">
        <w:rPr>
          <w:lang w:val="es-ES"/>
        </w:rPr>
        <w:t xml:space="preserve"> </w:t>
      </w:r>
      <w:r w:rsidRPr="005B78E7">
        <w:rPr>
          <w:lang w:val="es-ES"/>
        </w:rPr>
        <w:t>entre PER de 10</w:t>
      </w:r>
      <w:r w:rsidRPr="005B78E7">
        <w:rPr>
          <w:vertAlign w:val="superscript"/>
          <w:lang w:val="es-ES"/>
        </w:rPr>
        <w:t>−7</w:t>
      </w:r>
      <w:r w:rsidRPr="00480558">
        <w:rPr>
          <w:lang w:val="es-ES"/>
        </w:rPr>
        <w:t xml:space="preserve"> </w:t>
      </w:r>
      <w:r w:rsidRPr="005B78E7">
        <w:rPr>
          <w:lang w:val="es-ES"/>
        </w:rPr>
        <w:t>y 10</w:t>
      </w:r>
      <w:r w:rsidRPr="005B78E7">
        <w:rPr>
          <w:vertAlign w:val="superscript"/>
          <w:lang w:val="es-ES"/>
        </w:rPr>
        <w:t>−5</w:t>
      </w:r>
      <w:r w:rsidRPr="005B78E7">
        <w:rPr>
          <w:lang w:val="es-ES"/>
        </w:rPr>
        <w:t xml:space="preserve"> no suelen ser superiores a 0,1</w:t>
      </w:r>
      <w:r w:rsidR="00902055">
        <w:rPr>
          <w:lang w:val="es-ES"/>
        </w:rPr>
        <w:t> </w:t>
      </w:r>
      <w:r w:rsidRPr="005B78E7">
        <w:rPr>
          <w:lang w:val="es-ES"/>
        </w:rPr>
        <w:t>dB, independientemente del estado MODCOD.</w:t>
      </w:r>
      <w:r>
        <w:rPr>
          <w:rStyle w:val="FootnoteReference"/>
          <w:lang w:val="es-ES"/>
        </w:rPr>
        <w:footnoteReference w:id="6"/>
      </w:r>
    </w:p>
    <w:p w:rsidR="00177138" w:rsidRPr="005B78E7" w:rsidRDefault="00177138" w:rsidP="00177138">
      <w:pPr>
        <w:rPr>
          <w:lang w:val="es-ES"/>
        </w:rPr>
      </w:pPr>
      <w:r w:rsidRPr="005B78E7">
        <w:rPr>
          <w:lang w:val="es-ES"/>
        </w:rPr>
        <w:lastRenderedPageBreak/>
        <w:t xml:space="preserve">Se ha implementado un módem DVB-S2 en </w:t>
      </w:r>
      <w:r w:rsidRPr="00061767">
        <w:rPr>
          <w:i/>
          <w:iCs/>
          <w:lang w:val="es-ES"/>
        </w:rPr>
        <w:t>hardware</w:t>
      </w:r>
      <w:r w:rsidRPr="005B78E7">
        <w:rPr>
          <w:lang w:val="es-ES"/>
        </w:rPr>
        <w:t xml:space="preserve"> y se ejecuta con una condición de cambio de estado ACM de una PER de 10</w:t>
      </w:r>
      <w:r w:rsidRPr="005B78E7">
        <w:rPr>
          <w:vertAlign w:val="superscript"/>
          <w:lang w:val="es-ES"/>
        </w:rPr>
        <w:t>−4</w:t>
      </w:r>
      <w:r w:rsidRPr="005B78E7">
        <w:rPr>
          <w:lang w:val="es-ES"/>
        </w:rPr>
        <w:t>.</w:t>
      </w:r>
      <w:r>
        <w:rPr>
          <w:rStyle w:val="FootnoteReference"/>
          <w:lang w:val="es-ES"/>
        </w:rPr>
        <w:footnoteReference w:id="7"/>
      </w:r>
      <w:r w:rsidRPr="005B78E7">
        <w:rPr>
          <w:lang w:val="es-ES"/>
        </w:rPr>
        <w:t xml:space="preserve"> A causa del dilatado tiempo de ida y vuelta (RTT, </w:t>
      </w:r>
      <w:r w:rsidRPr="005B78E7">
        <w:rPr>
          <w:i/>
          <w:iCs/>
          <w:lang w:val="es-ES"/>
        </w:rPr>
        <w:t>round trip time</w:t>
      </w:r>
      <w:r w:rsidRPr="005B78E7">
        <w:rPr>
          <w:lang w:val="es-ES"/>
        </w:rPr>
        <w:t>), el módem DVB-S2 se ha diseñado para modificar el estado MODCOD a una condición QEF antes de que la característica de PER sea tan pronunciada.</w:t>
      </w:r>
    </w:p>
    <w:p w:rsidR="00177138" w:rsidRPr="005B78E7" w:rsidRDefault="00177138" w:rsidP="00177138">
      <w:pPr>
        <w:rPr>
          <w:lang w:val="es-ES"/>
        </w:rPr>
      </w:pPr>
      <w:r w:rsidRPr="005B78E7">
        <w:rPr>
          <w:lang w:val="es-ES"/>
        </w:rPr>
        <w:t>Si se efectúa una transmisión por tramas (o paquetes), puede establecerse la correspondencia entre el parámetro BBER definido en la Recomendación UIT-T</w:t>
      </w:r>
      <w:r w:rsidR="0024514E">
        <w:rPr>
          <w:lang w:val="es-ES"/>
        </w:rPr>
        <w:t> </w:t>
      </w:r>
      <w:r w:rsidRPr="005B78E7">
        <w:rPr>
          <w:lang w:val="es-ES"/>
        </w:rPr>
        <w:t>G.826 y la FER o la PER, porque el tamaño de los bloques definido en el Cuadro</w:t>
      </w:r>
      <w:r w:rsidR="00706B16">
        <w:rPr>
          <w:lang w:val="es-ES"/>
        </w:rPr>
        <w:t> </w:t>
      </w:r>
      <w:r w:rsidRPr="005B78E7">
        <w:rPr>
          <w:lang w:val="es-ES"/>
        </w:rPr>
        <w:t>1 puede ser compatible con el tamaño de un paquete o una trama.</w:t>
      </w:r>
    </w:p>
    <w:p w:rsidR="00177138" w:rsidRPr="005B78E7" w:rsidRDefault="00177138" w:rsidP="00177138">
      <w:pPr>
        <w:rPr>
          <w:lang w:val="es-ES"/>
        </w:rPr>
      </w:pPr>
      <w:r w:rsidRPr="005B78E7">
        <w:rPr>
          <w:lang w:val="es-ES"/>
        </w:rPr>
        <w:t>A continuación pueden especificarse los objetivos de calidad de funcionamiento del sistema de satélites que utiliza ACM modificando los objetivos de calidad de funcionamiento del Cuadro</w:t>
      </w:r>
      <w:r w:rsidR="00902055">
        <w:rPr>
          <w:lang w:val="es-ES"/>
        </w:rPr>
        <w:t> </w:t>
      </w:r>
      <w:r w:rsidRPr="005B78E7">
        <w:rPr>
          <w:lang w:val="es-ES"/>
        </w:rPr>
        <w:t>2 y utilizando la PER, como se muestra en el Cuadro 3.</w:t>
      </w:r>
    </w:p>
    <w:p w:rsidR="00177138" w:rsidRPr="005B78E7" w:rsidRDefault="00177138" w:rsidP="00177138">
      <w:pPr>
        <w:pStyle w:val="TableNo"/>
        <w:rPr>
          <w:lang w:val="es-ES"/>
        </w:rPr>
      </w:pPr>
      <w:r w:rsidRPr="005B78E7">
        <w:rPr>
          <w:lang w:val="es-ES"/>
        </w:rPr>
        <w:t>CUADRO 3</w:t>
      </w:r>
    </w:p>
    <w:p w:rsidR="00177138" w:rsidRPr="005B78E7" w:rsidRDefault="00177138" w:rsidP="00177138">
      <w:pPr>
        <w:pStyle w:val="Tabletitle"/>
        <w:rPr>
          <w:lang w:val="es-ES"/>
        </w:rPr>
      </w:pPr>
      <w:r w:rsidRPr="005B78E7">
        <w:rPr>
          <w:lang w:val="es-ES"/>
        </w:rPr>
        <w:t xml:space="preserve">Objetivos de calidad de funcionamiento de un sistema de satélites </w:t>
      </w:r>
      <w:r>
        <w:rPr>
          <w:lang w:val="es-ES"/>
        </w:rPr>
        <w:br/>
      </w:r>
      <w:r w:rsidRPr="005B78E7">
        <w:rPr>
          <w:lang w:val="es-ES"/>
        </w:rPr>
        <w:t>que utiliza ADM en términos de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177138" w:rsidRPr="005B78E7" w:rsidTr="00177138">
        <w:trPr>
          <w:cantSplit/>
          <w:jc w:val="center"/>
        </w:trPr>
        <w:tc>
          <w:tcPr>
            <w:tcW w:w="4104" w:type="dxa"/>
          </w:tcPr>
          <w:p w:rsidR="00177138" w:rsidRPr="005B78E7" w:rsidRDefault="00177138" w:rsidP="00177138">
            <w:pPr>
              <w:pStyle w:val="Tablehead"/>
              <w:rPr>
                <w:lang w:val="es-ES"/>
              </w:rPr>
            </w:pPr>
            <w:r w:rsidRPr="005B78E7">
              <w:rPr>
                <w:lang w:val="es-ES"/>
              </w:rPr>
              <w:t>Porcentaje del tiempo total</w:t>
            </w:r>
          </w:p>
        </w:tc>
        <w:tc>
          <w:tcPr>
            <w:tcW w:w="3845" w:type="dxa"/>
            <w:vAlign w:val="center"/>
          </w:tcPr>
          <w:p w:rsidR="00177138" w:rsidRPr="005B78E7" w:rsidRDefault="00177138" w:rsidP="00177138">
            <w:pPr>
              <w:pStyle w:val="Tablehead"/>
              <w:rPr>
                <w:lang w:val="en-US"/>
              </w:rPr>
            </w:pPr>
            <w:r w:rsidRPr="005B78E7">
              <w:rPr>
                <w:lang w:val="en-US"/>
              </w:rPr>
              <w:t>PER</w:t>
            </w:r>
          </w:p>
        </w:tc>
      </w:tr>
      <w:tr w:rsidR="00177138" w:rsidRPr="005B78E7" w:rsidTr="00177138">
        <w:trPr>
          <w:cantSplit/>
          <w:jc w:val="center"/>
        </w:trPr>
        <w:tc>
          <w:tcPr>
            <w:tcW w:w="4104" w:type="dxa"/>
            <w:tcBorders>
              <w:bottom w:val="single" w:sz="4" w:space="0" w:color="auto"/>
            </w:tcBorders>
          </w:tcPr>
          <w:p w:rsidR="00177138" w:rsidRPr="005B78E7" w:rsidRDefault="00177138" w:rsidP="00177138">
            <w:pPr>
              <w:pStyle w:val="Tabletext"/>
              <w:jc w:val="center"/>
              <w:rPr>
                <w:lang w:val="es-ES"/>
              </w:rPr>
            </w:pPr>
            <w:r w:rsidRPr="005B78E7">
              <w:rPr>
                <w:lang w:val="es-ES"/>
              </w:rPr>
              <w:t>0,04% del año</w:t>
            </w:r>
            <w:r>
              <w:rPr>
                <w:lang w:val="es-ES"/>
              </w:rPr>
              <w:br/>
            </w:r>
            <w:r w:rsidR="0024514E">
              <w:rPr>
                <w:lang w:val="es-ES"/>
              </w:rPr>
              <w:t>0,6% del año</w:t>
            </w:r>
            <w:r w:rsidRPr="005B78E7">
              <w:rPr>
                <w:lang w:val="es-ES"/>
              </w:rPr>
              <w:br/>
              <w:t>4,0% del año</w:t>
            </w:r>
          </w:p>
        </w:tc>
        <w:tc>
          <w:tcPr>
            <w:tcW w:w="3845" w:type="dxa"/>
            <w:tcBorders>
              <w:bottom w:val="single" w:sz="4" w:space="0" w:color="auto"/>
            </w:tcBorders>
          </w:tcPr>
          <w:p w:rsidR="00177138" w:rsidRPr="005B78E7" w:rsidRDefault="00177138" w:rsidP="00177138">
            <w:pPr>
              <w:pStyle w:val="Tabletext"/>
              <w:jc w:val="center"/>
              <w:rPr>
                <w:lang w:val="en-US"/>
              </w:rPr>
            </w:pPr>
            <w:r w:rsidRPr="005B78E7">
              <w:rPr>
                <w:lang w:val="en-US"/>
              </w:rPr>
              <w:t>&lt; 10</w:t>
            </w:r>
            <w:r w:rsidRPr="005B78E7">
              <w:rPr>
                <w:vertAlign w:val="superscript"/>
                <w:lang w:val="en-US"/>
              </w:rPr>
              <w:t>−4</w:t>
            </w:r>
            <w:r>
              <w:rPr>
                <w:lang w:val="en-US"/>
              </w:rPr>
              <w:br/>
            </w:r>
            <w:r w:rsidRPr="005B78E7">
              <w:rPr>
                <w:lang w:val="en-US"/>
              </w:rPr>
              <w:t>&lt; 10</w:t>
            </w:r>
            <w:r w:rsidRPr="005B78E7">
              <w:rPr>
                <w:vertAlign w:val="superscript"/>
                <w:lang w:val="en-US"/>
              </w:rPr>
              <w:t>−5</w:t>
            </w:r>
            <w:r>
              <w:rPr>
                <w:lang w:val="en-US"/>
              </w:rPr>
              <w:br/>
            </w:r>
            <w:r w:rsidRPr="005B78E7">
              <w:rPr>
                <w:lang w:val="en-US"/>
              </w:rPr>
              <w:t>&lt; 10</w:t>
            </w:r>
            <w:r w:rsidRPr="005B78E7">
              <w:rPr>
                <w:vertAlign w:val="superscript"/>
                <w:lang w:val="en-US"/>
              </w:rPr>
              <w:t>−7</w:t>
            </w:r>
            <w:r w:rsidR="0024514E" w:rsidRPr="0024514E">
              <w:rPr>
                <w:sz w:val="10"/>
                <w:szCs w:val="10"/>
                <w:lang w:val="en-US"/>
              </w:rPr>
              <w:t xml:space="preserve"> </w:t>
            </w:r>
            <w:r w:rsidRPr="005B78E7">
              <w:rPr>
                <w:vertAlign w:val="superscript"/>
                <w:lang w:val="en-US"/>
              </w:rPr>
              <w:t>(1)</w:t>
            </w:r>
          </w:p>
        </w:tc>
      </w:tr>
      <w:tr w:rsidR="00177138" w:rsidRPr="00480558" w:rsidTr="00177138">
        <w:trPr>
          <w:cantSplit/>
          <w:jc w:val="center"/>
        </w:trPr>
        <w:tc>
          <w:tcPr>
            <w:tcW w:w="7949" w:type="dxa"/>
            <w:gridSpan w:val="2"/>
            <w:tcBorders>
              <w:top w:val="single" w:sz="4" w:space="0" w:color="auto"/>
              <w:left w:val="nil"/>
              <w:bottom w:val="nil"/>
              <w:right w:val="nil"/>
            </w:tcBorders>
          </w:tcPr>
          <w:p w:rsidR="00177138" w:rsidRPr="005B78E7" w:rsidDel="00853C52" w:rsidRDefault="00177138" w:rsidP="00177138">
            <w:pPr>
              <w:pStyle w:val="Tablelegend"/>
              <w:rPr>
                <w:lang w:val="es-ES"/>
              </w:rPr>
            </w:pPr>
            <w:r w:rsidRPr="005B78E7">
              <w:rPr>
                <w:vertAlign w:val="superscript"/>
                <w:lang w:val="es-ES"/>
              </w:rPr>
              <w:t>(1)</w:t>
            </w:r>
            <w:r w:rsidRPr="005B78E7">
              <w:rPr>
                <w:lang w:val="es-ES"/>
              </w:rPr>
              <w:tab/>
              <w:t>Se supone que una PER de 10</w:t>
            </w:r>
            <w:r w:rsidRPr="005B78E7">
              <w:rPr>
                <w:vertAlign w:val="superscript"/>
                <w:lang w:val="es-ES"/>
              </w:rPr>
              <w:t>−7</w:t>
            </w:r>
            <w:r w:rsidRPr="0024514E">
              <w:t xml:space="preserve"> </w:t>
            </w:r>
            <w:r w:rsidRPr="005B78E7">
              <w:rPr>
                <w:lang w:val="es-ES"/>
              </w:rPr>
              <w:t>es equivalente a una FER de 10</w:t>
            </w:r>
            <w:r w:rsidRPr="005B78E7">
              <w:rPr>
                <w:vertAlign w:val="superscript"/>
                <w:lang w:val="es-ES"/>
              </w:rPr>
              <w:t>−4</w:t>
            </w:r>
            <w:r w:rsidRPr="0024514E">
              <w:t xml:space="preserve"> </w:t>
            </w:r>
            <w:r w:rsidRPr="005B78E7">
              <w:rPr>
                <w:lang w:val="es-ES"/>
              </w:rPr>
              <w:t>y equivalente también a la BBER de 10</w:t>
            </w:r>
            <w:r w:rsidRPr="005B78E7">
              <w:rPr>
                <w:vertAlign w:val="superscript"/>
                <w:lang w:val="es-ES"/>
              </w:rPr>
              <w:t>−4</w:t>
            </w:r>
            <w:r w:rsidRPr="0024514E">
              <w:t xml:space="preserve"> </w:t>
            </w:r>
            <w:r w:rsidRPr="005B78E7">
              <w:rPr>
                <w:lang w:val="es-ES"/>
              </w:rPr>
              <w:t>del Cuadro 1.</w:t>
            </w:r>
          </w:p>
        </w:tc>
      </w:tr>
    </w:tbl>
    <w:p w:rsidR="00177138" w:rsidRPr="00480558" w:rsidRDefault="00177138" w:rsidP="00177138">
      <w:pPr>
        <w:pStyle w:val="Tablefin"/>
        <w:rPr>
          <w:lang w:val="es-ES"/>
        </w:rPr>
      </w:pPr>
    </w:p>
    <w:p w:rsidR="00177138" w:rsidRPr="005B78E7" w:rsidRDefault="00177138" w:rsidP="00177138">
      <w:pPr>
        <w:pStyle w:val="Heading2"/>
        <w:rPr>
          <w:lang w:val="es-ES"/>
        </w:rPr>
      </w:pPr>
      <w:r w:rsidRPr="005B78E7">
        <w:rPr>
          <w:lang w:val="es-ES"/>
        </w:rPr>
        <w:t>2.3</w:t>
      </w:r>
      <w:r w:rsidRPr="005B78E7">
        <w:rPr>
          <w:lang w:val="es-ES"/>
        </w:rPr>
        <w:tab/>
        <w:t xml:space="preserve">Eficacia espectral como función de la </w:t>
      </w:r>
      <w:r w:rsidRPr="005B78E7">
        <w:rPr>
          <w:i/>
          <w:iCs/>
          <w:lang w:val="es-ES"/>
        </w:rPr>
        <w:t>C</w:t>
      </w:r>
      <w:r w:rsidRPr="005B78E7">
        <w:rPr>
          <w:iCs/>
          <w:lang w:val="es-ES"/>
        </w:rPr>
        <w:t>/</w:t>
      </w:r>
      <w:r w:rsidRPr="005B78E7">
        <w:rPr>
          <w:i/>
          <w:iCs/>
          <w:lang w:val="es-ES"/>
        </w:rPr>
        <w:t>N</w:t>
      </w:r>
    </w:p>
    <w:p w:rsidR="00177138" w:rsidRDefault="00177138" w:rsidP="00177138">
      <w:pPr>
        <w:rPr>
          <w:lang w:val="es-ES"/>
        </w:rPr>
      </w:pPr>
      <w:r w:rsidRPr="005B78E7">
        <w:rPr>
          <w:lang w:val="es-ES"/>
        </w:rPr>
        <w:t xml:space="preserve">La capacidad del canal, representada por el límite de Shannon-Hartley, puede representar la eficacia espectral en bit/s/Hz, que a su vez puede presentarse como una función de la </w:t>
      </w:r>
      <w:r w:rsidRPr="005B78E7">
        <w:rPr>
          <w:i/>
          <w:iCs/>
          <w:lang w:val="es-ES"/>
        </w:rPr>
        <w:t>C</w:t>
      </w:r>
      <w:r w:rsidRPr="005B78E7">
        <w:rPr>
          <w:iCs/>
          <w:lang w:val="es-ES"/>
        </w:rPr>
        <w:t>/</w:t>
      </w:r>
      <w:r w:rsidRPr="005B78E7">
        <w:rPr>
          <w:i/>
          <w:iCs/>
          <w:lang w:val="es-ES"/>
        </w:rPr>
        <w:t>N</w:t>
      </w:r>
      <w:r w:rsidRPr="005B78E7">
        <w:rPr>
          <w:lang w:val="es-ES"/>
        </w:rPr>
        <w:t xml:space="preserve">. La eficacia espectral como función de la </w:t>
      </w:r>
      <w:r w:rsidRPr="005B78E7">
        <w:rPr>
          <w:i/>
          <w:lang w:val="es-ES"/>
        </w:rPr>
        <w:t>C</w:t>
      </w:r>
      <w:r w:rsidRPr="005B78E7">
        <w:rPr>
          <w:lang w:val="es-ES"/>
        </w:rPr>
        <w:t>/</w:t>
      </w:r>
      <w:r w:rsidRPr="005B78E7">
        <w:rPr>
          <w:i/>
          <w:lang w:val="es-ES"/>
        </w:rPr>
        <w:t>N</w:t>
      </w:r>
      <w:r w:rsidRPr="005B78E7">
        <w:rPr>
          <w:lang w:val="es-ES"/>
        </w:rPr>
        <w:t xml:space="preserve"> puede representarse como el límite de Shannon-Hartley, que es el valor máximo alcanzable.</w:t>
      </w:r>
    </w:p>
    <w:p w:rsidR="00902055" w:rsidRPr="005B78E7" w:rsidRDefault="00902055" w:rsidP="00902055">
      <w:pPr>
        <w:pStyle w:val="Blanc"/>
      </w:pPr>
    </w:p>
    <w:p w:rsidR="00177138" w:rsidRPr="005B78E7" w:rsidRDefault="00177138" w:rsidP="00177138">
      <w:pPr>
        <w:pStyle w:val="Equation"/>
        <w:rPr>
          <w:lang w:val="es-ES"/>
        </w:rPr>
      </w:pPr>
      <w:r w:rsidRPr="005B78E7">
        <w:rPr>
          <w:i/>
          <w:lang w:val="es-ES"/>
        </w:rPr>
        <w:tab/>
      </w:r>
      <w:r w:rsidRPr="005B78E7">
        <w:rPr>
          <w:i/>
          <w:lang w:val="es-ES"/>
        </w:rPr>
        <w:tab/>
      </w:r>
      <w:r w:rsidRPr="005B78E7">
        <w:rPr>
          <w:iCs/>
          <w:lang w:val="en-US"/>
        </w:rPr>
        <w:sym w:font="Symbol" w:char="F068"/>
      </w:r>
      <w:r w:rsidRPr="005B78E7">
        <w:rPr>
          <w:lang w:val="es-ES"/>
        </w:rPr>
        <w:t>(</w:t>
      </w:r>
      <w:r w:rsidRPr="005B78E7">
        <w:rPr>
          <w:iCs/>
          <w:lang w:val="en-US"/>
        </w:rPr>
        <w:sym w:font="Symbol" w:char="F067"/>
      </w:r>
      <w:r w:rsidRPr="005B78E7">
        <w:rPr>
          <w:lang w:val="es-ES"/>
        </w:rPr>
        <w:t>) = log</w:t>
      </w:r>
      <w:r w:rsidRPr="005B78E7">
        <w:rPr>
          <w:vertAlign w:val="subscript"/>
          <w:lang w:val="es-ES"/>
        </w:rPr>
        <w:t>2</w:t>
      </w:r>
      <w:r w:rsidRPr="005B78E7">
        <w:rPr>
          <w:lang w:val="es-ES"/>
        </w:rPr>
        <w:t>(10</w:t>
      </w:r>
      <w:r w:rsidRPr="005B78E7">
        <w:rPr>
          <w:iCs/>
          <w:vertAlign w:val="superscript"/>
          <w:lang w:val="en-US"/>
        </w:rPr>
        <w:sym w:font="Symbol" w:char="F067"/>
      </w:r>
      <w:r w:rsidRPr="005B78E7">
        <w:rPr>
          <w:i/>
          <w:vertAlign w:val="superscript"/>
          <w:lang w:val="es-ES"/>
        </w:rPr>
        <w:t>/</w:t>
      </w:r>
      <w:r w:rsidRPr="005B78E7">
        <w:rPr>
          <w:vertAlign w:val="superscript"/>
          <w:lang w:val="es-ES"/>
        </w:rPr>
        <w:t>10</w:t>
      </w:r>
      <w:r w:rsidRPr="005B78E7">
        <w:rPr>
          <w:lang w:val="es-ES"/>
        </w:rPr>
        <w:t xml:space="preserve"> + 1)</w:t>
      </w:r>
      <w:r w:rsidRPr="005B78E7">
        <w:rPr>
          <w:lang w:val="es-ES"/>
        </w:rPr>
        <w:tab/>
        <w:t>(1)</w:t>
      </w:r>
    </w:p>
    <w:p w:rsidR="00902055" w:rsidRPr="005B78E7" w:rsidRDefault="00902055" w:rsidP="00902055">
      <w:pPr>
        <w:pStyle w:val="Blanc"/>
      </w:pPr>
    </w:p>
    <w:p w:rsidR="00177138" w:rsidRPr="005B78E7" w:rsidRDefault="00177138" w:rsidP="00177138">
      <w:pPr>
        <w:rPr>
          <w:lang w:val="es-ES"/>
        </w:rPr>
      </w:pPr>
      <w:r w:rsidRPr="005B78E7">
        <w:rPr>
          <w:lang w:val="es-ES"/>
        </w:rPr>
        <w:t xml:space="preserve">siendo </w:t>
      </w:r>
      <w:r w:rsidRPr="005B78E7">
        <w:rPr>
          <w:iCs/>
          <w:lang w:val="en-US"/>
        </w:rPr>
        <w:sym w:font="Symbol" w:char="F068"/>
      </w:r>
      <w:r w:rsidRPr="005B78E7">
        <w:rPr>
          <w:iCs/>
          <w:lang w:val="es-ES"/>
        </w:rPr>
        <w:t xml:space="preserve"> la eficacia espectral en</w:t>
      </w:r>
      <w:r w:rsidRPr="005B78E7">
        <w:rPr>
          <w:lang w:val="es-ES"/>
        </w:rPr>
        <w:t xml:space="preserve"> bit/s/Hz y </w:t>
      </w:r>
      <w:r w:rsidRPr="005B78E7">
        <w:rPr>
          <w:iCs/>
          <w:lang w:val="en-US"/>
        </w:rPr>
        <w:sym w:font="Symbol" w:char="F067"/>
      </w:r>
      <w:r w:rsidRPr="005B78E7">
        <w:rPr>
          <w:i/>
          <w:lang w:val="es-ES"/>
        </w:rPr>
        <w:t xml:space="preserve"> </w:t>
      </w:r>
      <w:r w:rsidRPr="005B78E7">
        <w:rPr>
          <w:iCs/>
          <w:lang w:val="es-ES"/>
        </w:rPr>
        <w:t>la</w:t>
      </w:r>
      <w:r w:rsidRPr="005B78E7">
        <w:rPr>
          <w:lang w:val="es-ES"/>
        </w:rPr>
        <w:t xml:space="preserve"> </w:t>
      </w:r>
      <w:r w:rsidRPr="005B78E7">
        <w:rPr>
          <w:i/>
          <w:iCs/>
          <w:lang w:val="es-ES"/>
        </w:rPr>
        <w:t>C</w:t>
      </w:r>
      <w:r w:rsidRPr="005B78E7">
        <w:rPr>
          <w:iCs/>
          <w:lang w:val="es-ES"/>
        </w:rPr>
        <w:t>/</w:t>
      </w:r>
      <w:r w:rsidRPr="005B78E7">
        <w:rPr>
          <w:i/>
          <w:iCs/>
          <w:lang w:val="es-ES"/>
        </w:rPr>
        <w:t>N</w:t>
      </w:r>
      <w:r w:rsidRPr="005B78E7">
        <w:rPr>
          <w:lang w:val="es-ES"/>
        </w:rPr>
        <w:t>, que, en este caso, es equivalente a la relación energía por símbolo/densidad espectral de ruido (</w:t>
      </w:r>
      <w:r w:rsidRPr="005B78E7">
        <w:rPr>
          <w:i/>
          <w:lang w:val="es-ES"/>
        </w:rPr>
        <w:t>E</w:t>
      </w:r>
      <w:r w:rsidRPr="005B78E7">
        <w:rPr>
          <w:i/>
          <w:vertAlign w:val="subscript"/>
          <w:lang w:val="es-ES"/>
        </w:rPr>
        <w:t>s</w:t>
      </w:r>
      <w:r w:rsidRPr="005B78E7">
        <w:rPr>
          <w:lang w:val="es-ES"/>
        </w:rPr>
        <w:t>/</w:t>
      </w:r>
      <w:r w:rsidRPr="005B78E7">
        <w:rPr>
          <w:i/>
          <w:lang w:val="es-ES"/>
        </w:rPr>
        <w:t>N</w:t>
      </w:r>
      <w:r w:rsidRPr="005B78E7">
        <w:rPr>
          <w:vertAlign w:val="subscript"/>
          <w:lang w:val="es-ES"/>
        </w:rPr>
        <w:t>0</w:t>
      </w:r>
      <w:r w:rsidRPr="005B78E7">
        <w:rPr>
          <w:lang w:val="es-ES"/>
        </w:rPr>
        <w:t>) en dB.</w:t>
      </w:r>
    </w:p>
    <w:p w:rsidR="00177138" w:rsidRPr="005B78E7" w:rsidRDefault="00177138" w:rsidP="00177138">
      <w:pPr>
        <w:rPr>
          <w:lang w:val="es-ES"/>
        </w:rPr>
      </w:pPr>
      <w:r w:rsidRPr="005B78E7">
        <w:rPr>
          <w:lang w:val="es-ES"/>
        </w:rPr>
        <w:t xml:space="preserve">Si un sistema utiliza ACM con múltiples modos MODCOD, puede derivarse </w:t>
      </w:r>
      <w:r w:rsidRPr="005B78E7">
        <w:rPr>
          <w:iCs/>
          <w:lang w:val="en-US"/>
        </w:rPr>
        <w:sym w:font="Symbol" w:char="F068"/>
      </w:r>
      <w:r w:rsidRPr="005B78E7">
        <w:rPr>
          <w:iCs/>
          <w:lang w:val="es-ES"/>
        </w:rPr>
        <w:t>(</w:t>
      </w:r>
      <w:r w:rsidRPr="005B78E7">
        <w:rPr>
          <w:iCs/>
          <w:lang w:val="en-US"/>
        </w:rPr>
        <w:sym w:font="Symbol" w:char="F067"/>
      </w:r>
      <w:r w:rsidRPr="005B78E7">
        <w:rPr>
          <w:iCs/>
          <w:lang w:val="es-ES"/>
        </w:rPr>
        <w:t>)</w:t>
      </w:r>
      <w:r w:rsidRPr="005B78E7">
        <w:rPr>
          <w:lang w:val="es-ES"/>
        </w:rPr>
        <w:t xml:space="preserve"> y configurar el objetivo de calidad de funcionamiento para mantener </w:t>
      </w:r>
      <w:r w:rsidRPr="005B78E7">
        <w:rPr>
          <w:iCs/>
          <w:lang w:val="en-US"/>
        </w:rPr>
        <w:sym w:font="Symbol" w:char="F068"/>
      </w:r>
      <w:r w:rsidRPr="005B78E7">
        <w:rPr>
          <w:iCs/>
          <w:lang w:val="es-ES"/>
        </w:rPr>
        <w:t>(</w:t>
      </w:r>
      <w:r w:rsidRPr="005B78E7">
        <w:rPr>
          <w:iCs/>
          <w:lang w:val="en-US"/>
        </w:rPr>
        <w:sym w:font="Symbol" w:char="F067"/>
      </w:r>
      <w:r w:rsidRPr="005B78E7">
        <w:rPr>
          <w:iCs/>
          <w:lang w:val="es-ES"/>
        </w:rPr>
        <w:t>)</w:t>
      </w:r>
      <w:r w:rsidRPr="005B78E7">
        <w:rPr>
          <w:lang w:val="es-ES"/>
        </w:rPr>
        <w:t xml:space="preserve"> dentro de un margen determinado, considerando los cambios de estado ACM en intervalos de aproximadamente 1</w:t>
      </w:r>
      <w:r w:rsidR="00706B16">
        <w:rPr>
          <w:lang w:val="es-ES"/>
        </w:rPr>
        <w:t> </w:t>
      </w:r>
      <w:r w:rsidRPr="005B78E7">
        <w:rPr>
          <w:lang w:val="es-ES"/>
        </w:rPr>
        <w:t>s.</w:t>
      </w:r>
    </w:p>
    <w:p w:rsidR="00177138" w:rsidRPr="005B78E7" w:rsidRDefault="00177138" w:rsidP="00177138">
      <w:pPr>
        <w:rPr>
          <w:lang w:val="es-ES"/>
        </w:rPr>
      </w:pPr>
      <w:r w:rsidRPr="005B78E7">
        <w:rPr>
          <w:lang w:val="es-ES"/>
        </w:rPr>
        <w:t xml:space="preserve">Por consiguiente, uno de los objetivos de calidad de funcionamiento puede basarse en que la eficacia espectral del sistema no sea inferior a </w:t>
      </w:r>
      <w:r w:rsidRPr="005B78E7">
        <w:rPr>
          <w:iCs/>
          <w:lang w:val="en-US"/>
        </w:rPr>
        <w:sym w:font="Symbol" w:char="F068"/>
      </w:r>
      <w:r w:rsidRPr="005B78E7">
        <w:rPr>
          <w:lang w:val="es-ES"/>
        </w:rPr>
        <w:t>(</w:t>
      </w:r>
      <w:r w:rsidRPr="005B78E7">
        <w:rPr>
          <w:iCs/>
          <w:lang w:val="en-US"/>
        </w:rPr>
        <w:sym w:font="Symbol" w:char="F067"/>
      </w:r>
      <w:r w:rsidRPr="005B78E7">
        <w:rPr>
          <w:i/>
          <w:lang w:val="es-ES"/>
        </w:rPr>
        <w:t xml:space="preserve"> </w:t>
      </w:r>
      <w:r w:rsidRPr="005B78E7">
        <w:rPr>
          <w:lang w:val="es-ES"/>
        </w:rPr>
        <w:t xml:space="preserve">– 1,0) para un determinado valor </w:t>
      </w:r>
      <w:r w:rsidRPr="005B78E7">
        <w:rPr>
          <w:iCs/>
          <w:lang w:val="en-US"/>
        </w:rPr>
        <w:sym w:font="Symbol" w:char="F067"/>
      </w:r>
      <w:r w:rsidRPr="005B78E7">
        <w:rPr>
          <w:i/>
          <w:lang w:val="es-ES"/>
        </w:rPr>
        <w:t xml:space="preserve"> </w:t>
      </w:r>
      <w:r w:rsidRPr="005B78E7">
        <w:rPr>
          <w:lang w:val="es-ES"/>
        </w:rPr>
        <w:t>en dB.</w:t>
      </w:r>
    </w:p>
    <w:p w:rsidR="00177138" w:rsidRPr="005B78E7" w:rsidRDefault="00177138" w:rsidP="00177138">
      <w:pPr>
        <w:rPr>
          <w:lang w:val="es-ES"/>
        </w:rPr>
      </w:pPr>
      <w:r w:rsidRPr="005B78E7">
        <w:rPr>
          <w:lang w:val="es-ES"/>
        </w:rPr>
        <w:lastRenderedPageBreak/>
        <w:t>Para presentar un ejemplo de cómo aplicar la eficacia espectral como objetivo de calidad de funcionamiento se utilizan las características de DVB-S2X.</w:t>
      </w:r>
      <w:r>
        <w:rPr>
          <w:rStyle w:val="FootnoteReference"/>
          <w:lang w:val="es-ES"/>
        </w:rPr>
        <w:footnoteReference w:id="8"/>
      </w:r>
    </w:p>
    <w:p w:rsidR="00177138" w:rsidRPr="005B78E7" w:rsidRDefault="00177138" w:rsidP="00177138">
      <w:pPr>
        <w:rPr>
          <w:lang w:val="es-ES"/>
        </w:rPr>
      </w:pPr>
      <w:r w:rsidRPr="005B78E7">
        <w:rPr>
          <w:lang w:val="es-ES"/>
        </w:rPr>
        <w:t>En la Fig</w:t>
      </w:r>
      <w:r>
        <w:rPr>
          <w:lang w:val="es-ES"/>
        </w:rPr>
        <w:t>. </w:t>
      </w:r>
      <w:r w:rsidRPr="005B78E7">
        <w:rPr>
          <w:lang w:val="es-ES"/>
        </w:rPr>
        <w:t>2 se compara la eficacia espectral del funcionamiento MODCOD ACM de DVB-S2X y DVB</w:t>
      </w:r>
      <w:r w:rsidRPr="005B78E7">
        <w:rPr>
          <w:lang w:val="es-ES"/>
        </w:rPr>
        <w:noBreakHyphen/>
        <w:t>S2 con el límite de Shannon-Hartley.</w:t>
      </w:r>
    </w:p>
    <w:p w:rsidR="00177138" w:rsidRPr="005B78E7" w:rsidRDefault="00177138" w:rsidP="00177138">
      <w:pPr>
        <w:pStyle w:val="FigureNo"/>
        <w:rPr>
          <w:lang w:val="es-ES"/>
        </w:rPr>
      </w:pPr>
      <w:r w:rsidRPr="005B78E7">
        <w:rPr>
          <w:lang w:val="es-ES"/>
        </w:rPr>
        <w:t>Figur</w:t>
      </w:r>
      <w:r>
        <w:rPr>
          <w:lang w:val="es-ES"/>
        </w:rPr>
        <w:t>a</w:t>
      </w:r>
      <w:r w:rsidRPr="005B78E7">
        <w:rPr>
          <w:lang w:val="es-ES"/>
        </w:rPr>
        <w:t xml:space="preserve"> 2</w:t>
      </w:r>
    </w:p>
    <w:p w:rsidR="00177138" w:rsidRPr="000E5FF8" w:rsidRDefault="00177138" w:rsidP="00177138">
      <w:pPr>
        <w:pStyle w:val="Figuretitle"/>
        <w:rPr>
          <w:lang w:val="es-ES"/>
        </w:rPr>
      </w:pPr>
      <w:r w:rsidRPr="000E5FF8">
        <w:rPr>
          <w:lang w:val="es-ES"/>
        </w:rPr>
        <w:t>Comparación de la eficacia espectral (capacidad)</w:t>
      </w:r>
    </w:p>
    <w:p w:rsidR="00177138" w:rsidRPr="009E59FF" w:rsidRDefault="00902055" w:rsidP="00177138">
      <w:pPr>
        <w:pStyle w:val="Figure"/>
      </w:pPr>
      <w:r>
        <w:object w:dxaOrig="4122" w:dyaOrig="3706">
          <v:shape id="_x0000_i1026" type="#_x0000_t75" style="width:325.8pt;height:293.45pt" o:ole="">
            <v:imagedata r:id="rId15" o:title=""/>
          </v:shape>
          <o:OLEObject Type="Embed" ProgID="CorelDraw.Graphic.17" ShapeID="_x0000_i1026" DrawAspect="Content" ObjectID="_1641217357" r:id="rId16"/>
        </w:object>
      </w:r>
    </w:p>
    <w:p w:rsidR="00177138" w:rsidRPr="005B78E7" w:rsidRDefault="00177138" w:rsidP="00177138">
      <w:pPr>
        <w:pStyle w:val="Normalaftertitle"/>
        <w:rPr>
          <w:lang w:val="es-ES"/>
        </w:rPr>
      </w:pPr>
      <w:r w:rsidRPr="005B78E7">
        <w:rPr>
          <w:lang w:val="es-ES"/>
        </w:rPr>
        <w:t>De ajustar la eficacia espectral del funcionamiento DVB-S2X ACM en un canal de satélite no lineal con dos polinomios de error mínimo cuadrático de segundo orden se derivan las ecuaciones siguientes.</w:t>
      </w:r>
      <w:r>
        <w:rPr>
          <w:rStyle w:val="FootnoteReference"/>
          <w:lang w:val="es-ES"/>
        </w:rPr>
        <w:footnoteReference w:id="9"/>
      </w:r>
    </w:p>
    <w:p w:rsidR="00177138" w:rsidRPr="005B78E7" w:rsidRDefault="00177138" w:rsidP="00177138">
      <w:pPr>
        <w:pStyle w:val="Equation"/>
        <w:rPr>
          <w:lang w:val="es-ES"/>
        </w:rPr>
      </w:pPr>
      <w:r w:rsidRPr="005B78E7">
        <w:rPr>
          <w:i/>
          <w:lang w:val="es-ES"/>
        </w:rPr>
        <w:tab/>
      </w:r>
      <w:r w:rsidRPr="005B78E7">
        <w:rPr>
          <w:i/>
          <w:lang w:val="es-ES"/>
        </w:rPr>
        <w:tab/>
      </w:r>
      <w:r w:rsidRPr="005B78E7">
        <w:rPr>
          <w:iCs/>
          <w:lang w:val="en-US"/>
        </w:rPr>
        <w:sym w:font="Symbol" w:char="F068"/>
      </w:r>
      <w:r w:rsidRPr="005B78E7">
        <w:rPr>
          <w:lang w:val="es-ES"/>
        </w:rPr>
        <w:t>(</w:t>
      </w:r>
      <w:r w:rsidRPr="005B78E7">
        <w:rPr>
          <w:iCs/>
          <w:lang w:val="en-US"/>
        </w:rPr>
        <w:sym w:font="Symbol" w:char="F067"/>
      </w:r>
      <w:r w:rsidRPr="005B78E7">
        <w:rPr>
          <w:lang w:val="es-ES"/>
        </w:rPr>
        <w:t>) = 0</w:t>
      </w:r>
      <w:r>
        <w:rPr>
          <w:lang w:val="es-ES"/>
        </w:rPr>
        <w:t>,</w:t>
      </w:r>
      <w:r w:rsidRPr="005B78E7">
        <w:rPr>
          <w:lang w:val="es-ES"/>
        </w:rPr>
        <w:t>8181 + 0</w:t>
      </w:r>
      <w:r>
        <w:rPr>
          <w:lang w:val="es-ES"/>
        </w:rPr>
        <w:t>,</w:t>
      </w:r>
      <w:r w:rsidRPr="005B78E7">
        <w:rPr>
          <w:lang w:val="es-ES"/>
        </w:rPr>
        <w:t>1607</w:t>
      </w:r>
      <w:r w:rsidRPr="005B78E7">
        <w:rPr>
          <w:iCs/>
          <w:lang w:val="en-US"/>
        </w:rPr>
        <w:sym w:font="Symbol" w:char="F067"/>
      </w:r>
      <w:r w:rsidRPr="005B78E7">
        <w:rPr>
          <w:iCs/>
          <w:lang w:val="es-ES"/>
        </w:rPr>
        <w:t xml:space="preserve"> </w:t>
      </w:r>
      <w:r w:rsidRPr="005B78E7">
        <w:rPr>
          <w:lang w:val="es-ES"/>
        </w:rPr>
        <w:t>+0</w:t>
      </w:r>
      <w:r>
        <w:rPr>
          <w:lang w:val="es-ES"/>
        </w:rPr>
        <w:t>,</w:t>
      </w:r>
      <w:r w:rsidRPr="005B78E7">
        <w:rPr>
          <w:lang w:val="es-ES"/>
        </w:rPr>
        <w:t>0096</w:t>
      </w:r>
      <w:r w:rsidRPr="005B78E7">
        <w:rPr>
          <w:iCs/>
          <w:lang w:val="en-US"/>
        </w:rPr>
        <w:sym w:font="Symbol" w:char="F067"/>
      </w:r>
      <w:r w:rsidRPr="005B78E7">
        <w:rPr>
          <w:vertAlign w:val="superscript"/>
          <w:lang w:val="es-ES"/>
        </w:rPr>
        <w:t>2</w:t>
      </w:r>
      <w:r w:rsidRPr="005B78E7">
        <w:rPr>
          <w:lang w:val="es-ES"/>
        </w:rPr>
        <w:t xml:space="preserve"> para −5 </w:t>
      </w:r>
      <w:r w:rsidRPr="005B78E7">
        <w:rPr>
          <w:rFonts w:hint="eastAsia"/>
          <w:lang w:val="es-ES"/>
        </w:rPr>
        <w:t>≤</w:t>
      </w:r>
      <w:r w:rsidRPr="005B78E7">
        <w:rPr>
          <w:lang w:val="es-ES"/>
        </w:rPr>
        <w:t xml:space="preserve"> </w:t>
      </w:r>
      <w:r w:rsidRPr="005B78E7">
        <w:rPr>
          <w:lang w:val="en-US"/>
        </w:rPr>
        <w:sym w:font="Symbol" w:char="F067"/>
      </w:r>
      <w:r w:rsidRPr="005B78E7">
        <w:rPr>
          <w:lang w:val="es-ES"/>
        </w:rPr>
        <w:t xml:space="preserve"> &lt; 0</w:t>
      </w:r>
    </w:p>
    <w:p w:rsidR="00177138" w:rsidRPr="005B78E7" w:rsidRDefault="00177138" w:rsidP="00177138">
      <w:pPr>
        <w:pStyle w:val="Equation"/>
        <w:rPr>
          <w:lang w:val="es-ES"/>
        </w:rPr>
      </w:pPr>
      <w:r w:rsidRPr="005B78E7">
        <w:rPr>
          <w:lang w:val="es-ES"/>
        </w:rPr>
        <w:tab/>
      </w:r>
      <w:r w:rsidRPr="005B78E7">
        <w:rPr>
          <w:lang w:val="es-ES"/>
        </w:rPr>
        <w:tab/>
      </w:r>
      <w:r w:rsidRPr="005B78E7">
        <w:rPr>
          <w:lang w:val="es-ES"/>
        </w:rPr>
        <w:tab/>
        <w:t>(2)</w:t>
      </w:r>
    </w:p>
    <w:p w:rsidR="00177138" w:rsidRPr="005B78E7" w:rsidRDefault="00177138" w:rsidP="00177138">
      <w:pPr>
        <w:pStyle w:val="Equation"/>
        <w:rPr>
          <w:lang w:val="es-ES"/>
        </w:rPr>
      </w:pPr>
      <w:r w:rsidRPr="005B78E7">
        <w:rPr>
          <w:iCs/>
          <w:lang w:val="es-ES"/>
        </w:rPr>
        <w:tab/>
      </w:r>
      <w:r w:rsidRPr="005B78E7">
        <w:rPr>
          <w:iCs/>
          <w:lang w:val="es-ES"/>
        </w:rPr>
        <w:tab/>
      </w:r>
      <w:r w:rsidRPr="005B78E7">
        <w:rPr>
          <w:iCs/>
          <w:lang w:val="en-US"/>
        </w:rPr>
        <w:sym w:font="Symbol" w:char="F068"/>
      </w:r>
      <w:r w:rsidRPr="005B78E7">
        <w:rPr>
          <w:lang w:val="es-ES"/>
        </w:rPr>
        <w:t>(</w:t>
      </w:r>
      <w:r w:rsidRPr="005B78E7">
        <w:rPr>
          <w:iCs/>
          <w:lang w:val="en-US"/>
        </w:rPr>
        <w:sym w:font="Symbol" w:char="F067"/>
      </w:r>
      <w:r w:rsidRPr="005B78E7">
        <w:rPr>
          <w:lang w:val="es-ES"/>
        </w:rPr>
        <w:t>) = 0</w:t>
      </w:r>
      <w:r>
        <w:rPr>
          <w:lang w:val="es-ES"/>
        </w:rPr>
        <w:t>,</w:t>
      </w:r>
      <w:r w:rsidRPr="005B78E7">
        <w:rPr>
          <w:lang w:val="es-ES"/>
        </w:rPr>
        <w:t>7375 + 0</w:t>
      </w:r>
      <w:r>
        <w:rPr>
          <w:lang w:val="es-ES"/>
        </w:rPr>
        <w:t>,</w:t>
      </w:r>
      <w:r w:rsidRPr="005B78E7">
        <w:rPr>
          <w:lang w:val="es-ES"/>
        </w:rPr>
        <w:t>1433</w:t>
      </w:r>
      <w:r w:rsidRPr="005B78E7">
        <w:rPr>
          <w:iCs/>
          <w:lang w:val="en-US"/>
        </w:rPr>
        <w:sym w:font="Symbol" w:char="F067"/>
      </w:r>
      <w:r w:rsidRPr="005B78E7">
        <w:rPr>
          <w:iCs/>
          <w:lang w:val="es-ES"/>
        </w:rPr>
        <w:t xml:space="preserve"> </w:t>
      </w:r>
      <w:r w:rsidRPr="005B78E7">
        <w:rPr>
          <w:lang w:val="es-ES"/>
        </w:rPr>
        <w:t>+ 0</w:t>
      </w:r>
      <w:r>
        <w:rPr>
          <w:lang w:val="es-ES"/>
        </w:rPr>
        <w:t>,</w:t>
      </w:r>
      <w:r w:rsidRPr="005B78E7">
        <w:rPr>
          <w:lang w:val="es-ES"/>
        </w:rPr>
        <w:t>003</w:t>
      </w:r>
      <w:r w:rsidRPr="005B78E7">
        <w:rPr>
          <w:iCs/>
          <w:lang w:val="en-US"/>
        </w:rPr>
        <w:sym w:font="Symbol" w:char="F067"/>
      </w:r>
      <w:r w:rsidRPr="005B78E7">
        <w:rPr>
          <w:vertAlign w:val="superscript"/>
          <w:lang w:val="es-ES"/>
        </w:rPr>
        <w:t>2</w:t>
      </w:r>
      <w:r w:rsidRPr="005B78E7">
        <w:rPr>
          <w:lang w:val="es-ES"/>
        </w:rPr>
        <w:t xml:space="preserve"> para </w:t>
      </w:r>
      <w:r w:rsidRPr="005B78E7">
        <w:rPr>
          <w:lang w:val="en-US"/>
        </w:rPr>
        <w:sym w:font="Symbol" w:char="F067"/>
      </w:r>
      <w:r w:rsidRPr="005B78E7">
        <w:rPr>
          <w:lang w:val="es-ES"/>
        </w:rPr>
        <w:t xml:space="preserve"> </w:t>
      </w:r>
      <w:r w:rsidRPr="005B78E7">
        <w:rPr>
          <w:rFonts w:hint="eastAsia"/>
          <w:lang w:val="es-ES"/>
        </w:rPr>
        <w:t>≥</w:t>
      </w:r>
      <w:r w:rsidRPr="005B78E7">
        <w:rPr>
          <w:lang w:val="es-ES"/>
        </w:rPr>
        <w:t xml:space="preserve"> 0</w:t>
      </w:r>
    </w:p>
    <w:p w:rsidR="00177138" w:rsidRPr="005B78E7" w:rsidRDefault="00177138" w:rsidP="00177138">
      <w:pPr>
        <w:pStyle w:val="Normalaftertitle"/>
        <w:rPr>
          <w:lang w:val="es-ES"/>
        </w:rPr>
      </w:pPr>
      <w:r w:rsidRPr="005B78E7">
        <w:rPr>
          <w:lang w:val="es-ES"/>
        </w:rPr>
        <w:t>Para aproximar el ajuste de curva de la parte inferior de la curva, la constante de 0,8181 de la porción (−5</w:t>
      </w:r>
      <w:r w:rsidR="00902055">
        <w:rPr>
          <w:lang w:val="es-ES"/>
        </w:rPr>
        <w:t> </w:t>
      </w:r>
      <w:r w:rsidRPr="005B78E7">
        <w:rPr>
          <w:rFonts w:hint="eastAsia"/>
          <w:lang w:val="es-ES"/>
        </w:rPr>
        <w:t>≤</w:t>
      </w:r>
      <w:r w:rsidR="00902055">
        <w:rPr>
          <w:lang w:val="es-ES"/>
        </w:rPr>
        <w:t> </w:t>
      </w:r>
      <w:r w:rsidRPr="005B78E7">
        <w:rPr>
          <w:lang w:val="en-US"/>
        </w:rPr>
        <w:sym w:font="Symbol" w:char="F067"/>
      </w:r>
      <w:r w:rsidR="00902055">
        <w:rPr>
          <w:lang w:val="es-ES"/>
        </w:rPr>
        <w:t> </w:t>
      </w:r>
      <w:r w:rsidRPr="005B78E7">
        <w:rPr>
          <w:lang w:val="es-ES"/>
        </w:rPr>
        <w:t>&lt;</w:t>
      </w:r>
      <w:r w:rsidR="00902055">
        <w:rPr>
          <w:lang w:val="es-ES"/>
        </w:rPr>
        <w:t> </w:t>
      </w:r>
      <w:r w:rsidRPr="005B78E7">
        <w:rPr>
          <w:lang w:val="es-ES"/>
        </w:rPr>
        <w:t>0</w:t>
      </w:r>
      <w:r w:rsidR="00902055">
        <w:rPr>
          <w:lang w:val="es-ES"/>
        </w:rPr>
        <w:t> </w:t>
      </w:r>
      <w:r w:rsidRPr="005B78E7">
        <w:rPr>
          <w:lang w:val="es-ES"/>
        </w:rPr>
        <w:t xml:space="preserve">dB) de la curva se redujo aproximadamente de 0,08 a 0,7375 para que las partes superior e inferior de la curva se alineasen al mismo valor de </w:t>
      </w:r>
      <w:r w:rsidRPr="005B78E7">
        <w:rPr>
          <w:lang w:val="en-US"/>
        </w:rPr>
        <w:sym w:font="Symbol" w:char="F067"/>
      </w:r>
      <w:r w:rsidRPr="005B78E7">
        <w:rPr>
          <w:lang w:val="es-ES"/>
        </w:rPr>
        <w:t xml:space="preserve"> cuando </w:t>
      </w:r>
      <w:r w:rsidRPr="005B78E7">
        <w:rPr>
          <w:i/>
          <w:iCs/>
          <w:lang w:val="es-ES"/>
        </w:rPr>
        <w:t>E</w:t>
      </w:r>
      <w:r w:rsidRPr="005B78E7">
        <w:rPr>
          <w:i/>
          <w:iCs/>
          <w:vertAlign w:val="subscript"/>
          <w:lang w:val="es-ES"/>
        </w:rPr>
        <w:t>S</w:t>
      </w:r>
      <w:r w:rsidRPr="005B78E7">
        <w:rPr>
          <w:iCs/>
          <w:lang w:val="es-ES"/>
        </w:rPr>
        <w:t>/</w:t>
      </w:r>
      <w:r w:rsidRPr="005B78E7">
        <w:rPr>
          <w:i/>
          <w:iCs/>
          <w:lang w:val="es-ES"/>
        </w:rPr>
        <w:t>N</w:t>
      </w:r>
      <w:r w:rsidRPr="005B78E7">
        <w:rPr>
          <w:iCs/>
          <w:vertAlign w:val="subscript"/>
          <w:lang w:val="es-ES"/>
        </w:rPr>
        <w:t>0</w:t>
      </w:r>
      <w:r w:rsidR="00902055">
        <w:rPr>
          <w:lang w:val="es-ES"/>
        </w:rPr>
        <w:t> </w:t>
      </w:r>
      <w:r w:rsidRPr="005B78E7">
        <w:rPr>
          <w:lang w:val="es-ES"/>
        </w:rPr>
        <w:t>=</w:t>
      </w:r>
      <w:r w:rsidR="00902055">
        <w:rPr>
          <w:lang w:val="es-ES"/>
        </w:rPr>
        <w:t> </w:t>
      </w:r>
      <w:r w:rsidRPr="005B78E7">
        <w:rPr>
          <w:lang w:val="es-ES"/>
        </w:rPr>
        <w:t>0. También cabe señalar que en la Fig</w:t>
      </w:r>
      <w:r>
        <w:rPr>
          <w:lang w:val="es-ES"/>
        </w:rPr>
        <w:t>. </w:t>
      </w:r>
      <w:r w:rsidRPr="005B78E7">
        <w:rPr>
          <w:lang w:val="es-ES"/>
        </w:rPr>
        <w:t>2 los puntos correspondientes a DVB-S2X (</w:t>
      </w:r>
      <w:r>
        <w:rPr>
          <w:lang w:val="es-ES"/>
        </w:rPr>
        <w:t>c</w:t>
      </w:r>
      <w:r w:rsidRPr="005B78E7">
        <w:rPr>
          <w:lang w:val="es-ES"/>
        </w:rPr>
        <w:t>anal AWGN) en la parte inferior izquierda de la figura muestran que la diferencia entre la eficacia espectra</w:t>
      </w:r>
      <w:r>
        <w:rPr>
          <w:lang w:val="es-ES"/>
        </w:rPr>
        <w:t>l</w:t>
      </w:r>
      <w:r w:rsidRPr="005B78E7">
        <w:rPr>
          <w:lang w:val="es-ES"/>
        </w:rPr>
        <w:t xml:space="preserve"> del canal AWGN y </w:t>
      </w:r>
      <w:r w:rsidRPr="005B78E7">
        <w:rPr>
          <w:lang w:val="es-ES"/>
        </w:rPr>
        <w:lastRenderedPageBreak/>
        <w:t>del</w:t>
      </w:r>
      <w:r w:rsidR="008E05A5">
        <w:rPr>
          <w:lang w:val="es-ES"/>
        </w:rPr>
        <w:t> </w:t>
      </w:r>
      <w:r w:rsidRPr="005B78E7">
        <w:rPr>
          <w:lang w:val="es-ES"/>
        </w:rPr>
        <w:t xml:space="preserve">canal no lineal disminuye al caer </w:t>
      </w:r>
      <w:r w:rsidRPr="005B78E7">
        <w:rPr>
          <w:i/>
          <w:lang w:val="es-ES"/>
        </w:rPr>
        <w:t>E</w:t>
      </w:r>
      <w:r w:rsidRPr="005B78E7">
        <w:rPr>
          <w:i/>
          <w:vertAlign w:val="subscript"/>
          <w:lang w:val="es-ES"/>
        </w:rPr>
        <w:t>S</w:t>
      </w:r>
      <w:r w:rsidRPr="005B78E7">
        <w:rPr>
          <w:lang w:val="es-ES"/>
        </w:rPr>
        <w:t>/</w:t>
      </w:r>
      <w:r w:rsidRPr="005B78E7">
        <w:rPr>
          <w:i/>
          <w:lang w:val="es-ES"/>
        </w:rPr>
        <w:t>N</w:t>
      </w:r>
      <w:r w:rsidRPr="005B78E7">
        <w:rPr>
          <w:vertAlign w:val="subscript"/>
          <w:lang w:val="es-ES"/>
        </w:rPr>
        <w:t>0</w:t>
      </w:r>
      <w:r w:rsidRPr="005B78E7">
        <w:rPr>
          <w:lang w:val="es-ES"/>
        </w:rPr>
        <w:t xml:space="preserve"> por debajo de cero. La ecuación</w:t>
      </w:r>
      <w:r w:rsidR="008E05A5">
        <w:rPr>
          <w:lang w:val="es-ES"/>
        </w:rPr>
        <w:t> </w:t>
      </w:r>
      <w:r w:rsidRPr="005B78E7">
        <w:rPr>
          <w:lang w:val="es-ES"/>
        </w:rPr>
        <w:t>(2) con el término constante modificado en la porción inferior de la curva puede seguir modificándose para reflejar la serie de datos de eficacia espectral mínima:</w:t>
      </w:r>
    </w:p>
    <w:p w:rsidR="00177138" w:rsidRPr="005B78E7" w:rsidRDefault="00177138" w:rsidP="00177138">
      <w:pPr>
        <w:pStyle w:val="Equation"/>
        <w:keepNext/>
        <w:keepLines/>
        <w:rPr>
          <w:lang w:val="es-ES"/>
        </w:rPr>
      </w:pPr>
      <w:r w:rsidRPr="005B78E7">
        <w:rPr>
          <w:iCs/>
          <w:lang w:val="es-ES"/>
        </w:rPr>
        <w:tab/>
      </w:r>
      <w:r w:rsidRPr="005B78E7">
        <w:rPr>
          <w:iCs/>
          <w:lang w:val="es-ES"/>
        </w:rPr>
        <w:tab/>
      </w:r>
      <w:r w:rsidRPr="005B78E7">
        <w:rPr>
          <w:iCs/>
          <w:lang w:val="en-US"/>
        </w:rPr>
        <w:sym w:font="Symbol" w:char="F068"/>
      </w:r>
      <w:r w:rsidRPr="005B78E7">
        <w:rPr>
          <w:lang w:val="es-ES"/>
        </w:rPr>
        <w:t>(</w:t>
      </w:r>
      <w:r w:rsidRPr="005B78E7">
        <w:rPr>
          <w:iCs/>
          <w:lang w:val="en-US"/>
        </w:rPr>
        <w:sym w:font="Symbol" w:char="F067"/>
      </w:r>
      <w:r w:rsidRPr="005B78E7">
        <w:rPr>
          <w:lang w:val="es-ES"/>
        </w:rPr>
        <w:t>) = 0</w:t>
      </w:r>
      <w:r>
        <w:rPr>
          <w:lang w:val="es-ES"/>
        </w:rPr>
        <w:t>,</w:t>
      </w:r>
      <w:r w:rsidRPr="005B78E7">
        <w:rPr>
          <w:lang w:val="es-ES"/>
        </w:rPr>
        <w:t>5933 + 0</w:t>
      </w:r>
      <w:r>
        <w:rPr>
          <w:lang w:val="es-ES"/>
        </w:rPr>
        <w:t>,</w:t>
      </w:r>
      <w:r w:rsidRPr="005B78E7">
        <w:rPr>
          <w:lang w:val="es-ES"/>
        </w:rPr>
        <w:t>1415</w:t>
      </w:r>
      <w:r w:rsidRPr="005B78E7">
        <w:rPr>
          <w:iCs/>
          <w:lang w:val="en-US"/>
        </w:rPr>
        <w:sym w:font="Symbol" w:char="F067"/>
      </w:r>
      <w:r w:rsidRPr="005B78E7">
        <w:rPr>
          <w:lang w:val="es-ES"/>
        </w:rPr>
        <w:t xml:space="preserve"> + 0</w:t>
      </w:r>
      <w:r>
        <w:rPr>
          <w:lang w:val="es-ES"/>
        </w:rPr>
        <w:t>,</w:t>
      </w:r>
      <w:r w:rsidRPr="005B78E7">
        <w:rPr>
          <w:lang w:val="es-ES"/>
        </w:rPr>
        <w:t>0096</w:t>
      </w:r>
      <w:r w:rsidRPr="005B78E7">
        <w:rPr>
          <w:iCs/>
          <w:lang w:val="en-US"/>
        </w:rPr>
        <w:sym w:font="Symbol" w:char="F067"/>
      </w:r>
      <w:r w:rsidRPr="005B78E7">
        <w:rPr>
          <w:vertAlign w:val="superscript"/>
          <w:lang w:val="es-ES"/>
        </w:rPr>
        <w:t>2</w:t>
      </w:r>
      <w:r w:rsidRPr="005B78E7">
        <w:rPr>
          <w:lang w:val="es-ES"/>
        </w:rPr>
        <w:t xml:space="preserve">, para −5 </w:t>
      </w:r>
      <w:r w:rsidRPr="005B78E7">
        <w:rPr>
          <w:rFonts w:hint="eastAsia"/>
          <w:lang w:val="es-ES"/>
        </w:rPr>
        <w:t>≤</w:t>
      </w:r>
      <w:r w:rsidRPr="005B78E7">
        <w:rPr>
          <w:lang w:val="es-ES"/>
        </w:rPr>
        <w:t xml:space="preserve"> </w:t>
      </w:r>
      <w:r w:rsidRPr="005B78E7">
        <w:rPr>
          <w:lang w:val="en-US"/>
        </w:rPr>
        <w:sym w:font="Symbol" w:char="F067"/>
      </w:r>
      <w:r w:rsidR="0024514E">
        <w:rPr>
          <w:lang w:val="es-ES"/>
        </w:rPr>
        <w:t xml:space="preserve"> &lt; 0</w:t>
      </w:r>
    </w:p>
    <w:p w:rsidR="00177138" w:rsidRPr="005B78E7" w:rsidRDefault="00177138" w:rsidP="00177138">
      <w:pPr>
        <w:pStyle w:val="Equation"/>
        <w:keepNext/>
        <w:keepLines/>
        <w:rPr>
          <w:lang w:val="es-ES"/>
        </w:rPr>
      </w:pPr>
      <w:r w:rsidRPr="005B78E7">
        <w:rPr>
          <w:lang w:val="es-ES"/>
        </w:rPr>
        <w:tab/>
      </w:r>
      <w:r w:rsidRPr="005B78E7">
        <w:rPr>
          <w:lang w:val="es-ES"/>
        </w:rPr>
        <w:tab/>
      </w:r>
      <w:r w:rsidRPr="005B78E7">
        <w:rPr>
          <w:lang w:val="es-ES"/>
        </w:rPr>
        <w:tab/>
        <w:t>(3)</w:t>
      </w:r>
    </w:p>
    <w:p w:rsidR="00177138" w:rsidRPr="005B78E7" w:rsidRDefault="00177138" w:rsidP="00177138">
      <w:pPr>
        <w:pStyle w:val="Equation"/>
        <w:rPr>
          <w:lang w:val="es-ES"/>
        </w:rPr>
      </w:pPr>
      <w:r w:rsidRPr="005B78E7">
        <w:rPr>
          <w:iCs/>
          <w:lang w:val="es-ES"/>
        </w:rPr>
        <w:tab/>
      </w:r>
      <w:r w:rsidRPr="005B78E7">
        <w:rPr>
          <w:iCs/>
          <w:lang w:val="es-ES"/>
        </w:rPr>
        <w:tab/>
      </w:r>
      <w:r w:rsidRPr="005B78E7">
        <w:rPr>
          <w:iCs/>
          <w:lang w:val="en-US"/>
        </w:rPr>
        <w:sym w:font="Symbol" w:char="F068"/>
      </w:r>
      <w:r w:rsidRPr="005B78E7">
        <w:rPr>
          <w:lang w:val="es-ES"/>
        </w:rPr>
        <w:t>(</w:t>
      </w:r>
      <w:r w:rsidRPr="005B78E7">
        <w:rPr>
          <w:iCs/>
          <w:lang w:val="en-US"/>
        </w:rPr>
        <w:sym w:font="Symbol" w:char="F067"/>
      </w:r>
      <w:r w:rsidRPr="005B78E7">
        <w:rPr>
          <w:lang w:val="es-ES"/>
        </w:rPr>
        <w:t>) = 0</w:t>
      </w:r>
      <w:r>
        <w:rPr>
          <w:lang w:val="es-ES"/>
        </w:rPr>
        <w:t>,</w:t>
      </w:r>
      <w:r w:rsidRPr="005B78E7">
        <w:rPr>
          <w:lang w:val="es-ES"/>
        </w:rPr>
        <w:t>5933 + 0</w:t>
      </w:r>
      <w:r>
        <w:rPr>
          <w:lang w:val="es-ES"/>
        </w:rPr>
        <w:t>,</w:t>
      </w:r>
      <w:r w:rsidRPr="005B78E7">
        <w:rPr>
          <w:lang w:val="es-ES"/>
        </w:rPr>
        <w:t>1388</w:t>
      </w:r>
      <w:r w:rsidRPr="005B78E7">
        <w:rPr>
          <w:iCs/>
          <w:lang w:val="en-US"/>
        </w:rPr>
        <w:sym w:font="Symbol" w:char="F067"/>
      </w:r>
      <w:r w:rsidRPr="005B78E7">
        <w:rPr>
          <w:lang w:val="es-ES"/>
        </w:rPr>
        <w:t xml:space="preserve"> + 0</w:t>
      </w:r>
      <w:r>
        <w:rPr>
          <w:lang w:val="es-ES"/>
        </w:rPr>
        <w:t>,</w:t>
      </w:r>
      <w:r w:rsidRPr="005B78E7">
        <w:rPr>
          <w:lang w:val="es-ES"/>
        </w:rPr>
        <w:t>003</w:t>
      </w:r>
      <w:r w:rsidRPr="005B78E7">
        <w:rPr>
          <w:iCs/>
          <w:lang w:val="en-US"/>
        </w:rPr>
        <w:sym w:font="Symbol" w:char="F067"/>
      </w:r>
      <w:r w:rsidRPr="005B78E7">
        <w:rPr>
          <w:vertAlign w:val="superscript"/>
          <w:lang w:val="es-ES"/>
        </w:rPr>
        <w:t>2</w:t>
      </w:r>
      <w:r w:rsidRPr="005B78E7">
        <w:rPr>
          <w:lang w:val="es-ES"/>
        </w:rPr>
        <w:t xml:space="preserve">, para </w:t>
      </w:r>
      <w:r w:rsidRPr="005B78E7">
        <w:rPr>
          <w:lang w:val="en-US"/>
        </w:rPr>
        <w:sym w:font="Symbol" w:char="F067"/>
      </w:r>
      <w:r w:rsidRPr="005B78E7">
        <w:rPr>
          <w:lang w:val="es-ES"/>
        </w:rPr>
        <w:t xml:space="preserve"> </w:t>
      </w:r>
      <w:r w:rsidRPr="005B78E7">
        <w:rPr>
          <w:rFonts w:hint="eastAsia"/>
          <w:lang w:val="es-ES"/>
        </w:rPr>
        <w:t>≥</w:t>
      </w:r>
      <w:r w:rsidR="0024514E">
        <w:rPr>
          <w:lang w:val="es-ES"/>
        </w:rPr>
        <w:t xml:space="preserve"> 0</w:t>
      </w:r>
    </w:p>
    <w:p w:rsidR="00177138" w:rsidRPr="000E5FF8" w:rsidRDefault="00177138" w:rsidP="00177138">
      <w:pPr>
        <w:pStyle w:val="Normalaftertitle"/>
        <w:rPr>
          <w:lang w:val="es-ES"/>
        </w:rPr>
      </w:pPr>
      <w:r w:rsidRPr="000E5FF8">
        <w:rPr>
          <w:lang w:val="es-ES"/>
        </w:rPr>
        <w:t>El objetivo de calidad de funcionamiento prevé un aumento de 1</w:t>
      </w:r>
      <w:r w:rsidR="008E05A5">
        <w:rPr>
          <w:lang w:val="es-ES"/>
        </w:rPr>
        <w:t> </w:t>
      </w:r>
      <w:r w:rsidRPr="000E5FF8">
        <w:rPr>
          <w:lang w:val="es-ES"/>
        </w:rPr>
        <w:t>dB en la calidad de funcionamiento DVB-S2X a fin de tener en cuenta las degradaciones de canal adicionales en el entorno de funcionamiento típico.</w:t>
      </w:r>
    </w:p>
    <w:p w:rsidR="00177138" w:rsidRPr="005B78E7" w:rsidRDefault="00177138" w:rsidP="00177138">
      <w:pPr>
        <w:rPr>
          <w:lang w:val="es-ES"/>
        </w:rPr>
      </w:pPr>
      <w:r w:rsidRPr="005B78E7">
        <w:rPr>
          <w:lang w:val="es-ES"/>
        </w:rPr>
        <w:t>En este ejemplo, de la Fig</w:t>
      </w:r>
      <w:r>
        <w:rPr>
          <w:lang w:val="es-ES"/>
        </w:rPr>
        <w:t>. </w:t>
      </w:r>
      <w:r w:rsidRPr="005B78E7">
        <w:rPr>
          <w:lang w:val="es-ES"/>
        </w:rPr>
        <w:t>2 se desprende que, en un enlace ACM que utiliza DVB-S2X ACM por un canal de satélite no li</w:t>
      </w:r>
      <w:r>
        <w:rPr>
          <w:lang w:val="es-ES"/>
        </w:rPr>
        <w:t>n</w:t>
      </w:r>
      <w:r w:rsidRPr="005B78E7">
        <w:rPr>
          <w:lang w:val="es-ES"/>
        </w:rPr>
        <w:t>eal, una reducción de 1</w:t>
      </w:r>
      <w:r>
        <w:rPr>
          <w:lang w:val="es-ES"/>
        </w:rPr>
        <w:t> </w:t>
      </w:r>
      <w:r w:rsidRPr="005B78E7">
        <w:rPr>
          <w:lang w:val="es-ES"/>
        </w:rPr>
        <w:t xml:space="preserve">dB del valor </w:t>
      </w:r>
      <w:r w:rsidRPr="005B78E7">
        <w:rPr>
          <w:i/>
          <w:iCs/>
          <w:lang w:val="es-ES"/>
        </w:rPr>
        <w:t>C</w:t>
      </w:r>
      <w:r w:rsidRPr="005B78E7">
        <w:rPr>
          <w:iCs/>
          <w:lang w:val="es-ES"/>
        </w:rPr>
        <w:t>/</w:t>
      </w:r>
      <w:r w:rsidRPr="005B78E7">
        <w:rPr>
          <w:i/>
          <w:iCs/>
          <w:lang w:val="es-ES"/>
        </w:rPr>
        <w:t>N</w:t>
      </w:r>
      <w:r w:rsidRPr="005B78E7">
        <w:rPr>
          <w:lang w:val="es-ES"/>
        </w:rPr>
        <w:t xml:space="preserve"> redunda en una reducción aproximada del 10% de la eficacia espectral alcanzable. Es posible que no se llegue a la misma conclusión para los enlaces que utilicen MODCOD distintas de DVB-S2X. La reducción real de la eficacia depende de la </w:t>
      </w:r>
      <w:r w:rsidRPr="005B78E7">
        <w:rPr>
          <w:i/>
          <w:lang w:val="es-ES"/>
        </w:rPr>
        <w:t>C</w:t>
      </w:r>
      <w:r w:rsidRPr="005B78E7">
        <w:rPr>
          <w:lang w:val="es-ES"/>
        </w:rPr>
        <w:t>/</w:t>
      </w:r>
      <w:r w:rsidRPr="005B78E7">
        <w:rPr>
          <w:i/>
          <w:lang w:val="es-ES"/>
        </w:rPr>
        <w:t>N</w:t>
      </w:r>
      <w:r w:rsidRPr="005B78E7">
        <w:rPr>
          <w:lang w:val="es-ES"/>
        </w:rPr>
        <w:t xml:space="preserve"> nominal antes de la degradación.</w:t>
      </w:r>
    </w:p>
    <w:p w:rsidR="00177138" w:rsidRPr="005B78E7" w:rsidRDefault="00177138" w:rsidP="00177138">
      <w:pPr>
        <w:rPr>
          <w:iCs/>
          <w:lang w:val="es-ES"/>
        </w:rPr>
      </w:pPr>
      <w:r w:rsidRPr="005B78E7">
        <w:rPr>
          <w:lang w:val="es-ES"/>
        </w:rPr>
        <w:t xml:space="preserve">En el sistema ejemplo utilizado aquí se pudo acomodar una reducción de la </w:t>
      </w:r>
      <w:r w:rsidRPr="005B78E7">
        <w:rPr>
          <w:i/>
          <w:iCs/>
          <w:lang w:val="es-ES"/>
        </w:rPr>
        <w:t xml:space="preserve">C/N </w:t>
      </w:r>
      <w:r w:rsidRPr="005B78E7">
        <w:rPr>
          <w:lang w:val="es-ES"/>
        </w:rPr>
        <w:t>de 1</w:t>
      </w:r>
      <w:r>
        <w:rPr>
          <w:lang w:val="es-ES"/>
        </w:rPr>
        <w:t> </w:t>
      </w:r>
      <w:r w:rsidRPr="005B78E7">
        <w:rPr>
          <w:lang w:val="es-ES"/>
        </w:rPr>
        <w:t xml:space="preserve">dB durante un intervalo de 1 segundo al cambiar de estado ACM. Esta degradación de la </w:t>
      </w:r>
      <w:r w:rsidRPr="005B78E7">
        <w:rPr>
          <w:i/>
          <w:iCs/>
          <w:lang w:val="es-ES"/>
        </w:rPr>
        <w:t>C</w:t>
      </w:r>
      <w:r w:rsidRPr="005B78E7">
        <w:rPr>
          <w:iCs/>
          <w:lang w:val="es-ES"/>
        </w:rPr>
        <w:t>/</w:t>
      </w:r>
      <w:r w:rsidRPr="005B78E7">
        <w:rPr>
          <w:i/>
          <w:iCs/>
          <w:lang w:val="es-ES"/>
        </w:rPr>
        <w:t>N</w:t>
      </w:r>
      <w:r w:rsidRPr="005B78E7">
        <w:rPr>
          <w:lang w:val="es-ES"/>
        </w:rPr>
        <w:t xml:space="preserve"> puede deberse a cualquier fuente de ruido externo o desvanecimiento por lluvia</w:t>
      </w:r>
      <w:r w:rsidRPr="005B78E7">
        <w:rPr>
          <w:iCs/>
          <w:lang w:val="es-ES"/>
        </w:rPr>
        <w:t>.</w:t>
      </w:r>
    </w:p>
    <w:p w:rsidR="00177138" w:rsidRPr="005B78E7" w:rsidRDefault="00177138" w:rsidP="00177138">
      <w:pPr>
        <w:rPr>
          <w:iCs/>
          <w:lang w:val="es-ES"/>
        </w:rPr>
      </w:pPr>
      <w:r w:rsidRPr="005B78E7">
        <w:rPr>
          <w:iCs/>
          <w:lang w:val="es-ES"/>
        </w:rPr>
        <w:t>La Fig</w:t>
      </w:r>
      <w:r>
        <w:rPr>
          <w:iCs/>
          <w:lang w:val="es-ES"/>
        </w:rPr>
        <w:t>. </w:t>
      </w:r>
      <w:r w:rsidRPr="005B78E7">
        <w:rPr>
          <w:iCs/>
          <w:lang w:val="es-ES"/>
        </w:rPr>
        <w:t>2 y las conclusiones que de ella se derivan son ejemplos de sistemas que utilizan una ACM DVB-S2X, pero la metodología puede aplicarse a otros enlaces de satélite que utilicen otros tipos de</w:t>
      </w:r>
      <w:r>
        <w:rPr>
          <w:iCs/>
          <w:lang w:val="es-ES"/>
        </w:rPr>
        <w:t> </w:t>
      </w:r>
      <w:r w:rsidRPr="005B78E7">
        <w:rPr>
          <w:iCs/>
          <w:lang w:val="es-ES"/>
        </w:rPr>
        <w:t>ACM.</w:t>
      </w:r>
    </w:p>
    <w:p w:rsidR="00177138" w:rsidRPr="005B78E7" w:rsidRDefault="00177138" w:rsidP="00177138">
      <w:pPr>
        <w:pStyle w:val="Heading2"/>
        <w:rPr>
          <w:lang w:val="es-ES"/>
        </w:rPr>
      </w:pPr>
      <w:r w:rsidRPr="005B78E7">
        <w:rPr>
          <w:lang w:val="es-ES"/>
        </w:rPr>
        <w:t>2.4</w:t>
      </w:r>
      <w:r w:rsidRPr="005B78E7">
        <w:rPr>
          <w:lang w:val="es-ES"/>
        </w:rPr>
        <w:tab/>
        <w:t>Caudal degradado</w:t>
      </w:r>
    </w:p>
    <w:p w:rsidR="00177138" w:rsidRPr="005B78E7" w:rsidRDefault="00177138" w:rsidP="00177138">
      <w:pPr>
        <w:rPr>
          <w:iCs/>
          <w:lang w:val="es-ES"/>
        </w:rPr>
      </w:pPr>
      <w:r w:rsidRPr="005B78E7">
        <w:rPr>
          <w:lang w:val="es-ES"/>
        </w:rPr>
        <w:t>La utilización de la ACM en sistemas de satélites permite mantener una conexión de satélite a pesar de la degradación de la propagación a cambio de ofrecer un caudal reducido. La degradación del caudal en la salida del TDFR del satélite que utiliza ACM puede relacionarse con la eficacia espectral, suponiendo razonablemente que el caudal varía directamente en función de la eficacia espectral. Tomando tal supuesto, es posible calcular el caudal como una función de la</w:t>
      </w:r>
      <w:r w:rsidRPr="005B78E7">
        <w:rPr>
          <w:iCs/>
          <w:lang w:val="es-ES"/>
        </w:rPr>
        <w:t xml:space="preserve"> </w:t>
      </w:r>
      <w:r w:rsidRPr="005B78E7">
        <w:rPr>
          <w:i/>
          <w:iCs/>
          <w:lang w:val="es-ES"/>
        </w:rPr>
        <w:t>C</w:t>
      </w:r>
      <w:r w:rsidRPr="005B78E7">
        <w:rPr>
          <w:iCs/>
          <w:lang w:val="es-ES"/>
        </w:rPr>
        <w:t>/</w:t>
      </w:r>
      <w:r w:rsidRPr="005B78E7">
        <w:rPr>
          <w:i/>
          <w:iCs/>
          <w:lang w:val="es-ES"/>
        </w:rPr>
        <w:t>N,</w:t>
      </w:r>
      <w:r w:rsidRPr="005B78E7">
        <w:rPr>
          <w:iCs/>
          <w:lang w:val="es-ES"/>
        </w:rPr>
        <w:t xml:space="preserve"> que varía en función de las condiciones de propagación y de interferencia.</w:t>
      </w:r>
    </w:p>
    <w:p w:rsidR="00177138" w:rsidRPr="005B78E7" w:rsidRDefault="00177138" w:rsidP="00177138">
      <w:pPr>
        <w:rPr>
          <w:iCs/>
          <w:lang w:val="es-ES"/>
        </w:rPr>
      </w:pPr>
      <w:r w:rsidRPr="005B78E7">
        <w:rPr>
          <w:iCs/>
          <w:lang w:val="es-ES"/>
        </w:rPr>
        <w:t>A continuación se presenta un ejemplo de utilización de DVB-S2X en un enlace de satélite del sur de Florida, EE.UU., afectado sólo por desvanecimiento. Con el método de la Recomendación UIT</w:t>
      </w:r>
      <w:r w:rsidR="00902055">
        <w:rPr>
          <w:iCs/>
          <w:lang w:val="es-ES"/>
        </w:rPr>
        <w:noBreakHyphen/>
      </w:r>
      <w:r w:rsidRPr="005B78E7">
        <w:rPr>
          <w:iCs/>
          <w:lang w:val="es-ES"/>
        </w:rPr>
        <w:t>R</w:t>
      </w:r>
      <w:r w:rsidR="00902055">
        <w:rPr>
          <w:iCs/>
          <w:lang w:val="es-ES"/>
        </w:rPr>
        <w:t> </w:t>
      </w:r>
      <w:r w:rsidRPr="005B78E7">
        <w:rPr>
          <w:iCs/>
          <w:lang w:val="es-ES"/>
        </w:rPr>
        <w:t xml:space="preserve">P.618 pueden calcularse los valores de </w:t>
      </w:r>
      <w:r w:rsidRPr="005B78E7">
        <w:rPr>
          <w:i/>
          <w:iCs/>
          <w:lang w:val="es-ES"/>
        </w:rPr>
        <w:t>C</w:t>
      </w:r>
      <w:r w:rsidRPr="005B78E7">
        <w:rPr>
          <w:iCs/>
          <w:lang w:val="es-ES"/>
        </w:rPr>
        <w:t>/</w:t>
      </w:r>
      <w:r w:rsidRPr="005B78E7">
        <w:rPr>
          <w:i/>
          <w:iCs/>
          <w:lang w:val="es-ES"/>
        </w:rPr>
        <w:t>N</w:t>
      </w:r>
      <w:r w:rsidRPr="005B78E7">
        <w:rPr>
          <w:iCs/>
          <w:lang w:val="es-ES"/>
        </w:rPr>
        <w:t xml:space="preserve"> rebasada durante un determinado tiempo a lo largo de un año medio. Por ejemplo, en la Fig</w:t>
      </w:r>
      <w:r>
        <w:rPr>
          <w:iCs/>
          <w:lang w:val="es-ES"/>
        </w:rPr>
        <w:t>. </w:t>
      </w:r>
      <w:r w:rsidRPr="005B78E7">
        <w:rPr>
          <w:iCs/>
          <w:lang w:val="es-ES"/>
        </w:rPr>
        <w:t xml:space="preserve">3 se ilustran esos valores para un enlace de satélite que funciona </w:t>
      </w:r>
      <w:r>
        <w:rPr>
          <w:iCs/>
          <w:lang w:val="es-ES"/>
        </w:rPr>
        <w:t>e</w:t>
      </w:r>
      <w:r w:rsidRPr="005B78E7">
        <w:rPr>
          <w:iCs/>
          <w:lang w:val="es-ES"/>
        </w:rPr>
        <w:t>n 38,5</w:t>
      </w:r>
      <w:r>
        <w:rPr>
          <w:iCs/>
          <w:lang w:val="es-ES"/>
        </w:rPr>
        <w:t> </w:t>
      </w:r>
      <w:r w:rsidRPr="005B78E7">
        <w:rPr>
          <w:iCs/>
          <w:lang w:val="es-ES"/>
        </w:rPr>
        <w:t>GHz en una zona climática similar al sur de Florida. Con la frecuencia y el emplazamiento supuestos utilizados para calcular la curva de la Fig</w:t>
      </w:r>
      <w:r>
        <w:rPr>
          <w:iCs/>
          <w:lang w:val="es-ES"/>
        </w:rPr>
        <w:t>. </w:t>
      </w:r>
      <w:r w:rsidRPr="005B78E7">
        <w:rPr>
          <w:iCs/>
          <w:lang w:val="es-ES"/>
        </w:rPr>
        <w:t>4, y suponiendo un margen de 1 dB para acomodar toda posible interferencia, la atenuación causará una indisponibilidad del sistema del 0,4%, lo que equivale a una disponibilidad del 99,6%. La gama dinámica del enlace mencionado es de 30 dB.</w:t>
      </w:r>
    </w:p>
    <w:p w:rsidR="00177138" w:rsidRPr="005B78E7" w:rsidRDefault="00177138" w:rsidP="00177138">
      <w:pPr>
        <w:rPr>
          <w:iCs/>
          <w:lang w:val="es-ES"/>
        </w:rPr>
      </w:pPr>
      <w:r w:rsidRPr="005B78E7">
        <w:rPr>
          <w:iCs/>
          <w:lang w:val="es-ES"/>
        </w:rPr>
        <w:t>El porcentaje de tiempo durante el cual el enlace está expuesto únicamente a desvanecimiento de la propagación y gotas por debajo de la eficacia espectral más baja depende de los factores siguientes:</w:t>
      </w:r>
    </w:p>
    <w:p w:rsidR="00177138" w:rsidRPr="005B78E7" w:rsidRDefault="00177138" w:rsidP="00177138">
      <w:pPr>
        <w:pStyle w:val="enumlev1"/>
        <w:rPr>
          <w:lang w:val="es-ES"/>
        </w:rPr>
      </w:pPr>
      <w:r w:rsidRPr="005B78E7">
        <w:rPr>
          <w:lang w:val="es-ES"/>
        </w:rPr>
        <w:t>1</w:t>
      </w:r>
      <w:r w:rsidR="00902055">
        <w:rPr>
          <w:lang w:val="es-ES"/>
        </w:rPr>
        <w:t>)</w:t>
      </w:r>
      <w:r w:rsidRPr="005B78E7">
        <w:rPr>
          <w:lang w:val="es-ES"/>
        </w:rPr>
        <w:tab/>
        <w:t>situación climática de la estación terrena receptora, y</w:t>
      </w:r>
    </w:p>
    <w:p w:rsidR="00177138" w:rsidRPr="005B78E7" w:rsidRDefault="00177138" w:rsidP="00177138">
      <w:pPr>
        <w:pStyle w:val="enumlev1"/>
        <w:rPr>
          <w:lang w:val="es-ES"/>
        </w:rPr>
      </w:pPr>
      <w:r w:rsidRPr="005B78E7">
        <w:rPr>
          <w:lang w:val="es-ES"/>
        </w:rPr>
        <w:t>2</w:t>
      </w:r>
      <w:r w:rsidR="00902055">
        <w:rPr>
          <w:lang w:val="es-ES"/>
        </w:rPr>
        <w:t>)</w:t>
      </w:r>
      <w:r w:rsidRPr="005B78E7">
        <w:rPr>
          <w:lang w:val="es-ES"/>
        </w:rPr>
        <w:tab/>
        <w:t>la forma de onda (por ejemplo, DVB-S2X, DVB-S2, etc.) y, concretamente, la codificación más elevada (MODCOD más robusta) disponible implementada por esa forma de onda.</w:t>
      </w:r>
    </w:p>
    <w:p w:rsidR="00177138" w:rsidRPr="005B78E7" w:rsidRDefault="00177138" w:rsidP="00177138">
      <w:pPr>
        <w:rPr>
          <w:iCs/>
          <w:lang w:val="es-ES"/>
        </w:rPr>
      </w:pPr>
      <w:r w:rsidRPr="005B78E7">
        <w:rPr>
          <w:iCs/>
          <w:lang w:val="es-ES"/>
        </w:rPr>
        <w:t>Como consideración adicional cabe señalar que la gama dinámica es una función del diseño del sistema y está limitada por los efectos de la propagación, por lo que es posible que no acomode toda la gama dinámica teórica de la forma de onda utilizada.</w:t>
      </w:r>
    </w:p>
    <w:p w:rsidR="00177138" w:rsidRPr="005B78E7" w:rsidRDefault="00177138" w:rsidP="00902055">
      <w:pPr>
        <w:rPr>
          <w:lang w:val="es-ES"/>
        </w:rPr>
      </w:pPr>
      <w:r w:rsidRPr="005B78E7">
        <w:rPr>
          <w:lang w:val="es-ES"/>
        </w:rPr>
        <w:lastRenderedPageBreak/>
        <w:t>Por motivos operativos puede llegarse a un punto en que la firma de onda siga siendo funcional, pero el enlace se considere indisponible. En tal caso, la gama dinámica puede ser inferior a la capacidad de la forma de onda. Esta carencia de la gama dinámica puede compensarse aumentando el margen del enlace.</w:t>
      </w:r>
    </w:p>
    <w:p w:rsidR="00177138" w:rsidRPr="005B78E7" w:rsidRDefault="00177138" w:rsidP="00177138">
      <w:pPr>
        <w:rPr>
          <w:iCs/>
          <w:lang w:val="es-ES"/>
        </w:rPr>
      </w:pPr>
      <w:r w:rsidRPr="005B78E7">
        <w:rPr>
          <w:iCs/>
          <w:lang w:val="es-ES"/>
        </w:rPr>
        <w:t>Si bien un enlace de satélite que utiliza ACM puede mantener una conexión con un caudal reducido, la pérdida del caudal alcanzable, expresado como una fracción del caudal máximo para un porcentaje de tiempo concreto, puede calcularse de la siguiente manera:</w:t>
      </w:r>
    </w:p>
    <w:p w:rsidR="00177138" w:rsidRPr="005B78E7" w:rsidRDefault="00177138" w:rsidP="00177138">
      <w:pPr>
        <w:pStyle w:val="Equation"/>
        <w:rPr>
          <w:iCs/>
          <w:lang w:val="es-ES"/>
        </w:rPr>
      </w:pPr>
      <w:r w:rsidRPr="005B78E7">
        <w:rPr>
          <w:lang w:val="es-ES"/>
        </w:rPr>
        <w:tab/>
      </w:r>
      <w:r w:rsidRPr="005B78E7">
        <w:rPr>
          <w:lang w:val="es-ES"/>
        </w:rPr>
        <w:tab/>
      </w:r>
      <m:oMath>
        <m:r>
          <m:rPr>
            <m:sty m:val="p"/>
          </m:rPr>
          <w:rPr>
            <w:rFonts w:ascii="Cambria Math" w:hAnsi="Cambria Math"/>
          </w:rPr>
          <w:sym w:font="Symbol" w:char="F06A"/>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lang w:val="es-ES"/>
                  </w:rPr>
                  <m:t>%</m:t>
                </m:r>
              </m:sub>
            </m:sSub>
          </m:e>
        </m:d>
        <m:r>
          <m:rPr>
            <m:sty m:val="p"/>
          </m:rPr>
          <w:rPr>
            <w:rFonts w:ascii="Cambria Math" w:hAnsi="Cambria Math"/>
            <w:lang w:val="es-ES"/>
          </w:rPr>
          <m:t>=1-</m:t>
        </m:r>
        <m:f>
          <m:fPr>
            <m:ctrlPr>
              <w:rPr>
                <w:rFonts w:ascii="Cambria Math" w:hAnsi="Cambria Math"/>
                <w:iCs/>
              </w:rPr>
            </m:ctrlPr>
          </m:fPr>
          <m:num>
            <m:r>
              <m:rPr>
                <m:sty m:val="p"/>
              </m:rPr>
              <w:rPr>
                <w:rFonts w:ascii="Cambria Math" w:hAnsi="Cambria Math"/>
              </w:rPr>
              <m:t>η</m:t>
            </m:r>
            <m:d>
              <m:dPr>
                <m:ctrlPr>
                  <w:rPr>
                    <w:rFonts w:ascii="Cambria Math" w:hAnsi="Cambria Math"/>
                    <w:iCs/>
                  </w:rPr>
                </m:ctrlPr>
              </m:dPr>
              <m:e>
                <m:r>
                  <m:rPr>
                    <m:sty m:val="p"/>
                  </m:rPr>
                  <w:rPr>
                    <w:rFonts w:ascii="Cambria Math" w:hAnsi="Cambria Math"/>
                  </w:rPr>
                  <m:t>γ</m:t>
                </m:r>
                <m:d>
                  <m:dPr>
                    <m:ctrlPr>
                      <w:rPr>
                        <w:rFonts w:ascii="Cambria Math" w:hAnsi="Cambria Math"/>
                        <w:iCs/>
                      </w:rPr>
                    </m:ctrlPr>
                  </m:dPr>
                  <m:e>
                    <m:r>
                      <w:rPr>
                        <w:rFonts w:ascii="Cambria Math" w:hAnsi="Cambria Math"/>
                      </w:rPr>
                      <m:t>T</m:t>
                    </m:r>
                    <m:r>
                      <m:rPr>
                        <m:sty m:val="p"/>
                      </m:rPr>
                      <w:rPr>
                        <w:rFonts w:ascii="Cambria Math" w:hAnsi="Cambria Math"/>
                        <w:lang w:val="es-ES"/>
                      </w:rPr>
                      <m:t>%</m:t>
                    </m:r>
                  </m:e>
                </m:d>
              </m:e>
            </m:d>
          </m:num>
          <m:den>
            <m:sSub>
              <m:sSubPr>
                <m:ctrlPr>
                  <w:rPr>
                    <w:rFonts w:ascii="Cambria Math" w:hAnsi="Cambria Math"/>
                    <w:iCs/>
                  </w:rPr>
                </m:ctrlPr>
              </m:sSubPr>
              <m:e>
                <m:r>
                  <m:rPr>
                    <m:sty m:val="p"/>
                  </m:rPr>
                  <w:rPr>
                    <w:rFonts w:ascii="Cambria Math" w:hAnsi="Cambria Math"/>
                  </w:rPr>
                  <m:t>η</m:t>
                </m:r>
              </m:e>
              <m:sub>
                <m:r>
                  <m:rPr>
                    <m:sty m:val="p"/>
                  </m:rPr>
                  <w:rPr>
                    <w:rFonts w:ascii="Cambria Math" w:hAnsi="Cambria Math"/>
                  </w:rPr>
                  <m:t>máx</m:t>
                </m:r>
              </m:sub>
            </m:sSub>
          </m:den>
        </m:f>
      </m:oMath>
      <w:r w:rsidRPr="005B78E7">
        <w:rPr>
          <w:iCs/>
          <w:lang w:val="es-ES"/>
        </w:rPr>
        <w:tab/>
        <w:t>(4)</w:t>
      </w:r>
    </w:p>
    <w:p w:rsidR="00177138" w:rsidRPr="005B78E7" w:rsidRDefault="00177138" w:rsidP="00177138">
      <w:pPr>
        <w:rPr>
          <w:iCs/>
          <w:lang w:val="es-ES"/>
        </w:rPr>
      </w:pPr>
      <w:r w:rsidRPr="005B78E7">
        <w:rPr>
          <w:iCs/>
          <w:lang w:val="es-ES"/>
        </w:rPr>
        <w:t>donde</w:t>
      </w:r>
      <w:r w:rsidR="002E5914">
        <w:rPr>
          <w:iCs/>
          <w:lang w:val="es-ES"/>
        </w:rPr>
        <w:t xml:space="preserve"> η</w:t>
      </w:r>
      <w:r w:rsidR="002E5914" w:rsidRPr="002E5914">
        <w:rPr>
          <w:iCs/>
          <w:vertAlign w:val="subscript"/>
          <w:lang w:val="es-ES"/>
        </w:rPr>
        <w:t>máx</w:t>
      </w:r>
      <w:r w:rsidRPr="005B78E7">
        <w:rPr>
          <w:iCs/>
          <w:lang w:val="es-ES"/>
        </w:rPr>
        <w:t xml:space="preserve"> denota la eficacia espectral máxima alcanzable,</w:t>
      </w:r>
      <w:r w:rsidR="002B6FE2">
        <w:rPr>
          <w:iCs/>
          <w:lang w:val="es-ES"/>
        </w:rPr>
        <w:t xml:space="preserve"> </w:t>
      </w:r>
      <w:r w:rsidR="002B6FE2" w:rsidRPr="00902055">
        <w:rPr>
          <w:i/>
          <w:lang w:val="en-US"/>
        </w:rPr>
        <w:t>T</w:t>
      </w:r>
      <w:r w:rsidR="002B6FE2" w:rsidRPr="00902055">
        <w:rPr>
          <w:vertAlign w:val="subscript"/>
          <w:lang w:val="en-US"/>
        </w:rPr>
        <w:t>%</w:t>
      </w:r>
      <w:r w:rsidRPr="005B78E7">
        <w:rPr>
          <w:iCs/>
          <w:lang w:val="es-ES"/>
        </w:rPr>
        <w:t xml:space="preserve"> representa el porcentaje de tiempo, </w:t>
      </w:r>
      <w:r w:rsidR="00902055">
        <w:rPr>
          <w:iCs/>
          <w:lang w:val="es-ES"/>
        </w:rPr>
        <w:sym w:font="Symbol" w:char="F067"/>
      </w:r>
      <w:r w:rsidR="00902055">
        <w:rPr>
          <w:iCs/>
          <w:lang w:val="es-ES"/>
        </w:rPr>
        <w:t>(</w:t>
      </w:r>
      <w:r w:rsidR="00902055" w:rsidRPr="002B6FE2">
        <w:rPr>
          <w:i/>
          <w:iCs/>
          <w:lang w:val="es-ES"/>
        </w:rPr>
        <w:t>T</w:t>
      </w:r>
      <w:r w:rsidR="00902055" w:rsidRPr="005B78E7">
        <w:rPr>
          <w:iCs/>
          <w:lang w:val="es-ES"/>
        </w:rPr>
        <w:t>%</w:t>
      </w:r>
      <w:r w:rsidR="00902055">
        <w:rPr>
          <w:iCs/>
          <w:lang w:val="es-ES"/>
        </w:rPr>
        <w:t>)</w:t>
      </w:r>
      <w:r w:rsidRPr="005B78E7">
        <w:rPr>
          <w:iCs/>
          <w:lang w:val="es-ES"/>
        </w:rPr>
        <w:t xml:space="preserve"> es la </w:t>
      </w:r>
      <w:r w:rsidRPr="005B78E7">
        <w:rPr>
          <w:i/>
          <w:iCs/>
          <w:lang w:val="es-ES"/>
        </w:rPr>
        <w:t>C</w:t>
      </w:r>
      <w:r w:rsidRPr="005B78E7">
        <w:rPr>
          <w:iCs/>
          <w:lang w:val="es-ES"/>
        </w:rPr>
        <w:t>/</w:t>
      </w:r>
      <w:r w:rsidRPr="005B78E7">
        <w:rPr>
          <w:i/>
          <w:iCs/>
          <w:lang w:val="es-ES"/>
        </w:rPr>
        <w:t>N</w:t>
      </w:r>
      <w:r w:rsidRPr="005B78E7">
        <w:rPr>
          <w:iCs/>
          <w:lang w:val="es-ES"/>
        </w:rPr>
        <w:t xml:space="preserve"> alcanzable durante un tiempo </w:t>
      </w:r>
      <w:r w:rsidRPr="005B78E7">
        <w:rPr>
          <w:iCs/>
        </w:rPr>
        <w:sym w:font="Symbol" w:char="F0B3"/>
      </w:r>
      <w:r w:rsidRPr="002B6FE2">
        <w:rPr>
          <w:i/>
          <w:iCs/>
          <w:lang w:val="es-ES"/>
        </w:rPr>
        <w:t>T</w:t>
      </w:r>
      <w:r w:rsidRPr="005B78E7">
        <w:rPr>
          <w:iCs/>
          <w:lang w:val="es-ES"/>
        </w:rPr>
        <w:t xml:space="preserve">% y </w:t>
      </w:r>
      <w:r w:rsidR="00902055">
        <w:rPr>
          <w:lang w:val="en-US"/>
        </w:rPr>
        <w:sym w:font="Symbol" w:char="F06A"/>
      </w:r>
      <w:r w:rsidR="00902055">
        <w:rPr>
          <w:lang w:val="en-US"/>
        </w:rPr>
        <w:t>(</w:t>
      </w:r>
      <w:r w:rsidR="00902055" w:rsidRPr="00902055">
        <w:rPr>
          <w:i/>
          <w:lang w:val="en-US"/>
        </w:rPr>
        <w:t>T</w:t>
      </w:r>
      <w:r w:rsidR="00902055" w:rsidRPr="00902055">
        <w:rPr>
          <w:vertAlign w:val="subscript"/>
          <w:lang w:val="en-US"/>
        </w:rPr>
        <w:t>%</w:t>
      </w:r>
      <w:r w:rsidR="00902055">
        <w:rPr>
          <w:lang w:val="en-US"/>
        </w:rPr>
        <w:t>)</w:t>
      </w:r>
      <w:r w:rsidRPr="005B78E7">
        <w:rPr>
          <w:iCs/>
          <w:lang w:val="es-ES"/>
        </w:rPr>
        <w:t xml:space="preserve"> es la degradación del caudal alcanzable.</w:t>
      </w:r>
    </w:p>
    <w:p w:rsidR="00177138" w:rsidRPr="005B78E7" w:rsidRDefault="00177138" w:rsidP="00177138">
      <w:pPr>
        <w:rPr>
          <w:iCs/>
          <w:lang w:val="es-ES"/>
        </w:rPr>
      </w:pPr>
      <w:r w:rsidRPr="005B78E7">
        <w:rPr>
          <w:iCs/>
          <w:lang w:val="es-ES"/>
        </w:rPr>
        <w:t>A partir de ahí puede calcularse la media de la pérdida de caudal (</w:t>
      </w:r>
      <w:r w:rsidRPr="005B78E7">
        <w:rPr>
          <w:iCs/>
          <w:lang w:val="en-US"/>
        </w:rPr>
        <w:sym w:font="Symbol" w:char="F06A"/>
      </w:r>
      <w:r w:rsidRPr="005B78E7">
        <w:rPr>
          <w:i/>
          <w:vertAlign w:val="subscript"/>
          <w:lang w:val="es-ES"/>
        </w:rPr>
        <w:t>total</w:t>
      </w:r>
      <w:r w:rsidRPr="005B78E7">
        <w:rPr>
          <w:iCs/>
          <w:lang w:val="es-ES"/>
        </w:rPr>
        <w:t>) integrando numéricamente la eficacia espectral durante el periodo de tiempo en que la conexión está dispon</w:t>
      </w:r>
      <w:r>
        <w:rPr>
          <w:iCs/>
          <w:lang w:val="es-ES"/>
        </w:rPr>
        <w:t>i</w:t>
      </w:r>
      <w:r w:rsidRPr="005B78E7">
        <w:rPr>
          <w:iCs/>
          <w:lang w:val="es-ES"/>
        </w:rPr>
        <w:t>ble:</w:t>
      </w:r>
    </w:p>
    <w:p w:rsidR="00177138" w:rsidRPr="000D24BA" w:rsidRDefault="00177138" w:rsidP="00177138">
      <w:pPr>
        <w:pStyle w:val="Equation"/>
        <w:rPr>
          <w:lang w:val="es-ES" w:eastAsia="ko-KR"/>
        </w:rPr>
      </w:pPr>
      <w:r w:rsidRPr="008E0ACE">
        <w:rPr>
          <w:lang w:eastAsia="ko-KR"/>
        </w:rPr>
        <w:tab/>
      </w:r>
      <w:r w:rsidRPr="008E0ACE">
        <w:rPr>
          <w:lang w:eastAsia="ko-KR"/>
        </w:rPr>
        <w:tab/>
      </w:r>
      <w:r w:rsidR="00902055" w:rsidRPr="008E0ACE">
        <w:rPr>
          <w:position w:val="-32"/>
          <w:lang w:eastAsia="ko-KR"/>
        </w:rPr>
        <w:object w:dxaOrig="4340" w:dyaOrig="760">
          <v:shape id="_x0000_i1027" type="#_x0000_t75" style="width:216.45pt;height:38.3pt" o:ole="">
            <v:imagedata r:id="rId17" o:title=""/>
          </v:shape>
          <o:OLEObject Type="Embed" ProgID="Equation.DSMT4" ShapeID="_x0000_i1027" DrawAspect="Content" ObjectID="_1641217358" r:id="rId18"/>
        </w:object>
      </w:r>
      <w:r w:rsidRPr="000D24BA">
        <w:rPr>
          <w:lang w:val="es-ES" w:eastAsia="ko-KR"/>
        </w:rPr>
        <w:tab/>
        <w:t>(5)</w:t>
      </w:r>
    </w:p>
    <w:p w:rsidR="00177138" w:rsidRPr="005B78E7" w:rsidRDefault="00177138" w:rsidP="00177138">
      <w:pPr>
        <w:pStyle w:val="Normalaftertitle"/>
        <w:rPr>
          <w:lang w:val="es-ES"/>
        </w:rPr>
      </w:pPr>
      <w:r w:rsidRPr="005B78E7">
        <w:rPr>
          <w:lang w:val="es-ES"/>
        </w:rPr>
        <w:t xml:space="preserve">La eficacia espectral, </w:t>
      </w:r>
      <w:r w:rsidRPr="005B78E7">
        <w:rPr>
          <w:lang w:val="en-US"/>
        </w:rPr>
        <w:sym w:font="Symbol" w:char="F068"/>
      </w:r>
      <w:r w:rsidRPr="005B78E7">
        <w:rPr>
          <w:lang w:val="es-ES"/>
        </w:rPr>
        <w:t xml:space="preserve">, correspondiente a un porcentaje de tiempo concreto puede hallarse insertando la </w:t>
      </w:r>
      <w:r w:rsidRPr="005B78E7">
        <w:rPr>
          <w:i/>
          <w:lang w:val="es-ES"/>
        </w:rPr>
        <w:t>C</w:t>
      </w:r>
      <w:r w:rsidRPr="005B78E7">
        <w:rPr>
          <w:lang w:val="es-ES"/>
        </w:rPr>
        <w:t>/</w:t>
      </w:r>
      <w:r w:rsidRPr="005B78E7">
        <w:rPr>
          <w:i/>
          <w:lang w:val="es-ES"/>
        </w:rPr>
        <w:t xml:space="preserve">N, </w:t>
      </w:r>
      <w:r w:rsidRPr="005B78E7">
        <w:rPr>
          <w:lang w:val="es-ES"/>
        </w:rPr>
        <w:t xml:space="preserve">es decir, el valor </w:t>
      </w:r>
      <w:r w:rsidRPr="005B78E7">
        <w:rPr>
          <w:lang w:val="en-US"/>
        </w:rPr>
        <w:sym w:font="Symbol" w:char="F067"/>
      </w:r>
      <w:r w:rsidRPr="005B78E7">
        <w:rPr>
          <w:lang w:val="es-ES"/>
        </w:rPr>
        <w:t xml:space="preserve"> en la ecuación</w:t>
      </w:r>
      <w:r w:rsidR="00706B16">
        <w:rPr>
          <w:lang w:val="es-ES"/>
        </w:rPr>
        <w:t> </w:t>
      </w:r>
      <w:r w:rsidRPr="005B78E7">
        <w:rPr>
          <w:lang w:val="es-ES"/>
        </w:rPr>
        <w:t>(3). En el Cuadro</w:t>
      </w:r>
      <w:r w:rsidR="00706B16">
        <w:rPr>
          <w:lang w:val="es-ES"/>
        </w:rPr>
        <w:t> </w:t>
      </w:r>
      <w:r w:rsidRPr="005B78E7">
        <w:rPr>
          <w:lang w:val="es-ES"/>
        </w:rPr>
        <w:t xml:space="preserve">4 se presenta un ejemplo de cálculo de la calidad de funcionamiento de los enlaces que utilizan ACM, calculada como pérdida media del caudal, </w:t>
      </w:r>
      <w:r w:rsidR="00902055">
        <w:rPr>
          <w:lang w:val="en-US"/>
        </w:rPr>
        <w:sym w:font="Symbol" w:char="F06A"/>
      </w:r>
      <w:r w:rsidR="00902055" w:rsidRPr="00902055">
        <w:rPr>
          <w:i/>
          <w:vertAlign w:val="subscript"/>
        </w:rPr>
        <w:t>total</w:t>
      </w:r>
      <w:r w:rsidRPr="005B78E7">
        <w:rPr>
          <w:lang w:val="es-ES"/>
        </w:rPr>
        <w:t>, para el sistema de satélites de la Fig</w:t>
      </w:r>
      <w:r>
        <w:rPr>
          <w:lang w:val="es-ES"/>
        </w:rPr>
        <w:t>.</w:t>
      </w:r>
      <w:r w:rsidRPr="005B78E7">
        <w:rPr>
          <w:lang w:val="es-ES"/>
        </w:rPr>
        <w:t xml:space="preserve"> 4, sobre la base de la función de distribución acumulativa para el caudal alcanzable, </w:t>
      </w:r>
      <w:r w:rsidR="00902055">
        <w:rPr>
          <w:lang w:val="en-US"/>
        </w:rPr>
        <w:sym w:font="Symbol" w:char="F06A"/>
      </w:r>
      <w:r w:rsidR="00902055">
        <w:rPr>
          <w:lang w:val="en-US"/>
        </w:rPr>
        <w:t>(</w:t>
      </w:r>
      <w:r w:rsidR="00902055" w:rsidRPr="00902055">
        <w:rPr>
          <w:i/>
          <w:lang w:val="en-US"/>
        </w:rPr>
        <w:t>T</w:t>
      </w:r>
      <w:r w:rsidR="00902055" w:rsidRPr="00902055">
        <w:rPr>
          <w:vertAlign w:val="subscript"/>
          <w:lang w:val="en-US"/>
        </w:rPr>
        <w:t>%</w:t>
      </w:r>
      <w:r w:rsidR="00902055">
        <w:rPr>
          <w:lang w:val="en-US"/>
        </w:rPr>
        <w:t>)</w:t>
      </w:r>
      <w:r w:rsidRPr="005B78E7">
        <w:rPr>
          <w:lang w:val="es-ES"/>
        </w:rPr>
        <w:t>. En este ejemplo,</w:t>
      </w:r>
      <w:r w:rsidR="002E5914">
        <w:rPr>
          <w:lang w:val="es-ES"/>
        </w:rPr>
        <w:t xml:space="preserve"> </w:t>
      </w:r>
      <w:r w:rsidR="002E5914">
        <w:rPr>
          <w:iCs/>
          <w:lang w:val="es-ES"/>
        </w:rPr>
        <w:t>η</w:t>
      </w:r>
      <w:r w:rsidR="002E5914" w:rsidRPr="002E5914">
        <w:rPr>
          <w:iCs/>
          <w:vertAlign w:val="subscript"/>
          <w:lang w:val="es-ES"/>
        </w:rPr>
        <w:t>máx</w:t>
      </w:r>
      <w:r w:rsidR="00706B16">
        <w:t> </w:t>
      </w:r>
      <w:r w:rsidR="002E5914">
        <w:t>=</w:t>
      </w:r>
      <w:r w:rsidR="00706B16">
        <w:t> </w:t>
      </w:r>
      <w:r w:rsidR="002E5914">
        <w:rPr>
          <w:iCs/>
          <w:lang w:val="es-ES"/>
        </w:rPr>
        <w:t>η</w:t>
      </w:r>
      <w:r w:rsidRPr="005B78E7">
        <w:rPr>
          <w:lang w:val="es-ES"/>
        </w:rPr>
        <w:t xml:space="preserve"> (24) es de unos 5,653. En la Fig</w:t>
      </w:r>
      <w:r>
        <w:rPr>
          <w:lang w:val="es-ES"/>
        </w:rPr>
        <w:t>. </w:t>
      </w:r>
      <w:r w:rsidRPr="005B78E7">
        <w:rPr>
          <w:lang w:val="es-ES"/>
        </w:rPr>
        <w:t xml:space="preserve">4 se muestra una proyección de la eficacia espectral, </w:t>
      </w:r>
      <w:r w:rsidRPr="005B78E7">
        <w:rPr>
          <w:lang w:val="en-US"/>
        </w:rPr>
        <w:sym w:font="Symbol" w:char="F068"/>
      </w:r>
      <w:r w:rsidR="002B6FE2">
        <w:rPr>
          <w:lang w:val="en-US"/>
        </w:rPr>
        <w:t>(</w:t>
      </w:r>
      <w:r w:rsidR="002B6FE2">
        <w:rPr>
          <w:iCs/>
          <w:lang w:val="es-ES"/>
        </w:rPr>
        <w:sym w:font="Symbol" w:char="F067"/>
      </w:r>
      <w:r w:rsidR="002B6FE2">
        <w:rPr>
          <w:iCs/>
          <w:lang w:val="es-ES"/>
        </w:rPr>
        <w:t>(</w:t>
      </w:r>
      <w:r w:rsidR="002B6FE2" w:rsidRPr="002B6FE2">
        <w:rPr>
          <w:i/>
          <w:iCs/>
          <w:lang w:val="es-ES"/>
        </w:rPr>
        <w:t>T</w:t>
      </w:r>
      <w:r w:rsidR="002B6FE2" w:rsidRPr="002B6FE2">
        <w:rPr>
          <w:iCs/>
          <w:vertAlign w:val="subscript"/>
          <w:lang w:val="es-ES"/>
        </w:rPr>
        <w:t>%</w:t>
      </w:r>
      <w:r w:rsidR="002B6FE2">
        <w:rPr>
          <w:iCs/>
          <w:lang w:val="es-ES"/>
        </w:rPr>
        <w:t>)</w:t>
      </w:r>
      <w:r w:rsidR="002B6FE2">
        <w:rPr>
          <w:lang w:val="en-US"/>
        </w:rPr>
        <w:t>)</w:t>
      </w:r>
      <w:r w:rsidRPr="005B78E7">
        <w:rPr>
          <w:lang w:val="es-ES"/>
        </w:rPr>
        <w:t xml:space="preserve">, y de la degradación del caudal alcanzable resultante, </w:t>
      </w:r>
      <w:r w:rsidR="00902055">
        <w:rPr>
          <w:lang w:val="en-US"/>
        </w:rPr>
        <w:sym w:font="Symbol" w:char="F06A"/>
      </w:r>
      <w:r w:rsidR="00902055">
        <w:rPr>
          <w:lang w:val="en-US"/>
        </w:rPr>
        <w:t>(</w:t>
      </w:r>
      <w:r w:rsidR="00902055" w:rsidRPr="00902055">
        <w:rPr>
          <w:i/>
          <w:lang w:val="en-US"/>
        </w:rPr>
        <w:t>T</w:t>
      </w:r>
      <w:r w:rsidR="00902055" w:rsidRPr="00902055">
        <w:rPr>
          <w:vertAlign w:val="subscript"/>
          <w:lang w:val="en-US"/>
        </w:rPr>
        <w:t>%</w:t>
      </w:r>
      <w:r w:rsidR="00902055">
        <w:rPr>
          <w:lang w:val="en-US"/>
        </w:rPr>
        <w:t>)</w:t>
      </w:r>
      <w:r w:rsidRPr="005B78E7">
        <w:rPr>
          <w:lang w:val="es-ES"/>
        </w:rPr>
        <w:t>. En este ejemplo la media de la pérdida de caudal,</w:t>
      </w:r>
      <w:r w:rsidR="00902055">
        <w:rPr>
          <w:lang w:val="es-ES"/>
        </w:rPr>
        <w:t xml:space="preserve"> </w:t>
      </w:r>
      <w:r w:rsidR="00902055">
        <w:rPr>
          <w:lang w:val="en-US"/>
        </w:rPr>
        <w:sym w:font="Symbol" w:char="F06A"/>
      </w:r>
      <w:r w:rsidR="00902055" w:rsidRPr="00902055">
        <w:rPr>
          <w:i/>
          <w:vertAlign w:val="subscript"/>
        </w:rPr>
        <w:t>total</w:t>
      </w:r>
      <w:r w:rsidRPr="005B78E7">
        <w:rPr>
          <w:lang w:val="es-ES"/>
        </w:rPr>
        <w:t>, estimada con la ecuación (5) oscila en torno a 4,678% cuando la gama dinámica es de unos 30 dB.</w:t>
      </w:r>
    </w:p>
    <w:p w:rsidR="00177138" w:rsidRPr="005B78E7" w:rsidRDefault="00177138" w:rsidP="00177138">
      <w:pPr>
        <w:pStyle w:val="TableNo"/>
        <w:rPr>
          <w:lang w:val="es-ES"/>
        </w:rPr>
      </w:pPr>
      <w:r w:rsidRPr="005B78E7">
        <w:rPr>
          <w:lang w:val="es-ES"/>
        </w:rPr>
        <w:t>CUADRO 4</w:t>
      </w:r>
    </w:p>
    <w:p w:rsidR="00177138" w:rsidRDefault="00177138" w:rsidP="00177138">
      <w:pPr>
        <w:pStyle w:val="Tabletitle"/>
        <w:rPr>
          <w:lang w:val="es-ES"/>
        </w:rPr>
      </w:pPr>
      <w:r w:rsidRPr="005B78E7">
        <w:rPr>
          <w:lang w:val="es-ES"/>
        </w:rPr>
        <w:t>Ejemplo de estimación de la degradación del caudal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814"/>
        <w:gridCol w:w="1276"/>
        <w:gridCol w:w="1134"/>
        <w:gridCol w:w="1559"/>
        <w:gridCol w:w="1020"/>
        <w:gridCol w:w="2041"/>
      </w:tblGrid>
      <w:tr w:rsidR="00177138" w:rsidRPr="005B78E7" w:rsidTr="008E05A5">
        <w:tc>
          <w:tcPr>
            <w:tcW w:w="794" w:type="dxa"/>
            <w:vAlign w:val="center"/>
          </w:tcPr>
          <w:p w:rsidR="00177138" w:rsidRPr="00A2583B" w:rsidRDefault="002B6FE2" w:rsidP="00177138">
            <w:pPr>
              <w:pStyle w:val="Tablehead"/>
              <w:rPr>
                <w:lang w:val="en-US"/>
              </w:rPr>
            </w:pPr>
            <w:r w:rsidRPr="00902055">
              <w:rPr>
                <w:i/>
                <w:lang w:val="en-US"/>
              </w:rPr>
              <w:t>T</w:t>
            </w:r>
            <w:r w:rsidRPr="00902055">
              <w:rPr>
                <w:vertAlign w:val="subscript"/>
                <w:lang w:val="en-US"/>
              </w:rPr>
              <w:t>%</w:t>
            </w:r>
          </w:p>
        </w:tc>
        <w:tc>
          <w:tcPr>
            <w:tcW w:w="1814" w:type="dxa"/>
            <w:vAlign w:val="center"/>
          </w:tcPr>
          <w:p w:rsidR="00177138" w:rsidRPr="005B78E7" w:rsidRDefault="00177138" w:rsidP="00177138">
            <w:pPr>
              <w:pStyle w:val="Tablehead"/>
              <w:rPr>
                <w:lang w:val="en-US"/>
              </w:rPr>
            </w:pPr>
            <w:r w:rsidRPr="005B78E7">
              <w:rPr>
                <w:lang w:val="en-US"/>
              </w:rPr>
              <w:t>Atenuación total (dB)</w:t>
            </w:r>
          </w:p>
        </w:tc>
        <w:tc>
          <w:tcPr>
            <w:tcW w:w="1276" w:type="dxa"/>
            <w:vAlign w:val="center"/>
          </w:tcPr>
          <w:p w:rsidR="00177138" w:rsidRPr="005B78E7" w:rsidRDefault="00177138" w:rsidP="002B6FE2">
            <w:pPr>
              <w:pStyle w:val="Tablehead"/>
              <w:rPr>
                <w:lang w:val="en-US"/>
              </w:rPr>
            </w:pPr>
            <w:r w:rsidRPr="005B78E7">
              <w:rPr>
                <w:i/>
                <w:iCs/>
                <w:lang w:val="en-US"/>
              </w:rPr>
              <w:t>C</w:t>
            </w:r>
            <w:r w:rsidRPr="005B78E7">
              <w:rPr>
                <w:iCs/>
                <w:lang w:val="en-US"/>
              </w:rPr>
              <w:t>/</w:t>
            </w:r>
            <w:r w:rsidRPr="005B78E7">
              <w:rPr>
                <w:i/>
                <w:iCs/>
                <w:lang w:val="en-US"/>
              </w:rPr>
              <w:t>N</w:t>
            </w:r>
            <w:r w:rsidRPr="005B78E7">
              <w:rPr>
                <w:lang w:val="en-US"/>
              </w:rPr>
              <w:t xml:space="preserve">, </w:t>
            </w:r>
            <w:r w:rsidRPr="005B78E7">
              <w:rPr>
                <w:lang w:val="en-US"/>
              </w:rPr>
              <w:sym w:font="Symbol" w:char="F067"/>
            </w:r>
            <w:r w:rsidRPr="005B78E7">
              <w:rPr>
                <w:lang w:val="en-US"/>
              </w:rPr>
              <w:t>(</w:t>
            </w:r>
            <w:r w:rsidR="002B6FE2" w:rsidRPr="00902055">
              <w:rPr>
                <w:i/>
                <w:lang w:val="en-US"/>
              </w:rPr>
              <w:t>T</w:t>
            </w:r>
            <w:r w:rsidR="002B6FE2" w:rsidRPr="00902055">
              <w:rPr>
                <w:vertAlign w:val="subscript"/>
                <w:lang w:val="en-US"/>
              </w:rPr>
              <w:t>%</w:t>
            </w:r>
            <w:r w:rsidR="002B6FE2">
              <w:rPr>
                <w:lang w:val="en-US"/>
              </w:rPr>
              <w:t xml:space="preserve">) </w:t>
            </w:r>
            <w:r w:rsidRPr="005B78E7">
              <w:rPr>
                <w:lang w:val="en-US"/>
              </w:rPr>
              <w:t>(dB)</w:t>
            </w:r>
          </w:p>
        </w:tc>
        <w:tc>
          <w:tcPr>
            <w:tcW w:w="1134" w:type="dxa"/>
            <w:vAlign w:val="center"/>
          </w:tcPr>
          <w:p w:rsidR="00177138" w:rsidRPr="005B78E7" w:rsidRDefault="00177138" w:rsidP="002B6FE2">
            <w:pPr>
              <w:pStyle w:val="Tablehead"/>
              <w:rPr>
                <w:lang w:val="en-US"/>
              </w:rPr>
            </w:pPr>
            <w:r w:rsidRPr="005B78E7">
              <w:rPr>
                <w:lang w:val="en-US"/>
              </w:rPr>
              <w:sym w:font="Symbol" w:char="F068"/>
            </w:r>
            <w:r w:rsidRPr="005B78E7">
              <w:rPr>
                <w:lang w:val="en-US"/>
              </w:rPr>
              <w:t>(</w:t>
            </w:r>
            <w:r w:rsidR="002B6FE2" w:rsidRPr="005B78E7">
              <w:rPr>
                <w:lang w:val="en-US"/>
              </w:rPr>
              <w:sym w:font="Symbol" w:char="F067"/>
            </w:r>
            <w:r w:rsidR="002B6FE2" w:rsidRPr="005B78E7">
              <w:rPr>
                <w:lang w:val="en-US"/>
              </w:rPr>
              <w:t>(</w:t>
            </w:r>
            <w:r w:rsidR="002B6FE2" w:rsidRPr="00902055">
              <w:rPr>
                <w:i/>
                <w:lang w:val="en-US"/>
              </w:rPr>
              <w:t>T</w:t>
            </w:r>
            <w:r w:rsidR="002B6FE2" w:rsidRPr="00902055">
              <w:rPr>
                <w:vertAlign w:val="subscript"/>
                <w:lang w:val="en-US"/>
              </w:rPr>
              <w:t>%</w:t>
            </w:r>
            <w:r w:rsidR="002B6FE2">
              <w:rPr>
                <w:lang w:val="en-US"/>
              </w:rPr>
              <w:t>)</w:t>
            </w:r>
            <w:r w:rsidRPr="005B78E7">
              <w:rPr>
                <w:lang w:val="en-US"/>
              </w:rPr>
              <w:t>)</w:t>
            </w:r>
          </w:p>
        </w:tc>
        <w:tc>
          <w:tcPr>
            <w:tcW w:w="1559" w:type="dxa"/>
            <w:vAlign w:val="center"/>
          </w:tcPr>
          <w:p w:rsidR="00177138" w:rsidRPr="002B6FE2" w:rsidRDefault="00177138" w:rsidP="002B6FE2">
            <w:pPr>
              <w:pStyle w:val="Tablehead"/>
            </w:pPr>
            <w:r w:rsidRPr="005B78E7">
              <w:rPr>
                <w:lang w:val="en-US"/>
              </w:rPr>
              <w:sym w:font="Symbol" w:char="F06A"/>
            </w:r>
            <w:r w:rsidR="002B6FE2">
              <w:t>(</w:t>
            </w:r>
            <w:r w:rsidR="002B6FE2" w:rsidRPr="00902055">
              <w:rPr>
                <w:i/>
                <w:lang w:val="en-US"/>
              </w:rPr>
              <w:t>T</w:t>
            </w:r>
            <w:r w:rsidR="002B6FE2" w:rsidRPr="00902055">
              <w:rPr>
                <w:vertAlign w:val="subscript"/>
                <w:lang w:val="en-US"/>
              </w:rPr>
              <w:t>%</w:t>
            </w:r>
            <w:r w:rsidR="002B6FE2">
              <w:t>)</w:t>
            </w:r>
          </w:p>
        </w:tc>
        <w:tc>
          <w:tcPr>
            <w:tcW w:w="1020" w:type="dxa"/>
            <w:vAlign w:val="center"/>
          </w:tcPr>
          <w:p w:rsidR="00177138" w:rsidRPr="005B78E7" w:rsidRDefault="002B6FE2" w:rsidP="002B6FE2">
            <w:pPr>
              <w:pStyle w:val="Tablehead"/>
              <w:rPr>
                <w:lang w:val="en-US"/>
              </w:rPr>
            </w:pPr>
            <w:r>
              <w:rPr>
                <w:lang w:val="en-US"/>
              </w:rPr>
              <w:t>Δ</w:t>
            </w:r>
            <w:r w:rsidRPr="00902055">
              <w:rPr>
                <w:i/>
                <w:lang w:val="en-US"/>
              </w:rPr>
              <w:t>T</w:t>
            </w:r>
            <w:r w:rsidRPr="00902055">
              <w:rPr>
                <w:vertAlign w:val="subscript"/>
                <w:lang w:val="en-US"/>
              </w:rPr>
              <w:t>%</w:t>
            </w:r>
          </w:p>
        </w:tc>
        <w:tc>
          <w:tcPr>
            <w:tcW w:w="2041" w:type="dxa"/>
            <w:vAlign w:val="center"/>
          </w:tcPr>
          <w:p w:rsidR="00177138" w:rsidRPr="005B78E7" w:rsidRDefault="002E5914" w:rsidP="00177138">
            <w:pPr>
              <w:pStyle w:val="Tablehead"/>
              <w:rPr>
                <w:lang w:val="en-US"/>
              </w:rPr>
            </w:pPr>
            <w:r w:rsidRPr="005B78E7">
              <w:rPr>
                <w:lang w:val="en-US"/>
              </w:rPr>
              <w:sym w:font="Symbol" w:char="F06A"/>
            </w:r>
            <w:r>
              <w:t>(</w:t>
            </w:r>
            <w:r w:rsidRPr="00902055">
              <w:rPr>
                <w:i/>
                <w:lang w:val="en-US"/>
              </w:rPr>
              <w:t>T</w:t>
            </w:r>
            <w:r w:rsidRPr="00902055">
              <w:rPr>
                <w:vertAlign w:val="subscript"/>
                <w:lang w:val="en-US"/>
              </w:rPr>
              <w:t>%</w:t>
            </w:r>
            <w:r>
              <w:t xml:space="preserve">) </w:t>
            </w:r>
            <w:r>
              <w:rPr>
                <w:lang w:val="en-US"/>
              </w:rPr>
              <w:t>Δ</w:t>
            </w:r>
            <w:r w:rsidRPr="00902055">
              <w:rPr>
                <w:i/>
                <w:lang w:val="en-US"/>
              </w:rPr>
              <w:t>T</w:t>
            </w:r>
            <w:r w:rsidRPr="00902055">
              <w:rPr>
                <w:vertAlign w:val="subscript"/>
                <w:lang w:val="en-US"/>
              </w:rPr>
              <w:t>%</w:t>
            </w:r>
          </w:p>
        </w:tc>
      </w:tr>
      <w:tr w:rsidR="00177138" w:rsidRPr="005B78E7" w:rsidTr="008E05A5">
        <w:tc>
          <w:tcPr>
            <w:tcW w:w="794" w:type="dxa"/>
          </w:tcPr>
          <w:p w:rsidR="00177138" w:rsidRPr="00A2583B" w:rsidRDefault="00177138" w:rsidP="00177138">
            <w:pPr>
              <w:pStyle w:val="Tabletext"/>
              <w:jc w:val="center"/>
              <w:rPr>
                <w:lang w:val="es-ES"/>
              </w:rPr>
            </w:pPr>
            <w:r w:rsidRPr="00A2583B">
              <w:rPr>
                <w:lang w:val="es-ES"/>
              </w:rPr>
              <w:t>0,4</w:t>
            </w:r>
          </w:p>
        </w:tc>
        <w:tc>
          <w:tcPr>
            <w:tcW w:w="1814" w:type="dxa"/>
          </w:tcPr>
          <w:p w:rsidR="00177138" w:rsidRPr="005B78E7" w:rsidRDefault="00177138" w:rsidP="00177138">
            <w:pPr>
              <w:pStyle w:val="Tabletext"/>
              <w:jc w:val="center"/>
              <w:rPr>
                <w:lang w:val="en-US"/>
              </w:rPr>
            </w:pPr>
            <w:r w:rsidRPr="005B78E7">
              <w:rPr>
                <w:lang w:val="en-US"/>
              </w:rPr>
              <w:t>29</w:t>
            </w:r>
            <w:r>
              <w:rPr>
                <w:lang w:val="en-US"/>
              </w:rPr>
              <w:t>,</w:t>
            </w:r>
            <w:r w:rsidRPr="005B78E7">
              <w:rPr>
                <w:lang w:val="en-US"/>
              </w:rPr>
              <w:t>413</w:t>
            </w:r>
          </w:p>
        </w:tc>
        <w:tc>
          <w:tcPr>
            <w:tcW w:w="1276" w:type="dxa"/>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69</w:t>
            </w:r>
          </w:p>
        </w:tc>
        <w:tc>
          <w:tcPr>
            <w:tcW w:w="113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141</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975 = 1-(0</w:t>
            </w:r>
            <w:r>
              <w:rPr>
                <w:lang w:val="en-US"/>
              </w:rPr>
              <w:t>,</w:t>
            </w:r>
            <w:r w:rsidRPr="005B78E7">
              <w:rPr>
                <w:lang w:val="en-US"/>
              </w:rPr>
              <w:t>141/5</w:t>
            </w:r>
            <w:r>
              <w:rPr>
                <w:lang w:val="en-US"/>
              </w:rPr>
              <w:t>,</w:t>
            </w:r>
            <w:r w:rsidRPr="005B78E7">
              <w:rPr>
                <w:lang w:val="en-US"/>
              </w:rPr>
              <w:t>653)</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rFonts w:hint="eastAsia"/>
                <w:lang w:val="en-US"/>
              </w:rPr>
              <w:t>0</w:t>
            </w:r>
            <w:r>
              <w:rPr>
                <w:lang w:val="en-US"/>
              </w:rPr>
              <w:t>,</w:t>
            </w:r>
            <w:r w:rsidRPr="005B78E7">
              <w:rPr>
                <w:lang w:val="en-US"/>
              </w:rPr>
              <w:t>098 = 0</w:t>
            </w:r>
            <w:r>
              <w:rPr>
                <w:lang w:val="en-US"/>
              </w:rPr>
              <w:t>,</w:t>
            </w:r>
            <w:r w:rsidRPr="005B78E7">
              <w:rPr>
                <w:lang w:val="en-US"/>
              </w:rPr>
              <w:t xml:space="preserve">975 </w:t>
            </w:r>
            <w:r w:rsidRPr="005B78E7">
              <w:rPr>
                <w:lang w:val="en-US"/>
              </w:rPr>
              <w:sym w:font="Symbol" w:char="F0B4"/>
            </w:r>
            <w:r w:rsidRPr="005B78E7">
              <w:rPr>
                <w:lang w:val="en-US"/>
              </w:rPr>
              <w:t xml:space="preserve"> 0</w:t>
            </w:r>
            <w:r>
              <w:rPr>
                <w:lang w:val="en-US"/>
              </w:rPr>
              <w:t>,</w:t>
            </w:r>
            <w:r w:rsidRPr="005B78E7">
              <w:rPr>
                <w:lang w:val="en-US"/>
              </w:rPr>
              <w:t>1</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814" w:type="dxa"/>
          </w:tcPr>
          <w:p w:rsidR="00177138" w:rsidRPr="005B78E7" w:rsidRDefault="00177138" w:rsidP="00177138">
            <w:pPr>
              <w:pStyle w:val="Tabletext"/>
              <w:jc w:val="center"/>
              <w:rPr>
                <w:lang w:val="en-US"/>
              </w:rPr>
            </w:pPr>
            <w:r w:rsidRPr="005B78E7">
              <w:rPr>
                <w:lang w:val="en-US"/>
              </w:rPr>
              <w:t>26</w:t>
            </w:r>
            <w:r>
              <w:rPr>
                <w:lang w:val="en-US"/>
              </w:rPr>
              <w:t>,</w:t>
            </w:r>
            <w:r w:rsidRPr="005B78E7">
              <w:rPr>
                <w:lang w:val="en-US"/>
              </w:rPr>
              <w:t>277</w:t>
            </w:r>
          </w:p>
        </w:tc>
        <w:tc>
          <w:tcPr>
            <w:tcW w:w="1276"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550</w:t>
            </w:r>
          </w:p>
        </w:tc>
        <w:tc>
          <w:tcPr>
            <w:tcW w:w="113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397</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930</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093 = 0</w:t>
            </w:r>
            <w:r>
              <w:rPr>
                <w:lang w:val="en-US"/>
              </w:rPr>
              <w:t>,</w:t>
            </w:r>
            <w:r w:rsidRPr="005B78E7">
              <w:rPr>
                <w:lang w:val="en-US"/>
              </w:rPr>
              <w:t>93</w:t>
            </w:r>
            <w:r>
              <w:rPr>
                <w:lang w:val="en-US"/>
              </w:rPr>
              <w:t xml:space="preserve"> </w:t>
            </w:r>
            <w:r w:rsidRPr="005B78E7">
              <w:rPr>
                <w:lang w:val="en-US"/>
              </w:rPr>
              <w:sym w:font="Symbol" w:char="F0B4"/>
            </w:r>
            <w:r>
              <w:rPr>
                <w:lang w:val="en-US"/>
              </w:rPr>
              <w:t xml:space="preserve"> </w:t>
            </w:r>
            <w:r w:rsidRPr="005B78E7">
              <w:rPr>
                <w:lang w:val="en-US"/>
              </w:rPr>
              <w:t>0</w:t>
            </w:r>
            <w:r>
              <w:rPr>
                <w:lang w:val="en-US"/>
              </w:rPr>
              <w:t>,</w:t>
            </w:r>
            <w:r w:rsidRPr="005B78E7">
              <w:rPr>
                <w:lang w:val="en-US"/>
              </w:rPr>
              <w:t>1</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6</w:t>
            </w:r>
          </w:p>
        </w:tc>
        <w:tc>
          <w:tcPr>
            <w:tcW w:w="1814" w:type="dxa"/>
          </w:tcPr>
          <w:p w:rsidR="00177138" w:rsidRPr="005B78E7" w:rsidRDefault="00177138" w:rsidP="00177138">
            <w:pPr>
              <w:pStyle w:val="Tabletext"/>
              <w:jc w:val="center"/>
              <w:rPr>
                <w:lang w:val="en-US"/>
              </w:rPr>
            </w:pPr>
            <w:r w:rsidRPr="005B78E7">
              <w:rPr>
                <w:lang w:val="en-US"/>
              </w:rPr>
              <w:t>23</w:t>
            </w:r>
            <w:r>
              <w:rPr>
                <w:lang w:val="en-US"/>
              </w:rPr>
              <w:t>,</w:t>
            </w:r>
            <w:r w:rsidRPr="005B78E7">
              <w:rPr>
                <w:lang w:val="en-US"/>
              </w:rPr>
              <w:t>842</w:t>
            </w:r>
          </w:p>
        </w:tc>
        <w:tc>
          <w:tcPr>
            <w:tcW w:w="1276"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885</w:t>
            </w:r>
          </w:p>
        </w:tc>
        <w:tc>
          <w:tcPr>
            <w:tcW w:w="113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719</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873</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087</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w:t>
            </w:r>
          </w:p>
        </w:tc>
        <w:tc>
          <w:tcPr>
            <w:tcW w:w="1814" w:type="dxa"/>
          </w:tcPr>
          <w:p w:rsidR="00177138" w:rsidRPr="005B78E7" w:rsidRDefault="00177138" w:rsidP="00177138">
            <w:pPr>
              <w:pStyle w:val="Tabletext"/>
              <w:jc w:val="center"/>
              <w:rPr>
                <w:lang w:val="en-US"/>
              </w:rPr>
            </w:pPr>
            <w:r w:rsidRPr="005B78E7">
              <w:rPr>
                <w:lang w:val="en-US"/>
              </w:rPr>
              <w:t>21</w:t>
            </w:r>
            <w:r>
              <w:rPr>
                <w:lang w:val="en-US"/>
              </w:rPr>
              <w:t>,</w:t>
            </w:r>
            <w:r w:rsidRPr="005B78E7">
              <w:rPr>
                <w:lang w:val="en-US"/>
              </w:rPr>
              <w:t>893</w:t>
            </w:r>
          </w:p>
        </w:tc>
        <w:tc>
          <w:tcPr>
            <w:tcW w:w="1276" w:type="dxa"/>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834</w:t>
            </w:r>
          </w:p>
        </w:tc>
        <w:tc>
          <w:tcPr>
            <w:tcW w:w="1134"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011</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821</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082</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w:t>
            </w:r>
          </w:p>
        </w:tc>
        <w:tc>
          <w:tcPr>
            <w:tcW w:w="1814" w:type="dxa"/>
          </w:tcPr>
          <w:p w:rsidR="00177138" w:rsidRPr="005B78E7" w:rsidRDefault="00177138" w:rsidP="00177138">
            <w:pPr>
              <w:pStyle w:val="Tabletext"/>
              <w:jc w:val="center"/>
              <w:rPr>
                <w:lang w:val="en-US"/>
              </w:rPr>
            </w:pPr>
            <w:r w:rsidRPr="005B78E7">
              <w:rPr>
                <w:lang w:val="en-US"/>
              </w:rPr>
              <w:t>20</w:t>
            </w:r>
            <w:r>
              <w:rPr>
                <w:lang w:val="en-US"/>
              </w:rPr>
              <w:t>,</w:t>
            </w:r>
            <w:r w:rsidRPr="005B78E7">
              <w:rPr>
                <w:lang w:val="en-US"/>
              </w:rPr>
              <w:t>285</w:t>
            </w:r>
          </w:p>
        </w:tc>
        <w:tc>
          <w:tcPr>
            <w:tcW w:w="1276" w:type="dxa"/>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443</w:t>
            </w:r>
          </w:p>
        </w:tc>
        <w:tc>
          <w:tcPr>
            <w:tcW w:w="1134"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269</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775</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078</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w:t>
            </w:r>
          </w:p>
        </w:tc>
        <w:tc>
          <w:tcPr>
            <w:tcW w:w="1814" w:type="dxa"/>
          </w:tcPr>
          <w:p w:rsidR="00177138" w:rsidRPr="005B78E7" w:rsidRDefault="00177138" w:rsidP="00177138">
            <w:pPr>
              <w:pStyle w:val="Tabletext"/>
              <w:jc w:val="center"/>
              <w:rPr>
                <w:lang w:val="en-US"/>
              </w:rPr>
            </w:pPr>
            <w:r w:rsidRPr="005B78E7">
              <w:rPr>
                <w:lang w:val="en-US"/>
              </w:rPr>
              <w:t>18</w:t>
            </w:r>
            <w:r>
              <w:rPr>
                <w:lang w:val="en-US"/>
              </w:rPr>
              <w:t>,</w:t>
            </w:r>
            <w:r w:rsidRPr="005B78E7">
              <w:rPr>
                <w:lang w:val="en-US"/>
              </w:rPr>
              <w:t>925</w:t>
            </w:r>
          </w:p>
        </w:tc>
        <w:tc>
          <w:tcPr>
            <w:tcW w:w="1276" w:type="dxa"/>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803</w:t>
            </w:r>
          </w:p>
        </w:tc>
        <w:tc>
          <w:tcPr>
            <w:tcW w:w="1134"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500</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735</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073</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1</w:t>
            </w:r>
          </w:p>
        </w:tc>
        <w:tc>
          <w:tcPr>
            <w:tcW w:w="1814" w:type="dxa"/>
          </w:tcPr>
          <w:p w:rsidR="00177138" w:rsidRPr="005B78E7" w:rsidRDefault="00177138" w:rsidP="00177138">
            <w:pPr>
              <w:pStyle w:val="Tabletext"/>
              <w:jc w:val="center"/>
              <w:rPr>
                <w:lang w:val="en-US"/>
              </w:rPr>
            </w:pPr>
            <w:r w:rsidRPr="005B78E7">
              <w:rPr>
                <w:lang w:val="en-US"/>
              </w:rPr>
              <w:t>17</w:t>
            </w:r>
            <w:r>
              <w:rPr>
                <w:lang w:val="en-US"/>
              </w:rPr>
              <w:t>,</w:t>
            </w:r>
            <w:r w:rsidRPr="005B78E7">
              <w:rPr>
                <w:lang w:val="en-US"/>
              </w:rPr>
              <w:t>754</w:t>
            </w:r>
          </w:p>
        </w:tc>
        <w:tc>
          <w:tcPr>
            <w:tcW w:w="1276" w:type="dxa"/>
          </w:tcPr>
          <w:p w:rsidR="00177138" w:rsidRPr="005B78E7" w:rsidRDefault="00177138" w:rsidP="00177138">
            <w:pPr>
              <w:pStyle w:val="Tabletext"/>
              <w:jc w:val="center"/>
              <w:rPr>
                <w:lang w:val="en-US"/>
              </w:rPr>
            </w:pPr>
            <w:r w:rsidRPr="005B78E7">
              <w:rPr>
                <w:lang w:val="en-US"/>
              </w:rPr>
              <w:t>6</w:t>
            </w:r>
            <w:r>
              <w:rPr>
                <w:lang w:val="en-US"/>
              </w:rPr>
              <w:t>,</w:t>
            </w:r>
            <w:r w:rsidRPr="005B78E7">
              <w:rPr>
                <w:lang w:val="en-US"/>
              </w:rPr>
              <w:t>974</w:t>
            </w:r>
          </w:p>
        </w:tc>
        <w:tc>
          <w:tcPr>
            <w:tcW w:w="1134"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707</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698</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349</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w:t>
            </w:r>
          </w:p>
        </w:tc>
        <w:tc>
          <w:tcPr>
            <w:tcW w:w="1814" w:type="dxa"/>
          </w:tcPr>
          <w:p w:rsidR="00177138" w:rsidRPr="005B78E7" w:rsidRDefault="00177138" w:rsidP="00177138">
            <w:pPr>
              <w:pStyle w:val="Tabletext"/>
              <w:jc w:val="center"/>
              <w:rPr>
                <w:lang w:val="en-US"/>
              </w:rPr>
            </w:pPr>
            <w:r w:rsidRPr="005B78E7">
              <w:rPr>
                <w:lang w:val="en-US"/>
              </w:rPr>
              <w:t>14</w:t>
            </w:r>
            <w:r>
              <w:rPr>
                <w:lang w:val="en-US"/>
              </w:rPr>
              <w:t>,</w:t>
            </w:r>
            <w:r w:rsidRPr="005B78E7">
              <w:rPr>
                <w:lang w:val="en-US"/>
              </w:rPr>
              <w:t>187</w:t>
            </w:r>
          </w:p>
        </w:tc>
        <w:tc>
          <w:tcPr>
            <w:tcW w:w="1276" w:type="dxa"/>
          </w:tcPr>
          <w:p w:rsidR="00177138" w:rsidRPr="005B78E7" w:rsidRDefault="00177138" w:rsidP="00177138">
            <w:pPr>
              <w:pStyle w:val="Tabletext"/>
              <w:jc w:val="center"/>
              <w:rPr>
                <w:lang w:val="en-US"/>
              </w:rPr>
            </w:pPr>
            <w:r w:rsidRPr="005B78E7">
              <w:rPr>
                <w:lang w:val="en-US"/>
              </w:rPr>
              <w:t>10</w:t>
            </w:r>
            <w:r>
              <w:rPr>
                <w:lang w:val="en-US"/>
              </w:rPr>
              <w:t>,</w:t>
            </w:r>
            <w:r w:rsidRPr="005B78E7">
              <w:rPr>
                <w:lang w:val="en-US"/>
              </w:rPr>
              <w:t>540</w:t>
            </w:r>
          </w:p>
        </w:tc>
        <w:tc>
          <w:tcPr>
            <w:tcW w:w="1134" w:type="dxa"/>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390</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577</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289</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2</w:t>
            </w:r>
          </w:p>
        </w:tc>
        <w:tc>
          <w:tcPr>
            <w:tcW w:w="1814" w:type="dxa"/>
          </w:tcPr>
          <w:p w:rsidR="00177138" w:rsidRPr="005B78E7" w:rsidRDefault="00177138" w:rsidP="00177138">
            <w:pPr>
              <w:pStyle w:val="Tabletext"/>
              <w:jc w:val="center"/>
              <w:rPr>
                <w:lang w:val="en-US"/>
              </w:rPr>
            </w:pPr>
            <w:r w:rsidRPr="005B78E7">
              <w:rPr>
                <w:lang w:val="en-US"/>
              </w:rPr>
              <w:t>12</w:t>
            </w:r>
            <w:r>
              <w:rPr>
                <w:lang w:val="en-US"/>
              </w:rPr>
              <w:t>,</w:t>
            </w:r>
            <w:r w:rsidRPr="005B78E7">
              <w:rPr>
                <w:lang w:val="en-US"/>
              </w:rPr>
              <w:t>009</w:t>
            </w:r>
          </w:p>
        </w:tc>
        <w:tc>
          <w:tcPr>
            <w:tcW w:w="1276" w:type="dxa"/>
          </w:tcPr>
          <w:p w:rsidR="00177138" w:rsidRPr="005B78E7" w:rsidRDefault="00177138" w:rsidP="00177138">
            <w:pPr>
              <w:pStyle w:val="Tabletext"/>
              <w:jc w:val="center"/>
              <w:rPr>
                <w:lang w:val="en-US"/>
              </w:rPr>
            </w:pPr>
            <w:r w:rsidRPr="005B78E7">
              <w:rPr>
                <w:lang w:val="en-US"/>
              </w:rPr>
              <w:t>12</w:t>
            </w:r>
            <w:r>
              <w:rPr>
                <w:lang w:val="en-US"/>
              </w:rPr>
              <w:t>,</w:t>
            </w:r>
            <w:r w:rsidRPr="005B78E7">
              <w:rPr>
                <w:lang w:val="en-US"/>
              </w:rPr>
              <w:t>718</w:t>
            </w:r>
          </w:p>
        </w:tc>
        <w:tc>
          <w:tcPr>
            <w:tcW w:w="1134" w:type="dxa"/>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844</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497</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248</w:t>
            </w:r>
          </w:p>
        </w:tc>
      </w:tr>
      <w:tr w:rsidR="00177138" w:rsidRPr="005B78E7" w:rsidTr="008E05A5">
        <w:tc>
          <w:tcPr>
            <w:tcW w:w="794" w:type="dxa"/>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5</w:t>
            </w:r>
          </w:p>
        </w:tc>
        <w:tc>
          <w:tcPr>
            <w:tcW w:w="1814" w:type="dxa"/>
          </w:tcPr>
          <w:p w:rsidR="00177138" w:rsidRPr="005B78E7" w:rsidRDefault="00177138" w:rsidP="00177138">
            <w:pPr>
              <w:pStyle w:val="Tabletext"/>
              <w:jc w:val="center"/>
              <w:rPr>
                <w:lang w:val="en-US"/>
              </w:rPr>
            </w:pPr>
            <w:r w:rsidRPr="005B78E7">
              <w:rPr>
                <w:lang w:val="en-US"/>
              </w:rPr>
              <w:t>10</w:t>
            </w:r>
            <w:r>
              <w:rPr>
                <w:lang w:val="en-US"/>
              </w:rPr>
              <w:t>,</w:t>
            </w:r>
            <w:r w:rsidRPr="005B78E7">
              <w:rPr>
                <w:lang w:val="en-US"/>
              </w:rPr>
              <w:t>634</w:t>
            </w:r>
          </w:p>
        </w:tc>
        <w:tc>
          <w:tcPr>
            <w:tcW w:w="1276" w:type="dxa"/>
          </w:tcPr>
          <w:p w:rsidR="00177138" w:rsidRPr="005B78E7" w:rsidRDefault="00177138" w:rsidP="00177138">
            <w:pPr>
              <w:pStyle w:val="Tabletext"/>
              <w:jc w:val="center"/>
              <w:rPr>
                <w:lang w:val="en-US"/>
              </w:rPr>
            </w:pPr>
            <w:r w:rsidRPr="005B78E7">
              <w:rPr>
                <w:lang w:val="en-US"/>
              </w:rPr>
              <w:t>14</w:t>
            </w:r>
            <w:r>
              <w:rPr>
                <w:lang w:val="en-US"/>
              </w:rPr>
              <w:t>,</w:t>
            </w:r>
            <w:r w:rsidRPr="005B78E7">
              <w:rPr>
                <w:lang w:val="en-US"/>
              </w:rPr>
              <w:t>093</w:t>
            </w:r>
          </w:p>
        </w:tc>
        <w:tc>
          <w:tcPr>
            <w:tcW w:w="1134" w:type="dxa"/>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145</w:t>
            </w:r>
          </w:p>
        </w:tc>
        <w:tc>
          <w:tcPr>
            <w:tcW w:w="1559"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444</w:t>
            </w:r>
          </w:p>
        </w:tc>
        <w:tc>
          <w:tcPr>
            <w:tcW w:w="1020"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2041" w:type="dxa"/>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222</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3</w:t>
            </w:r>
          </w:p>
        </w:tc>
        <w:tc>
          <w:tcPr>
            <w:tcW w:w="1814" w:type="dxa"/>
          </w:tcPr>
          <w:p w:rsidR="00177138" w:rsidRPr="00CF57BA" w:rsidRDefault="00177138" w:rsidP="00177138">
            <w:pPr>
              <w:pStyle w:val="Tabletext"/>
              <w:jc w:val="center"/>
              <w:rPr>
                <w:lang w:val="en-US"/>
              </w:rPr>
            </w:pPr>
            <w:r w:rsidRPr="00CF57BA">
              <w:rPr>
                <w:lang w:val="en-US"/>
              </w:rPr>
              <w:t>9</w:t>
            </w:r>
            <w:r>
              <w:rPr>
                <w:lang w:val="en-US"/>
              </w:rPr>
              <w:t>,</w:t>
            </w:r>
            <w:r w:rsidRPr="00CF57BA">
              <w:rPr>
                <w:lang w:val="en-US"/>
              </w:rPr>
              <w:t>617</w:t>
            </w:r>
          </w:p>
        </w:tc>
        <w:tc>
          <w:tcPr>
            <w:tcW w:w="1276" w:type="dxa"/>
          </w:tcPr>
          <w:p w:rsidR="00177138" w:rsidRPr="00CF57BA" w:rsidRDefault="00177138" w:rsidP="00177138">
            <w:pPr>
              <w:pStyle w:val="Tabletext"/>
              <w:jc w:val="center"/>
              <w:rPr>
                <w:lang w:val="en-US"/>
              </w:rPr>
            </w:pPr>
            <w:r w:rsidRPr="00CF57BA">
              <w:rPr>
                <w:lang w:val="en-US"/>
              </w:rPr>
              <w:t>15</w:t>
            </w:r>
            <w:r>
              <w:rPr>
                <w:lang w:val="en-US"/>
              </w:rPr>
              <w:t>,</w:t>
            </w:r>
            <w:r w:rsidRPr="00CF57BA">
              <w:rPr>
                <w:lang w:val="en-US"/>
              </w:rPr>
              <w:t>111</w:t>
            </w:r>
          </w:p>
        </w:tc>
        <w:tc>
          <w:tcPr>
            <w:tcW w:w="113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376</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403</w:t>
            </w:r>
          </w:p>
        </w:tc>
        <w:tc>
          <w:tcPr>
            <w:tcW w:w="1020"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5</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201</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5</w:t>
            </w:r>
          </w:p>
        </w:tc>
        <w:tc>
          <w:tcPr>
            <w:tcW w:w="1814" w:type="dxa"/>
          </w:tcPr>
          <w:p w:rsidR="00177138" w:rsidRPr="00CF57BA" w:rsidRDefault="00177138" w:rsidP="00177138">
            <w:pPr>
              <w:pStyle w:val="Tabletext"/>
              <w:jc w:val="center"/>
              <w:rPr>
                <w:lang w:val="en-US"/>
              </w:rPr>
            </w:pPr>
            <w:r w:rsidRPr="00CF57BA">
              <w:rPr>
                <w:lang w:val="en-US"/>
              </w:rPr>
              <w:t>8</w:t>
            </w:r>
            <w:r>
              <w:rPr>
                <w:lang w:val="en-US"/>
              </w:rPr>
              <w:t>,</w:t>
            </w:r>
            <w:r w:rsidRPr="00CF57BA">
              <w:rPr>
                <w:lang w:val="en-US"/>
              </w:rPr>
              <w:t>716</w:t>
            </w:r>
          </w:p>
        </w:tc>
        <w:tc>
          <w:tcPr>
            <w:tcW w:w="1276" w:type="dxa"/>
          </w:tcPr>
          <w:p w:rsidR="00177138" w:rsidRPr="00CF57BA" w:rsidRDefault="00177138" w:rsidP="00177138">
            <w:pPr>
              <w:pStyle w:val="Tabletext"/>
              <w:jc w:val="center"/>
              <w:rPr>
                <w:lang w:val="en-US"/>
              </w:rPr>
            </w:pPr>
            <w:r w:rsidRPr="00CF57BA">
              <w:rPr>
                <w:lang w:val="en-US"/>
              </w:rPr>
              <w:t>16</w:t>
            </w:r>
            <w:r>
              <w:rPr>
                <w:lang w:val="en-US"/>
              </w:rPr>
              <w:t>,</w:t>
            </w:r>
            <w:r w:rsidRPr="00CF57BA">
              <w:rPr>
                <w:lang w:val="en-US"/>
              </w:rPr>
              <w:t>011</w:t>
            </w:r>
          </w:p>
        </w:tc>
        <w:tc>
          <w:tcPr>
            <w:tcW w:w="113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585</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366</w:t>
            </w:r>
          </w:p>
        </w:tc>
        <w:tc>
          <w:tcPr>
            <w:tcW w:w="1020"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5</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183</w:t>
            </w:r>
          </w:p>
        </w:tc>
      </w:tr>
    </w:tbl>
    <w:p w:rsidR="00D36E86" w:rsidRPr="005B78E7" w:rsidRDefault="00D36E86" w:rsidP="00D36E86">
      <w:pPr>
        <w:pStyle w:val="TableNo"/>
        <w:rPr>
          <w:lang w:val="es-ES"/>
        </w:rPr>
      </w:pPr>
      <w:r w:rsidRPr="005B78E7">
        <w:rPr>
          <w:lang w:val="es-ES"/>
        </w:rPr>
        <w:lastRenderedPageBreak/>
        <w:t>CUADRO 4</w:t>
      </w:r>
      <w:r>
        <w:rPr>
          <w:lang w:val="es-ES"/>
        </w:rPr>
        <w:t xml:space="preserve"> </w:t>
      </w:r>
      <w:r w:rsidRPr="00D36E86">
        <w:t>(</w:t>
      </w:r>
      <w:r w:rsidRPr="00D36E86">
        <w:rPr>
          <w:i/>
          <w:lang w:val="es-ES"/>
        </w:rPr>
        <w:t>fin</w:t>
      </w:r>
      <w:r w:rsidRPr="00D36E8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814"/>
        <w:gridCol w:w="1276"/>
        <w:gridCol w:w="1134"/>
        <w:gridCol w:w="1559"/>
        <w:gridCol w:w="1020"/>
        <w:gridCol w:w="2041"/>
      </w:tblGrid>
      <w:tr w:rsidR="00D36E86" w:rsidRPr="005B78E7" w:rsidTr="008E05A5">
        <w:tc>
          <w:tcPr>
            <w:tcW w:w="794" w:type="dxa"/>
            <w:vAlign w:val="center"/>
          </w:tcPr>
          <w:p w:rsidR="00D36E86" w:rsidRPr="00A2583B" w:rsidRDefault="00D36E86" w:rsidP="00706B16">
            <w:pPr>
              <w:pStyle w:val="Tablehead"/>
              <w:rPr>
                <w:lang w:val="en-US"/>
              </w:rPr>
            </w:pPr>
            <w:r w:rsidRPr="00902055">
              <w:rPr>
                <w:i/>
                <w:lang w:val="en-US"/>
              </w:rPr>
              <w:t>T</w:t>
            </w:r>
            <w:r w:rsidRPr="00902055">
              <w:rPr>
                <w:vertAlign w:val="subscript"/>
                <w:lang w:val="en-US"/>
              </w:rPr>
              <w:t>%</w:t>
            </w:r>
          </w:p>
        </w:tc>
        <w:tc>
          <w:tcPr>
            <w:tcW w:w="1814" w:type="dxa"/>
            <w:vAlign w:val="center"/>
          </w:tcPr>
          <w:p w:rsidR="00D36E86" w:rsidRPr="005B78E7" w:rsidRDefault="00D36E86" w:rsidP="00706B16">
            <w:pPr>
              <w:pStyle w:val="Tablehead"/>
              <w:rPr>
                <w:lang w:val="en-US"/>
              </w:rPr>
            </w:pPr>
            <w:r w:rsidRPr="005B78E7">
              <w:rPr>
                <w:lang w:val="en-US"/>
              </w:rPr>
              <w:t>Atenuación total (dB)</w:t>
            </w:r>
          </w:p>
        </w:tc>
        <w:tc>
          <w:tcPr>
            <w:tcW w:w="1276" w:type="dxa"/>
            <w:vAlign w:val="center"/>
          </w:tcPr>
          <w:p w:rsidR="00D36E86" w:rsidRPr="005B78E7" w:rsidRDefault="00D36E86" w:rsidP="00706B16">
            <w:pPr>
              <w:pStyle w:val="Tablehead"/>
              <w:rPr>
                <w:lang w:val="en-US"/>
              </w:rPr>
            </w:pPr>
            <w:r w:rsidRPr="005B78E7">
              <w:rPr>
                <w:i/>
                <w:iCs/>
                <w:lang w:val="en-US"/>
              </w:rPr>
              <w:t>C</w:t>
            </w:r>
            <w:r w:rsidRPr="005B78E7">
              <w:rPr>
                <w:iCs/>
                <w:lang w:val="en-US"/>
              </w:rPr>
              <w:t>/</w:t>
            </w:r>
            <w:r w:rsidRPr="005B78E7">
              <w:rPr>
                <w:i/>
                <w:iCs/>
                <w:lang w:val="en-US"/>
              </w:rPr>
              <w:t>N</w:t>
            </w:r>
            <w:r w:rsidRPr="005B78E7">
              <w:rPr>
                <w:lang w:val="en-US"/>
              </w:rPr>
              <w:t xml:space="preserve">, </w:t>
            </w:r>
            <w:r w:rsidRPr="005B78E7">
              <w:rPr>
                <w:lang w:val="en-US"/>
              </w:rPr>
              <w:sym w:font="Symbol" w:char="F067"/>
            </w:r>
            <w:r w:rsidRPr="005B78E7">
              <w:rPr>
                <w:lang w:val="en-US"/>
              </w:rPr>
              <w:t>(</w:t>
            </w:r>
            <w:r w:rsidRPr="00902055">
              <w:rPr>
                <w:i/>
                <w:lang w:val="en-US"/>
              </w:rPr>
              <w:t>T</w:t>
            </w:r>
            <w:r w:rsidRPr="00902055">
              <w:rPr>
                <w:vertAlign w:val="subscript"/>
                <w:lang w:val="en-US"/>
              </w:rPr>
              <w:t>%</w:t>
            </w:r>
            <w:r>
              <w:rPr>
                <w:lang w:val="en-US"/>
              </w:rPr>
              <w:t xml:space="preserve">) </w:t>
            </w:r>
            <w:r w:rsidRPr="005B78E7">
              <w:rPr>
                <w:lang w:val="en-US"/>
              </w:rPr>
              <w:t>(dB)</w:t>
            </w:r>
          </w:p>
        </w:tc>
        <w:tc>
          <w:tcPr>
            <w:tcW w:w="1134" w:type="dxa"/>
            <w:vAlign w:val="center"/>
          </w:tcPr>
          <w:p w:rsidR="00D36E86" w:rsidRPr="005B78E7" w:rsidRDefault="00D36E86" w:rsidP="00706B16">
            <w:pPr>
              <w:pStyle w:val="Tablehead"/>
              <w:rPr>
                <w:lang w:val="en-US"/>
              </w:rPr>
            </w:pPr>
            <w:r w:rsidRPr="005B78E7">
              <w:rPr>
                <w:lang w:val="en-US"/>
              </w:rPr>
              <w:sym w:font="Symbol" w:char="F068"/>
            </w:r>
            <w:r w:rsidRPr="005B78E7">
              <w:rPr>
                <w:lang w:val="en-US"/>
              </w:rPr>
              <w:t>(</w:t>
            </w:r>
            <w:r w:rsidRPr="005B78E7">
              <w:rPr>
                <w:lang w:val="en-US"/>
              </w:rPr>
              <w:sym w:font="Symbol" w:char="F067"/>
            </w:r>
            <w:r w:rsidRPr="005B78E7">
              <w:rPr>
                <w:lang w:val="en-US"/>
              </w:rPr>
              <w:t>(</w:t>
            </w:r>
            <w:r w:rsidRPr="00902055">
              <w:rPr>
                <w:i/>
                <w:lang w:val="en-US"/>
              </w:rPr>
              <w:t>T</w:t>
            </w:r>
            <w:r w:rsidRPr="00902055">
              <w:rPr>
                <w:vertAlign w:val="subscript"/>
                <w:lang w:val="en-US"/>
              </w:rPr>
              <w:t>%</w:t>
            </w:r>
            <w:r>
              <w:rPr>
                <w:lang w:val="en-US"/>
              </w:rPr>
              <w:t>)</w:t>
            </w:r>
            <w:r w:rsidRPr="005B78E7">
              <w:rPr>
                <w:lang w:val="en-US"/>
              </w:rPr>
              <w:t>)</w:t>
            </w:r>
          </w:p>
        </w:tc>
        <w:tc>
          <w:tcPr>
            <w:tcW w:w="1559" w:type="dxa"/>
            <w:vAlign w:val="center"/>
          </w:tcPr>
          <w:p w:rsidR="00D36E86" w:rsidRPr="002B6FE2" w:rsidRDefault="00D36E86" w:rsidP="00706B16">
            <w:pPr>
              <w:pStyle w:val="Tablehead"/>
            </w:pPr>
            <w:r w:rsidRPr="005B78E7">
              <w:rPr>
                <w:lang w:val="en-US"/>
              </w:rPr>
              <w:sym w:font="Symbol" w:char="F06A"/>
            </w:r>
            <w:r>
              <w:t>(</w:t>
            </w:r>
            <w:r w:rsidRPr="00902055">
              <w:rPr>
                <w:i/>
                <w:lang w:val="en-US"/>
              </w:rPr>
              <w:t>T</w:t>
            </w:r>
            <w:r w:rsidRPr="00902055">
              <w:rPr>
                <w:vertAlign w:val="subscript"/>
                <w:lang w:val="en-US"/>
              </w:rPr>
              <w:t>%</w:t>
            </w:r>
            <w:r>
              <w:t>)</w:t>
            </w:r>
          </w:p>
        </w:tc>
        <w:tc>
          <w:tcPr>
            <w:tcW w:w="1020" w:type="dxa"/>
            <w:vAlign w:val="center"/>
          </w:tcPr>
          <w:p w:rsidR="00D36E86" w:rsidRPr="005B78E7" w:rsidRDefault="00D36E86" w:rsidP="00706B16">
            <w:pPr>
              <w:pStyle w:val="Tablehead"/>
              <w:rPr>
                <w:lang w:val="en-US"/>
              </w:rPr>
            </w:pPr>
            <w:r>
              <w:rPr>
                <w:lang w:val="en-US"/>
              </w:rPr>
              <w:t>Δ</w:t>
            </w:r>
            <w:r w:rsidRPr="00902055">
              <w:rPr>
                <w:i/>
                <w:lang w:val="en-US"/>
              </w:rPr>
              <w:t>T</w:t>
            </w:r>
            <w:r w:rsidRPr="00902055">
              <w:rPr>
                <w:vertAlign w:val="subscript"/>
                <w:lang w:val="en-US"/>
              </w:rPr>
              <w:t>%</w:t>
            </w:r>
          </w:p>
        </w:tc>
        <w:tc>
          <w:tcPr>
            <w:tcW w:w="2041" w:type="dxa"/>
            <w:vAlign w:val="center"/>
          </w:tcPr>
          <w:p w:rsidR="00D36E86" w:rsidRPr="005B78E7" w:rsidRDefault="00D36E86" w:rsidP="00706B16">
            <w:pPr>
              <w:pStyle w:val="Tablehead"/>
              <w:rPr>
                <w:lang w:val="en-US"/>
              </w:rPr>
            </w:pPr>
            <w:r w:rsidRPr="005B78E7">
              <w:rPr>
                <w:lang w:val="en-US"/>
              </w:rPr>
              <w:sym w:font="Symbol" w:char="F06A"/>
            </w:r>
            <w:r>
              <w:t>(</w:t>
            </w:r>
            <w:r w:rsidRPr="00902055">
              <w:rPr>
                <w:i/>
                <w:lang w:val="en-US"/>
              </w:rPr>
              <w:t>T</w:t>
            </w:r>
            <w:r w:rsidRPr="00902055">
              <w:rPr>
                <w:vertAlign w:val="subscript"/>
                <w:lang w:val="en-US"/>
              </w:rPr>
              <w:t>%</w:t>
            </w:r>
            <w:r>
              <w:t xml:space="preserve">) </w:t>
            </w:r>
            <w:r>
              <w:rPr>
                <w:lang w:val="en-US"/>
              </w:rPr>
              <w:t>Δ</w:t>
            </w:r>
            <w:r w:rsidRPr="00902055">
              <w:rPr>
                <w:i/>
                <w:lang w:val="en-US"/>
              </w:rPr>
              <w:t>T</w:t>
            </w:r>
            <w:r w:rsidRPr="00902055">
              <w:rPr>
                <w:vertAlign w:val="subscript"/>
                <w:lang w:val="en-US"/>
              </w:rPr>
              <w:t>%</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4</w:t>
            </w:r>
          </w:p>
        </w:tc>
        <w:tc>
          <w:tcPr>
            <w:tcW w:w="1814" w:type="dxa"/>
          </w:tcPr>
          <w:p w:rsidR="00177138" w:rsidRPr="00CF57BA" w:rsidRDefault="00177138" w:rsidP="00177138">
            <w:pPr>
              <w:pStyle w:val="Tabletext"/>
              <w:jc w:val="center"/>
              <w:rPr>
                <w:lang w:val="en-US"/>
              </w:rPr>
            </w:pPr>
            <w:r w:rsidRPr="00CF57BA">
              <w:rPr>
                <w:lang w:val="en-US"/>
              </w:rPr>
              <w:t>7</w:t>
            </w:r>
            <w:r>
              <w:rPr>
                <w:lang w:val="en-US"/>
              </w:rPr>
              <w:t>,</w:t>
            </w:r>
            <w:r w:rsidRPr="00CF57BA">
              <w:rPr>
                <w:lang w:val="en-US"/>
              </w:rPr>
              <w:t>983</w:t>
            </w:r>
          </w:p>
        </w:tc>
        <w:tc>
          <w:tcPr>
            <w:tcW w:w="1276" w:type="dxa"/>
          </w:tcPr>
          <w:p w:rsidR="00177138" w:rsidRPr="00CF57BA" w:rsidRDefault="00177138" w:rsidP="00177138">
            <w:pPr>
              <w:pStyle w:val="Tabletext"/>
              <w:jc w:val="center"/>
              <w:rPr>
                <w:lang w:val="en-US"/>
              </w:rPr>
            </w:pPr>
            <w:r w:rsidRPr="00CF57BA">
              <w:rPr>
                <w:lang w:val="en-US"/>
              </w:rPr>
              <w:t>16</w:t>
            </w:r>
            <w:r>
              <w:rPr>
                <w:lang w:val="en-US"/>
              </w:rPr>
              <w:t>,</w:t>
            </w:r>
            <w:r w:rsidRPr="00CF57BA">
              <w:rPr>
                <w:lang w:val="en-US"/>
              </w:rPr>
              <w:t>744</w:t>
            </w:r>
          </w:p>
        </w:tc>
        <w:tc>
          <w:tcPr>
            <w:tcW w:w="113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759</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335</w:t>
            </w:r>
          </w:p>
        </w:tc>
        <w:tc>
          <w:tcPr>
            <w:tcW w:w="1020"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5</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168</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5</w:t>
            </w:r>
          </w:p>
        </w:tc>
        <w:tc>
          <w:tcPr>
            <w:tcW w:w="1814" w:type="dxa"/>
          </w:tcPr>
          <w:p w:rsidR="00177138" w:rsidRPr="00CF57BA" w:rsidRDefault="00177138" w:rsidP="00177138">
            <w:pPr>
              <w:pStyle w:val="Tabletext"/>
              <w:jc w:val="center"/>
              <w:rPr>
                <w:lang w:val="en-US"/>
              </w:rPr>
            </w:pPr>
            <w:r w:rsidRPr="00CF57BA">
              <w:rPr>
                <w:lang w:val="en-US"/>
              </w:rPr>
              <w:t>7</w:t>
            </w:r>
            <w:r>
              <w:rPr>
                <w:lang w:val="en-US"/>
              </w:rPr>
              <w:t>,</w:t>
            </w:r>
            <w:r w:rsidRPr="00CF57BA">
              <w:rPr>
                <w:lang w:val="en-US"/>
              </w:rPr>
              <w:t>371</w:t>
            </w:r>
          </w:p>
        </w:tc>
        <w:tc>
          <w:tcPr>
            <w:tcW w:w="1276" w:type="dxa"/>
          </w:tcPr>
          <w:p w:rsidR="00177138" w:rsidRPr="00CF57BA" w:rsidRDefault="00177138" w:rsidP="00177138">
            <w:pPr>
              <w:pStyle w:val="Tabletext"/>
              <w:jc w:val="center"/>
              <w:rPr>
                <w:lang w:val="en-US"/>
              </w:rPr>
            </w:pPr>
            <w:r w:rsidRPr="00CF57BA">
              <w:rPr>
                <w:lang w:val="en-US"/>
              </w:rPr>
              <w:t>17</w:t>
            </w:r>
            <w:r>
              <w:rPr>
                <w:lang w:val="en-US"/>
              </w:rPr>
              <w:t>,</w:t>
            </w:r>
            <w:r w:rsidRPr="00CF57BA">
              <w:rPr>
                <w:lang w:val="en-US"/>
              </w:rPr>
              <w:t>357</w:t>
            </w:r>
          </w:p>
        </w:tc>
        <w:tc>
          <w:tcPr>
            <w:tcW w:w="113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906</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309</w:t>
            </w:r>
          </w:p>
        </w:tc>
        <w:tc>
          <w:tcPr>
            <w:tcW w:w="1020"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5</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154</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5</w:t>
            </w:r>
          </w:p>
        </w:tc>
        <w:tc>
          <w:tcPr>
            <w:tcW w:w="1814" w:type="dxa"/>
          </w:tcPr>
          <w:p w:rsidR="00177138" w:rsidRPr="00CF57BA" w:rsidRDefault="00177138" w:rsidP="00177138">
            <w:pPr>
              <w:pStyle w:val="Tabletext"/>
              <w:jc w:val="center"/>
              <w:rPr>
                <w:lang w:val="en-US"/>
              </w:rPr>
            </w:pPr>
            <w:r w:rsidRPr="00CF57BA">
              <w:rPr>
                <w:lang w:val="en-US"/>
              </w:rPr>
              <w:t>6</w:t>
            </w:r>
            <w:r>
              <w:rPr>
                <w:lang w:val="en-US"/>
              </w:rPr>
              <w:t>,</w:t>
            </w:r>
            <w:r w:rsidRPr="00CF57BA">
              <w:rPr>
                <w:lang w:val="en-US"/>
              </w:rPr>
              <w:t>849</w:t>
            </w:r>
          </w:p>
        </w:tc>
        <w:tc>
          <w:tcPr>
            <w:tcW w:w="1276" w:type="dxa"/>
          </w:tcPr>
          <w:p w:rsidR="00177138" w:rsidRPr="00CF57BA" w:rsidRDefault="00177138" w:rsidP="00177138">
            <w:pPr>
              <w:pStyle w:val="Tabletext"/>
              <w:jc w:val="center"/>
              <w:rPr>
                <w:lang w:val="en-US"/>
              </w:rPr>
            </w:pPr>
            <w:r w:rsidRPr="00CF57BA">
              <w:rPr>
                <w:lang w:val="en-US"/>
              </w:rPr>
              <w:t>17</w:t>
            </w:r>
            <w:r>
              <w:rPr>
                <w:lang w:val="en-US"/>
              </w:rPr>
              <w:t>,</w:t>
            </w:r>
            <w:r w:rsidRPr="00CF57BA">
              <w:rPr>
                <w:lang w:val="en-US"/>
              </w:rPr>
              <w:t>879</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034</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286</w:t>
            </w:r>
          </w:p>
        </w:tc>
        <w:tc>
          <w:tcPr>
            <w:tcW w:w="1020"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6</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172</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6</w:t>
            </w:r>
          </w:p>
        </w:tc>
        <w:tc>
          <w:tcPr>
            <w:tcW w:w="1814" w:type="dxa"/>
          </w:tcPr>
          <w:p w:rsidR="00177138" w:rsidRPr="00CF57BA" w:rsidRDefault="00177138" w:rsidP="00177138">
            <w:pPr>
              <w:pStyle w:val="Tabletext"/>
              <w:jc w:val="center"/>
              <w:rPr>
                <w:lang w:val="en-US"/>
              </w:rPr>
            </w:pPr>
            <w:r w:rsidRPr="00CF57BA">
              <w:rPr>
                <w:lang w:val="en-US"/>
              </w:rPr>
              <w:t>6</w:t>
            </w:r>
            <w:r>
              <w:rPr>
                <w:lang w:val="en-US"/>
              </w:rPr>
              <w:t>,</w:t>
            </w:r>
            <w:r w:rsidRPr="00CF57BA">
              <w:rPr>
                <w:lang w:val="en-US"/>
              </w:rPr>
              <w:t>186</w:t>
            </w:r>
          </w:p>
        </w:tc>
        <w:tc>
          <w:tcPr>
            <w:tcW w:w="1276" w:type="dxa"/>
          </w:tcPr>
          <w:p w:rsidR="00177138" w:rsidRPr="00CF57BA" w:rsidRDefault="00177138" w:rsidP="00177138">
            <w:pPr>
              <w:pStyle w:val="Tabletext"/>
              <w:jc w:val="center"/>
              <w:rPr>
                <w:lang w:val="en-US"/>
              </w:rPr>
            </w:pPr>
            <w:r w:rsidRPr="00CF57BA">
              <w:rPr>
                <w:lang w:val="en-US"/>
              </w:rPr>
              <w:t>18</w:t>
            </w:r>
            <w:r>
              <w:rPr>
                <w:lang w:val="en-US"/>
              </w:rPr>
              <w:t>,</w:t>
            </w:r>
            <w:r w:rsidRPr="00CF57BA">
              <w:rPr>
                <w:lang w:val="en-US"/>
              </w:rPr>
              <w:t>54</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198</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257</w:t>
            </w:r>
          </w:p>
        </w:tc>
        <w:tc>
          <w:tcPr>
            <w:tcW w:w="1020" w:type="dxa"/>
          </w:tcPr>
          <w:p w:rsidR="00177138" w:rsidRPr="00CF57BA" w:rsidRDefault="00177138" w:rsidP="00177138">
            <w:pPr>
              <w:pStyle w:val="Tabletext"/>
              <w:jc w:val="center"/>
              <w:rPr>
                <w:lang w:val="en-US"/>
              </w:rPr>
            </w:pPr>
            <w:r w:rsidRPr="00CF57BA">
              <w:rPr>
                <w:lang w:val="en-US"/>
              </w:rPr>
              <w:t>1</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257</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6</w:t>
            </w:r>
            <w:r>
              <w:rPr>
                <w:lang w:val="en-US"/>
              </w:rPr>
              <w:t>,</w:t>
            </w:r>
            <w:r w:rsidRPr="00CF57BA">
              <w:rPr>
                <w:lang w:val="en-US"/>
              </w:rPr>
              <w:t>6</w:t>
            </w:r>
          </w:p>
        </w:tc>
        <w:tc>
          <w:tcPr>
            <w:tcW w:w="181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524</w:t>
            </w:r>
          </w:p>
        </w:tc>
        <w:tc>
          <w:tcPr>
            <w:tcW w:w="1276" w:type="dxa"/>
          </w:tcPr>
          <w:p w:rsidR="00177138" w:rsidRPr="00CF57BA" w:rsidRDefault="00177138" w:rsidP="00177138">
            <w:pPr>
              <w:pStyle w:val="Tabletext"/>
              <w:jc w:val="center"/>
              <w:rPr>
                <w:lang w:val="en-US"/>
              </w:rPr>
            </w:pPr>
            <w:r w:rsidRPr="00CF57BA">
              <w:rPr>
                <w:lang w:val="en-US"/>
              </w:rPr>
              <w:t>19</w:t>
            </w:r>
            <w:r>
              <w:rPr>
                <w:lang w:val="en-US"/>
              </w:rPr>
              <w:t>,</w:t>
            </w:r>
            <w:r w:rsidRPr="00CF57BA">
              <w:rPr>
                <w:lang w:val="en-US"/>
              </w:rPr>
              <w:t>20</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365</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228</w:t>
            </w:r>
          </w:p>
        </w:tc>
        <w:tc>
          <w:tcPr>
            <w:tcW w:w="1020" w:type="dxa"/>
          </w:tcPr>
          <w:p w:rsidR="00177138" w:rsidRPr="00CF57BA" w:rsidRDefault="00177138" w:rsidP="00177138">
            <w:pPr>
              <w:pStyle w:val="Tabletext"/>
              <w:jc w:val="center"/>
              <w:rPr>
                <w:lang w:val="en-US"/>
              </w:rPr>
            </w:pPr>
            <w:r w:rsidRPr="00CF57BA">
              <w:rPr>
                <w:lang w:val="en-US"/>
              </w:rPr>
              <w:t>1</w:t>
            </w:r>
            <w:r>
              <w:rPr>
                <w:lang w:val="en-US"/>
              </w:rPr>
              <w:t>,</w:t>
            </w:r>
            <w:r w:rsidRPr="00CF57BA">
              <w:rPr>
                <w:lang w:val="en-US"/>
              </w:rPr>
              <w:t>4</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319</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8</w:t>
            </w:r>
          </w:p>
        </w:tc>
        <w:tc>
          <w:tcPr>
            <w:tcW w:w="181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861</w:t>
            </w:r>
          </w:p>
        </w:tc>
        <w:tc>
          <w:tcPr>
            <w:tcW w:w="1276" w:type="dxa"/>
          </w:tcPr>
          <w:p w:rsidR="00177138" w:rsidRPr="00CF57BA" w:rsidRDefault="00177138" w:rsidP="00177138">
            <w:pPr>
              <w:pStyle w:val="Tabletext"/>
              <w:jc w:val="center"/>
              <w:rPr>
                <w:lang w:val="en-US"/>
              </w:rPr>
            </w:pPr>
            <w:r w:rsidRPr="00CF57BA">
              <w:rPr>
                <w:lang w:val="en-US"/>
              </w:rPr>
              <w:t>19</w:t>
            </w:r>
            <w:r>
              <w:rPr>
                <w:lang w:val="en-US"/>
              </w:rPr>
              <w:t>,</w:t>
            </w:r>
            <w:r w:rsidRPr="00CF57BA">
              <w:rPr>
                <w:lang w:val="en-US"/>
              </w:rPr>
              <w:t>87</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535</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198</w:t>
            </w:r>
          </w:p>
        </w:tc>
        <w:tc>
          <w:tcPr>
            <w:tcW w:w="1020" w:type="dxa"/>
          </w:tcPr>
          <w:p w:rsidR="00177138" w:rsidRPr="00CF57BA" w:rsidRDefault="00177138" w:rsidP="00177138">
            <w:pPr>
              <w:pStyle w:val="Tabletext"/>
              <w:jc w:val="center"/>
              <w:rPr>
                <w:lang w:val="en-US"/>
              </w:rPr>
            </w:pPr>
            <w:r w:rsidRPr="00CF57BA">
              <w:rPr>
                <w:lang w:val="en-US"/>
              </w:rPr>
              <w:t>2</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395</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10</w:t>
            </w:r>
          </w:p>
        </w:tc>
        <w:tc>
          <w:tcPr>
            <w:tcW w:w="181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199</w:t>
            </w:r>
          </w:p>
        </w:tc>
        <w:tc>
          <w:tcPr>
            <w:tcW w:w="1276" w:type="dxa"/>
          </w:tcPr>
          <w:p w:rsidR="00177138" w:rsidRPr="00CF57BA" w:rsidRDefault="00177138" w:rsidP="00177138">
            <w:pPr>
              <w:pStyle w:val="Tabletext"/>
              <w:jc w:val="center"/>
              <w:rPr>
                <w:lang w:val="en-US"/>
              </w:rPr>
            </w:pPr>
            <w:r w:rsidRPr="00CF57BA">
              <w:rPr>
                <w:lang w:val="en-US"/>
              </w:rPr>
              <w:t>20</w:t>
            </w:r>
            <w:r>
              <w:rPr>
                <w:lang w:val="en-US"/>
              </w:rPr>
              <w:t>,</w:t>
            </w:r>
            <w:r w:rsidRPr="00CF57BA">
              <w:rPr>
                <w:lang w:val="en-US"/>
              </w:rPr>
              <w:t>529</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707</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167</w:t>
            </w:r>
          </w:p>
        </w:tc>
        <w:tc>
          <w:tcPr>
            <w:tcW w:w="1020" w:type="dxa"/>
          </w:tcPr>
          <w:p w:rsidR="00177138" w:rsidRPr="00CF57BA" w:rsidRDefault="00177138" w:rsidP="00177138">
            <w:pPr>
              <w:pStyle w:val="Tabletext"/>
              <w:jc w:val="center"/>
              <w:rPr>
                <w:lang w:val="en-US"/>
              </w:rPr>
            </w:pPr>
            <w:r w:rsidRPr="00CF57BA">
              <w:rPr>
                <w:lang w:val="en-US"/>
              </w:rPr>
              <w:t>2</w:t>
            </w:r>
            <w:r>
              <w:rPr>
                <w:lang w:val="en-US"/>
              </w:rPr>
              <w:t>,</w:t>
            </w:r>
            <w:r w:rsidRPr="00CF57BA">
              <w:rPr>
                <w:lang w:val="en-US"/>
              </w:rPr>
              <w:t>2</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368</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12</w:t>
            </w:r>
            <w:r>
              <w:rPr>
                <w:lang w:val="en-US"/>
              </w:rPr>
              <w:t>,</w:t>
            </w:r>
            <w:r w:rsidRPr="00CF57BA">
              <w:rPr>
                <w:lang w:val="en-US"/>
              </w:rPr>
              <w:t>2</w:t>
            </w:r>
          </w:p>
        </w:tc>
        <w:tc>
          <w:tcPr>
            <w:tcW w:w="1814" w:type="dxa"/>
          </w:tcPr>
          <w:p w:rsidR="00177138" w:rsidRPr="00CF57BA" w:rsidRDefault="00177138" w:rsidP="00177138">
            <w:pPr>
              <w:pStyle w:val="Tabletext"/>
              <w:jc w:val="center"/>
              <w:rPr>
                <w:lang w:val="en-US"/>
              </w:rPr>
            </w:pPr>
            <w:r w:rsidRPr="00CF57BA">
              <w:rPr>
                <w:lang w:val="en-US"/>
              </w:rPr>
              <w:t>3</w:t>
            </w:r>
            <w:r>
              <w:rPr>
                <w:lang w:val="en-US"/>
              </w:rPr>
              <w:t>,</w:t>
            </w:r>
            <w:r w:rsidRPr="00CF57BA">
              <w:rPr>
                <w:lang w:val="en-US"/>
              </w:rPr>
              <w:t>392</w:t>
            </w:r>
          </w:p>
        </w:tc>
        <w:tc>
          <w:tcPr>
            <w:tcW w:w="1276" w:type="dxa"/>
          </w:tcPr>
          <w:p w:rsidR="00177138" w:rsidRPr="00CF57BA" w:rsidRDefault="00177138" w:rsidP="00177138">
            <w:pPr>
              <w:pStyle w:val="Tabletext"/>
              <w:jc w:val="center"/>
              <w:rPr>
                <w:lang w:val="en-US"/>
              </w:rPr>
            </w:pPr>
            <w:r w:rsidRPr="00CF57BA">
              <w:rPr>
                <w:lang w:val="en-US"/>
              </w:rPr>
              <w:t>21</w:t>
            </w:r>
            <w:r>
              <w:rPr>
                <w:lang w:val="en-US"/>
              </w:rPr>
              <w:t>,</w:t>
            </w:r>
            <w:r w:rsidRPr="00CF57BA">
              <w:rPr>
                <w:lang w:val="en-US"/>
              </w:rPr>
              <w:t>34</w:t>
            </w:r>
          </w:p>
        </w:tc>
        <w:tc>
          <w:tcPr>
            <w:tcW w:w="1134" w:type="dxa"/>
          </w:tcPr>
          <w:p w:rsidR="00177138" w:rsidRPr="00CF57BA" w:rsidRDefault="00177138" w:rsidP="00177138">
            <w:pPr>
              <w:pStyle w:val="Tabletext"/>
              <w:jc w:val="center"/>
              <w:rPr>
                <w:lang w:val="en-US"/>
              </w:rPr>
            </w:pPr>
            <w:r w:rsidRPr="00CF57BA">
              <w:rPr>
                <w:lang w:val="en-US"/>
              </w:rPr>
              <w:t>4</w:t>
            </w:r>
            <w:r>
              <w:rPr>
                <w:lang w:val="en-US"/>
              </w:rPr>
              <w:t>,</w:t>
            </w:r>
            <w:r w:rsidRPr="00CF57BA">
              <w:rPr>
                <w:lang w:val="en-US"/>
              </w:rPr>
              <w:t>920</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130</w:t>
            </w:r>
          </w:p>
        </w:tc>
        <w:tc>
          <w:tcPr>
            <w:tcW w:w="1020" w:type="dxa"/>
          </w:tcPr>
          <w:p w:rsidR="00177138" w:rsidRPr="00CF57BA" w:rsidRDefault="00177138" w:rsidP="00177138">
            <w:pPr>
              <w:pStyle w:val="Tabletext"/>
              <w:jc w:val="center"/>
              <w:rPr>
                <w:lang w:val="en-US"/>
              </w:rPr>
            </w:pPr>
            <w:r w:rsidRPr="00CF57BA">
              <w:rPr>
                <w:lang w:val="en-US"/>
              </w:rPr>
              <w:t>2</w:t>
            </w:r>
            <w:r>
              <w:rPr>
                <w:lang w:val="en-US"/>
              </w:rPr>
              <w:t>,</w:t>
            </w:r>
            <w:r w:rsidRPr="00CF57BA">
              <w:rPr>
                <w:lang w:val="en-US"/>
              </w:rPr>
              <w:t>3</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298</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14</w:t>
            </w:r>
            <w:r>
              <w:rPr>
                <w:lang w:val="en-US"/>
              </w:rPr>
              <w:t>,</w:t>
            </w:r>
            <w:r w:rsidRPr="00CF57BA">
              <w:rPr>
                <w:lang w:val="en-US"/>
              </w:rPr>
              <w:t>5</w:t>
            </w:r>
          </w:p>
        </w:tc>
        <w:tc>
          <w:tcPr>
            <w:tcW w:w="1814" w:type="dxa"/>
          </w:tcPr>
          <w:p w:rsidR="00177138" w:rsidRPr="00CF57BA" w:rsidRDefault="00177138" w:rsidP="00177138">
            <w:pPr>
              <w:pStyle w:val="Tabletext"/>
              <w:jc w:val="center"/>
              <w:rPr>
                <w:lang w:val="en-US"/>
              </w:rPr>
            </w:pPr>
            <w:r w:rsidRPr="00CF57BA">
              <w:rPr>
                <w:lang w:val="en-US"/>
              </w:rPr>
              <w:t>2</w:t>
            </w:r>
            <w:r>
              <w:rPr>
                <w:lang w:val="en-US"/>
              </w:rPr>
              <w:t>,</w:t>
            </w:r>
            <w:r w:rsidRPr="00CF57BA">
              <w:rPr>
                <w:lang w:val="en-US"/>
              </w:rPr>
              <w:t>585</w:t>
            </w:r>
          </w:p>
        </w:tc>
        <w:tc>
          <w:tcPr>
            <w:tcW w:w="1276" w:type="dxa"/>
          </w:tcPr>
          <w:p w:rsidR="00177138" w:rsidRPr="00CF57BA" w:rsidRDefault="00177138" w:rsidP="00177138">
            <w:pPr>
              <w:pStyle w:val="Tabletext"/>
              <w:jc w:val="center"/>
              <w:rPr>
                <w:lang w:val="en-US"/>
              </w:rPr>
            </w:pPr>
            <w:r w:rsidRPr="00CF57BA">
              <w:rPr>
                <w:lang w:val="en-US"/>
              </w:rPr>
              <w:t>22</w:t>
            </w:r>
            <w:r>
              <w:rPr>
                <w:lang w:val="en-US"/>
              </w:rPr>
              <w:t>,</w:t>
            </w:r>
            <w:r w:rsidRPr="00CF57BA">
              <w:rPr>
                <w:lang w:val="en-US"/>
              </w:rPr>
              <w:t>14</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137</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091</w:t>
            </w:r>
          </w:p>
        </w:tc>
        <w:tc>
          <w:tcPr>
            <w:tcW w:w="1020" w:type="dxa"/>
          </w:tcPr>
          <w:p w:rsidR="00177138" w:rsidRPr="00CF57BA" w:rsidRDefault="00177138" w:rsidP="00177138">
            <w:pPr>
              <w:pStyle w:val="Tabletext"/>
              <w:jc w:val="center"/>
              <w:rPr>
                <w:lang w:val="en-US"/>
              </w:rPr>
            </w:pPr>
            <w:r w:rsidRPr="00CF57BA">
              <w:rPr>
                <w:lang w:val="en-US"/>
              </w:rPr>
              <w:t>2</w:t>
            </w:r>
            <w:r>
              <w:rPr>
                <w:lang w:val="en-US"/>
              </w:rPr>
              <w:t>,</w:t>
            </w:r>
            <w:r w:rsidRPr="00CF57BA">
              <w:rPr>
                <w:lang w:val="en-US"/>
              </w:rPr>
              <w:t>5</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228</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17</w:t>
            </w:r>
          </w:p>
        </w:tc>
        <w:tc>
          <w:tcPr>
            <w:tcW w:w="1814" w:type="dxa"/>
          </w:tcPr>
          <w:p w:rsidR="00177138" w:rsidRPr="00CF57BA" w:rsidRDefault="00177138" w:rsidP="00177138">
            <w:pPr>
              <w:pStyle w:val="Tabletext"/>
              <w:jc w:val="center"/>
              <w:rPr>
                <w:lang w:val="en-US"/>
              </w:rPr>
            </w:pPr>
            <w:r w:rsidRPr="00CF57BA">
              <w:rPr>
                <w:lang w:val="en-US"/>
              </w:rPr>
              <w:t>1</w:t>
            </w:r>
            <w:r>
              <w:rPr>
                <w:lang w:val="en-US"/>
              </w:rPr>
              <w:t>,</w:t>
            </w:r>
            <w:r w:rsidRPr="00CF57BA">
              <w:rPr>
                <w:lang w:val="en-US"/>
              </w:rPr>
              <w:t>778</w:t>
            </w:r>
          </w:p>
        </w:tc>
        <w:tc>
          <w:tcPr>
            <w:tcW w:w="1276" w:type="dxa"/>
          </w:tcPr>
          <w:p w:rsidR="00177138" w:rsidRPr="00CF57BA" w:rsidRDefault="00177138" w:rsidP="00177138">
            <w:pPr>
              <w:pStyle w:val="Tabletext"/>
              <w:jc w:val="center"/>
              <w:rPr>
                <w:lang w:val="en-US"/>
              </w:rPr>
            </w:pPr>
            <w:r w:rsidRPr="00CF57BA">
              <w:rPr>
                <w:lang w:val="en-US"/>
              </w:rPr>
              <w:t>22</w:t>
            </w:r>
            <w:r>
              <w:rPr>
                <w:lang w:val="en-US"/>
              </w:rPr>
              <w:t>,</w:t>
            </w:r>
            <w:r w:rsidRPr="00CF57BA">
              <w:rPr>
                <w:lang w:val="en-US"/>
              </w:rPr>
              <w:t>95</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359</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052</w:t>
            </w:r>
          </w:p>
        </w:tc>
        <w:tc>
          <w:tcPr>
            <w:tcW w:w="1020" w:type="dxa"/>
          </w:tcPr>
          <w:p w:rsidR="00177138" w:rsidRPr="00CF57BA" w:rsidRDefault="00177138" w:rsidP="00177138">
            <w:pPr>
              <w:pStyle w:val="Tabletext"/>
              <w:jc w:val="center"/>
              <w:rPr>
                <w:lang w:val="en-US"/>
              </w:rPr>
            </w:pPr>
            <w:r w:rsidRPr="00CF57BA">
              <w:rPr>
                <w:lang w:val="en-US"/>
              </w:rPr>
              <w:t>3</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156</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20</w:t>
            </w:r>
          </w:p>
        </w:tc>
        <w:tc>
          <w:tcPr>
            <w:tcW w:w="1814"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972</w:t>
            </w:r>
          </w:p>
        </w:tc>
        <w:tc>
          <w:tcPr>
            <w:tcW w:w="1276" w:type="dxa"/>
          </w:tcPr>
          <w:p w:rsidR="00177138" w:rsidRPr="00CF57BA" w:rsidRDefault="00177138" w:rsidP="00177138">
            <w:pPr>
              <w:pStyle w:val="Tabletext"/>
              <w:jc w:val="center"/>
              <w:rPr>
                <w:lang w:val="en-US"/>
              </w:rPr>
            </w:pPr>
            <w:r w:rsidRPr="00CF57BA">
              <w:rPr>
                <w:lang w:val="en-US"/>
              </w:rPr>
              <w:t>23</w:t>
            </w:r>
            <w:r>
              <w:rPr>
                <w:lang w:val="en-US"/>
              </w:rPr>
              <w:t>,</w:t>
            </w:r>
            <w:r w:rsidRPr="00CF57BA">
              <w:rPr>
                <w:lang w:val="en-US"/>
              </w:rPr>
              <w:t>756</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584</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012</w:t>
            </w:r>
          </w:p>
        </w:tc>
        <w:tc>
          <w:tcPr>
            <w:tcW w:w="1020" w:type="dxa"/>
          </w:tcPr>
          <w:p w:rsidR="00177138" w:rsidRPr="00CF57BA" w:rsidRDefault="00177138" w:rsidP="00177138">
            <w:pPr>
              <w:pStyle w:val="Tabletext"/>
              <w:jc w:val="center"/>
              <w:rPr>
                <w:lang w:val="en-US"/>
              </w:rPr>
            </w:pPr>
            <w:r w:rsidRPr="00CF57BA">
              <w:rPr>
                <w:lang w:val="en-US"/>
              </w:rPr>
              <w:t>10</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122</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30</w:t>
            </w:r>
          </w:p>
        </w:tc>
        <w:tc>
          <w:tcPr>
            <w:tcW w:w="1814"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778</w:t>
            </w:r>
          </w:p>
        </w:tc>
        <w:tc>
          <w:tcPr>
            <w:tcW w:w="1276" w:type="dxa"/>
          </w:tcPr>
          <w:p w:rsidR="00177138" w:rsidRPr="00CF57BA" w:rsidRDefault="00177138" w:rsidP="00177138">
            <w:pPr>
              <w:pStyle w:val="Tabletext"/>
              <w:jc w:val="center"/>
              <w:rPr>
                <w:lang w:val="en-US"/>
              </w:rPr>
            </w:pPr>
            <w:r w:rsidRPr="00CF57BA">
              <w:rPr>
                <w:lang w:val="en-US"/>
              </w:rPr>
              <w:t>23</w:t>
            </w:r>
            <w:r>
              <w:rPr>
                <w:lang w:val="en-US"/>
              </w:rPr>
              <w:t>,</w:t>
            </w:r>
            <w:r w:rsidRPr="00CF57BA">
              <w:rPr>
                <w:lang w:val="en-US"/>
              </w:rPr>
              <w:t>950</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638</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003</w:t>
            </w:r>
          </w:p>
        </w:tc>
        <w:tc>
          <w:tcPr>
            <w:tcW w:w="1020" w:type="dxa"/>
          </w:tcPr>
          <w:p w:rsidR="00177138" w:rsidRPr="00CF57BA" w:rsidRDefault="00177138" w:rsidP="00177138">
            <w:pPr>
              <w:pStyle w:val="Tabletext"/>
              <w:jc w:val="center"/>
              <w:rPr>
                <w:lang w:val="en-US"/>
              </w:rPr>
            </w:pPr>
            <w:r w:rsidRPr="00CF57BA">
              <w:rPr>
                <w:lang w:val="en-US"/>
              </w:rPr>
              <w:t>10</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025</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40</w:t>
            </w:r>
          </w:p>
        </w:tc>
        <w:tc>
          <w:tcPr>
            <w:tcW w:w="1814"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753</w:t>
            </w:r>
          </w:p>
        </w:tc>
        <w:tc>
          <w:tcPr>
            <w:tcW w:w="1276" w:type="dxa"/>
          </w:tcPr>
          <w:p w:rsidR="00177138" w:rsidRPr="00CF57BA" w:rsidRDefault="00177138" w:rsidP="00177138">
            <w:pPr>
              <w:pStyle w:val="Tabletext"/>
              <w:jc w:val="center"/>
              <w:rPr>
                <w:lang w:val="en-US"/>
              </w:rPr>
            </w:pPr>
            <w:r w:rsidRPr="00CF57BA">
              <w:rPr>
                <w:lang w:val="en-US"/>
              </w:rPr>
              <w:t>23</w:t>
            </w:r>
            <w:r>
              <w:rPr>
                <w:lang w:val="en-US"/>
              </w:rPr>
              <w:t>,</w:t>
            </w:r>
            <w:r w:rsidRPr="00CF57BA">
              <w:rPr>
                <w:lang w:val="en-US"/>
              </w:rPr>
              <w:t>975</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645</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001</w:t>
            </w:r>
          </w:p>
        </w:tc>
        <w:tc>
          <w:tcPr>
            <w:tcW w:w="1020" w:type="dxa"/>
          </w:tcPr>
          <w:p w:rsidR="00177138" w:rsidRPr="00CF57BA" w:rsidRDefault="00177138" w:rsidP="00177138">
            <w:pPr>
              <w:pStyle w:val="Tabletext"/>
              <w:jc w:val="center"/>
              <w:rPr>
                <w:lang w:val="en-US"/>
              </w:rPr>
            </w:pPr>
            <w:r w:rsidRPr="00CF57BA">
              <w:rPr>
                <w:lang w:val="en-US"/>
              </w:rPr>
              <w:t>10</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013</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50</w:t>
            </w:r>
          </w:p>
        </w:tc>
        <w:tc>
          <w:tcPr>
            <w:tcW w:w="1814"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727</w:t>
            </w:r>
          </w:p>
        </w:tc>
        <w:tc>
          <w:tcPr>
            <w:tcW w:w="1276" w:type="dxa"/>
          </w:tcPr>
          <w:p w:rsidR="00177138" w:rsidRPr="00CF57BA" w:rsidRDefault="00177138" w:rsidP="00177138">
            <w:pPr>
              <w:pStyle w:val="Tabletext"/>
              <w:jc w:val="center"/>
              <w:rPr>
                <w:lang w:val="en-US"/>
              </w:rPr>
            </w:pPr>
            <w:r w:rsidRPr="00CF57BA">
              <w:rPr>
                <w:lang w:val="en-US"/>
              </w:rPr>
              <w:t>24</w:t>
            </w:r>
            <w:r>
              <w:rPr>
                <w:lang w:val="en-US"/>
              </w:rPr>
              <w:t>,</w:t>
            </w:r>
            <w:r w:rsidRPr="00CF57BA">
              <w:rPr>
                <w:lang w:val="en-US"/>
              </w:rPr>
              <w:t>000</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653</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000</w:t>
            </w:r>
          </w:p>
        </w:tc>
        <w:tc>
          <w:tcPr>
            <w:tcW w:w="1020" w:type="dxa"/>
          </w:tcPr>
          <w:p w:rsidR="00177138" w:rsidRPr="00CF57BA" w:rsidRDefault="00177138" w:rsidP="00177138">
            <w:pPr>
              <w:pStyle w:val="Tabletext"/>
              <w:jc w:val="center"/>
              <w:rPr>
                <w:lang w:val="en-US"/>
              </w:rPr>
            </w:pPr>
            <w:r w:rsidRPr="00CF57BA">
              <w:rPr>
                <w:lang w:val="en-US"/>
              </w:rPr>
              <w:t>50</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000</w:t>
            </w:r>
          </w:p>
        </w:tc>
      </w:tr>
      <w:tr w:rsidR="00177138" w:rsidRPr="005B78E7" w:rsidTr="008E05A5">
        <w:tc>
          <w:tcPr>
            <w:tcW w:w="794" w:type="dxa"/>
          </w:tcPr>
          <w:p w:rsidR="00177138" w:rsidRPr="00CF57BA" w:rsidRDefault="00177138" w:rsidP="00177138">
            <w:pPr>
              <w:pStyle w:val="Tabletext"/>
              <w:jc w:val="center"/>
              <w:rPr>
                <w:lang w:val="en-US"/>
              </w:rPr>
            </w:pPr>
            <w:r w:rsidRPr="00CF57BA">
              <w:rPr>
                <w:lang w:val="en-US"/>
              </w:rPr>
              <w:t>100</w:t>
            </w:r>
          </w:p>
        </w:tc>
        <w:tc>
          <w:tcPr>
            <w:tcW w:w="1814"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727</w:t>
            </w:r>
          </w:p>
        </w:tc>
        <w:tc>
          <w:tcPr>
            <w:tcW w:w="1276" w:type="dxa"/>
          </w:tcPr>
          <w:p w:rsidR="00177138" w:rsidRPr="00CF57BA" w:rsidRDefault="00177138" w:rsidP="00177138">
            <w:pPr>
              <w:pStyle w:val="Tabletext"/>
              <w:jc w:val="center"/>
              <w:rPr>
                <w:lang w:val="en-US"/>
              </w:rPr>
            </w:pPr>
            <w:r w:rsidRPr="00CF57BA">
              <w:rPr>
                <w:lang w:val="en-US"/>
              </w:rPr>
              <w:t>24</w:t>
            </w:r>
            <w:r>
              <w:rPr>
                <w:lang w:val="en-US"/>
              </w:rPr>
              <w:t>,</w:t>
            </w:r>
            <w:r w:rsidRPr="00CF57BA">
              <w:rPr>
                <w:lang w:val="en-US"/>
              </w:rPr>
              <w:t>000</w:t>
            </w:r>
          </w:p>
        </w:tc>
        <w:tc>
          <w:tcPr>
            <w:tcW w:w="1134" w:type="dxa"/>
          </w:tcPr>
          <w:p w:rsidR="00177138" w:rsidRPr="00CF57BA" w:rsidRDefault="00177138" w:rsidP="00177138">
            <w:pPr>
              <w:pStyle w:val="Tabletext"/>
              <w:jc w:val="center"/>
              <w:rPr>
                <w:lang w:val="en-US"/>
              </w:rPr>
            </w:pPr>
            <w:r w:rsidRPr="00CF57BA">
              <w:rPr>
                <w:lang w:val="en-US"/>
              </w:rPr>
              <w:t>5</w:t>
            </w:r>
            <w:r>
              <w:rPr>
                <w:lang w:val="en-US"/>
              </w:rPr>
              <w:t>,</w:t>
            </w:r>
            <w:r w:rsidRPr="00CF57BA">
              <w:rPr>
                <w:lang w:val="en-US"/>
              </w:rPr>
              <w:t>653</w:t>
            </w:r>
          </w:p>
        </w:tc>
        <w:tc>
          <w:tcPr>
            <w:tcW w:w="1559"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000</w:t>
            </w:r>
          </w:p>
        </w:tc>
        <w:tc>
          <w:tcPr>
            <w:tcW w:w="1020" w:type="dxa"/>
          </w:tcPr>
          <w:p w:rsidR="00177138" w:rsidRPr="00CF57BA" w:rsidRDefault="00177138" w:rsidP="00177138">
            <w:pPr>
              <w:pStyle w:val="Tabletext"/>
              <w:jc w:val="center"/>
              <w:rPr>
                <w:lang w:val="en-US"/>
              </w:rPr>
            </w:pPr>
            <w:r w:rsidRPr="00CF57BA">
              <w:rPr>
                <w:lang w:val="en-US"/>
              </w:rPr>
              <w:t>0</w:t>
            </w:r>
          </w:p>
        </w:tc>
        <w:tc>
          <w:tcPr>
            <w:tcW w:w="2041" w:type="dxa"/>
          </w:tcPr>
          <w:p w:rsidR="00177138" w:rsidRPr="00CF57BA" w:rsidRDefault="00177138" w:rsidP="00177138">
            <w:pPr>
              <w:pStyle w:val="Tabletext"/>
              <w:jc w:val="center"/>
              <w:rPr>
                <w:lang w:val="en-US"/>
              </w:rPr>
            </w:pPr>
            <w:r w:rsidRPr="00CF57BA">
              <w:rPr>
                <w:lang w:val="en-US"/>
              </w:rPr>
              <w:t>0</w:t>
            </w:r>
            <w:r>
              <w:rPr>
                <w:lang w:val="en-US"/>
              </w:rPr>
              <w:t>,</w:t>
            </w:r>
            <w:r w:rsidRPr="00CF57BA">
              <w:rPr>
                <w:lang w:val="en-US"/>
              </w:rPr>
              <w:t>000</w:t>
            </w:r>
          </w:p>
        </w:tc>
      </w:tr>
      <w:tr w:rsidR="00D36E86" w:rsidRPr="005B78E7" w:rsidTr="008E05A5">
        <w:tc>
          <w:tcPr>
            <w:tcW w:w="2608" w:type="dxa"/>
            <w:gridSpan w:val="2"/>
          </w:tcPr>
          <w:p w:rsidR="00D36E86" w:rsidRPr="00CF57BA" w:rsidRDefault="00D36E86" w:rsidP="00D36E86">
            <w:pPr>
              <w:pStyle w:val="Tabletext"/>
              <w:jc w:val="center"/>
              <w:rPr>
                <w:lang w:val="en-US"/>
              </w:rPr>
            </w:pPr>
          </w:p>
        </w:tc>
        <w:tc>
          <w:tcPr>
            <w:tcW w:w="4989" w:type="dxa"/>
            <w:gridSpan w:val="4"/>
          </w:tcPr>
          <w:p w:rsidR="00D36E86" w:rsidRPr="00CF57BA" w:rsidRDefault="00D36E86" w:rsidP="00D36E86">
            <w:pPr>
              <w:pStyle w:val="Tabletext"/>
              <w:jc w:val="center"/>
              <w:rPr>
                <w:lang w:val="en-US"/>
              </w:rPr>
            </w:pPr>
            <w:r>
              <w:rPr>
                <w:lang w:val="en-US"/>
              </w:rPr>
              <w:sym w:font="Symbol" w:char="F06A"/>
            </w:r>
            <w:r w:rsidRPr="00902055">
              <w:rPr>
                <w:i/>
                <w:vertAlign w:val="subscript"/>
                <w:lang w:val="en-US"/>
              </w:rPr>
              <w:t>total</w:t>
            </w:r>
          </w:p>
        </w:tc>
        <w:tc>
          <w:tcPr>
            <w:tcW w:w="2041" w:type="dxa"/>
          </w:tcPr>
          <w:p w:rsidR="00D36E86" w:rsidRPr="00CF57BA" w:rsidRDefault="00D36E86" w:rsidP="00D36E86">
            <w:pPr>
              <w:pStyle w:val="Tabletext"/>
              <w:jc w:val="center"/>
              <w:rPr>
                <w:lang w:val="en-US"/>
              </w:rPr>
            </w:pPr>
            <w:r w:rsidRPr="00CF57BA">
              <w:rPr>
                <w:lang w:val="en-US"/>
              </w:rPr>
              <w:t>4</w:t>
            </w:r>
            <w:r>
              <w:rPr>
                <w:lang w:val="en-US"/>
              </w:rPr>
              <w:t>,</w:t>
            </w:r>
            <w:r w:rsidRPr="00CF57BA">
              <w:rPr>
                <w:lang w:val="en-US"/>
              </w:rPr>
              <w:t>678</w:t>
            </w:r>
          </w:p>
        </w:tc>
      </w:tr>
    </w:tbl>
    <w:p w:rsidR="00177138" w:rsidRDefault="00177138" w:rsidP="00177138">
      <w:pPr>
        <w:pStyle w:val="Tablefin"/>
      </w:pPr>
    </w:p>
    <w:p w:rsidR="00177138" w:rsidRPr="005B78E7" w:rsidRDefault="00177138" w:rsidP="00177138">
      <w:pPr>
        <w:pStyle w:val="FigureNo"/>
        <w:rPr>
          <w:lang w:val="en-US"/>
        </w:rPr>
      </w:pPr>
      <w:r w:rsidRPr="005B78E7">
        <w:rPr>
          <w:lang w:val="en-US"/>
        </w:rPr>
        <w:t>Figur</w:t>
      </w:r>
      <w:r>
        <w:rPr>
          <w:lang w:val="en-US"/>
        </w:rPr>
        <w:t>a</w:t>
      </w:r>
      <w:r w:rsidRPr="005B78E7">
        <w:rPr>
          <w:lang w:val="en-US"/>
        </w:rPr>
        <w:t xml:space="preserve"> 3</w:t>
      </w:r>
    </w:p>
    <w:p w:rsidR="00177138" w:rsidRDefault="00177138" w:rsidP="00177138">
      <w:pPr>
        <w:pStyle w:val="Figuretitle"/>
        <w:rPr>
          <w:lang w:val="es-ES"/>
        </w:rPr>
      </w:pPr>
      <w:r w:rsidRPr="005B78E7">
        <w:rPr>
          <w:lang w:val="es-ES"/>
        </w:rPr>
        <w:t xml:space="preserve">Atenuación debida a la pérdida de propagación, de conformidad con la Recomendación UIT-R P.618, </w:t>
      </w:r>
      <w:r>
        <w:rPr>
          <w:lang w:val="es-ES"/>
        </w:rPr>
        <w:br/>
      </w:r>
      <w:r w:rsidRPr="005B78E7">
        <w:rPr>
          <w:lang w:val="es-ES"/>
        </w:rPr>
        <w:t>para una conexión de satélite que utiliza ACM y funciona en una zona climática semejante</w:t>
      </w:r>
      <w:r w:rsidR="00D36E86">
        <w:rPr>
          <w:lang w:val="es-ES"/>
        </w:rPr>
        <w:br/>
      </w:r>
      <w:r w:rsidRPr="005B78E7">
        <w:rPr>
          <w:lang w:val="es-ES"/>
        </w:rPr>
        <w:t>al sur de Florida, EE.UU.</w:t>
      </w:r>
    </w:p>
    <w:p w:rsidR="00177138" w:rsidRPr="009E59FF" w:rsidRDefault="00023590" w:rsidP="00177138">
      <w:pPr>
        <w:pStyle w:val="Figure"/>
        <w:rPr>
          <w:lang w:val="es-ES"/>
        </w:rPr>
      </w:pPr>
      <w:r>
        <w:rPr>
          <w:lang w:val="es-ES"/>
        </w:rPr>
        <w:object w:dxaOrig="4085" w:dyaOrig="3142">
          <v:shape id="_x0000_i1028" type="#_x0000_t75" style="width:325.8pt;height:252.9pt" o:ole="">
            <v:imagedata r:id="rId19" o:title=""/>
          </v:shape>
          <o:OLEObject Type="Embed" ProgID="CorelDraw.Graphic.17" ShapeID="_x0000_i1028" DrawAspect="Content" ObjectID="_1641217359" r:id="rId20"/>
        </w:object>
      </w:r>
    </w:p>
    <w:p w:rsidR="00177138" w:rsidRPr="005B78E7" w:rsidRDefault="00177138" w:rsidP="00177138">
      <w:pPr>
        <w:pStyle w:val="Normalaftertitle"/>
        <w:rPr>
          <w:lang w:val="es-ES"/>
        </w:rPr>
      </w:pPr>
      <w:r w:rsidRPr="005B78E7">
        <w:rPr>
          <w:lang w:val="es-ES"/>
        </w:rPr>
        <w:lastRenderedPageBreak/>
        <w:t>Suponiendo que la conexión de satélite tenga una atenuación como función del tiempo total como la de la Fig</w:t>
      </w:r>
      <w:r>
        <w:rPr>
          <w:lang w:val="es-ES"/>
        </w:rPr>
        <w:t>. </w:t>
      </w:r>
      <w:r w:rsidRPr="005B78E7">
        <w:rPr>
          <w:lang w:val="es-ES"/>
        </w:rPr>
        <w:t>4, la media de la pérdida de caudal que puede esperarse será del 4,678% del caudal total posible.</w:t>
      </w:r>
    </w:p>
    <w:p w:rsidR="00177138" w:rsidRPr="005B78E7" w:rsidRDefault="00177138" w:rsidP="00177138">
      <w:pPr>
        <w:pStyle w:val="Equation"/>
        <w:rPr>
          <w:lang w:val="es-ES"/>
        </w:rPr>
      </w:pPr>
      <w:r w:rsidRPr="005B78E7">
        <w:rPr>
          <w:lang w:val="es-ES"/>
        </w:rPr>
        <w:tab/>
      </w:r>
      <w:r w:rsidRPr="005B78E7">
        <w:rPr>
          <w:lang w:val="es-ES"/>
        </w:rPr>
        <w:tab/>
        <w:t>Caudal = Velocidad de canal × Tiempo</w:t>
      </w:r>
      <w:r w:rsidRPr="005B78E7">
        <w:rPr>
          <w:lang w:val="es-ES"/>
        </w:rPr>
        <w:tab/>
        <w:t>(6)</w:t>
      </w:r>
    </w:p>
    <w:p w:rsidR="00177138" w:rsidRPr="005B78E7" w:rsidRDefault="00177138" w:rsidP="00177138">
      <w:pPr>
        <w:pStyle w:val="Equation"/>
        <w:rPr>
          <w:lang w:val="es-ES"/>
        </w:rPr>
      </w:pPr>
      <w:r w:rsidRPr="005B78E7">
        <w:rPr>
          <w:lang w:val="es-ES"/>
        </w:rPr>
        <w:tab/>
      </w:r>
      <w:r w:rsidRPr="005B78E7">
        <w:rPr>
          <w:lang w:val="es-ES"/>
        </w:rPr>
        <w:tab/>
        <w:t>Pérdida de caudal = Caudal disponible máximo – Caudal entregado</w:t>
      </w:r>
      <w:r>
        <w:rPr>
          <w:lang w:val="es-ES"/>
        </w:rPr>
        <w:tab/>
      </w:r>
      <w:r w:rsidRPr="005B78E7">
        <w:rPr>
          <w:lang w:val="es-ES"/>
        </w:rPr>
        <w:t>(7)</w:t>
      </w:r>
    </w:p>
    <w:p w:rsidR="00177138" w:rsidRPr="005B78E7" w:rsidRDefault="00902055" w:rsidP="00177138">
      <w:pPr>
        <w:pStyle w:val="Equation"/>
        <w:rPr>
          <w:lang w:val="es-ES"/>
        </w:rPr>
      </w:pPr>
      <w:r>
        <w:rPr>
          <w:lang w:val="es-ES"/>
        </w:rPr>
        <w:tab/>
      </w:r>
      <w:r>
        <w:rPr>
          <w:lang w:val="es-ES"/>
        </w:rPr>
        <w:tab/>
      </w:r>
      <w:r w:rsidR="00177138" w:rsidRPr="005B78E7">
        <w:rPr>
          <w:lang w:val="es-ES"/>
        </w:rPr>
        <w:t>% de degradación del caudal = (pérdida de caudal/caudal disponible máximo) × 100</w:t>
      </w:r>
      <w:r w:rsidR="00177138" w:rsidRPr="005B78E7">
        <w:rPr>
          <w:lang w:val="es-ES"/>
        </w:rPr>
        <w:tab/>
        <w:t>(8)</w:t>
      </w:r>
    </w:p>
    <w:p w:rsidR="00177138" w:rsidRPr="005B78E7" w:rsidRDefault="00177138" w:rsidP="00177138">
      <w:pPr>
        <w:rPr>
          <w:lang w:val="es-ES"/>
        </w:rPr>
      </w:pPr>
      <w:r w:rsidRPr="005B78E7">
        <w:rPr>
          <w:lang w:val="es-ES"/>
        </w:rPr>
        <w:t>En el Adjunto al presente Anexo se da un ejemplo de cálculo del % de degradación del caudal.</w:t>
      </w:r>
    </w:p>
    <w:p w:rsidR="00177138" w:rsidRPr="005B78E7" w:rsidRDefault="00177138" w:rsidP="00177138">
      <w:pPr>
        <w:pStyle w:val="FigureNo"/>
        <w:rPr>
          <w:lang w:val="es-ES"/>
        </w:rPr>
      </w:pPr>
      <w:r w:rsidRPr="005B78E7">
        <w:rPr>
          <w:lang w:val="es-ES"/>
        </w:rPr>
        <w:t>Figur</w:t>
      </w:r>
      <w:r>
        <w:rPr>
          <w:lang w:val="es-ES"/>
        </w:rPr>
        <w:t>a</w:t>
      </w:r>
      <w:r w:rsidRPr="005B78E7">
        <w:rPr>
          <w:lang w:val="es-ES"/>
        </w:rPr>
        <w:t xml:space="preserve"> 4</w:t>
      </w:r>
    </w:p>
    <w:p w:rsidR="00177138" w:rsidRDefault="00177138" w:rsidP="00177138">
      <w:pPr>
        <w:pStyle w:val="Figuretitle"/>
        <w:rPr>
          <w:lang w:val="es-ES"/>
        </w:rPr>
      </w:pPr>
      <w:r w:rsidRPr="005B78E7">
        <w:rPr>
          <w:lang w:val="es-ES"/>
        </w:rPr>
        <w:t>Eficacia espectral y pérdida de caudal</w:t>
      </w:r>
      <w:r w:rsidRPr="005B78E7">
        <w:rPr>
          <w:vertAlign w:val="superscript"/>
          <w:lang w:val="es-ES"/>
        </w:rPr>
        <w:t xml:space="preserve"> *</w:t>
      </w:r>
      <w:r w:rsidRPr="005B78E7">
        <w:rPr>
          <w:lang w:val="es-ES"/>
        </w:rPr>
        <w:t xml:space="preserve"> para una conexión de satélite que utiliza ACM </w:t>
      </w:r>
      <w:r w:rsidRPr="005B78E7">
        <w:rPr>
          <w:lang w:val="es-ES"/>
        </w:rPr>
        <w:br/>
        <w:t>y funciona en una zona climática semejante al sur de Florida, EE.UU.</w:t>
      </w:r>
    </w:p>
    <w:p w:rsidR="00177138" w:rsidRPr="001478EF" w:rsidRDefault="00023590" w:rsidP="00177138">
      <w:pPr>
        <w:pStyle w:val="Figure"/>
        <w:rPr>
          <w:lang w:val="es-ES"/>
        </w:rPr>
      </w:pPr>
      <w:r>
        <w:rPr>
          <w:lang w:val="es-ES"/>
        </w:rPr>
        <w:object w:dxaOrig="4371" w:dyaOrig="3425">
          <v:shape id="_x0000_i1029" type="#_x0000_t75" style="width:326.3pt;height:254.3pt" o:ole="">
            <v:imagedata r:id="rId21" o:title=""/>
          </v:shape>
          <o:OLEObject Type="Embed" ProgID="CorelDraw.Graphic.17" ShapeID="_x0000_i1029" DrawAspect="Content" ObjectID="_1641217360" r:id="rId22"/>
        </w:object>
      </w:r>
    </w:p>
    <w:p w:rsidR="00177138" w:rsidRDefault="00177138" w:rsidP="00177138">
      <w:pPr>
        <w:pStyle w:val="AppendixNoTitle"/>
        <w:rPr>
          <w:lang w:val="es-ES"/>
        </w:rPr>
      </w:pPr>
      <w:r w:rsidRPr="005B78E7">
        <w:rPr>
          <w:lang w:val="es-ES"/>
        </w:rPr>
        <w:t xml:space="preserve">Adjunto </w:t>
      </w:r>
      <w:r w:rsidRPr="005B78E7">
        <w:rPr>
          <w:lang w:val="es-ES"/>
        </w:rPr>
        <w:br/>
        <w:t>al Anexo</w:t>
      </w:r>
      <w:r w:rsidRPr="005B78E7">
        <w:rPr>
          <w:lang w:val="es-ES"/>
        </w:rPr>
        <w:br/>
      </w:r>
      <w:r w:rsidRPr="005B78E7">
        <w:rPr>
          <w:lang w:val="es-ES"/>
        </w:rPr>
        <w:br/>
        <w:t>Ejemplo de cálculo del % de degradación del caudal</w:t>
      </w:r>
    </w:p>
    <w:p w:rsidR="008E05A5" w:rsidRPr="008E05A5" w:rsidRDefault="008E05A5" w:rsidP="008E05A5">
      <w:pPr>
        <w:pStyle w:val="Normalaftertitle"/>
        <w:rPr>
          <w:lang w:val="es-ES"/>
        </w:rPr>
      </w:pPr>
      <w:r w:rsidRPr="00480558">
        <w:rPr>
          <w:lang w:val="es-ES"/>
        </w:rPr>
        <w:t>Se supone que la mejor MODCOD alcanzable es 16MDPA</w:t>
      </w:r>
      <w:r w:rsidR="00706B16">
        <w:rPr>
          <w:lang w:val="es-ES"/>
        </w:rPr>
        <w:t> </w:t>
      </w:r>
      <w:r w:rsidRPr="00480558">
        <w:rPr>
          <w:lang w:val="es-ES"/>
        </w:rPr>
        <w:t>77/90. Se supone además que la velocidad de modulación del canal es de 34</w:t>
      </w:r>
      <w:r w:rsidR="00706B16">
        <w:rPr>
          <w:lang w:val="es-ES"/>
        </w:rPr>
        <w:t> </w:t>
      </w:r>
      <w:r w:rsidRPr="00480558">
        <w:rPr>
          <w:lang w:val="es-ES"/>
        </w:rPr>
        <w:t>megabaud por segundo. La combinación de esos supuestos arroja una velocidad binaria de 116,36</w:t>
      </w:r>
      <w:r w:rsidR="00706B16">
        <w:rPr>
          <w:lang w:val="es-ES"/>
        </w:rPr>
        <w:t> </w:t>
      </w:r>
      <w:r w:rsidRPr="00480558">
        <w:rPr>
          <w:lang w:val="es-ES"/>
        </w:rPr>
        <w:t>Mbit/s. Se supone que la conexión utiliza paquetes de 188</w:t>
      </w:r>
      <w:r w:rsidR="00706B16">
        <w:rPr>
          <w:lang w:val="es-ES"/>
        </w:rPr>
        <w:t> </w:t>
      </w:r>
      <w:r w:rsidRPr="00480558">
        <w:rPr>
          <w:lang w:val="es-ES"/>
        </w:rPr>
        <w:t>bytes, siendo cada byte un octeto.</w:t>
      </w:r>
    </w:p>
    <w:p w:rsidR="00177138" w:rsidRPr="005B78E7" w:rsidRDefault="00177138" w:rsidP="008E05A5">
      <w:pPr>
        <w:rPr>
          <w:lang w:val="es-ES"/>
        </w:rPr>
      </w:pPr>
      <w:r w:rsidRPr="005B78E7">
        <w:rPr>
          <w:lang w:val="es-ES"/>
        </w:rPr>
        <w:t>A continuación se muestra el cálculo del caudal disponible máximo (</w:t>
      </w:r>
      <w:r w:rsidRPr="005B78E7">
        <w:rPr>
          <w:i/>
          <w:iCs/>
          <w:lang w:val="es-ES"/>
        </w:rPr>
        <w:t>MAT</w:t>
      </w:r>
      <w:r w:rsidRPr="005B78E7">
        <w:rPr>
          <w:i/>
          <w:iCs/>
          <w:vertAlign w:val="subscript"/>
          <w:lang w:val="es-ES"/>
        </w:rPr>
        <w:t>put</w:t>
      </w:r>
      <w:r w:rsidRPr="005B78E7">
        <w:rPr>
          <w:lang w:val="es-ES"/>
        </w:rPr>
        <w:t>), el caudal entregado (</w:t>
      </w:r>
      <w:r w:rsidRPr="005B78E7">
        <w:rPr>
          <w:i/>
          <w:iCs/>
          <w:lang w:val="es-ES"/>
        </w:rPr>
        <w:t>DT</w:t>
      </w:r>
      <w:r w:rsidRPr="005B78E7">
        <w:rPr>
          <w:i/>
          <w:iCs/>
          <w:vertAlign w:val="subscript"/>
          <w:lang w:val="es-ES"/>
        </w:rPr>
        <w:t>put</w:t>
      </w:r>
      <w:r w:rsidRPr="005B78E7">
        <w:rPr>
          <w:lang w:val="es-ES"/>
        </w:rPr>
        <w:t>), la pérdida de caudal (</w:t>
      </w:r>
      <w:r w:rsidRPr="005B78E7">
        <w:rPr>
          <w:i/>
          <w:iCs/>
          <w:lang w:val="es-ES"/>
        </w:rPr>
        <w:t>LT</w:t>
      </w:r>
      <w:r w:rsidRPr="005B78E7">
        <w:rPr>
          <w:i/>
          <w:iCs/>
          <w:vertAlign w:val="subscript"/>
          <w:lang w:val="es-ES"/>
        </w:rPr>
        <w:t>put</w:t>
      </w:r>
      <w:r w:rsidRPr="005B78E7">
        <w:rPr>
          <w:lang w:val="es-ES"/>
        </w:rPr>
        <w:t>) y el % de degradación del caudal (%</w:t>
      </w:r>
      <w:r w:rsidRPr="005B78E7">
        <w:rPr>
          <w:i/>
          <w:iCs/>
          <w:lang w:val="es-ES"/>
        </w:rPr>
        <w:t>DT</w:t>
      </w:r>
      <w:r w:rsidRPr="005B78E7">
        <w:rPr>
          <w:i/>
          <w:iCs/>
          <w:vertAlign w:val="subscript"/>
          <w:lang w:val="es-ES"/>
        </w:rPr>
        <w:t>put</w:t>
      </w:r>
      <w:r w:rsidRPr="005B78E7">
        <w:rPr>
          <w:lang w:val="es-ES"/>
        </w:rPr>
        <w:t>):</w:t>
      </w:r>
    </w:p>
    <w:p w:rsidR="00177138" w:rsidRPr="005B78E7" w:rsidRDefault="00177138" w:rsidP="00177138">
      <w:pPr>
        <w:pStyle w:val="Equation"/>
        <w:rPr>
          <w:lang w:val="es-ES"/>
        </w:rPr>
      </w:pPr>
      <w:r w:rsidRPr="005B78E7">
        <w:rPr>
          <w:lang w:val="es-ES"/>
        </w:rPr>
        <w:tab/>
      </w:r>
      <w:r w:rsidRPr="005B78E7">
        <w:rPr>
          <w:lang w:val="es-ES"/>
        </w:rPr>
        <w:tab/>
      </w:r>
      <w:r w:rsidRPr="005B78E7">
        <w:rPr>
          <w:i/>
          <w:iCs/>
          <w:lang w:val="es-ES"/>
        </w:rPr>
        <w:t>MAT</w:t>
      </w:r>
      <w:r w:rsidRPr="005B78E7">
        <w:rPr>
          <w:i/>
          <w:iCs/>
          <w:vertAlign w:val="subscript"/>
          <w:lang w:val="es-ES"/>
        </w:rPr>
        <w:t>put</w:t>
      </w:r>
      <w:r w:rsidRPr="005B78E7">
        <w:rPr>
          <w:lang w:val="es-ES"/>
        </w:rPr>
        <w:t xml:space="preserve"> = Velocidad de canal máxima (bit/s) × </w:t>
      </w:r>
      <w:r w:rsidRPr="005B78E7">
        <w:rPr>
          <w:i/>
          <w:iCs/>
          <w:lang w:val="es-ES"/>
        </w:rPr>
        <w:t>Tiempo</w:t>
      </w:r>
      <w:r w:rsidRPr="005B78E7">
        <w:rPr>
          <w:lang w:val="es-ES"/>
        </w:rPr>
        <w:t xml:space="preserve"> (s)</w:t>
      </w:r>
      <w:r w:rsidRPr="005B78E7">
        <w:rPr>
          <w:lang w:val="es-ES"/>
        </w:rPr>
        <w:tab/>
        <w:t>(9)</w:t>
      </w:r>
    </w:p>
    <w:p w:rsidR="00177138" w:rsidRPr="005B78E7" w:rsidRDefault="00177138" w:rsidP="00177138">
      <w:pPr>
        <w:pStyle w:val="Equation"/>
        <w:rPr>
          <w:lang w:val="en-US"/>
        </w:rPr>
      </w:pPr>
      <w:r w:rsidRPr="005B78E7">
        <w:rPr>
          <w:lang w:val="es-ES"/>
        </w:rPr>
        <w:tab/>
      </w:r>
      <w:r w:rsidRPr="005B78E7">
        <w:rPr>
          <w:lang w:val="es-ES"/>
        </w:rPr>
        <w:tab/>
      </w:r>
      <w:r w:rsidRPr="005B78E7">
        <w:rPr>
          <w:i/>
          <w:iCs/>
          <w:lang w:val="en-US"/>
        </w:rPr>
        <w:t>DT</w:t>
      </w:r>
      <w:r w:rsidRPr="005B78E7">
        <w:rPr>
          <w:i/>
          <w:iCs/>
          <w:vertAlign w:val="subscript"/>
          <w:lang w:val="en-US"/>
        </w:rPr>
        <w:t>put</w:t>
      </w:r>
      <w:r w:rsidRPr="005B78E7">
        <w:rPr>
          <w:lang w:val="en-US"/>
        </w:rPr>
        <w:t xml:space="preserve"> =</w:t>
      </w:r>
      <w:r>
        <w:rPr>
          <w:lang w:val="en-US"/>
        </w:rPr>
        <w:t xml:space="preserve"> Σ </w:t>
      </w:r>
      <w:r w:rsidRPr="005B78E7">
        <w:rPr>
          <w:lang w:val="en-US"/>
        </w:rPr>
        <w:t>Velocidad de canal (</w:t>
      </w:r>
      <w:r w:rsidRPr="005B78E7">
        <w:rPr>
          <w:i/>
          <w:iCs/>
          <w:lang w:val="en-US"/>
        </w:rPr>
        <w:t>C/N</w:t>
      </w:r>
      <w:r w:rsidRPr="005B78E7">
        <w:rPr>
          <w:lang w:val="en-US"/>
        </w:rPr>
        <w:t>)</w:t>
      </w:r>
      <w:r w:rsidRPr="005B78E7">
        <w:rPr>
          <w:vertAlign w:val="subscript"/>
          <w:lang w:val="en-US"/>
        </w:rPr>
        <w:t>i</w:t>
      </w:r>
      <w:r w:rsidRPr="005B78E7">
        <w:rPr>
          <w:lang w:val="en-US"/>
        </w:rPr>
        <w:t xml:space="preserve"> (bit/s) × </w:t>
      </w:r>
      <w:r w:rsidRPr="005B78E7">
        <w:rPr>
          <w:i/>
          <w:iCs/>
          <w:lang w:val="en-US"/>
        </w:rPr>
        <w:t>Tiempo</w:t>
      </w:r>
      <w:r w:rsidRPr="005B78E7">
        <w:rPr>
          <w:i/>
          <w:iCs/>
          <w:vertAlign w:val="subscript"/>
          <w:lang w:val="en-US"/>
        </w:rPr>
        <w:t>i</w:t>
      </w:r>
      <w:r w:rsidRPr="005B78E7">
        <w:rPr>
          <w:lang w:val="en-US"/>
        </w:rPr>
        <w:t xml:space="preserve"> (s)</w:t>
      </w:r>
      <w:r w:rsidRPr="005B78E7">
        <w:rPr>
          <w:lang w:val="en-US"/>
        </w:rPr>
        <w:tab/>
        <w:t>(10)</w:t>
      </w:r>
    </w:p>
    <w:p w:rsidR="00177138" w:rsidRPr="005B78E7" w:rsidRDefault="00177138" w:rsidP="00177138">
      <w:pPr>
        <w:pStyle w:val="Equation"/>
        <w:rPr>
          <w:lang w:val="en-US"/>
        </w:rPr>
      </w:pPr>
      <w:r w:rsidRPr="005B78E7">
        <w:rPr>
          <w:lang w:val="en-US"/>
        </w:rPr>
        <w:tab/>
      </w:r>
      <w:r w:rsidRPr="005B78E7">
        <w:rPr>
          <w:lang w:val="en-US"/>
        </w:rPr>
        <w:tab/>
      </w:r>
      <w:r w:rsidRPr="005B78E7">
        <w:rPr>
          <w:i/>
          <w:iCs/>
          <w:lang w:val="en-US"/>
        </w:rPr>
        <w:t>LT</w:t>
      </w:r>
      <w:r w:rsidRPr="005B78E7">
        <w:rPr>
          <w:i/>
          <w:iCs/>
          <w:vertAlign w:val="subscript"/>
          <w:lang w:val="en-US"/>
        </w:rPr>
        <w:t>put</w:t>
      </w:r>
      <w:r w:rsidRPr="005B78E7">
        <w:rPr>
          <w:lang w:val="en-US"/>
        </w:rPr>
        <w:t xml:space="preserve"> = </w:t>
      </w:r>
      <w:r w:rsidRPr="005B78E7">
        <w:rPr>
          <w:i/>
          <w:iCs/>
          <w:lang w:val="en-US"/>
        </w:rPr>
        <w:t>MAT</w:t>
      </w:r>
      <w:r w:rsidRPr="005B78E7">
        <w:rPr>
          <w:i/>
          <w:iCs/>
          <w:vertAlign w:val="subscript"/>
          <w:lang w:val="en-US"/>
        </w:rPr>
        <w:t>put</w:t>
      </w:r>
      <w:r w:rsidRPr="005B78E7">
        <w:rPr>
          <w:lang w:val="en-US"/>
        </w:rPr>
        <w:t xml:space="preserve"> – </w:t>
      </w:r>
      <w:r w:rsidRPr="005B78E7">
        <w:rPr>
          <w:i/>
          <w:iCs/>
          <w:lang w:val="en-US"/>
        </w:rPr>
        <w:t>DT</w:t>
      </w:r>
      <w:r w:rsidRPr="005B78E7">
        <w:rPr>
          <w:i/>
          <w:iCs/>
          <w:vertAlign w:val="subscript"/>
          <w:lang w:val="en-US"/>
        </w:rPr>
        <w:t>put</w:t>
      </w:r>
      <w:r w:rsidRPr="005B78E7">
        <w:rPr>
          <w:lang w:val="en-US"/>
        </w:rPr>
        <w:tab/>
        <w:t>(11)</w:t>
      </w:r>
    </w:p>
    <w:p w:rsidR="00177138" w:rsidRPr="005B78E7" w:rsidRDefault="00177138" w:rsidP="00177138">
      <w:pPr>
        <w:pStyle w:val="Equation"/>
        <w:rPr>
          <w:lang w:val="es-ES"/>
        </w:rPr>
      </w:pPr>
      <w:r w:rsidRPr="005B78E7">
        <w:rPr>
          <w:lang w:val="en-US"/>
        </w:rPr>
        <w:tab/>
      </w:r>
      <w:r w:rsidRPr="005B78E7">
        <w:rPr>
          <w:lang w:val="en-US"/>
        </w:rPr>
        <w:tab/>
      </w:r>
      <w:r w:rsidRPr="005B78E7">
        <w:rPr>
          <w:lang w:val="es-ES"/>
        </w:rPr>
        <w:t>%</w:t>
      </w:r>
      <w:r w:rsidRPr="005B78E7">
        <w:rPr>
          <w:i/>
          <w:iCs/>
          <w:lang w:val="es-ES"/>
        </w:rPr>
        <w:t>DT</w:t>
      </w:r>
      <w:r w:rsidRPr="005B78E7">
        <w:rPr>
          <w:i/>
          <w:iCs/>
          <w:vertAlign w:val="subscript"/>
          <w:lang w:val="es-ES"/>
        </w:rPr>
        <w:t>put</w:t>
      </w:r>
      <w:r w:rsidRPr="005B78E7">
        <w:rPr>
          <w:lang w:val="es-ES"/>
        </w:rPr>
        <w:t xml:space="preserve"> = (</w:t>
      </w:r>
      <w:r w:rsidRPr="005B78E7">
        <w:rPr>
          <w:i/>
          <w:iCs/>
          <w:lang w:val="es-ES"/>
        </w:rPr>
        <w:t>LT</w:t>
      </w:r>
      <w:r w:rsidRPr="005B78E7">
        <w:rPr>
          <w:i/>
          <w:iCs/>
          <w:vertAlign w:val="subscript"/>
          <w:lang w:val="es-ES"/>
        </w:rPr>
        <w:t>put</w:t>
      </w:r>
      <w:r w:rsidRPr="005B78E7">
        <w:rPr>
          <w:lang w:val="es-ES"/>
        </w:rPr>
        <w:t>/</w:t>
      </w:r>
      <w:r w:rsidRPr="005B78E7">
        <w:rPr>
          <w:i/>
          <w:iCs/>
          <w:lang w:val="es-ES"/>
        </w:rPr>
        <w:t>MAT</w:t>
      </w:r>
      <w:r w:rsidRPr="005B78E7">
        <w:rPr>
          <w:i/>
          <w:iCs/>
          <w:vertAlign w:val="subscript"/>
          <w:lang w:val="es-ES"/>
        </w:rPr>
        <w:t>put</w:t>
      </w:r>
      <w:r w:rsidRPr="005B78E7">
        <w:rPr>
          <w:lang w:val="es-ES"/>
        </w:rPr>
        <w:t>) × 100</w:t>
      </w:r>
      <w:r w:rsidRPr="005B78E7">
        <w:rPr>
          <w:lang w:val="es-ES"/>
        </w:rPr>
        <w:tab/>
        <w:t>(12)</w:t>
      </w:r>
    </w:p>
    <w:p w:rsidR="00177138" w:rsidRPr="005B78E7" w:rsidRDefault="00177138" w:rsidP="00177138">
      <w:pPr>
        <w:keepNext/>
        <w:keepLines/>
        <w:rPr>
          <w:lang w:val="es-ES"/>
        </w:rPr>
      </w:pPr>
      <w:r w:rsidRPr="005B78E7">
        <w:rPr>
          <w:lang w:val="es-ES"/>
        </w:rPr>
        <w:lastRenderedPageBreak/>
        <w:t>Con los valores supuestos:</w:t>
      </w:r>
    </w:p>
    <w:p w:rsidR="00177138" w:rsidRPr="005B78E7" w:rsidRDefault="00177138" w:rsidP="00177138">
      <w:pPr>
        <w:rPr>
          <w:lang w:val="es-ES"/>
        </w:rPr>
      </w:pPr>
      <w:r w:rsidRPr="005B78E7">
        <w:rPr>
          <w:i/>
          <w:iCs/>
          <w:lang w:val="es-ES"/>
        </w:rPr>
        <w:t>MAT</w:t>
      </w:r>
      <w:r w:rsidRPr="005B78E7">
        <w:rPr>
          <w:i/>
          <w:iCs/>
          <w:vertAlign w:val="subscript"/>
          <w:lang w:val="es-ES"/>
        </w:rPr>
        <w:t>put</w:t>
      </w:r>
      <w:r w:rsidRPr="005B78E7">
        <w:rPr>
          <w:lang w:val="es-ES"/>
        </w:rPr>
        <w:t xml:space="preserve"> = 116,36 Mbit/s × 31557600 s/año = 3,67 × 10</w:t>
      </w:r>
      <w:r w:rsidRPr="005B78E7">
        <w:rPr>
          <w:vertAlign w:val="superscript"/>
          <w:lang w:val="es-ES"/>
        </w:rPr>
        <w:t>15</w:t>
      </w:r>
      <w:r w:rsidRPr="00D07801">
        <w:t xml:space="preserve"> </w:t>
      </w:r>
      <w:r w:rsidRPr="005B78E7">
        <w:rPr>
          <w:lang w:val="es-ES"/>
        </w:rPr>
        <w:t>bits o 2,44 × 10</w:t>
      </w:r>
      <w:r w:rsidRPr="005B78E7">
        <w:rPr>
          <w:vertAlign w:val="superscript"/>
          <w:lang w:val="es-ES"/>
        </w:rPr>
        <w:t>12</w:t>
      </w:r>
      <w:r w:rsidRPr="005B78E7">
        <w:rPr>
          <w:lang w:val="es-ES"/>
        </w:rPr>
        <w:t xml:space="preserve"> paquetes por año.</w:t>
      </w:r>
    </w:p>
    <w:p w:rsidR="00177138" w:rsidRPr="005B78E7" w:rsidRDefault="00177138" w:rsidP="00177138">
      <w:pPr>
        <w:rPr>
          <w:lang w:val="es-ES"/>
        </w:rPr>
      </w:pPr>
      <w:r w:rsidRPr="005B78E7">
        <w:rPr>
          <w:lang w:val="es-ES"/>
        </w:rPr>
        <w:t>Utilizando los datos del Cuadro</w:t>
      </w:r>
      <w:r w:rsidR="00706B16">
        <w:rPr>
          <w:lang w:val="es-ES"/>
        </w:rPr>
        <w:t> </w:t>
      </w:r>
      <w:r w:rsidRPr="005B78E7">
        <w:rPr>
          <w:lang w:val="es-ES"/>
        </w:rPr>
        <w:t xml:space="preserve">5 y suponiendo que la velocidad de canal varía igual que la eficacia espectral, </w:t>
      </w:r>
      <w:r w:rsidRPr="005B78E7">
        <w:rPr>
          <w:i/>
          <w:iCs/>
          <w:lang w:val="es-ES"/>
        </w:rPr>
        <w:t>LT</w:t>
      </w:r>
      <w:r w:rsidRPr="005B78E7">
        <w:rPr>
          <w:i/>
          <w:iCs/>
          <w:vertAlign w:val="subscript"/>
          <w:lang w:val="es-ES"/>
        </w:rPr>
        <w:t>put</w:t>
      </w:r>
      <w:r w:rsidRPr="005B78E7">
        <w:rPr>
          <w:lang w:val="es-ES"/>
        </w:rPr>
        <w:t xml:space="preserve"> es 1,14</w:t>
      </w:r>
      <w:r>
        <w:rPr>
          <w:lang w:val="es-ES"/>
        </w:rPr>
        <w:t xml:space="preserve"> </w:t>
      </w:r>
      <w:r w:rsidRPr="005B78E7">
        <w:rPr>
          <w:lang w:val="es-ES"/>
        </w:rPr>
        <w:t>× 10</w:t>
      </w:r>
      <w:r w:rsidRPr="005B78E7">
        <w:rPr>
          <w:vertAlign w:val="superscript"/>
          <w:lang w:val="es-ES"/>
        </w:rPr>
        <w:t>11</w:t>
      </w:r>
      <w:r w:rsidRPr="005B78E7">
        <w:rPr>
          <w:lang w:val="es-ES"/>
        </w:rPr>
        <w:t xml:space="preserve"> paquetes y %</w:t>
      </w:r>
      <w:r w:rsidRPr="005B78E7">
        <w:rPr>
          <w:i/>
          <w:iCs/>
          <w:lang w:val="es-ES"/>
        </w:rPr>
        <w:t>DT</w:t>
      </w:r>
      <w:r w:rsidRPr="005B78E7">
        <w:rPr>
          <w:i/>
          <w:iCs/>
          <w:vertAlign w:val="subscript"/>
          <w:lang w:val="es-ES"/>
        </w:rPr>
        <w:t>put</w:t>
      </w:r>
      <w:r w:rsidRPr="005B78E7">
        <w:rPr>
          <w:lang w:val="es-ES"/>
        </w:rPr>
        <w:t xml:space="preserve"> = 4,678%.</w:t>
      </w:r>
    </w:p>
    <w:p w:rsidR="00177138" w:rsidRPr="00A2583B" w:rsidRDefault="00177138" w:rsidP="00177138">
      <w:pPr>
        <w:pStyle w:val="TableNo"/>
        <w:rPr>
          <w:lang w:val="es-ES"/>
        </w:rPr>
      </w:pPr>
      <w:r w:rsidRPr="00A2583B">
        <w:rPr>
          <w:lang w:val="es-ES"/>
        </w:rPr>
        <w:t>CUADRO 5</w:t>
      </w:r>
    </w:p>
    <w:p w:rsidR="00177138" w:rsidRDefault="00177138" w:rsidP="00177138">
      <w:pPr>
        <w:pStyle w:val="Tabletitle"/>
        <w:rPr>
          <w:lang w:val="es-ES"/>
        </w:rPr>
      </w:pPr>
      <w:r w:rsidRPr="005B78E7">
        <w:rPr>
          <w:lang w:val="es-ES"/>
        </w:rPr>
        <w:t xml:space="preserve">% de degradación del caudal a 34 megabaud por segundo, 16MDPA 77/90, </w:t>
      </w:r>
      <w:r w:rsidR="00706B16">
        <w:rPr>
          <w:lang w:val="es-ES"/>
        </w:rPr>
        <w:br/>
      </w:r>
      <w:r w:rsidR="00706B16" w:rsidRPr="005B78E7">
        <w:rPr>
          <w:lang w:val="es-ES"/>
        </w:rPr>
        <w:t xml:space="preserve">paquetes </w:t>
      </w:r>
      <w:r w:rsidRPr="005B78E7">
        <w:rPr>
          <w:lang w:val="es-ES"/>
        </w:rPr>
        <w:t>de</w:t>
      </w:r>
      <w:r w:rsidR="00706B16">
        <w:rPr>
          <w:lang w:val="es-ES"/>
        </w:rPr>
        <w:t xml:space="preserve"> </w:t>
      </w:r>
      <w:r w:rsidRPr="005B78E7">
        <w:rPr>
          <w:lang w:val="es-ES"/>
        </w:rPr>
        <w:t>188</w:t>
      </w:r>
      <w:r>
        <w:rPr>
          <w:lang w:val="es-ES"/>
        </w:rPr>
        <w:t> </w:t>
      </w:r>
      <w:r w:rsidRPr="005B78E7">
        <w:rPr>
          <w:lang w:val="es-ES"/>
        </w:rPr>
        <w:t xml:space="preserve">bytes, 116,36 Mbit/s, </w:t>
      </w:r>
      <w:r>
        <w:rPr>
          <w:lang w:val="es-ES"/>
        </w:rPr>
        <w:t>c</w:t>
      </w:r>
      <w:r w:rsidRPr="005B78E7">
        <w:rPr>
          <w:lang w:val="es-ES"/>
        </w:rPr>
        <w:t>audal disponible</w:t>
      </w:r>
      <w:r w:rsidR="00D07801">
        <w:rPr>
          <w:lang w:val="es-ES"/>
        </w:rPr>
        <w:br/>
      </w:r>
      <w:r w:rsidRPr="005B78E7">
        <w:rPr>
          <w:lang w:val="es-ES"/>
        </w:rPr>
        <w:t>máximo = 2,44 × 10</w:t>
      </w:r>
      <w:r w:rsidRPr="005B78E7">
        <w:rPr>
          <w:vertAlign w:val="superscript"/>
          <w:lang w:val="es-ES"/>
        </w:rPr>
        <w:t>12</w:t>
      </w:r>
      <w:r w:rsidRPr="005B78E7">
        <w:rPr>
          <w:lang w:val="es-ES"/>
        </w:rPr>
        <w:t xml:space="preserve"> paquetes/año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292"/>
        <w:gridCol w:w="1270"/>
        <w:gridCol w:w="1189"/>
        <w:gridCol w:w="1044"/>
        <w:gridCol w:w="1644"/>
        <w:gridCol w:w="2268"/>
      </w:tblGrid>
      <w:tr w:rsidR="00177138" w:rsidRPr="000E5FF8" w:rsidTr="00023590">
        <w:trPr>
          <w:tblHeader/>
          <w:jc w:val="center"/>
        </w:trPr>
        <w:tc>
          <w:tcPr>
            <w:tcW w:w="939" w:type="dxa"/>
            <w:shd w:val="clear" w:color="auto" w:fill="auto"/>
            <w:noWrap/>
            <w:vAlign w:val="center"/>
            <w:hideMark/>
          </w:tcPr>
          <w:p w:rsidR="00177138" w:rsidRPr="000E5FF8" w:rsidRDefault="00177138" w:rsidP="00177138">
            <w:pPr>
              <w:pStyle w:val="Tablehead"/>
              <w:rPr>
                <w:lang w:val="es-ES"/>
              </w:rPr>
            </w:pPr>
            <w:r w:rsidRPr="000E5FF8">
              <w:rPr>
                <w:lang w:val="es-ES"/>
              </w:rPr>
              <w:t xml:space="preserve">% </w:t>
            </w:r>
            <w:r>
              <w:rPr>
                <w:lang w:val="es-ES"/>
              </w:rPr>
              <w:t>de t</w:t>
            </w:r>
            <w:r w:rsidRPr="000E5FF8">
              <w:rPr>
                <w:lang w:val="es-ES"/>
              </w:rPr>
              <w:t>iempo</w:t>
            </w:r>
          </w:p>
        </w:tc>
        <w:tc>
          <w:tcPr>
            <w:tcW w:w="1292" w:type="dxa"/>
            <w:shd w:val="clear" w:color="auto" w:fill="auto"/>
            <w:noWrap/>
            <w:vAlign w:val="center"/>
            <w:hideMark/>
          </w:tcPr>
          <w:p w:rsidR="00177138" w:rsidRPr="000E5FF8" w:rsidRDefault="00177138" w:rsidP="00177138">
            <w:pPr>
              <w:pStyle w:val="Tablehead"/>
              <w:rPr>
                <w:lang w:val="es-ES"/>
              </w:rPr>
            </w:pPr>
            <w:r w:rsidRPr="000E5FF8">
              <w:rPr>
                <w:lang w:val="es-ES"/>
              </w:rPr>
              <w:t>Atenuación total</w:t>
            </w:r>
          </w:p>
        </w:tc>
        <w:tc>
          <w:tcPr>
            <w:tcW w:w="1270" w:type="dxa"/>
            <w:shd w:val="clear" w:color="auto" w:fill="auto"/>
            <w:noWrap/>
            <w:hideMark/>
          </w:tcPr>
          <w:p w:rsidR="00177138" w:rsidRPr="000E5FF8" w:rsidRDefault="00023590" w:rsidP="00177138">
            <w:pPr>
              <w:pStyle w:val="Tablehead"/>
              <w:rPr>
                <w:lang w:val="es-ES"/>
              </w:rPr>
            </w:pPr>
            <w:r w:rsidRPr="005B78E7">
              <w:rPr>
                <w:i/>
                <w:iCs/>
                <w:lang w:val="en-US"/>
              </w:rPr>
              <w:t>C</w:t>
            </w:r>
            <w:r w:rsidRPr="005B78E7">
              <w:rPr>
                <w:iCs/>
                <w:lang w:val="en-US"/>
              </w:rPr>
              <w:t>/</w:t>
            </w:r>
            <w:r w:rsidRPr="005B78E7">
              <w:rPr>
                <w:i/>
                <w:iCs/>
                <w:lang w:val="en-US"/>
              </w:rPr>
              <w:t>N</w:t>
            </w:r>
            <w:r w:rsidRPr="005B78E7">
              <w:rPr>
                <w:lang w:val="en-US"/>
              </w:rPr>
              <w:t xml:space="preserve">, </w:t>
            </w:r>
            <w:r w:rsidRPr="005B78E7">
              <w:rPr>
                <w:lang w:val="en-US"/>
              </w:rPr>
              <w:sym w:font="Symbol" w:char="F067"/>
            </w:r>
            <w:r w:rsidRPr="005B78E7">
              <w:rPr>
                <w:lang w:val="en-US"/>
              </w:rPr>
              <w:t>(</w:t>
            </w:r>
            <w:r w:rsidRPr="00902055">
              <w:rPr>
                <w:i/>
                <w:lang w:val="en-US"/>
              </w:rPr>
              <w:t>T</w:t>
            </w:r>
            <w:r w:rsidRPr="00902055">
              <w:rPr>
                <w:vertAlign w:val="subscript"/>
                <w:lang w:val="en-US"/>
              </w:rPr>
              <w:t>%</w:t>
            </w:r>
            <w:r>
              <w:rPr>
                <w:lang w:val="en-US"/>
              </w:rPr>
              <w:t xml:space="preserve">) </w:t>
            </w:r>
            <w:r w:rsidRPr="005B78E7">
              <w:rPr>
                <w:lang w:val="en-US"/>
              </w:rPr>
              <w:t>(dB)</w:t>
            </w:r>
          </w:p>
        </w:tc>
        <w:tc>
          <w:tcPr>
            <w:tcW w:w="1189" w:type="dxa"/>
            <w:shd w:val="clear" w:color="auto" w:fill="auto"/>
            <w:noWrap/>
            <w:vAlign w:val="center"/>
            <w:hideMark/>
          </w:tcPr>
          <w:p w:rsidR="00177138" w:rsidRPr="000E5FF8" w:rsidRDefault="00023590" w:rsidP="00902055">
            <w:pPr>
              <w:pStyle w:val="Tablehead"/>
              <w:rPr>
                <w:lang w:val="es-ES"/>
              </w:rPr>
            </w:pPr>
            <w:r w:rsidRPr="005B78E7">
              <w:rPr>
                <w:lang w:val="en-US"/>
              </w:rPr>
              <w:sym w:font="Symbol" w:char="F068"/>
            </w:r>
            <w:r w:rsidRPr="005B78E7">
              <w:rPr>
                <w:lang w:val="en-US"/>
              </w:rPr>
              <w:t>(</w:t>
            </w:r>
            <w:r w:rsidRPr="005B78E7">
              <w:rPr>
                <w:lang w:val="en-US"/>
              </w:rPr>
              <w:sym w:font="Symbol" w:char="F067"/>
            </w:r>
            <w:r w:rsidRPr="005B78E7">
              <w:rPr>
                <w:lang w:val="en-US"/>
              </w:rPr>
              <w:t>(</w:t>
            </w:r>
            <w:r w:rsidRPr="00902055">
              <w:rPr>
                <w:i/>
                <w:lang w:val="en-US"/>
              </w:rPr>
              <w:t>T</w:t>
            </w:r>
            <w:r w:rsidRPr="00902055">
              <w:rPr>
                <w:vertAlign w:val="subscript"/>
                <w:lang w:val="en-US"/>
              </w:rPr>
              <w:t>%</w:t>
            </w:r>
            <w:r>
              <w:rPr>
                <w:lang w:val="en-US"/>
              </w:rPr>
              <w:t>)</w:t>
            </w:r>
            <w:r w:rsidRPr="005B78E7">
              <w:rPr>
                <w:lang w:val="en-US"/>
              </w:rPr>
              <w:t>)</w:t>
            </w:r>
          </w:p>
        </w:tc>
        <w:tc>
          <w:tcPr>
            <w:tcW w:w="1044" w:type="dxa"/>
            <w:shd w:val="clear" w:color="auto" w:fill="auto"/>
            <w:noWrap/>
            <w:vAlign w:val="center"/>
            <w:hideMark/>
          </w:tcPr>
          <w:p w:rsidR="00177138" w:rsidRPr="000E5FF8" w:rsidRDefault="00023590" w:rsidP="00177138">
            <w:pPr>
              <w:pStyle w:val="Tablehead"/>
              <w:rPr>
                <w:lang w:val="es-ES"/>
              </w:rPr>
            </w:pPr>
            <w:r>
              <w:rPr>
                <w:lang w:val="en-US"/>
              </w:rPr>
              <w:t>Δ</w:t>
            </w:r>
            <w:r w:rsidRPr="00902055">
              <w:rPr>
                <w:i/>
                <w:lang w:val="en-US"/>
              </w:rPr>
              <w:t>T</w:t>
            </w:r>
            <w:r w:rsidRPr="00902055">
              <w:rPr>
                <w:vertAlign w:val="subscript"/>
                <w:lang w:val="en-US"/>
              </w:rPr>
              <w:t>%</w:t>
            </w:r>
          </w:p>
        </w:tc>
        <w:tc>
          <w:tcPr>
            <w:tcW w:w="1644" w:type="dxa"/>
            <w:shd w:val="clear" w:color="auto" w:fill="auto"/>
            <w:noWrap/>
            <w:vAlign w:val="center"/>
            <w:hideMark/>
          </w:tcPr>
          <w:p w:rsidR="00177138" w:rsidRPr="000E5FF8" w:rsidRDefault="00177138" w:rsidP="00023590">
            <w:pPr>
              <w:pStyle w:val="Tablehead"/>
              <w:rPr>
                <w:lang w:val="es-ES"/>
              </w:rPr>
            </w:pPr>
            <w:r w:rsidRPr="000E5FF8">
              <w:rPr>
                <w:lang w:val="es-ES"/>
              </w:rPr>
              <w:t>%</w:t>
            </w:r>
            <w:r w:rsidRPr="000E5FF8">
              <w:rPr>
                <w:i/>
                <w:iCs/>
                <w:lang w:val="es-ES"/>
              </w:rPr>
              <w:t>DT</w:t>
            </w:r>
            <w:r w:rsidRPr="000E5FF8">
              <w:rPr>
                <w:i/>
                <w:iCs/>
                <w:vertAlign w:val="subscript"/>
                <w:lang w:val="es-ES"/>
              </w:rPr>
              <w:t>put</w:t>
            </w:r>
            <w:r w:rsidRPr="00706B16">
              <w:t>,</w:t>
            </w:r>
            <w:r w:rsidRPr="000E5FF8">
              <w:rPr>
                <w:i/>
                <w:iCs/>
                <w:vertAlign w:val="subscript"/>
                <w:lang w:val="es-ES"/>
              </w:rPr>
              <w:t xml:space="preserve"> </w:t>
            </w:r>
            <w:r w:rsidRPr="000E5FF8">
              <w:rPr>
                <w:lang w:val="es-ES"/>
              </w:rPr>
              <w:sym w:font="Symbol" w:char="F06A"/>
            </w:r>
            <w:r w:rsidR="00023590">
              <w:t>(</w:t>
            </w:r>
            <w:r w:rsidR="00023590" w:rsidRPr="00902055">
              <w:rPr>
                <w:i/>
                <w:lang w:val="en-US"/>
              </w:rPr>
              <w:t>T</w:t>
            </w:r>
            <w:r w:rsidR="00023590" w:rsidRPr="00902055">
              <w:rPr>
                <w:vertAlign w:val="subscript"/>
                <w:lang w:val="en-US"/>
              </w:rPr>
              <w:t>%</w:t>
            </w:r>
            <w:r w:rsidR="00023590">
              <w:t>)</w:t>
            </w:r>
          </w:p>
        </w:tc>
        <w:tc>
          <w:tcPr>
            <w:tcW w:w="2268" w:type="dxa"/>
            <w:shd w:val="clear" w:color="auto" w:fill="auto"/>
            <w:noWrap/>
            <w:vAlign w:val="center"/>
            <w:hideMark/>
          </w:tcPr>
          <w:p w:rsidR="00177138" w:rsidRPr="000E5FF8" w:rsidRDefault="00177138" w:rsidP="00902055">
            <w:pPr>
              <w:pStyle w:val="Tablehead"/>
              <w:rPr>
                <w:lang w:val="es-ES"/>
              </w:rPr>
            </w:pPr>
            <w:r w:rsidRPr="000E5FF8">
              <w:rPr>
                <w:lang w:val="es-ES"/>
              </w:rPr>
              <w:t>Pérdida de caudal</w:t>
            </w:r>
          </w:p>
        </w:tc>
      </w:tr>
      <w:tr w:rsidR="00177138" w:rsidRPr="005B78E7" w:rsidTr="00DC4C42">
        <w:trPr>
          <w:jc w:val="center"/>
        </w:trPr>
        <w:tc>
          <w:tcPr>
            <w:tcW w:w="939" w:type="dxa"/>
            <w:shd w:val="clear" w:color="auto" w:fill="auto"/>
            <w:noWrap/>
          </w:tcPr>
          <w:p w:rsidR="00177138" w:rsidRPr="005B78E7" w:rsidRDefault="00177138" w:rsidP="00DC4C42">
            <w:pPr>
              <w:pStyle w:val="Tabletext"/>
              <w:jc w:val="center"/>
              <w:rPr>
                <w:lang w:val="en-US"/>
              </w:rPr>
            </w:pPr>
            <w:r w:rsidRPr="005B78E7">
              <w:rPr>
                <w:lang w:val="en-US"/>
              </w:rPr>
              <w:t>0</w:t>
            </w:r>
            <w:r>
              <w:rPr>
                <w:lang w:val="en-US"/>
              </w:rPr>
              <w:t>,</w:t>
            </w:r>
            <w:r w:rsidRPr="005B78E7">
              <w:rPr>
                <w:lang w:val="en-US"/>
              </w:rPr>
              <w:t>4</w:t>
            </w:r>
          </w:p>
        </w:tc>
        <w:tc>
          <w:tcPr>
            <w:tcW w:w="1292" w:type="dxa"/>
            <w:shd w:val="clear" w:color="auto" w:fill="auto"/>
            <w:noWrap/>
          </w:tcPr>
          <w:p w:rsidR="00177138" w:rsidRPr="005B78E7" w:rsidRDefault="00177138" w:rsidP="00DC4C42">
            <w:pPr>
              <w:pStyle w:val="Tabletext"/>
              <w:jc w:val="center"/>
              <w:rPr>
                <w:bCs/>
                <w:lang w:val="en-US"/>
              </w:rPr>
            </w:pPr>
            <w:r w:rsidRPr="005B78E7">
              <w:rPr>
                <w:bCs/>
                <w:lang w:val="en-US"/>
              </w:rPr>
              <w:t>29</w:t>
            </w:r>
            <w:r>
              <w:rPr>
                <w:bCs/>
                <w:lang w:val="en-US"/>
              </w:rPr>
              <w:t>,</w:t>
            </w:r>
            <w:r w:rsidRPr="005B78E7">
              <w:rPr>
                <w:bCs/>
                <w:lang w:val="en-US"/>
              </w:rPr>
              <w:t>413</w:t>
            </w:r>
          </w:p>
        </w:tc>
        <w:tc>
          <w:tcPr>
            <w:tcW w:w="1270" w:type="dxa"/>
            <w:shd w:val="clear" w:color="auto" w:fill="auto"/>
            <w:noWrap/>
          </w:tcPr>
          <w:p w:rsidR="00177138" w:rsidRPr="005B78E7" w:rsidRDefault="00177138" w:rsidP="00DC4C42">
            <w:pPr>
              <w:pStyle w:val="Tabletext"/>
              <w:jc w:val="center"/>
              <w:rPr>
                <w:bCs/>
                <w:i/>
                <w:iCs/>
                <w:lang w:val="en-US"/>
              </w:rPr>
            </w:pPr>
            <w:r w:rsidRPr="005B78E7">
              <w:rPr>
                <w:b/>
                <w:lang w:val="en-US"/>
              </w:rPr>
              <w:t>−</w:t>
            </w:r>
            <w:r w:rsidRPr="005B78E7">
              <w:rPr>
                <w:bCs/>
                <w:lang w:val="en-US"/>
              </w:rPr>
              <w:t>4</w:t>
            </w:r>
            <w:r>
              <w:rPr>
                <w:bCs/>
                <w:lang w:val="en-US"/>
              </w:rPr>
              <w:t>,</w:t>
            </w:r>
            <w:r w:rsidRPr="005B78E7">
              <w:rPr>
                <w:bCs/>
                <w:lang w:val="en-US"/>
              </w:rPr>
              <w:t>69</w:t>
            </w:r>
          </w:p>
        </w:tc>
        <w:tc>
          <w:tcPr>
            <w:tcW w:w="1189" w:type="dxa"/>
            <w:shd w:val="clear" w:color="auto" w:fill="auto"/>
            <w:noWrap/>
          </w:tcPr>
          <w:p w:rsidR="00177138" w:rsidRPr="005B78E7" w:rsidRDefault="00177138" w:rsidP="00DC4C42">
            <w:pPr>
              <w:pStyle w:val="Tabletext"/>
              <w:jc w:val="center"/>
              <w:rPr>
                <w:bCs/>
                <w:lang w:val="en-US"/>
              </w:rPr>
            </w:pPr>
            <w:r w:rsidRPr="005B78E7">
              <w:rPr>
                <w:bCs/>
                <w:lang w:val="en-US"/>
              </w:rPr>
              <w:t>0</w:t>
            </w:r>
            <w:r>
              <w:rPr>
                <w:bCs/>
                <w:lang w:val="en-US"/>
              </w:rPr>
              <w:t>,</w:t>
            </w:r>
            <w:r w:rsidRPr="005B78E7">
              <w:rPr>
                <w:bCs/>
                <w:lang w:val="en-US"/>
              </w:rPr>
              <w:t>141</w:t>
            </w:r>
          </w:p>
        </w:tc>
        <w:tc>
          <w:tcPr>
            <w:tcW w:w="1044" w:type="dxa"/>
            <w:shd w:val="clear" w:color="auto" w:fill="auto"/>
            <w:noWrap/>
          </w:tcPr>
          <w:p w:rsidR="00177138" w:rsidRPr="005B78E7" w:rsidRDefault="00177138" w:rsidP="00DC4C42">
            <w:pPr>
              <w:pStyle w:val="Tabletext"/>
              <w:jc w:val="center"/>
              <w:rPr>
                <w:bCs/>
                <w:lang w:val="en-US"/>
              </w:rPr>
            </w:pPr>
            <w:r>
              <w:rPr>
                <w:bCs/>
                <w:lang w:val="en-US"/>
              </w:rPr>
              <w:t>0,1</w:t>
            </w:r>
          </w:p>
        </w:tc>
        <w:tc>
          <w:tcPr>
            <w:tcW w:w="1644" w:type="dxa"/>
            <w:shd w:val="clear" w:color="auto" w:fill="auto"/>
            <w:noWrap/>
          </w:tcPr>
          <w:p w:rsidR="00177138" w:rsidRPr="005B78E7" w:rsidRDefault="00177138" w:rsidP="00DC4C42">
            <w:pPr>
              <w:pStyle w:val="Tabletext"/>
              <w:jc w:val="center"/>
              <w:rPr>
                <w:b/>
                <w:lang w:val="en-US"/>
              </w:rPr>
            </w:pPr>
            <w:r w:rsidRPr="005B78E7">
              <w:rPr>
                <w:bCs/>
                <w:lang w:val="en-US"/>
              </w:rPr>
              <w:t>0</w:t>
            </w:r>
            <w:r>
              <w:rPr>
                <w:bCs/>
                <w:lang w:val="en-US"/>
              </w:rPr>
              <w:t>,</w:t>
            </w:r>
            <w:r w:rsidRPr="005B78E7">
              <w:rPr>
                <w:bCs/>
                <w:lang w:val="en-US"/>
              </w:rPr>
              <w:t xml:space="preserve">975 = </w:t>
            </w:r>
            <w:r w:rsidRPr="005B78E7">
              <w:rPr>
                <w:rFonts w:hint="eastAsia"/>
                <w:lang w:val="en-US"/>
              </w:rPr>
              <w:t>1-(0</w:t>
            </w:r>
            <w:r>
              <w:rPr>
                <w:lang w:val="en-US"/>
              </w:rPr>
              <w:t>,</w:t>
            </w:r>
            <w:r w:rsidRPr="005B78E7">
              <w:rPr>
                <w:rFonts w:hint="eastAsia"/>
                <w:lang w:val="en-US"/>
              </w:rPr>
              <w:t>141/5</w:t>
            </w:r>
            <w:r>
              <w:rPr>
                <w:lang w:val="en-US"/>
              </w:rPr>
              <w:t>,</w:t>
            </w:r>
            <w:r w:rsidRPr="005B78E7">
              <w:rPr>
                <w:rFonts w:hint="eastAsia"/>
                <w:lang w:val="en-US"/>
              </w:rPr>
              <w:t>653)</w:t>
            </w:r>
          </w:p>
        </w:tc>
        <w:tc>
          <w:tcPr>
            <w:tcW w:w="2268" w:type="dxa"/>
            <w:shd w:val="clear" w:color="auto" w:fill="auto"/>
            <w:noWrap/>
          </w:tcPr>
          <w:p w:rsidR="00177138" w:rsidRPr="005B78E7" w:rsidRDefault="00177138" w:rsidP="00DC4C42">
            <w:pPr>
              <w:pStyle w:val="Tabletext"/>
              <w:jc w:val="center"/>
              <w:rPr>
                <w:bCs/>
                <w:lang w:val="en-US"/>
              </w:rPr>
            </w:pPr>
            <w:r w:rsidRPr="005B78E7">
              <w:rPr>
                <w:bCs/>
                <w:lang w:val="en-US"/>
              </w:rPr>
              <w:t>2379113244</w:t>
            </w:r>
            <w:r>
              <w:rPr>
                <w:bCs/>
                <w:lang w:val="en-US"/>
              </w:rPr>
              <w:t>,</w:t>
            </w:r>
            <w:r w:rsidRPr="005B78E7">
              <w:rPr>
                <w:bCs/>
                <w:lang w:val="en-US"/>
              </w:rPr>
              <w:t>94</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26</w:t>
            </w:r>
            <w:r>
              <w:rPr>
                <w:lang w:val="en-US"/>
              </w:rPr>
              <w:t>,</w:t>
            </w:r>
            <w:r w:rsidRPr="005B78E7">
              <w:rPr>
                <w:lang w:val="en-US"/>
              </w:rPr>
              <w:t>277</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550</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397</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930</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2268593048</w:t>
            </w:r>
            <w:r>
              <w:rPr>
                <w:lang w:val="en-US"/>
              </w:rPr>
              <w:t>,</w:t>
            </w:r>
            <w:r w:rsidRPr="005B78E7">
              <w:rPr>
                <w:lang w:val="en-US"/>
              </w:rPr>
              <w:t>04</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6</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23</w:t>
            </w:r>
            <w:r>
              <w:rPr>
                <w:lang w:val="en-US"/>
              </w:rPr>
              <w:t>,</w:t>
            </w:r>
            <w:r w:rsidRPr="005B78E7">
              <w:rPr>
                <w:lang w:val="en-US"/>
              </w:rPr>
              <w:t>842</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885</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719</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873</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2129821586</w:t>
            </w:r>
            <w:r>
              <w:rPr>
                <w:lang w:val="en-US"/>
              </w:rPr>
              <w:t>,</w:t>
            </w:r>
            <w:r w:rsidRPr="005B78E7">
              <w:rPr>
                <w:lang w:val="en-US"/>
              </w:rPr>
              <w:t>02</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21</w:t>
            </w:r>
            <w:r>
              <w:rPr>
                <w:lang w:val="en-US"/>
              </w:rPr>
              <w:t>,</w:t>
            </w:r>
            <w:r w:rsidRPr="005B78E7">
              <w:rPr>
                <w:lang w:val="en-US"/>
              </w:rPr>
              <w:t>893</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834</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011</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821</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2003692375</w:t>
            </w:r>
            <w:r>
              <w:rPr>
                <w:lang w:val="en-US"/>
              </w:rPr>
              <w:t>,</w:t>
            </w:r>
            <w:r w:rsidRPr="005B78E7">
              <w:rPr>
                <w:lang w:val="en-US"/>
              </w:rPr>
              <w:t>24</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8</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20</w:t>
            </w:r>
            <w:r>
              <w:rPr>
                <w:lang w:val="en-US"/>
              </w:rPr>
              <w:t>,</w:t>
            </w:r>
            <w:r w:rsidRPr="005B78E7">
              <w:rPr>
                <w:lang w:val="en-US"/>
              </w:rPr>
              <w:t>285</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443</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269</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775</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1892136410</w:t>
            </w:r>
            <w:r>
              <w:rPr>
                <w:lang w:val="en-US"/>
              </w:rPr>
              <w:t>,</w:t>
            </w:r>
            <w:r w:rsidRPr="005B78E7">
              <w:rPr>
                <w:lang w:val="en-US"/>
              </w:rPr>
              <w:t>30</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18</w:t>
            </w:r>
            <w:r>
              <w:rPr>
                <w:lang w:val="en-US"/>
              </w:rPr>
              <w:t>,</w:t>
            </w:r>
            <w:r w:rsidRPr="005B78E7">
              <w:rPr>
                <w:lang w:val="en-US"/>
              </w:rPr>
              <w:t>925</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803</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500</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735</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1792605325</w:t>
            </w:r>
            <w:r>
              <w:rPr>
                <w:lang w:val="en-US"/>
              </w:rPr>
              <w:t>,</w:t>
            </w:r>
            <w:r w:rsidRPr="005B78E7">
              <w:rPr>
                <w:lang w:val="en-US"/>
              </w:rPr>
              <w:t>58</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17</w:t>
            </w:r>
            <w:r>
              <w:rPr>
                <w:lang w:val="en-US"/>
              </w:rPr>
              <w:t>,</w:t>
            </w:r>
            <w:r w:rsidRPr="005B78E7">
              <w:rPr>
                <w:lang w:val="en-US"/>
              </w:rPr>
              <w:t>754</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6</w:t>
            </w:r>
            <w:r>
              <w:rPr>
                <w:lang w:val="en-US"/>
              </w:rPr>
              <w:t>,</w:t>
            </w:r>
            <w:r w:rsidRPr="005B78E7">
              <w:rPr>
                <w:lang w:val="en-US"/>
              </w:rPr>
              <w:t>974</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707</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r w:rsidRPr="005B78E7" w:rsidDel="00525B1D">
              <w:rPr>
                <w:lang w:val="en-US"/>
              </w:rPr>
              <w:t>1</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698</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8515408574</w:t>
            </w:r>
            <w:r>
              <w:rPr>
                <w:lang w:val="en-US"/>
              </w:rPr>
              <w:t>,</w:t>
            </w:r>
            <w:r w:rsidRPr="005B78E7">
              <w:rPr>
                <w:lang w:val="en-US"/>
              </w:rPr>
              <w:t>43</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14</w:t>
            </w:r>
            <w:r>
              <w:rPr>
                <w:lang w:val="en-US"/>
              </w:rPr>
              <w:t>,</w:t>
            </w:r>
            <w:r w:rsidRPr="005B78E7">
              <w:rPr>
                <w:lang w:val="en-US"/>
              </w:rPr>
              <w:t>187</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r>
              <w:rPr>
                <w:lang w:val="en-US"/>
              </w:rPr>
              <w:t>,</w:t>
            </w:r>
            <w:r w:rsidRPr="005B78E7">
              <w:rPr>
                <w:lang w:val="en-US"/>
              </w:rPr>
              <w:t>540</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390</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577</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7042604485</w:t>
            </w:r>
            <w:r>
              <w:rPr>
                <w:lang w:val="en-US"/>
              </w:rPr>
              <w:t>,</w:t>
            </w:r>
            <w:r w:rsidRPr="005B78E7">
              <w:rPr>
                <w:lang w:val="en-US"/>
              </w:rPr>
              <w:t>82</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12</w:t>
            </w:r>
            <w:r>
              <w:rPr>
                <w:lang w:val="en-US"/>
              </w:rPr>
              <w:t>,</w:t>
            </w:r>
            <w:r w:rsidRPr="005B78E7">
              <w:rPr>
                <w:lang w:val="en-US"/>
              </w:rPr>
              <w:t>009</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12</w:t>
            </w:r>
            <w:r>
              <w:rPr>
                <w:lang w:val="en-US"/>
              </w:rPr>
              <w:t>,</w:t>
            </w:r>
            <w:r w:rsidRPr="005B78E7">
              <w:rPr>
                <w:lang w:val="en-US"/>
              </w:rPr>
              <w:t>718</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844</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497</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6061899097</w:t>
            </w:r>
            <w:r>
              <w:rPr>
                <w:lang w:val="en-US"/>
              </w:rPr>
              <w:t>,</w:t>
            </w:r>
            <w:r w:rsidRPr="005B78E7">
              <w:rPr>
                <w:lang w:val="en-US"/>
              </w:rPr>
              <w:t>19</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r>
              <w:rPr>
                <w:lang w:val="en-US"/>
              </w:rPr>
              <w:t>,</w:t>
            </w:r>
            <w:r w:rsidRPr="005B78E7">
              <w:rPr>
                <w:lang w:val="en-US"/>
              </w:rPr>
              <w:t>634</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14</w:t>
            </w:r>
            <w:r>
              <w:rPr>
                <w:lang w:val="en-US"/>
              </w:rPr>
              <w:t>,</w:t>
            </w:r>
            <w:r w:rsidRPr="005B78E7">
              <w:rPr>
                <w:lang w:val="en-US"/>
              </w:rPr>
              <w:t>093</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145</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444</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5411456009</w:t>
            </w:r>
            <w:r>
              <w:rPr>
                <w:lang w:val="en-US"/>
              </w:rPr>
              <w:t>,</w:t>
            </w:r>
            <w:r w:rsidRPr="005B78E7">
              <w:rPr>
                <w:lang w:val="en-US"/>
              </w:rPr>
              <w:t>74</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9</w:t>
            </w:r>
            <w:r>
              <w:rPr>
                <w:lang w:val="en-US"/>
              </w:rPr>
              <w:t>,</w:t>
            </w:r>
            <w:r w:rsidRPr="005B78E7">
              <w:rPr>
                <w:lang w:val="en-US"/>
              </w:rPr>
              <w:t>617</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15</w:t>
            </w:r>
            <w:r>
              <w:rPr>
                <w:lang w:val="en-US"/>
              </w:rPr>
              <w:t>,</w:t>
            </w:r>
            <w:r w:rsidRPr="005B78E7">
              <w:rPr>
                <w:lang w:val="en-US"/>
              </w:rPr>
              <w:t>111</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376</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403</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4914264989</w:t>
            </w:r>
            <w:r>
              <w:rPr>
                <w:lang w:val="en-US"/>
              </w:rPr>
              <w:t>,</w:t>
            </w:r>
            <w:r w:rsidRPr="005B78E7">
              <w:rPr>
                <w:lang w:val="en-US"/>
              </w:rPr>
              <w:t>65</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8</w:t>
            </w:r>
            <w:r>
              <w:rPr>
                <w:lang w:val="en-US"/>
              </w:rPr>
              <w:t>,</w:t>
            </w:r>
            <w:r w:rsidRPr="005B78E7">
              <w:rPr>
                <w:lang w:val="en-US"/>
              </w:rPr>
              <w:t>716</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16</w:t>
            </w:r>
            <w:r>
              <w:rPr>
                <w:lang w:val="en-US"/>
              </w:rPr>
              <w:t>,</w:t>
            </w:r>
            <w:r w:rsidRPr="005B78E7">
              <w:rPr>
                <w:lang w:val="en-US"/>
              </w:rPr>
              <w:t>011</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585</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366</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4462867228</w:t>
            </w:r>
            <w:r>
              <w:rPr>
                <w:lang w:val="en-US"/>
              </w:rPr>
              <w:t>,</w:t>
            </w:r>
            <w:r w:rsidRPr="005B78E7">
              <w:rPr>
                <w:lang w:val="en-US"/>
              </w:rPr>
              <w:t>40</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7</w:t>
            </w:r>
            <w:r>
              <w:rPr>
                <w:lang w:val="en-US"/>
              </w:rPr>
              <w:t>,</w:t>
            </w:r>
            <w:r w:rsidRPr="005B78E7">
              <w:rPr>
                <w:lang w:val="en-US"/>
              </w:rPr>
              <w:t>983</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16</w:t>
            </w:r>
            <w:r>
              <w:rPr>
                <w:lang w:val="en-US"/>
              </w:rPr>
              <w:t>,</w:t>
            </w:r>
            <w:r w:rsidRPr="005B78E7">
              <w:rPr>
                <w:lang w:val="en-US"/>
              </w:rPr>
              <w:t>744</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759</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335</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4087795603</w:t>
            </w:r>
            <w:r>
              <w:rPr>
                <w:lang w:val="en-US"/>
              </w:rPr>
              <w:t>,</w:t>
            </w:r>
            <w:r w:rsidRPr="005B78E7">
              <w:rPr>
                <w:lang w:val="en-US"/>
              </w:rPr>
              <w:t>11</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7</w:t>
            </w:r>
            <w:r>
              <w:rPr>
                <w:lang w:val="en-US"/>
              </w:rPr>
              <w:t>,</w:t>
            </w:r>
            <w:r w:rsidRPr="005B78E7">
              <w:rPr>
                <w:lang w:val="en-US"/>
              </w:rPr>
              <w:t>371</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17</w:t>
            </w:r>
            <w:r>
              <w:rPr>
                <w:lang w:val="en-US"/>
              </w:rPr>
              <w:t>,</w:t>
            </w:r>
            <w:r w:rsidRPr="005B78E7">
              <w:rPr>
                <w:lang w:val="en-US"/>
              </w:rPr>
              <w:t>357</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906</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5</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309</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3769153208</w:t>
            </w:r>
            <w:r>
              <w:rPr>
                <w:lang w:val="en-US"/>
              </w:rPr>
              <w:t>,</w:t>
            </w:r>
            <w:r w:rsidRPr="005B78E7">
              <w:rPr>
                <w:lang w:val="en-US"/>
              </w:rPr>
              <w:t>08</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6</w:t>
            </w:r>
            <w:r>
              <w:rPr>
                <w:lang w:val="en-US"/>
              </w:rPr>
              <w:t>,</w:t>
            </w:r>
            <w:r w:rsidRPr="005B78E7">
              <w:rPr>
                <w:lang w:val="en-US"/>
              </w:rPr>
              <w:t>849</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17</w:t>
            </w:r>
            <w:r>
              <w:rPr>
                <w:lang w:val="en-US"/>
              </w:rPr>
              <w:t>,</w:t>
            </w:r>
            <w:r w:rsidRPr="005B78E7">
              <w:rPr>
                <w:lang w:val="en-US"/>
              </w:rPr>
              <w:t>879</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034</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6</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286</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4192406755</w:t>
            </w:r>
            <w:r>
              <w:rPr>
                <w:lang w:val="en-US"/>
              </w:rPr>
              <w:t>,</w:t>
            </w:r>
            <w:r w:rsidRPr="005B78E7">
              <w:rPr>
                <w:lang w:val="en-US"/>
              </w:rPr>
              <w:t>67</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6</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6</w:t>
            </w:r>
            <w:r>
              <w:rPr>
                <w:lang w:val="en-US"/>
              </w:rPr>
              <w:t>,</w:t>
            </w:r>
            <w:r w:rsidRPr="005B78E7">
              <w:rPr>
                <w:lang w:val="en-US"/>
              </w:rPr>
              <w:t>186</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18</w:t>
            </w:r>
            <w:r>
              <w:rPr>
                <w:lang w:val="en-US"/>
              </w:rPr>
              <w:t>,</w:t>
            </w:r>
            <w:r w:rsidRPr="005B78E7">
              <w:rPr>
                <w:lang w:val="en-US"/>
              </w:rPr>
              <w:t>54</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198</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1</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257</w:t>
            </w:r>
          </w:p>
        </w:tc>
        <w:tc>
          <w:tcPr>
            <w:tcW w:w="2268" w:type="dxa"/>
            <w:shd w:val="clear" w:color="auto" w:fill="auto"/>
            <w:noWrap/>
            <w:vAlign w:val="bottom"/>
          </w:tcPr>
          <w:p w:rsidR="00177138" w:rsidRPr="005B78E7" w:rsidRDefault="00177138" w:rsidP="00177138">
            <w:pPr>
              <w:pStyle w:val="Tabletext"/>
              <w:jc w:val="center"/>
              <w:rPr>
                <w:lang w:val="en-US"/>
              </w:rPr>
            </w:pPr>
            <w:r w:rsidRPr="005B78E7">
              <w:rPr>
                <w:lang w:val="en-US"/>
              </w:rPr>
              <w:t>6277955694</w:t>
            </w:r>
            <w:r>
              <w:rPr>
                <w:lang w:val="en-US"/>
              </w:rPr>
              <w:t>,</w:t>
            </w:r>
            <w:r w:rsidRPr="005B78E7">
              <w:rPr>
                <w:lang w:val="en-US"/>
              </w:rPr>
              <w:t>24</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6</w:t>
            </w:r>
            <w:r>
              <w:rPr>
                <w:lang w:val="en-US"/>
              </w:rPr>
              <w:t>,</w:t>
            </w:r>
            <w:r w:rsidRPr="005B78E7">
              <w:rPr>
                <w:lang w:val="en-US"/>
              </w:rPr>
              <w:t>6</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524</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19</w:t>
            </w:r>
            <w:r>
              <w:rPr>
                <w:lang w:val="en-US"/>
              </w:rPr>
              <w:t>,</w:t>
            </w:r>
            <w:r w:rsidRPr="005B78E7">
              <w:rPr>
                <w:lang w:val="en-US"/>
              </w:rPr>
              <w:t>20</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365</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4</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228</w:t>
            </w:r>
          </w:p>
        </w:tc>
        <w:tc>
          <w:tcPr>
            <w:tcW w:w="2268" w:type="dxa"/>
            <w:shd w:val="clear" w:color="auto" w:fill="auto"/>
            <w:noWrap/>
            <w:vAlign w:val="bottom"/>
          </w:tcPr>
          <w:p w:rsidR="00177138" w:rsidRPr="005B78E7" w:rsidRDefault="00177138" w:rsidP="00177138">
            <w:pPr>
              <w:pStyle w:val="Tabletext"/>
              <w:jc w:val="center"/>
              <w:rPr>
                <w:lang w:val="en-US"/>
              </w:rPr>
            </w:pPr>
            <w:r w:rsidRPr="005B78E7">
              <w:rPr>
                <w:lang w:val="en-US"/>
              </w:rPr>
              <w:t>7780079269</w:t>
            </w:r>
            <w:r>
              <w:rPr>
                <w:lang w:val="en-US"/>
              </w:rPr>
              <w:t>,</w:t>
            </w:r>
            <w:r w:rsidRPr="005B78E7">
              <w:rPr>
                <w:lang w:val="en-US"/>
              </w:rPr>
              <w:t>90</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8</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861</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19</w:t>
            </w:r>
            <w:r>
              <w:rPr>
                <w:lang w:val="en-US"/>
              </w:rPr>
              <w:t>,</w:t>
            </w:r>
            <w:r w:rsidRPr="005B78E7">
              <w:rPr>
                <w:lang w:val="en-US"/>
              </w:rPr>
              <w:t>87</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535</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2</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198</w:t>
            </w:r>
          </w:p>
        </w:tc>
        <w:tc>
          <w:tcPr>
            <w:tcW w:w="2268" w:type="dxa"/>
            <w:shd w:val="clear" w:color="auto" w:fill="auto"/>
            <w:noWrap/>
            <w:vAlign w:val="bottom"/>
          </w:tcPr>
          <w:p w:rsidR="00177138" w:rsidRPr="005B78E7" w:rsidRDefault="00177138" w:rsidP="00177138">
            <w:pPr>
              <w:pStyle w:val="Tabletext"/>
              <w:jc w:val="center"/>
              <w:rPr>
                <w:lang w:val="en-US"/>
              </w:rPr>
            </w:pPr>
            <w:r w:rsidRPr="005B78E7">
              <w:rPr>
                <w:lang w:val="en-US"/>
              </w:rPr>
              <w:t>9650151891</w:t>
            </w:r>
            <w:r>
              <w:rPr>
                <w:lang w:val="en-US"/>
              </w:rPr>
              <w:t>,</w:t>
            </w:r>
            <w:r w:rsidRPr="005B78E7">
              <w:rPr>
                <w:lang w:val="en-US"/>
              </w:rPr>
              <w:t>10</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199</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20</w:t>
            </w:r>
            <w:r>
              <w:rPr>
                <w:lang w:val="en-US"/>
              </w:rPr>
              <w:t>,</w:t>
            </w:r>
            <w:r w:rsidRPr="005B78E7">
              <w:rPr>
                <w:lang w:val="en-US"/>
              </w:rPr>
              <w:t>529</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707</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2</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167</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8979487209</w:t>
            </w:r>
            <w:r>
              <w:rPr>
                <w:lang w:val="en-US"/>
              </w:rPr>
              <w:t>,</w:t>
            </w:r>
            <w:r w:rsidRPr="005B78E7">
              <w:rPr>
                <w:lang w:val="en-US"/>
              </w:rPr>
              <w:t>87</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12</w:t>
            </w:r>
            <w:r>
              <w:rPr>
                <w:lang w:val="en-US"/>
              </w:rPr>
              <w:t>,</w:t>
            </w:r>
            <w:r w:rsidRPr="005B78E7">
              <w:rPr>
                <w:lang w:val="en-US"/>
              </w:rPr>
              <w:t>2</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3</w:t>
            </w:r>
            <w:r>
              <w:rPr>
                <w:lang w:val="en-US"/>
              </w:rPr>
              <w:t>,</w:t>
            </w:r>
            <w:r w:rsidRPr="005B78E7">
              <w:rPr>
                <w:lang w:val="en-US"/>
              </w:rPr>
              <w:t>392</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21</w:t>
            </w:r>
            <w:r>
              <w:rPr>
                <w:lang w:val="en-US"/>
              </w:rPr>
              <w:t>,</w:t>
            </w:r>
            <w:r w:rsidRPr="005B78E7">
              <w:rPr>
                <w:lang w:val="en-US"/>
              </w:rPr>
              <w:t>34</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4</w:t>
            </w:r>
            <w:r>
              <w:rPr>
                <w:lang w:val="en-US"/>
              </w:rPr>
              <w:t>,</w:t>
            </w:r>
            <w:r w:rsidRPr="005B78E7">
              <w:rPr>
                <w:lang w:val="en-US"/>
              </w:rPr>
              <w:t>920</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3</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130</w:t>
            </w:r>
          </w:p>
        </w:tc>
        <w:tc>
          <w:tcPr>
            <w:tcW w:w="2268" w:type="dxa"/>
            <w:shd w:val="clear" w:color="auto" w:fill="auto"/>
            <w:noWrap/>
            <w:vAlign w:val="bottom"/>
          </w:tcPr>
          <w:p w:rsidR="00177138" w:rsidRPr="005B78E7" w:rsidDel="00525B1D" w:rsidRDefault="00177138" w:rsidP="00177138">
            <w:pPr>
              <w:pStyle w:val="Tabletext"/>
              <w:jc w:val="center"/>
              <w:rPr>
                <w:lang w:val="en-US"/>
              </w:rPr>
            </w:pPr>
            <w:r w:rsidRPr="005B78E7">
              <w:rPr>
                <w:lang w:val="en-US"/>
              </w:rPr>
              <w:t>7269900943</w:t>
            </w:r>
            <w:r>
              <w:rPr>
                <w:lang w:val="en-US"/>
              </w:rPr>
              <w:t>,</w:t>
            </w:r>
            <w:r w:rsidRPr="005B78E7">
              <w:rPr>
                <w:lang w:val="en-US"/>
              </w:rPr>
              <w:t>64</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14</w:t>
            </w:r>
            <w:r>
              <w:rPr>
                <w:lang w:val="en-US"/>
              </w:rPr>
              <w:t>,</w:t>
            </w:r>
            <w:r w:rsidRPr="005B78E7">
              <w:rPr>
                <w:lang w:val="en-US"/>
              </w:rPr>
              <w:t>5</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585</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22</w:t>
            </w:r>
            <w:r>
              <w:rPr>
                <w:lang w:val="en-US"/>
              </w:rPr>
              <w:t>,</w:t>
            </w:r>
            <w:r w:rsidRPr="005B78E7">
              <w:rPr>
                <w:lang w:val="en-US"/>
              </w:rPr>
              <w:t>14</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137</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2</w:t>
            </w:r>
            <w:r>
              <w:rPr>
                <w:lang w:val="en-US"/>
              </w:rPr>
              <w:t>,</w:t>
            </w:r>
            <w:r w:rsidRPr="005B78E7">
              <w:rPr>
                <w:lang w:val="en-US"/>
              </w:rPr>
              <w:t>5</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091</w:t>
            </w:r>
          </w:p>
        </w:tc>
        <w:tc>
          <w:tcPr>
            <w:tcW w:w="2268" w:type="dxa"/>
            <w:shd w:val="clear" w:color="auto" w:fill="auto"/>
            <w:noWrap/>
            <w:vAlign w:val="bottom"/>
          </w:tcPr>
          <w:p w:rsidR="00177138" w:rsidRPr="005B78E7" w:rsidDel="00525B1D" w:rsidRDefault="00177138" w:rsidP="00177138">
            <w:pPr>
              <w:pStyle w:val="Tabletext"/>
              <w:jc w:val="center"/>
              <w:rPr>
                <w:lang w:val="en-US"/>
              </w:rPr>
            </w:pPr>
            <w:r w:rsidRPr="005B78E7">
              <w:rPr>
                <w:lang w:val="en-US"/>
              </w:rPr>
              <w:t>5558025750</w:t>
            </w:r>
            <w:r>
              <w:rPr>
                <w:lang w:val="en-US"/>
              </w:rPr>
              <w:t>,</w:t>
            </w:r>
            <w:r w:rsidRPr="005B78E7">
              <w:rPr>
                <w:lang w:val="en-US"/>
              </w:rPr>
              <w:t>48</w:t>
            </w:r>
          </w:p>
        </w:tc>
      </w:tr>
      <w:tr w:rsidR="00177138" w:rsidRPr="005B78E7" w:rsidTr="00023590">
        <w:trPr>
          <w:jc w:val="center"/>
        </w:trPr>
        <w:tc>
          <w:tcPr>
            <w:tcW w:w="939" w:type="dxa"/>
            <w:shd w:val="clear" w:color="auto" w:fill="auto"/>
            <w:noWrap/>
            <w:vAlign w:val="bottom"/>
          </w:tcPr>
          <w:p w:rsidR="00177138" w:rsidRPr="005B78E7" w:rsidRDefault="00177138" w:rsidP="00177138">
            <w:pPr>
              <w:pStyle w:val="Tabletext"/>
              <w:jc w:val="center"/>
              <w:rPr>
                <w:lang w:val="en-US"/>
              </w:rPr>
            </w:pPr>
            <w:r w:rsidRPr="005B78E7">
              <w:rPr>
                <w:lang w:val="en-US"/>
              </w:rPr>
              <w:t>17</w:t>
            </w:r>
          </w:p>
        </w:tc>
        <w:tc>
          <w:tcPr>
            <w:tcW w:w="1292" w:type="dxa"/>
            <w:shd w:val="clear" w:color="auto" w:fill="auto"/>
            <w:noWrap/>
            <w:vAlign w:val="bottom"/>
          </w:tcPr>
          <w:p w:rsidR="00177138" w:rsidRPr="005B78E7" w:rsidRDefault="00177138" w:rsidP="00177138">
            <w:pPr>
              <w:pStyle w:val="Tabletext"/>
              <w:jc w:val="center"/>
              <w:rPr>
                <w:lang w:val="en-US"/>
              </w:rPr>
            </w:pPr>
            <w:r w:rsidRPr="005B78E7">
              <w:rPr>
                <w:lang w:val="en-US"/>
              </w:rPr>
              <w:t>1</w:t>
            </w:r>
            <w:r>
              <w:rPr>
                <w:lang w:val="en-US"/>
              </w:rPr>
              <w:t>,</w:t>
            </w:r>
            <w:r w:rsidRPr="005B78E7">
              <w:rPr>
                <w:lang w:val="en-US"/>
              </w:rPr>
              <w:t>778</w:t>
            </w:r>
          </w:p>
        </w:tc>
        <w:tc>
          <w:tcPr>
            <w:tcW w:w="1270" w:type="dxa"/>
            <w:shd w:val="clear" w:color="auto" w:fill="auto"/>
            <w:noWrap/>
            <w:vAlign w:val="bottom"/>
          </w:tcPr>
          <w:p w:rsidR="00177138" w:rsidRPr="005B78E7" w:rsidRDefault="00177138" w:rsidP="00177138">
            <w:pPr>
              <w:pStyle w:val="Tabletext"/>
              <w:jc w:val="center"/>
              <w:rPr>
                <w:lang w:val="en-US"/>
              </w:rPr>
            </w:pPr>
            <w:r w:rsidRPr="005B78E7">
              <w:rPr>
                <w:lang w:val="en-US"/>
              </w:rPr>
              <w:t>22</w:t>
            </w:r>
            <w:r>
              <w:rPr>
                <w:lang w:val="en-US"/>
              </w:rPr>
              <w:t>,</w:t>
            </w:r>
            <w:r w:rsidRPr="005B78E7">
              <w:rPr>
                <w:lang w:val="en-US"/>
              </w:rPr>
              <w:t>95</w:t>
            </w:r>
          </w:p>
        </w:tc>
        <w:tc>
          <w:tcPr>
            <w:tcW w:w="1189" w:type="dxa"/>
            <w:shd w:val="clear" w:color="auto" w:fill="auto"/>
            <w:noWrap/>
            <w:vAlign w:val="bottom"/>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359</w:t>
            </w:r>
          </w:p>
        </w:tc>
        <w:tc>
          <w:tcPr>
            <w:tcW w:w="1044" w:type="dxa"/>
            <w:shd w:val="clear" w:color="auto" w:fill="auto"/>
            <w:noWrap/>
            <w:vAlign w:val="bottom"/>
          </w:tcPr>
          <w:p w:rsidR="00177138" w:rsidRPr="005B78E7" w:rsidRDefault="00177138" w:rsidP="00177138">
            <w:pPr>
              <w:pStyle w:val="Tabletext"/>
              <w:jc w:val="center"/>
              <w:rPr>
                <w:lang w:val="en-US"/>
              </w:rPr>
            </w:pPr>
            <w:r w:rsidRPr="005B78E7">
              <w:rPr>
                <w:lang w:val="en-US"/>
              </w:rPr>
              <w:t>3</w:t>
            </w:r>
          </w:p>
        </w:tc>
        <w:tc>
          <w:tcPr>
            <w:tcW w:w="1644" w:type="dxa"/>
            <w:shd w:val="clear" w:color="auto" w:fill="auto"/>
            <w:noWrap/>
            <w:vAlign w:val="bottom"/>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052</w:t>
            </w:r>
          </w:p>
        </w:tc>
        <w:tc>
          <w:tcPr>
            <w:tcW w:w="2268" w:type="dxa"/>
            <w:shd w:val="clear" w:color="auto" w:fill="auto"/>
            <w:noWrap/>
            <w:vAlign w:val="bottom"/>
          </w:tcPr>
          <w:p w:rsidR="00177138" w:rsidRPr="005B78E7" w:rsidDel="00525B1D" w:rsidRDefault="00177138" w:rsidP="00177138">
            <w:pPr>
              <w:pStyle w:val="Tabletext"/>
              <w:jc w:val="center"/>
              <w:rPr>
                <w:lang w:val="en-US"/>
              </w:rPr>
            </w:pPr>
            <w:r w:rsidRPr="005B78E7">
              <w:rPr>
                <w:lang w:val="en-US"/>
              </w:rPr>
              <w:t>3806209512</w:t>
            </w:r>
            <w:r>
              <w:rPr>
                <w:lang w:val="en-US"/>
              </w:rPr>
              <w:t>,</w:t>
            </w:r>
            <w:r w:rsidRPr="005B78E7">
              <w:rPr>
                <w:lang w:val="en-US"/>
              </w:rPr>
              <w:t>79</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972</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23</w:t>
            </w:r>
            <w:r>
              <w:rPr>
                <w:lang w:val="en-US"/>
              </w:rPr>
              <w:t>,</w:t>
            </w:r>
            <w:r w:rsidRPr="005B78E7">
              <w:rPr>
                <w:lang w:val="en-US"/>
              </w:rPr>
              <w:t>756</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584</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012</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2974051094</w:t>
            </w:r>
            <w:r>
              <w:rPr>
                <w:lang w:val="en-US"/>
              </w:rPr>
              <w:t>,</w:t>
            </w:r>
            <w:r w:rsidRPr="005B78E7">
              <w:rPr>
                <w:lang w:val="en-US"/>
              </w:rPr>
              <w:t>53</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778</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23</w:t>
            </w:r>
            <w:r>
              <w:rPr>
                <w:lang w:val="en-US"/>
              </w:rPr>
              <w:t>,</w:t>
            </w:r>
            <w:r w:rsidRPr="005B78E7">
              <w:rPr>
                <w:lang w:val="en-US"/>
              </w:rPr>
              <w:t>950</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638</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003</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615903898</w:t>
            </w:r>
            <w:r>
              <w:rPr>
                <w:lang w:val="en-US"/>
              </w:rPr>
              <w:t>,</w:t>
            </w:r>
            <w:r w:rsidRPr="005B78E7">
              <w:rPr>
                <w:lang w:val="en-US"/>
              </w:rPr>
              <w:t>01</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40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753</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23</w:t>
            </w:r>
            <w:r>
              <w:rPr>
                <w:lang w:val="en-US"/>
              </w:rPr>
              <w:t>,</w:t>
            </w:r>
            <w:r w:rsidRPr="005B78E7">
              <w:rPr>
                <w:lang w:val="en-US"/>
              </w:rPr>
              <w:t>975</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645</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001</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308034447</w:t>
            </w:r>
            <w:r>
              <w:rPr>
                <w:lang w:val="en-US"/>
              </w:rPr>
              <w:t>,</w:t>
            </w:r>
            <w:r w:rsidRPr="005B78E7">
              <w:rPr>
                <w:lang w:val="en-US"/>
              </w:rPr>
              <w:t>18</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727</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24</w:t>
            </w:r>
            <w:r>
              <w:rPr>
                <w:lang w:val="en-US"/>
              </w:rPr>
              <w:t>,</w:t>
            </w:r>
            <w:r w:rsidRPr="005B78E7">
              <w:rPr>
                <w:lang w:val="en-US"/>
              </w:rPr>
              <w:t>000</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653</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50</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000</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w:t>
            </w:r>
          </w:p>
        </w:tc>
      </w:tr>
      <w:tr w:rsidR="00177138" w:rsidRPr="005B78E7" w:rsidTr="00023590">
        <w:trPr>
          <w:jc w:val="center"/>
        </w:trPr>
        <w:tc>
          <w:tcPr>
            <w:tcW w:w="93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100</w:t>
            </w:r>
          </w:p>
        </w:tc>
        <w:tc>
          <w:tcPr>
            <w:tcW w:w="1292"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727</w:t>
            </w:r>
          </w:p>
        </w:tc>
        <w:tc>
          <w:tcPr>
            <w:tcW w:w="1270"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24</w:t>
            </w:r>
          </w:p>
        </w:tc>
        <w:tc>
          <w:tcPr>
            <w:tcW w:w="1189"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5</w:t>
            </w:r>
            <w:r>
              <w:rPr>
                <w:lang w:val="en-US"/>
              </w:rPr>
              <w:t>,</w:t>
            </w:r>
            <w:r w:rsidRPr="005B78E7">
              <w:rPr>
                <w:lang w:val="en-US"/>
              </w:rPr>
              <w:t>653</w:t>
            </w:r>
          </w:p>
        </w:tc>
        <w:tc>
          <w:tcPr>
            <w:tcW w:w="10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p>
        </w:tc>
        <w:tc>
          <w:tcPr>
            <w:tcW w:w="1644"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000</w:t>
            </w:r>
          </w:p>
        </w:tc>
        <w:tc>
          <w:tcPr>
            <w:tcW w:w="2268" w:type="dxa"/>
            <w:shd w:val="clear" w:color="auto" w:fill="auto"/>
            <w:noWrap/>
            <w:vAlign w:val="bottom"/>
            <w:hideMark/>
          </w:tcPr>
          <w:p w:rsidR="00177138" w:rsidRPr="005B78E7" w:rsidRDefault="00177138" w:rsidP="00177138">
            <w:pPr>
              <w:pStyle w:val="Tabletext"/>
              <w:jc w:val="center"/>
              <w:rPr>
                <w:lang w:val="en-US"/>
              </w:rPr>
            </w:pPr>
            <w:r w:rsidRPr="005B78E7">
              <w:rPr>
                <w:lang w:val="en-US"/>
              </w:rPr>
              <w:t>0</w:t>
            </w:r>
            <w:r>
              <w:rPr>
                <w:lang w:val="en-US"/>
              </w:rPr>
              <w:t>,</w:t>
            </w:r>
            <w:r w:rsidRPr="005B78E7">
              <w:rPr>
                <w:lang w:val="en-US"/>
              </w:rPr>
              <w:t>00</w:t>
            </w:r>
          </w:p>
        </w:tc>
      </w:tr>
      <w:tr w:rsidR="00023590" w:rsidRPr="005B78E7" w:rsidTr="00023590">
        <w:trPr>
          <w:jc w:val="center"/>
        </w:trPr>
        <w:tc>
          <w:tcPr>
            <w:tcW w:w="939" w:type="dxa"/>
            <w:shd w:val="clear" w:color="auto" w:fill="auto"/>
            <w:noWrap/>
            <w:vAlign w:val="bottom"/>
          </w:tcPr>
          <w:p w:rsidR="00023590" w:rsidRPr="005B78E7" w:rsidRDefault="00023590" w:rsidP="00177138">
            <w:pPr>
              <w:pStyle w:val="Tabletext"/>
              <w:jc w:val="center"/>
              <w:rPr>
                <w:lang w:val="en-US"/>
              </w:rPr>
            </w:pPr>
          </w:p>
        </w:tc>
        <w:tc>
          <w:tcPr>
            <w:tcW w:w="1292" w:type="dxa"/>
            <w:shd w:val="clear" w:color="auto" w:fill="auto"/>
            <w:noWrap/>
            <w:vAlign w:val="bottom"/>
          </w:tcPr>
          <w:p w:rsidR="00023590" w:rsidRPr="005B78E7" w:rsidRDefault="00023590" w:rsidP="00177138">
            <w:pPr>
              <w:pStyle w:val="Tabletext"/>
              <w:jc w:val="center"/>
              <w:rPr>
                <w:lang w:val="en-US"/>
              </w:rPr>
            </w:pPr>
          </w:p>
        </w:tc>
        <w:tc>
          <w:tcPr>
            <w:tcW w:w="1270" w:type="dxa"/>
            <w:shd w:val="clear" w:color="auto" w:fill="auto"/>
            <w:noWrap/>
            <w:vAlign w:val="bottom"/>
          </w:tcPr>
          <w:p w:rsidR="00023590" w:rsidRPr="005B78E7" w:rsidRDefault="00023590" w:rsidP="00177138">
            <w:pPr>
              <w:pStyle w:val="Tabletext"/>
              <w:jc w:val="center"/>
              <w:rPr>
                <w:lang w:val="en-US"/>
              </w:rPr>
            </w:pPr>
          </w:p>
        </w:tc>
        <w:tc>
          <w:tcPr>
            <w:tcW w:w="1189" w:type="dxa"/>
            <w:shd w:val="clear" w:color="auto" w:fill="auto"/>
            <w:noWrap/>
            <w:vAlign w:val="bottom"/>
          </w:tcPr>
          <w:p w:rsidR="00023590" w:rsidRPr="005B78E7" w:rsidRDefault="00023590" w:rsidP="00177138">
            <w:pPr>
              <w:pStyle w:val="Tabletext"/>
              <w:jc w:val="center"/>
              <w:rPr>
                <w:lang w:val="en-US"/>
              </w:rPr>
            </w:pPr>
          </w:p>
        </w:tc>
        <w:tc>
          <w:tcPr>
            <w:tcW w:w="1044" w:type="dxa"/>
            <w:shd w:val="clear" w:color="auto" w:fill="auto"/>
            <w:noWrap/>
            <w:vAlign w:val="bottom"/>
          </w:tcPr>
          <w:p w:rsidR="00023590" w:rsidRPr="005B78E7" w:rsidRDefault="00023590" w:rsidP="00177138">
            <w:pPr>
              <w:pStyle w:val="Tabletext"/>
              <w:jc w:val="center"/>
              <w:rPr>
                <w:lang w:val="en-US"/>
              </w:rPr>
            </w:pPr>
          </w:p>
        </w:tc>
        <w:tc>
          <w:tcPr>
            <w:tcW w:w="1644" w:type="dxa"/>
            <w:shd w:val="clear" w:color="auto" w:fill="auto"/>
            <w:noWrap/>
            <w:vAlign w:val="bottom"/>
          </w:tcPr>
          <w:p w:rsidR="00023590" w:rsidRPr="005B78E7" w:rsidRDefault="00023590" w:rsidP="00177138">
            <w:pPr>
              <w:pStyle w:val="Tabletext"/>
              <w:jc w:val="center"/>
              <w:rPr>
                <w:lang w:val="en-US"/>
              </w:rPr>
            </w:pPr>
          </w:p>
        </w:tc>
        <w:tc>
          <w:tcPr>
            <w:tcW w:w="2268" w:type="dxa"/>
            <w:shd w:val="clear" w:color="auto" w:fill="auto"/>
            <w:noWrap/>
            <w:vAlign w:val="bottom"/>
          </w:tcPr>
          <w:p w:rsidR="00023590" w:rsidRPr="005B78E7" w:rsidRDefault="00023590" w:rsidP="00177138">
            <w:pPr>
              <w:pStyle w:val="Tabletext"/>
              <w:jc w:val="center"/>
              <w:rPr>
                <w:lang w:val="en-US"/>
              </w:rPr>
            </w:pPr>
            <w:r w:rsidRPr="005B78E7">
              <w:rPr>
                <w:lang w:val="en-US"/>
              </w:rPr>
              <w:t>114143617653</w:t>
            </w:r>
            <w:r>
              <w:rPr>
                <w:lang w:val="en-US"/>
              </w:rPr>
              <w:t>,</w:t>
            </w:r>
            <w:r w:rsidRPr="005B78E7">
              <w:rPr>
                <w:lang w:val="en-US"/>
              </w:rPr>
              <w:t>95</w:t>
            </w:r>
          </w:p>
        </w:tc>
      </w:tr>
      <w:tr w:rsidR="00023590" w:rsidRPr="005B78E7" w:rsidTr="00706B16">
        <w:trPr>
          <w:jc w:val="center"/>
        </w:trPr>
        <w:tc>
          <w:tcPr>
            <w:tcW w:w="939" w:type="dxa"/>
            <w:shd w:val="clear" w:color="auto" w:fill="auto"/>
            <w:noWrap/>
            <w:vAlign w:val="bottom"/>
          </w:tcPr>
          <w:p w:rsidR="00023590" w:rsidRPr="005B78E7" w:rsidRDefault="00023590" w:rsidP="00177138">
            <w:pPr>
              <w:pStyle w:val="Tabletext"/>
              <w:jc w:val="center"/>
              <w:rPr>
                <w:lang w:val="en-US"/>
              </w:rPr>
            </w:pPr>
          </w:p>
        </w:tc>
        <w:tc>
          <w:tcPr>
            <w:tcW w:w="1292" w:type="dxa"/>
            <w:shd w:val="clear" w:color="auto" w:fill="auto"/>
            <w:noWrap/>
            <w:vAlign w:val="bottom"/>
          </w:tcPr>
          <w:p w:rsidR="00023590" w:rsidRPr="005B78E7" w:rsidRDefault="00023590" w:rsidP="00177138">
            <w:pPr>
              <w:pStyle w:val="Tabletext"/>
              <w:jc w:val="center"/>
              <w:rPr>
                <w:lang w:val="en-US"/>
              </w:rPr>
            </w:pPr>
          </w:p>
        </w:tc>
        <w:tc>
          <w:tcPr>
            <w:tcW w:w="1270" w:type="dxa"/>
            <w:shd w:val="clear" w:color="auto" w:fill="auto"/>
            <w:noWrap/>
            <w:vAlign w:val="bottom"/>
          </w:tcPr>
          <w:p w:rsidR="00023590" w:rsidRPr="005B78E7" w:rsidRDefault="00023590" w:rsidP="00177138">
            <w:pPr>
              <w:pStyle w:val="Tabletext"/>
              <w:jc w:val="center"/>
              <w:rPr>
                <w:lang w:val="en-US"/>
              </w:rPr>
            </w:pPr>
          </w:p>
        </w:tc>
        <w:tc>
          <w:tcPr>
            <w:tcW w:w="2233" w:type="dxa"/>
            <w:gridSpan w:val="2"/>
            <w:shd w:val="clear" w:color="auto" w:fill="auto"/>
            <w:noWrap/>
            <w:vAlign w:val="bottom"/>
          </w:tcPr>
          <w:p w:rsidR="00023590" w:rsidRPr="005B78E7" w:rsidRDefault="00023590" w:rsidP="00177138">
            <w:pPr>
              <w:pStyle w:val="Tabletext"/>
              <w:jc w:val="center"/>
              <w:rPr>
                <w:lang w:val="en-US"/>
              </w:rPr>
            </w:pPr>
            <w:r>
              <w:rPr>
                <w:lang w:val="en-US"/>
              </w:rPr>
              <w:sym w:font="Symbol" w:char="F06A"/>
            </w:r>
            <w:r w:rsidRPr="00902055">
              <w:rPr>
                <w:i/>
                <w:vertAlign w:val="subscript"/>
                <w:lang w:val="en-US"/>
              </w:rPr>
              <w:t>total</w:t>
            </w:r>
          </w:p>
        </w:tc>
        <w:tc>
          <w:tcPr>
            <w:tcW w:w="1644" w:type="dxa"/>
            <w:shd w:val="clear" w:color="auto" w:fill="auto"/>
            <w:noWrap/>
            <w:vAlign w:val="bottom"/>
          </w:tcPr>
          <w:p w:rsidR="00023590" w:rsidRPr="005B78E7" w:rsidRDefault="00023590" w:rsidP="00177138">
            <w:pPr>
              <w:pStyle w:val="Tabletext"/>
              <w:jc w:val="center"/>
              <w:rPr>
                <w:lang w:val="en-US"/>
              </w:rPr>
            </w:pPr>
          </w:p>
        </w:tc>
        <w:tc>
          <w:tcPr>
            <w:tcW w:w="2268" w:type="dxa"/>
            <w:shd w:val="clear" w:color="auto" w:fill="auto"/>
            <w:noWrap/>
            <w:vAlign w:val="bottom"/>
          </w:tcPr>
          <w:p w:rsidR="00023590" w:rsidRPr="005B78E7" w:rsidRDefault="00023590" w:rsidP="00177138">
            <w:pPr>
              <w:pStyle w:val="Tabletext"/>
              <w:jc w:val="center"/>
              <w:rPr>
                <w:lang w:val="en-US"/>
              </w:rPr>
            </w:pPr>
            <w:r w:rsidRPr="005B78E7">
              <w:rPr>
                <w:lang w:val="en-US"/>
              </w:rPr>
              <w:t>4</w:t>
            </w:r>
            <w:r>
              <w:rPr>
                <w:lang w:val="en-US"/>
              </w:rPr>
              <w:t>,</w:t>
            </w:r>
            <w:r w:rsidRPr="005B78E7">
              <w:rPr>
                <w:lang w:val="en-US"/>
              </w:rPr>
              <w:t>678</w:t>
            </w:r>
          </w:p>
        </w:tc>
      </w:tr>
    </w:tbl>
    <w:p w:rsidR="00177138" w:rsidRDefault="00177138" w:rsidP="00D07801">
      <w:pPr>
        <w:spacing w:before="20"/>
        <w:jc w:val="center"/>
      </w:pPr>
      <w:r>
        <w:t>______________</w:t>
      </w:r>
    </w:p>
    <w:sectPr w:rsidR="00177138" w:rsidSect="00B1717A">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46B" w:rsidRDefault="00BC546B">
      <w:r>
        <w:separator/>
      </w:r>
    </w:p>
  </w:endnote>
  <w:endnote w:type="continuationSeparator" w:id="0">
    <w:p w:rsidR="00BC546B" w:rsidRDefault="00BC5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46B" w:rsidRDefault="00BC546B">
      <w:r>
        <w:separator/>
      </w:r>
    </w:p>
  </w:footnote>
  <w:footnote w:type="continuationSeparator" w:id="0">
    <w:p w:rsidR="00BC546B" w:rsidRDefault="00BC546B">
      <w:r>
        <w:continuationSeparator/>
      </w:r>
    </w:p>
  </w:footnote>
  <w:footnote w:id="1">
    <w:p w:rsidR="00BC546B" w:rsidRPr="005B78E7" w:rsidRDefault="00BC546B" w:rsidP="00177138">
      <w:pPr>
        <w:pStyle w:val="FootnoteText"/>
        <w:rPr>
          <w:lang w:val="es-ES"/>
        </w:rPr>
      </w:pPr>
      <w:r>
        <w:rPr>
          <w:rStyle w:val="FootnoteReference"/>
        </w:rPr>
        <w:footnoteRef/>
      </w:r>
      <w:r w:rsidRPr="005B78E7">
        <w:rPr>
          <w:lang w:val="es-ES"/>
        </w:rPr>
        <w:tab/>
        <w:t>Se han de realizar análisis cualitativos y cuantitativos de otras metodologías y métricas para la evaluación de la calidad de funcionamiento a fin de determinar su eficacia.</w:t>
      </w:r>
    </w:p>
  </w:footnote>
  <w:footnote w:id="2">
    <w:p w:rsidR="00BC546B" w:rsidRPr="000308D1" w:rsidRDefault="00BC546B" w:rsidP="00177138">
      <w:pPr>
        <w:pStyle w:val="FootnoteText"/>
        <w:rPr>
          <w:lang w:val="es-ES"/>
        </w:rPr>
      </w:pPr>
      <w:r>
        <w:rPr>
          <w:rStyle w:val="FootnoteReference"/>
        </w:rPr>
        <w:footnoteRef/>
      </w:r>
      <w:r w:rsidRPr="000308D1">
        <w:rPr>
          <w:lang w:val="es-ES"/>
        </w:rPr>
        <w:tab/>
      </w:r>
      <w:r w:rsidRPr="000308D1">
        <w:rPr>
          <w:bCs/>
          <w:lang w:val="es-ES"/>
        </w:rPr>
        <w:t>Sooyoung Kim</w:t>
      </w:r>
      <w:r w:rsidRPr="000308D1">
        <w:rPr>
          <w:b/>
          <w:bCs/>
          <w:lang w:val="es-ES"/>
        </w:rPr>
        <w:t xml:space="preserve"> </w:t>
      </w:r>
      <w:r w:rsidRPr="000308D1">
        <w:rPr>
          <w:lang w:val="es-ES"/>
        </w:rPr>
        <w:t>Shin, Kwangjae Lim, Kwonhue Choi, y Kunseok Kang, «Rain</w:t>
      </w:r>
      <w:r>
        <w:rPr>
          <w:lang w:val="es-ES"/>
        </w:rPr>
        <w:t xml:space="preserve"> </w:t>
      </w:r>
      <w:r w:rsidRPr="000308D1">
        <w:rPr>
          <w:lang w:val="es-ES"/>
        </w:rPr>
        <w:t xml:space="preserve">attenuation and Doppler shift compensation for satellite communications», </w:t>
      </w:r>
      <w:r w:rsidRPr="000308D1">
        <w:rPr>
          <w:i/>
          <w:iCs/>
          <w:lang w:val="es-ES"/>
        </w:rPr>
        <w:t>ETRI</w:t>
      </w:r>
      <w:r>
        <w:rPr>
          <w:i/>
          <w:iCs/>
          <w:lang w:val="es-ES"/>
        </w:rPr>
        <w:t xml:space="preserve"> </w:t>
      </w:r>
      <w:r w:rsidRPr="000308D1">
        <w:rPr>
          <w:i/>
          <w:iCs/>
          <w:lang w:val="es-ES"/>
        </w:rPr>
        <w:t>Journal</w:t>
      </w:r>
      <w:r w:rsidRPr="000308D1">
        <w:rPr>
          <w:lang w:val="es-ES"/>
        </w:rPr>
        <w:t>, Vol. 24, N</w:t>
      </w:r>
      <w:r>
        <w:rPr>
          <w:lang w:val="es-ES"/>
        </w:rPr>
        <w:t>º </w:t>
      </w:r>
      <w:r w:rsidRPr="000308D1">
        <w:rPr>
          <w:lang w:val="es-ES"/>
        </w:rPr>
        <w:t>1, febrero de 2002, pp.</w:t>
      </w:r>
      <w:r>
        <w:rPr>
          <w:lang w:val="es-ES"/>
        </w:rPr>
        <w:t> </w:t>
      </w:r>
      <w:r w:rsidRPr="000308D1">
        <w:rPr>
          <w:lang w:val="es-ES"/>
        </w:rPr>
        <w:t>31</w:t>
      </w:r>
      <w:r w:rsidRPr="000308D1">
        <w:rPr>
          <w:lang w:val="es-ES"/>
        </w:rPr>
        <w:noBreakHyphen/>
        <w:t>42.</w:t>
      </w:r>
    </w:p>
  </w:footnote>
  <w:footnote w:id="3">
    <w:p w:rsidR="00BC546B" w:rsidRPr="00061767" w:rsidRDefault="00BC546B" w:rsidP="00177138">
      <w:pPr>
        <w:pStyle w:val="FootnoteText"/>
        <w:rPr>
          <w:lang w:val="es-ES"/>
        </w:rPr>
      </w:pPr>
      <w:r>
        <w:rPr>
          <w:rStyle w:val="FootnoteReference"/>
        </w:rPr>
        <w:footnoteRef/>
      </w:r>
      <w:r w:rsidRPr="00061767">
        <w:rPr>
          <w:lang w:val="es-ES"/>
        </w:rPr>
        <w:tab/>
        <w:t xml:space="preserve">Meixiang Zhang </w:t>
      </w:r>
      <w:r>
        <w:rPr>
          <w:lang w:val="es-ES"/>
        </w:rPr>
        <w:t>y</w:t>
      </w:r>
      <w:r w:rsidRPr="00061767">
        <w:rPr>
          <w:lang w:val="es-ES"/>
        </w:rPr>
        <w:t xml:space="preserve"> Sooyoung Kim, «A Statistical Approach for Dynamic Rain Attenuation Model», 29ª</w:t>
      </w:r>
      <w:r>
        <w:rPr>
          <w:lang w:val="es-ES"/>
        </w:rPr>
        <w:t> </w:t>
      </w:r>
      <w:r w:rsidRPr="00061767">
        <w:rPr>
          <w:lang w:val="es-ES"/>
        </w:rPr>
        <w:t xml:space="preserve">Conferencia Internacional sobre Sistemas de Comunicaciones por Satélite de la AIAA (ICSSC-2011) 28 de noviembre – 1 de diciembre de 2011, Nara </w:t>
      </w:r>
      <w:r>
        <w:rPr>
          <w:lang w:val="es-ES"/>
        </w:rPr>
        <w:t>(</w:t>
      </w:r>
      <w:r w:rsidRPr="00061767">
        <w:rPr>
          <w:lang w:val="es-ES"/>
        </w:rPr>
        <w:t>Japón</w:t>
      </w:r>
      <w:r>
        <w:rPr>
          <w:lang w:val="es-ES"/>
        </w:rPr>
        <w:t>)</w:t>
      </w:r>
      <w:r w:rsidRPr="00061767">
        <w:rPr>
          <w:lang w:val="es-ES"/>
        </w:rPr>
        <w:t>.</w:t>
      </w:r>
    </w:p>
  </w:footnote>
  <w:footnote w:id="4">
    <w:p w:rsidR="00BC546B" w:rsidRPr="00061767" w:rsidRDefault="00BC546B" w:rsidP="00177138">
      <w:pPr>
        <w:pStyle w:val="FootnoteText"/>
        <w:rPr>
          <w:lang w:val="en-US"/>
        </w:rPr>
      </w:pPr>
      <w:r>
        <w:rPr>
          <w:rStyle w:val="FootnoteReference"/>
        </w:rPr>
        <w:footnoteRef/>
      </w:r>
      <w:r w:rsidRPr="00061767">
        <w:rPr>
          <w:lang w:val="en-US"/>
        </w:rPr>
        <w:tab/>
        <w:t>Documento DVB A171-1. Digital Video Broadcasting (DVB), Implementation guidelines for the second generation system for Broadcasting, Interactive Services, News Gathering and other broadband satellite applications; Part 1 (DVB-S2), marzo de 2015.</w:t>
      </w:r>
    </w:p>
  </w:footnote>
  <w:footnote w:id="5">
    <w:p w:rsidR="00BC546B" w:rsidRPr="00061767" w:rsidRDefault="00BC546B" w:rsidP="00177138">
      <w:pPr>
        <w:pStyle w:val="FootnoteText"/>
        <w:rPr>
          <w:lang w:val="en-US"/>
        </w:rPr>
      </w:pPr>
      <w:r>
        <w:rPr>
          <w:rStyle w:val="FootnoteReference"/>
        </w:rPr>
        <w:footnoteRef/>
      </w:r>
      <w:r w:rsidRPr="00061767">
        <w:rPr>
          <w:lang w:val="en-US"/>
        </w:rPr>
        <w:tab/>
        <w:t xml:space="preserve">Gerald Shewan, «Alternative Measure of Performance for Satellite Links Employing Adaptive Coding and Modulation», 30ª Conferencia Internacional sobre </w:t>
      </w:r>
      <w:r>
        <w:rPr>
          <w:lang w:val="en-US"/>
        </w:rPr>
        <w:t>S</w:t>
      </w:r>
      <w:r w:rsidRPr="00061767">
        <w:rPr>
          <w:lang w:val="en-US"/>
        </w:rPr>
        <w:t xml:space="preserve">istemas de </w:t>
      </w:r>
      <w:r>
        <w:rPr>
          <w:lang w:val="en-US"/>
        </w:rPr>
        <w:t>c</w:t>
      </w:r>
      <w:r w:rsidRPr="00061767">
        <w:rPr>
          <w:lang w:val="en-US"/>
        </w:rPr>
        <w:t xml:space="preserve">omunicaciones por </w:t>
      </w:r>
      <w:r>
        <w:rPr>
          <w:lang w:val="en-US"/>
        </w:rPr>
        <w:t>s</w:t>
      </w:r>
      <w:r w:rsidRPr="00061767">
        <w:rPr>
          <w:lang w:val="en-US"/>
        </w:rPr>
        <w:t xml:space="preserve">atélite de la AIAA (ICSSC-2012), 24-27 de septiembre de 2012, Ottawa </w:t>
      </w:r>
      <w:r>
        <w:rPr>
          <w:lang w:val="en-US"/>
        </w:rPr>
        <w:t>(</w:t>
      </w:r>
      <w:r w:rsidRPr="00061767">
        <w:rPr>
          <w:lang w:val="en-US"/>
        </w:rPr>
        <w:t>Canadá</w:t>
      </w:r>
      <w:r>
        <w:rPr>
          <w:lang w:val="en-US"/>
        </w:rPr>
        <w:t>)</w:t>
      </w:r>
      <w:r w:rsidRPr="00061767">
        <w:rPr>
          <w:lang w:val="en-US"/>
        </w:rPr>
        <w:t>.</w:t>
      </w:r>
    </w:p>
  </w:footnote>
  <w:footnote w:id="6">
    <w:p w:rsidR="00BC546B" w:rsidRPr="00CF57BA" w:rsidRDefault="00BC546B" w:rsidP="00177138">
      <w:pPr>
        <w:pStyle w:val="FootnoteText"/>
        <w:rPr>
          <w:lang w:val="es-ES"/>
        </w:rPr>
      </w:pPr>
      <w:r>
        <w:rPr>
          <w:rStyle w:val="FootnoteReference"/>
        </w:rPr>
        <w:footnoteRef/>
      </w:r>
      <w:r w:rsidRPr="00CF57BA">
        <w:rPr>
          <w:lang w:val="en-US"/>
        </w:rPr>
        <w:tab/>
        <w:t xml:space="preserve">Documento DVB A171-2. Digital Video Broadcasting (DVB), Implementation guidelines for the second generation </w:t>
      </w:r>
      <w:r w:rsidRPr="00CF57BA">
        <w:rPr>
          <w:lang w:val="en-GB"/>
        </w:rPr>
        <w:t>system</w:t>
      </w:r>
      <w:r w:rsidRPr="00CF57BA">
        <w:rPr>
          <w:lang w:val="en-US"/>
        </w:rPr>
        <w:t xml:space="preserve"> for Broadcasting, Interactive Services, News Gathering and other broadband satellite applications; Part 2 – S2 Extensions (DVB-S2X), marzo de 2015. </w:t>
      </w:r>
      <w:r w:rsidRPr="00CF57BA">
        <w:rPr>
          <w:lang w:val="es-ES"/>
        </w:rPr>
        <w:t>Puede encontrarse más información al respecto en la especificación DVB-S2X.</w:t>
      </w:r>
    </w:p>
  </w:footnote>
  <w:footnote w:id="7">
    <w:p w:rsidR="00BC546B" w:rsidRPr="00061767" w:rsidRDefault="00BC546B" w:rsidP="00177138">
      <w:pPr>
        <w:pStyle w:val="FootnoteText"/>
        <w:rPr>
          <w:lang w:val="en-US"/>
        </w:rPr>
      </w:pPr>
      <w:r>
        <w:rPr>
          <w:rStyle w:val="FootnoteReference"/>
        </w:rPr>
        <w:footnoteRef/>
      </w:r>
      <w:r w:rsidRPr="00061767">
        <w:rPr>
          <w:lang w:val="en-US"/>
        </w:rPr>
        <w:tab/>
        <w:t xml:space="preserve">Joon-Gyu </w:t>
      </w:r>
      <w:r w:rsidRPr="00061767">
        <w:rPr>
          <w:lang w:val="en-GB"/>
        </w:rPr>
        <w:t>Ryu</w:t>
      </w:r>
      <w:r w:rsidRPr="00061767">
        <w:rPr>
          <w:lang w:val="en-US"/>
        </w:rPr>
        <w:t xml:space="preserve">, Deock-Gil Oh, Hyun-Ho Kim, </w:t>
      </w:r>
      <w:r>
        <w:rPr>
          <w:lang w:val="en-US"/>
        </w:rPr>
        <w:t>y</w:t>
      </w:r>
      <w:r w:rsidRPr="00061767">
        <w:rPr>
          <w:lang w:val="en-US"/>
        </w:rPr>
        <w:t xml:space="preserve"> Sung-Yong Hong, «</w:t>
      </w:r>
      <w:r w:rsidRPr="00061767">
        <w:rPr>
          <w:bCs/>
          <w:lang w:val="en-US"/>
        </w:rPr>
        <w:t>Proposal of an Algorithm for an Efficient Forward Link Adaptive Coding and Modulation System for Satellite Communication</w:t>
      </w:r>
      <w:r w:rsidRPr="00061767">
        <w:rPr>
          <w:lang w:val="en-US"/>
        </w:rPr>
        <w:t xml:space="preserve">», </w:t>
      </w:r>
      <w:r w:rsidRPr="00061767">
        <w:rPr>
          <w:lang w:val="en-GB"/>
        </w:rPr>
        <w:t>Journal of Electromagnetic Engineering and Science, Vol. 16, N</w:t>
      </w:r>
      <w:r>
        <w:rPr>
          <w:lang w:val="en-GB"/>
        </w:rPr>
        <w:t>º</w:t>
      </w:r>
      <w:r w:rsidRPr="00061767">
        <w:rPr>
          <w:lang w:val="en-GB"/>
        </w:rPr>
        <w:t xml:space="preserve"> 2, abril de 2016, pp. 80-86.</w:t>
      </w:r>
    </w:p>
  </w:footnote>
  <w:footnote w:id="8">
    <w:p w:rsidR="00BC546B" w:rsidRPr="00CF57BA" w:rsidRDefault="00BC546B" w:rsidP="00177138">
      <w:pPr>
        <w:pStyle w:val="FootnoteText"/>
        <w:rPr>
          <w:lang w:val="es-ES"/>
        </w:rPr>
      </w:pPr>
      <w:r>
        <w:rPr>
          <w:rStyle w:val="FootnoteReference"/>
        </w:rPr>
        <w:footnoteRef/>
      </w:r>
      <w:r w:rsidRPr="00CF57BA">
        <w:rPr>
          <w:lang w:val="es-ES"/>
        </w:rPr>
        <w:tab/>
        <w:t>No debe considerarse que la utilización de las características de la DVB-S2X supone una preferencia por el sistema DVB-S2X en detrimento de otras técnicas ACM alternativas. Las características de la DVB</w:t>
      </w:r>
      <w:r>
        <w:rPr>
          <w:lang w:val="es-ES"/>
        </w:rPr>
        <w:noBreakHyphen/>
      </w:r>
      <w:r w:rsidRPr="00CF57BA">
        <w:rPr>
          <w:lang w:val="es-ES"/>
        </w:rPr>
        <w:t>S2X son del dominio público y su utilización no está sujeta a derechos de propiedad intelectual.</w:t>
      </w:r>
    </w:p>
  </w:footnote>
  <w:footnote w:id="9">
    <w:p w:rsidR="00BC546B" w:rsidRPr="00061767" w:rsidRDefault="00BC546B" w:rsidP="00177138">
      <w:pPr>
        <w:pStyle w:val="FootnoteText"/>
        <w:rPr>
          <w:lang w:val="es-ES"/>
        </w:rPr>
      </w:pPr>
      <w:r>
        <w:rPr>
          <w:rStyle w:val="FootnoteReference"/>
        </w:rPr>
        <w:footnoteRef/>
      </w:r>
      <w:r w:rsidRPr="00061767">
        <w:rPr>
          <w:lang w:val="es-ES"/>
        </w:rPr>
        <w:tab/>
        <w:t>DVB-S2X se usa como ejemplo al ser una norma ampliamente utilizada cuyas características son del dominio público. La misma derivación puede efectuarse con cualquier otra técnica ACM.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rsidP="00D62884">
    <w:pPr>
      <w:pStyle w:val="Header"/>
      <w:ind w:right="360" w:firstLine="360"/>
    </w:pPr>
    <w:r>
      <w:rPr>
        <w:noProof/>
        <w:lang w:val="en-US"/>
      </w:rPr>
      <w:drawing>
        <wp:anchor distT="0" distB="0" distL="114300" distR="114300" simplePos="0" relativeHeight="251692544" behindDoc="1" locked="0" layoutInCell="1" allowOverlap="1" wp14:anchorId="41DF6149" wp14:editId="31A40A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7637D">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47637D">
      <w:rPr>
        <w:b/>
        <w:bCs/>
        <w:noProof/>
      </w:rPr>
      <w:t>UIT-R  S.2131-0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637D">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7637D">
      <w:rPr>
        <w:b/>
        <w:bCs/>
        <w:noProof/>
        <w:lang w:val="en-US"/>
      </w:rPr>
      <w:t>UIT-R  S.2131-0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6B" w:rsidRDefault="00BC546B">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7637D">
      <w:rPr>
        <w:b/>
        <w:bCs/>
        <w:noProof/>
      </w:rPr>
      <w:t>UIT-R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637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401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C4F0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F0DA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5C06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301D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8ABD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5872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809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0E3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0A2D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1C05693"/>
    <w:multiLevelType w:val="hybridMultilevel"/>
    <w:tmpl w:val="3D38F1F0"/>
    <w:lvl w:ilvl="0" w:tplc="FA203AB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3"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3BD755C"/>
    <w:multiLevelType w:val="hybridMultilevel"/>
    <w:tmpl w:val="12C8F6B0"/>
    <w:lvl w:ilvl="0" w:tplc="8F0651A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2" w15:restartNumberingAfterBreak="0">
    <w:nsid w:val="23C874E2"/>
    <w:multiLevelType w:val="hybridMultilevel"/>
    <w:tmpl w:val="FF6C9978"/>
    <w:lvl w:ilvl="0" w:tplc="ABC2A77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4BCB77DE"/>
    <w:multiLevelType w:val="hybridMultilevel"/>
    <w:tmpl w:val="475287C6"/>
    <w:lvl w:ilvl="0" w:tplc="FF8AEEF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30"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2"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1"/>
  </w:num>
  <w:num w:numId="13">
    <w:abstractNumId w:val="10"/>
  </w:num>
  <w:num w:numId="1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6"/>
  </w:num>
  <w:num w:numId="17">
    <w:abstractNumId w:val="12"/>
  </w:num>
  <w:num w:numId="18">
    <w:abstractNumId w:val="19"/>
  </w:num>
  <w:num w:numId="19">
    <w:abstractNumId w:val="30"/>
  </w:num>
  <w:num w:numId="20">
    <w:abstractNumId w:val="32"/>
  </w:num>
  <w:num w:numId="21">
    <w:abstractNumId w:val="26"/>
  </w:num>
  <w:num w:numId="22">
    <w:abstractNumId w:val="34"/>
  </w:num>
  <w:num w:numId="23">
    <w:abstractNumId w:val="33"/>
  </w:num>
  <w:num w:numId="24">
    <w:abstractNumId w:val="20"/>
  </w:num>
  <w:num w:numId="25">
    <w:abstractNumId w:val="23"/>
  </w:num>
  <w:num w:numId="26">
    <w:abstractNumId w:val="35"/>
  </w:num>
  <w:num w:numId="27">
    <w:abstractNumId w:val="18"/>
  </w:num>
  <w:num w:numId="28">
    <w:abstractNumId w:val="27"/>
  </w:num>
  <w:num w:numId="29">
    <w:abstractNumId w:val="16"/>
  </w:num>
  <w:num w:numId="30">
    <w:abstractNumId w:val="29"/>
  </w:num>
  <w:num w:numId="31">
    <w:abstractNumId w:val="17"/>
  </w:num>
  <w:num w:numId="32">
    <w:abstractNumId w:val="13"/>
  </w:num>
  <w:num w:numId="33">
    <w:abstractNumId w:val="14"/>
  </w:num>
  <w:num w:numId="34">
    <w:abstractNumId w:val="24"/>
  </w:num>
  <w:num w:numId="35">
    <w:abstractNumId w:val="22"/>
  </w:num>
  <w:num w:numId="36">
    <w:abstractNumId w:val="28"/>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
  <w:rsids>
    <w:rsidRoot w:val="00B1717A"/>
    <w:rsid w:val="00016E83"/>
    <w:rsid w:val="00023590"/>
    <w:rsid w:val="00071C54"/>
    <w:rsid w:val="00142607"/>
    <w:rsid w:val="00145DF8"/>
    <w:rsid w:val="00177138"/>
    <w:rsid w:val="00236E9D"/>
    <w:rsid w:val="0024514E"/>
    <w:rsid w:val="00263753"/>
    <w:rsid w:val="00266EDC"/>
    <w:rsid w:val="002B6FE2"/>
    <w:rsid w:val="002D76C4"/>
    <w:rsid w:val="002E5914"/>
    <w:rsid w:val="00363835"/>
    <w:rsid w:val="00366CEE"/>
    <w:rsid w:val="004532F7"/>
    <w:rsid w:val="00471083"/>
    <w:rsid w:val="0047637D"/>
    <w:rsid w:val="0058215F"/>
    <w:rsid w:val="005A6102"/>
    <w:rsid w:val="00607D68"/>
    <w:rsid w:val="00617508"/>
    <w:rsid w:val="006233A4"/>
    <w:rsid w:val="006B22C3"/>
    <w:rsid w:val="00706B16"/>
    <w:rsid w:val="007B5506"/>
    <w:rsid w:val="00803270"/>
    <w:rsid w:val="008108F1"/>
    <w:rsid w:val="00830149"/>
    <w:rsid w:val="008438E2"/>
    <w:rsid w:val="00847DD5"/>
    <w:rsid w:val="00881FCB"/>
    <w:rsid w:val="008931E6"/>
    <w:rsid w:val="008A0DDA"/>
    <w:rsid w:val="008A69AD"/>
    <w:rsid w:val="008E05A5"/>
    <w:rsid w:val="00902055"/>
    <w:rsid w:val="00921A53"/>
    <w:rsid w:val="00940AFE"/>
    <w:rsid w:val="009E202C"/>
    <w:rsid w:val="00A6617B"/>
    <w:rsid w:val="00AB0DC8"/>
    <w:rsid w:val="00AD5FF4"/>
    <w:rsid w:val="00B1717A"/>
    <w:rsid w:val="00B44E24"/>
    <w:rsid w:val="00B60877"/>
    <w:rsid w:val="00B87252"/>
    <w:rsid w:val="00B874DB"/>
    <w:rsid w:val="00BB77E9"/>
    <w:rsid w:val="00BC546B"/>
    <w:rsid w:val="00BF7841"/>
    <w:rsid w:val="00C04968"/>
    <w:rsid w:val="00C51DA2"/>
    <w:rsid w:val="00CC3323"/>
    <w:rsid w:val="00D07801"/>
    <w:rsid w:val="00D12388"/>
    <w:rsid w:val="00D36E86"/>
    <w:rsid w:val="00D62884"/>
    <w:rsid w:val="00DA4DAF"/>
    <w:rsid w:val="00DB3E84"/>
    <w:rsid w:val="00DC4C42"/>
    <w:rsid w:val="00DD360B"/>
    <w:rsid w:val="00DE71F7"/>
    <w:rsid w:val="00DF4176"/>
    <w:rsid w:val="00DF53B7"/>
    <w:rsid w:val="00F95576"/>
    <w:rsid w:val="00F95CFB"/>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D84D8C3"/>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1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77138"/>
    <w:pPr>
      <w:keepNext/>
      <w:keepLines/>
      <w:spacing w:before="480"/>
      <w:ind w:left="794" w:hanging="794"/>
      <w:outlineLvl w:val="0"/>
    </w:pPr>
    <w:rPr>
      <w:b/>
    </w:rPr>
  </w:style>
  <w:style w:type="paragraph" w:styleId="Heading2">
    <w:name w:val="heading 2"/>
    <w:basedOn w:val="Heading1"/>
    <w:next w:val="Normal"/>
    <w:link w:val="Heading2Char"/>
    <w:qFormat/>
    <w:rsid w:val="00177138"/>
    <w:pPr>
      <w:spacing w:before="320"/>
      <w:outlineLvl w:val="1"/>
    </w:pPr>
  </w:style>
  <w:style w:type="paragraph" w:styleId="Heading3">
    <w:name w:val="heading 3"/>
    <w:basedOn w:val="Heading1"/>
    <w:next w:val="Normal"/>
    <w:link w:val="Heading3Char"/>
    <w:qFormat/>
    <w:rsid w:val="00177138"/>
    <w:pPr>
      <w:spacing w:before="200"/>
      <w:outlineLvl w:val="2"/>
    </w:pPr>
  </w:style>
  <w:style w:type="paragraph" w:styleId="Heading4">
    <w:name w:val="heading 4"/>
    <w:basedOn w:val="Heading3"/>
    <w:next w:val="Normal"/>
    <w:link w:val="Heading4Char"/>
    <w:uiPriority w:val="99"/>
    <w:qFormat/>
    <w:rsid w:val="0017713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77138"/>
    <w:pPr>
      <w:outlineLvl w:val="4"/>
    </w:pPr>
  </w:style>
  <w:style w:type="paragraph" w:styleId="Heading6">
    <w:name w:val="heading 6"/>
    <w:basedOn w:val="Heading4"/>
    <w:next w:val="Normal"/>
    <w:link w:val="Heading6Char"/>
    <w:uiPriority w:val="99"/>
    <w:qFormat/>
    <w:rsid w:val="0017713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77138"/>
    <w:pPr>
      <w:outlineLvl w:val="6"/>
    </w:pPr>
  </w:style>
  <w:style w:type="paragraph" w:styleId="Heading8">
    <w:name w:val="heading 8"/>
    <w:basedOn w:val="Heading6"/>
    <w:next w:val="Normal"/>
    <w:link w:val="Heading8Char"/>
    <w:uiPriority w:val="99"/>
    <w:qFormat/>
    <w:rsid w:val="00177138"/>
    <w:pPr>
      <w:outlineLvl w:val="7"/>
    </w:pPr>
  </w:style>
  <w:style w:type="paragraph" w:styleId="Heading9">
    <w:name w:val="heading 9"/>
    <w:basedOn w:val="Heading6"/>
    <w:next w:val="Normal"/>
    <w:link w:val="Heading9Char"/>
    <w:uiPriority w:val="99"/>
    <w:qFormat/>
    <w:rsid w:val="001771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713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77138"/>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77138"/>
  </w:style>
  <w:style w:type="paragraph" w:customStyle="1" w:styleId="Headingb">
    <w:name w:val="Heading_b"/>
    <w:basedOn w:val="Heading3"/>
    <w:next w:val="Normal"/>
    <w:link w:val="HeadingbChar"/>
    <w:qFormat/>
    <w:rsid w:val="00177138"/>
    <w:pPr>
      <w:spacing w:before="160"/>
      <w:ind w:left="0" w:firstLine="0"/>
      <w:outlineLvl w:val="9"/>
    </w:pPr>
  </w:style>
  <w:style w:type="paragraph" w:customStyle="1" w:styleId="Headingi">
    <w:name w:val="Heading_i"/>
    <w:basedOn w:val="Heading3"/>
    <w:next w:val="Normal"/>
    <w:qFormat/>
    <w:rsid w:val="00177138"/>
    <w:pPr>
      <w:spacing w:before="160"/>
      <w:ind w:left="0" w:firstLine="0"/>
    </w:pPr>
    <w:rPr>
      <w:b w:val="0"/>
      <w:i/>
    </w:rPr>
  </w:style>
  <w:style w:type="character" w:customStyle="1" w:styleId="href">
    <w:name w:val="href"/>
    <w:basedOn w:val="DefaultParagraphFont"/>
    <w:rsid w:val="00177138"/>
  </w:style>
  <w:style w:type="paragraph" w:customStyle="1" w:styleId="enumlev1">
    <w:name w:val="enumlev1"/>
    <w:basedOn w:val="Normal"/>
    <w:link w:val="enumlev1Char"/>
    <w:rsid w:val="00177138"/>
    <w:pPr>
      <w:spacing w:before="80"/>
      <w:ind w:left="794" w:hanging="794"/>
    </w:pPr>
  </w:style>
  <w:style w:type="paragraph" w:customStyle="1" w:styleId="enumlev2">
    <w:name w:val="enumlev2"/>
    <w:basedOn w:val="enumlev1"/>
    <w:uiPriority w:val="99"/>
    <w:rsid w:val="00177138"/>
    <w:pPr>
      <w:ind w:left="1191" w:hanging="397"/>
    </w:pPr>
  </w:style>
  <w:style w:type="paragraph" w:customStyle="1" w:styleId="enumlev3">
    <w:name w:val="enumlev3"/>
    <w:basedOn w:val="enumlev2"/>
    <w:uiPriority w:val="99"/>
    <w:rsid w:val="00177138"/>
    <w:pPr>
      <w:ind w:left="1588"/>
    </w:pPr>
  </w:style>
  <w:style w:type="paragraph" w:customStyle="1" w:styleId="Normalaftertitle">
    <w:name w:val="Normal_after_title"/>
    <w:basedOn w:val="Normal"/>
    <w:next w:val="Normal"/>
    <w:link w:val="NormalaftertitleChar"/>
    <w:uiPriority w:val="99"/>
    <w:rsid w:val="00177138"/>
    <w:pPr>
      <w:spacing w:before="320"/>
    </w:pPr>
  </w:style>
  <w:style w:type="paragraph" w:customStyle="1" w:styleId="Note">
    <w:name w:val="Note"/>
    <w:basedOn w:val="Normal"/>
    <w:uiPriority w:val="99"/>
    <w:rsid w:val="0017713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7713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77138"/>
    <w:pPr>
      <w:spacing w:before="240"/>
    </w:pPr>
    <w:rPr>
      <w:sz w:val="22"/>
      <w:lang w:val="es-ES_tradnl"/>
    </w:rPr>
  </w:style>
  <w:style w:type="paragraph" w:customStyle="1" w:styleId="Recref">
    <w:name w:val="Rec_ref"/>
    <w:basedOn w:val="Normal"/>
    <w:next w:val="Recdate"/>
    <w:uiPriority w:val="99"/>
    <w:rsid w:val="00177138"/>
    <w:pPr>
      <w:jc w:val="center"/>
    </w:pPr>
  </w:style>
  <w:style w:type="paragraph" w:customStyle="1" w:styleId="Recdate">
    <w:name w:val="Rec_date"/>
    <w:basedOn w:val="Recref"/>
    <w:next w:val="Normalaftertitle"/>
    <w:uiPriority w:val="99"/>
    <w:rsid w:val="00177138"/>
    <w:pPr>
      <w:jc w:val="right"/>
    </w:pPr>
  </w:style>
  <w:style w:type="paragraph" w:customStyle="1" w:styleId="AnnexNoTitle">
    <w:name w:val="Annex_NoTitle"/>
    <w:basedOn w:val="Normal"/>
    <w:next w:val="Normalaftertitle"/>
    <w:rsid w:val="00177138"/>
    <w:pPr>
      <w:keepNext/>
      <w:keepLines/>
      <w:spacing w:before="480" w:after="80"/>
      <w:jc w:val="center"/>
    </w:pPr>
    <w:rPr>
      <w:b/>
      <w:sz w:val="28"/>
    </w:rPr>
  </w:style>
  <w:style w:type="paragraph" w:customStyle="1" w:styleId="AppendixNoTitle">
    <w:name w:val="Appendix_NoTitle"/>
    <w:basedOn w:val="AnnexNoTitle"/>
    <w:next w:val="Normal"/>
    <w:rsid w:val="00177138"/>
  </w:style>
  <w:style w:type="paragraph" w:customStyle="1" w:styleId="Tablefin">
    <w:name w:val="Table_fin"/>
    <w:basedOn w:val="Normal"/>
    <w:next w:val="Normal"/>
    <w:rsid w:val="00177138"/>
    <w:pPr>
      <w:spacing w:before="0"/>
    </w:pPr>
    <w:rPr>
      <w:sz w:val="20"/>
      <w:lang w:val="en-GB"/>
    </w:rPr>
  </w:style>
  <w:style w:type="paragraph" w:customStyle="1" w:styleId="Tablehead">
    <w:name w:val="Table_head"/>
    <w:basedOn w:val="Normal"/>
    <w:next w:val="Normal"/>
    <w:rsid w:val="001771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71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7138"/>
    <w:pPr>
      <w:keepNext/>
      <w:spacing w:before="360" w:after="120"/>
      <w:jc w:val="center"/>
    </w:pPr>
  </w:style>
  <w:style w:type="paragraph" w:customStyle="1" w:styleId="Tabletext">
    <w:name w:val="Table_text"/>
    <w:basedOn w:val="Normal"/>
    <w:rsid w:val="001771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713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771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77138"/>
    <w:pPr>
      <w:ind w:left="794"/>
    </w:pPr>
  </w:style>
  <w:style w:type="paragraph" w:customStyle="1" w:styleId="Figurelegend">
    <w:name w:val="Figure_legend"/>
    <w:basedOn w:val="Normal"/>
    <w:uiPriority w:val="99"/>
    <w:rsid w:val="001771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77138"/>
    <w:pPr>
      <w:keepNext/>
      <w:keepLines/>
      <w:spacing w:before="480" w:after="80"/>
      <w:jc w:val="center"/>
    </w:pPr>
    <w:rPr>
      <w:caps/>
      <w:sz w:val="18"/>
    </w:rPr>
  </w:style>
  <w:style w:type="paragraph" w:customStyle="1" w:styleId="tocpart">
    <w:name w:val="tocpart"/>
    <w:basedOn w:val="Normal"/>
    <w:rsid w:val="001771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77138"/>
    <w:pPr>
      <w:keepNext/>
      <w:keepLines/>
      <w:spacing w:before="480"/>
      <w:jc w:val="center"/>
    </w:pPr>
    <w:rPr>
      <w:sz w:val="28"/>
    </w:rPr>
  </w:style>
  <w:style w:type="paragraph" w:customStyle="1" w:styleId="Arttitle">
    <w:name w:val="Art_title"/>
    <w:basedOn w:val="Normal"/>
    <w:next w:val="Normalaftertitle"/>
    <w:uiPriority w:val="99"/>
    <w:rsid w:val="00177138"/>
    <w:pPr>
      <w:keepNext/>
      <w:keepLines/>
      <w:spacing w:before="240"/>
      <w:jc w:val="center"/>
    </w:pPr>
    <w:rPr>
      <w:b/>
      <w:sz w:val="28"/>
    </w:rPr>
  </w:style>
  <w:style w:type="paragraph" w:customStyle="1" w:styleId="Blanc">
    <w:name w:val="Blanc"/>
    <w:basedOn w:val="Normal"/>
    <w:next w:val="Tabletext"/>
    <w:rsid w:val="001771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771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77138"/>
    <w:pPr>
      <w:keepNext/>
      <w:keepLines/>
      <w:spacing w:before="160"/>
      <w:ind w:left="794"/>
    </w:pPr>
    <w:rPr>
      <w:i/>
    </w:rPr>
  </w:style>
  <w:style w:type="paragraph" w:customStyle="1" w:styleId="ChapNo">
    <w:name w:val="Chap_No"/>
    <w:basedOn w:val="ArtNo"/>
    <w:next w:val="Chaptitle"/>
    <w:uiPriority w:val="99"/>
    <w:rsid w:val="00177138"/>
    <w:rPr>
      <w:b/>
    </w:rPr>
  </w:style>
  <w:style w:type="paragraph" w:customStyle="1" w:styleId="Chaptitle">
    <w:name w:val="Chap_title"/>
    <w:basedOn w:val="Arttitle"/>
    <w:next w:val="Normalaftertitle"/>
    <w:uiPriority w:val="99"/>
    <w:rsid w:val="00177138"/>
  </w:style>
  <w:style w:type="character" w:styleId="FootnoteReference">
    <w:name w:val="footnote reference"/>
    <w:aliases w:val="Appel note de bas de p,Footnote Reference/"/>
    <w:basedOn w:val="DefaultParagraphFont"/>
    <w:rsid w:val="00177138"/>
    <w:rPr>
      <w:position w:val="6"/>
      <w:sz w:val="18"/>
    </w:rPr>
  </w:style>
  <w:style w:type="paragraph" w:styleId="FootnoteText">
    <w:name w:val="footnote text"/>
    <w:basedOn w:val="Normal"/>
    <w:link w:val="FootnoteTextChar"/>
    <w:rsid w:val="00177138"/>
    <w:pPr>
      <w:keepLines/>
      <w:tabs>
        <w:tab w:val="left" w:pos="255"/>
      </w:tabs>
      <w:ind w:left="255" w:hanging="255"/>
    </w:pPr>
    <w:rPr>
      <w:sz w:val="22"/>
    </w:rPr>
  </w:style>
  <w:style w:type="paragraph" w:styleId="Index1">
    <w:name w:val="index 1"/>
    <w:basedOn w:val="Normal"/>
    <w:next w:val="Normal"/>
    <w:uiPriority w:val="99"/>
    <w:semiHidden/>
    <w:rsid w:val="00177138"/>
  </w:style>
  <w:style w:type="paragraph" w:styleId="Index2">
    <w:name w:val="index 2"/>
    <w:basedOn w:val="Normal"/>
    <w:next w:val="Normal"/>
    <w:uiPriority w:val="99"/>
    <w:semiHidden/>
    <w:rsid w:val="00177138"/>
    <w:pPr>
      <w:ind w:left="283"/>
    </w:pPr>
  </w:style>
  <w:style w:type="paragraph" w:styleId="Index3">
    <w:name w:val="index 3"/>
    <w:basedOn w:val="Normal"/>
    <w:next w:val="Normal"/>
    <w:uiPriority w:val="99"/>
    <w:semiHidden/>
    <w:rsid w:val="00177138"/>
    <w:pPr>
      <w:ind w:left="566"/>
    </w:pPr>
  </w:style>
  <w:style w:type="paragraph" w:styleId="IndexHeading">
    <w:name w:val="index heading"/>
    <w:basedOn w:val="Normal"/>
    <w:next w:val="Index1"/>
    <w:uiPriority w:val="99"/>
    <w:rsid w:val="00177138"/>
  </w:style>
  <w:style w:type="paragraph" w:customStyle="1" w:styleId="Line">
    <w:name w:val="Line"/>
    <w:basedOn w:val="Normal"/>
    <w:next w:val="Normal"/>
    <w:rsid w:val="001771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71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77138"/>
  </w:style>
  <w:style w:type="paragraph" w:customStyle="1" w:styleId="Partref">
    <w:name w:val="Part_ref"/>
    <w:basedOn w:val="Normal"/>
    <w:next w:val="Normal"/>
    <w:uiPriority w:val="99"/>
    <w:rsid w:val="00177138"/>
    <w:pPr>
      <w:keepNext/>
      <w:keepLines/>
      <w:spacing w:after="280"/>
      <w:jc w:val="center"/>
    </w:pPr>
  </w:style>
  <w:style w:type="paragraph" w:customStyle="1" w:styleId="Parttitle">
    <w:name w:val="Part_title"/>
    <w:basedOn w:val="Normal"/>
    <w:next w:val="Normalaftertitle"/>
    <w:uiPriority w:val="99"/>
    <w:rsid w:val="0017713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7138"/>
  </w:style>
  <w:style w:type="paragraph" w:customStyle="1" w:styleId="QuestionNo">
    <w:name w:val="Question_No"/>
    <w:basedOn w:val="RecNo"/>
    <w:next w:val="Normal"/>
    <w:uiPriority w:val="99"/>
    <w:rsid w:val="00177138"/>
  </w:style>
  <w:style w:type="paragraph" w:customStyle="1" w:styleId="Questionref">
    <w:name w:val="Question_ref"/>
    <w:basedOn w:val="Recref"/>
    <w:next w:val="Questiondate"/>
    <w:uiPriority w:val="99"/>
    <w:rsid w:val="00177138"/>
  </w:style>
  <w:style w:type="paragraph" w:customStyle="1" w:styleId="Questiontitle">
    <w:name w:val="Question_title"/>
    <w:basedOn w:val="Normal"/>
    <w:next w:val="Questionref"/>
    <w:uiPriority w:val="99"/>
    <w:rsid w:val="00177138"/>
  </w:style>
  <w:style w:type="paragraph" w:customStyle="1" w:styleId="Reftext">
    <w:name w:val="Ref_text"/>
    <w:basedOn w:val="Normal"/>
    <w:rsid w:val="00177138"/>
    <w:pPr>
      <w:ind w:left="794" w:hanging="794"/>
    </w:pPr>
    <w:rPr>
      <w:sz w:val="22"/>
    </w:rPr>
  </w:style>
  <w:style w:type="paragraph" w:customStyle="1" w:styleId="Reftitle">
    <w:name w:val="Ref_title"/>
    <w:basedOn w:val="Normal"/>
    <w:next w:val="Reftext"/>
    <w:rsid w:val="0017713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177138"/>
  </w:style>
  <w:style w:type="paragraph" w:customStyle="1" w:styleId="RepNo">
    <w:name w:val="Rep_No"/>
    <w:basedOn w:val="RecNo"/>
    <w:next w:val="Reptitle"/>
    <w:link w:val="RepNoCar"/>
    <w:uiPriority w:val="99"/>
    <w:rsid w:val="00177138"/>
  </w:style>
  <w:style w:type="paragraph" w:customStyle="1" w:styleId="Repref">
    <w:name w:val="Rep_ref"/>
    <w:basedOn w:val="Recref"/>
    <w:next w:val="Repdate"/>
    <w:uiPriority w:val="99"/>
    <w:rsid w:val="00177138"/>
  </w:style>
  <w:style w:type="paragraph" w:customStyle="1" w:styleId="Reptitle">
    <w:name w:val="Rep_title"/>
    <w:basedOn w:val="Rectitle"/>
    <w:next w:val="Repref"/>
    <w:link w:val="ReptitleCar"/>
    <w:uiPriority w:val="99"/>
    <w:rsid w:val="00177138"/>
  </w:style>
  <w:style w:type="paragraph" w:customStyle="1" w:styleId="Resdate">
    <w:name w:val="Res_date"/>
    <w:basedOn w:val="Recdate"/>
    <w:next w:val="Normalaftertitle"/>
    <w:uiPriority w:val="99"/>
    <w:rsid w:val="00177138"/>
  </w:style>
  <w:style w:type="paragraph" w:customStyle="1" w:styleId="ResNo">
    <w:name w:val="Res_No"/>
    <w:basedOn w:val="RecNo"/>
    <w:next w:val="Restitle"/>
    <w:uiPriority w:val="99"/>
    <w:rsid w:val="00177138"/>
  </w:style>
  <w:style w:type="paragraph" w:customStyle="1" w:styleId="Resref">
    <w:name w:val="Res_ref"/>
    <w:basedOn w:val="Recref"/>
    <w:next w:val="Resdate"/>
    <w:uiPriority w:val="99"/>
    <w:rsid w:val="00177138"/>
  </w:style>
  <w:style w:type="paragraph" w:customStyle="1" w:styleId="Restitle">
    <w:name w:val="Res_title"/>
    <w:basedOn w:val="Normal"/>
    <w:next w:val="Resref"/>
    <w:uiPriority w:val="99"/>
    <w:rsid w:val="00177138"/>
    <w:pPr>
      <w:spacing w:before="240"/>
      <w:jc w:val="center"/>
    </w:pPr>
    <w:rPr>
      <w:b/>
      <w:sz w:val="28"/>
    </w:rPr>
  </w:style>
  <w:style w:type="paragraph" w:customStyle="1" w:styleId="SectionNo">
    <w:name w:val="Section_No"/>
    <w:basedOn w:val="Normal"/>
    <w:next w:val="Normal"/>
    <w:uiPriority w:val="99"/>
    <w:rsid w:val="00177138"/>
  </w:style>
  <w:style w:type="paragraph" w:customStyle="1" w:styleId="Sectiontitle">
    <w:name w:val="Section_title"/>
    <w:basedOn w:val="Normal"/>
    <w:next w:val="Normalaftertitle"/>
    <w:uiPriority w:val="99"/>
    <w:rsid w:val="0017713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77138"/>
    <w:pPr>
      <w:tabs>
        <w:tab w:val="clear" w:pos="794"/>
        <w:tab w:val="clear" w:pos="1191"/>
        <w:tab w:val="clear" w:pos="1588"/>
        <w:tab w:val="clear" w:pos="1985"/>
        <w:tab w:val="right" w:pos="9611"/>
      </w:tabs>
    </w:pPr>
    <w:rPr>
      <w:i/>
    </w:rPr>
  </w:style>
  <w:style w:type="paragraph" w:styleId="TOC1">
    <w:name w:val="toc 1"/>
    <w:basedOn w:val="Normal"/>
    <w:uiPriority w:val="99"/>
    <w:rsid w:val="001771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77138"/>
    <w:pPr>
      <w:tabs>
        <w:tab w:val="clear" w:pos="567"/>
        <w:tab w:val="left" w:pos="1276"/>
      </w:tabs>
      <w:spacing w:before="160"/>
      <w:ind w:left="1276" w:hanging="709"/>
    </w:pPr>
  </w:style>
  <w:style w:type="paragraph" w:styleId="TOC3">
    <w:name w:val="toc 3"/>
    <w:basedOn w:val="TOC2"/>
    <w:uiPriority w:val="99"/>
    <w:rsid w:val="00177138"/>
    <w:pPr>
      <w:tabs>
        <w:tab w:val="clear" w:pos="1276"/>
        <w:tab w:val="left" w:pos="2155"/>
      </w:tabs>
      <w:ind w:left="2155" w:hanging="879"/>
    </w:pPr>
  </w:style>
  <w:style w:type="paragraph" w:styleId="TOC4">
    <w:name w:val="toc 4"/>
    <w:basedOn w:val="TOC3"/>
    <w:uiPriority w:val="99"/>
    <w:rsid w:val="00177138"/>
    <w:pPr>
      <w:tabs>
        <w:tab w:val="left" w:pos="3261"/>
      </w:tabs>
      <w:spacing w:before="80"/>
      <w:ind w:left="3261" w:hanging="993"/>
    </w:pPr>
  </w:style>
  <w:style w:type="paragraph" w:styleId="TOC5">
    <w:name w:val="toc 5"/>
    <w:basedOn w:val="TOC4"/>
    <w:uiPriority w:val="99"/>
    <w:rsid w:val="00177138"/>
  </w:style>
  <w:style w:type="paragraph" w:styleId="TOC6">
    <w:name w:val="toc 6"/>
    <w:basedOn w:val="TOC4"/>
    <w:uiPriority w:val="99"/>
    <w:rsid w:val="00177138"/>
  </w:style>
  <w:style w:type="paragraph" w:styleId="TOC7">
    <w:name w:val="toc 7"/>
    <w:basedOn w:val="TOC4"/>
    <w:uiPriority w:val="99"/>
    <w:rsid w:val="00177138"/>
  </w:style>
  <w:style w:type="paragraph" w:styleId="TOC8">
    <w:name w:val="toc 8"/>
    <w:basedOn w:val="TOC4"/>
    <w:uiPriority w:val="99"/>
    <w:rsid w:val="00177138"/>
  </w:style>
  <w:style w:type="paragraph" w:customStyle="1" w:styleId="Rectitle">
    <w:name w:val="Rec_title"/>
    <w:basedOn w:val="Normal"/>
    <w:next w:val="Recref"/>
    <w:link w:val="Rectitle0"/>
    <w:rsid w:val="00177138"/>
    <w:pPr>
      <w:keepNext/>
      <w:keepLines/>
      <w:spacing w:before="240"/>
      <w:jc w:val="center"/>
    </w:pPr>
    <w:rPr>
      <w:b/>
      <w:sz w:val="28"/>
    </w:rPr>
  </w:style>
  <w:style w:type="paragraph" w:customStyle="1" w:styleId="Annexref">
    <w:name w:val="Annex_ref"/>
    <w:basedOn w:val="Normal"/>
    <w:next w:val="Normalaftertitle"/>
    <w:rsid w:val="00177138"/>
    <w:pPr>
      <w:keepNext/>
      <w:keepLines/>
      <w:spacing w:after="280"/>
      <w:jc w:val="center"/>
    </w:pPr>
  </w:style>
  <w:style w:type="paragraph" w:customStyle="1" w:styleId="Appendixref">
    <w:name w:val="Appendix_ref"/>
    <w:basedOn w:val="Annexref"/>
    <w:next w:val="Normalaftertitle"/>
    <w:uiPriority w:val="99"/>
    <w:rsid w:val="00177138"/>
  </w:style>
  <w:style w:type="paragraph" w:customStyle="1" w:styleId="Figuretitle">
    <w:name w:val="Figure_title"/>
    <w:basedOn w:val="Normal"/>
    <w:next w:val="Figure"/>
    <w:link w:val="FiguretitleChar"/>
    <w:rsid w:val="0017713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7138"/>
    <w:pPr>
      <w:keepNext/>
      <w:spacing w:before="0" w:after="120"/>
      <w:jc w:val="center"/>
    </w:pPr>
    <w:rPr>
      <w:b/>
    </w:rPr>
  </w:style>
  <w:style w:type="paragraph" w:customStyle="1" w:styleId="Summary">
    <w:name w:val="Summary"/>
    <w:basedOn w:val="Normal"/>
    <w:next w:val="Normalaftertitle"/>
    <w:autoRedefine/>
    <w:rsid w:val="00177138"/>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177138"/>
    <w:pPr>
      <w:keepNext w:val="0"/>
      <w:spacing w:before="0" w:after="240"/>
    </w:pPr>
  </w:style>
  <w:style w:type="paragraph" w:customStyle="1" w:styleId="TableLegendNote">
    <w:name w:val="Table_Legend_Note"/>
    <w:basedOn w:val="Tablelegend"/>
    <w:next w:val="Tablelegend"/>
    <w:rsid w:val="00177138"/>
    <w:pPr>
      <w:ind w:left="-85" w:firstLine="0"/>
    </w:pPr>
    <w:rPr>
      <w:lang w:val="en-US"/>
    </w:rPr>
  </w:style>
  <w:style w:type="character" w:customStyle="1" w:styleId="Heading1Char">
    <w:name w:val="Heading 1 Char"/>
    <w:basedOn w:val="DefaultParagraphFont"/>
    <w:link w:val="Heading1"/>
    <w:rsid w:val="00177138"/>
    <w:rPr>
      <w:b/>
      <w:sz w:val="24"/>
      <w:lang w:val="fr-FR" w:eastAsia="en-US"/>
    </w:rPr>
  </w:style>
  <w:style w:type="character" w:customStyle="1" w:styleId="Rectitle0">
    <w:name w:val="Rec_title Знак"/>
    <w:link w:val="Rectitle"/>
    <w:locked/>
    <w:rsid w:val="00177138"/>
    <w:rPr>
      <w:b/>
      <w:sz w:val="28"/>
      <w:lang w:val="fr-FR" w:eastAsia="en-US"/>
    </w:rPr>
  </w:style>
  <w:style w:type="character" w:customStyle="1" w:styleId="enumlev1Char">
    <w:name w:val="enumlev1 Char"/>
    <w:link w:val="enumlev1"/>
    <w:locked/>
    <w:rsid w:val="00177138"/>
    <w:rPr>
      <w:sz w:val="24"/>
      <w:lang w:val="fr-FR" w:eastAsia="en-US"/>
    </w:rPr>
  </w:style>
  <w:style w:type="character" w:customStyle="1" w:styleId="NormalaftertitleChar">
    <w:name w:val="Normal_after_title Char"/>
    <w:link w:val="Normalaftertitle"/>
    <w:uiPriority w:val="99"/>
    <w:locked/>
    <w:rsid w:val="00177138"/>
    <w:rPr>
      <w:sz w:val="24"/>
      <w:lang w:val="fr-FR" w:eastAsia="en-US"/>
    </w:rPr>
  </w:style>
  <w:style w:type="character" w:customStyle="1" w:styleId="HeaderChar">
    <w:name w:val="Header Char"/>
    <w:basedOn w:val="DefaultParagraphFont"/>
    <w:link w:val="Header"/>
    <w:uiPriority w:val="99"/>
    <w:rsid w:val="00177138"/>
    <w:rPr>
      <w:sz w:val="24"/>
      <w:lang w:val="fr-FR" w:eastAsia="en-US"/>
    </w:rPr>
  </w:style>
  <w:style w:type="character" w:customStyle="1" w:styleId="FooterChar">
    <w:name w:val="Footer Char"/>
    <w:basedOn w:val="DefaultParagraphFont"/>
    <w:link w:val="Footer"/>
    <w:rsid w:val="00177138"/>
    <w:rPr>
      <w:noProof/>
      <w:sz w:val="18"/>
      <w:lang w:val="fr-FR" w:eastAsia="en-US"/>
    </w:rPr>
  </w:style>
  <w:style w:type="character" w:customStyle="1" w:styleId="FootnoteTextChar">
    <w:name w:val="Footnote Text Char"/>
    <w:basedOn w:val="DefaultParagraphFont"/>
    <w:link w:val="FootnoteText"/>
    <w:rsid w:val="00177138"/>
    <w:rPr>
      <w:sz w:val="22"/>
      <w:lang w:val="fr-FR" w:eastAsia="en-US"/>
    </w:rPr>
  </w:style>
  <w:style w:type="character" w:customStyle="1" w:styleId="RecNoChar">
    <w:name w:val="Rec_No Char"/>
    <w:link w:val="RecNo"/>
    <w:locked/>
    <w:rsid w:val="00177138"/>
    <w:rPr>
      <w:sz w:val="28"/>
      <w:lang w:val="fr-FR" w:eastAsia="en-US"/>
    </w:rPr>
  </w:style>
  <w:style w:type="character" w:customStyle="1" w:styleId="Heading2Char">
    <w:name w:val="Heading 2 Char"/>
    <w:basedOn w:val="DefaultParagraphFont"/>
    <w:link w:val="Heading2"/>
    <w:rsid w:val="00177138"/>
    <w:rPr>
      <w:b/>
      <w:sz w:val="24"/>
      <w:lang w:val="fr-FR" w:eastAsia="en-US"/>
    </w:rPr>
  </w:style>
  <w:style w:type="character" w:customStyle="1" w:styleId="Heading3Char">
    <w:name w:val="Heading 3 Char"/>
    <w:basedOn w:val="DefaultParagraphFont"/>
    <w:link w:val="Heading3"/>
    <w:rsid w:val="00177138"/>
    <w:rPr>
      <w:b/>
      <w:sz w:val="24"/>
      <w:lang w:val="fr-FR" w:eastAsia="en-US"/>
    </w:rPr>
  </w:style>
  <w:style w:type="character" w:customStyle="1" w:styleId="Heading4Char">
    <w:name w:val="Heading 4 Char"/>
    <w:basedOn w:val="DefaultParagraphFont"/>
    <w:link w:val="Heading4"/>
    <w:uiPriority w:val="99"/>
    <w:rsid w:val="00177138"/>
    <w:rPr>
      <w:b/>
      <w:sz w:val="24"/>
      <w:lang w:val="fr-FR" w:eastAsia="en-US"/>
    </w:rPr>
  </w:style>
  <w:style w:type="character" w:customStyle="1" w:styleId="Heading5Char">
    <w:name w:val="Heading 5 Char"/>
    <w:basedOn w:val="DefaultParagraphFont"/>
    <w:link w:val="Heading5"/>
    <w:uiPriority w:val="99"/>
    <w:rsid w:val="00177138"/>
    <w:rPr>
      <w:b/>
      <w:sz w:val="24"/>
      <w:lang w:val="fr-FR" w:eastAsia="en-US"/>
    </w:rPr>
  </w:style>
  <w:style w:type="character" w:customStyle="1" w:styleId="Heading6Char">
    <w:name w:val="Heading 6 Char"/>
    <w:basedOn w:val="DefaultParagraphFont"/>
    <w:link w:val="Heading6"/>
    <w:uiPriority w:val="99"/>
    <w:rsid w:val="00177138"/>
    <w:rPr>
      <w:b/>
      <w:sz w:val="24"/>
      <w:lang w:val="fr-FR" w:eastAsia="en-US"/>
    </w:rPr>
  </w:style>
  <w:style w:type="character" w:customStyle="1" w:styleId="Heading7Char">
    <w:name w:val="Heading 7 Char"/>
    <w:basedOn w:val="DefaultParagraphFont"/>
    <w:link w:val="Heading7"/>
    <w:uiPriority w:val="99"/>
    <w:rsid w:val="00177138"/>
    <w:rPr>
      <w:b/>
      <w:sz w:val="24"/>
      <w:lang w:val="fr-FR" w:eastAsia="en-US"/>
    </w:rPr>
  </w:style>
  <w:style w:type="character" w:customStyle="1" w:styleId="Heading8Char">
    <w:name w:val="Heading 8 Char"/>
    <w:basedOn w:val="DefaultParagraphFont"/>
    <w:link w:val="Heading8"/>
    <w:uiPriority w:val="99"/>
    <w:rsid w:val="00177138"/>
    <w:rPr>
      <w:b/>
      <w:sz w:val="24"/>
      <w:lang w:val="fr-FR" w:eastAsia="en-US"/>
    </w:rPr>
  </w:style>
  <w:style w:type="character" w:customStyle="1" w:styleId="Heading9Char">
    <w:name w:val="Heading 9 Char"/>
    <w:basedOn w:val="DefaultParagraphFont"/>
    <w:link w:val="Heading9"/>
    <w:uiPriority w:val="99"/>
    <w:rsid w:val="00177138"/>
    <w:rPr>
      <w:b/>
      <w:sz w:val="24"/>
      <w:lang w:val="fr-FR" w:eastAsia="en-US"/>
    </w:rPr>
  </w:style>
  <w:style w:type="character" w:customStyle="1" w:styleId="CallChar">
    <w:name w:val="Call Char"/>
    <w:link w:val="Call"/>
    <w:locked/>
    <w:rsid w:val="00177138"/>
    <w:rPr>
      <w:i/>
      <w:sz w:val="24"/>
      <w:lang w:val="fr-FR" w:eastAsia="en-US"/>
    </w:rPr>
  </w:style>
  <w:style w:type="character" w:customStyle="1" w:styleId="ReptitleCar">
    <w:name w:val="Rep_title Car"/>
    <w:link w:val="Reptitle"/>
    <w:uiPriority w:val="99"/>
    <w:locked/>
    <w:rsid w:val="00177138"/>
    <w:rPr>
      <w:b/>
      <w:sz w:val="28"/>
      <w:lang w:val="fr-FR" w:eastAsia="en-US"/>
    </w:rPr>
  </w:style>
  <w:style w:type="character" w:customStyle="1" w:styleId="RepNoCar">
    <w:name w:val="Rep_No Car"/>
    <w:link w:val="RepNo"/>
    <w:uiPriority w:val="99"/>
    <w:locked/>
    <w:rsid w:val="00177138"/>
    <w:rPr>
      <w:sz w:val="28"/>
      <w:lang w:val="fr-FR" w:eastAsia="en-US"/>
    </w:rPr>
  </w:style>
  <w:style w:type="character" w:customStyle="1" w:styleId="FiguretitleChar">
    <w:name w:val="Figure_title Char"/>
    <w:basedOn w:val="DefaultParagraphFont"/>
    <w:link w:val="Figuretitle"/>
    <w:locked/>
    <w:rsid w:val="00177138"/>
    <w:rPr>
      <w:rFonts w:ascii="Times New Roman Bold" w:hAnsi="Times New Roman Bold"/>
      <w:b/>
      <w:sz w:val="18"/>
      <w:lang w:val="fr-FR" w:eastAsia="en-US"/>
    </w:rPr>
  </w:style>
  <w:style w:type="character" w:customStyle="1" w:styleId="FigureNoChar">
    <w:name w:val="Figure_No Char"/>
    <w:basedOn w:val="DefaultParagraphFont"/>
    <w:link w:val="FigureNo"/>
    <w:rsid w:val="00177138"/>
    <w:rPr>
      <w:caps/>
      <w:sz w:val="18"/>
      <w:lang w:val="fr-FR" w:eastAsia="en-US"/>
    </w:rPr>
  </w:style>
  <w:style w:type="character" w:customStyle="1" w:styleId="HeadingbChar">
    <w:name w:val="Heading_b Char"/>
    <w:basedOn w:val="DefaultParagraphFont"/>
    <w:link w:val="Headingb"/>
    <w:locked/>
    <w:rsid w:val="0017713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111</TotalTime>
  <Pages>16</Pages>
  <Words>4937</Words>
  <Characters>29181</Characters>
  <Application>Microsoft Office Word</Application>
  <DocSecurity>0</DocSecurity>
  <Lines>711</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34016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19</cp:revision>
  <cp:lastPrinted>2020-01-22T15:43:00Z</cp:lastPrinted>
  <dcterms:created xsi:type="dcterms:W3CDTF">2020-01-22T13:04:00Z</dcterms:created>
  <dcterms:modified xsi:type="dcterms:W3CDTF">2020-01-22T15:54:00Z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